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bidi w:val="0"/>
        <w:jc w:val="center"/>
        <w:rPr>
          <w:rFonts w:hint="eastAsia" w:ascii="方正小标宋简体" w:hAnsi="方正小标宋简体" w:eastAsia="方正小标宋简体" w:cs="方正小标宋简体"/>
          <w:sz w:val="72"/>
          <w:szCs w:val="72"/>
        </w:rPr>
      </w:pPr>
      <w:bookmarkStart w:id="1" w:name="_Toc15377425"/>
      <w:bookmarkStart w:id="2" w:name="_Toc15396597"/>
      <w:bookmarkStart w:id="3" w:name="_Toc15396475"/>
      <w:bookmarkStart w:id="4" w:name="_Toc18591"/>
      <w:bookmarkStart w:id="5" w:name="_Toc15377193"/>
      <w:bookmarkStart w:id="6" w:name="_Toc3686"/>
      <w:bookmarkStart w:id="7" w:name="_Toc15378441"/>
      <w:r>
        <w:rPr>
          <w:rFonts w:hint="eastAsia" w:ascii="方正小标宋简体" w:hAnsi="方正小标宋简体" w:eastAsia="方正小标宋简体" w:cs="方正小标宋简体"/>
          <w:sz w:val="72"/>
          <w:szCs w:val="72"/>
        </w:rPr>
        <w:t>20</w:t>
      </w:r>
      <w:r>
        <w:rPr>
          <w:rFonts w:hint="eastAsia" w:ascii="方正小标宋简体" w:hAnsi="方正小标宋简体" w:eastAsia="方正小标宋简体" w:cs="方正小标宋简体"/>
          <w:sz w:val="72"/>
          <w:szCs w:val="72"/>
          <w:lang w:val="en-US" w:eastAsia="zh-CN"/>
        </w:rPr>
        <w:t>21</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bookmarkEnd w:id="7"/>
    </w:p>
    <w:p>
      <w:pPr>
        <w:bidi w:val="0"/>
        <w:jc w:val="center"/>
        <w:rPr>
          <w:rFonts w:hint="eastAsia" w:ascii="方正小标宋简体" w:hAnsi="方正小标宋简体" w:eastAsia="方正小标宋简体" w:cs="方正小标宋简体"/>
          <w:sz w:val="72"/>
          <w:szCs w:val="72"/>
          <w:lang w:eastAsia="zh-CN"/>
        </w:rPr>
      </w:pPr>
      <w:bookmarkStart w:id="8" w:name="_Toc15378442"/>
      <w:bookmarkStart w:id="9" w:name="_Toc15377426"/>
      <w:bookmarkStart w:id="10" w:name="_Toc15396598"/>
      <w:bookmarkStart w:id="11" w:name="_Toc30993"/>
      <w:bookmarkStart w:id="12" w:name="_Toc15396476"/>
      <w:bookmarkStart w:id="13" w:name="_Toc15377194"/>
      <w:bookmarkStart w:id="14" w:name="_Toc13712"/>
      <w:r>
        <w:rPr>
          <w:rFonts w:hint="eastAsia" w:ascii="方正小标宋简体" w:hAnsi="方正小标宋简体" w:eastAsia="方正小标宋简体" w:cs="方正小标宋简体"/>
          <w:sz w:val="72"/>
          <w:szCs w:val="72"/>
          <w:lang w:val="en-US" w:eastAsia="zh-CN"/>
        </w:rPr>
        <w:t>广元市</w:t>
      </w:r>
      <w:bookmarkEnd w:id="0"/>
      <w:bookmarkStart w:id="15" w:name="_Toc15306268"/>
      <w:r>
        <w:rPr>
          <w:rFonts w:hint="eastAsia" w:ascii="方正小标宋简体" w:hAnsi="方正小标宋简体" w:eastAsia="方正小标宋简体" w:cs="方正小标宋简体"/>
          <w:sz w:val="72"/>
          <w:szCs w:val="72"/>
          <w:lang w:eastAsia="zh-CN"/>
        </w:rPr>
        <w:t>计划生育药品器械管理站</w:t>
      </w:r>
    </w:p>
    <w:p>
      <w:pPr>
        <w:bidi w:val="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eastAsia="zh-CN"/>
        </w:rPr>
        <w:t>单位</w:t>
      </w:r>
      <w:r>
        <w:rPr>
          <w:rFonts w:hint="eastAsia" w:ascii="方正小标宋简体" w:hAnsi="方正小标宋简体" w:eastAsia="方正小标宋简体" w:cs="方正小标宋简体"/>
          <w:sz w:val="72"/>
          <w:szCs w:val="72"/>
        </w:rPr>
        <w:t>决算</w:t>
      </w:r>
      <w:bookmarkEnd w:id="8"/>
      <w:bookmarkEnd w:id="9"/>
      <w:bookmarkEnd w:id="10"/>
      <w:bookmarkEnd w:id="11"/>
      <w:bookmarkEnd w:id="12"/>
      <w:bookmarkEnd w:id="13"/>
      <w:bookmarkEnd w:id="14"/>
      <w:bookmarkEnd w:id="15"/>
    </w:p>
    <w:p>
      <w:pPr>
        <w:bidi w:val="0"/>
        <w:jc w:val="center"/>
        <w:rPr>
          <w:rFonts w:ascii="黑体" w:hAnsi="黑体" w:eastAsia="黑体" w:cs="宋体"/>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p>
    <w:p>
      <w:pPr>
        <w:pStyle w:val="11"/>
        <w:tabs>
          <w:tab w:val="right" w:leader="dot" w:pos="8306"/>
          <w:tab w:val="clear" w:pos="8296"/>
        </w:tabs>
        <w:rPr>
          <w:rFonts w:hint="eastAsia" w:ascii="宋体" w:hAnsi="宋体" w:eastAsia="宋体" w:cs="宋体"/>
          <w:sz w:val="32"/>
          <w:szCs w:val="32"/>
        </w:rPr>
      </w:pPr>
      <w:bookmarkStart w:id="16" w:name="_Toc15377196"/>
      <w:bookmarkStart w:id="17" w:name="_Toc15396599"/>
      <w:bookmarkStart w:id="18" w:name="_Toc22813"/>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"1-2" \h \u </w:instrText>
      </w:r>
      <w:r>
        <w:rPr>
          <w:rFonts w:hint="eastAsia" w:ascii="宋体" w:hAnsi="宋体" w:eastAsia="宋体" w:cs="宋体"/>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_Toc22813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第一部分 </w:t>
      </w:r>
      <w:r>
        <w:rPr>
          <w:rFonts w:hint="eastAsia" w:ascii="宋体" w:hAnsi="宋体" w:eastAsia="宋体" w:cs="宋体"/>
          <w:sz w:val="32"/>
          <w:szCs w:val="32"/>
          <w:lang w:eastAsia="zh-CN"/>
        </w:rPr>
        <w:t>单位</w:t>
      </w:r>
      <w:r>
        <w:rPr>
          <w:rFonts w:hint="eastAsia" w:ascii="宋体" w:hAnsi="宋体" w:eastAsia="宋体" w:cs="宋体"/>
          <w:sz w:val="32"/>
          <w:szCs w:val="32"/>
        </w:rPr>
        <w:t>概况</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_Toc22813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_Toc12004 </w:instrText>
      </w:r>
      <w:r>
        <w:rPr>
          <w:rFonts w:hint="eastAsia" w:ascii="宋体" w:hAnsi="宋体" w:eastAsia="宋体" w:cs="宋体"/>
          <w:sz w:val="32"/>
          <w:szCs w:val="32"/>
        </w:rPr>
        <w:fldChar w:fldCharType="separate"/>
      </w:r>
      <w:r>
        <w:rPr>
          <w:rFonts w:hint="eastAsia" w:ascii="宋体" w:hAnsi="宋体" w:eastAsia="宋体" w:cs="宋体"/>
          <w:bCs w:val="0"/>
          <w:sz w:val="32"/>
          <w:szCs w:val="32"/>
          <w:highlight w:val="none"/>
          <w:lang w:val="en-US" w:eastAsia="zh-CN"/>
        </w:rPr>
        <w:t>一、</w:t>
      </w:r>
      <w:r>
        <w:rPr>
          <w:rFonts w:hint="eastAsia" w:ascii="宋体" w:hAnsi="宋体" w:eastAsia="宋体" w:cs="宋体"/>
          <w:bCs w:val="0"/>
          <w:sz w:val="32"/>
          <w:szCs w:val="32"/>
          <w:highlight w:val="none"/>
        </w:rPr>
        <w:t>职能</w:t>
      </w:r>
      <w:r>
        <w:rPr>
          <w:rFonts w:hint="eastAsia" w:ascii="宋体" w:hAnsi="宋体" w:eastAsia="宋体" w:cs="宋体"/>
          <w:bCs w:val="0"/>
          <w:sz w:val="32"/>
          <w:szCs w:val="32"/>
          <w:highlight w:val="none"/>
          <w:lang w:eastAsia="zh-CN"/>
        </w:rPr>
        <w:t>简介</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_Toc12004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_Toc597 </w:instrText>
      </w:r>
      <w:r>
        <w:rPr>
          <w:rFonts w:hint="eastAsia" w:ascii="宋体" w:hAnsi="宋体" w:eastAsia="宋体" w:cs="宋体"/>
          <w:sz w:val="32"/>
          <w:szCs w:val="32"/>
        </w:rPr>
        <w:fldChar w:fldCharType="separate"/>
      </w:r>
      <w:r>
        <w:rPr>
          <w:rFonts w:hint="eastAsia" w:ascii="宋体" w:hAnsi="宋体" w:eastAsia="宋体" w:cs="宋体"/>
          <w:sz w:val="32"/>
          <w:szCs w:val="32"/>
          <w:highlight w:val="none"/>
          <w:lang w:val="en-US" w:eastAsia="zh-CN"/>
        </w:rPr>
        <w:t>二、2021年重点</w:t>
      </w:r>
      <w:r>
        <w:rPr>
          <w:rFonts w:hint="eastAsia" w:ascii="宋体" w:hAnsi="宋体" w:eastAsia="宋体" w:cs="宋体"/>
          <w:sz w:val="32"/>
          <w:szCs w:val="32"/>
          <w:highlight w:val="none"/>
        </w:rPr>
        <w:t>工作</w:t>
      </w:r>
      <w:r>
        <w:rPr>
          <w:rFonts w:hint="eastAsia" w:ascii="宋体" w:hAnsi="宋体" w:eastAsia="宋体" w:cs="宋体"/>
          <w:sz w:val="32"/>
          <w:szCs w:val="32"/>
          <w:highlight w:val="none"/>
          <w:lang w:eastAsia="zh-CN"/>
        </w:rPr>
        <w:t>完成情况</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_Toc597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_Toc14628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第二部分 </w:t>
      </w:r>
      <w:r>
        <w:rPr>
          <w:rFonts w:hint="eastAsia" w:ascii="宋体" w:hAnsi="宋体" w:eastAsia="宋体" w:cs="宋体"/>
          <w:sz w:val="32"/>
          <w:szCs w:val="32"/>
          <w:lang w:val="en-US" w:eastAsia="zh-CN"/>
        </w:rPr>
        <w:t>2021年度</w:t>
      </w:r>
      <w:r>
        <w:rPr>
          <w:rFonts w:hint="eastAsia" w:ascii="宋体" w:hAnsi="宋体" w:eastAsia="宋体" w:cs="宋体"/>
          <w:sz w:val="32"/>
          <w:szCs w:val="32"/>
          <w:lang w:eastAsia="zh-CN"/>
        </w:rPr>
        <w:t>单位</w:t>
      </w:r>
      <w:r>
        <w:rPr>
          <w:rFonts w:hint="eastAsia" w:ascii="宋体" w:hAnsi="宋体" w:eastAsia="宋体" w:cs="宋体"/>
          <w:sz w:val="32"/>
          <w:szCs w:val="32"/>
        </w:rPr>
        <w:t>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_Toc14628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_Toc13061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一、 </w:t>
      </w:r>
      <w:r>
        <w:rPr>
          <w:rFonts w:hint="eastAsia" w:ascii="宋体" w:hAnsi="宋体" w:eastAsia="宋体" w:cs="宋体"/>
          <w:sz w:val="32"/>
          <w:szCs w:val="32"/>
          <w:highlight w:val="none"/>
        </w:rPr>
        <w:t>收入支出决算总体情况说明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_Toc13061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_Toc5479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二、 </w:t>
      </w:r>
      <w:r>
        <w:rPr>
          <w:rFonts w:hint="eastAsia" w:ascii="宋体" w:hAnsi="宋体" w:eastAsia="宋体" w:cs="宋体"/>
          <w:sz w:val="32"/>
          <w:szCs w:val="32"/>
          <w:highlight w:val="none"/>
        </w:rPr>
        <w:t>收入决算情况说明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_Toc5479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_Toc15711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三、 </w:t>
      </w:r>
      <w:r>
        <w:rPr>
          <w:rFonts w:hint="eastAsia" w:ascii="宋体" w:hAnsi="宋体" w:eastAsia="宋体" w:cs="宋体"/>
          <w:sz w:val="32"/>
          <w:szCs w:val="32"/>
          <w:highlight w:val="none"/>
        </w:rPr>
        <w:t>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_Toc15711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_Toc23182 </w:instrText>
      </w:r>
      <w:r>
        <w:rPr>
          <w:rFonts w:hint="eastAsia" w:ascii="宋体" w:hAnsi="宋体" w:eastAsia="宋体" w:cs="宋体"/>
          <w:sz w:val="32"/>
          <w:szCs w:val="32"/>
        </w:rPr>
        <w:fldChar w:fldCharType="separate"/>
      </w:r>
      <w:r>
        <w:rPr>
          <w:rFonts w:hint="eastAsia" w:ascii="宋体" w:hAnsi="宋体" w:eastAsia="宋体" w:cs="宋体"/>
          <w:sz w:val="32"/>
          <w:szCs w:val="32"/>
          <w:highlight w:val="none"/>
        </w:rPr>
        <w:t>四、财政拨款收入支出决算总体情况说明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_Toc23182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_Toc31852 </w:instrText>
      </w:r>
      <w:r>
        <w:rPr>
          <w:rFonts w:hint="eastAsia" w:ascii="宋体" w:hAnsi="宋体" w:eastAsia="宋体" w:cs="宋体"/>
          <w:sz w:val="32"/>
          <w:szCs w:val="32"/>
        </w:rPr>
        <w:fldChar w:fldCharType="separate"/>
      </w:r>
      <w:r>
        <w:rPr>
          <w:rFonts w:hint="eastAsia" w:ascii="宋体" w:hAnsi="宋体" w:eastAsia="宋体" w:cs="宋体"/>
          <w:sz w:val="32"/>
          <w:szCs w:val="32"/>
          <w:highlight w:val="none"/>
        </w:rPr>
        <w:t>五、一般公共预算财政拨款支出决算情况说明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_Toc31852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_Toc16508 </w:instrText>
      </w:r>
      <w:r>
        <w:rPr>
          <w:rFonts w:hint="eastAsia" w:ascii="宋体" w:hAnsi="宋体" w:eastAsia="宋体" w:cs="宋体"/>
          <w:sz w:val="32"/>
          <w:szCs w:val="32"/>
        </w:rPr>
        <w:fldChar w:fldCharType="separate"/>
      </w:r>
      <w:r>
        <w:rPr>
          <w:rFonts w:hint="eastAsia" w:ascii="宋体" w:hAnsi="宋体" w:eastAsia="宋体" w:cs="宋体"/>
          <w:sz w:val="32"/>
          <w:szCs w:val="32"/>
          <w:highlight w:val="none"/>
        </w:rPr>
        <w:t>六、一般公共预算财政拨款基本支出决算情况说明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_Toc16508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_Toc30079 </w:instrText>
      </w:r>
      <w:r>
        <w:rPr>
          <w:rFonts w:hint="eastAsia" w:ascii="宋体" w:hAnsi="宋体" w:eastAsia="宋体" w:cs="宋体"/>
          <w:sz w:val="32"/>
          <w:szCs w:val="32"/>
        </w:rPr>
        <w:fldChar w:fldCharType="separate"/>
      </w:r>
      <w:r>
        <w:rPr>
          <w:rFonts w:hint="eastAsia" w:ascii="宋体" w:hAnsi="宋体" w:eastAsia="宋体" w:cs="宋体"/>
          <w:sz w:val="32"/>
          <w:szCs w:val="32"/>
          <w:highlight w:val="none"/>
        </w:rPr>
        <w:t>七、“三公”经费财政拨款支出决算情况说明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_Toc30079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_Toc6224 </w:instrText>
      </w:r>
      <w:r>
        <w:rPr>
          <w:rFonts w:hint="eastAsia" w:ascii="宋体" w:hAnsi="宋体" w:eastAsia="宋体" w:cs="宋体"/>
          <w:sz w:val="32"/>
          <w:szCs w:val="32"/>
        </w:rPr>
        <w:fldChar w:fldCharType="separate"/>
      </w:r>
      <w:r>
        <w:rPr>
          <w:rFonts w:hint="eastAsia" w:ascii="宋体" w:hAnsi="宋体" w:eastAsia="宋体" w:cs="宋体"/>
          <w:sz w:val="32"/>
          <w:szCs w:val="32"/>
          <w:highlight w:val="none"/>
        </w:rPr>
        <w:t>八、政府性基金预算支出决算情况说明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_Toc6224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_Toc23044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九、 </w:t>
      </w:r>
      <w:r>
        <w:rPr>
          <w:rFonts w:hint="eastAsia" w:ascii="宋体" w:hAnsi="宋体" w:eastAsia="宋体" w:cs="宋体"/>
          <w:sz w:val="32"/>
          <w:szCs w:val="32"/>
          <w:highlight w:val="none"/>
        </w:rPr>
        <w:t>国有资本经营预算支出决算情况说明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_Toc23044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_Toc1889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十、 </w:t>
      </w:r>
      <w:r>
        <w:rPr>
          <w:rFonts w:hint="eastAsia" w:ascii="宋体" w:hAnsi="宋体" w:eastAsia="宋体" w:cs="宋体"/>
          <w:sz w:val="32"/>
          <w:szCs w:val="32"/>
          <w:highlight w:val="none"/>
          <w:lang w:val="en-US" w:eastAsia="zh-CN"/>
        </w:rPr>
        <w:t>预算绩效管理情况</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_Toc1889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2"/>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_Toc5390 </w:instrText>
      </w:r>
      <w:r>
        <w:rPr>
          <w:rFonts w:hint="eastAsia" w:ascii="宋体" w:hAnsi="宋体" w:eastAsia="宋体" w:cs="宋体"/>
          <w:sz w:val="32"/>
          <w:szCs w:val="32"/>
        </w:rPr>
        <w:fldChar w:fldCharType="separate"/>
      </w:r>
      <w:r>
        <w:rPr>
          <w:rFonts w:hint="eastAsia" w:ascii="宋体" w:hAnsi="宋体" w:eastAsia="宋体" w:cs="宋体"/>
          <w:sz w:val="32"/>
          <w:szCs w:val="32"/>
        </w:rPr>
        <w:t xml:space="preserve">十一、 </w:t>
      </w:r>
      <w:r>
        <w:rPr>
          <w:rFonts w:hint="eastAsia" w:ascii="宋体" w:hAnsi="宋体" w:eastAsia="宋体" w:cs="宋体"/>
          <w:sz w:val="32"/>
          <w:szCs w:val="32"/>
          <w:highlight w:val="none"/>
        </w:rPr>
        <w:t>其他重要事项的情况说明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_Toc5390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_Toc9003 </w:instrText>
      </w:r>
      <w:r>
        <w:rPr>
          <w:rFonts w:hint="eastAsia" w:ascii="宋体" w:hAnsi="宋体" w:eastAsia="宋体" w:cs="宋体"/>
          <w:sz w:val="32"/>
          <w:szCs w:val="32"/>
        </w:rPr>
        <w:fldChar w:fldCharType="separate"/>
      </w:r>
      <w:r>
        <w:rPr>
          <w:rFonts w:hint="eastAsia" w:ascii="宋体" w:hAnsi="宋体" w:eastAsia="宋体" w:cs="宋体"/>
          <w:sz w:val="32"/>
          <w:szCs w:val="32"/>
          <w:lang w:eastAsia="zh-CN"/>
        </w:rPr>
        <w:t>第三部分</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名词解释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_Toc9003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_Toc10772 </w:instrText>
      </w:r>
      <w:r>
        <w:rPr>
          <w:rFonts w:hint="eastAsia" w:ascii="宋体" w:hAnsi="宋体" w:eastAsia="宋体" w:cs="宋体"/>
          <w:sz w:val="32"/>
          <w:szCs w:val="32"/>
        </w:rPr>
        <w:fldChar w:fldCharType="separate"/>
      </w:r>
      <w:r>
        <w:rPr>
          <w:rFonts w:hint="eastAsia" w:ascii="宋体" w:hAnsi="宋体" w:eastAsia="宋体" w:cs="宋体"/>
          <w:sz w:val="32"/>
          <w:szCs w:val="32"/>
          <w:lang w:eastAsia="zh-CN"/>
        </w:rPr>
        <w:t>第四部分 附件</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_Toc10772 \h </w:instrText>
      </w:r>
      <w:r>
        <w:rPr>
          <w:rFonts w:hint="eastAsia" w:ascii="宋体" w:hAnsi="宋体" w:eastAsia="宋体" w:cs="宋体"/>
          <w:sz w:val="32"/>
          <w:szCs w:val="32"/>
        </w:rPr>
        <w:fldChar w:fldCharType="separate"/>
      </w:r>
      <w:r>
        <w:rPr>
          <w:rFonts w:hint="eastAsia" w:ascii="宋体" w:hAnsi="宋体" w:eastAsia="宋体" w:cs="宋体"/>
          <w:sz w:val="32"/>
          <w:szCs w:val="32"/>
        </w:rPr>
        <w:t>14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 w:val="clear" w:pos="829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_Toc13378 </w:instrText>
      </w:r>
      <w:r>
        <w:rPr>
          <w:rFonts w:hint="eastAsia" w:ascii="宋体" w:hAnsi="宋体" w:eastAsia="宋体" w:cs="宋体"/>
          <w:sz w:val="32"/>
          <w:szCs w:val="32"/>
        </w:rPr>
        <w:fldChar w:fldCharType="separate"/>
      </w:r>
      <w:r>
        <w:rPr>
          <w:rFonts w:hint="eastAsia" w:ascii="宋体" w:hAnsi="宋体" w:eastAsia="宋体" w:cs="宋体"/>
          <w:sz w:val="32"/>
          <w:szCs w:val="32"/>
          <w:lang w:eastAsia="zh-CN"/>
        </w:rPr>
        <w:t>第五部分 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_Toc13378 \h </w:instrText>
      </w:r>
      <w:r>
        <w:rPr>
          <w:rFonts w:hint="eastAsia" w:ascii="宋体" w:hAnsi="宋体" w:eastAsia="宋体" w:cs="宋体"/>
          <w:sz w:val="32"/>
          <w:szCs w:val="32"/>
        </w:rPr>
        <w:fldChar w:fldCharType="separate"/>
      </w:r>
      <w:r>
        <w:rPr>
          <w:rFonts w:hint="eastAsia" w:ascii="宋体" w:hAnsi="宋体" w:eastAsia="宋体" w:cs="宋体"/>
          <w:sz w:val="32"/>
          <w:szCs w:val="32"/>
        </w:rPr>
        <w:t>19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keepNext w:val="0"/>
        <w:keepLines w:val="0"/>
        <w:pageBreakBefore w:val="0"/>
        <w:kinsoku/>
        <w:wordWrap/>
        <w:overflowPunct/>
        <w:topLinePunct w:val="0"/>
        <w:autoSpaceDE/>
        <w:autoSpaceDN/>
        <w:bidi w:val="0"/>
        <w:adjustRightInd/>
        <w:snapToGrid/>
        <w:spacing w:before="0" w:after="0" w:line="440" w:lineRule="exact"/>
        <w:ind w:left="0" w:leftChars="0" w:right="0" w:rightChars="0" w:firstLine="0" w:firstLineChars="0"/>
        <w:jc w:val="both"/>
        <w:textAlignment w:val="auto"/>
        <w:rPr>
          <w:rFonts w:hint="eastAsia" w:ascii="黑体" w:hAnsi="黑体" w:eastAsia="黑体"/>
          <w:b w:val="0"/>
          <w:color w:val="auto"/>
          <w:highlight w:val="none"/>
        </w:rPr>
        <w:sectPr>
          <w:head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z w:val="32"/>
          <w:szCs w:val="32"/>
        </w:rPr>
        <w:fldChar w:fldCharType="end"/>
      </w:r>
    </w:p>
    <w:p>
      <w:pPr>
        <w:pStyle w:val="3"/>
        <w:bidi w:val="0"/>
        <w:jc w:val="center"/>
      </w:pPr>
      <w:r>
        <w:rPr>
          <w:rFonts w:hint="eastAsia"/>
        </w:rPr>
        <w:t xml:space="preserve">第一部分 </w:t>
      </w:r>
      <w:r>
        <w:rPr>
          <w:rFonts w:hint="eastAsia"/>
          <w:lang w:eastAsia="zh-CN"/>
        </w:rPr>
        <w:t>单位</w:t>
      </w:r>
      <w:r>
        <w:rPr>
          <w:rFonts w:hint="eastAsia"/>
        </w:rPr>
        <w:t>概况</w:t>
      </w:r>
      <w:bookmarkEnd w:id="16"/>
      <w:bookmarkEnd w:id="17"/>
      <w:bookmarkEnd w:id="18"/>
    </w:p>
    <w:p>
      <w:pPr>
        <w:pStyle w:val="4"/>
        <w:pageBreakBefore w:val="0"/>
        <w:numPr>
          <w:ilvl w:val="0"/>
          <w:numId w:val="0"/>
        </w:numPr>
        <w:kinsoku/>
        <w:wordWrap/>
        <w:overflowPunct/>
        <w:topLinePunct w:val="0"/>
        <w:autoSpaceDE/>
        <w:autoSpaceDN/>
        <w:bidi w:val="0"/>
        <w:adjustRightInd/>
        <w:snapToGrid/>
        <w:spacing w:line="576" w:lineRule="exact"/>
        <w:textAlignment w:val="auto"/>
        <w:rPr>
          <w:rStyle w:val="26"/>
          <w:rFonts w:hint="eastAsia" w:ascii="黑体" w:hAnsi="黑体" w:eastAsia="黑体"/>
          <w:b w:val="0"/>
          <w:bCs w:val="0"/>
          <w:color w:val="auto"/>
          <w:highlight w:val="none"/>
          <w:lang w:eastAsia="zh-CN"/>
        </w:rPr>
      </w:pPr>
      <w:bookmarkStart w:id="19" w:name="_Toc15396600"/>
      <w:bookmarkStart w:id="20" w:name="_Toc15377197"/>
      <w:r>
        <w:rPr>
          <w:rStyle w:val="26"/>
          <w:rFonts w:hint="eastAsia" w:ascii="黑体" w:hAnsi="黑体" w:eastAsia="黑体"/>
          <w:b w:val="0"/>
          <w:bCs w:val="0"/>
          <w:color w:val="auto"/>
          <w:highlight w:val="none"/>
          <w:lang w:val="en-US" w:eastAsia="zh-CN"/>
        </w:rPr>
        <w:t xml:space="preserve">    </w:t>
      </w:r>
      <w:bookmarkStart w:id="21" w:name="_Toc12004"/>
      <w:r>
        <w:rPr>
          <w:rStyle w:val="26"/>
          <w:rFonts w:hint="eastAsia" w:ascii="黑体" w:hAnsi="黑体" w:eastAsia="黑体"/>
          <w:b w:val="0"/>
          <w:bCs w:val="0"/>
          <w:color w:val="auto"/>
          <w:highlight w:val="none"/>
          <w:lang w:val="en-US" w:eastAsia="zh-CN"/>
        </w:rPr>
        <w:t>一、</w:t>
      </w:r>
      <w:r>
        <w:rPr>
          <w:rStyle w:val="26"/>
          <w:rFonts w:hint="eastAsia" w:ascii="黑体" w:hAnsi="黑体" w:eastAsia="黑体"/>
          <w:b w:val="0"/>
          <w:bCs w:val="0"/>
          <w:color w:val="auto"/>
          <w:highlight w:val="none"/>
        </w:rPr>
        <w:t>职能</w:t>
      </w:r>
      <w:r>
        <w:rPr>
          <w:rStyle w:val="26"/>
          <w:rFonts w:hint="eastAsia" w:ascii="黑体" w:hAnsi="黑体" w:eastAsia="黑体"/>
          <w:b w:val="0"/>
          <w:bCs w:val="0"/>
          <w:color w:val="auto"/>
          <w:highlight w:val="none"/>
          <w:lang w:eastAsia="zh-CN"/>
        </w:rPr>
        <w:t>简介</w:t>
      </w:r>
      <w:bookmarkEnd w:id="21"/>
    </w:p>
    <w:p>
      <w:pPr>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 w:hAnsi="仿宋" w:eastAsia="仿宋"/>
          <w:bCs/>
          <w:color w:val="000000"/>
          <w:sz w:val="32"/>
          <w:szCs w:val="32"/>
        </w:rPr>
        <w:t>承担全市国家免费避孕药具管理使用、计划统计、仓储调拨、质量管理、发放服务等工作和对下一级计划生育药具管理机构进行业务指导。</w:t>
      </w:r>
    </w:p>
    <w:p>
      <w:pPr>
        <w:pStyle w:val="4"/>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b w:val="0"/>
          <w:color w:val="auto"/>
          <w:highlight w:val="none"/>
        </w:rPr>
      </w:pPr>
      <w:bookmarkStart w:id="22" w:name="_Toc597"/>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19"/>
      <w:bookmarkEnd w:id="20"/>
      <w:r>
        <w:rPr>
          <w:rFonts w:hint="eastAsia" w:ascii="黑体" w:hAnsi="黑体" w:eastAsia="黑体"/>
          <w:b w:val="0"/>
          <w:color w:val="auto"/>
          <w:highlight w:val="none"/>
          <w:lang w:eastAsia="zh-CN"/>
        </w:rPr>
        <w:t>完成情况</w:t>
      </w:r>
      <w:bookmarkEnd w:id="2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（一）全面完成全年避孕药具计划，调拨任务。2021年省下达我市基本避孕药具调拨计划</w:t>
      </w:r>
      <w:r>
        <w:rPr>
          <w:rFonts w:hint="eastAsia" w:ascii="仿宋_GB2312" w:hAnsi="仿宋_GB2312" w:eastAsia="仿宋_GB2312" w:cs="仿宋_GB2312"/>
          <w:color w:val="auto"/>
          <w:w w:val="100"/>
          <w:sz w:val="32"/>
          <w:szCs w:val="32"/>
          <w:lang w:val="en-US" w:eastAsia="zh-CN"/>
        </w:rPr>
        <w:t>为</w:t>
      </w:r>
      <w:r>
        <w:rPr>
          <w:rFonts w:hint="eastAsia" w:ascii="仿宋_GB2312" w:hAnsi="仿宋_GB2312" w:eastAsia="仿宋_GB2312" w:cs="仿宋_GB2312"/>
          <w:color w:val="auto"/>
          <w:w w:val="100"/>
          <w:sz w:val="32"/>
          <w:szCs w:val="32"/>
        </w:rPr>
        <w:t> </w:t>
      </w:r>
      <w:r>
        <w:rPr>
          <w:rFonts w:hint="eastAsia" w:ascii="仿宋_GB2312" w:hAnsi="仿宋_GB2312" w:eastAsia="仿宋_GB2312" w:cs="仿宋_GB2312"/>
          <w:color w:val="auto"/>
          <w:w w:val="100"/>
          <w:sz w:val="32"/>
          <w:szCs w:val="32"/>
          <w:lang w:val="en-US" w:eastAsia="zh-CN"/>
        </w:rPr>
        <w:t>900584.60元，执行入库900584.60元，实现</w:t>
      </w:r>
      <w:r>
        <w:rPr>
          <w:rFonts w:hint="eastAsia" w:ascii="仿宋_GB2312" w:hAnsi="仿宋_GB2312" w:eastAsia="仿宋_GB2312" w:cs="仿宋_GB2312"/>
          <w:sz w:val="32"/>
          <w:szCs w:val="32"/>
          <w:lang w:val="en-US" w:eastAsia="zh-CN"/>
        </w:rPr>
        <w:t>入库率100%，下达调拨药具 </w:t>
      </w:r>
      <w:r>
        <w:rPr>
          <w:rFonts w:hint="default" w:ascii="仿宋_GB2312" w:hAnsi="仿宋_GB2312" w:eastAsia="仿宋_GB2312" w:cs="仿宋_GB2312"/>
          <w:sz w:val="32"/>
          <w:szCs w:val="32"/>
          <w:lang w:val="en-US" w:eastAsia="zh-CN"/>
        </w:rPr>
        <w:t>867980.29</w:t>
      </w:r>
      <w:r>
        <w:rPr>
          <w:rFonts w:hint="eastAsia" w:ascii="仿宋_GB2312" w:hAnsi="仿宋_GB2312" w:eastAsia="仿宋_GB2312" w:cs="仿宋_GB2312"/>
          <w:sz w:val="32"/>
          <w:szCs w:val="32"/>
          <w:lang w:val="en-US" w:eastAsia="zh-CN"/>
        </w:rPr>
        <w:t>元，现已执行 </w:t>
      </w:r>
      <w:r>
        <w:rPr>
          <w:rFonts w:hint="default" w:ascii="仿宋_GB2312" w:hAnsi="仿宋_GB2312" w:eastAsia="仿宋_GB2312" w:cs="仿宋_GB2312"/>
          <w:sz w:val="32"/>
          <w:szCs w:val="32"/>
          <w:lang w:val="en-US" w:eastAsia="zh-CN"/>
        </w:rPr>
        <w:t>867980.29</w:t>
      </w:r>
      <w:r>
        <w:rPr>
          <w:rFonts w:hint="eastAsia" w:ascii="仿宋_GB2312" w:hAnsi="仿宋_GB2312" w:eastAsia="仿宋_GB2312" w:cs="仿宋_GB2312"/>
          <w:sz w:val="32"/>
          <w:szCs w:val="32"/>
          <w:lang w:val="en-US" w:eastAsia="zh-CN"/>
        </w:rPr>
        <w:t>元，其中计划调拨各县区860811.54元，其他宣传发放7168.75元。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w w:val="100"/>
          <w:sz w:val="32"/>
          <w:szCs w:val="32"/>
          <w:lang w:val="en-US" w:eastAsia="zh-CN"/>
        </w:rPr>
      </w:pPr>
      <w:r>
        <w:rPr>
          <w:rFonts w:hint="eastAsia" w:ascii="仿宋_GB2312" w:hAnsi="仿宋_GB2312" w:eastAsia="仿宋_GB2312" w:cs="仿宋_GB2312"/>
          <w:color w:val="auto"/>
          <w:w w:val="100"/>
          <w:sz w:val="32"/>
          <w:szCs w:val="32"/>
          <w:lang w:val="en-US" w:eastAsia="zh-CN"/>
        </w:rPr>
        <w:t>（二）全面推进新型自助发放机（壁挂式）激活并网工作。为进一步推进免费避孕药具自助发放机项目工作，我市迅速落实自助发放机布点工作(48台)，积极配合厂家完成机器的安装、调试，及时完成本辖区内的自助发放机的激活并网工作，引导群众注册使用。目前，我市共有232台自助发放机投入使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积极推进药具综合管理平台建设。为加快构建“互联网+药具管理与发放服务”，我站积极推进“四川免费避孕药具系统综合管理平台”的建设，以基层行政区域整合（撤乡并镇）为契机，药具发放网点为主线，加强对各县区药具工作人员的系统培训指导，完成各级药具管理员的账号注册，人工网点和自助发放机网点激活，药具出入库等重点工作，建立人工网点注册数2254人，群众注册人数达到39365人，逐步融入“互联网+医疗健康”基本体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断提升发放机管理能力。加强发放机使用管理，落实属地责任，坚持“谁使用谁负责，谁管理谁负责”原则，通过后台管理系统对发放机的运行、使用、发放等状态进行日常监控，针对发放机在线工作率低下，长期离线，安装位置不合理等重点问题进行通报，以整改问题为导向，督促部分县区进整改落行实，确保整改工作取得实效。</w:t>
      </w:r>
    </w:p>
    <w:p>
      <w:pPr>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olor w:val="auto"/>
          <w:kern w:val="0"/>
          <w:sz w:val="32"/>
          <w:szCs w:val="32"/>
          <w:highlight w:val="none"/>
        </w:rPr>
      </w:pPr>
      <w:r>
        <w:rPr>
          <w:rFonts w:hint="eastAsia" w:ascii="仿宋_GB2312" w:hAnsi="仿宋_GB2312" w:eastAsia="仿宋_GB2312" w:cs="仿宋_GB2312"/>
          <w:sz w:val="32"/>
          <w:szCs w:val="32"/>
          <w:lang w:val="en-US" w:eastAsia="zh-CN"/>
        </w:rPr>
        <w:t>（五）打造多元化药具发放渠道，提升优质服务。以市县区-乡镇-村为一体的药具发放主线，利用上门发放、定点发放、网络发放、集中发放等多元化方式，宣传药具，普及避孕知识，有效指导，预防多种传染性疾病，提高广大育龄群众生活质量。考虑新冠肺炎疫情的持续性影响，我站进一步扩大自助发放网点范围，对社区卫生服务中心、疾控中心、高校、酒店等人口流动量大区域配置新型自助发放机，结合微信小程序、网络等方式加大自助发放宣传力度，实现了群众在家门口便可领取免费避孕药具，全市发放机领取共计13012人，人工网点领取共计25682人。</w:t>
      </w:r>
      <w:r>
        <w:rPr>
          <w:rFonts w:hint="eastAsia" w:ascii="仿宋_GB2312" w:hAnsi="仿宋_GB2312" w:eastAsia="仿宋_GB2312" w:cs="仿宋_GB2312"/>
          <w:b w:val="0"/>
          <w:bCs w:val="0"/>
          <w:sz w:val="32"/>
          <w:szCs w:val="32"/>
          <w:lang w:val="en-US" w:eastAsia="zh-CN"/>
        </w:rPr>
        <w:t xml:space="preserve"> </w:t>
      </w:r>
      <w:r>
        <w:rPr>
          <w:rFonts w:ascii="仿宋" w:hAnsi="仿宋" w:eastAsia="仿宋"/>
          <w:color w:val="auto"/>
          <w:sz w:val="32"/>
          <w:szCs w:val="32"/>
          <w:highlight w:val="none"/>
        </w:rPr>
        <w:br w:type="page"/>
      </w:r>
    </w:p>
    <w:p>
      <w:pPr>
        <w:pStyle w:val="3"/>
        <w:bidi w:val="0"/>
      </w:pPr>
      <w:bookmarkStart w:id="23" w:name="_Toc15377204"/>
      <w:bookmarkStart w:id="24" w:name="_Toc15396602"/>
      <w:r>
        <w:rPr>
          <w:rFonts w:hint="eastAsia"/>
          <w:lang w:val="en-US" w:eastAsia="zh-CN"/>
        </w:rPr>
        <w:t xml:space="preserve">  </w:t>
      </w:r>
      <w:bookmarkStart w:id="25" w:name="_Toc14628"/>
      <w:r>
        <w:rPr>
          <w:rFonts w:hint="eastAsia"/>
        </w:rPr>
        <w:t xml:space="preserve">第二部分 </w:t>
      </w:r>
      <w:r>
        <w:rPr>
          <w:rFonts w:hint="eastAsia"/>
          <w:lang w:val="en-US" w:eastAsia="zh-CN"/>
        </w:rPr>
        <w:t>2021年度</w:t>
      </w:r>
      <w:r>
        <w:rPr>
          <w:rFonts w:hint="eastAsia"/>
          <w:lang w:eastAsia="zh-CN"/>
        </w:rPr>
        <w:t>单位</w:t>
      </w:r>
      <w:r>
        <w:rPr>
          <w:rFonts w:hint="eastAsia"/>
        </w:rPr>
        <w:t>决算情况说明</w:t>
      </w:r>
      <w:bookmarkEnd w:id="23"/>
      <w:bookmarkEnd w:id="24"/>
      <w:bookmarkEnd w:id="25"/>
    </w:p>
    <w:p>
      <w:pPr>
        <w:pStyle w:val="24"/>
        <w:pageBreakBefore w:val="0"/>
        <w:numPr>
          <w:ilvl w:val="0"/>
          <w:numId w:val="1"/>
        </w:numPr>
        <w:kinsoku/>
        <w:wordWrap/>
        <w:overflowPunct/>
        <w:topLinePunct w:val="0"/>
        <w:autoSpaceDE/>
        <w:autoSpaceDN/>
        <w:bidi w:val="0"/>
        <w:adjustRightInd/>
        <w:snapToGrid/>
        <w:spacing w:line="576" w:lineRule="exact"/>
        <w:ind w:firstLineChars="0"/>
        <w:textAlignment w:val="auto"/>
        <w:outlineLvl w:val="1"/>
        <w:rPr>
          <w:rStyle w:val="26"/>
          <w:rFonts w:ascii="黑体" w:hAnsi="黑体" w:eastAsia="黑体"/>
          <w:b w:val="0"/>
          <w:color w:val="auto"/>
          <w:highlight w:val="none"/>
        </w:rPr>
      </w:pPr>
      <w:bookmarkStart w:id="26" w:name="_Toc15396603"/>
      <w:bookmarkStart w:id="27" w:name="_Toc13061"/>
      <w:bookmarkStart w:id="28"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6"/>
      <w:bookmarkEnd w:id="27"/>
      <w:bookmarkEnd w:id="28"/>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101.47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12.92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14.59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val="en-US" w:eastAsia="zh-CN"/>
        </w:rPr>
        <w:t>2021</w:t>
      </w:r>
      <w:r>
        <w:rPr>
          <w:rFonts w:hint="eastAsia" w:ascii="仿宋" w:hAnsi="仿宋" w:eastAsia="仿宋"/>
          <w:color w:val="000000"/>
          <w:sz w:val="32"/>
          <w:szCs w:val="32"/>
        </w:rPr>
        <w:t>年</w:t>
      </w:r>
      <w:r>
        <w:rPr>
          <w:rFonts w:hint="eastAsia" w:ascii="仿宋" w:hAnsi="仿宋" w:eastAsia="仿宋"/>
          <w:color w:val="000000"/>
          <w:sz w:val="32"/>
          <w:szCs w:val="32"/>
          <w:lang w:eastAsia="zh-CN"/>
        </w:rPr>
        <w:t>全年在职职工比</w:t>
      </w:r>
      <w:r>
        <w:rPr>
          <w:rFonts w:hint="eastAsia" w:ascii="仿宋" w:hAnsi="仿宋" w:eastAsia="仿宋"/>
          <w:color w:val="000000"/>
          <w:sz w:val="32"/>
          <w:szCs w:val="32"/>
        </w:rPr>
        <w:t>2020</w:t>
      </w:r>
      <w:r>
        <w:rPr>
          <w:rFonts w:hint="eastAsia" w:ascii="仿宋" w:hAnsi="仿宋" w:eastAsia="仿宋"/>
          <w:color w:val="000000"/>
          <w:sz w:val="32"/>
          <w:szCs w:val="32"/>
          <w:lang w:eastAsia="zh-CN"/>
        </w:rPr>
        <w:t>年多</w:t>
      </w:r>
      <w:r>
        <w:rPr>
          <w:rFonts w:hint="eastAsia" w:ascii="仿宋" w:hAnsi="仿宋" w:eastAsia="仿宋"/>
          <w:color w:val="000000"/>
          <w:sz w:val="32"/>
          <w:szCs w:val="32"/>
        </w:rPr>
        <w:t>。</w:t>
      </w:r>
    </w:p>
    <w:p>
      <w:pPr>
        <w:pStyle w:val="11"/>
        <w:jc w:val="center"/>
      </w:pPr>
      <w:r>
        <w:rPr>
          <w:rFonts w:hint="eastAsia" w:ascii="仿宋" w:hAnsi="仿宋" w:eastAsia="仿宋"/>
          <w:color w:val="auto"/>
          <w:sz w:val="32"/>
          <w:szCs w:val="32"/>
          <w:highlight w:val="none"/>
          <w:lang w:eastAsia="zh-CN"/>
        </w:rPr>
        <w:drawing>
          <wp:inline distT="0" distB="0" distL="114300" distR="114300">
            <wp:extent cx="4660265" cy="4835525"/>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1600" w:firstLineChars="500"/>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29" w:name="_Toc5479"/>
      <w:bookmarkStart w:id="30" w:name="_Toc15377206"/>
      <w:bookmarkStart w:id="31"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9"/>
      <w:bookmarkEnd w:id="30"/>
      <w:bookmarkEnd w:id="31"/>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97.19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97.19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w:t>
      </w:r>
    </w:p>
    <w:p>
      <w:pPr>
        <w:spacing w:line="600" w:lineRule="exact"/>
        <w:ind w:firstLine="640"/>
        <w:jc w:val="center"/>
        <w:rPr>
          <w:rFonts w:hint="eastAsia" w:ascii="仿宋" w:hAnsi="仿宋" w:eastAsia="仿宋" w:cs="仿宋"/>
          <w:sz w:val="32"/>
          <w:szCs w:val="32"/>
          <w:lang w:val="en-US" w:eastAsia="zh-CN"/>
        </w:rPr>
      </w:pPr>
      <w:bookmarkStart w:id="32" w:name="_Toc5939"/>
      <w:r>
        <w:rPr>
          <w:rFonts w:hint="eastAsia" w:ascii="仿宋" w:hAnsi="仿宋" w:eastAsia="仿宋" w:cs="仿宋"/>
          <w:sz w:val="32"/>
          <w:szCs w:val="32"/>
          <w:lang w:val="en-US" w:eastAsia="zh-CN"/>
        </w:rPr>
        <w:drawing>
          <wp:anchor distT="0" distB="0" distL="0" distR="0" simplePos="0" relativeHeight="251659264" behindDoc="0" locked="0" layoutInCell="1" allowOverlap="1">
            <wp:simplePos x="0" y="0"/>
            <wp:positionH relativeFrom="column">
              <wp:posOffset>71755</wp:posOffset>
            </wp:positionH>
            <wp:positionV relativeFrom="page">
              <wp:posOffset>1099820</wp:posOffset>
            </wp:positionV>
            <wp:extent cx="5149850" cy="3169285"/>
            <wp:effectExtent l="0" t="0" r="0" b="0"/>
            <wp:wrapTopAndBottom/>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s="仿宋"/>
          <w:sz w:val="32"/>
          <w:szCs w:val="32"/>
          <w:lang w:val="en-US" w:eastAsia="zh-CN"/>
        </w:rPr>
        <w:t>(图2：收入决算结构图）</w:t>
      </w:r>
      <w:bookmarkEnd w:id="32"/>
    </w:p>
    <w:p>
      <w:pPr>
        <w:pStyle w:val="24"/>
        <w:numPr>
          <w:ilvl w:val="0"/>
          <w:numId w:val="1"/>
        </w:numPr>
        <w:spacing w:line="600" w:lineRule="exact"/>
        <w:ind w:firstLineChars="0"/>
        <w:outlineLvl w:val="1"/>
        <w:rPr>
          <w:rStyle w:val="26"/>
          <w:rFonts w:ascii="黑体" w:hAnsi="黑体" w:eastAsia="黑体"/>
          <w:b w:val="0"/>
          <w:color w:val="auto"/>
          <w:highlight w:val="none"/>
        </w:rPr>
      </w:pPr>
      <w:bookmarkStart w:id="33" w:name="_Toc15377207"/>
      <w:bookmarkStart w:id="34" w:name="_Toc15711"/>
      <w:bookmarkStart w:id="35" w:name="_Toc15396605"/>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3"/>
      <w:bookmarkEnd w:id="34"/>
      <w:bookmarkEnd w:id="35"/>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bookmarkStart w:id="36" w:name="_Toc8580"/>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93.47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89.73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3.74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w:t>
      </w:r>
      <w:bookmarkEnd w:id="36"/>
    </w:p>
    <w:p>
      <w:pPr>
        <w:spacing w:line="600" w:lineRule="exact"/>
        <w:ind w:firstLine="640"/>
        <w:rPr>
          <w:rFonts w:ascii="仿宋_GB2312" w:eastAsia="仿宋_GB2312"/>
          <w:color w:val="auto"/>
          <w:sz w:val="32"/>
          <w:szCs w:val="32"/>
          <w:highlight w:val="none"/>
        </w:rPr>
      </w:pPr>
      <w:r>
        <w:rPr>
          <w:rFonts w:hint="eastAsia"/>
        </w:rPr>
        <w:drawing>
          <wp:anchor distT="0" distB="0" distL="0" distR="0" simplePos="0" relativeHeight="251659264" behindDoc="0" locked="0" layoutInCell="1" allowOverlap="1">
            <wp:simplePos x="0" y="0"/>
            <wp:positionH relativeFrom="column">
              <wp:posOffset>344170</wp:posOffset>
            </wp:positionH>
            <wp:positionV relativeFrom="page">
              <wp:posOffset>5806440</wp:posOffset>
            </wp:positionV>
            <wp:extent cx="4873625" cy="3335020"/>
            <wp:effectExtent l="0" t="0" r="0" b="0"/>
            <wp:wrapTopAndBottom/>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lang w:val="en-US" w:eastAsia="zh-CN"/>
        </w:rPr>
        <w:t xml:space="preserve">                  </w:t>
      </w: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6"/>
          <w:rFonts w:ascii="黑体" w:hAnsi="黑体" w:eastAsia="黑体"/>
          <w:b w:val="0"/>
          <w:color w:val="auto"/>
          <w:highlight w:val="none"/>
        </w:rPr>
      </w:pPr>
      <w:bookmarkStart w:id="37" w:name="_Toc15396606"/>
      <w:bookmarkStart w:id="38" w:name="_Toc23182"/>
      <w:bookmarkStart w:id="39" w:name="_Toc15377208"/>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7"/>
      <w:bookmarkEnd w:id="38"/>
      <w:bookmarkEnd w:id="39"/>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101.47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14.92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17.24</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全年在职职工比</w:t>
      </w:r>
      <w:r>
        <w:rPr>
          <w:rFonts w:hint="eastAsia" w:ascii="仿宋" w:hAnsi="仿宋" w:eastAsia="仿宋"/>
          <w:color w:val="auto"/>
          <w:sz w:val="32"/>
          <w:szCs w:val="32"/>
          <w:highlight w:val="none"/>
        </w:rPr>
        <w:t>2020</w:t>
      </w:r>
      <w:r>
        <w:rPr>
          <w:rFonts w:hint="eastAsia" w:ascii="仿宋" w:hAnsi="仿宋" w:eastAsia="仿宋"/>
          <w:color w:val="auto"/>
          <w:sz w:val="32"/>
          <w:szCs w:val="32"/>
          <w:highlight w:val="none"/>
          <w:lang w:eastAsia="zh-CN"/>
        </w:rPr>
        <w:t>年多和</w:t>
      </w:r>
      <w:r>
        <w:rPr>
          <w:rFonts w:hint="eastAsia" w:ascii="仿宋" w:hAnsi="仿宋" w:eastAsia="仿宋"/>
          <w:color w:val="auto"/>
          <w:sz w:val="32"/>
          <w:szCs w:val="32"/>
          <w:highlight w:val="none"/>
          <w:lang w:val="en-US" w:eastAsia="zh-CN"/>
        </w:rPr>
        <w:t>2021年</w:t>
      </w:r>
      <w:r>
        <w:rPr>
          <w:rFonts w:hint="eastAsia" w:ascii="仿宋" w:hAnsi="仿宋" w:eastAsia="仿宋"/>
          <w:color w:val="auto"/>
          <w:sz w:val="32"/>
          <w:szCs w:val="32"/>
          <w:highlight w:val="none"/>
          <w:lang w:eastAsia="zh-CN"/>
        </w:rPr>
        <w:t>增加了退休人员独子补贴。</w:t>
      </w:r>
    </w:p>
    <w:p>
      <w:pPr>
        <w:pStyle w:val="11"/>
        <w:rPr>
          <w:rFonts w:hint="eastAsia" w:ascii="仿宋" w:hAnsi="仿宋" w:eastAsia="仿宋"/>
          <w:color w:val="000000"/>
          <w:sz w:val="32"/>
          <w:szCs w:val="32"/>
          <w:lang w:eastAsia="zh-CN"/>
        </w:rPr>
      </w:pPr>
      <w:r>
        <w:rPr>
          <w:rFonts w:hint="eastAsia"/>
        </w:rPr>
        <w:drawing>
          <wp:inline distT="0" distB="0" distL="114300" distR="114300">
            <wp:extent cx="5133975" cy="4794885"/>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rPr>
        <w:t>）</w:t>
      </w:r>
    </w:p>
    <w:p>
      <w:pPr>
        <w:spacing w:line="600" w:lineRule="exact"/>
        <w:ind w:firstLine="640" w:firstLineChars="200"/>
        <w:outlineLvl w:val="1"/>
        <w:rPr>
          <w:rStyle w:val="26"/>
          <w:rFonts w:ascii="黑体" w:hAnsi="黑体" w:eastAsia="黑体"/>
          <w:b w:val="0"/>
          <w:color w:val="auto"/>
          <w:highlight w:val="none"/>
        </w:rPr>
      </w:pPr>
      <w:bookmarkStart w:id="40" w:name="_Toc31852"/>
      <w:bookmarkStart w:id="41" w:name="_Toc15396607"/>
      <w:bookmarkStart w:id="42"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40"/>
      <w:bookmarkEnd w:id="41"/>
      <w:bookmarkEnd w:id="42"/>
    </w:p>
    <w:p>
      <w:pPr>
        <w:spacing w:line="600" w:lineRule="exact"/>
        <w:ind w:firstLine="643" w:firstLineChars="200"/>
        <w:outlineLvl w:val="2"/>
        <w:rPr>
          <w:rFonts w:ascii="仿宋" w:hAnsi="仿宋" w:eastAsia="仿宋"/>
          <w:b/>
          <w:color w:val="auto"/>
          <w:sz w:val="32"/>
          <w:szCs w:val="32"/>
          <w:highlight w:val="none"/>
        </w:rPr>
      </w:pPr>
      <w:bookmarkStart w:id="43" w:name="_Toc15377210"/>
      <w:r>
        <w:rPr>
          <w:rFonts w:hint="eastAsia" w:ascii="仿宋" w:hAnsi="仿宋" w:eastAsia="仿宋"/>
          <w:b/>
          <w:color w:val="auto"/>
          <w:sz w:val="32"/>
          <w:szCs w:val="32"/>
          <w:highlight w:val="none"/>
        </w:rPr>
        <w:t>（一）一般公共预算财政拨款支出决算总体情况</w:t>
      </w:r>
      <w:bookmarkEnd w:id="43"/>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93.47</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13.91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17.48</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全年在职职工比</w:t>
      </w:r>
      <w:r>
        <w:rPr>
          <w:rFonts w:hint="eastAsia" w:ascii="仿宋" w:hAnsi="仿宋" w:eastAsia="仿宋"/>
          <w:color w:val="auto"/>
          <w:sz w:val="32"/>
          <w:szCs w:val="32"/>
          <w:highlight w:val="none"/>
        </w:rPr>
        <w:t>2020</w:t>
      </w:r>
      <w:r>
        <w:rPr>
          <w:rFonts w:hint="eastAsia" w:ascii="仿宋" w:hAnsi="仿宋" w:eastAsia="仿宋"/>
          <w:color w:val="auto"/>
          <w:sz w:val="32"/>
          <w:szCs w:val="32"/>
          <w:highlight w:val="none"/>
          <w:lang w:eastAsia="zh-CN"/>
        </w:rPr>
        <w:t>年多和</w:t>
      </w:r>
      <w:r>
        <w:rPr>
          <w:rFonts w:hint="eastAsia" w:ascii="仿宋" w:hAnsi="仿宋" w:eastAsia="仿宋"/>
          <w:color w:val="auto"/>
          <w:sz w:val="32"/>
          <w:szCs w:val="32"/>
          <w:highlight w:val="none"/>
          <w:lang w:val="en-US" w:eastAsia="zh-CN"/>
        </w:rPr>
        <w:t>2021年</w:t>
      </w:r>
      <w:r>
        <w:rPr>
          <w:rFonts w:hint="eastAsia" w:ascii="仿宋" w:hAnsi="仿宋" w:eastAsia="仿宋"/>
          <w:color w:val="auto"/>
          <w:sz w:val="32"/>
          <w:szCs w:val="32"/>
          <w:highlight w:val="none"/>
          <w:lang w:eastAsia="zh-CN"/>
        </w:rPr>
        <w:t>增加了退休人员独子补贴。</w:t>
      </w:r>
    </w:p>
    <w:p>
      <w:pPr>
        <w:pStyle w:val="11"/>
        <w:jc w:val="left"/>
        <w:rPr>
          <w:rFonts w:hint="eastAsia"/>
          <w:lang w:eastAsia="zh-CN"/>
        </w:rPr>
      </w:pPr>
      <w:r>
        <w:rPr>
          <w:rFonts w:hint="eastAsia"/>
        </w:rPr>
        <w:drawing>
          <wp:inline distT="0" distB="0" distL="114300" distR="114300">
            <wp:extent cx="5349875" cy="4875530"/>
            <wp:effectExtent l="0" t="0" r="0" b="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r>
        <w:rPr>
          <w:rFonts w:hint="eastAsia" w:ascii="仿宋" w:hAnsi="仿宋" w:eastAsia="仿宋"/>
          <w:color w:val="auto"/>
          <w:sz w:val="32"/>
          <w:szCs w:val="32"/>
          <w:highlight w:val="none"/>
          <w:lang w:eastAsia="zh-CN"/>
        </w:rPr>
        <w:t>图</w:t>
      </w:r>
      <w:r>
        <w:rPr>
          <w:rFonts w:hint="eastAsia" w:ascii="仿宋" w:hAnsi="仿宋" w:eastAsia="仿宋"/>
          <w:color w:val="auto"/>
          <w:sz w:val="32"/>
          <w:szCs w:val="32"/>
          <w:highlight w:val="none"/>
        </w:rPr>
        <w:t>）</w:t>
      </w:r>
    </w:p>
    <w:p>
      <w:pPr>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b/>
          <w:bCs/>
          <w:color w:val="auto"/>
          <w:sz w:val="32"/>
          <w:szCs w:val="32"/>
          <w:highlight w:val="none"/>
        </w:rPr>
      </w:pPr>
      <w:bookmarkStart w:id="44" w:name="_Toc15377211"/>
      <w:r>
        <w:rPr>
          <w:rFonts w:hint="eastAsia" w:ascii="仿宋" w:hAnsi="仿宋" w:eastAsia="仿宋"/>
          <w:b/>
          <w:bCs/>
          <w:color w:val="auto"/>
          <w:sz w:val="32"/>
          <w:szCs w:val="32"/>
          <w:highlight w:val="none"/>
        </w:rPr>
        <w:t>（二）一般公共预算财政拨款支出决算结构情况</w:t>
      </w:r>
      <w:bookmarkEnd w:id="44"/>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2021年一般公共预算财政拨款支出93.47万元，主要用于以下方面:社会保障和就业（类）支出5.52万元，占5.91%；卫生健康支出79.32万元，占84.86%；住房保障支出8.63万元，占9.23%。</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p>
    <w:p>
      <w:pPr>
        <w:rPr>
          <w:rFonts w:hint="eastAsia"/>
          <w:highlight w:val="yellow"/>
        </w:rPr>
      </w:pPr>
      <w:r>
        <w:rPr>
          <w:rFonts w:hint="eastAsia"/>
          <w:color w:val="000000"/>
          <w:sz w:val="32"/>
          <w:szCs w:val="32"/>
          <w:highlight w:val="yellow"/>
        </w:rPr>
        <w:drawing>
          <wp:anchor distT="0" distB="0" distL="0" distR="0" simplePos="0" relativeHeight="251659264" behindDoc="0" locked="0" layoutInCell="1" allowOverlap="1">
            <wp:simplePos x="0" y="0"/>
            <wp:positionH relativeFrom="page">
              <wp:posOffset>1072515</wp:posOffset>
            </wp:positionH>
            <wp:positionV relativeFrom="page">
              <wp:posOffset>908050</wp:posOffset>
            </wp:positionV>
            <wp:extent cx="5179060" cy="3505200"/>
            <wp:effectExtent l="0" t="0" r="0" b="0"/>
            <wp:wrapTopAndBottom/>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（图6：一般公共预算财政拨款支出决算结构图）</w:t>
      </w:r>
    </w:p>
    <w:p>
      <w:pPr>
        <w:spacing w:line="600" w:lineRule="exact"/>
        <w:ind w:firstLine="643" w:firstLineChars="200"/>
        <w:outlineLvl w:val="2"/>
        <w:rPr>
          <w:rFonts w:ascii="仿宋" w:hAnsi="仿宋" w:eastAsia="仿宋"/>
          <w:b/>
          <w:color w:val="auto"/>
          <w:sz w:val="32"/>
          <w:szCs w:val="32"/>
          <w:highlight w:val="none"/>
        </w:rPr>
      </w:pPr>
      <w:bookmarkStart w:id="45" w:name="_Toc15377212"/>
      <w:r>
        <w:rPr>
          <w:rFonts w:hint="eastAsia" w:ascii="仿宋" w:hAnsi="仿宋" w:eastAsia="仿宋"/>
          <w:b/>
          <w:color w:val="auto"/>
          <w:sz w:val="32"/>
          <w:szCs w:val="32"/>
          <w:highlight w:val="none"/>
        </w:rPr>
        <w:t>（三）一般公共预算财政拨款支出决算具体情况</w:t>
      </w:r>
      <w:bookmarkEnd w:id="45"/>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bookmarkStart w:id="46" w:name="_Toc15377213"/>
      <w:bookmarkStart w:id="47" w:name="_Toc15378460"/>
      <w:bookmarkStart w:id="48" w:name="_Toc15377444"/>
      <w:r>
        <w:rPr>
          <w:rFonts w:hint="eastAsia" w:ascii="仿宋" w:hAnsi="仿宋" w:eastAsia="仿宋"/>
          <w:color w:val="auto"/>
          <w:sz w:val="32"/>
          <w:szCs w:val="32"/>
          <w:highlight w:val="none"/>
          <w:lang w:val="en-US" w:eastAsia="zh-CN"/>
        </w:rPr>
        <w:t>2021年一般公共预算支出决算数为93.47，完成预算92.12%。其中</w:t>
      </w:r>
      <w:r>
        <w:rPr>
          <w:rFonts w:hint="eastAsia" w:ascii="仿宋" w:hAnsi="仿宋" w:eastAsia="仿宋"/>
          <w:color w:val="auto"/>
          <w:sz w:val="32"/>
          <w:szCs w:val="32"/>
          <w:highlight w:val="none"/>
        </w:rPr>
        <w:t>：</w:t>
      </w:r>
      <w:bookmarkEnd w:id="46"/>
      <w:bookmarkEnd w:id="47"/>
      <w:bookmarkEnd w:id="48"/>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1.卫生健康支出决算数为</w:t>
      </w:r>
      <w:r>
        <w:rPr>
          <w:rFonts w:hint="eastAsia" w:ascii="仿宋" w:hAnsi="仿宋" w:eastAsia="仿宋"/>
          <w:color w:val="auto"/>
          <w:sz w:val="32"/>
          <w:szCs w:val="32"/>
          <w:highlight w:val="none"/>
          <w:lang w:val="en-US" w:eastAsia="zh-CN"/>
        </w:rPr>
        <w:t>79.32</w:t>
      </w:r>
      <w:r>
        <w:rPr>
          <w:rFonts w:hint="eastAsia" w:ascii="仿宋" w:hAnsi="仿宋" w:eastAsia="仿宋"/>
          <w:color w:val="auto"/>
          <w:sz w:val="32"/>
          <w:szCs w:val="32"/>
          <w:highlight w:val="none"/>
        </w:rPr>
        <w:t>，完成预算90.</w:t>
      </w:r>
      <w:r>
        <w:rPr>
          <w:rFonts w:hint="eastAsia" w:ascii="仿宋" w:hAnsi="仿宋" w:eastAsia="仿宋"/>
          <w:color w:val="auto"/>
          <w:sz w:val="32"/>
          <w:szCs w:val="32"/>
          <w:highlight w:val="none"/>
          <w:lang w:val="en-US" w:eastAsia="zh-CN"/>
        </w:rPr>
        <w:t>84</w:t>
      </w:r>
      <w:r>
        <w:rPr>
          <w:rFonts w:hint="eastAsia" w:ascii="仿宋" w:hAnsi="仿宋" w:eastAsia="仿宋"/>
          <w:color w:val="auto"/>
          <w:sz w:val="32"/>
          <w:szCs w:val="32"/>
          <w:highlight w:val="none"/>
        </w:rPr>
        <w:t>%，其中：</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（1）卫生健康支出（类）计划生育事务（款）其他计划生育事务支出（项）：支出决算为：</w:t>
      </w:r>
      <w:r>
        <w:rPr>
          <w:rFonts w:hint="eastAsia" w:ascii="仿宋" w:hAnsi="仿宋" w:eastAsia="仿宋"/>
          <w:color w:val="auto"/>
          <w:sz w:val="32"/>
          <w:szCs w:val="32"/>
          <w:highlight w:val="none"/>
          <w:lang w:val="en-US" w:eastAsia="zh-CN"/>
        </w:rPr>
        <w:t>76.07</w:t>
      </w:r>
      <w:r>
        <w:rPr>
          <w:rFonts w:hint="eastAsia" w:ascii="仿宋" w:hAnsi="仿宋" w:eastAsia="仿宋"/>
          <w:color w:val="auto"/>
          <w:sz w:val="32"/>
          <w:szCs w:val="32"/>
          <w:highlight w:val="none"/>
        </w:rPr>
        <w:t>万元，完成预算90.</w:t>
      </w:r>
      <w:r>
        <w:rPr>
          <w:rFonts w:hint="eastAsia" w:ascii="仿宋" w:hAnsi="仿宋" w:eastAsia="仿宋"/>
          <w:color w:val="auto"/>
          <w:sz w:val="32"/>
          <w:szCs w:val="32"/>
          <w:highlight w:val="none"/>
          <w:lang w:val="en-US" w:eastAsia="zh-CN"/>
        </w:rPr>
        <w:t>48</w:t>
      </w:r>
      <w:r>
        <w:rPr>
          <w:rFonts w:hint="eastAsia" w:ascii="仿宋" w:hAnsi="仿宋" w:eastAsia="仿宋"/>
          <w:color w:val="auto"/>
          <w:sz w:val="32"/>
          <w:szCs w:val="32"/>
          <w:highlight w:val="none"/>
        </w:rPr>
        <w:t>%，决算数小于预算数的主要原因是避孕药具项目资金因工作安排结转到下年支付。</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（2）卫生健康支出（类）行政事业单位医疗（款）事业单位医疗（项）:支出决算为</w:t>
      </w:r>
      <w:r>
        <w:rPr>
          <w:rFonts w:hint="eastAsia" w:ascii="仿宋" w:hAnsi="仿宋" w:eastAsia="仿宋"/>
          <w:color w:val="auto"/>
          <w:sz w:val="32"/>
          <w:szCs w:val="32"/>
          <w:highlight w:val="none"/>
          <w:lang w:val="en-US" w:eastAsia="zh-CN"/>
        </w:rPr>
        <w:t>3.25</w:t>
      </w:r>
      <w:r>
        <w:rPr>
          <w:rFonts w:hint="eastAsia" w:ascii="仿宋" w:hAnsi="仿宋" w:eastAsia="仿宋"/>
          <w:color w:val="auto"/>
          <w:sz w:val="32"/>
          <w:szCs w:val="32"/>
          <w:highlight w:val="none"/>
        </w:rPr>
        <w:t>万元，完成预算100%。</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2.社会保障和就业支出（类）行政事业单位养老支出（款）机关事业单位基本养老保险缴费支出（项）支出决算为</w:t>
      </w:r>
      <w:r>
        <w:rPr>
          <w:rFonts w:hint="eastAsia" w:ascii="仿宋" w:hAnsi="仿宋" w:eastAsia="仿宋"/>
          <w:color w:val="auto"/>
          <w:sz w:val="32"/>
          <w:szCs w:val="32"/>
          <w:highlight w:val="none"/>
          <w:lang w:val="en-US" w:eastAsia="zh-CN"/>
        </w:rPr>
        <w:t>5.52</w:t>
      </w:r>
      <w:r>
        <w:rPr>
          <w:rFonts w:hint="eastAsia" w:ascii="仿宋" w:hAnsi="仿宋" w:eastAsia="仿宋"/>
          <w:color w:val="auto"/>
          <w:sz w:val="32"/>
          <w:szCs w:val="32"/>
          <w:highlight w:val="none"/>
        </w:rPr>
        <w:t>万元，完成预算100%。</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3.住房保障支出（类）住房改革支出（款）住房公积金（项）支出决算为</w:t>
      </w:r>
      <w:r>
        <w:rPr>
          <w:rFonts w:hint="eastAsia" w:ascii="仿宋" w:hAnsi="仿宋" w:eastAsia="仿宋"/>
          <w:color w:val="auto"/>
          <w:sz w:val="32"/>
          <w:szCs w:val="32"/>
          <w:highlight w:val="none"/>
          <w:lang w:val="en-US" w:eastAsia="zh-CN"/>
        </w:rPr>
        <w:t>8.63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完成预算100%。</w:t>
      </w:r>
    </w:p>
    <w:p>
      <w:pPr>
        <w:tabs>
          <w:tab w:val="right" w:pos="8306"/>
        </w:tabs>
        <w:spacing w:line="600" w:lineRule="exact"/>
        <w:ind w:firstLine="640"/>
        <w:outlineLvl w:val="1"/>
        <w:rPr>
          <w:rStyle w:val="26"/>
          <w:color w:val="auto"/>
          <w:highlight w:val="none"/>
        </w:rPr>
      </w:pPr>
      <w:bookmarkStart w:id="49" w:name="_Toc15396608"/>
      <w:bookmarkStart w:id="50" w:name="_Toc15377214"/>
      <w:bookmarkStart w:id="51" w:name="_Toc165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49"/>
      <w:bookmarkEnd w:id="50"/>
      <w:bookmarkEnd w:id="51"/>
      <w:r>
        <w:rPr>
          <w:rStyle w:val="26"/>
          <w:rFonts w:ascii="黑体" w:hAnsi="黑体" w:eastAsia="黑体"/>
          <w:b w:val="0"/>
          <w:color w:val="auto"/>
          <w:highlight w:val="none"/>
        </w:rPr>
        <w:tab/>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89.73</w:t>
      </w:r>
      <w:r>
        <w:rPr>
          <w:rFonts w:hint="eastAsia" w:ascii="仿宋" w:hAnsi="仿宋" w:eastAsia="仿宋"/>
          <w:color w:val="auto"/>
          <w:sz w:val="32"/>
          <w:szCs w:val="32"/>
          <w:highlight w:val="none"/>
        </w:rPr>
        <w:t>万元，其中：</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80.08</w:t>
      </w:r>
      <w:r>
        <w:rPr>
          <w:rFonts w:hint="eastAsia" w:ascii="仿宋" w:hAnsi="仿宋" w:eastAsia="仿宋"/>
          <w:color w:val="auto"/>
          <w:sz w:val="32"/>
          <w:szCs w:val="32"/>
          <w:highlight w:val="none"/>
        </w:rPr>
        <w:t>万元，主要包括：基本工资、津贴补贴、绩效工资、机关事业单位基本养老保险缴费、职工基本医疗保险缴费、其他社会保障缴费、住房公积金、其他工资福利支出、生活补助、和其他对个人和家庭保障的补助等。</w:t>
      </w:r>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9.65</w:t>
      </w:r>
      <w:r>
        <w:rPr>
          <w:rFonts w:hint="eastAsia" w:ascii="仿宋" w:hAnsi="仿宋" w:eastAsia="仿宋"/>
          <w:color w:val="auto"/>
          <w:sz w:val="32"/>
          <w:szCs w:val="32"/>
          <w:highlight w:val="none"/>
        </w:rPr>
        <w:t>万元，主要包括：办公费、水费、邮电费、物业管理费、差旅费、维修（护）费、公务接待费、劳务费、工会经费、福利费、公务用车运行维护费、其他商品和服务支出等。</w:t>
      </w:r>
    </w:p>
    <w:p>
      <w:pPr>
        <w:spacing w:line="600" w:lineRule="exact"/>
        <w:ind w:firstLine="640"/>
        <w:outlineLvl w:val="1"/>
        <w:rPr>
          <w:rStyle w:val="26"/>
          <w:rFonts w:ascii="黑体" w:hAnsi="黑体" w:eastAsia="黑体"/>
          <w:b w:val="0"/>
          <w:color w:val="auto"/>
          <w:highlight w:val="none"/>
        </w:rPr>
      </w:pPr>
      <w:bookmarkStart w:id="52" w:name="_Toc15396609"/>
      <w:bookmarkStart w:id="53" w:name="_Toc15377215"/>
      <w:bookmarkStart w:id="54" w:name="_Toc30079"/>
      <w:r>
        <w:rPr>
          <w:rFonts w:hint="eastAsia" w:ascii="黑体" w:eastAsia="黑体"/>
          <w:color w:val="auto"/>
          <w:sz w:val="32"/>
          <w:szCs w:val="32"/>
          <w:highlight w:val="none"/>
        </w:rPr>
        <w:t>七、</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15377216"/>
      <w:r>
        <w:rPr>
          <w:rFonts w:hint="eastAsia" w:ascii="仿宋" w:hAnsi="仿宋" w:eastAsia="仿宋"/>
          <w:b/>
          <w:color w:val="auto"/>
          <w:sz w:val="32"/>
          <w:szCs w:val="32"/>
          <w:highlight w:val="none"/>
        </w:rPr>
        <w:t>（一）“三公”经费财政拨款支出决算总体情况说明</w:t>
      </w:r>
      <w:bookmarkEnd w:id="55"/>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0.49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49</w:t>
      </w:r>
      <w:r>
        <w:rPr>
          <w:rFonts w:hint="eastAsia" w:ascii="仿宋" w:hAnsi="仿宋" w:eastAsia="仿宋"/>
          <w:color w:val="auto"/>
          <w:sz w:val="32"/>
          <w:szCs w:val="32"/>
          <w:highlight w:val="none"/>
        </w:rPr>
        <w:t>%，决算数小于预算数的主要原因是响应国家号召，压缩“三公”经费。</w:t>
      </w:r>
    </w:p>
    <w:p>
      <w:pPr>
        <w:spacing w:line="600" w:lineRule="exact"/>
        <w:ind w:firstLine="640"/>
        <w:outlineLvl w:val="2"/>
        <w:rPr>
          <w:rFonts w:hint="eastAsia" w:ascii="仿宋" w:hAnsi="仿宋" w:eastAsia="仿宋"/>
          <w:b/>
          <w:color w:val="auto"/>
          <w:sz w:val="32"/>
          <w:szCs w:val="32"/>
          <w:highlight w:val="none"/>
        </w:rPr>
      </w:pPr>
      <w:bookmarkStart w:id="56" w:name="_Toc15377217"/>
      <w:r>
        <w:rPr>
          <w:rFonts w:hint="eastAsia" w:ascii="仿宋" w:hAnsi="仿宋" w:eastAsia="仿宋"/>
          <w:b/>
          <w:color w:val="auto"/>
          <w:sz w:val="32"/>
          <w:szCs w:val="32"/>
          <w:highlight w:val="none"/>
        </w:rPr>
        <w:t>（二）“三公”经费财政拨款支出决算具体情况说明</w:t>
      </w:r>
      <w:bookmarkEnd w:id="56"/>
    </w:p>
    <w:p>
      <w:pPr>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yellow"/>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73.47</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26.53</w:t>
      </w:r>
      <w:r>
        <w:rPr>
          <w:rFonts w:hint="eastAsia" w:ascii="仿宋" w:hAnsi="仿宋" w:eastAsia="仿宋"/>
          <w:color w:val="auto"/>
          <w:sz w:val="32"/>
          <w:szCs w:val="32"/>
          <w:highlight w:val="none"/>
        </w:rPr>
        <w:t>%。具体情况如下：</w:t>
      </w:r>
    </w:p>
    <w:p>
      <w:pPr>
        <w:rPr>
          <w:highlight w:val="yellow"/>
        </w:rPr>
      </w:pPr>
      <w:r>
        <w:rPr>
          <w:rFonts w:hint="eastAsia"/>
          <w:highlight w:val="none"/>
        </w:rPr>
        <w:drawing>
          <wp:inline distT="0" distB="0" distL="114300" distR="114300">
            <wp:extent cx="5274310" cy="3876675"/>
            <wp:effectExtent l="0" t="0" r="0" b="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1609" w:firstLineChars="503"/>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keepNext w:val="0"/>
        <w:keepLines w:val="0"/>
        <w:pageBreakBefore w:val="0"/>
        <w:widowControl w:val="0"/>
        <w:kinsoku/>
        <w:wordWrap/>
        <w:overflowPunct/>
        <w:topLinePunct w:val="0"/>
        <w:bidi w:val="0"/>
        <w:snapToGrid/>
        <w:spacing w:line="576" w:lineRule="atLeast"/>
        <w:ind w:firstLine="640"/>
        <w:textAlignment w:val="auto"/>
        <w:rPr>
          <w:rFonts w:hint="eastAsia" w:ascii="仿宋" w:hAnsi="仿宋" w:eastAsia="仿宋"/>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万元，年初未安排预算。因公出国（境）支出决算较2020年无变化。</w:t>
      </w:r>
    </w:p>
    <w:p>
      <w:pPr>
        <w:keepNext w:val="0"/>
        <w:keepLines w:val="0"/>
        <w:pageBreakBefore w:val="0"/>
        <w:kinsoku/>
        <w:wordWrap/>
        <w:overflowPunct/>
        <w:topLinePunct w:val="0"/>
        <w:autoSpaceDE/>
        <w:autoSpaceDN/>
        <w:bidi w:val="0"/>
        <w:adjustRightInd/>
        <w:snapToGrid/>
        <w:spacing w:line="576" w:lineRule="atLeast"/>
        <w:ind w:firstLine="643"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lang w:val="en-US" w:eastAsia="zh-CN"/>
        </w:rPr>
        <w:t>0.36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完成预算</w:t>
      </w:r>
      <w:r>
        <w:rPr>
          <w:rFonts w:hint="eastAsia" w:ascii="仿宋" w:hAnsi="仿宋" w:eastAsia="仿宋"/>
          <w:color w:val="auto"/>
          <w:sz w:val="32"/>
          <w:szCs w:val="32"/>
          <w:highlight w:val="none"/>
          <w:lang w:val="en-US" w:eastAsia="zh-CN"/>
        </w:rPr>
        <w:t>45</w:t>
      </w:r>
      <w:r>
        <w:rPr>
          <w:rFonts w:hint="eastAsia" w:ascii="仿宋" w:hAnsi="仿宋" w:eastAsia="仿宋"/>
          <w:color w:val="auto"/>
          <w:sz w:val="32"/>
          <w:szCs w:val="32"/>
          <w:highlight w:val="none"/>
        </w:rPr>
        <w:t>%。公务用车购置及运行维护费支出决算比20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年减少</w:t>
      </w:r>
      <w:r>
        <w:rPr>
          <w:rFonts w:hint="eastAsia" w:ascii="仿宋" w:hAnsi="仿宋" w:eastAsia="仿宋"/>
          <w:color w:val="auto"/>
          <w:sz w:val="32"/>
          <w:szCs w:val="32"/>
          <w:highlight w:val="none"/>
          <w:lang w:val="en-US" w:eastAsia="zh-CN"/>
        </w:rPr>
        <w:t>0.69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65.71</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公务车辆出行减少</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keepNext w:val="0"/>
        <w:keepLines w:val="0"/>
        <w:pageBreakBefore w:val="0"/>
        <w:widowControl w:val="0"/>
        <w:kinsoku/>
        <w:wordWrap/>
        <w:overflowPunct/>
        <w:topLinePunct w:val="0"/>
        <w:bidi w:val="0"/>
        <w:snapToGrid/>
        <w:spacing w:line="576" w:lineRule="atLeast"/>
        <w:ind w:firstLine="640"/>
        <w:textAlignment w:val="auto"/>
        <w:rPr>
          <w:rFonts w:ascii="仿宋" w:hAnsi="仿宋" w:eastAsia="仿宋"/>
          <w:color w:val="000000"/>
          <w:sz w:val="32"/>
          <w:szCs w:val="32"/>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0.36</w:t>
      </w:r>
      <w:r>
        <w:rPr>
          <w:rFonts w:hint="eastAsia" w:ascii="仿宋_GB2312" w:eastAsia="仿宋_GB2312"/>
          <w:color w:val="auto"/>
          <w:sz w:val="32"/>
          <w:szCs w:val="32"/>
          <w:highlight w:val="none"/>
        </w:rPr>
        <w:t>万元。</w:t>
      </w:r>
      <w:r>
        <w:rPr>
          <w:rFonts w:hint="eastAsia" w:ascii="仿宋" w:hAnsi="仿宋" w:eastAsia="仿宋"/>
          <w:color w:val="000000"/>
          <w:sz w:val="32"/>
          <w:szCs w:val="32"/>
        </w:rPr>
        <w:t>主要用于免费避孕药具调拨、分发等所需的公务用车燃料费、维修费、保险费等支出。</w:t>
      </w:r>
    </w:p>
    <w:p>
      <w:pPr>
        <w:keepNext w:val="0"/>
        <w:keepLines w:val="0"/>
        <w:pageBreakBefore w:val="0"/>
        <w:widowControl w:val="0"/>
        <w:kinsoku/>
        <w:wordWrap/>
        <w:overflowPunct/>
        <w:topLinePunct w:val="0"/>
        <w:bidi w:val="0"/>
        <w:snapToGrid/>
        <w:spacing w:line="576" w:lineRule="atLeast"/>
        <w:ind w:firstLine="643" w:firstLineChars="20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0.13</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65</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w:t>
      </w:r>
      <w:bookmarkStart w:id="140" w:name="_GoBack"/>
      <w:bookmarkEnd w:id="140"/>
      <w:r>
        <w:rPr>
          <w:rFonts w:hint="eastAsia" w:ascii="仿宋_GB2312" w:eastAsia="仿宋_GB2312"/>
          <w:color w:val="auto"/>
          <w:sz w:val="32"/>
          <w:szCs w:val="32"/>
          <w:highlight w:val="none"/>
        </w:rPr>
        <w:t>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接待人次增加</w:t>
      </w: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bidi w:val="0"/>
        <w:snapToGrid/>
        <w:spacing w:line="576" w:lineRule="atLeast"/>
        <w:ind w:firstLine="640"/>
        <w:textAlignment w:val="auto"/>
        <w:rPr>
          <w:rFonts w:ascii="仿宋" w:hAnsi="仿宋" w:eastAsia="仿宋"/>
          <w:color w:val="000000"/>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0.13</w:t>
      </w:r>
      <w:r>
        <w:rPr>
          <w:rFonts w:hint="eastAsia" w:ascii="仿宋_GB2312" w:eastAsia="仿宋_GB2312"/>
          <w:color w:val="auto"/>
          <w:sz w:val="32"/>
          <w:szCs w:val="32"/>
          <w:highlight w:val="none"/>
        </w:rPr>
        <w:t>万元，</w:t>
      </w:r>
      <w:r>
        <w:rPr>
          <w:rFonts w:hint="eastAsia" w:ascii="仿宋" w:hAnsi="仿宋" w:eastAsia="仿宋"/>
          <w:color w:val="000000"/>
          <w:sz w:val="32"/>
          <w:szCs w:val="32"/>
          <w:highlight w:val="none"/>
        </w:rPr>
        <w:t>主要用于开展业务活动开支的用餐费。国内公务接待1批次，</w:t>
      </w:r>
      <w:r>
        <w:rPr>
          <w:rFonts w:hint="eastAsia" w:ascii="仿宋" w:hAnsi="仿宋" w:eastAsia="仿宋"/>
          <w:color w:val="000000"/>
          <w:sz w:val="32"/>
          <w:szCs w:val="32"/>
          <w:highlight w:val="none"/>
          <w:lang w:val="en-US" w:eastAsia="zh-CN"/>
        </w:rPr>
        <w:t>12</w:t>
      </w:r>
      <w:r>
        <w:rPr>
          <w:rFonts w:hint="eastAsia" w:ascii="仿宋" w:hAnsi="仿宋" w:eastAsia="仿宋"/>
          <w:color w:val="000000"/>
          <w:sz w:val="32"/>
          <w:szCs w:val="32"/>
          <w:highlight w:val="none"/>
        </w:rPr>
        <w:t>人次，共计支出</w:t>
      </w:r>
      <w:r>
        <w:rPr>
          <w:rFonts w:hint="eastAsia" w:ascii="仿宋" w:hAnsi="仿宋" w:eastAsia="仿宋"/>
          <w:color w:val="000000"/>
          <w:sz w:val="32"/>
          <w:szCs w:val="32"/>
          <w:highlight w:val="none"/>
          <w:lang w:val="en-US" w:eastAsia="zh-CN"/>
        </w:rPr>
        <w:t>0.13</w:t>
      </w:r>
      <w:r>
        <w:rPr>
          <w:rFonts w:hint="eastAsia" w:ascii="仿宋" w:hAnsi="仿宋" w:eastAsia="仿宋"/>
          <w:color w:val="000000"/>
          <w:sz w:val="32"/>
          <w:szCs w:val="32"/>
          <w:highlight w:val="none"/>
        </w:rPr>
        <w:t>万元，具体内容包括：接待省药具中心</w:t>
      </w:r>
      <w:r>
        <w:rPr>
          <w:rFonts w:hint="eastAsia" w:ascii="仿宋" w:hAnsi="仿宋" w:eastAsia="仿宋"/>
          <w:color w:val="000000"/>
          <w:sz w:val="32"/>
          <w:szCs w:val="32"/>
          <w:highlight w:val="none"/>
          <w:lang w:eastAsia="zh-CN"/>
        </w:rPr>
        <w:t>来广开展</w:t>
      </w:r>
      <w:r>
        <w:rPr>
          <w:rFonts w:hint="eastAsia" w:ascii="仿宋" w:hAnsi="仿宋" w:eastAsia="仿宋"/>
          <w:color w:val="000000"/>
          <w:sz w:val="32"/>
          <w:szCs w:val="32"/>
          <w:highlight w:val="none"/>
        </w:rPr>
        <w:t>免费</w:t>
      </w:r>
      <w:r>
        <w:rPr>
          <w:rFonts w:hint="eastAsia" w:ascii="仿宋" w:hAnsi="仿宋" w:eastAsia="仿宋"/>
          <w:color w:val="000000"/>
          <w:sz w:val="32"/>
          <w:szCs w:val="32"/>
          <w:highlight w:val="none"/>
          <w:lang w:eastAsia="zh-CN"/>
        </w:rPr>
        <w:t>提供基本</w:t>
      </w:r>
      <w:r>
        <w:rPr>
          <w:rFonts w:hint="eastAsia" w:ascii="仿宋" w:hAnsi="仿宋" w:eastAsia="仿宋"/>
          <w:color w:val="000000"/>
          <w:sz w:val="32"/>
          <w:szCs w:val="32"/>
          <w:highlight w:val="none"/>
        </w:rPr>
        <w:t>避孕药具</w:t>
      </w:r>
      <w:r>
        <w:rPr>
          <w:rFonts w:hint="eastAsia" w:ascii="仿宋" w:hAnsi="仿宋" w:eastAsia="仿宋"/>
          <w:color w:val="000000"/>
          <w:sz w:val="32"/>
          <w:szCs w:val="32"/>
          <w:highlight w:val="none"/>
          <w:lang w:eastAsia="zh-CN"/>
        </w:rPr>
        <w:t>政府采购项目履约验收</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所产生的用餐费</w:t>
      </w:r>
      <w:r>
        <w:rPr>
          <w:rFonts w:hint="eastAsia" w:ascii="仿宋" w:hAnsi="仿宋" w:eastAsia="仿宋"/>
          <w:color w:val="000000"/>
          <w:sz w:val="32"/>
          <w:szCs w:val="32"/>
          <w:lang w:val="en-US" w:eastAsia="zh-CN"/>
        </w:rPr>
        <w:t>0.13</w:t>
      </w:r>
      <w:r>
        <w:rPr>
          <w:rFonts w:hint="eastAsia" w:ascii="仿宋" w:hAnsi="仿宋" w:eastAsia="仿宋"/>
          <w:color w:val="000000"/>
          <w:sz w:val="32"/>
          <w:szCs w:val="32"/>
        </w:rPr>
        <w:t>万元。</w:t>
      </w:r>
    </w:p>
    <w:p>
      <w:pPr>
        <w:keepNext w:val="0"/>
        <w:keepLines w:val="0"/>
        <w:pageBreakBefore w:val="0"/>
        <w:widowControl w:val="0"/>
        <w:kinsoku/>
        <w:wordWrap/>
        <w:overflowPunct/>
        <w:topLinePunct w:val="0"/>
        <w:bidi w:val="0"/>
        <w:snapToGrid/>
        <w:spacing w:line="576" w:lineRule="atLeast"/>
        <w:ind w:firstLine="643" w:firstLineChars="200"/>
        <w:textAlignment w:val="auto"/>
        <w:rPr>
          <w:rFonts w:hint="eastAsia" w:ascii="黑体"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57" w:name="_Toc15396610"/>
      <w:bookmarkStart w:id="58" w:name="_Toc15377218"/>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bidi w:val="0"/>
        <w:snapToGrid/>
        <w:spacing w:line="576" w:lineRule="atLeast"/>
        <w:ind w:firstLine="640"/>
        <w:textAlignment w:val="auto"/>
        <w:outlineLvl w:val="1"/>
        <w:rPr>
          <w:rStyle w:val="26"/>
          <w:rFonts w:ascii="黑体" w:hAnsi="黑体" w:eastAsia="黑体"/>
          <w:color w:val="auto"/>
          <w:highlight w:val="none"/>
        </w:rPr>
      </w:pPr>
      <w:bookmarkStart w:id="59" w:name="_Toc6224"/>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rPr>
          <w:rFonts w:ascii="仿宋_GB2312" w:eastAsia="仿宋_GB2312"/>
          <w:color w:val="auto"/>
          <w:sz w:val="32"/>
          <w:szCs w:val="32"/>
          <w:highlight w:val="none"/>
        </w:rPr>
      </w:pPr>
      <w:r>
        <w:rPr>
          <w:rFonts w:hint="eastAsia" w:ascii="仿宋" w:hAnsi="Times New Roman" w:eastAsia="仿宋" w:cs="Times New Roman"/>
          <w:color w:val="000000"/>
          <w:sz w:val="32"/>
          <w:szCs w:val="32"/>
        </w:rPr>
        <w:t>202</w:t>
      </w:r>
      <w:r>
        <w:rPr>
          <w:rFonts w:hint="eastAsia" w:ascii="仿宋" w:hAnsi="Times New Roman" w:eastAsia="仿宋" w:cs="Times New Roman"/>
          <w:color w:val="000000"/>
          <w:sz w:val="32"/>
          <w:szCs w:val="32"/>
          <w:lang w:val="en-US" w:eastAsia="zh-CN"/>
        </w:rPr>
        <w:t>1</w:t>
      </w:r>
      <w:r>
        <w:rPr>
          <w:rFonts w:hint="eastAsia" w:ascii="仿宋" w:hAnsi="Times New Roman" w:eastAsia="仿宋" w:cs="Times New Roman"/>
          <w:color w:val="000000"/>
          <w:sz w:val="32"/>
          <w:szCs w:val="32"/>
        </w:rPr>
        <w:t>年</w:t>
      </w:r>
      <w:r>
        <w:rPr>
          <w:rFonts w:hint="eastAsia" w:ascii="仿宋" w:hAnsi="Times New Roman" w:eastAsia="仿宋" w:cs="Times New Roman"/>
          <w:color w:val="000000"/>
          <w:sz w:val="32"/>
          <w:szCs w:val="32"/>
          <w:lang w:eastAsia="zh-CN"/>
        </w:rPr>
        <w:t>本单位</w:t>
      </w:r>
      <w:r>
        <w:rPr>
          <w:rFonts w:hint="eastAsia" w:ascii="仿宋" w:hAnsi="Times New Roman" w:eastAsia="仿宋" w:cs="Times New Roman"/>
          <w:color w:val="000000"/>
          <w:sz w:val="32"/>
          <w:szCs w:val="32"/>
        </w:rPr>
        <w:t>未在政府性基金预算拨款安排“三公经</w:t>
      </w:r>
      <w:r>
        <w:rPr>
          <w:rFonts w:hint="eastAsia" w:ascii="仿宋" w:eastAsia="仿宋"/>
          <w:color w:val="000000"/>
          <w:sz w:val="32"/>
          <w:szCs w:val="32"/>
        </w:rPr>
        <w:t>费”支出。</w:t>
      </w:r>
    </w:p>
    <w:p>
      <w:pPr>
        <w:keepNext w:val="0"/>
        <w:keepLines w:val="0"/>
        <w:pageBreakBefore w:val="0"/>
        <w:widowControl w:val="0"/>
        <w:numPr>
          <w:ilvl w:val="0"/>
          <w:numId w:val="2"/>
        </w:numPr>
        <w:kinsoku/>
        <w:wordWrap/>
        <w:overflowPunct/>
        <w:topLinePunct w:val="0"/>
        <w:bidi w:val="0"/>
        <w:snapToGrid/>
        <w:spacing w:line="576" w:lineRule="atLeast"/>
        <w:ind w:firstLine="640"/>
        <w:textAlignment w:val="auto"/>
        <w:outlineLvl w:val="1"/>
        <w:rPr>
          <w:rStyle w:val="26"/>
          <w:rFonts w:ascii="黑体" w:hAnsi="黑体" w:eastAsia="黑体"/>
          <w:b w:val="0"/>
          <w:color w:val="auto"/>
          <w:highlight w:val="none"/>
        </w:rPr>
      </w:pPr>
      <w:bookmarkStart w:id="60" w:name="_Toc15377219"/>
      <w:bookmarkStart w:id="61" w:name="_Toc15396611"/>
      <w:bookmarkStart w:id="62" w:name="_Toc23044"/>
      <w:r>
        <w:rPr>
          <w:rStyle w:val="26"/>
          <w:rFonts w:hint="eastAsia" w:ascii="黑体" w:hAnsi="黑体" w:eastAsia="黑体"/>
          <w:b w:val="0"/>
          <w:color w:val="auto"/>
          <w:highlight w:val="none"/>
        </w:rPr>
        <w:t>国有资本经营预算支出决算情况说明</w:t>
      </w:r>
      <w:bookmarkEnd w:id="60"/>
      <w:bookmarkEnd w:id="61"/>
      <w:bookmarkEnd w:id="62"/>
    </w:p>
    <w:p>
      <w:pPr>
        <w:keepNext w:val="0"/>
        <w:keepLines w:val="0"/>
        <w:pageBreakBefore w:val="0"/>
        <w:widowControl w:val="0"/>
        <w:kinsoku/>
        <w:wordWrap/>
        <w:overflowPunct/>
        <w:topLinePunct w:val="0"/>
        <w:bidi w:val="0"/>
        <w:snapToGrid/>
        <w:spacing w:line="576" w:lineRule="atLeast"/>
        <w:ind w:firstLine="640"/>
        <w:textAlignment w:val="auto"/>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keepNext w:val="0"/>
        <w:keepLines w:val="0"/>
        <w:pageBreakBefore w:val="0"/>
        <w:widowControl w:val="0"/>
        <w:numPr>
          <w:ilvl w:val="0"/>
          <w:numId w:val="2"/>
        </w:numPr>
        <w:kinsoku/>
        <w:wordWrap/>
        <w:overflowPunct/>
        <w:topLinePunct w:val="0"/>
        <w:bidi w:val="0"/>
        <w:snapToGrid/>
        <w:spacing w:line="576" w:lineRule="atLeast"/>
        <w:ind w:firstLine="640"/>
        <w:textAlignment w:val="auto"/>
        <w:outlineLvl w:val="1"/>
        <w:rPr>
          <w:rStyle w:val="26"/>
          <w:rFonts w:hint="eastAsia" w:ascii="黑体" w:hAnsi="黑体" w:eastAsia="黑体"/>
          <w:b w:val="0"/>
          <w:color w:val="auto"/>
          <w:highlight w:val="none"/>
        </w:rPr>
      </w:pPr>
      <w:bookmarkStart w:id="63" w:name="_Toc1889"/>
      <w:bookmarkStart w:id="64" w:name="_Toc15377221"/>
      <w:bookmarkStart w:id="65" w:name="_Toc15396612"/>
      <w:r>
        <w:rPr>
          <w:rStyle w:val="26"/>
          <w:rFonts w:hint="eastAsia" w:ascii="黑体" w:hAnsi="黑体" w:eastAsia="黑体"/>
          <w:b w:val="0"/>
          <w:color w:val="auto"/>
          <w:highlight w:val="none"/>
          <w:lang w:val="en-US" w:eastAsia="zh-CN"/>
        </w:rPr>
        <w:t>预算绩效管理情况</w:t>
      </w:r>
      <w:bookmarkEnd w:id="63"/>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部门整体支出</w:t>
      </w:r>
      <w:r>
        <w:rPr>
          <w:rFonts w:hint="eastAsia" w:ascii="仿宋_GB2312" w:hAnsi="仿宋_GB2312" w:eastAsia="仿宋_GB2312" w:cs="仿宋_GB2312"/>
          <w:color w:val="auto"/>
          <w:sz w:val="32"/>
          <w:szCs w:val="32"/>
          <w:highlight w:val="none"/>
        </w:rPr>
        <w:t>开展了预算事前绩效评估，编制了绩效目标，预算执行过程中，</w:t>
      </w:r>
      <w:r>
        <w:rPr>
          <w:rFonts w:hint="eastAsia" w:ascii="仿宋_GB2312" w:hAnsi="仿宋_GB2312" w:eastAsia="仿宋_GB2312" w:cs="仿宋_GB2312"/>
          <w:color w:val="auto"/>
          <w:sz w:val="32"/>
          <w:szCs w:val="32"/>
          <w:highlight w:val="none"/>
          <w:lang w:eastAsia="zh-CN"/>
        </w:rPr>
        <w:t>对整体支出</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绩效监控，年终执行完毕后，</w:t>
      </w:r>
      <w:r>
        <w:rPr>
          <w:rFonts w:hint="eastAsia" w:ascii="仿宋_GB2312" w:hAnsi="仿宋_GB2312" w:eastAsia="仿宋_GB2312" w:cs="仿宋_GB2312"/>
          <w:color w:val="auto"/>
          <w:sz w:val="32"/>
          <w:szCs w:val="32"/>
          <w:highlight w:val="none"/>
          <w:lang w:eastAsia="zh-CN"/>
        </w:rPr>
        <w:t>对整体支出</w:t>
      </w:r>
      <w:r>
        <w:rPr>
          <w:rFonts w:hint="eastAsia" w:ascii="仿宋_GB2312" w:hAnsi="仿宋_GB2312" w:eastAsia="仿宋_GB2312" w:cs="仿宋_GB2312"/>
          <w:color w:val="auto"/>
          <w:sz w:val="32"/>
          <w:szCs w:val="32"/>
          <w:highlight w:val="none"/>
        </w:rPr>
        <w:t>展了绩效自评</w:t>
      </w:r>
      <w:r>
        <w:rPr>
          <w:rFonts w:hint="eastAsia" w:ascii="仿宋_GB2312" w:hAnsi="仿宋_GB2312" w:eastAsia="仿宋_GB2312" w:cs="仿宋_GB2312"/>
          <w:color w:val="auto"/>
          <w:sz w:val="32"/>
          <w:szCs w:val="32"/>
          <w:highlight w:val="none"/>
          <w:lang w:eastAsia="zh-CN"/>
        </w:rPr>
        <w:t>，2021年整体支出绩效目标自评表</w:t>
      </w:r>
      <w:r>
        <w:rPr>
          <w:rFonts w:hint="eastAsia" w:ascii="仿宋_GB2312" w:hAnsi="仿宋_GB2312" w:eastAsia="仿宋_GB2312" w:cs="仿宋_GB2312"/>
          <w:color w:val="auto"/>
          <w:sz w:val="32"/>
          <w:szCs w:val="32"/>
          <w:highlight w:val="none"/>
          <w:lang w:val="en-US" w:eastAsia="zh-CN"/>
        </w:rPr>
        <w:t>见附件（第四部分）</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2"/>
        </w:numPr>
        <w:kinsoku/>
        <w:wordWrap/>
        <w:overflowPunct/>
        <w:topLinePunct w:val="0"/>
        <w:bidi w:val="0"/>
        <w:snapToGrid/>
        <w:spacing w:line="576" w:lineRule="atLeast"/>
        <w:ind w:firstLine="640"/>
        <w:textAlignment w:val="auto"/>
        <w:outlineLvl w:val="1"/>
        <w:rPr>
          <w:rStyle w:val="26"/>
          <w:rFonts w:hint="eastAsia" w:ascii="黑体" w:hAnsi="黑体" w:eastAsia="黑体"/>
          <w:b w:val="0"/>
          <w:color w:val="auto"/>
          <w:highlight w:val="none"/>
        </w:rPr>
      </w:pPr>
      <w:bookmarkStart w:id="66" w:name="_Toc5390"/>
      <w:r>
        <w:rPr>
          <w:rStyle w:val="26"/>
          <w:rFonts w:hint="eastAsia" w:ascii="黑体" w:hAnsi="黑体" w:eastAsia="黑体"/>
          <w:b w:val="0"/>
          <w:color w:val="auto"/>
          <w:highlight w:val="none"/>
        </w:rPr>
        <w:t>其他重要事项的情况说明</w:t>
      </w:r>
      <w:bookmarkEnd w:id="64"/>
      <w:bookmarkEnd w:id="65"/>
      <w:bookmarkEnd w:id="66"/>
    </w:p>
    <w:p>
      <w:pPr>
        <w:keepNext w:val="0"/>
        <w:keepLines w:val="0"/>
        <w:pageBreakBefore w:val="0"/>
        <w:widowControl w:val="0"/>
        <w:kinsoku/>
        <w:wordWrap/>
        <w:overflowPunct/>
        <w:topLinePunct w:val="0"/>
        <w:bidi w:val="0"/>
        <w:snapToGrid/>
        <w:spacing w:line="576" w:lineRule="atLeast"/>
        <w:ind w:firstLine="643" w:firstLineChars="200"/>
        <w:textAlignment w:val="auto"/>
        <w:outlineLvl w:val="2"/>
        <w:rPr>
          <w:rFonts w:ascii="仿宋" w:hAnsi="仿宋" w:eastAsia="仿宋"/>
          <w:color w:val="auto"/>
          <w:sz w:val="32"/>
          <w:szCs w:val="32"/>
          <w:highlight w:val="none"/>
        </w:rPr>
      </w:pPr>
      <w:bookmarkStart w:id="67" w:name="_Toc15377222"/>
      <w:r>
        <w:rPr>
          <w:rFonts w:hint="eastAsia" w:ascii="仿宋" w:hAnsi="仿宋" w:eastAsia="仿宋"/>
          <w:b/>
          <w:color w:val="auto"/>
          <w:sz w:val="32"/>
          <w:szCs w:val="32"/>
          <w:highlight w:val="none"/>
        </w:rPr>
        <w:t>（一）机关运行经费支出情况</w:t>
      </w:r>
      <w:bookmarkEnd w:id="67"/>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2021年未发生机关运行经费支出，与2020年决算数持平</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3" w:firstLineChars="200"/>
        <w:jc w:val="left"/>
        <w:textAlignment w:val="auto"/>
        <w:outlineLvl w:val="2"/>
        <w:rPr>
          <w:rFonts w:ascii="仿宋" w:hAnsi="仿宋" w:eastAsia="仿宋"/>
          <w:b/>
          <w:color w:val="auto"/>
          <w:sz w:val="32"/>
          <w:szCs w:val="32"/>
          <w:highlight w:val="none"/>
        </w:rPr>
      </w:pPr>
      <w:bookmarkStart w:id="68" w:name="_Toc15377223"/>
      <w:r>
        <w:rPr>
          <w:rFonts w:hint="eastAsia" w:ascii="仿宋" w:hAnsi="仿宋" w:eastAsia="仿宋"/>
          <w:b/>
          <w:color w:val="auto"/>
          <w:sz w:val="32"/>
          <w:szCs w:val="32"/>
          <w:highlight w:val="none"/>
        </w:rPr>
        <w:t>（二）政府采购支出情况</w:t>
      </w:r>
      <w:bookmarkEnd w:id="68"/>
    </w:p>
    <w:p>
      <w:pPr>
        <w:keepNext w:val="0"/>
        <w:keepLines w:val="0"/>
        <w:pageBreakBefore w:val="0"/>
        <w:widowControl w:val="0"/>
        <w:kinsoku/>
        <w:wordWrap/>
        <w:overflowPunct/>
        <w:topLinePunct w:val="0"/>
        <w:bidi w:val="0"/>
        <w:snapToGrid/>
        <w:spacing w:line="576" w:lineRule="atLeast"/>
        <w:ind w:firstLine="640" w:firstLineChars="200"/>
        <w:textAlignment w:val="auto"/>
        <w:rPr>
          <w:rFonts w:ascii="仿宋" w:hAnsi="仿宋" w:eastAsia="仿宋"/>
          <w:b/>
          <w:color w:val="auto"/>
          <w:sz w:val="32"/>
          <w:szCs w:val="32"/>
          <w:highlight w:val="none"/>
        </w:rPr>
      </w:pPr>
      <w:r>
        <w:rPr>
          <w:rFonts w:ascii="仿宋" w:hAnsi="仿宋" w:eastAsia="仿宋"/>
          <w:color w:val="000000"/>
          <w:sz w:val="32"/>
          <w:szCs w:val="32"/>
        </w:rPr>
        <w:t>2020</w:t>
      </w:r>
      <w:r>
        <w:rPr>
          <w:rFonts w:hint="eastAsia" w:ascii="仿宋" w:hAnsi="仿宋" w:eastAsia="仿宋"/>
          <w:color w:val="000000"/>
          <w:sz w:val="32"/>
          <w:szCs w:val="32"/>
        </w:rPr>
        <w:t>年，广元市计划生育药品器械管理站政府采购支出总额0万元。</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3" w:firstLineChars="200"/>
        <w:jc w:val="left"/>
        <w:textAlignment w:val="auto"/>
        <w:outlineLvl w:val="2"/>
        <w:rPr>
          <w:rFonts w:ascii="仿宋" w:hAnsi="仿宋" w:eastAsia="仿宋"/>
          <w:b/>
          <w:color w:val="auto"/>
          <w:sz w:val="32"/>
          <w:szCs w:val="32"/>
          <w:highlight w:val="none"/>
        </w:rPr>
      </w:pPr>
      <w:bookmarkStart w:id="69" w:name="_Toc15377224"/>
      <w:r>
        <w:rPr>
          <w:rFonts w:hint="eastAsia" w:ascii="仿宋" w:hAnsi="仿宋" w:eastAsia="仿宋"/>
          <w:b/>
          <w:color w:val="auto"/>
          <w:sz w:val="32"/>
          <w:szCs w:val="32"/>
          <w:highlight w:val="none"/>
        </w:rPr>
        <w:t>（三）国有资产占有使用情况</w:t>
      </w:r>
      <w:bookmarkEnd w:id="69"/>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olor w:val="000000"/>
          <w:sz w:val="32"/>
          <w:szCs w:val="32"/>
        </w:rPr>
        <w:t>广元市计划生育药品器械管理站共有车辆1辆，其中：其他用车1辆，其他用车主要是用于国家免费避孕药具业务。单价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keepNext w:val="0"/>
        <w:keepLines w:val="0"/>
        <w:pageBreakBefore w:val="0"/>
        <w:widowControl/>
        <w:kinsoku/>
        <w:wordWrap/>
        <w:overflowPunct/>
        <w:topLinePunct w:val="0"/>
        <w:bidi w:val="0"/>
        <w:snapToGrid/>
        <w:spacing w:line="576" w:lineRule="atLeast"/>
        <w:jc w:val="left"/>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3"/>
        <w:bidi w:val="0"/>
        <w:jc w:val="center"/>
      </w:pPr>
      <w:bookmarkStart w:id="70" w:name="_Toc15396613"/>
      <w:bookmarkStart w:id="71" w:name="_Toc15377225"/>
      <w:bookmarkStart w:id="72" w:name="_Toc9003"/>
      <w:r>
        <w:rPr>
          <w:rFonts w:hint="eastAsia"/>
          <w:lang w:eastAsia="zh-CN"/>
        </w:rPr>
        <w:t>第三部分</w:t>
      </w:r>
      <w:r>
        <w:rPr>
          <w:rFonts w:hint="eastAsia"/>
          <w:lang w:val="en-US" w:eastAsia="zh-CN"/>
        </w:rPr>
        <w:t xml:space="preserve"> </w:t>
      </w:r>
      <w:r>
        <w:rPr>
          <w:rFonts w:hint="eastAsia"/>
        </w:rPr>
        <w:t>名词解释</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hint="eastAsia"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1.</w:t>
      </w:r>
      <w:r>
        <w:rPr>
          <w:rFonts w:hint="eastAsia" w:ascii="Times New Roman" w:hAnsi="Times New Roman" w:eastAsia="仿宋_GB2312" w:cs="Times New Roman"/>
          <w:color w:val="000000"/>
          <w:sz w:val="32"/>
          <w:szCs w:val="32"/>
          <w:shd w:val="clear" w:color="auto" w:fill="FFFFFF"/>
          <w:lang w:val="zh-CN"/>
        </w:rPr>
        <w:t>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000000"/>
          <w:sz w:val="32"/>
          <w:szCs w:val="32"/>
          <w:shd w:val="clear" w:color="auto" w:fill="FFFFFF"/>
          <w:lang w:val="zh-CN"/>
        </w:rPr>
        <w:t>2.一般公共预算财政拨款收入：指单位从同级财政部门取得的一般公共预算财政预算资金。</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hint="eastAsia" w:ascii="Times New Roman" w:hAnsi="Times New Roman" w:eastAsia="仿宋_GB2312" w:cs="Times New Roman"/>
          <w:color w:val="000000"/>
          <w:sz w:val="32"/>
          <w:szCs w:val="32"/>
          <w:shd w:val="clear" w:color="auto" w:fill="FFFFFF"/>
          <w:lang w:val="zh-CN" w:eastAsia="zh-CN"/>
        </w:rPr>
      </w:pPr>
      <w:r>
        <w:rPr>
          <w:rFonts w:hint="eastAsia" w:ascii="Times New Roman" w:hAnsi="Times New Roman" w:eastAsia="仿宋_GB2312" w:cs="Times New Roman"/>
          <w:color w:val="000000"/>
          <w:sz w:val="32"/>
          <w:szCs w:val="32"/>
          <w:shd w:val="clear" w:color="auto" w:fill="FFFFFF"/>
          <w:lang w:val="en-US" w:eastAsia="zh-CN"/>
        </w:rPr>
        <w:t>3</w:t>
      </w:r>
      <w:r>
        <w:rPr>
          <w:rFonts w:ascii="Times New Roman" w:hAnsi="Times New Roman" w:eastAsia="仿宋_GB2312" w:cs="Times New Roman"/>
          <w:color w:val="000000"/>
          <w:sz w:val="32"/>
          <w:szCs w:val="32"/>
          <w:shd w:val="clear" w:color="auto" w:fill="FFFFFF"/>
          <w:lang w:val="zh-CN"/>
        </w:rPr>
        <w:t>.</w:t>
      </w:r>
      <w:r>
        <w:rPr>
          <w:rFonts w:hint="eastAsia" w:ascii="Times New Roman" w:hAnsi="Times New Roman" w:eastAsia="仿宋_GB2312" w:cs="Times New Roman"/>
          <w:color w:val="000000"/>
          <w:sz w:val="32"/>
          <w:szCs w:val="32"/>
          <w:shd w:val="clear" w:color="auto" w:fill="FFFFFF"/>
          <w:lang w:val="zh-CN"/>
        </w:rPr>
        <w:t>年初结转和结余：指以前年度尚未完成、结转到本年按有关规定继续使用的资金。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000000"/>
          <w:sz w:val="32"/>
          <w:szCs w:val="32"/>
          <w:shd w:val="clear" w:color="auto" w:fill="FFFFFF"/>
          <w:lang w:val="en-US" w:eastAsia="zh-CN"/>
        </w:rPr>
        <w:t>4</w:t>
      </w:r>
      <w:r>
        <w:rPr>
          <w:rFonts w:hint="eastAsia" w:ascii="Times New Roman" w:hAnsi="Times New Roman" w:eastAsia="仿宋_GB2312" w:cs="Times New Roman"/>
          <w:color w:val="000000"/>
          <w:sz w:val="32"/>
          <w:szCs w:val="32"/>
          <w:shd w:val="clear" w:color="auto" w:fill="FFFFFF"/>
          <w:lang w:val="zh-CN"/>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000000"/>
          <w:sz w:val="32"/>
          <w:szCs w:val="32"/>
          <w:shd w:val="clear" w:color="auto" w:fill="FFFFFF"/>
          <w:lang w:val="en-US" w:eastAsia="zh-CN"/>
        </w:rPr>
        <w:t>5</w:t>
      </w:r>
      <w:r>
        <w:rPr>
          <w:rFonts w:ascii="Times New Roman" w:hAnsi="Times New Roman" w:eastAsia="仿宋_GB2312" w:cs="Times New Roman"/>
          <w:color w:val="000000"/>
          <w:sz w:val="32"/>
          <w:szCs w:val="32"/>
          <w:shd w:val="clear" w:color="auto" w:fill="FFFFFF"/>
          <w:lang w:val="zh-CN"/>
        </w:rPr>
        <w:t>.</w:t>
      </w:r>
      <w:r>
        <w:rPr>
          <w:rFonts w:hint="eastAsia" w:ascii="Times New Roman" w:hAnsi="Times New Roman" w:eastAsia="仿宋_GB2312" w:cs="Times New Roman"/>
          <w:color w:val="000000"/>
          <w:sz w:val="32"/>
          <w:szCs w:val="32"/>
          <w:shd w:val="clear" w:color="auto" w:fill="FFFFFF"/>
          <w:lang w:val="zh-CN"/>
        </w:rPr>
        <w:t>卫生健康支出（类）计划生育事务（款）其他计划生育事务支出（项）：反映计划生育药品器械管理站的支出。</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hint="eastAsia"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000000"/>
          <w:sz w:val="32"/>
          <w:szCs w:val="32"/>
          <w:shd w:val="clear" w:color="auto" w:fill="FFFFFF"/>
          <w:lang w:val="en-US" w:eastAsia="zh-CN"/>
        </w:rPr>
        <w:t>6</w:t>
      </w:r>
      <w:r>
        <w:rPr>
          <w:rFonts w:hint="eastAsia" w:ascii="Times New Roman" w:hAnsi="Times New Roman" w:eastAsia="仿宋_GB2312" w:cs="Times New Roman"/>
          <w:color w:val="000000"/>
          <w:sz w:val="32"/>
          <w:szCs w:val="32"/>
          <w:shd w:val="clear" w:color="auto" w:fill="FFFFFF"/>
          <w:lang w:val="zh-CN"/>
        </w:rPr>
        <w:t>.卫生健康支出（类）行政事业单位医疗（款）事业单位医疗（项）:反映财政部门安排的事业单位基本医疗保险缴费经费。</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hint="eastAsia"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000000"/>
          <w:sz w:val="32"/>
          <w:szCs w:val="32"/>
          <w:shd w:val="clear" w:color="auto" w:fill="FFFFFF"/>
          <w:lang w:val="en-US" w:eastAsia="zh-CN"/>
        </w:rPr>
        <w:t>7</w:t>
      </w:r>
      <w:r>
        <w:rPr>
          <w:rFonts w:hint="eastAsia" w:ascii="Times New Roman" w:hAnsi="Times New Roman" w:eastAsia="仿宋_GB2312" w:cs="Times New Roman"/>
          <w:color w:val="000000"/>
          <w:sz w:val="32"/>
          <w:szCs w:val="32"/>
          <w:shd w:val="clear" w:color="auto" w:fill="FFFFFF"/>
          <w:lang w:val="zh-CN"/>
        </w:rPr>
        <w:t>.社会保障和就业支出（类）行政事业单位养老支出（款）机关事业单位基本养老保险缴费支出（项）:反映机关事业单位实施养老保险制度由单位缴纳的基本养老保险支出。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hint="eastAsia"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000000"/>
          <w:sz w:val="32"/>
          <w:szCs w:val="32"/>
          <w:shd w:val="clear" w:color="auto" w:fill="FFFFFF"/>
          <w:lang w:val="en-US" w:eastAsia="zh-CN"/>
        </w:rPr>
        <w:t>8</w:t>
      </w:r>
      <w:r>
        <w:rPr>
          <w:rFonts w:hint="eastAsia" w:ascii="Times New Roman" w:hAnsi="Times New Roman" w:eastAsia="仿宋_GB2312" w:cs="Times New Roman"/>
          <w:color w:val="000000"/>
          <w:sz w:val="32"/>
          <w:szCs w:val="32"/>
          <w:shd w:val="clear" w:color="auto" w:fill="FFFFFF"/>
          <w:lang w:val="zh-CN"/>
        </w:rPr>
        <w:t>.住房保障支出（类）住房改革支出（款）住房公积金（项）:反映行政事业单位按人力资源和社会保障部、财政部规定的基本工资和津贴补贴以及规定比例为职工缴纳的住房公积金。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hint="eastAsia"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000000"/>
          <w:sz w:val="32"/>
          <w:szCs w:val="32"/>
          <w:shd w:val="clear" w:color="auto" w:fill="FFFFFF"/>
          <w:lang w:val="en-US" w:eastAsia="zh-CN"/>
        </w:rPr>
        <w:t>9</w:t>
      </w:r>
      <w:r>
        <w:rPr>
          <w:rFonts w:hint="eastAsia" w:ascii="Times New Roman" w:hAnsi="Times New Roman" w:eastAsia="仿宋_GB2312" w:cs="Times New Roman"/>
          <w:color w:val="000000"/>
          <w:sz w:val="32"/>
          <w:szCs w:val="32"/>
          <w:shd w:val="clear" w:color="auto" w:fill="FFFFFF"/>
          <w:lang w:val="zh-CN"/>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hint="eastAsia"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000000"/>
          <w:sz w:val="32"/>
          <w:szCs w:val="32"/>
          <w:shd w:val="clear" w:color="auto" w:fill="FFFFFF"/>
          <w:lang w:val="en-US" w:eastAsia="zh-CN"/>
        </w:rPr>
        <w:t>10</w:t>
      </w:r>
      <w:r>
        <w:rPr>
          <w:rFonts w:hint="eastAsia" w:ascii="Times New Roman" w:hAnsi="Times New Roman" w:eastAsia="仿宋_GB2312" w:cs="Times New Roman"/>
          <w:color w:val="000000"/>
          <w:sz w:val="32"/>
          <w:szCs w:val="32"/>
          <w:shd w:val="clear" w:color="auto" w:fill="FFFFFF"/>
          <w:lang w:val="zh-CN"/>
        </w:rPr>
        <w:t>.项目支出：指在基本支出之外为完成特定行政任务和事业发展目标所发生的支出。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hint="eastAsia" w:ascii="Times New Roman" w:hAnsi="Times New Roman" w:eastAsia="仿宋_GB2312" w:cs="Times New Roman"/>
          <w:color w:val="000000"/>
          <w:sz w:val="32"/>
          <w:szCs w:val="32"/>
          <w:shd w:val="clear" w:color="auto" w:fill="FFFFFF"/>
          <w:lang w:val="zh-CN"/>
        </w:rPr>
      </w:pPr>
      <w:r>
        <w:rPr>
          <w:rFonts w:hint="eastAsia" w:ascii="Times New Roman" w:hAnsi="Times New Roman" w:eastAsia="仿宋_GB2312" w:cs="Times New Roman"/>
          <w:color w:val="000000"/>
          <w:sz w:val="32"/>
          <w:szCs w:val="32"/>
          <w:shd w:val="clear" w:color="auto" w:fill="FFFFFF"/>
          <w:lang w:val="en-US" w:eastAsia="zh-CN"/>
        </w:rPr>
        <w:t>11</w:t>
      </w:r>
      <w:r>
        <w:rPr>
          <w:rFonts w:hint="eastAsia" w:ascii="Times New Roman" w:hAnsi="Times New Roman" w:eastAsia="仿宋_GB2312" w:cs="Times New Roman"/>
          <w:color w:val="000000"/>
          <w:sz w:val="32"/>
          <w:szCs w:val="32"/>
          <w:shd w:val="clear" w:color="auto" w:fill="FFFFFF"/>
          <w:lang w:val="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9"/>
        <w:rPr>
          <w:rFonts w:hint="eastAsia" w:ascii="黑体" w:hAnsi="黑体" w:eastAsia="黑体"/>
          <w:color w:val="auto"/>
          <w:sz w:val="44"/>
          <w:szCs w:val="44"/>
          <w:highlight w:val="none"/>
        </w:rPr>
      </w:pPr>
      <w:bookmarkStart w:id="73" w:name="_Toc15396614"/>
      <w:bookmarkStart w:id="74" w:name="_Toc15377226"/>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3"/>
        <w:numPr>
          <w:ilvl w:val="0"/>
          <w:numId w:val="3"/>
        </w:numPr>
        <w:bidi w:val="0"/>
        <w:jc w:val="center"/>
        <w:rPr>
          <w:rFonts w:hint="eastAsia"/>
          <w:lang w:eastAsia="zh-CN"/>
        </w:rPr>
      </w:pPr>
      <w:bookmarkStart w:id="75" w:name="_Toc10772"/>
      <w:r>
        <w:rPr>
          <w:rFonts w:hint="eastAsia"/>
          <w:lang w:eastAsia="zh-CN"/>
        </w:rPr>
        <w:t>附件</w:t>
      </w:r>
      <w:bookmarkEnd w:id="73"/>
      <w:bookmarkEnd w:id="75"/>
    </w:p>
    <w:p>
      <w:pPr>
        <w:pStyle w:val="6"/>
        <w:rPr>
          <w:rFonts w:hint="eastAsia"/>
          <w:lang w:eastAsia="zh-CN"/>
        </w:rPr>
      </w:pPr>
      <w:r>
        <w:rPr>
          <w:rFonts w:hint="eastAsia" w:hAnsi="宋体" w:cs="宋体"/>
          <w:color w:val="auto"/>
          <w:kern w:val="0"/>
          <w:sz w:val="32"/>
          <w:szCs w:val="32"/>
          <w:highlight w:val="none"/>
          <w:shd w:val="clear" w:color="auto" w:fill="FFFFFF"/>
          <w:lang w:val="zh-CN"/>
        </w:rPr>
        <w:t>附件</w:t>
      </w:r>
    </w:p>
    <w:p>
      <w:pPr>
        <w:widowControl w:val="0"/>
        <w:adjustRightInd/>
        <w:snapToGrid/>
        <w:spacing w:after="0" w:line="600" w:lineRule="exact"/>
        <w:jc w:val="center"/>
        <w:outlineLvl w:val="1"/>
        <w:rPr>
          <w:rFonts w:hint="eastAsia" w:ascii="Times New Roman" w:hAnsi="Times New Roman" w:eastAsia="方正小标宋简体" w:cs="Times New Roman"/>
          <w:color w:val="000000"/>
          <w:sz w:val="44"/>
          <w:szCs w:val="44"/>
          <w:lang w:eastAsia="zh-CN"/>
        </w:rPr>
      </w:pPr>
      <w:bookmarkStart w:id="76" w:name="_Toc8329"/>
      <w:bookmarkStart w:id="77" w:name="_Toc14098"/>
      <w:bookmarkStart w:id="78" w:name="_Toc30890"/>
      <w:bookmarkStart w:id="79" w:name="_Toc15758"/>
      <w:bookmarkStart w:id="80" w:name="_Toc15396618"/>
      <w:r>
        <w:rPr>
          <w:rFonts w:hint="eastAsia" w:ascii="Times New Roman" w:hAnsi="Times New Roman" w:eastAsia="方正小标宋简体" w:cs="Times New Roman"/>
          <w:color w:val="000000"/>
          <w:sz w:val="44"/>
          <w:szCs w:val="44"/>
          <w:lang w:eastAsia="zh-CN"/>
        </w:rPr>
        <w:t>广元市计划生育药品器械管理站</w:t>
      </w:r>
      <w:bookmarkEnd w:id="76"/>
      <w:bookmarkEnd w:id="77"/>
      <w:bookmarkEnd w:id="78"/>
      <w:bookmarkEnd w:id="79"/>
    </w:p>
    <w:p>
      <w:pPr>
        <w:widowControl w:val="0"/>
        <w:adjustRightInd/>
        <w:snapToGrid/>
        <w:spacing w:after="0" w:line="600" w:lineRule="exact"/>
        <w:jc w:val="center"/>
        <w:rPr>
          <w:rFonts w:ascii="Times New Roman" w:hAnsi="Times New Roman" w:eastAsia="方正小标宋简体" w:cs="Times New Roman"/>
          <w:color w:val="000000"/>
          <w:sz w:val="44"/>
          <w:szCs w:val="44"/>
          <w:lang w:val="zh-CN"/>
        </w:rPr>
      </w:pPr>
      <w:r>
        <w:rPr>
          <w:rFonts w:hint="eastAsia" w:ascii="方正小标宋简体" w:hAnsi="Times New Roman" w:eastAsia="方正小标宋简体" w:cs="Times New Roman"/>
          <w:color w:val="000000"/>
          <w:sz w:val="44"/>
          <w:szCs w:val="44"/>
        </w:rPr>
        <w:t>2021</w:t>
      </w:r>
      <w:r>
        <w:rPr>
          <w:rFonts w:ascii="Times New Roman" w:hAnsi="Times New Roman" w:eastAsia="方正小标宋简体" w:cs="Times New Roman"/>
          <w:color w:val="000000"/>
          <w:sz w:val="44"/>
          <w:szCs w:val="44"/>
        </w:rPr>
        <w:t>年部门整体支出</w:t>
      </w:r>
      <w:r>
        <w:rPr>
          <w:rFonts w:ascii="Times New Roman" w:hAnsi="Times New Roman" w:eastAsia="方正小标宋简体" w:cs="Times New Roman"/>
          <w:color w:val="000000"/>
          <w:sz w:val="44"/>
          <w:szCs w:val="44"/>
          <w:lang w:val="zh-CN"/>
        </w:rPr>
        <w:t>绩效评价报告</w:t>
      </w:r>
    </w:p>
    <w:p>
      <w:pPr>
        <w:keepNext w:val="0"/>
        <w:keepLines w:val="0"/>
        <w:pageBreakBefore w:val="0"/>
        <w:widowControl w:val="0"/>
        <w:kinsoku/>
        <w:wordWrap/>
        <w:overflowPunct/>
        <w:topLinePunct w:val="0"/>
        <w:autoSpaceDE/>
        <w:autoSpaceDN/>
        <w:bidi w:val="0"/>
        <w:adjustRightInd/>
        <w:snapToGrid/>
        <w:spacing w:after="0" w:line="576" w:lineRule="exact"/>
        <w:ind w:firstLine="480" w:firstLineChars="200"/>
        <w:contextualSpacing/>
        <w:textAlignment w:val="auto"/>
        <w:rPr>
          <w:rFonts w:ascii="Times New Roman" w:hAnsi="Times New Roman" w:eastAsia="黑体" w:cs="Times New Roman"/>
          <w:color w:val="000000"/>
          <w:sz w:val="24"/>
          <w:szCs w:val="32"/>
          <w:shd w:val="clear" w:color="auto" w:fill="FFFFFF"/>
        </w:rPr>
      </w:pP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outlineLvl w:val="1"/>
        <w:rPr>
          <w:rFonts w:ascii="Times New Roman" w:hAnsi="Times New Roman" w:eastAsia="黑体" w:cs="Times New Roman"/>
          <w:color w:val="000000"/>
          <w:sz w:val="32"/>
          <w:szCs w:val="32"/>
          <w:shd w:val="clear" w:color="auto" w:fill="FFFFFF"/>
          <w:lang w:val="zh-CN"/>
        </w:rPr>
      </w:pPr>
      <w:bookmarkStart w:id="81" w:name="_Toc11570"/>
      <w:bookmarkStart w:id="82" w:name="_Toc30780"/>
      <w:bookmarkStart w:id="83" w:name="_Toc27127"/>
      <w:bookmarkStart w:id="84" w:name="_Toc5808"/>
      <w:r>
        <w:rPr>
          <w:rFonts w:ascii="Times New Roman" w:hAnsi="Times New Roman" w:eastAsia="黑体" w:cs="Times New Roman"/>
          <w:color w:val="000000"/>
          <w:sz w:val="32"/>
          <w:szCs w:val="32"/>
          <w:shd w:val="clear" w:color="auto" w:fill="FFFFFF"/>
        </w:rPr>
        <w:t>一、</w:t>
      </w:r>
      <w:r>
        <w:rPr>
          <w:rFonts w:ascii="Times New Roman" w:hAnsi="Times New Roman" w:eastAsia="黑体" w:cs="Times New Roman"/>
          <w:color w:val="000000"/>
          <w:sz w:val="32"/>
          <w:szCs w:val="32"/>
          <w:shd w:val="clear" w:color="auto" w:fill="FFFFFF"/>
          <w:lang w:val="zh-CN"/>
        </w:rPr>
        <w:t>单位概况</w:t>
      </w:r>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广元市计划生育药品器械管理站属于广元市卫生健康委员会下属二级公益一类事业单位</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rPr>
        <w:t>执行《政府会计制度》。</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（二）机构职能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 w:cs="仿宋_GB2312"/>
          <w:sz w:val="32"/>
          <w:szCs w:val="32"/>
        </w:rPr>
      </w:pPr>
      <w:r>
        <w:rPr>
          <w:rFonts w:hint="eastAsia" w:ascii="仿宋" w:hAnsi="仿宋" w:eastAsia="仿宋"/>
          <w:bCs/>
          <w:color w:val="000000"/>
          <w:sz w:val="32"/>
          <w:szCs w:val="32"/>
        </w:rPr>
        <w:t>承担全市国家免费避孕药具管理使用、计划统计、仓储调拨、质量管理、发放服务等工作和对下一级计划生育药具管理机构进行业务指导。</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（三）人员概况</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color w:val="000000"/>
          <w:kern w:val="2"/>
          <w:sz w:val="32"/>
          <w:szCs w:val="32"/>
        </w:rPr>
      </w:pPr>
      <w:r>
        <w:rPr>
          <w:rFonts w:hint="eastAsia" w:ascii="仿宋" w:hAnsi="仿宋" w:eastAsia="仿宋" w:cs="仿宋"/>
          <w:sz w:val="32"/>
          <w:szCs w:val="32"/>
        </w:rPr>
        <w:t>广元市计划生育药品器械管理站事业编制总数6名，实际在编在岗人员6名。其中：管理岗七级1名，管理岗八级1名，管理岗九级</w:t>
      </w:r>
      <w:r>
        <w:rPr>
          <w:rFonts w:hint="eastAsia" w:ascii="仿宋" w:hAnsi="仿宋" w:eastAsia="仿宋" w:cs="仿宋"/>
          <w:sz w:val="32"/>
          <w:szCs w:val="32"/>
          <w:lang w:val="en-US" w:eastAsia="zh-CN"/>
        </w:rPr>
        <w:t>2</w:t>
      </w:r>
      <w:r>
        <w:rPr>
          <w:rFonts w:hint="eastAsia" w:ascii="仿宋" w:hAnsi="仿宋" w:eastAsia="仿宋" w:cs="仿宋"/>
          <w:sz w:val="32"/>
          <w:szCs w:val="32"/>
        </w:rPr>
        <w:t>名，技术岗十二级1名，工勤三级1名。</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outlineLvl w:val="1"/>
        <w:rPr>
          <w:rFonts w:ascii="Times New Roman" w:hAnsi="Times New Roman" w:eastAsia="黑体" w:cs="Times New Roman"/>
          <w:color w:val="000000"/>
          <w:sz w:val="32"/>
          <w:szCs w:val="32"/>
          <w:shd w:val="clear" w:color="auto" w:fill="FFFFFF"/>
        </w:rPr>
      </w:pPr>
      <w:bookmarkStart w:id="85" w:name="_Toc1469"/>
      <w:bookmarkStart w:id="86" w:name="_Toc6196"/>
      <w:bookmarkStart w:id="87" w:name="_Toc21045"/>
      <w:bookmarkStart w:id="88" w:name="_Toc27658"/>
      <w:r>
        <w:rPr>
          <w:rFonts w:ascii="Times New Roman" w:hAnsi="Times New Roman" w:eastAsia="黑体" w:cs="Times New Roman"/>
          <w:color w:val="000000"/>
          <w:sz w:val="32"/>
          <w:szCs w:val="32"/>
          <w:shd w:val="clear" w:color="auto" w:fill="FFFFFF"/>
        </w:rPr>
        <w:t>二、财政资金收支情况</w:t>
      </w:r>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hint="eastAsia" w:ascii="Times New Roman" w:hAnsi="Times New Roman" w:eastAsia="仿宋_GB2312" w:cs="Times New Roman"/>
          <w:color w:val="000000"/>
          <w:sz w:val="32"/>
          <w:szCs w:val="32"/>
          <w:lang w:val="zh-CN"/>
        </w:rPr>
      </w:pPr>
      <w:r>
        <w:rPr>
          <w:rFonts w:ascii="Times New Roman" w:hAnsi="Times New Roman" w:eastAsia="仿宋_GB2312" w:cs="Times New Roman"/>
          <w:color w:val="000000"/>
          <w:sz w:val="32"/>
          <w:szCs w:val="32"/>
          <w:shd w:val="clear" w:color="auto" w:fill="FFFFFF"/>
          <w:lang w:val="zh-CN"/>
        </w:rPr>
        <w:t>（一）财政资金收入情况</w:t>
      </w:r>
      <w:r>
        <w:rPr>
          <w:rFonts w:hint="eastAsia" w:ascii="Times New Roman" w:hAnsi="Times New Roman" w:eastAsia="仿宋_GB2312" w:cs="Times New Roman"/>
          <w:color w:val="000000"/>
          <w:sz w:val="32"/>
          <w:szCs w:val="32"/>
          <w:lang w:val="zh-CN"/>
        </w:rPr>
        <w:t>2021年收入总计</w:t>
      </w:r>
      <w:r>
        <w:rPr>
          <w:rFonts w:hint="eastAsia" w:ascii="Times New Roman" w:hAnsi="Times New Roman" w:eastAsia="仿宋_GB2312" w:cs="Times New Roman"/>
          <w:color w:val="000000"/>
          <w:sz w:val="32"/>
          <w:szCs w:val="32"/>
          <w:lang w:val="en-US" w:eastAsia="zh-CN"/>
        </w:rPr>
        <w:t>101.47</w:t>
      </w:r>
      <w:r>
        <w:rPr>
          <w:rFonts w:hint="eastAsia" w:ascii="Times New Roman" w:hAnsi="Times New Roman" w:eastAsia="仿宋_GB2312" w:cs="Times New Roman"/>
          <w:color w:val="000000"/>
          <w:sz w:val="32"/>
          <w:szCs w:val="32"/>
          <w:lang w:val="zh-CN"/>
        </w:rPr>
        <w:t>万元，其中：一般公共预算财政拨款收入</w:t>
      </w:r>
      <w:r>
        <w:rPr>
          <w:rFonts w:hint="eastAsia" w:ascii="Times New Roman" w:hAnsi="Times New Roman" w:eastAsia="仿宋_GB2312" w:cs="Times New Roman"/>
          <w:color w:val="000000"/>
          <w:sz w:val="32"/>
          <w:szCs w:val="32"/>
          <w:lang w:val="en-US" w:eastAsia="zh-CN"/>
        </w:rPr>
        <w:t>97.20</w:t>
      </w:r>
      <w:r>
        <w:rPr>
          <w:rFonts w:hint="eastAsia" w:ascii="Times New Roman" w:hAnsi="Times New Roman" w:eastAsia="仿宋_GB2312" w:cs="Times New Roman"/>
          <w:color w:val="000000"/>
          <w:sz w:val="32"/>
          <w:szCs w:val="32"/>
          <w:lang w:val="zh-CN"/>
        </w:rPr>
        <w:t>万元，年初结转和结余</w:t>
      </w:r>
      <w:r>
        <w:rPr>
          <w:rFonts w:hint="eastAsia" w:ascii="Times New Roman" w:hAnsi="Times New Roman" w:eastAsia="仿宋_GB2312" w:cs="Times New Roman"/>
          <w:color w:val="000000"/>
          <w:sz w:val="32"/>
          <w:szCs w:val="32"/>
          <w:lang w:val="en-US" w:eastAsia="zh-CN"/>
        </w:rPr>
        <w:t>4.27</w:t>
      </w:r>
      <w:r>
        <w:rPr>
          <w:rFonts w:hint="eastAsia" w:ascii="Times New Roman" w:hAnsi="Times New Roman" w:eastAsia="仿宋_GB2312" w:cs="Times New Roman"/>
          <w:color w:val="000000"/>
          <w:sz w:val="32"/>
          <w:szCs w:val="32"/>
          <w:lang w:val="zh-CN"/>
        </w:rPr>
        <w:t>万元。</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（二）财政资金支出情况</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2021年支出总计</w:t>
      </w:r>
      <w:r>
        <w:rPr>
          <w:rFonts w:hint="eastAsia" w:ascii="Times New Roman" w:hAnsi="Times New Roman" w:eastAsia="仿宋_GB2312" w:cs="Times New Roman"/>
          <w:color w:val="000000"/>
          <w:sz w:val="32"/>
          <w:szCs w:val="32"/>
          <w:lang w:val="en-US" w:eastAsia="zh-CN"/>
        </w:rPr>
        <w:t>93.47</w:t>
      </w:r>
      <w:r>
        <w:rPr>
          <w:rFonts w:hint="eastAsia" w:ascii="Times New Roman" w:hAnsi="Times New Roman" w:eastAsia="仿宋_GB2312" w:cs="Times New Roman"/>
          <w:color w:val="000000"/>
          <w:sz w:val="32"/>
          <w:szCs w:val="32"/>
        </w:rPr>
        <w:t>万元，其中：社会保障和就业支出</w:t>
      </w:r>
      <w:r>
        <w:rPr>
          <w:rFonts w:hint="eastAsia" w:ascii="Times New Roman" w:hAnsi="Times New Roman" w:eastAsia="仿宋_GB2312" w:cs="Times New Roman"/>
          <w:color w:val="000000"/>
          <w:sz w:val="32"/>
          <w:szCs w:val="32"/>
          <w:lang w:val="en-US" w:eastAsia="zh-CN"/>
        </w:rPr>
        <w:t>5.52</w:t>
      </w:r>
      <w:r>
        <w:rPr>
          <w:rFonts w:hint="eastAsia" w:ascii="Times New Roman" w:hAnsi="Times New Roman" w:eastAsia="仿宋_GB2312" w:cs="Times New Roman"/>
          <w:color w:val="000000"/>
          <w:sz w:val="32"/>
          <w:szCs w:val="32"/>
        </w:rPr>
        <w:t>万元，卫生健康支出</w:t>
      </w:r>
      <w:r>
        <w:rPr>
          <w:rFonts w:hint="eastAsia" w:ascii="Times New Roman" w:hAnsi="Times New Roman" w:eastAsia="仿宋_GB2312" w:cs="Times New Roman"/>
          <w:color w:val="000000"/>
          <w:sz w:val="32"/>
          <w:szCs w:val="32"/>
          <w:lang w:val="en-US" w:eastAsia="zh-CN"/>
        </w:rPr>
        <w:t>79.32</w:t>
      </w:r>
      <w:r>
        <w:rPr>
          <w:rFonts w:hint="eastAsia" w:ascii="Times New Roman" w:hAnsi="Times New Roman" w:eastAsia="仿宋_GB2312" w:cs="Times New Roman"/>
          <w:color w:val="000000"/>
          <w:sz w:val="32"/>
          <w:szCs w:val="32"/>
        </w:rPr>
        <w:t>万元，住房保障支出</w:t>
      </w:r>
      <w:r>
        <w:rPr>
          <w:rFonts w:hint="eastAsia" w:ascii="Times New Roman" w:hAnsi="Times New Roman" w:eastAsia="仿宋_GB2312" w:cs="Times New Roman"/>
          <w:color w:val="000000"/>
          <w:sz w:val="32"/>
          <w:szCs w:val="32"/>
          <w:lang w:val="en-US" w:eastAsia="zh-CN"/>
        </w:rPr>
        <w:t>8.63</w:t>
      </w:r>
      <w:r>
        <w:rPr>
          <w:rFonts w:hint="eastAsia" w:ascii="Times New Roman" w:hAnsi="Times New Roman" w:eastAsia="仿宋_GB2312" w:cs="Times New Roman"/>
          <w:color w:val="000000"/>
          <w:sz w:val="32"/>
          <w:szCs w:val="32"/>
        </w:rPr>
        <w:t>万元。</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outlineLvl w:val="1"/>
        <w:rPr>
          <w:rFonts w:ascii="Times New Roman" w:hAnsi="Times New Roman" w:eastAsia="黑体" w:cs="Times New Roman"/>
          <w:color w:val="000000"/>
          <w:sz w:val="32"/>
          <w:szCs w:val="32"/>
          <w:shd w:val="clear" w:color="auto" w:fill="FFFFFF"/>
        </w:rPr>
      </w:pPr>
      <w:bookmarkStart w:id="89" w:name="_Toc28468"/>
      <w:bookmarkStart w:id="90" w:name="_Toc21978"/>
      <w:bookmarkStart w:id="91" w:name="_Toc25982"/>
      <w:bookmarkStart w:id="92" w:name="_Toc14189"/>
      <w:r>
        <w:rPr>
          <w:rFonts w:ascii="Times New Roman" w:hAnsi="Times New Roman" w:eastAsia="黑体" w:cs="Times New Roman"/>
          <w:color w:val="000000"/>
          <w:sz w:val="32"/>
          <w:szCs w:val="32"/>
          <w:shd w:val="clear" w:color="auto" w:fill="FFFFFF"/>
        </w:rPr>
        <w:t>三、整体预算绩效管理情况</w:t>
      </w:r>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（一）预算管理</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我单位根据</w:t>
      </w:r>
      <w:r>
        <w:rPr>
          <w:rFonts w:hint="eastAsia" w:ascii="Times New Roman" w:hAnsi="Times New Roman" w:eastAsia="仿宋_GB2312" w:cs="Times New Roman"/>
          <w:color w:val="000000"/>
          <w:sz w:val="32"/>
          <w:szCs w:val="32"/>
          <w:shd w:val="clear" w:color="auto" w:fill="FFFFFF"/>
          <w:lang w:eastAsia="zh-CN"/>
        </w:rPr>
        <w:t>站内</w:t>
      </w:r>
      <w:r>
        <w:rPr>
          <w:rFonts w:ascii="Times New Roman" w:hAnsi="Times New Roman" w:eastAsia="仿宋_GB2312" w:cs="Times New Roman"/>
          <w:color w:val="000000"/>
          <w:sz w:val="32"/>
          <w:szCs w:val="32"/>
          <w:shd w:val="clear" w:color="auto" w:fill="FFFFFF"/>
        </w:rPr>
        <w:t>工作实际，认真落实全面预算管理方针政策，</w:t>
      </w:r>
      <w:r>
        <w:rPr>
          <w:rFonts w:ascii="Times New Roman" w:hAnsi="Times New Roman" w:eastAsia="仿宋_GB2312" w:cs="Times New Roman"/>
          <w:kern w:val="2"/>
          <w:sz w:val="32"/>
          <w:szCs w:val="32"/>
        </w:rPr>
        <w:t>及时编制预算，</w:t>
      </w:r>
      <w:r>
        <w:rPr>
          <w:rFonts w:ascii="Times New Roman" w:hAnsi="Times New Roman" w:eastAsia="仿宋_GB2312" w:cs="Times New Roman"/>
          <w:color w:val="000000"/>
          <w:sz w:val="32"/>
          <w:szCs w:val="32"/>
          <w:shd w:val="clear" w:color="auto" w:fill="FFFFFF"/>
          <w:lang w:val="zh-CN"/>
        </w:rPr>
        <w:t>制定申报部门绩效目标</w:t>
      </w:r>
      <w:r>
        <w:rPr>
          <w:rFonts w:ascii="Times New Roman" w:hAnsi="Times New Roman" w:eastAsia="仿宋_GB2312" w:cs="Times New Roman"/>
          <w:kern w:val="2"/>
          <w:sz w:val="32"/>
          <w:szCs w:val="32"/>
        </w:rPr>
        <w:t>，</w:t>
      </w:r>
      <w:r>
        <w:rPr>
          <w:rFonts w:ascii="Times New Roman" w:hAnsi="Times New Roman" w:eastAsia="仿宋_GB2312" w:cs="Times New Roman"/>
          <w:color w:val="000000"/>
          <w:sz w:val="32"/>
          <w:szCs w:val="32"/>
          <w:shd w:val="clear" w:color="auto" w:fill="FFFFFF"/>
        </w:rPr>
        <w:t>年初预算数与决算数偏差程度较小，顺利完成全年目标工作任务，</w:t>
      </w:r>
      <w:r>
        <w:rPr>
          <w:rFonts w:ascii="Times New Roman" w:hAnsi="Times New Roman" w:eastAsia="仿宋_GB2312" w:cs="Times New Roman"/>
          <w:kern w:val="2"/>
          <w:sz w:val="32"/>
          <w:szCs w:val="32"/>
        </w:rPr>
        <w:t>无违规记录。</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（二）结果应用情况</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shd w:val="clear" w:color="auto" w:fill="FFFFFF"/>
        </w:rPr>
        <w:t>1</w:t>
      </w:r>
      <w:r>
        <w:rPr>
          <w:rFonts w:hint="eastAsia" w:ascii="Times New Roman" w:hAnsi="Times New Roman" w:eastAsia="仿宋_GB2312" w:cs="Times New Roman"/>
          <w:color w:val="000000"/>
          <w:sz w:val="32"/>
          <w:szCs w:val="32"/>
          <w:shd w:val="clear" w:color="auto" w:fill="FFFFFF"/>
          <w:lang w:val="zh-CN"/>
        </w:rPr>
        <w:t>.</w:t>
      </w:r>
      <w:r>
        <w:rPr>
          <w:rFonts w:ascii="Times New Roman" w:hAnsi="Times New Roman" w:eastAsia="仿宋_GB2312" w:cs="Times New Roman"/>
          <w:color w:val="000000"/>
          <w:sz w:val="32"/>
          <w:szCs w:val="32"/>
          <w:shd w:val="clear" w:color="auto" w:fill="FFFFFF"/>
          <w:lang w:val="zh-CN"/>
        </w:rPr>
        <w:t>绩效自评公开。</w:t>
      </w:r>
      <w:r>
        <w:rPr>
          <w:rFonts w:ascii="Times New Roman" w:hAnsi="Times New Roman" w:eastAsia="仿宋_GB2312" w:cs="Times New Roman"/>
          <w:color w:val="000000"/>
          <w:sz w:val="32"/>
          <w:szCs w:val="32"/>
          <w:shd w:val="clear" w:color="auto" w:fill="FFFFFF"/>
        </w:rPr>
        <w:t>我单位</w:t>
      </w:r>
      <w:r>
        <w:rPr>
          <w:rFonts w:ascii="Times New Roman" w:hAnsi="Times New Roman" w:eastAsia="仿宋_GB2312" w:cs="Times New Roman"/>
          <w:kern w:val="2"/>
          <w:sz w:val="32"/>
          <w:szCs w:val="32"/>
        </w:rPr>
        <w:t>积极开展部门整体绩效评价，并在决算公开时同时公开。</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rPr>
        <w:t>2</w:t>
      </w:r>
      <w:r>
        <w:rPr>
          <w:rFonts w:hint="eastAsia" w:ascii="Times New Roman" w:hAnsi="Times New Roman" w:eastAsia="仿宋_GB2312" w:cs="Times New Roman"/>
          <w:color w:val="000000"/>
          <w:sz w:val="32"/>
          <w:szCs w:val="32"/>
          <w:shd w:val="clear" w:color="auto" w:fill="FFFFFF"/>
          <w:lang w:val="zh-CN"/>
        </w:rPr>
        <w:t>.</w:t>
      </w:r>
      <w:r>
        <w:rPr>
          <w:rFonts w:ascii="Times New Roman" w:hAnsi="Times New Roman" w:eastAsia="仿宋_GB2312" w:cs="Times New Roman"/>
          <w:color w:val="000000"/>
          <w:sz w:val="32"/>
          <w:szCs w:val="32"/>
          <w:shd w:val="clear" w:color="auto" w:fill="FFFFFF"/>
          <w:lang w:val="zh-CN"/>
        </w:rPr>
        <w:t>评价结果整改。</w:t>
      </w:r>
      <w:r>
        <w:rPr>
          <w:rFonts w:ascii="Times New Roman" w:hAnsi="Times New Roman" w:eastAsia="仿宋_GB2312" w:cs="Times New Roman"/>
          <w:kern w:val="2"/>
          <w:sz w:val="32"/>
          <w:szCs w:val="24"/>
        </w:rPr>
        <w:t>我单位将进一步重视预算的编制工作，提高预算编制的精确度，提高财政资金使用效率，尽量减少预算执行调整、结转和结余的情形。</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kern w:val="2"/>
          <w:sz w:val="32"/>
          <w:szCs w:val="24"/>
        </w:rPr>
      </w:pPr>
      <w:r>
        <w:rPr>
          <w:rFonts w:ascii="Times New Roman" w:hAnsi="Times New Roman" w:eastAsia="仿宋_GB2312" w:cs="Times New Roman"/>
          <w:color w:val="000000"/>
          <w:sz w:val="32"/>
          <w:szCs w:val="32"/>
          <w:shd w:val="clear" w:color="auto" w:fill="FFFFFF"/>
        </w:rPr>
        <w:t>3</w:t>
      </w:r>
      <w:r>
        <w:rPr>
          <w:rFonts w:hint="eastAsia" w:ascii="Times New Roman" w:hAnsi="Times New Roman" w:eastAsia="仿宋_GB2312" w:cs="Times New Roman"/>
          <w:color w:val="000000"/>
          <w:sz w:val="32"/>
          <w:szCs w:val="32"/>
          <w:shd w:val="clear" w:color="auto" w:fill="FFFFFF"/>
          <w:lang w:val="zh-CN"/>
        </w:rPr>
        <w:t>.</w:t>
      </w:r>
      <w:r>
        <w:rPr>
          <w:rFonts w:ascii="Times New Roman" w:hAnsi="Times New Roman" w:eastAsia="仿宋_GB2312" w:cs="Times New Roman"/>
          <w:color w:val="000000"/>
          <w:sz w:val="32"/>
          <w:szCs w:val="32"/>
          <w:shd w:val="clear" w:color="auto" w:fill="FFFFFF"/>
          <w:lang w:val="zh-CN"/>
        </w:rPr>
        <w:t>应用结果反馈等情况。预算</w:t>
      </w:r>
      <w:r>
        <w:rPr>
          <w:rFonts w:ascii="Times New Roman" w:hAnsi="Times New Roman" w:eastAsia="仿宋_GB2312" w:cs="Times New Roman"/>
          <w:kern w:val="2"/>
          <w:sz w:val="32"/>
          <w:szCs w:val="24"/>
        </w:rPr>
        <w:t>支出绩效评价工作，及时准确的发现问题，使我单位在运用中杜绝了违规违纪的现象。</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outlineLvl w:val="1"/>
        <w:rPr>
          <w:rFonts w:ascii="Times New Roman" w:hAnsi="Times New Roman" w:eastAsia="黑体" w:cs="Times New Roman"/>
          <w:color w:val="000000"/>
          <w:sz w:val="32"/>
          <w:szCs w:val="32"/>
          <w:shd w:val="clear" w:color="auto" w:fill="FFFFFF"/>
        </w:rPr>
      </w:pPr>
      <w:bookmarkStart w:id="93" w:name="_Toc6733"/>
      <w:bookmarkStart w:id="94" w:name="_Toc19856"/>
      <w:bookmarkStart w:id="95" w:name="_Toc6230"/>
      <w:bookmarkStart w:id="96" w:name="_Toc27104"/>
      <w:r>
        <w:rPr>
          <w:rFonts w:ascii="Times New Roman" w:hAnsi="Times New Roman" w:eastAsia="黑体" w:cs="Times New Roman"/>
          <w:color w:val="000000"/>
          <w:sz w:val="32"/>
          <w:szCs w:val="32"/>
          <w:shd w:val="clear" w:color="auto" w:fill="FFFFFF"/>
        </w:rPr>
        <w:t>四、评价结论及建议</w:t>
      </w:r>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（一）评价结论。</w:t>
      </w:r>
      <w:r>
        <w:rPr>
          <w:rFonts w:ascii="Times New Roman" w:hAnsi="Times New Roman" w:eastAsia="仿宋_GB2312" w:cs="Times New Roman"/>
          <w:kern w:val="2"/>
          <w:sz w:val="32"/>
          <w:szCs w:val="32"/>
        </w:rPr>
        <w:t>本单位202</w:t>
      </w: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年整体支出绩效评价得分是</w:t>
      </w:r>
      <w:r>
        <w:rPr>
          <w:rFonts w:hint="eastAsia" w:ascii="Times New Roman" w:hAnsi="Times New Roman" w:eastAsia="仿宋_GB2312" w:cs="Times New Roman"/>
          <w:kern w:val="2"/>
          <w:sz w:val="32"/>
          <w:szCs w:val="32"/>
        </w:rPr>
        <w:t>9</w:t>
      </w:r>
      <w:r>
        <w:rPr>
          <w:rFonts w:hint="eastAsia" w:ascii="Times New Roman" w:hAnsi="Times New Roman" w:eastAsia="仿宋_GB2312" w:cs="Times New Roman"/>
          <w:kern w:val="2"/>
          <w:sz w:val="32"/>
          <w:szCs w:val="32"/>
          <w:lang w:val="en-US" w:eastAsia="zh-CN"/>
        </w:rPr>
        <w:t>7</w:t>
      </w:r>
      <w:r>
        <w:rPr>
          <w:rFonts w:ascii="Times New Roman" w:hAnsi="Times New Roman" w:eastAsia="仿宋_GB2312" w:cs="Times New Roman"/>
          <w:kern w:val="2"/>
          <w:sz w:val="32"/>
          <w:szCs w:val="32"/>
        </w:rPr>
        <w:t>分，完成绩效目标成果优良。</w:t>
      </w:r>
    </w:p>
    <w:p>
      <w:pPr>
        <w:keepNext w:val="0"/>
        <w:keepLines w:val="0"/>
        <w:pageBreakBefore w:val="0"/>
        <w:widowControl w:val="0"/>
        <w:numPr>
          <w:ilvl w:val="0"/>
          <w:numId w:val="4"/>
        </w:numPr>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存在问题</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1.单位部分绩效指标不可量化，评价结果不够精准。</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由于单位性质和工作安排的原因，存在预算执行</w:t>
      </w:r>
      <w:r>
        <w:rPr>
          <w:rFonts w:hint="eastAsia" w:ascii="Times New Roman" w:hAnsi="Times New Roman" w:eastAsia="仿宋_GB2312" w:cs="Times New Roman"/>
          <w:kern w:val="2"/>
          <w:sz w:val="32"/>
          <w:szCs w:val="32"/>
          <w:lang w:eastAsia="zh-CN"/>
        </w:rPr>
        <w:t>与预算出现偏差现象</w:t>
      </w:r>
      <w:r>
        <w:rPr>
          <w:rFonts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contextualSpacing/>
        <w:textAlignment w:val="auto"/>
        <w:rPr>
          <w:rFonts w:ascii="Times New Roman" w:hAnsi="Times New Roman" w:eastAsia="仿宋_GB2312" w:cs="Times New Roman"/>
          <w:color w:val="000000"/>
          <w:sz w:val="32"/>
          <w:szCs w:val="32"/>
          <w:shd w:val="clear" w:color="auto" w:fill="FFFFFF"/>
          <w:lang w:val="zh-CN"/>
        </w:rPr>
      </w:pPr>
      <w:r>
        <w:rPr>
          <w:rFonts w:ascii="Times New Roman" w:hAnsi="Times New Roman" w:eastAsia="仿宋_GB2312" w:cs="Times New Roman"/>
          <w:color w:val="000000"/>
          <w:sz w:val="32"/>
          <w:szCs w:val="32"/>
          <w:shd w:val="clear" w:color="auto" w:fill="FFFFFF"/>
          <w:lang w:val="zh-CN"/>
        </w:rPr>
        <w:t>（三）改进建议</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kern w:val="2"/>
          <w:sz w:val="32"/>
          <w:szCs w:val="24"/>
        </w:rPr>
      </w:pPr>
      <w:r>
        <w:rPr>
          <w:rFonts w:ascii="Times New Roman" w:hAnsi="Times New Roman" w:eastAsia="仿宋_GB2312" w:cs="Times New Roman"/>
          <w:kern w:val="2"/>
          <w:sz w:val="32"/>
          <w:szCs w:val="24"/>
        </w:rPr>
        <w:t>1.绩效考评指标应尽量量化，不能量化的要尽量细化，以提高考评工作的可操作性和确保考评结果的客观性、公正性。</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ascii="Times New Roman" w:hAnsi="Times New Roman" w:eastAsia="仿宋_GB2312" w:cs="Times New Roman"/>
          <w:kern w:val="2"/>
          <w:sz w:val="32"/>
          <w:szCs w:val="24"/>
        </w:rPr>
      </w:pPr>
      <w:r>
        <w:rPr>
          <w:rFonts w:ascii="Times New Roman" w:hAnsi="Times New Roman" w:eastAsia="仿宋_GB2312" w:cs="Times New Roman"/>
          <w:kern w:val="2"/>
          <w:sz w:val="32"/>
          <w:szCs w:val="24"/>
        </w:rPr>
        <w:t>2.</w:t>
      </w:r>
      <w:r>
        <w:rPr>
          <w:rFonts w:hint="eastAsia" w:ascii="Times New Roman" w:hAnsi="Times New Roman" w:eastAsia="仿宋_GB2312" w:cs="Times New Roman"/>
          <w:kern w:val="2"/>
          <w:sz w:val="32"/>
          <w:szCs w:val="24"/>
          <w:lang w:eastAsia="zh-CN"/>
        </w:rPr>
        <w:t>年初预算时及时收集办公室、业务科室等资金预算信息，将预算和预算执行偏差度降到最低</w:t>
      </w:r>
      <w:r>
        <w:rPr>
          <w:rFonts w:ascii="Times New Roman" w:hAnsi="Times New Roman" w:eastAsia="仿宋_GB2312" w:cs="Times New Roman"/>
          <w:kern w:val="2"/>
          <w:sz w:val="32"/>
          <w:szCs w:val="24"/>
        </w:rPr>
        <w:t>。</w:t>
      </w:r>
    </w:p>
    <w:p>
      <w:pPr>
        <w:pStyle w:val="6"/>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bookmarkStart w:id="97" w:name="_Toc28641"/>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97"/>
    </w:p>
    <w:tbl>
      <w:tblPr>
        <w:tblStyle w:val="13"/>
        <w:tblW w:w="10687" w:type="dxa"/>
        <w:tblInd w:w="-1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020"/>
        <w:gridCol w:w="240"/>
        <w:gridCol w:w="765"/>
        <w:gridCol w:w="2625"/>
        <w:gridCol w:w="747"/>
        <w:gridCol w:w="1195"/>
        <w:gridCol w:w="885"/>
        <w:gridCol w:w="968"/>
        <w:gridCol w:w="367"/>
        <w:gridCol w:w="413"/>
        <w:gridCol w:w="472"/>
        <w:gridCol w:w="233"/>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740" w:hRule="atLeast"/>
        </w:trPr>
        <w:tc>
          <w:tcPr>
            <w:tcW w:w="1068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rPr>
              <w:t>2021年整体支出绩效目标自评表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285" w:hRule="atLeast"/>
        </w:trPr>
        <w:tc>
          <w:tcPr>
            <w:tcW w:w="1068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r>
              <w:rPr>
                <w:rFonts w:hint="default" w:ascii="Times New Roman" w:hAnsi="Times New Roman" w:eastAsia="宋体" w:cs="Times New Roman"/>
                <w:i w:val="0"/>
                <w:iCs w:val="0"/>
                <w:color w:val="000000"/>
                <w:kern w:val="0"/>
                <w:sz w:val="24"/>
                <w:szCs w:val="24"/>
                <w:u w:val="none"/>
                <w:lang w:val="en-US" w:eastAsia="zh-CN"/>
              </w:rPr>
              <w:t xml:space="preserve"> 2021</w:t>
            </w:r>
            <w:r>
              <w:rPr>
                <w:rFonts w:hint="eastAsia" w:ascii="宋体" w:hAnsi="宋体" w:eastAsia="宋体" w:cs="宋体"/>
                <w:i w:val="0"/>
                <w:iCs w:val="0"/>
                <w:color w:val="000000"/>
                <w:kern w:val="0"/>
                <w:sz w:val="24"/>
                <w:szCs w:val="24"/>
                <w:u w:val="none"/>
                <w:lang w:val="en-US" w:eastAsia="zh-CN"/>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75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7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62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9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8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3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85"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787" w:hRule="atLeast"/>
        </w:trPr>
        <w:tc>
          <w:tcPr>
            <w:tcW w:w="20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广元市计划生育药品器械管理站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682"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主要</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任务</w:t>
            </w:r>
          </w:p>
        </w:tc>
        <w:tc>
          <w:tcPr>
            <w:tcW w:w="12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任务名称</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主要内容</w:t>
            </w:r>
          </w:p>
        </w:tc>
        <w:tc>
          <w:tcPr>
            <w:tcW w:w="5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预算金额（万元）</w:t>
            </w:r>
          </w:p>
        </w:tc>
        <w:tc>
          <w:tcPr>
            <w:tcW w:w="245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28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总额</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  款</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总额</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财政拨款</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83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任务1</w:t>
            </w:r>
          </w:p>
        </w:tc>
        <w:tc>
          <w:tcPr>
            <w:tcW w:w="7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人员经费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73.3</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73.3</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73.3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62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任务2</w:t>
            </w:r>
          </w:p>
        </w:tc>
        <w:tc>
          <w:tcPr>
            <w:tcW w:w="7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运转经费</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9.73</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9.73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9.73</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9.73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6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5"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金额合计</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83.03</w:t>
            </w:r>
          </w:p>
        </w:tc>
        <w:tc>
          <w:tcPr>
            <w:tcW w:w="1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83.03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83.03</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83.03</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97" w:hRule="atLeast"/>
        </w:trPr>
        <w:tc>
          <w:tcPr>
            <w:tcW w:w="75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0"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52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3138" w:hRule="atLeast"/>
        </w:trPr>
        <w:tc>
          <w:tcPr>
            <w:tcW w:w="7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总体</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目标</w:t>
            </w:r>
          </w:p>
        </w:tc>
        <w:tc>
          <w:tcPr>
            <w:tcW w:w="4650" w:type="dxa"/>
            <w:gridSpan w:val="4"/>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目标1：完成市委政府安排的工作目标任务；                                                                                                   目标2：完成省药管中心下达单位任务指标；                                                                                                   目标3：完成年度计划生育免费药具需求计划、质量管理、发放服务、宣传教育、网络建设、仓储调拨、基层指导等各项工作；                                                                                                 目标4：加强组织机构和干部队伍建设；                                                                                                       目标5：做好计划生育药具各类公益项目。</w:t>
            </w:r>
          </w:p>
        </w:tc>
        <w:tc>
          <w:tcPr>
            <w:tcW w:w="5280" w:type="dxa"/>
            <w:gridSpan w:val="8"/>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1.按时完成了市委政府安排的工作目标任务；                                                                                                   2.圆满完成了省药管中心下达单位任务指标；                                                                                                   3.较好的完成了年度计划生育免费药具需求计划、质量管理、发放服务、宣传教育、网络建设、仓储调拨、基层指导等各项工作；                                                                                                 4.加强了组织机构和干部队伍建设                                                                                                       5.做好了计划生育药具各类公益项目。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885"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效</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指</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指标值（包含数字及文字描述）</w:t>
            </w:r>
          </w:p>
        </w:tc>
        <w:tc>
          <w:tcPr>
            <w:tcW w:w="185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实际完成指标值（包含数字及文字描述）</w:t>
            </w:r>
          </w:p>
        </w:tc>
        <w:tc>
          <w:tcPr>
            <w:tcW w:w="1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完成指标</w:t>
            </w:r>
          </w:p>
        </w:tc>
        <w:tc>
          <w:tcPr>
            <w:tcW w:w="10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指标1：认真组织实施国家和省药管中心下达的各类工作</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开展好计划生育药具各类工作，完成率100%</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已完计划生育药具各类工作</w:t>
            </w:r>
          </w:p>
        </w:tc>
        <w:tc>
          <w:tcPr>
            <w:tcW w:w="1485" w:type="dxa"/>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8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指标2：统计、编制、报送计划生育药具年度需求计划工作</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开展好计生药具需求计划、统计等工作，完成率100%</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很好的开展了计生药具需求计划、统计等工作</w:t>
            </w:r>
          </w:p>
        </w:tc>
        <w:tc>
          <w:tcPr>
            <w:tcW w:w="780" w:type="dxa"/>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5"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11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指标3：加强对计划生育药具管理，组织育龄群众和计划生育机构药具人员开展培训，重点对流动人口较多的乡镇</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全年不少于2次业务培训</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参加业务培训1次</w:t>
            </w:r>
          </w:p>
        </w:tc>
        <w:tc>
          <w:tcPr>
            <w:tcW w:w="148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疫情持续性影响只组织参加了一次避孕药具业务培训，以后将不可控因素考虑在内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20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指标4：加强城镇社区生殖健康、避孕知情选择、性病、艾滋病防治知识宣传及新型计划生育避孕药具推广</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充分利用广播、电视、报刊等媒体，采取发放资料、宣传展板、咨询指导、授课培训等多种形式，宣传避孕药具发放政策和普及药具科普知识，提高流动人口对避孕节育和生殖健康知识的知晓度</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利用多种形式宣传避孕药具发放政策和普及药具科普知识，提高了流动人口对避孕节育和生殖健康知识的知晓度</w:t>
            </w:r>
          </w:p>
        </w:tc>
        <w:tc>
          <w:tcPr>
            <w:tcW w:w="780" w:type="dxa"/>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5"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7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指标5：开展基层业务指导、进村入户调查活动</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全年应至少开展2次活动</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利用“三下乡”、“四下乡”等已开展4次基层业务指导、进村入户调查活动  </w:t>
            </w:r>
          </w:p>
        </w:tc>
        <w:tc>
          <w:tcPr>
            <w:tcW w:w="780" w:type="dxa"/>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5"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22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指标6:加强药具库房标准化建设，开展计划生育避孕药具的仓储调拨、发放、统计工作</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按照“三色五区”（红色-不合格区、黄色-待验区；退货区、绿色-合格区；待发 区）标准化建设，组织开展药具出入库产品名称、规格、数量、等点收；加强批号管理、在库养护、质量检查，完成率100%</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按照“三色五区”（红色-不合格区、黄色-待验区；退货区、绿色-合格区；待发 区）标准化建设，组织开展药具出入库产品名称、规格、数量、等点收；加强批号管理、在库养护、质量检查</w:t>
            </w:r>
          </w:p>
        </w:tc>
        <w:tc>
          <w:tcPr>
            <w:tcW w:w="780" w:type="dxa"/>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5"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584"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指标7：加强组织机构和队伍建设</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县区完成率不低于90%</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县区完成率达100%</w:t>
            </w:r>
          </w:p>
        </w:tc>
        <w:tc>
          <w:tcPr>
            <w:tcW w:w="780" w:type="dxa"/>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5"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114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指标8：加强服务网络建设，确保药具发放和育龄群众的易得性，加大推广以扫二维码人工和智能发放为载体的“互联网+药具发放” 模式</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加大“互联网+药具服务”，主要针对流动人口，覆盖面达90%以上</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建立人工网点注册数2254人，群众注册人数达到39365人，逐步融入“互联网+医疗健康”基本体系。</w:t>
            </w:r>
          </w:p>
        </w:tc>
        <w:tc>
          <w:tcPr>
            <w:tcW w:w="1485" w:type="dxa"/>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27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指标9：加强计划生育免费避孕药具报表管理</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县区完成率达100%</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县区已完成</w:t>
            </w:r>
          </w:p>
        </w:tc>
        <w:tc>
          <w:tcPr>
            <w:tcW w:w="1485" w:type="dxa"/>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8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质量指标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指标1：开展好干部贫困村结对帮扶工作</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完成2021年度帮扶工作任务</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主管部门2021年未下达帮扶任务</w:t>
            </w:r>
          </w:p>
        </w:tc>
        <w:tc>
          <w:tcPr>
            <w:tcW w:w="148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主管部门2021年未下达帮扶任务，制定目标时未等到主管部门通知下达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8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指标2：全面加强基层组织机构和队伍建设</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完成率100%</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已完成党支部标准化建设，达到了“六有”标准</w:t>
            </w:r>
          </w:p>
        </w:tc>
        <w:tc>
          <w:tcPr>
            <w:tcW w:w="1485" w:type="dxa"/>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6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指标3：运行维护机关办公网络</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保障正常运行使用</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保障了办公网络的正常运行使用</w:t>
            </w:r>
          </w:p>
        </w:tc>
        <w:tc>
          <w:tcPr>
            <w:tcW w:w="1485" w:type="dxa"/>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4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指标4：按省药管中心和市委、市政府要求实施好公益项目</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按要求完成任务</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c>
          <w:tcPr>
            <w:tcW w:w="780" w:type="dxa"/>
            <w:gridSpan w:val="2"/>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5"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28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时效指标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指标1：完成时间</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2021年12月底已完成</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各项任务已完成</w:t>
            </w:r>
          </w:p>
        </w:tc>
        <w:tc>
          <w:tcPr>
            <w:tcW w:w="1485" w:type="dxa"/>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285"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成本指标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指标1：金财网、药具发放网等运行维护</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正常运行</w:t>
            </w:r>
          </w:p>
        </w:tc>
        <w:tc>
          <w:tcPr>
            <w:tcW w:w="1485" w:type="dxa"/>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21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10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社会效益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指标1：提高群众对免费避孕药具的知晓度</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赢得育龄群众的认可和信任</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我站进一步扩大自助发放网点范围，对社区卫生服务中心、疾控中心、高校、酒店等人口流动量大区域配置新型自助发放机，结合微信小程序、网络等方式加大自助发放宣传力度，实现了群众在家门口便可领取免费避孕药具。</w:t>
            </w:r>
          </w:p>
        </w:tc>
        <w:tc>
          <w:tcPr>
            <w:tcW w:w="1485" w:type="dxa"/>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92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指标2：提高育龄群众的生活质量</w:t>
            </w:r>
          </w:p>
        </w:tc>
        <w:tc>
          <w:tcPr>
            <w:tcW w:w="1942"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增强育龄群众的幸福感和获得感</w:t>
            </w:r>
          </w:p>
        </w:tc>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以市县区-乡镇-村为一体的药具发放主线，利用上门发放、定点发放、网络发放、集中发放等多元化方式，宣传药具，普及避孕知识，有效指导，预防多种传染性疾病，提高广大育龄群众生活质量。</w:t>
            </w:r>
          </w:p>
        </w:tc>
        <w:tc>
          <w:tcPr>
            <w:tcW w:w="1485" w:type="dxa"/>
            <w:gridSpan w:val="4"/>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bidi w:val="0"/>
        <w:ind w:firstLine="2650" w:firstLineChars="600"/>
        <w:rPr>
          <w:rFonts w:hint="eastAsia"/>
          <w:lang w:eastAsia="zh-CN"/>
        </w:rPr>
      </w:pPr>
      <w:bookmarkStart w:id="98" w:name="_Toc13378"/>
      <w:r>
        <w:rPr>
          <w:rFonts w:hint="eastAsia"/>
          <w:lang w:eastAsia="zh-CN"/>
        </w:rPr>
        <w:t>第五部分 附表</w:t>
      </w:r>
      <w:bookmarkEnd w:id="74"/>
      <w:bookmarkEnd w:id="80"/>
      <w:bookmarkEnd w:id="98"/>
      <w:bookmarkStart w:id="99" w:name="_Toc15396619"/>
    </w:p>
    <w:p>
      <w:pPr>
        <w:pStyle w:val="4"/>
        <w:bidi w:val="0"/>
        <w:rPr>
          <w:b w:val="0"/>
          <w:bCs w:val="0"/>
        </w:rPr>
      </w:pPr>
      <w:bookmarkStart w:id="100" w:name="_Toc6304"/>
      <w:bookmarkStart w:id="101" w:name="_Toc18029"/>
      <w:r>
        <w:rPr>
          <w:rFonts w:hint="eastAsia"/>
          <w:b w:val="0"/>
          <w:bCs w:val="0"/>
        </w:rPr>
        <w:t>一、收入支出决算总表</w:t>
      </w:r>
      <w:bookmarkEnd w:id="99"/>
      <w:bookmarkEnd w:id="100"/>
      <w:bookmarkEnd w:id="101"/>
    </w:p>
    <w:p>
      <w:pPr>
        <w:pStyle w:val="4"/>
        <w:bidi w:val="0"/>
        <w:rPr>
          <w:b w:val="0"/>
          <w:bCs w:val="0"/>
        </w:rPr>
      </w:pPr>
      <w:bookmarkStart w:id="102" w:name="_Toc30966"/>
      <w:bookmarkStart w:id="103" w:name="_Toc13523"/>
      <w:bookmarkStart w:id="104" w:name="_Toc15396620"/>
      <w:r>
        <w:rPr>
          <w:rFonts w:hint="eastAsia"/>
          <w:b w:val="0"/>
          <w:bCs w:val="0"/>
        </w:rPr>
        <w:t>二、收入决算表</w:t>
      </w:r>
      <w:bookmarkEnd w:id="102"/>
      <w:bookmarkEnd w:id="103"/>
      <w:bookmarkEnd w:id="104"/>
    </w:p>
    <w:p>
      <w:pPr>
        <w:pStyle w:val="4"/>
        <w:bidi w:val="0"/>
        <w:rPr>
          <w:b w:val="0"/>
          <w:bCs w:val="0"/>
        </w:rPr>
      </w:pPr>
      <w:bookmarkStart w:id="105" w:name="_Toc2513"/>
      <w:bookmarkStart w:id="106" w:name="_Toc15396621"/>
      <w:bookmarkStart w:id="107" w:name="_Toc16966"/>
      <w:r>
        <w:rPr>
          <w:rFonts w:hint="eastAsia"/>
          <w:b w:val="0"/>
          <w:bCs w:val="0"/>
        </w:rPr>
        <w:t>三、支出决算表</w:t>
      </w:r>
      <w:bookmarkEnd w:id="105"/>
      <w:bookmarkEnd w:id="106"/>
      <w:bookmarkEnd w:id="107"/>
    </w:p>
    <w:p>
      <w:pPr>
        <w:pStyle w:val="4"/>
        <w:bidi w:val="0"/>
        <w:rPr>
          <w:b w:val="0"/>
          <w:bCs w:val="0"/>
        </w:rPr>
      </w:pPr>
      <w:bookmarkStart w:id="108" w:name="_Toc29464"/>
      <w:bookmarkStart w:id="109" w:name="_Toc25721"/>
      <w:bookmarkStart w:id="110" w:name="_Toc15396622"/>
      <w:r>
        <w:rPr>
          <w:rFonts w:hint="eastAsia"/>
          <w:b w:val="0"/>
          <w:bCs w:val="0"/>
        </w:rPr>
        <w:t>四、财政拨款收入支出决算总表</w:t>
      </w:r>
      <w:bookmarkEnd w:id="108"/>
      <w:bookmarkEnd w:id="109"/>
      <w:bookmarkEnd w:id="110"/>
    </w:p>
    <w:p>
      <w:pPr>
        <w:pStyle w:val="4"/>
        <w:bidi w:val="0"/>
        <w:rPr>
          <w:b w:val="0"/>
          <w:bCs w:val="0"/>
        </w:rPr>
      </w:pPr>
      <w:bookmarkStart w:id="111" w:name="_Toc3950"/>
      <w:bookmarkStart w:id="112" w:name="_Toc15396623"/>
      <w:bookmarkStart w:id="113" w:name="_Toc20070"/>
      <w:r>
        <w:rPr>
          <w:rFonts w:hint="eastAsia"/>
          <w:b w:val="0"/>
          <w:bCs w:val="0"/>
        </w:rPr>
        <w:t>五、财政拨款支出决算明细表</w:t>
      </w:r>
      <w:bookmarkEnd w:id="111"/>
      <w:bookmarkEnd w:id="112"/>
      <w:bookmarkEnd w:id="113"/>
      <w:bookmarkStart w:id="114" w:name="_Toc15396624"/>
    </w:p>
    <w:p>
      <w:pPr>
        <w:pStyle w:val="4"/>
        <w:bidi w:val="0"/>
        <w:rPr>
          <w:b w:val="0"/>
          <w:bCs w:val="0"/>
        </w:rPr>
      </w:pPr>
      <w:bookmarkStart w:id="115" w:name="_Toc20096"/>
      <w:bookmarkStart w:id="116" w:name="_Toc28380"/>
      <w:r>
        <w:rPr>
          <w:rFonts w:hint="eastAsia"/>
          <w:b w:val="0"/>
          <w:bCs w:val="0"/>
        </w:rPr>
        <w:t>六、一般公共预算财政拨款支出决算表</w:t>
      </w:r>
      <w:bookmarkEnd w:id="114"/>
      <w:bookmarkEnd w:id="115"/>
      <w:bookmarkEnd w:id="116"/>
    </w:p>
    <w:p>
      <w:pPr>
        <w:pStyle w:val="4"/>
        <w:bidi w:val="0"/>
        <w:rPr>
          <w:b w:val="0"/>
          <w:bCs w:val="0"/>
        </w:rPr>
      </w:pPr>
      <w:bookmarkStart w:id="117" w:name="_Toc15474"/>
      <w:bookmarkStart w:id="118" w:name="_Toc17983"/>
      <w:bookmarkStart w:id="119" w:name="_Toc15396625"/>
      <w:r>
        <w:rPr>
          <w:rFonts w:hint="eastAsia"/>
          <w:b w:val="0"/>
          <w:bCs w:val="0"/>
        </w:rPr>
        <w:t>七、一般公共预算财政拨款支出决算明细表</w:t>
      </w:r>
      <w:bookmarkEnd w:id="117"/>
      <w:bookmarkEnd w:id="118"/>
      <w:bookmarkEnd w:id="119"/>
    </w:p>
    <w:p>
      <w:pPr>
        <w:pStyle w:val="4"/>
        <w:bidi w:val="0"/>
        <w:rPr>
          <w:b w:val="0"/>
          <w:bCs w:val="0"/>
        </w:rPr>
      </w:pPr>
      <w:bookmarkStart w:id="120" w:name="_Toc13444"/>
      <w:bookmarkStart w:id="121" w:name="_Toc15396626"/>
      <w:bookmarkStart w:id="122" w:name="_Toc8648"/>
      <w:r>
        <w:rPr>
          <w:rFonts w:hint="eastAsia"/>
          <w:b w:val="0"/>
          <w:bCs w:val="0"/>
        </w:rPr>
        <w:t>八、一般公共预算财政拨款基本支出决算表</w:t>
      </w:r>
      <w:bookmarkEnd w:id="120"/>
      <w:bookmarkEnd w:id="121"/>
      <w:bookmarkEnd w:id="122"/>
    </w:p>
    <w:p>
      <w:pPr>
        <w:pStyle w:val="4"/>
        <w:bidi w:val="0"/>
        <w:rPr>
          <w:b w:val="0"/>
          <w:bCs w:val="0"/>
        </w:rPr>
      </w:pPr>
      <w:bookmarkStart w:id="123" w:name="_Toc31872"/>
      <w:bookmarkStart w:id="124" w:name="_Toc15396627"/>
      <w:bookmarkStart w:id="125" w:name="_Toc1547"/>
      <w:r>
        <w:rPr>
          <w:rFonts w:hint="eastAsia"/>
          <w:b w:val="0"/>
          <w:bCs w:val="0"/>
        </w:rPr>
        <w:t>九、一般公共预算财政拨款项目支出决算表</w:t>
      </w:r>
      <w:bookmarkEnd w:id="123"/>
      <w:bookmarkEnd w:id="124"/>
      <w:bookmarkEnd w:id="125"/>
    </w:p>
    <w:p>
      <w:pPr>
        <w:pStyle w:val="4"/>
        <w:bidi w:val="0"/>
        <w:rPr>
          <w:b w:val="0"/>
          <w:bCs w:val="0"/>
        </w:rPr>
      </w:pPr>
      <w:bookmarkStart w:id="126" w:name="_Toc30489"/>
      <w:bookmarkStart w:id="127" w:name="_Toc23526"/>
      <w:bookmarkStart w:id="128" w:name="_Toc15396628"/>
      <w:r>
        <w:rPr>
          <w:rFonts w:hint="eastAsia"/>
          <w:b w:val="0"/>
          <w:bCs w:val="0"/>
        </w:rPr>
        <w:t>十、一般公共预算财政拨款“三公”经费支出决算表</w:t>
      </w:r>
      <w:bookmarkEnd w:id="126"/>
      <w:bookmarkEnd w:id="127"/>
      <w:bookmarkEnd w:id="128"/>
    </w:p>
    <w:p>
      <w:pPr>
        <w:pStyle w:val="4"/>
        <w:bidi w:val="0"/>
        <w:rPr>
          <w:b w:val="0"/>
          <w:bCs w:val="0"/>
        </w:rPr>
      </w:pPr>
      <w:bookmarkStart w:id="129" w:name="_Toc32719"/>
      <w:bookmarkStart w:id="130" w:name="_Toc796"/>
      <w:bookmarkStart w:id="131" w:name="_Toc15396629"/>
      <w:r>
        <w:rPr>
          <w:rFonts w:hint="eastAsia"/>
          <w:b w:val="0"/>
          <w:bCs w:val="0"/>
        </w:rPr>
        <w:t>十一、政府性基金预算财政拨款收入支出决算表</w:t>
      </w:r>
      <w:bookmarkEnd w:id="129"/>
      <w:bookmarkEnd w:id="130"/>
      <w:bookmarkEnd w:id="131"/>
    </w:p>
    <w:p>
      <w:pPr>
        <w:pStyle w:val="4"/>
        <w:bidi w:val="0"/>
        <w:rPr>
          <w:b w:val="0"/>
          <w:bCs w:val="0"/>
        </w:rPr>
      </w:pPr>
      <w:bookmarkStart w:id="132" w:name="_Toc21812"/>
      <w:bookmarkStart w:id="133" w:name="_Toc15396630"/>
      <w:bookmarkStart w:id="134" w:name="_Toc22398"/>
      <w:r>
        <w:rPr>
          <w:rFonts w:hint="eastAsia"/>
          <w:b w:val="0"/>
          <w:bCs w:val="0"/>
        </w:rPr>
        <w:t>十二、政府性基金预算财政拨款“三公”经费支出决算表</w:t>
      </w:r>
      <w:bookmarkEnd w:id="132"/>
      <w:bookmarkEnd w:id="133"/>
      <w:bookmarkEnd w:id="134"/>
    </w:p>
    <w:p>
      <w:pPr>
        <w:pStyle w:val="4"/>
        <w:bidi w:val="0"/>
        <w:rPr>
          <w:rFonts w:hint="eastAsia"/>
          <w:b w:val="0"/>
          <w:bCs w:val="0"/>
        </w:rPr>
      </w:pPr>
      <w:bookmarkStart w:id="135" w:name="_Toc15193"/>
      <w:bookmarkStart w:id="136" w:name="_Toc28490"/>
      <w:bookmarkStart w:id="137" w:name="_Toc15396631"/>
      <w:r>
        <w:rPr>
          <w:rFonts w:hint="eastAsia"/>
          <w:b w:val="0"/>
          <w:bCs w:val="0"/>
        </w:rPr>
        <w:t>十三、国有资本经营预算</w:t>
      </w:r>
      <w:r>
        <w:rPr>
          <w:rFonts w:hint="eastAsia"/>
          <w:b w:val="0"/>
          <w:bCs w:val="0"/>
          <w:lang w:eastAsia="zh-CN"/>
        </w:rPr>
        <w:t>财政拨款收入</w:t>
      </w:r>
      <w:r>
        <w:rPr>
          <w:rFonts w:hint="eastAsia"/>
          <w:b w:val="0"/>
          <w:bCs w:val="0"/>
        </w:rPr>
        <w:t>支出决算表</w:t>
      </w:r>
      <w:bookmarkEnd w:id="135"/>
      <w:bookmarkEnd w:id="136"/>
      <w:bookmarkEnd w:id="137"/>
    </w:p>
    <w:p>
      <w:pPr>
        <w:pStyle w:val="4"/>
        <w:bidi w:val="0"/>
        <w:rPr>
          <w:rFonts w:hint="eastAsia"/>
          <w:b/>
          <w:bCs/>
          <w:lang w:eastAsia="zh-CN"/>
        </w:rPr>
      </w:pPr>
      <w:bookmarkStart w:id="138" w:name="_Toc6367"/>
      <w:bookmarkStart w:id="139" w:name="_Toc11901"/>
      <w:r>
        <w:rPr>
          <w:rFonts w:hint="eastAsia"/>
          <w:b w:val="0"/>
          <w:bCs w:val="0"/>
          <w:lang w:eastAsia="zh-CN"/>
        </w:rPr>
        <w:t>十四、国有资本经营预算财政拨款支出决算表</w:t>
      </w:r>
      <w:bookmarkEnd w:id="138"/>
      <w:bookmarkEnd w:id="139"/>
    </w:p>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rect id="4097" o:spid="_x0000_s2049"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9"/>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9"/>
      <w:numFmt w:val="chineseCounting"/>
      <w:suff w:val="nothing"/>
      <w:lvlText w:val="%1、"/>
      <w:lvlJc w:val="left"/>
      <w:rPr>
        <w:rFonts w:hint="eastAsia"/>
      </w:rPr>
    </w:lvl>
  </w:abstractNum>
  <w:abstractNum w:abstractNumId="1">
    <w:nsid w:val="00000001"/>
    <w:multiLevelType w:val="multilevel"/>
    <w:tmpl w:val="00000001"/>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0000002"/>
    <w:multiLevelType w:val="singleLevel"/>
    <w:tmpl w:val="00000002"/>
    <w:lvl w:ilvl="0" w:tentative="0">
      <w:start w:val="4"/>
      <w:numFmt w:val="chineseCounting"/>
      <w:suff w:val="space"/>
      <w:lvlText w:val="第%1部分"/>
      <w:lvlJc w:val="left"/>
      <w:rPr>
        <w:rFonts w:hint="eastAsia"/>
      </w:rPr>
    </w:lvl>
  </w:abstractNum>
  <w:abstractNum w:abstractNumId="3">
    <w:nsid w:val="00000003"/>
    <w:multiLevelType w:val="singleLevel"/>
    <w:tmpl w:val="0000000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GIyYTgxZmE2NGM3NjM1NGIxNjgzZDhhNzNjZWIifQ=="/>
  </w:docVars>
  <w:rsids>
    <w:rsidRoot w:val="00000000"/>
    <w:rsid w:val="16E5599D"/>
    <w:rsid w:val="2B737543"/>
    <w:rsid w:val="7F8246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
    <w:pPr>
      <w:keepNext/>
      <w:keepLines/>
      <w:spacing w:before="260" w:after="260" w:line="416" w:lineRule="auto"/>
      <w:outlineLvl w:val="1"/>
    </w:pPr>
    <w:rPr>
      <w:rFonts w:ascii="Cambria" w:hAnsi="Cambria" w:eastAsia="宋体" w:cs="宋体"/>
      <w:b/>
      <w:bCs/>
      <w:sz w:val="32"/>
      <w:szCs w:val="32"/>
    </w:rPr>
  </w:style>
  <w:style w:type="paragraph" w:styleId="5">
    <w:name w:val="heading 3"/>
    <w:basedOn w:val="1"/>
    <w:next w:val="1"/>
    <w:link w:val="29"/>
    <w:qFormat/>
    <w:uiPriority w:val="9"/>
    <w:pPr>
      <w:keepNext/>
      <w:keepLines/>
      <w:spacing w:before="260" w:after="260" w:line="416" w:lineRule="auto"/>
      <w:outlineLvl w:val="2"/>
    </w:pPr>
    <w:rPr>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customStyle="1" w:styleId="2">
    <w:name w:val="样式 行距: 固定值 28.9 磅"/>
    <w:basedOn w:val="1"/>
    <w:qFormat/>
    <w:uiPriority w:val="0"/>
    <w:pPr>
      <w:spacing w:line="578" w:lineRule="exact"/>
    </w:pPr>
    <w:rPr>
      <w:rFonts w:cs="宋体"/>
      <w:szCs w:val="20"/>
      <w:lang w:bidi="ar-SA"/>
    </w:rPr>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qFormat/>
    <w:uiPriority w:val="39"/>
    <w:pPr>
      <w:tabs>
        <w:tab w:val="right" w:leader="dot" w:pos="8296"/>
      </w:tabs>
      <w:ind w:left="840" w:leftChars="400"/>
    </w:pPr>
  </w:style>
  <w:style w:type="paragraph" w:styleId="8">
    <w:name w:val="Balloon Text"/>
    <w:basedOn w:val="1"/>
    <w:link w:val="28"/>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qFormat/>
    <w:uiPriority w:val="99"/>
    <w:rPr>
      <w:color w:val="0000FF"/>
      <w:u w:val="single"/>
    </w:rPr>
  </w:style>
  <w:style w:type="character" w:customStyle="1" w:styleId="17">
    <w:name w:val="Header Char_409f39be-184e-47d7-9bc5-b0601778346f"/>
    <w:basedOn w:val="14"/>
    <w:qFormat/>
    <w:uiPriority w:val="99"/>
    <w:rPr>
      <w:rFonts w:ascii="Times New Roman" w:hAnsi="Times New Roman"/>
      <w:sz w:val="18"/>
      <w:szCs w:val="18"/>
    </w:rPr>
  </w:style>
  <w:style w:type="character" w:customStyle="1" w:styleId="18">
    <w:name w:val="页眉 Char"/>
    <w:link w:val="10"/>
    <w:qFormat/>
    <w:uiPriority w:val="99"/>
    <w:rPr>
      <w:sz w:val="18"/>
    </w:rPr>
  </w:style>
  <w:style w:type="character" w:customStyle="1" w:styleId="19">
    <w:name w:val="Footer Char_c44f9deb-6eaa-406e-8766-8a69e18c6560"/>
    <w:basedOn w:val="14"/>
    <w:qFormat/>
    <w:uiPriority w:val="99"/>
    <w:rPr>
      <w:rFonts w:ascii="Times New Roman" w:hAnsi="Times New Roman"/>
      <w:sz w:val="18"/>
      <w:szCs w:val="18"/>
    </w:rPr>
  </w:style>
  <w:style w:type="character" w:customStyle="1" w:styleId="20">
    <w:name w:val="页脚 Char"/>
    <w:link w:val="9"/>
    <w:qFormat/>
    <w:uiPriority w:val="99"/>
    <w:rPr>
      <w:sz w:val="18"/>
    </w:rPr>
  </w:style>
  <w:style w:type="character" w:customStyle="1" w:styleId="21">
    <w:name w:val="Body Text Char"/>
    <w:basedOn w:val="14"/>
    <w:qFormat/>
    <w:uiPriority w:val="99"/>
    <w:rPr>
      <w:rFonts w:ascii="Times New Roman" w:hAnsi="Times New Roman"/>
      <w:szCs w:val="24"/>
    </w:rPr>
  </w:style>
  <w:style w:type="character" w:customStyle="1" w:styleId="22">
    <w:name w:val="正文文本 Char"/>
    <w:link w:val="6"/>
    <w:qFormat/>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Cambria" w:hAnsi="Cambria" w:eastAsia="宋体" w:cs="宋体"/>
      <w:b/>
      <w:bCs/>
      <w:kern w:val="2"/>
      <w:sz w:val="32"/>
      <w:szCs w:val="32"/>
    </w:rPr>
  </w:style>
  <w:style w:type="paragraph" w:customStyle="1" w:styleId="27">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28">
    <w:name w:val="批注框文本 Char"/>
    <w:basedOn w:val="14"/>
    <w:link w:val="8"/>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_e04dc9ea-29b5-40f2-8cd4-ea51dd2b8532"/>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paragraph" w:customStyle="1" w:styleId="31">
    <w:name w:val="WPSOffice手动目录 1"/>
    <w:qFormat/>
    <w:uiPriority w:val="0"/>
    <w:pPr>
      <w:ind w:leftChars="0"/>
    </w:pPr>
    <w:rPr>
      <w:rFonts w:ascii="Calibri" w:hAnsi="Calibri" w:eastAsia="宋体" w:cs="宋体"/>
      <w:sz w:val="20"/>
      <w:szCs w:val="20"/>
    </w:rPr>
  </w:style>
  <w:style w:type="paragraph" w:customStyle="1" w:styleId="32">
    <w:name w:val="WPSOffice手动目录 2"/>
    <w:qFormat/>
    <w:uiPriority w:val="0"/>
    <w:pPr>
      <w:ind w:leftChars="200"/>
    </w:pPr>
    <w:rPr>
      <w:rFonts w:ascii="Calibri" w:hAnsi="Calibri" w:eastAsia="宋体" w:cs="宋体"/>
      <w:sz w:val="20"/>
      <w:szCs w:val="20"/>
    </w:rPr>
  </w:style>
  <w:style w:type="character" w:customStyle="1" w:styleId="33">
    <w:name w:val="font41"/>
    <w:basedOn w:val="14"/>
    <w:qFormat/>
    <w:uiPriority w:val="0"/>
    <w:rPr>
      <w:rFonts w:hint="eastAsia" w:ascii="宋体" w:hAnsi="宋体" w:eastAsia="宋体" w:cs="宋体"/>
      <w:color w:val="000000"/>
      <w:sz w:val="24"/>
      <w:szCs w:val="24"/>
      <w:u w:val="none"/>
    </w:rPr>
  </w:style>
  <w:style w:type="character" w:customStyle="1" w:styleId="34">
    <w:name w:val="font81"/>
    <w:basedOn w:val="1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88.55万元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88.55</c:v>
                </c:pt>
              </c:numCache>
            </c:numRef>
          </c:val>
        </c:ser>
        <c:ser>
          <c:idx val="1"/>
          <c:order val="1"/>
          <c:tx>
            <c:strRef>
              <c:f>Sheet1!$C$1</c:f>
              <c:strCache>
                <c:ptCount val="1"/>
                <c:pt idx="0">
                  <c:v>2021年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101.47万元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101.47</c:v>
                </c:pt>
              </c:numCache>
            </c:numRef>
          </c:val>
        </c:ser>
        <c:dLbls>
          <c:showLegendKey val="0"/>
          <c:showVal val="1"/>
          <c:showCatName val="0"/>
          <c:showSerName val="0"/>
          <c:showPercent val="0"/>
          <c:showBubbleSize val="0"/>
        </c:dLbls>
        <c:gapWidth val="219"/>
        <c:overlap val="-27"/>
        <c:axId val="282734039"/>
        <c:axId val="265804679"/>
      </c:barChart>
      <c:catAx>
        <c:axId val="2827340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804679"/>
        <c:crosses val="autoZero"/>
        <c:auto val="1"/>
        <c:lblAlgn val="ctr"/>
        <c:lblOffset val="100"/>
        <c:noMultiLvlLbl val="0"/>
      </c:catAx>
      <c:valAx>
        <c:axId val="265804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27340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latin typeface="+mn-ea"/>
                <a:ea typeface="+mn-ea"/>
              </a:rPr>
              <a:t>支出决算结构图</a:t>
            </a:r>
            <a:endParaRPr lang="zh-CN" altLang="en-US" sz="1400" b="0">
              <a:latin typeface="+mn-ea"/>
              <a:ea typeface="+mn-ea"/>
            </a:endParaRPr>
          </a:p>
        </c:rich>
      </c:tx>
      <c:layout/>
      <c:overlay val="0"/>
    </c:title>
    <c:autoTitleDeleted val="0"/>
    <c:plotArea>
      <c:layout/>
      <c:pieChart>
        <c:varyColors val="1"/>
        <c:ser>
          <c:idx val="0"/>
          <c:order val="0"/>
          <c:tx>
            <c:strRef>
              <c:f>Sheet1!$B$1</c:f>
              <c:strCache>
                <c:ptCount val="1"/>
                <c:pt idx="0">
                  <c:v>2021年支出决算结构图</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0.96</c:v>
                </c:pt>
                <c:pt idx="1">
                  <c:v>0.04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财政拨款收、支决算总计变动情况图</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86.55万元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101.47万元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86.55</c:v>
                </c:pt>
                <c:pt idx="1">
                  <c:v>101.47</c:v>
                </c:pt>
              </c:numCache>
            </c:numRef>
          </c:val>
        </c:ser>
        <c:dLbls>
          <c:showLegendKey val="0"/>
          <c:showVal val="1"/>
          <c:showCatName val="0"/>
          <c:showSerName val="0"/>
          <c:showPercent val="0"/>
          <c:showBubbleSize val="0"/>
        </c:dLbls>
        <c:gapWidth val="150"/>
        <c:axId val="167174912"/>
        <c:axId val="167178624"/>
      </c:barChart>
      <c:catAx>
        <c:axId val="1671749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178624"/>
        <c:crosses val="autoZero"/>
        <c:auto val="1"/>
        <c:lblAlgn val="ctr"/>
        <c:lblOffset val="100"/>
        <c:noMultiLvlLbl val="0"/>
      </c:catAx>
      <c:valAx>
        <c:axId val="1671786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1749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r>
              <a:rPr lang="zh-CN" altLang="en-US" sz="1400" b="0"/>
              <a:t>一般公共预算财政拨款支出决算变动情况图</a:t>
            </a:r>
            <a:endParaRPr lang="zh-CN" altLang="en-US" sz="1400" b="0"/>
          </a:p>
        </c:rich>
      </c:tx>
      <c:layout/>
      <c:overlay val="0"/>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79.56万元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93.47万元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79.56</c:v>
                </c:pt>
                <c:pt idx="1">
                  <c:v>93.47</c:v>
                </c:pt>
              </c:numCache>
            </c:numRef>
          </c:val>
        </c:ser>
        <c:dLbls>
          <c:showLegendKey val="0"/>
          <c:showVal val="1"/>
          <c:showCatName val="0"/>
          <c:showSerName val="0"/>
          <c:showPercent val="0"/>
          <c:showBubbleSize val="0"/>
        </c:dLbls>
        <c:gapWidth val="150"/>
        <c:axId val="168341888"/>
        <c:axId val="168343808"/>
      </c:barChart>
      <c:catAx>
        <c:axId val="1683418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343808"/>
        <c:crosses val="autoZero"/>
        <c:auto val="1"/>
        <c:lblAlgn val="ctr"/>
        <c:lblOffset val="100"/>
        <c:noMultiLvlLbl val="0"/>
      </c:catAx>
      <c:valAx>
        <c:axId val="1683438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34188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solidFill>
                <a:latin typeface="+mn-lt"/>
                <a:ea typeface="+mn-ea"/>
                <a:cs typeface="+mn-cs"/>
              </a:defRPr>
            </a:pPr>
            <a:r>
              <a:rPr sz="1400" b="0"/>
              <a:t>一般公共预算财政拨款支出决算结构图</a:t>
            </a:r>
            <a:endParaRPr sz="1400" b="0"/>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84.86</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社会保障和就业（类）支出</c:v>
                </c:pt>
                <c:pt idx="1">
                  <c:v>卫生健康支出</c:v>
                </c:pt>
                <c:pt idx="2">
                  <c:v>住房保障支出</c:v>
                </c:pt>
              </c:strCache>
            </c:strRef>
          </c:cat>
          <c:val>
            <c:numRef>
              <c:f>Sheet1!$B$2:$B$4</c:f>
              <c:numCache>
                <c:formatCode>0.00%</c:formatCode>
                <c:ptCount val="3"/>
                <c:pt idx="0">
                  <c:v>0.0591</c:v>
                </c:pt>
                <c:pt idx="1">
                  <c:v>0.7932</c:v>
                </c:pt>
                <c:pt idx="2">
                  <c:v>0.0923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公务用车购置及运行维护费支出决算</c:v>
                </c:pt>
                <c:pt idx="1">
                  <c:v>公务接待费支出决算</c:v>
                </c:pt>
                <c:pt idx="2">
                  <c:v>因公出国（境）费支出决算</c:v>
                </c:pt>
              </c:strCache>
            </c:strRef>
          </c:cat>
          <c:val>
            <c:numRef>
              <c:f>Sheet1!$B$2:$B$4</c:f>
              <c:numCache>
                <c:formatCode>0.00%</c:formatCode>
                <c:ptCount val="3"/>
                <c:pt idx="0">
                  <c:v>0.7347</c:v>
                </c:pt>
                <c:pt idx="1">
                  <c:v>0.2653</c:v>
                </c:pt>
                <c:pt idx="2" c:formatCode="0%">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6946</Words>
  <Characters>7524</Characters>
  <Paragraphs>403</Paragraphs>
  <TotalTime>1</TotalTime>
  <ScaleCrop>false</ScaleCrop>
  <LinksUpToDate>false</LinksUpToDate>
  <CharactersWithSpaces>8395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中医药科:李欢</cp:lastModifiedBy>
  <cp:lastPrinted>2022-09-16T02:25:00Z</cp:lastPrinted>
  <dcterms:modified xsi:type="dcterms:W3CDTF">2023-06-25T07:43:42Z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BC177BE4E74A446294253F3C8B9DAE8F_13</vt:lpwstr>
  </property>
</Properties>
</file>