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96597"/>
      <w:bookmarkStart w:id="1" w:name="_Toc15378441"/>
      <w:bookmarkStart w:id="2" w:name="_Toc15396475"/>
      <w:bookmarkStart w:id="3" w:name="_Toc15377425"/>
      <w:bookmarkStart w:id="4" w:name="_Toc15377193"/>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4130"/>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7033"/>
      <w:bookmarkStart w:id="8" w:name="_Toc15396598"/>
      <w:bookmarkStart w:id="9" w:name="_Toc15377194"/>
      <w:bookmarkStart w:id="10" w:name="_Toc15396476"/>
      <w:bookmarkStart w:id="11" w:name="_Toc15377426"/>
      <w:bookmarkStart w:id="12" w:name="_Toc15378442"/>
      <w:r>
        <w:rPr>
          <w:rFonts w:hint="eastAsia" w:ascii="方正小标宋简体" w:hAnsi="方正小标宋简体" w:eastAsia="方正小标宋简体" w:cs="方正小标宋简体"/>
          <w:color w:val="auto"/>
          <w:sz w:val="72"/>
          <w:szCs w:val="72"/>
          <w:highlight w:val="none"/>
          <w:lang w:val="en-US" w:eastAsia="zh-CN"/>
        </w:rPr>
        <w:t>广元市</w:t>
      </w:r>
      <w:bookmarkEnd w:id="5"/>
      <w:bookmarkStart w:id="13" w:name="_Toc15306268"/>
      <w:r>
        <w:rPr>
          <w:rFonts w:hint="eastAsia" w:ascii="方正小标宋简体" w:hAnsi="方正小标宋简体" w:eastAsia="方正小标宋简体" w:cs="方正小标宋简体"/>
          <w:color w:val="auto"/>
          <w:sz w:val="72"/>
          <w:szCs w:val="72"/>
          <w:highlight w:val="none"/>
          <w:lang w:val="en-US" w:eastAsia="zh-CN"/>
        </w:rPr>
        <w:t>经济合作和外事局</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pPr>
        <w:widowControl/>
        <w:jc w:val="center"/>
        <w:rPr>
          <w:rFonts w:ascii="方正小标宋简体" w:hAnsi="宋体" w:eastAsia="方正小标宋简体"/>
          <w:color w:val="auto"/>
          <w:sz w:val="36"/>
          <w:szCs w:val="36"/>
          <w:highlight w:val="none"/>
        </w:rPr>
      </w:pPr>
      <w:r>
        <w:rPr>
          <w:rFonts w:ascii="方正小标宋简体" w:hAnsi="宋体" w:eastAsia="方正小标宋简体"/>
          <w:color w:val="auto"/>
          <w:sz w:val="36"/>
          <w:szCs w:val="36"/>
          <w:highlight w:val="none"/>
        </w:rPr>
        <w:br w:type="page"/>
      </w:r>
    </w:p>
    <w:p>
      <w:pPr>
        <w:pStyle w:val="2"/>
        <w:rPr>
          <w:rFonts w:ascii="方正小标宋简体" w:hAnsi="宋体" w:eastAsia="方正小标宋简体"/>
          <w:color w:val="auto"/>
          <w:sz w:val="36"/>
          <w:szCs w:val="36"/>
          <w:highlight w:val="none"/>
        </w:rPr>
      </w:pPr>
    </w:p>
    <w:p>
      <w:pPr>
        <w:widowControl/>
        <w:jc w:val="center"/>
        <w:rPr>
          <w:rFonts w:hint="eastAsia" w:ascii="黑体" w:hAnsi="黑体" w:eastAsia="黑体"/>
          <w:color w:val="auto"/>
          <w:sz w:val="48"/>
          <w:szCs w:val="48"/>
          <w:highlight w:val="none"/>
        </w:rPr>
      </w:pPr>
      <w:bookmarkStart w:id="113" w:name="_GoBack"/>
      <w:bookmarkEnd w:id="113"/>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rPr>
          <w:color w:val="auto"/>
          <w:highlight w:val="none"/>
        </w:rPr>
      </w:pP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bookmarkStart w:id="14" w:name="_Toc15396599"/>
      <w:bookmarkStart w:id="15" w:name="_Toc15377196"/>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color w:val="auto"/>
          <w:kern w:val="44"/>
          <w:sz w:val="32"/>
          <w:szCs w:val="32"/>
          <w:highlight w:val="none"/>
        </w:rPr>
        <w:instrText xml:space="preserve">TOC \o "1-2" \h \u </w:instrText>
      </w:r>
      <w:r>
        <w:rPr>
          <w:rFonts w:hint="default" w:ascii="Times New Roman" w:hAnsi="Times New Roman" w:eastAsia="楷体_GB2312" w:cs="Times New Roman"/>
          <w:bCs/>
          <w:color w:val="auto"/>
          <w:kern w:val="44"/>
          <w:sz w:val="32"/>
          <w:szCs w:val="32"/>
          <w:highlight w:val="none"/>
        </w:rPr>
        <w:fldChar w:fldCharType="separate"/>
      </w: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_Toc30126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highlight w:val="none"/>
        </w:rPr>
        <w:t xml:space="preserve">第一部分 </w:t>
      </w:r>
      <w:r>
        <w:rPr>
          <w:rFonts w:hint="default" w:ascii="Times New Roman" w:hAnsi="Times New Roman" w:eastAsia="楷体_GB2312" w:cs="Times New Roman"/>
          <w:bCs w:val="0"/>
          <w:sz w:val="32"/>
          <w:szCs w:val="32"/>
          <w:highlight w:val="none"/>
        </w:rPr>
        <w:t>部门概况</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_Toc30126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_Toc27097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highlight w:val="none"/>
        </w:rPr>
        <w:t>一、基</w:t>
      </w:r>
      <w:r>
        <w:rPr>
          <w:rFonts w:hint="default" w:ascii="Times New Roman" w:hAnsi="Times New Roman" w:eastAsia="楷体_GB2312" w:cs="Times New Roman"/>
          <w:bCs w:val="0"/>
          <w:sz w:val="32"/>
          <w:szCs w:val="32"/>
          <w:highlight w:val="none"/>
        </w:rPr>
        <w:t>本职能及主要工作</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_Toc27097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_Toc24230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highlight w:val="none"/>
        </w:rPr>
        <w:t>二、机</w:t>
      </w:r>
      <w:r>
        <w:rPr>
          <w:rFonts w:hint="default" w:ascii="Times New Roman" w:hAnsi="Times New Roman" w:eastAsia="楷体_GB2312" w:cs="Times New Roman"/>
          <w:bCs w:val="0"/>
          <w:sz w:val="32"/>
          <w:szCs w:val="32"/>
          <w:highlight w:val="none"/>
        </w:rPr>
        <w:t>构设置</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_Toc24230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7</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_Toc16192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bCs/>
          <w:sz w:val="32"/>
          <w:szCs w:val="32"/>
          <w:highlight w:val="none"/>
        </w:rPr>
        <w:t xml:space="preserve">第二部分 </w:t>
      </w:r>
      <w:r>
        <w:rPr>
          <w:rFonts w:hint="default" w:ascii="Times New Roman" w:hAnsi="Times New Roman" w:eastAsia="楷体_GB2312" w:cs="Times New Roman"/>
          <w:bCs/>
          <w:sz w:val="32"/>
          <w:szCs w:val="32"/>
          <w:highlight w:val="none"/>
          <w:lang w:val="en-US" w:eastAsia="zh-CN"/>
        </w:rPr>
        <w:t>2021年度</w:t>
      </w:r>
      <w:r>
        <w:rPr>
          <w:rFonts w:hint="default" w:ascii="Times New Roman" w:hAnsi="Times New Roman" w:eastAsia="楷体_GB2312" w:cs="Times New Roman"/>
          <w:bCs/>
          <w:sz w:val="32"/>
          <w:szCs w:val="32"/>
          <w:highlight w:val="none"/>
        </w:rPr>
        <w:t>部门决算情况说明</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_Toc16192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8</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_Toc1955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rPr>
        <w:t xml:space="preserve">一、 </w:t>
      </w:r>
      <w:r>
        <w:rPr>
          <w:rFonts w:hint="default" w:ascii="Times New Roman" w:hAnsi="Times New Roman" w:eastAsia="楷体_GB2312" w:cs="Times New Roman"/>
          <w:sz w:val="32"/>
          <w:szCs w:val="32"/>
          <w:highlight w:val="none"/>
        </w:rPr>
        <w:t>收入支出决算总体情况说明</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_Toc1955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8</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_Toc14939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rPr>
        <w:t xml:space="preserve">二、 </w:t>
      </w:r>
      <w:r>
        <w:rPr>
          <w:rFonts w:hint="default" w:ascii="Times New Roman" w:hAnsi="Times New Roman" w:eastAsia="楷体_GB2312" w:cs="Times New Roman"/>
          <w:sz w:val="32"/>
          <w:szCs w:val="32"/>
          <w:highlight w:val="none"/>
        </w:rPr>
        <w:t>收入决算情况说明</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_Toc14939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8</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_Toc22354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rPr>
        <w:t xml:space="preserve">三、 </w:t>
      </w:r>
      <w:r>
        <w:rPr>
          <w:rFonts w:hint="default" w:ascii="Times New Roman" w:hAnsi="Times New Roman" w:eastAsia="楷体_GB2312" w:cs="Times New Roman"/>
          <w:sz w:val="32"/>
          <w:szCs w:val="32"/>
          <w:highlight w:val="none"/>
        </w:rPr>
        <w:t>支出决算情况说明</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_Toc22354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9</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_Toc15278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highlight w:val="none"/>
        </w:rPr>
        <w:t>四、财政拨款收入支出决算总体情况说明</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_Toc15278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10</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_Toc7195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highlight w:val="none"/>
        </w:rPr>
        <w:t>五、一般公共预算财政拨款支出决算情况说明</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_Toc7195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10</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_Toc25225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highlight w:val="none"/>
        </w:rPr>
        <w:t>六、一般公共预算财政拨款基本支出决算情况说明</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_Toc25225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13</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_Toc11603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highlight w:val="none"/>
        </w:rPr>
        <w:t>七、“三公”经费财政拨款支出决算情况说明</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_Toc11603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14</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_Toc13093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highlight w:val="none"/>
        </w:rPr>
        <w:t>八、政府性基金预算支出决算情况说明</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_Toc13093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15</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_Toc28112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rPr>
        <w:t xml:space="preserve">九、 </w:t>
      </w:r>
      <w:r>
        <w:rPr>
          <w:rFonts w:hint="default" w:ascii="Times New Roman" w:hAnsi="Times New Roman" w:eastAsia="楷体_GB2312" w:cs="Times New Roman"/>
          <w:sz w:val="32"/>
          <w:szCs w:val="32"/>
          <w:highlight w:val="none"/>
        </w:rPr>
        <w:t>国有资本经营预算支出决算情况说明</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_Toc28112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15</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_Toc7518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rPr>
        <w:t xml:space="preserve">十、 </w:t>
      </w:r>
      <w:r>
        <w:rPr>
          <w:rFonts w:hint="default" w:ascii="Times New Roman" w:hAnsi="Times New Roman" w:eastAsia="楷体_GB2312" w:cs="Times New Roman"/>
          <w:sz w:val="32"/>
          <w:szCs w:val="32"/>
          <w:highlight w:val="none"/>
          <w:lang w:val="en-US" w:eastAsia="zh-CN"/>
        </w:rPr>
        <w:t>预算绩效管理情况</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_Toc7518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16</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_Toc29334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rPr>
        <w:t xml:space="preserve">十一、 </w:t>
      </w:r>
      <w:r>
        <w:rPr>
          <w:rFonts w:hint="default" w:ascii="Times New Roman" w:hAnsi="Times New Roman" w:eastAsia="楷体_GB2312" w:cs="Times New Roman"/>
          <w:sz w:val="32"/>
          <w:szCs w:val="32"/>
          <w:highlight w:val="none"/>
        </w:rPr>
        <w:t>其他重要事项的情况说明</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_Toc29334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16</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_Toc13417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rPr>
        <w:t xml:space="preserve">第三部分 </w:t>
      </w:r>
      <w:r>
        <w:rPr>
          <w:rFonts w:hint="default" w:ascii="Times New Roman" w:hAnsi="Times New Roman" w:eastAsia="楷体_GB2312" w:cs="Times New Roman"/>
          <w:sz w:val="32"/>
          <w:szCs w:val="32"/>
          <w:highlight w:val="none"/>
        </w:rPr>
        <w:t>名词解释</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_Toc13417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18</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_Toc9993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highlight w:val="none"/>
        </w:rPr>
        <w:t>第四部分 附件</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_Toc9993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21</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_Toc7307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highlight w:val="none"/>
        </w:rPr>
        <w:t>第五部分 附表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_Toc7307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_Toc490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highlight w:val="none"/>
        </w:rPr>
        <w:t>一、收</w:t>
      </w:r>
      <w:r>
        <w:rPr>
          <w:rFonts w:hint="default" w:ascii="Times New Roman" w:hAnsi="Times New Roman" w:eastAsia="楷体_GB2312" w:cs="Times New Roman"/>
          <w:bCs w:val="0"/>
          <w:sz w:val="32"/>
          <w:szCs w:val="32"/>
          <w:highlight w:val="none"/>
        </w:rPr>
        <w:t>入支出决算总表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_Toc490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_Toc24283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sz w:val="32"/>
          <w:szCs w:val="32"/>
          <w:highlight w:val="none"/>
        </w:rPr>
        <w:t>二、收</w:t>
      </w:r>
      <w:r>
        <w:rPr>
          <w:rFonts w:hint="default" w:ascii="Times New Roman" w:hAnsi="Times New Roman" w:eastAsia="楷体_GB2312" w:cs="Times New Roman"/>
          <w:bCs w:val="0"/>
          <w:sz w:val="32"/>
          <w:szCs w:val="32"/>
          <w:highlight w:val="none"/>
        </w:rPr>
        <w:t>入决算表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_Toc24283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_Toc6728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bCs w:val="0"/>
          <w:sz w:val="32"/>
          <w:szCs w:val="32"/>
          <w:highlight w:val="none"/>
        </w:rPr>
        <w:t>三、</w:t>
      </w:r>
      <w:r>
        <w:rPr>
          <w:rFonts w:hint="default" w:ascii="Times New Roman" w:hAnsi="Times New Roman" w:eastAsia="楷体_GB2312" w:cs="Times New Roman"/>
          <w:sz w:val="32"/>
          <w:szCs w:val="32"/>
          <w:highlight w:val="none"/>
        </w:rPr>
        <w:t>支</w:t>
      </w:r>
      <w:r>
        <w:rPr>
          <w:rFonts w:hint="default" w:ascii="Times New Roman" w:hAnsi="Times New Roman" w:eastAsia="楷体_GB2312" w:cs="Times New Roman"/>
          <w:bCs w:val="0"/>
          <w:sz w:val="32"/>
          <w:szCs w:val="32"/>
          <w:highlight w:val="none"/>
        </w:rPr>
        <w:t>出决算表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_Toc6728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_Toc17646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bCs w:val="0"/>
          <w:sz w:val="32"/>
          <w:szCs w:val="32"/>
          <w:highlight w:val="none"/>
        </w:rPr>
        <w:t>四、</w:t>
      </w:r>
      <w:r>
        <w:rPr>
          <w:rFonts w:hint="default" w:ascii="Times New Roman" w:hAnsi="Times New Roman" w:eastAsia="楷体_GB2312" w:cs="Times New Roman"/>
          <w:sz w:val="32"/>
          <w:szCs w:val="32"/>
          <w:highlight w:val="none"/>
        </w:rPr>
        <w:t>财</w:t>
      </w:r>
      <w:r>
        <w:rPr>
          <w:rFonts w:hint="default" w:ascii="Times New Roman" w:hAnsi="Times New Roman" w:eastAsia="楷体_GB2312" w:cs="Times New Roman"/>
          <w:bCs w:val="0"/>
          <w:sz w:val="32"/>
          <w:szCs w:val="32"/>
          <w:highlight w:val="none"/>
        </w:rPr>
        <w:t>政拨款收入支出决算总表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_Toc17646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_Toc29480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bCs w:val="0"/>
          <w:sz w:val="32"/>
          <w:szCs w:val="32"/>
          <w:highlight w:val="none"/>
        </w:rPr>
        <w:t>五、</w:t>
      </w:r>
      <w:r>
        <w:rPr>
          <w:rFonts w:hint="default" w:ascii="Times New Roman" w:hAnsi="Times New Roman" w:eastAsia="楷体_GB2312" w:cs="Times New Roman"/>
          <w:sz w:val="32"/>
          <w:szCs w:val="32"/>
          <w:highlight w:val="none"/>
        </w:rPr>
        <w:t>财</w:t>
      </w:r>
      <w:r>
        <w:rPr>
          <w:rFonts w:hint="default" w:ascii="Times New Roman" w:hAnsi="Times New Roman" w:eastAsia="楷体_GB2312" w:cs="Times New Roman"/>
          <w:bCs w:val="0"/>
          <w:sz w:val="32"/>
          <w:szCs w:val="32"/>
          <w:highlight w:val="none"/>
        </w:rPr>
        <w:t>政拨款支出决算明细表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_Toc29480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_Toc20267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bCs w:val="0"/>
          <w:sz w:val="32"/>
          <w:szCs w:val="32"/>
          <w:highlight w:val="none"/>
        </w:rPr>
        <w:t>六、</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bCs w:val="0"/>
          <w:sz w:val="32"/>
          <w:szCs w:val="32"/>
          <w:highlight w:val="none"/>
        </w:rPr>
        <w:t>般公共预算财政拨款支出决算表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_Toc20267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_Toc29569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bCs w:val="0"/>
          <w:sz w:val="32"/>
          <w:szCs w:val="32"/>
          <w:highlight w:val="none"/>
        </w:rPr>
        <w:t>七、</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bCs w:val="0"/>
          <w:sz w:val="32"/>
          <w:szCs w:val="32"/>
          <w:highlight w:val="none"/>
        </w:rPr>
        <w:t>般公共预算财政拨款支出决算明细表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_Toc29569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_Toc22545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bCs w:val="0"/>
          <w:sz w:val="32"/>
          <w:szCs w:val="32"/>
          <w:highlight w:val="none"/>
        </w:rPr>
        <w:t>八、</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bCs w:val="0"/>
          <w:sz w:val="32"/>
          <w:szCs w:val="32"/>
          <w:highlight w:val="none"/>
        </w:rPr>
        <w:t>般公共预算财政拨款基本支出决算表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_Toc22545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_Toc1432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bCs w:val="0"/>
          <w:sz w:val="32"/>
          <w:szCs w:val="32"/>
          <w:highlight w:val="none"/>
        </w:rPr>
        <w:t>九、</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bCs w:val="0"/>
          <w:sz w:val="32"/>
          <w:szCs w:val="32"/>
          <w:highlight w:val="none"/>
        </w:rPr>
        <w:t>般公共预算财政拨款项目支出决算表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_Toc1432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_Toc15249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bCs w:val="0"/>
          <w:sz w:val="32"/>
          <w:szCs w:val="32"/>
          <w:highlight w:val="none"/>
        </w:rPr>
        <w:t>十、</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bCs w:val="0"/>
          <w:sz w:val="32"/>
          <w:szCs w:val="32"/>
          <w:highlight w:val="none"/>
        </w:rPr>
        <w:t>般公共预算财政拨款“三公”经费支出决算表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_Toc15249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_Toc11630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bCs w:val="0"/>
          <w:sz w:val="32"/>
          <w:szCs w:val="32"/>
          <w:highlight w:val="none"/>
        </w:rPr>
        <w:t>十一、</w:t>
      </w:r>
      <w:r>
        <w:rPr>
          <w:rFonts w:hint="default" w:ascii="Times New Roman" w:hAnsi="Times New Roman" w:eastAsia="楷体_GB2312" w:cs="Times New Roman"/>
          <w:sz w:val="32"/>
          <w:szCs w:val="32"/>
          <w:highlight w:val="none"/>
        </w:rPr>
        <w:t>政</w:t>
      </w:r>
      <w:r>
        <w:rPr>
          <w:rFonts w:hint="default" w:ascii="Times New Roman" w:hAnsi="Times New Roman" w:eastAsia="楷体_GB2312" w:cs="Times New Roman"/>
          <w:bCs w:val="0"/>
          <w:sz w:val="32"/>
          <w:szCs w:val="32"/>
          <w:highlight w:val="none"/>
        </w:rPr>
        <w:t>府性基金预算财政拨款收入支出决算表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_Toc11630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_Toc28204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bCs w:val="0"/>
          <w:sz w:val="32"/>
          <w:szCs w:val="32"/>
          <w:highlight w:val="none"/>
        </w:rPr>
        <w:t>十二、</w:t>
      </w:r>
      <w:r>
        <w:rPr>
          <w:rFonts w:hint="default" w:ascii="Times New Roman" w:hAnsi="Times New Roman" w:eastAsia="楷体_GB2312" w:cs="Times New Roman"/>
          <w:sz w:val="32"/>
          <w:szCs w:val="32"/>
          <w:highlight w:val="none"/>
        </w:rPr>
        <w:t>政</w:t>
      </w:r>
      <w:r>
        <w:rPr>
          <w:rFonts w:hint="default" w:ascii="Times New Roman" w:hAnsi="Times New Roman" w:eastAsia="楷体_GB2312" w:cs="Times New Roman"/>
          <w:bCs w:val="0"/>
          <w:sz w:val="32"/>
          <w:szCs w:val="32"/>
          <w:highlight w:val="none"/>
        </w:rPr>
        <w:t>府性基金预算财政拨款“三公”经费支出决算表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_Toc28204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_Toc13280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bCs w:val="0"/>
          <w:sz w:val="32"/>
          <w:szCs w:val="32"/>
          <w:highlight w:val="none"/>
        </w:rPr>
        <w:t>十三、</w:t>
      </w:r>
      <w:r>
        <w:rPr>
          <w:rFonts w:hint="default" w:ascii="Times New Roman" w:hAnsi="Times New Roman" w:eastAsia="楷体_GB2312" w:cs="Times New Roman"/>
          <w:sz w:val="32"/>
          <w:szCs w:val="32"/>
          <w:highlight w:val="none"/>
        </w:rPr>
        <w:t>国</w:t>
      </w:r>
      <w:r>
        <w:rPr>
          <w:rFonts w:hint="default" w:ascii="Times New Roman" w:hAnsi="Times New Roman" w:eastAsia="楷体_GB2312" w:cs="Times New Roman"/>
          <w:bCs w:val="0"/>
          <w:sz w:val="32"/>
          <w:szCs w:val="32"/>
          <w:highlight w:val="none"/>
        </w:rPr>
        <w:t>有资本经营预算</w:t>
      </w:r>
      <w:r>
        <w:rPr>
          <w:rFonts w:hint="default" w:ascii="Times New Roman" w:hAnsi="Times New Roman" w:eastAsia="楷体_GB2312" w:cs="Times New Roman"/>
          <w:bCs w:val="0"/>
          <w:sz w:val="32"/>
          <w:szCs w:val="32"/>
          <w:highlight w:val="none"/>
          <w:lang w:eastAsia="zh-CN"/>
        </w:rPr>
        <w:t>财政拨款收入</w:t>
      </w:r>
      <w:r>
        <w:rPr>
          <w:rFonts w:hint="default" w:ascii="Times New Roman" w:hAnsi="Times New Roman" w:eastAsia="楷体_GB2312" w:cs="Times New Roman"/>
          <w:bCs w:val="0"/>
          <w:sz w:val="32"/>
          <w:szCs w:val="32"/>
          <w:highlight w:val="none"/>
        </w:rPr>
        <w:t>支出决算表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_Toc13280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pStyle w:val="13"/>
        <w:keepNext w:val="0"/>
        <w:keepLines w:val="0"/>
        <w:pageBreakBefore w:val="0"/>
        <w:tabs>
          <w:tab w:val="right" w:leader="dot" w:pos="8306"/>
          <w:tab w:val="clear" w:pos="8296"/>
        </w:tabs>
        <w:kinsoku/>
        <w:wordWrap/>
        <w:overflowPunct/>
        <w:topLinePunct w:val="0"/>
        <w:autoSpaceDE/>
        <w:autoSpaceDN/>
        <w:bidi w:val="0"/>
        <w:adjustRightInd/>
        <w:snapToGrid/>
        <w:spacing w:line="60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color w:val="auto"/>
          <w:kern w:val="44"/>
          <w:sz w:val="32"/>
          <w:szCs w:val="32"/>
          <w:highlight w:val="none"/>
        </w:rPr>
        <w:fldChar w:fldCharType="begin"/>
      </w:r>
      <w:r>
        <w:rPr>
          <w:rFonts w:hint="default" w:ascii="Times New Roman" w:hAnsi="Times New Roman" w:eastAsia="楷体_GB2312" w:cs="Times New Roman"/>
          <w:bCs/>
          <w:kern w:val="44"/>
          <w:sz w:val="32"/>
          <w:szCs w:val="32"/>
          <w:highlight w:val="none"/>
        </w:rPr>
        <w:instrText xml:space="preserve"> HYPERLINK \l _Toc10795 </w:instrText>
      </w:r>
      <w:r>
        <w:rPr>
          <w:rFonts w:hint="default" w:ascii="Times New Roman" w:hAnsi="Times New Roman" w:eastAsia="楷体_GB2312" w:cs="Times New Roman"/>
          <w:bCs/>
          <w:kern w:val="44"/>
          <w:sz w:val="32"/>
          <w:szCs w:val="32"/>
          <w:highlight w:val="none"/>
        </w:rPr>
        <w:fldChar w:fldCharType="separate"/>
      </w:r>
      <w:r>
        <w:rPr>
          <w:rFonts w:hint="default" w:ascii="Times New Roman" w:hAnsi="Times New Roman" w:eastAsia="楷体_GB2312" w:cs="Times New Roman"/>
          <w:bCs w:val="0"/>
          <w:sz w:val="32"/>
          <w:szCs w:val="32"/>
          <w:highlight w:val="none"/>
          <w:lang w:eastAsia="zh-CN"/>
        </w:rPr>
        <w:t>十四、国有资本经营预算财政拨款支出决算表</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_Toc10795 \h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42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bCs/>
          <w:color w:val="auto"/>
          <w:kern w:val="44"/>
          <w:sz w:val="32"/>
          <w:szCs w:val="32"/>
          <w:highlight w:val="none"/>
        </w:rPr>
        <w:fldChar w:fldCharType="end"/>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 w:hAnsi="仿宋" w:eastAsia="仿宋"/>
          <w:bCs/>
          <w:color w:val="auto"/>
          <w:kern w:val="44"/>
          <w:sz w:val="24"/>
          <w:highlight w:val="none"/>
        </w:rPr>
      </w:pPr>
      <w:r>
        <w:rPr>
          <w:rFonts w:hint="default" w:ascii="Times New Roman" w:hAnsi="Times New Roman" w:eastAsia="楷体_GB2312" w:cs="Times New Roman"/>
          <w:bCs/>
          <w:color w:val="auto"/>
          <w:kern w:val="44"/>
          <w:sz w:val="32"/>
          <w:szCs w:val="32"/>
          <w:highlight w:val="none"/>
        </w:rPr>
        <w:fldChar w:fldCharType="end"/>
      </w:r>
    </w:p>
    <w:p>
      <w:pPr>
        <w:pStyle w:val="2"/>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2"/>
      </w:pPr>
    </w:p>
    <w:p>
      <w:pPr>
        <w:pStyle w:val="3"/>
        <w:keepNext/>
        <w:keepLines/>
        <w:pageBreakBefore w:val="0"/>
        <w:widowControl w:val="0"/>
        <w:kinsoku/>
        <w:wordWrap/>
        <w:overflowPunct/>
        <w:topLinePunct w:val="0"/>
        <w:autoSpaceDE/>
        <w:autoSpaceDN/>
        <w:bidi w:val="0"/>
        <w:adjustRightInd/>
        <w:snapToGrid/>
        <w:spacing w:line="579" w:lineRule="auto"/>
        <w:jc w:val="center"/>
        <w:textAlignment w:val="auto"/>
        <w:rPr>
          <w:rFonts w:ascii="黑体" w:eastAsia="黑体"/>
          <w:color w:val="auto"/>
          <w:sz w:val="32"/>
          <w:szCs w:val="32"/>
          <w:highlight w:val="none"/>
        </w:rPr>
      </w:pPr>
      <w:bookmarkStart w:id="16" w:name="_Toc30126"/>
      <w:r>
        <w:rPr>
          <w:rFonts w:hint="eastAsia" w:ascii="黑体" w:hAnsi="黑体" w:eastAsia="黑体"/>
          <w:b w:val="0"/>
          <w:color w:val="auto"/>
          <w:highlight w:val="none"/>
        </w:rPr>
        <w:t xml:space="preserve">第一部分 </w:t>
      </w:r>
      <w:r>
        <w:rPr>
          <w:rStyle w:val="20"/>
          <w:rFonts w:hint="eastAsia" w:ascii="黑体" w:hAnsi="黑体" w:eastAsia="黑体"/>
          <w:b w:val="0"/>
          <w:bCs w:val="0"/>
          <w:color w:val="auto"/>
          <w:highlight w:val="none"/>
        </w:rPr>
        <w:t>部门概况</w:t>
      </w:r>
      <w:bookmarkEnd w:id="14"/>
      <w:bookmarkEnd w:id="15"/>
      <w:bookmarkEnd w:id="16"/>
    </w:p>
    <w:p>
      <w:pPr>
        <w:pStyle w:val="4"/>
        <w:rPr>
          <w:rStyle w:val="21"/>
          <w:rFonts w:ascii="仿宋" w:hAnsi="仿宋" w:eastAsia="仿宋"/>
          <w:b w:val="0"/>
          <w:bCs w:val="0"/>
          <w:color w:val="auto"/>
          <w:highlight w:val="none"/>
        </w:rPr>
      </w:pPr>
      <w:bookmarkStart w:id="17" w:name="_Toc15377197"/>
      <w:bookmarkStart w:id="18" w:name="_Toc27097"/>
      <w:bookmarkStart w:id="19" w:name="_Toc15396600"/>
      <w:r>
        <w:rPr>
          <w:rFonts w:hint="eastAsia" w:ascii="黑体" w:hAnsi="黑体" w:eastAsia="黑体"/>
          <w:b w:val="0"/>
          <w:color w:val="auto"/>
          <w:highlight w:val="none"/>
        </w:rPr>
        <w:t>一、基</w:t>
      </w:r>
      <w:r>
        <w:rPr>
          <w:rStyle w:val="21"/>
          <w:rFonts w:hint="eastAsia" w:ascii="黑体" w:hAnsi="黑体" w:eastAsia="黑体"/>
          <w:b w:val="0"/>
          <w:bCs w:val="0"/>
          <w:color w:val="auto"/>
          <w:highlight w:val="none"/>
        </w:rPr>
        <w:t>本职能及主要工作</w:t>
      </w:r>
      <w:bookmarkEnd w:id="17"/>
      <w:bookmarkEnd w:id="18"/>
      <w:bookmarkEnd w:id="19"/>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20" w:name="_Toc15377198"/>
      <w:bookmarkStart w:id="21" w:name="_Toc15378445"/>
      <w:r>
        <w:rPr>
          <w:rFonts w:hint="eastAsia" w:ascii="仿宋" w:hAnsi="仿宋" w:eastAsia="仿宋"/>
          <w:bCs/>
          <w:color w:val="auto"/>
          <w:sz w:val="32"/>
          <w:szCs w:val="32"/>
          <w:highlight w:val="none"/>
        </w:rPr>
        <w:t>（一）主要职能。（职能参照省政府批准的三定方案）</w:t>
      </w:r>
      <w:bookmarkEnd w:id="20"/>
      <w:bookmarkEnd w:id="21"/>
    </w:p>
    <w:p>
      <w:pPr>
        <w:pStyle w:val="6"/>
        <w:keepNext w:val="0"/>
        <w:keepLines w:val="0"/>
        <w:pageBreakBefore w:val="0"/>
        <w:widowControl w:val="0"/>
        <w:kinsoku/>
        <w:wordWrap/>
        <w:overflowPunct/>
        <w:topLinePunct w:val="0"/>
        <w:bidi w:val="0"/>
        <w:adjustRightInd w:val="0"/>
        <w:snapToGrid w:val="0"/>
        <w:spacing w:beforeLines="0" w:line="574" w:lineRule="exact"/>
        <w:ind w:left="0" w:leftChars="0" w:right="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hint="eastAsia" w:ascii="Times New Roman" w:cs="Times New Roman"/>
          <w:bCs/>
          <w:color w:val="000000"/>
          <w:sz w:val="32"/>
          <w:szCs w:val="32"/>
          <w:lang w:val="en-US" w:eastAsia="zh-CN"/>
        </w:rPr>
        <w:t>.</w:t>
      </w:r>
      <w:r>
        <w:rPr>
          <w:rFonts w:hint="default" w:ascii="Times New Roman" w:hAnsi="Times New Roman" w:eastAsia="仿宋_GB2312" w:cs="Times New Roman"/>
          <w:bCs/>
          <w:color w:val="000000"/>
          <w:sz w:val="32"/>
          <w:szCs w:val="32"/>
        </w:rPr>
        <w:t>负责推进投资促进等有关领域的经济合作（以下简称经济合作）。参与起草有关经济合作的地方性法规和规章草案。参与拟订全市经济合作的中长期规划和年度计划并组织实施。</w:t>
      </w:r>
    </w:p>
    <w:p>
      <w:pPr>
        <w:pStyle w:val="6"/>
        <w:keepNext w:val="0"/>
        <w:keepLines w:val="0"/>
        <w:pageBreakBefore w:val="0"/>
        <w:widowControl w:val="0"/>
        <w:kinsoku/>
        <w:wordWrap/>
        <w:overflowPunct/>
        <w:topLinePunct w:val="0"/>
        <w:bidi w:val="0"/>
        <w:adjustRightInd w:val="0"/>
        <w:snapToGrid w:val="0"/>
        <w:spacing w:beforeLines="0" w:line="574" w:lineRule="exact"/>
        <w:ind w:left="0" w:leftChars="0" w:right="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eastAsia" w:ascii="Times New Roman" w:cs="Times New Roman"/>
          <w:bCs/>
          <w:color w:val="000000"/>
          <w:sz w:val="32"/>
          <w:szCs w:val="32"/>
          <w:lang w:val="en-US" w:eastAsia="zh-CN"/>
        </w:rPr>
        <w:t>.</w:t>
      </w:r>
      <w:r>
        <w:rPr>
          <w:rFonts w:hint="default" w:ascii="Times New Roman" w:hAnsi="Times New Roman" w:eastAsia="仿宋_GB2312" w:cs="Times New Roman"/>
          <w:bCs/>
          <w:color w:val="000000"/>
          <w:sz w:val="32"/>
          <w:szCs w:val="32"/>
        </w:rPr>
        <w:t>统筹指导全市投资促进工作。拟订全市投资促进政策、投资促进中长期规划和年度计划并组织实施。负责全市投资环境推介工作。统筹组织市级重大投资促进活动。牵头全市重大招商引资项目的促进和落实。推进投资促进和管理服务网络体系建设。</w:t>
      </w:r>
    </w:p>
    <w:p>
      <w:pPr>
        <w:pStyle w:val="6"/>
        <w:keepNext w:val="0"/>
        <w:keepLines w:val="0"/>
        <w:pageBreakBefore w:val="0"/>
        <w:widowControl w:val="0"/>
        <w:kinsoku/>
        <w:wordWrap/>
        <w:overflowPunct/>
        <w:topLinePunct w:val="0"/>
        <w:bidi w:val="0"/>
        <w:adjustRightInd w:val="0"/>
        <w:snapToGrid w:val="0"/>
        <w:spacing w:beforeLines="0" w:line="574" w:lineRule="exact"/>
        <w:ind w:left="0" w:leftChars="0" w:right="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w:t>
      </w:r>
      <w:r>
        <w:rPr>
          <w:rFonts w:hint="eastAsia" w:ascii="Times New Roman" w:cs="Times New Roman"/>
          <w:bCs/>
          <w:color w:val="000000"/>
          <w:sz w:val="32"/>
          <w:szCs w:val="32"/>
          <w:lang w:val="en-US" w:eastAsia="zh-CN"/>
        </w:rPr>
        <w:t>.</w:t>
      </w:r>
      <w:r>
        <w:rPr>
          <w:rFonts w:hint="default" w:ascii="Times New Roman" w:hAnsi="Times New Roman" w:eastAsia="仿宋_GB2312" w:cs="Times New Roman"/>
          <w:bCs/>
          <w:color w:val="000000"/>
          <w:sz w:val="32"/>
          <w:szCs w:val="32"/>
        </w:rPr>
        <w:t>指导外商投资促进和管理工作。参与拟订外商投资政策和改革方案并组织实施。统计分析全市外商投资情况。依法监督检查外商投资企业执行有关法律法规规章、合同章程的情况并协调解决有关问题。</w:t>
      </w:r>
    </w:p>
    <w:p>
      <w:pPr>
        <w:pStyle w:val="6"/>
        <w:keepNext w:val="0"/>
        <w:keepLines w:val="0"/>
        <w:pageBreakBefore w:val="0"/>
        <w:widowControl w:val="0"/>
        <w:kinsoku/>
        <w:wordWrap/>
        <w:overflowPunct/>
        <w:topLinePunct w:val="0"/>
        <w:bidi w:val="0"/>
        <w:adjustRightInd w:val="0"/>
        <w:snapToGrid w:val="0"/>
        <w:spacing w:beforeLines="0" w:line="574" w:lineRule="exact"/>
        <w:ind w:left="0" w:leftChars="0" w:right="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w:t>
      </w:r>
      <w:r>
        <w:rPr>
          <w:rFonts w:hint="eastAsia" w:ascii="Times New Roman" w:cs="Times New Roman"/>
          <w:bCs/>
          <w:color w:val="000000"/>
          <w:sz w:val="32"/>
          <w:szCs w:val="32"/>
          <w:lang w:val="en-US" w:eastAsia="zh-CN"/>
        </w:rPr>
        <w:t>.</w:t>
      </w:r>
      <w:r>
        <w:rPr>
          <w:rFonts w:hint="default" w:ascii="Times New Roman" w:hAnsi="Times New Roman" w:eastAsia="仿宋_GB2312" w:cs="Times New Roman"/>
          <w:bCs/>
          <w:color w:val="000000"/>
          <w:sz w:val="32"/>
          <w:szCs w:val="32"/>
        </w:rPr>
        <w:t>参与推进我市与国（境）内外相关区域合作。承担我市与国（境）内外相关区域经济合作活动的有关具体工作。</w:t>
      </w:r>
    </w:p>
    <w:p>
      <w:pPr>
        <w:pStyle w:val="6"/>
        <w:keepNext w:val="0"/>
        <w:keepLines w:val="0"/>
        <w:pageBreakBefore w:val="0"/>
        <w:widowControl w:val="0"/>
        <w:kinsoku/>
        <w:wordWrap/>
        <w:overflowPunct/>
        <w:topLinePunct w:val="0"/>
        <w:bidi w:val="0"/>
        <w:adjustRightInd w:val="0"/>
        <w:snapToGrid w:val="0"/>
        <w:spacing w:beforeLines="0" w:line="574" w:lineRule="exact"/>
        <w:ind w:left="0" w:leftChars="0" w:right="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w:t>
      </w:r>
      <w:r>
        <w:rPr>
          <w:rFonts w:hint="eastAsia" w:ascii="Times New Roman" w:cs="Times New Roman"/>
          <w:bCs/>
          <w:color w:val="000000"/>
          <w:sz w:val="32"/>
          <w:szCs w:val="32"/>
          <w:lang w:val="en-US" w:eastAsia="zh-CN"/>
        </w:rPr>
        <w:t>.</w:t>
      </w:r>
      <w:r>
        <w:rPr>
          <w:rFonts w:hint="default" w:ascii="Times New Roman" w:hAnsi="Times New Roman" w:eastAsia="仿宋_GB2312" w:cs="Times New Roman"/>
          <w:bCs/>
          <w:color w:val="000000"/>
          <w:sz w:val="32"/>
          <w:szCs w:val="32"/>
        </w:rPr>
        <w:t>承担推动我市与港澳台地区经贸合作有关工作。</w:t>
      </w:r>
    </w:p>
    <w:p>
      <w:pPr>
        <w:pStyle w:val="6"/>
        <w:keepNext w:val="0"/>
        <w:keepLines w:val="0"/>
        <w:pageBreakBefore w:val="0"/>
        <w:widowControl w:val="0"/>
        <w:kinsoku/>
        <w:wordWrap/>
        <w:overflowPunct/>
        <w:topLinePunct w:val="0"/>
        <w:bidi w:val="0"/>
        <w:adjustRightInd w:val="0"/>
        <w:snapToGrid w:val="0"/>
        <w:spacing w:beforeLines="0" w:line="574" w:lineRule="exact"/>
        <w:ind w:left="0" w:leftChars="0" w:right="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w:t>
      </w:r>
      <w:r>
        <w:rPr>
          <w:rFonts w:hint="eastAsia" w:ascii="Times New Roman" w:cs="Times New Roman"/>
          <w:bCs/>
          <w:color w:val="000000"/>
          <w:sz w:val="32"/>
          <w:szCs w:val="32"/>
          <w:lang w:val="en-US" w:eastAsia="zh-CN"/>
        </w:rPr>
        <w:t>.</w:t>
      </w:r>
      <w:r>
        <w:rPr>
          <w:rFonts w:hint="default" w:ascii="Times New Roman" w:hAnsi="Times New Roman" w:eastAsia="仿宋_GB2312" w:cs="Times New Roman"/>
          <w:bCs/>
          <w:color w:val="000000"/>
          <w:sz w:val="32"/>
          <w:szCs w:val="32"/>
        </w:rPr>
        <w:t>受市政府委托，负责管理市政府各驻外机构（不含市政府驻北京联络处、驻成都办事处、驻新疆办事处，下同）。推动全市博览发展促进工作，参与拟订全市会展业发展规划和相关政策。</w:t>
      </w:r>
    </w:p>
    <w:p>
      <w:pPr>
        <w:pStyle w:val="6"/>
        <w:keepNext w:val="0"/>
        <w:keepLines w:val="0"/>
        <w:pageBreakBefore w:val="0"/>
        <w:widowControl w:val="0"/>
        <w:kinsoku/>
        <w:wordWrap/>
        <w:overflowPunct/>
        <w:topLinePunct w:val="0"/>
        <w:bidi w:val="0"/>
        <w:adjustRightInd w:val="0"/>
        <w:snapToGrid w:val="0"/>
        <w:spacing w:beforeLines="0" w:line="574" w:lineRule="exact"/>
        <w:ind w:left="0" w:leftChars="0" w:right="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7</w:t>
      </w:r>
      <w:r>
        <w:rPr>
          <w:rFonts w:hint="eastAsia" w:ascii="Times New Roman" w:cs="Times New Roman"/>
          <w:bCs/>
          <w:color w:val="000000"/>
          <w:sz w:val="32"/>
          <w:szCs w:val="32"/>
          <w:lang w:val="en-US" w:eastAsia="zh-CN"/>
        </w:rPr>
        <w:t>.</w:t>
      </w:r>
      <w:r>
        <w:rPr>
          <w:rFonts w:hint="default" w:ascii="Times New Roman" w:hAnsi="Times New Roman" w:eastAsia="仿宋_GB2312" w:cs="Times New Roman"/>
          <w:bCs/>
          <w:color w:val="000000"/>
          <w:sz w:val="32"/>
          <w:szCs w:val="32"/>
        </w:rPr>
        <w:t>负责职责范围内的安全生产和职业健康、生态环境保护、审批服务便民化等工作。</w:t>
      </w:r>
    </w:p>
    <w:p>
      <w:pPr>
        <w:pStyle w:val="6"/>
        <w:keepNext w:val="0"/>
        <w:keepLines w:val="0"/>
        <w:pageBreakBefore w:val="0"/>
        <w:widowControl w:val="0"/>
        <w:kinsoku/>
        <w:wordWrap/>
        <w:overflowPunct/>
        <w:topLinePunct w:val="0"/>
        <w:bidi w:val="0"/>
        <w:adjustRightInd w:val="0"/>
        <w:snapToGrid w:val="0"/>
        <w:spacing w:beforeLines="0" w:line="574" w:lineRule="exact"/>
        <w:ind w:left="0" w:leftChars="0" w:right="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8</w:t>
      </w:r>
      <w:r>
        <w:rPr>
          <w:rFonts w:hint="eastAsia" w:ascii="Times New Roman" w:cs="Times New Roman"/>
          <w:bCs/>
          <w:color w:val="000000"/>
          <w:sz w:val="32"/>
          <w:szCs w:val="32"/>
          <w:lang w:val="en-US" w:eastAsia="zh-CN"/>
        </w:rPr>
        <w:t>.</w:t>
      </w:r>
      <w:r>
        <w:rPr>
          <w:rFonts w:hint="default" w:ascii="Times New Roman" w:hAnsi="Times New Roman" w:eastAsia="仿宋_GB2312" w:cs="Times New Roman"/>
          <w:bCs/>
          <w:color w:val="000000"/>
          <w:sz w:val="32"/>
          <w:szCs w:val="32"/>
        </w:rPr>
        <w:t>完成市委、市政府交办的其他工作。</w:t>
      </w:r>
    </w:p>
    <w:p>
      <w:pPr>
        <w:pStyle w:val="6"/>
        <w:keepNext w:val="0"/>
        <w:keepLines w:val="0"/>
        <w:pageBreakBefore w:val="0"/>
        <w:widowControl w:val="0"/>
        <w:kinsoku/>
        <w:wordWrap/>
        <w:overflowPunct/>
        <w:topLinePunct w:val="0"/>
        <w:bidi w:val="0"/>
        <w:adjustRightInd w:val="0"/>
        <w:snapToGrid w:val="0"/>
        <w:spacing w:beforeLines="0" w:line="574" w:lineRule="exact"/>
        <w:ind w:left="0" w:leftChars="0" w:right="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9</w:t>
      </w:r>
      <w:r>
        <w:rPr>
          <w:rFonts w:hint="eastAsia" w:ascii="Times New Roman" w:cs="Times New Roman"/>
          <w:bCs/>
          <w:color w:val="000000"/>
          <w:sz w:val="32"/>
          <w:szCs w:val="32"/>
          <w:lang w:val="en-US" w:eastAsia="zh-CN"/>
        </w:rPr>
        <w:t>.</w:t>
      </w:r>
      <w:r>
        <w:rPr>
          <w:rFonts w:hint="default" w:ascii="Times New Roman" w:hAnsi="Times New Roman" w:eastAsia="仿宋_GB2312" w:cs="Times New Roman"/>
          <w:bCs/>
          <w:color w:val="000000"/>
          <w:sz w:val="32"/>
          <w:szCs w:val="32"/>
        </w:rPr>
        <w:t>职能转变。建立健全体制机制，加强对全市经济合作的统筹，推进内资和外资、招商与博览有机融合发展。优化精准招商、精品招商、集群招商路径和方式，提升开放合作平台影响力，提高招商引资质量，发展壮大重点产业。深入实施外商投资管理体制改革，进一步改进外商投资企业投资管理，提高投资便利化水平。提升与发达地区经济合作层次，推进全市投资促进分工协作、错位发展。加强对重大引进项目的跟踪服务，完善市级重大引进项目激励机制。促进全市博览事业快速发展。</w:t>
      </w:r>
    </w:p>
    <w:p>
      <w:pPr>
        <w:pStyle w:val="6"/>
        <w:keepNext w:val="0"/>
        <w:keepLines w:val="0"/>
        <w:pageBreakBefore w:val="0"/>
        <w:widowControl w:val="0"/>
        <w:kinsoku/>
        <w:wordWrap/>
        <w:overflowPunct/>
        <w:topLinePunct w:val="0"/>
        <w:bidi w:val="0"/>
        <w:adjustRightInd w:val="0"/>
        <w:snapToGrid w:val="0"/>
        <w:spacing w:beforeLines="0" w:line="574" w:lineRule="exact"/>
        <w:ind w:left="0" w:leftChars="0" w:right="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10</w:t>
      </w:r>
      <w:r>
        <w:rPr>
          <w:rFonts w:hint="eastAsia" w:ascii="Times New Roman" w:cs="Times New Roman"/>
          <w:bCs/>
          <w:color w:val="000000"/>
          <w:sz w:val="32"/>
          <w:szCs w:val="32"/>
          <w:lang w:val="en-US" w:eastAsia="zh-CN"/>
        </w:rPr>
        <w:t>.</w:t>
      </w:r>
      <w:r>
        <w:rPr>
          <w:rFonts w:hint="default" w:ascii="Times New Roman" w:hAnsi="Times New Roman" w:eastAsia="仿宋_GB2312" w:cs="Times New Roman"/>
          <w:bCs/>
          <w:color w:val="000000"/>
          <w:sz w:val="32"/>
          <w:szCs w:val="32"/>
        </w:rPr>
        <w:t>有关职责分工。</w:t>
      </w:r>
    </w:p>
    <w:p>
      <w:pPr>
        <w:pStyle w:val="6"/>
        <w:keepNext w:val="0"/>
        <w:keepLines w:val="0"/>
        <w:pageBreakBefore w:val="0"/>
        <w:widowControl w:val="0"/>
        <w:kinsoku/>
        <w:wordWrap/>
        <w:overflowPunct/>
        <w:topLinePunct w:val="0"/>
        <w:bidi w:val="0"/>
        <w:adjustRightInd w:val="0"/>
        <w:snapToGrid w:val="0"/>
        <w:spacing w:beforeLines="0" w:line="574" w:lineRule="exact"/>
        <w:ind w:left="0" w:leftChars="0" w:right="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方正楷体简体" w:cs="Times New Roman"/>
          <w:b w:val="0"/>
          <w:bCs/>
          <w:color w:val="000000"/>
          <w:sz w:val="32"/>
          <w:szCs w:val="32"/>
        </w:rPr>
        <w:t>（1）外商投资管理。</w:t>
      </w:r>
      <w:r>
        <w:rPr>
          <w:rFonts w:hint="default" w:ascii="Times New Roman" w:hAnsi="Times New Roman" w:eastAsia="仿宋_GB2312" w:cs="Times New Roman"/>
          <w:bCs/>
          <w:color w:val="000000"/>
          <w:sz w:val="32"/>
          <w:szCs w:val="32"/>
        </w:rPr>
        <w:t>市发展改革委会同市商务局、市经济合作局等部门拟订上报《外商投资产业指导目录》和《中西部地区外商投资优势产业目录》的调整意见。市发展改革委按规定权限负责对外商投资企业投资项目进行核准、备案。市商务局按规定权限对广元经济开发区涉及国家规定实施准入特别管理措施的外商投资企业审批工作进行协调指导。市经济合作局按规定权限负责对外商投资企业设立及变更备案。</w:t>
      </w:r>
    </w:p>
    <w:p>
      <w:pPr>
        <w:pStyle w:val="6"/>
        <w:keepNext w:val="0"/>
        <w:keepLines w:val="0"/>
        <w:pageBreakBefore w:val="0"/>
        <w:widowControl w:val="0"/>
        <w:kinsoku/>
        <w:wordWrap/>
        <w:overflowPunct/>
        <w:topLinePunct w:val="0"/>
        <w:bidi w:val="0"/>
        <w:adjustRightInd w:val="0"/>
        <w:snapToGrid w:val="0"/>
        <w:spacing w:beforeLines="0" w:line="574" w:lineRule="exact"/>
        <w:ind w:left="0" w:leftChars="0" w:right="0" w:firstLine="640" w:firstLineChars="200"/>
        <w:jc w:val="both"/>
        <w:textAlignment w:val="auto"/>
        <w:outlineLvl w:val="9"/>
        <w:rPr>
          <w:rFonts w:hint="eastAsia" w:ascii="仿宋" w:hAnsi="仿宋" w:eastAsia="仿宋"/>
          <w:bCs/>
          <w:color w:val="auto"/>
          <w:sz w:val="32"/>
          <w:szCs w:val="32"/>
          <w:highlight w:val="none"/>
        </w:rPr>
      </w:pPr>
      <w:r>
        <w:rPr>
          <w:rFonts w:hint="default" w:ascii="Times New Roman" w:hAnsi="Times New Roman" w:eastAsia="方正楷体简体" w:cs="Times New Roman"/>
          <w:b w:val="0"/>
          <w:bCs/>
          <w:color w:val="000000"/>
          <w:sz w:val="32"/>
          <w:szCs w:val="32"/>
        </w:rPr>
        <w:t>（2）并购安全审查。</w:t>
      </w:r>
      <w:r>
        <w:rPr>
          <w:rFonts w:hint="default" w:ascii="Times New Roman" w:hAnsi="Times New Roman" w:eastAsia="仿宋_GB2312" w:cs="Times New Roman"/>
          <w:bCs/>
          <w:color w:val="000000"/>
          <w:sz w:val="32"/>
          <w:szCs w:val="32"/>
        </w:rPr>
        <w:t>市发展改革委、市商务局、市经济合作局按照各自职责，分别配合省发展改革委、省商委厅、省经济合作局开展外国投资者并购市内企业安全审查的相关工作。</w:t>
      </w:r>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22" w:name="_Toc15378446"/>
      <w:bookmarkStart w:id="23" w:name="_Toc15377199"/>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21</w:t>
      </w:r>
      <w:r>
        <w:rPr>
          <w:rFonts w:hint="eastAsia" w:ascii="仿宋" w:hAnsi="仿宋" w:eastAsia="仿宋"/>
          <w:bCs/>
          <w:color w:val="auto"/>
          <w:sz w:val="32"/>
          <w:szCs w:val="32"/>
          <w:highlight w:val="none"/>
        </w:rPr>
        <w:t>年重点工作完成情况。</w:t>
      </w:r>
      <w:bookmarkEnd w:id="22"/>
      <w:bookmarkEnd w:id="23"/>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
        </w:rPr>
      </w:pPr>
      <w:r>
        <w:rPr>
          <w:rFonts w:hint="eastAsia" w:ascii="方正楷体简体" w:hAnsi="方正楷体简体" w:eastAsia="方正楷体简体" w:cs="方正楷体简体"/>
          <w:b w:val="0"/>
          <w:bCs w:val="0"/>
          <w:color w:val="000000"/>
          <w:kern w:val="2"/>
          <w:sz w:val="32"/>
          <w:szCs w:val="32"/>
          <w:lang w:val="en-US" w:eastAsia="zh-CN" w:bidi="ar"/>
        </w:rPr>
        <w:t>1.</w:t>
      </w:r>
      <w:r>
        <w:rPr>
          <w:rFonts w:hint="default" w:ascii="方正楷体简体" w:hAnsi="方正楷体简体" w:eastAsia="方正楷体简体" w:cs="方正楷体简体"/>
          <w:b w:val="0"/>
          <w:bCs w:val="0"/>
          <w:color w:val="000000"/>
          <w:kern w:val="2"/>
          <w:sz w:val="32"/>
          <w:szCs w:val="32"/>
          <w:lang w:val="en-US" w:eastAsia="zh-CN" w:bidi="ar"/>
        </w:rPr>
        <w:t>全市外资利用全面实现零突破。</w:t>
      </w:r>
      <w:r>
        <w:rPr>
          <w:rFonts w:hint="default" w:ascii="Times New Roman" w:hAnsi="Times New Roman" w:eastAsia="仿宋_GB2312" w:cs="Times New Roman"/>
          <w:b w:val="0"/>
          <w:bCs w:val="0"/>
          <w:color w:val="000000"/>
          <w:kern w:val="2"/>
          <w:sz w:val="32"/>
          <w:szCs w:val="32"/>
          <w:lang w:val="en-US" w:eastAsia="zh-CN" w:bidi="ar"/>
        </w:rPr>
        <w:t>精心组织干部专题学习外商投资及外资统计工作方法，提高全市外资工作队伍业务能力。指导外商投资企业完成外商投资信息报告，牵头开展“双随机一公开”联合监督检查。对接敏实集团等外商投资企业10余家，赴重庆等地参加国际投资贸易活动7次，主动拓展外资招引渠道。全市各县区均有外资统计入库，全面实现了零的突破。实际利用外资1.38亿元，其中FDI（外商直接投资）610万美元，完成省下年度目标任务152.52%，新增外资企业5家。</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
        </w:rPr>
      </w:pPr>
      <w:r>
        <w:rPr>
          <w:rFonts w:hint="eastAsia" w:ascii="方正楷体简体" w:hAnsi="方正楷体简体" w:eastAsia="方正楷体简体" w:cs="方正楷体简体"/>
          <w:b w:val="0"/>
          <w:bCs w:val="0"/>
          <w:color w:val="000000"/>
          <w:kern w:val="2"/>
          <w:sz w:val="32"/>
          <w:szCs w:val="32"/>
          <w:lang w:val="en-US" w:eastAsia="zh-CN" w:bidi="ar"/>
        </w:rPr>
        <w:t>2.</w:t>
      </w:r>
      <w:r>
        <w:rPr>
          <w:rFonts w:hint="default" w:ascii="方正楷体简体" w:hAnsi="方正楷体简体" w:eastAsia="方正楷体简体" w:cs="方正楷体简体"/>
          <w:b w:val="0"/>
          <w:bCs w:val="0"/>
          <w:color w:val="000000"/>
          <w:kern w:val="2"/>
          <w:sz w:val="32"/>
          <w:szCs w:val="32"/>
          <w:lang w:val="en-US" w:eastAsia="zh-CN" w:bidi="ar"/>
        </w:rPr>
        <w:t>国内外合作开辟新篇章。</w:t>
      </w:r>
      <w:r>
        <w:rPr>
          <w:rFonts w:hint="default" w:ascii="Times New Roman" w:hAnsi="Times New Roman" w:eastAsia="仿宋_GB2312" w:cs="Times New Roman"/>
          <w:b w:val="0"/>
          <w:bCs w:val="0"/>
          <w:color w:val="000000"/>
          <w:kern w:val="2"/>
          <w:sz w:val="32"/>
          <w:szCs w:val="32"/>
          <w:lang w:val="en-US" w:eastAsia="zh-CN" w:bidi="ar"/>
        </w:rPr>
        <w:t>不断深化“成广”“渝广”“浙广”合作，利用与天府新区建立的招商信息互通机制，与重庆市合川区等签订招商战略合作协议等机遇，协同开展项目招引和承接产业转移。签约成渝地区双城经济圈建设项目164个、签约资金343.27亿元。深入推进东西部协作战略，市领导带队赴浙江省杭州市、湖州市等地开展友好合作和招商工作。我市与浙江地区成功签约杭州好兴星投资12亿元的点亮智慧科技园等项目23个。疫情期间，积极想办法，在招商活动不出国的情况下，努力做到招商宣传到海外。其中，“剑门蜀道，熊猫家园”巨幅招商宣传海报连续三天亮相美国纽约时代广场百老汇塔楼大屏，让广元招商亮相世界舞台。成功搭建董里市长与俄罗斯鞑靼斯坦共和国门捷列夫斯克市市长线上交流，推荐广元招商优势。在黄强省长的见证下，我市与俄罗斯鞑靼斯坦共和国门捷列夫斯克市签订《友好合作关系备忘录》，突破性地深入推进国际友城建设工作。同时，线上参加了“四川-东盟文化旅游推介会”，面向东盟国家视频推介文化旅游资源和产业。邀请瑞士中国商会、德国福建商会等来广考察，拓宽对外合作交流渠道。</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
        </w:rPr>
      </w:pPr>
      <w:r>
        <w:rPr>
          <w:rFonts w:hint="eastAsia" w:ascii="方正楷体简体" w:hAnsi="方正楷体简体" w:eastAsia="方正楷体简体" w:cs="方正楷体简体"/>
          <w:b w:val="0"/>
          <w:bCs w:val="0"/>
          <w:color w:val="000000"/>
          <w:kern w:val="2"/>
          <w:sz w:val="32"/>
          <w:szCs w:val="32"/>
          <w:lang w:val="en-US" w:eastAsia="zh-CN" w:bidi="ar"/>
        </w:rPr>
        <w:t>3.</w:t>
      </w:r>
      <w:r>
        <w:rPr>
          <w:rFonts w:hint="default" w:ascii="方正楷体简体" w:hAnsi="方正楷体简体" w:eastAsia="方正楷体简体" w:cs="方正楷体简体"/>
          <w:b w:val="0"/>
          <w:bCs w:val="0"/>
          <w:color w:val="000000"/>
          <w:kern w:val="2"/>
          <w:sz w:val="32"/>
          <w:szCs w:val="32"/>
          <w:lang w:val="en-US" w:eastAsia="zh-CN" w:bidi="ar"/>
        </w:rPr>
        <w:t>省市平台活动取得新成效。</w:t>
      </w:r>
      <w:r>
        <w:rPr>
          <w:rFonts w:hint="default" w:ascii="Times New Roman" w:hAnsi="Times New Roman" w:eastAsia="仿宋_GB2312" w:cs="Times New Roman"/>
          <w:b w:val="0"/>
          <w:bCs w:val="0"/>
          <w:color w:val="000000"/>
          <w:kern w:val="2"/>
          <w:sz w:val="32"/>
          <w:szCs w:val="32"/>
          <w:lang w:val="en-US" w:eastAsia="zh-CN" w:bidi="ar"/>
        </w:rPr>
        <w:t>高效组织参加第五届丝博会、四川省产业合作推介会、四川（福建）现代物流产业投资推介会、第二届四川装备智造国际博览会、四川数字经济发展机遇推介会等重要活动10余个，主动对接联系参会企业，寻求项目投资机会。牵头承办2021中外知名企业四川行、第十八届西博会广元投资推介会暨经济合作项目签约仪式，广元市（杭州）发展数字经济恳谈会，浙广合作25周年广元市（浙江）投资推介会等活动，特别是各县区积极参加市主要领导外出投资促进平台活动，洽谈推进了一大批优质企业落地广元、投资发展。成功签约浙江传化集团投资6亿元的公路港物流、广东万顺投资12亿元的高精铝板带箔、浙江杭加泽通投资10.6亿元的绿色建筑材料生产基地、杭州智库云泽投资10.5亿元的川陕甘结合部产业物联网运营总部等项目178个。</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
        </w:rPr>
      </w:pPr>
      <w:r>
        <w:rPr>
          <w:rFonts w:hint="eastAsia" w:ascii="方正楷体简体" w:hAnsi="方正楷体简体" w:eastAsia="方正楷体简体" w:cs="方正楷体简体"/>
          <w:b w:val="0"/>
          <w:bCs w:val="0"/>
          <w:color w:val="000000"/>
          <w:kern w:val="2"/>
          <w:sz w:val="32"/>
          <w:szCs w:val="32"/>
          <w:lang w:val="en-US" w:eastAsia="zh-CN" w:bidi="ar"/>
        </w:rPr>
        <w:t>4.</w:t>
      </w:r>
      <w:r>
        <w:rPr>
          <w:rFonts w:hint="default" w:ascii="方正楷体简体" w:hAnsi="方正楷体简体" w:eastAsia="方正楷体简体" w:cs="方正楷体简体"/>
          <w:b w:val="0"/>
          <w:bCs w:val="0"/>
          <w:color w:val="000000"/>
          <w:kern w:val="2"/>
          <w:sz w:val="32"/>
          <w:szCs w:val="32"/>
          <w:lang w:val="en-US" w:eastAsia="zh-CN" w:bidi="ar"/>
        </w:rPr>
        <w:t>制造业招商取得新突破。</w:t>
      </w:r>
      <w:r>
        <w:rPr>
          <w:rFonts w:hint="default" w:ascii="Times New Roman" w:hAnsi="Times New Roman" w:eastAsia="仿宋_GB2312" w:cs="Times New Roman"/>
          <w:b w:val="0"/>
          <w:bCs w:val="0"/>
          <w:color w:val="000000"/>
          <w:kern w:val="2"/>
          <w:sz w:val="32"/>
          <w:szCs w:val="32"/>
          <w:lang w:val="en-US" w:eastAsia="zh-CN" w:bidi="ar"/>
        </w:rPr>
        <w:t>认真贯彻落实省、市关于制造业招商引资“百日攻坚”行动部署和要求，紧紧围绕“铝基材料、绿色家居”两大产业集群和“食品饮料、生物医药、机械电子”等优势产业，明确工作目标，制定实施计划，压实领导责任，聚焦重点地区、重要企业、重大项目集中攻坚。行动期间，市领导率队赴广东、浙江、河北等地开展招商活动16次，对接洽谈东方电气氢能及燃料电池等项目60余个，在市领导的亲自推动下，北京中红普林投资50亿元的医疗级丁腈手套，广东厚能集团投资10.4亿元的30万吨铝资源综合加工利用等一批重大制造业项目顺利签约落地。县区、广元经开区领导外出招商132次，考察企业629家，举办各类产业推介会35次。累计成功签约制造业项目113个，签约资金392.57亿元，其中省外项目62个，签约资金173.53亿元。我市被省人民政府表扬为“全省制造业招商引资“百日攻坚”行动工作成效突出市州”，名列全省第八，取得突出成绩。</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
        </w:rPr>
      </w:pPr>
      <w:r>
        <w:rPr>
          <w:rFonts w:hint="eastAsia" w:ascii="方正楷体简体" w:hAnsi="方正楷体简体" w:eastAsia="方正楷体简体" w:cs="方正楷体简体"/>
          <w:b w:val="0"/>
          <w:bCs w:val="0"/>
          <w:color w:val="000000"/>
          <w:kern w:val="2"/>
          <w:sz w:val="32"/>
          <w:szCs w:val="32"/>
          <w:lang w:val="en-US" w:eastAsia="zh-CN" w:bidi="ar"/>
        </w:rPr>
        <w:t>5.</w:t>
      </w:r>
      <w:r>
        <w:rPr>
          <w:rFonts w:hint="default" w:ascii="方正楷体简体" w:hAnsi="方正楷体简体" w:eastAsia="方正楷体简体" w:cs="方正楷体简体"/>
          <w:b w:val="0"/>
          <w:bCs w:val="0"/>
          <w:color w:val="000000"/>
          <w:kern w:val="2"/>
          <w:sz w:val="32"/>
          <w:szCs w:val="32"/>
          <w:lang w:val="en-US" w:eastAsia="zh-CN" w:bidi="ar"/>
        </w:rPr>
        <w:t>项目管理水平获得新提升。</w:t>
      </w:r>
      <w:r>
        <w:rPr>
          <w:rFonts w:hint="default" w:ascii="Times New Roman" w:hAnsi="Times New Roman" w:eastAsia="仿宋_GB2312" w:cs="Times New Roman"/>
          <w:b w:val="0"/>
          <w:bCs w:val="0"/>
          <w:color w:val="000000"/>
          <w:kern w:val="2"/>
          <w:sz w:val="32"/>
          <w:szCs w:val="32"/>
          <w:lang w:val="en-US" w:eastAsia="zh-CN" w:bidi="ar"/>
        </w:rPr>
        <w:t>组织市级行业主管部门和各县区、经开区精心策划、据实包装推出了67个投资额达1123.83亿元的重点招商引资项目，开展精准招商。全市新签约招商引资项目342个，其中投资额亿元以上项目190个。全年引进到位国内市外资金701.47亿元，同比增长18.82%；引进到位国内省外资金343.69亿元，同比增长10.87%。坚持落实项目承包制，为30余个优质项目配备项目承包员，护航重大项目履约落地。新开工投资额亿元以上项目140个。深入开展“我为企业服好务”等系列“进千企”服务活动，问需问困企业300余家，协调解决四川广元中孚高管子女入学、山西旭航环保新材融资难等问题120余个；促成增资意向项目13个，增资7.47亿元。2018年—2020年的省级平台活动现场签约招商引资项目113个，履约项目105个，开工项目101个，到位资金338.23亿元，履约率、开工率、资金到位率分别为92.92%、89.38%、59.4%。分别超省考核目标2.92、9.38、29.4个百分点。我局先后荣获2021年度省经济合作系统项目管理工作（排市州第四位）和投资促进服务先进单位（排市州第三位）两项殊荣。</w:t>
      </w:r>
    </w:p>
    <w:p>
      <w:pPr>
        <w:pStyle w:val="15"/>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
        </w:rPr>
      </w:pPr>
      <w:r>
        <w:rPr>
          <w:rFonts w:hint="eastAsia" w:ascii="方正楷体简体" w:hAnsi="方正楷体简体" w:eastAsia="方正楷体简体" w:cs="方正楷体简体"/>
          <w:b w:val="0"/>
          <w:bCs w:val="0"/>
          <w:color w:val="000000"/>
          <w:kern w:val="2"/>
          <w:sz w:val="32"/>
          <w:szCs w:val="32"/>
          <w:lang w:val="en-US" w:eastAsia="zh-CN" w:bidi="ar"/>
        </w:rPr>
        <w:t>6.</w:t>
      </w:r>
      <w:r>
        <w:rPr>
          <w:rFonts w:hint="default" w:ascii="方正楷体简体" w:hAnsi="方正楷体简体" w:eastAsia="方正楷体简体" w:cs="方正楷体简体"/>
          <w:b w:val="0"/>
          <w:bCs w:val="0"/>
          <w:color w:val="000000"/>
          <w:kern w:val="2"/>
          <w:sz w:val="32"/>
          <w:szCs w:val="32"/>
          <w:lang w:val="en-US" w:eastAsia="zh-CN" w:bidi="ar"/>
        </w:rPr>
        <w:t>外事工作稳妥推进。</w:t>
      </w:r>
      <w:r>
        <w:rPr>
          <w:rFonts w:hint="default" w:ascii="Times New Roman" w:hAnsi="Times New Roman" w:eastAsia="仿宋_GB2312" w:cs="Times New Roman"/>
          <w:b w:val="0"/>
          <w:bCs w:val="0"/>
          <w:color w:val="000000"/>
          <w:kern w:val="2"/>
          <w:sz w:val="32"/>
          <w:szCs w:val="32"/>
          <w:lang w:val="en-US" w:eastAsia="zh-CN" w:bidi="ar"/>
        </w:rPr>
        <w:t>扎实做好防境外疫情输入和外事专班各项工作，加强入境人员信息接收处理，认真落实“外防输入”各项措施；稳妥推进港澳同胞和外籍人员新冠病毒疫苗接种；加强疫情防控督促检查，压实四方责任。全年未发生输入疫情。主动服务国家总体外交，协调解决广元中孚、林丰绿色铝材项目面临的生产用电、环评审批难题。参加“2021在川港人港企聚会”活动，成功争取澳门特区政府援助地震灾后重建剩余资金1089.37万元。深入推进国际友城工作，与俄罗斯鞑靼斯坦共和国门捷列夫斯克市签订《友好合作关系备忘录》。加强涉外安全管理，妥处2起海外领事保护事件，严格外媒及外国记者管理，办理境外人员延期手续4批7人（次），协助日本昭钢炭素办理外国人来华邀请函件3批（次）3人。</w:t>
      </w:r>
    </w:p>
    <w:p>
      <w:pPr>
        <w:pStyle w:val="15"/>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textAlignment w:val="auto"/>
        <w:rPr>
          <w:rFonts w:hint="eastAsia" w:ascii="仿宋" w:hAnsi="仿宋" w:eastAsia="仿宋"/>
          <w:bCs/>
          <w:color w:val="auto"/>
          <w:sz w:val="32"/>
          <w:szCs w:val="32"/>
          <w:highlight w:val="none"/>
        </w:rPr>
      </w:pPr>
      <w:r>
        <w:rPr>
          <w:rFonts w:hint="eastAsia" w:ascii="方正楷体简体" w:hAnsi="方正楷体简体" w:eastAsia="方正楷体简体" w:cs="方正楷体简体"/>
          <w:b w:val="0"/>
          <w:bCs w:val="0"/>
          <w:color w:val="000000"/>
          <w:kern w:val="2"/>
          <w:sz w:val="32"/>
          <w:szCs w:val="32"/>
          <w:lang w:val="en-US" w:eastAsia="zh-CN" w:bidi="ar"/>
        </w:rPr>
        <w:t>7.</w:t>
      </w:r>
      <w:r>
        <w:rPr>
          <w:rFonts w:hint="default" w:ascii="方正楷体简体" w:hAnsi="方正楷体简体" w:eastAsia="方正楷体简体" w:cs="方正楷体简体"/>
          <w:b w:val="0"/>
          <w:bCs w:val="0"/>
          <w:color w:val="000000"/>
          <w:kern w:val="2"/>
          <w:sz w:val="32"/>
          <w:szCs w:val="32"/>
          <w:lang w:val="en-US" w:eastAsia="zh-CN" w:bidi="ar"/>
        </w:rPr>
        <w:t>巩固拓展脱贫攻坚成果同乡村振兴有效衔接工作有序推进。</w:t>
      </w:r>
      <w:r>
        <w:rPr>
          <w:rFonts w:hint="default" w:ascii="Times New Roman" w:hAnsi="Times New Roman" w:eastAsia="仿宋_GB2312" w:cs="Times New Roman"/>
          <w:b w:val="0"/>
          <w:bCs w:val="0"/>
          <w:color w:val="000000"/>
          <w:kern w:val="2"/>
          <w:sz w:val="32"/>
          <w:szCs w:val="32"/>
          <w:lang w:val="en-US" w:eastAsia="zh-CN" w:bidi="ar"/>
        </w:rPr>
        <w:t>选派陈力君任脱贫村旺苍县大两镇新华村第一书记（工作队队长）、黄文华为大两镇新华村工作队队员，邓元东任重点村大两镇金光村第一书记（工作队队长），全脱产着力解决群众最关心的产业、基础设施等问题。认真贯彻落实《关于全面推进乡村振兴加快农业农村现代化建设的实施意见重点任务分工方案》，明确牵头科室、完成时限等。切实做好局领导班子领导干部推进乡村振兴战略实绩考核工作，印发《关于2021年度领导班子领导干部推进乡村振兴战略实绩考核责任分工的通知》。开展春节慰问送温暖活动，为201户帮扶户发放价值6.03万元大米、菜油和猪肉等慰问品。为新华村10户受灾户、金光村6户受灾户发放慰问金0.8万元。</w:t>
      </w:r>
    </w:p>
    <w:p>
      <w:pPr>
        <w:pStyle w:val="4"/>
        <w:rPr>
          <w:rStyle w:val="21"/>
          <w:b w:val="0"/>
          <w:bCs w:val="0"/>
          <w:color w:val="auto"/>
          <w:highlight w:val="none"/>
        </w:rPr>
      </w:pPr>
      <w:bookmarkStart w:id="24" w:name="_Toc15396601"/>
      <w:bookmarkStart w:id="25" w:name="_Toc15377200"/>
      <w:bookmarkStart w:id="26" w:name="_Toc24230"/>
      <w:r>
        <w:rPr>
          <w:rFonts w:hint="eastAsia" w:ascii="黑体" w:eastAsia="黑体"/>
          <w:b w:val="0"/>
          <w:color w:val="auto"/>
          <w:highlight w:val="none"/>
        </w:rPr>
        <w:t>二、</w:t>
      </w:r>
      <w:r>
        <w:rPr>
          <w:rFonts w:hint="eastAsia" w:ascii="黑体" w:hAnsi="黑体" w:eastAsia="黑体"/>
          <w:b w:val="0"/>
          <w:color w:val="auto"/>
          <w:highlight w:val="none"/>
        </w:rPr>
        <w:t>机</w:t>
      </w:r>
      <w:r>
        <w:rPr>
          <w:rStyle w:val="21"/>
          <w:rFonts w:hint="eastAsia" w:ascii="黑体" w:hAnsi="黑体" w:eastAsia="黑体"/>
          <w:b w:val="0"/>
          <w:bCs w:val="0"/>
          <w:color w:val="auto"/>
          <w:highlight w:val="none"/>
        </w:rPr>
        <w:t>构设置</w:t>
      </w:r>
      <w:bookmarkEnd w:id="24"/>
      <w:bookmarkEnd w:id="25"/>
      <w:bookmarkEnd w:id="26"/>
    </w:p>
    <w:p>
      <w:pPr>
        <w:ind w:firstLine="800" w:firstLineChars="25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广元市经济合作和外事局</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，我单位无二级预算单位，由局机关统一核算。</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0"/>
          <w:rFonts w:ascii="黑体" w:hAnsi="黑体" w:eastAsia="黑体"/>
          <w:b w:val="0"/>
          <w:bCs/>
          <w:color w:val="auto"/>
          <w:highlight w:val="none"/>
        </w:rPr>
      </w:pPr>
      <w:bookmarkStart w:id="27" w:name="_Toc15396602"/>
      <w:bookmarkStart w:id="28" w:name="_Toc15377204"/>
      <w:bookmarkStart w:id="29" w:name="_Toc1619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0"/>
          <w:rFonts w:hint="eastAsia" w:ascii="黑体" w:hAnsi="黑体" w:eastAsia="黑体"/>
          <w:b w:val="0"/>
          <w:bCs/>
          <w:color w:val="auto"/>
          <w:highlight w:val="none"/>
        </w:rPr>
        <w:t>部门决算情况说明</w:t>
      </w:r>
      <w:bookmarkEnd w:id="27"/>
      <w:bookmarkEnd w:id="28"/>
      <w:bookmarkEnd w:id="29"/>
    </w:p>
    <w:p>
      <w:pPr>
        <w:rPr>
          <w:color w:val="auto"/>
          <w:highlight w:val="none"/>
        </w:rPr>
      </w:pPr>
    </w:p>
    <w:p>
      <w:pPr>
        <w:pStyle w:val="31"/>
        <w:numPr>
          <w:ilvl w:val="0"/>
          <w:numId w:val="1"/>
        </w:numPr>
        <w:spacing w:line="600" w:lineRule="exact"/>
        <w:ind w:firstLineChars="0"/>
        <w:outlineLvl w:val="1"/>
        <w:rPr>
          <w:rStyle w:val="21"/>
          <w:rFonts w:ascii="黑体" w:hAnsi="黑体" w:eastAsia="黑体"/>
          <w:b w:val="0"/>
          <w:color w:val="auto"/>
          <w:highlight w:val="none"/>
        </w:rPr>
      </w:pPr>
      <w:bookmarkStart w:id="30" w:name="_Toc1955"/>
      <w:bookmarkStart w:id="31" w:name="_Toc15377205"/>
      <w:bookmarkStart w:id="32" w:name="_Toc15396603"/>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30"/>
      <w:bookmarkEnd w:id="31"/>
      <w:bookmarkEnd w:id="32"/>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w:t>
      </w:r>
      <w:r>
        <w:rPr>
          <w:rFonts w:hint="eastAsia" w:ascii="仿宋" w:hAnsi="仿宋" w:eastAsia="仿宋"/>
          <w:color w:val="auto"/>
          <w:sz w:val="32"/>
          <w:szCs w:val="32"/>
          <w:highlight w:val="none"/>
          <w:lang w:val="en-US" w:eastAsia="zh-CN"/>
        </w:rPr>
        <w:t>1815.63</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149.39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8.96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全年招商任务加重，单位人员增加导致费用开支增加。如下图：</w:t>
      </w:r>
    </w:p>
    <w:p>
      <w:pPr>
        <w:spacing w:line="600" w:lineRule="exact"/>
        <w:ind w:firstLine="960" w:firstLineChars="300"/>
        <w:rPr>
          <w:rFonts w:ascii="仿宋_GB2312" w:eastAsia="仿宋_GB2312"/>
          <w:color w:val="0000FF"/>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r>
        <w:drawing>
          <wp:anchor distT="0" distB="0" distL="114300" distR="114300" simplePos="0" relativeHeight="251659264" behindDoc="0" locked="0" layoutInCell="1" allowOverlap="1">
            <wp:simplePos x="0" y="0"/>
            <wp:positionH relativeFrom="column">
              <wp:posOffset>233045</wp:posOffset>
            </wp:positionH>
            <wp:positionV relativeFrom="paragraph">
              <wp:posOffset>151130</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31"/>
        <w:numPr>
          <w:ilvl w:val="0"/>
          <w:numId w:val="1"/>
        </w:numPr>
        <w:spacing w:line="600" w:lineRule="exact"/>
        <w:ind w:firstLineChars="0"/>
        <w:outlineLvl w:val="1"/>
        <w:rPr>
          <w:rStyle w:val="21"/>
          <w:rFonts w:ascii="黑体" w:hAnsi="黑体" w:eastAsia="黑体"/>
          <w:b w:val="0"/>
          <w:color w:val="auto"/>
          <w:highlight w:val="none"/>
        </w:rPr>
      </w:pPr>
      <w:bookmarkStart w:id="33" w:name="_Toc15377206"/>
      <w:bookmarkStart w:id="34" w:name="_Toc14939"/>
      <w:bookmarkStart w:id="35" w:name="_Toc15396604"/>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33"/>
      <w:bookmarkEnd w:id="34"/>
      <w:bookmarkEnd w:id="35"/>
    </w:p>
    <w:p>
      <w:pPr>
        <w:spacing w:line="600" w:lineRule="exact"/>
        <w:ind w:firstLine="640" w:firstLineChars="200"/>
        <w:outlineLvl w:val="1"/>
        <w:rPr>
          <w:rFonts w:hint="eastAsia" w:ascii="仿宋" w:hAnsi="仿宋" w:eastAsia="仿宋"/>
          <w:color w:val="auto"/>
          <w:sz w:val="32"/>
          <w:szCs w:val="32"/>
          <w:highlight w:val="none"/>
          <w:lang w:eastAsia="zh-CN"/>
        </w:rPr>
      </w:pPr>
      <w:bookmarkStart w:id="36" w:name="_Toc2438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1756.11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1756.11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如下图：</w:t>
      </w:r>
      <w:bookmarkEnd w:id="36"/>
    </w:p>
    <w:p>
      <w:pPr>
        <w:pStyle w:val="2"/>
        <w:rPr>
          <w:rFonts w:hint="eastAsia" w:ascii="仿宋" w:hAnsi="仿宋" w:eastAsia="仿宋"/>
          <w:color w:val="auto"/>
          <w:sz w:val="32"/>
          <w:szCs w:val="32"/>
          <w:highlight w:val="none"/>
          <w:lang w:eastAsia="zh-CN"/>
        </w:rPr>
      </w:pPr>
    </w:p>
    <w:p>
      <w:pPr>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rPr>
          <w:rFonts w:hint="eastAsia"/>
          <w:lang w:eastAsia="zh-CN"/>
        </w:rPr>
      </w:pPr>
    </w:p>
    <w:p>
      <w:pPr>
        <w:pStyle w:val="2"/>
        <w:rPr>
          <w:rFonts w:hint="eastAsia"/>
          <w:lang w:eastAsia="zh-CN"/>
        </w:rPr>
      </w:pPr>
    </w:p>
    <w:p>
      <w:pPr>
        <w:pStyle w:val="2"/>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w:t>
      </w:r>
      <w:r>
        <w:rPr>
          <w:rFonts w:hint="eastAsia" w:ascii="仿宋" w:hAnsi="仿宋" w:eastAsia="仿宋"/>
          <w:color w:val="auto"/>
          <w:sz w:val="32"/>
          <w:szCs w:val="32"/>
          <w:highlight w:val="none"/>
          <w:lang w:eastAsia="zh-CN"/>
        </w:rPr>
        <w:t>）</w:t>
      </w:r>
    </w:p>
    <w:p>
      <w:pPr>
        <w:pStyle w:val="31"/>
        <w:numPr>
          <w:ilvl w:val="0"/>
          <w:numId w:val="1"/>
        </w:numPr>
        <w:spacing w:line="600" w:lineRule="exact"/>
        <w:ind w:firstLineChars="0"/>
        <w:outlineLvl w:val="1"/>
        <w:rPr>
          <w:rStyle w:val="21"/>
          <w:rFonts w:ascii="黑体" w:hAnsi="黑体" w:eastAsia="黑体"/>
          <w:b w:val="0"/>
          <w:color w:val="auto"/>
          <w:highlight w:val="none"/>
        </w:rPr>
      </w:pPr>
      <w:bookmarkStart w:id="37" w:name="_Toc22354"/>
      <w:bookmarkStart w:id="38" w:name="_Toc15396605"/>
      <w:bookmarkStart w:id="39" w:name="_Toc15377207"/>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37"/>
      <w:bookmarkEnd w:id="38"/>
      <w:bookmarkEnd w:id="39"/>
    </w:p>
    <w:p>
      <w:pPr>
        <w:spacing w:line="600" w:lineRule="exact"/>
        <w:ind w:firstLine="640" w:firstLineChars="200"/>
        <w:outlineLvl w:val="1"/>
        <w:rPr>
          <w:rFonts w:ascii="仿宋" w:hAnsi="仿宋" w:eastAsia="仿宋"/>
          <w:color w:val="auto"/>
          <w:sz w:val="32"/>
          <w:szCs w:val="32"/>
          <w:highlight w:val="none"/>
          <w:shd w:val="pct10" w:color="auto" w:fill="FFFFFF"/>
        </w:rPr>
      </w:pPr>
      <w:bookmarkStart w:id="40" w:name="_Toc845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1758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818.82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46.58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939.18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53.42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。如下图：</w:t>
      </w:r>
      <w:bookmarkEnd w:id="40"/>
    </w:p>
    <w:p>
      <w:pPr>
        <w:pStyle w:val="2"/>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1"/>
          <w:rFonts w:ascii="黑体" w:hAnsi="黑体" w:eastAsia="黑体"/>
          <w:b w:val="0"/>
          <w:color w:val="auto"/>
          <w:highlight w:val="none"/>
        </w:rPr>
      </w:pPr>
      <w:bookmarkStart w:id="41" w:name="_Toc15396606"/>
      <w:bookmarkStart w:id="42" w:name="_Toc15278"/>
      <w:bookmarkStart w:id="43" w:name="_Toc15377208"/>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41"/>
      <w:bookmarkEnd w:id="42"/>
      <w:bookmarkEnd w:id="43"/>
    </w:p>
    <w:p>
      <w:pPr>
        <w:spacing w:line="600" w:lineRule="exact"/>
        <w:ind w:firstLine="640"/>
        <w:rPr>
          <w:rFonts w:hint="eastAsia" w:ascii="仿宋" w:hAnsi="仿宋" w:eastAsia="仿宋"/>
          <w:color w:val="0070C0"/>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1815.63</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1666.24万元</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149.39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8.96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w:t>
      </w:r>
      <w:r>
        <w:rPr>
          <w:rFonts w:hint="eastAsia" w:ascii="仿宋" w:hAnsi="仿宋" w:eastAsia="仿宋"/>
          <w:color w:val="auto"/>
          <w:sz w:val="32"/>
          <w:szCs w:val="32"/>
          <w:highlight w:val="none"/>
          <w:lang w:eastAsia="zh-CN"/>
        </w:rPr>
        <w:t>因是单位人员增加，招商任务加重，资金收支相应增加。如下图：</w:t>
      </w:r>
    </w:p>
    <w:p>
      <w:pPr>
        <w:pStyle w:val="2"/>
        <w:rPr>
          <w:rFonts w:hint="default"/>
          <w:lang w:val="en-US" w:eastAsia="zh-CN"/>
        </w:rPr>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color w:val="0070C0"/>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1"/>
          <w:rFonts w:ascii="黑体" w:hAnsi="黑体" w:eastAsia="黑体"/>
          <w:b w:val="0"/>
          <w:color w:val="auto"/>
          <w:highlight w:val="none"/>
        </w:rPr>
      </w:pPr>
      <w:bookmarkStart w:id="44" w:name="_Toc7195"/>
      <w:bookmarkStart w:id="45" w:name="_Toc15396607"/>
      <w:bookmarkStart w:id="46"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44"/>
      <w:bookmarkEnd w:id="45"/>
      <w:bookmarkEnd w:id="46"/>
    </w:p>
    <w:p>
      <w:pPr>
        <w:spacing w:line="600" w:lineRule="exact"/>
        <w:ind w:firstLine="643" w:firstLineChars="200"/>
        <w:outlineLvl w:val="2"/>
        <w:rPr>
          <w:rFonts w:ascii="仿宋" w:hAnsi="仿宋" w:eastAsia="仿宋"/>
          <w:b/>
          <w:color w:val="auto"/>
          <w:sz w:val="32"/>
          <w:szCs w:val="32"/>
          <w:highlight w:val="none"/>
        </w:rPr>
      </w:pPr>
      <w:bookmarkStart w:id="47" w:name="_Toc15377210"/>
      <w:r>
        <w:rPr>
          <w:rFonts w:hint="eastAsia" w:ascii="仿宋" w:hAnsi="仿宋" w:eastAsia="仿宋"/>
          <w:b/>
          <w:color w:val="auto"/>
          <w:sz w:val="32"/>
          <w:szCs w:val="32"/>
          <w:highlight w:val="none"/>
        </w:rPr>
        <w:t>（一）一般公共预算财政拨款支出决算总体情况</w:t>
      </w:r>
      <w:bookmarkEnd w:id="47"/>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1758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1529.48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14.94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是由于招商任务加重，单位人员增加，导致资金支出增加。如下图：</w:t>
      </w:r>
    </w:p>
    <w:p>
      <w:pPr>
        <w:pStyle w:val="2"/>
        <w:rPr>
          <w:rFonts w:hint="eastAsia"/>
          <w:lang w:eastAsia="zh-CN"/>
        </w:rPr>
      </w:pPr>
    </w:p>
    <w:p>
      <w:pPr>
        <w:pStyle w:val="2"/>
        <w:ind w:left="0" w:leftChars="0" w:firstLine="0" w:firstLineChars="0"/>
        <w:rPr>
          <w:rFonts w:hint="eastAsia"/>
        </w:rPr>
      </w:pPr>
      <w:r>
        <w:drawing>
          <wp:anchor distT="0" distB="0" distL="114300" distR="114300" simplePos="0" relativeHeight="251660288" behindDoc="0" locked="0" layoutInCell="1" allowOverlap="1">
            <wp:simplePos x="0" y="0"/>
            <wp:positionH relativeFrom="column">
              <wp:posOffset>480695</wp:posOffset>
            </wp:positionH>
            <wp:positionV relativeFrom="paragraph">
              <wp:posOffset>366395</wp:posOffset>
            </wp:positionV>
            <wp:extent cx="4572000" cy="2743200"/>
            <wp:effectExtent l="4445" t="4445" r="14605" b="14605"/>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bookmarkStart w:id="48" w:name="_Toc15377211"/>
      <w:r>
        <w:rPr>
          <w:rFonts w:hint="eastAsia" w:ascii="仿宋" w:hAnsi="仿宋" w:eastAsia="仿宋"/>
          <w:b/>
          <w:color w:val="auto"/>
          <w:sz w:val="32"/>
          <w:szCs w:val="32"/>
          <w:highlight w:val="none"/>
        </w:rPr>
        <w:t>（二）一般公共预算财政拨款支出决算结构情况</w:t>
      </w:r>
      <w:bookmarkEnd w:id="48"/>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1758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1579.22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89.83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lang w:val="en-US" w:eastAsia="zh-CN"/>
        </w:rPr>
        <w:t>27.14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74.63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4.25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如下图：</w:t>
      </w:r>
    </w:p>
    <w:p>
      <w:pPr>
        <w:pStyle w:val="2"/>
        <w:rPr>
          <w:rFonts w:hint="eastAsia" w:ascii="仿宋" w:hAnsi="仿宋" w:eastAsia="仿宋"/>
          <w:color w:val="auto"/>
          <w:sz w:val="32"/>
          <w:szCs w:val="32"/>
          <w:highlight w:val="none"/>
          <w:lang w:eastAsia="zh-CN"/>
        </w:rPr>
      </w:pPr>
    </w:p>
    <w:p>
      <w:pPr>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rPr>
          <w:rFonts w:hint="eastAsia"/>
          <w:lang w:eastAsia="zh-CN"/>
        </w:rPr>
      </w:pPr>
    </w:p>
    <w:p>
      <w:pPr>
        <w:pStyle w:val="2"/>
        <w:rPr>
          <w:rFonts w:hint="eastAsia"/>
        </w:rPr>
      </w:pPr>
      <w:r>
        <w:drawing>
          <wp:inline distT="0" distB="0" distL="114300" distR="114300">
            <wp:extent cx="4572000" cy="2743200"/>
            <wp:effectExtent l="4445" t="4445" r="14605" b="14605"/>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b w:val="0"/>
          <w:bCs/>
          <w:color w:val="auto"/>
          <w:sz w:val="32"/>
          <w:szCs w:val="32"/>
          <w:highlight w:val="none"/>
        </w:rPr>
        <w:t>（图6：一般公共预算财政拨款支出决算结构）</w:t>
      </w:r>
    </w:p>
    <w:p>
      <w:pPr>
        <w:spacing w:line="600" w:lineRule="exact"/>
        <w:ind w:firstLine="643" w:firstLineChars="200"/>
        <w:outlineLvl w:val="2"/>
        <w:rPr>
          <w:rFonts w:ascii="仿宋" w:hAnsi="仿宋" w:eastAsia="仿宋"/>
          <w:b/>
          <w:color w:val="auto"/>
          <w:sz w:val="32"/>
          <w:szCs w:val="32"/>
          <w:highlight w:val="none"/>
        </w:rPr>
      </w:pPr>
      <w:bookmarkStart w:id="49" w:name="_Toc15377212"/>
      <w:r>
        <w:rPr>
          <w:rFonts w:hint="eastAsia" w:ascii="仿宋" w:hAnsi="仿宋" w:eastAsia="仿宋"/>
          <w:b/>
          <w:color w:val="auto"/>
          <w:sz w:val="32"/>
          <w:szCs w:val="32"/>
          <w:highlight w:val="none"/>
        </w:rPr>
        <w:t>（三）一般公共预算财政拨款支出决算具体情况</w:t>
      </w:r>
      <w:bookmarkEnd w:id="49"/>
    </w:p>
    <w:p>
      <w:pPr>
        <w:spacing w:line="600" w:lineRule="exact"/>
        <w:ind w:firstLine="643" w:firstLineChars="200"/>
        <w:outlineLvl w:val="2"/>
        <w:rPr>
          <w:rFonts w:ascii="仿宋" w:hAnsi="仿宋" w:eastAsia="仿宋"/>
          <w:color w:val="auto"/>
          <w:sz w:val="32"/>
          <w:szCs w:val="32"/>
          <w:highlight w:val="none"/>
        </w:rPr>
      </w:pPr>
      <w:bookmarkStart w:id="50" w:name="_Toc15378460"/>
      <w:bookmarkStart w:id="51" w:name="_Toc15377213"/>
      <w:bookmarkStart w:id="52"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1758万元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96.83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50"/>
      <w:bookmarkEnd w:id="51"/>
      <w:bookmarkEnd w:id="52"/>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eastAsia="zh-CN"/>
        </w:rPr>
        <w:t>商贸事务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行政运行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640.04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
          <w:bCs w:val="0"/>
          <w:color w:val="auto"/>
          <w:sz w:val="32"/>
          <w:szCs w:val="32"/>
          <w:highlight w:val="none"/>
          <w:lang w:val="en-US" w:eastAsia="zh-CN"/>
        </w:rPr>
        <w:t>2.</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eastAsia="zh-CN"/>
        </w:rPr>
        <w:t>商贸事务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一般行政管理事务</w:t>
      </w:r>
      <w:r>
        <w:rPr>
          <w:rStyle w:val="18"/>
          <w:rFonts w:hint="eastAsia" w:ascii="仿宋" w:hAnsi="仿宋" w:eastAsia="仿宋"/>
          <w:bCs/>
          <w:color w:val="auto"/>
          <w:sz w:val="32"/>
          <w:szCs w:val="32"/>
          <w:highlight w:val="none"/>
        </w:rPr>
        <w:t>（项）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39.53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spacing w:line="600" w:lineRule="exact"/>
        <w:ind w:firstLine="640" w:firstLineChars="200"/>
        <w:rPr>
          <w:rFonts w:hint="default" w:eastAsia="宋体"/>
          <w:lang w:val="en-US" w:eastAsia="zh-CN"/>
        </w:rPr>
      </w:pPr>
      <w:r>
        <w:rPr>
          <w:rStyle w:val="18"/>
          <w:rFonts w:hint="eastAsia" w:ascii="仿宋" w:hAnsi="仿宋" w:eastAsia="仿宋"/>
          <w:b w:val="0"/>
          <w:bCs/>
          <w:color w:val="auto"/>
          <w:sz w:val="32"/>
          <w:szCs w:val="32"/>
          <w:highlight w:val="none"/>
          <w:lang w:val="en-US" w:eastAsia="zh-CN"/>
        </w:rPr>
        <w:t>3.</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eastAsia="zh-CN"/>
        </w:rPr>
        <w:t>商贸事务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招商引资</w:t>
      </w:r>
      <w:r>
        <w:rPr>
          <w:rStyle w:val="18"/>
          <w:rFonts w:hint="eastAsia" w:ascii="仿宋" w:hAnsi="仿宋" w:eastAsia="仿宋"/>
          <w:bCs/>
          <w:color w:val="auto"/>
          <w:sz w:val="32"/>
          <w:szCs w:val="32"/>
          <w:highlight w:val="none"/>
        </w:rPr>
        <w:t>（项）</w:t>
      </w:r>
      <w:r>
        <w:rPr>
          <w:rStyle w:val="18"/>
          <w:rFonts w:hint="eastAsia" w:ascii="仿宋" w:hAnsi="仿宋" w:eastAsia="仿宋"/>
          <w:b w:val="0"/>
          <w:bCs/>
          <w:color w:val="auto"/>
          <w:sz w:val="32"/>
          <w:szCs w:val="32"/>
          <w:highlight w:val="none"/>
        </w:rPr>
        <w:t>支出决算</w:t>
      </w:r>
      <w:r>
        <w:rPr>
          <w:rStyle w:val="18"/>
          <w:rFonts w:hint="eastAsia" w:ascii="仿宋" w:hAnsi="仿宋" w:eastAsia="仿宋"/>
          <w:b w:val="0"/>
          <w:bCs/>
          <w:color w:val="000000" w:themeColor="text1"/>
          <w:sz w:val="32"/>
          <w:szCs w:val="32"/>
          <w:highlight w:val="none"/>
          <w14:textFill>
            <w14:solidFill>
              <w14:schemeClr w14:val="tx1"/>
            </w14:solidFill>
          </w14:textFill>
        </w:rPr>
        <w:t>为</w:t>
      </w:r>
      <w:r>
        <w:rPr>
          <w:rStyle w:val="18"/>
          <w:rFonts w:hint="eastAsia" w:ascii="仿宋" w:hAnsi="仿宋" w:eastAsia="仿宋"/>
          <w:b w:val="0"/>
          <w:bCs/>
          <w:color w:val="000000" w:themeColor="text1"/>
          <w:sz w:val="32"/>
          <w:szCs w:val="32"/>
          <w:highlight w:val="none"/>
          <w:lang w:val="en-US" w:eastAsia="zh-CN"/>
          <w14:textFill>
            <w14:solidFill>
              <w14:schemeClr w14:val="tx1"/>
            </w14:solidFill>
          </w14:textFill>
        </w:rPr>
        <w:t>899.64</w:t>
      </w:r>
      <w:r>
        <w:rPr>
          <w:rStyle w:val="18"/>
          <w:rFonts w:hint="eastAsia" w:ascii="仿宋" w:hAnsi="仿宋" w:eastAsia="仿宋"/>
          <w:b w:val="0"/>
          <w:bCs/>
          <w:color w:val="000000" w:themeColor="text1"/>
          <w:sz w:val="32"/>
          <w:szCs w:val="32"/>
          <w:highlight w:val="none"/>
          <w14:textFill>
            <w14:solidFill>
              <w14:schemeClr w14:val="tx1"/>
            </w14:solidFill>
          </w14:textFill>
        </w:rPr>
        <w:t>万</w:t>
      </w:r>
      <w:r>
        <w:rPr>
          <w:rStyle w:val="18"/>
          <w:rFonts w:hint="eastAsia" w:ascii="仿宋" w:hAnsi="仿宋" w:eastAsia="仿宋"/>
          <w:b w:val="0"/>
          <w:bCs/>
          <w:color w:val="auto"/>
          <w:sz w:val="32"/>
          <w:szCs w:val="32"/>
          <w:highlight w:val="none"/>
        </w:rPr>
        <w:t>元，完成预算</w:t>
      </w:r>
      <w:r>
        <w:rPr>
          <w:rStyle w:val="18"/>
          <w:rFonts w:hint="eastAsia" w:ascii="仿宋" w:hAnsi="仿宋" w:eastAsia="仿宋"/>
          <w:b w:val="0"/>
          <w:bCs/>
          <w:color w:val="auto"/>
          <w:sz w:val="32"/>
          <w:szCs w:val="32"/>
          <w:highlight w:val="none"/>
          <w:lang w:val="en-US" w:eastAsia="zh-CN"/>
        </w:rPr>
        <w:t>93.96</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，决算数小于预算数的主要原因是</w:t>
      </w:r>
      <w:r>
        <w:rPr>
          <w:rStyle w:val="18"/>
          <w:rFonts w:hint="eastAsia" w:ascii="仿宋" w:hAnsi="仿宋" w:eastAsia="仿宋"/>
          <w:b w:val="0"/>
          <w:bCs/>
          <w:color w:val="auto"/>
          <w:sz w:val="32"/>
          <w:szCs w:val="32"/>
          <w:highlight w:val="none"/>
          <w:lang w:eastAsia="zh-CN"/>
        </w:rPr>
        <w:t>由于疫情原因外出招商活动减少，资金支出减少。</w:t>
      </w:r>
    </w:p>
    <w:p>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w:t>
      </w:r>
      <w:r>
        <w:rPr>
          <w:rStyle w:val="18"/>
          <w:rFonts w:hint="eastAsia" w:ascii="仿宋" w:hAnsi="仿宋" w:eastAsia="仿宋"/>
          <w:bCs/>
          <w:color w:val="auto"/>
          <w:sz w:val="32"/>
          <w:szCs w:val="32"/>
          <w:highlight w:val="none"/>
          <w:lang w:eastAsia="zh-CN"/>
        </w:rPr>
        <w:t>行政事业单位养老支出</w:t>
      </w:r>
      <w:r>
        <w:rPr>
          <w:rStyle w:val="18"/>
          <w:rFonts w:hint="eastAsia" w:ascii="仿宋" w:hAnsi="仿宋" w:eastAsia="仿宋"/>
          <w:bCs/>
          <w:color w:val="auto"/>
          <w:sz w:val="32"/>
          <w:szCs w:val="32"/>
          <w:highlight w:val="none"/>
        </w:rPr>
        <w:t>（款）机关事业单位基本养老保险缴费支出（项）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60.01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spacing w:line="600" w:lineRule="exact"/>
        <w:ind w:firstLine="643" w:firstLineChars="200"/>
        <w:rPr>
          <w:rFonts w:hint="eastAsia" w:eastAsia="仿宋"/>
          <w:lang w:eastAsia="zh-CN"/>
        </w:rPr>
      </w:pPr>
      <w:r>
        <w:rPr>
          <w:rStyle w:val="18"/>
          <w:rFonts w:hint="eastAsia" w:ascii="仿宋" w:hAnsi="仿宋" w:eastAsia="仿宋"/>
          <w:b/>
          <w:bCs w:val="0"/>
          <w:color w:val="auto"/>
          <w:sz w:val="32"/>
          <w:szCs w:val="32"/>
          <w:highlight w:val="none"/>
          <w:lang w:val="en-US" w:eastAsia="zh-CN"/>
        </w:rPr>
        <w:t>5.</w:t>
      </w:r>
      <w:r>
        <w:rPr>
          <w:rStyle w:val="18"/>
          <w:rFonts w:hint="eastAsia" w:ascii="仿宋" w:hAnsi="仿宋" w:eastAsia="仿宋"/>
          <w:b/>
          <w:bCs w:val="0"/>
          <w:color w:val="auto"/>
          <w:sz w:val="32"/>
          <w:szCs w:val="32"/>
          <w:highlight w:val="none"/>
        </w:rPr>
        <w:t>社会</w:t>
      </w:r>
      <w:r>
        <w:rPr>
          <w:rStyle w:val="18"/>
          <w:rFonts w:hint="eastAsia" w:ascii="仿宋" w:hAnsi="仿宋" w:eastAsia="仿宋"/>
          <w:bCs/>
          <w:color w:val="auto"/>
          <w:sz w:val="32"/>
          <w:szCs w:val="32"/>
          <w:highlight w:val="none"/>
        </w:rPr>
        <w:t>保障和就业（类）</w:t>
      </w:r>
      <w:r>
        <w:rPr>
          <w:rStyle w:val="18"/>
          <w:rFonts w:hint="eastAsia" w:ascii="仿宋" w:hAnsi="仿宋" w:eastAsia="仿宋"/>
          <w:bCs/>
          <w:color w:val="auto"/>
          <w:sz w:val="32"/>
          <w:szCs w:val="32"/>
          <w:highlight w:val="none"/>
          <w:lang w:eastAsia="zh-CN"/>
        </w:rPr>
        <w:t>行政事业单位养老支出</w:t>
      </w:r>
      <w:r>
        <w:rPr>
          <w:rStyle w:val="18"/>
          <w:rFonts w:hint="eastAsia" w:ascii="仿宋" w:hAnsi="仿宋" w:eastAsia="仿宋"/>
          <w:bCs/>
          <w:color w:val="auto"/>
          <w:sz w:val="32"/>
          <w:szCs w:val="32"/>
          <w:highlight w:val="none"/>
        </w:rPr>
        <w:t>（款）机关事业单位职业年金缴费支出（项）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16.99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ascii="仿宋" w:hAnsi="仿宋" w:eastAsia="仿宋"/>
          <w:bCs/>
          <w:color w:val="auto"/>
          <w:sz w:val="32"/>
          <w:szCs w:val="32"/>
          <w:highlight w:val="none"/>
        </w:rPr>
        <w:t>6.</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（类）行政事业单位医疗（款）行政单位医疗（项）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27.14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
          <w:bCs w:val="0"/>
          <w:color w:val="auto"/>
          <w:sz w:val="32"/>
          <w:szCs w:val="32"/>
          <w:highlight w:val="none"/>
          <w:lang w:val="en-US" w:eastAsia="zh-CN"/>
        </w:rPr>
        <w:t>7.</w:t>
      </w:r>
      <w:r>
        <w:rPr>
          <w:rFonts w:hint="eastAsia" w:ascii="仿宋" w:hAnsi="仿宋" w:eastAsia="仿宋"/>
          <w:b/>
          <w:bCs w:val="0"/>
          <w:color w:val="auto"/>
          <w:sz w:val="32"/>
          <w:szCs w:val="32"/>
          <w:highlight w:val="none"/>
        </w:rPr>
        <w:t>住</w:t>
      </w:r>
      <w:r>
        <w:rPr>
          <w:rFonts w:hint="eastAsia" w:ascii="仿宋" w:hAnsi="仿宋" w:eastAsia="仿宋"/>
          <w:b/>
          <w:bCs/>
          <w:color w:val="auto"/>
          <w:sz w:val="32"/>
          <w:szCs w:val="32"/>
          <w:highlight w:val="none"/>
        </w:rPr>
        <w:t>房保障支出</w:t>
      </w:r>
      <w:r>
        <w:rPr>
          <w:rStyle w:val="18"/>
          <w:rFonts w:hint="eastAsia" w:ascii="仿宋" w:hAnsi="仿宋" w:eastAsia="仿宋"/>
          <w:bCs/>
          <w:color w:val="auto"/>
          <w:sz w:val="32"/>
          <w:szCs w:val="32"/>
          <w:highlight w:val="none"/>
        </w:rPr>
        <w:t>（类）住房改革支出（款）住房公积金（项）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66.63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
          <w:bCs w:val="0"/>
          <w:color w:val="auto"/>
          <w:sz w:val="32"/>
          <w:szCs w:val="32"/>
          <w:highlight w:val="none"/>
          <w:lang w:val="en-US" w:eastAsia="zh-CN"/>
        </w:rPr>
        <w:t>8.</w:t>
      </w:r>
      <w:r>
        <w:rPr>
          <w:rFonts w:hint="eastAsia" w:ascii="仿宋" w:hAnsi="仿宋" w:eastAsia="仿宋"/>
          <w:b/>
          <w:bCs w:val="0"/>
          <w:color w:val="auto"/>
          <w:sz w:val="32"/>
          <w:szCs w:val="32"/>
          <w:highlight w:val="none"/>
        </w:rPr>
        <w:t>住</w:t>
      </w:r>
      <w:r>
        <w:rPr>
          <w:rFonts w:hint="eastAsia" w:ascii="仿宋" w:hAnsi="仿宋" w:eastAsia="仿宋"/>
          <w:b/>
          <w:bCs/>
          <w:color w:val="auto"/>
          <w:sz w:val="32"/>
          <w:szCs w:val="32"/>
          <w:highlight w:val="none"/>
        </w:rPr>
        <w:t>房保障支出</w:t>
      </w:r>
      <w:r>
        <w:rPr>
          <w:rStyle w:val="18"/>
          <w:rFonts w:hint="eastAsia" w:ascii="仿宋" w:hAnsi="仿宋" w:eastAsia="仿宋"/>
          <w:bCs/>
          <w:color w:val="auto"/>
          <w:sz w:val="32"/>
          <w:szCs w:val="32"/>
          <w:highlight w:val="none"/>
        </w:rPr>
        <w:t>（类）住房改革支出（款）购房补贴（项）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tabs>
          <w:tab w:val="right" w:pos="8306"/>
        </w:tabs>
        <w:spacing w:line="600" w:lineRule="exact"/>
        <w:ind w:firstLine="640"/>
        <w:outlineLvl w:val="1"/>
        <w:rPr>
          <w:rStyle w:val="21"/>
          <w:color w:val="auto"/>
          <w:highlight w:val="none"/>
        </w:rPr>
      </w:pPr>
      <w:bookmarkStart w:id="53" w:name="_Toc15377214"/>
      <w:bookmarkStart w:id="54" w:name="_Toc15396608"/>
      <w:bookmarkStart w:id="55" w:name="_Toc25225"/>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53"/>
      <w:bookmarkEnd w:id="54"/>
      <w:bookmarkEnd w:id="55"/>
      <w:r>
        <w:rPr>
          <w:rStyle w:val="2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818.82</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704.76</w:t>
      </w:r>
      <w:r>
        <w:rPr>
          <w:rFonts w:hint="eastAsia" w:ascii="仿宋" w:hAnsi="仿宋" w:eastAsia="仿宋"/>
          <w:color w:val="auto"/>
          <w:sz w:val="32"/>
          <w:szCs w:val="32"/>
          <w:highlight w:val="none"/>
        </w:rPr>
        <w:t>万元，主要包括：基本工资、津贴补贴、奖金、伙食补助费</w:t>
      </w:r>
      <w:r>
        <w:rPr>
          <w:rFonts w:hint="eastAsia" w:ascii="仿宋" w:hAnsi="仿宋" w:eastAsia="仿宋"/>
          <w:color w:val="00B0F0"/>
          <w:sz w:val="32"/>
          <w:szCs w:val="32"/>
          <w:highlight w:val="none"/>
        </w:rPr>
        <w:t>、</w:t>
      </w:r>
      <w:r>
        <w:rPr>
          <w:rFonts w:hint="eastAsia" w:ascii="仿宋" w:hAnsi="仿宋" w:eastAsia="仿宋"/>
          <w:color w:val="auto"/>
          <w:sz w:val="32"/>
          <w:szCs w:val="32"/>
          <w:highlight w:val="none"/>
        </w:rPr>
        <w:t>机关事业单位基本养老保险缴费、职业年金缴费、其他社会保障缴费、其他工资福利支出、抚恤金、生活补助、奖励金、住房公积金、其他对个人和家庭的补助支出等。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114.06</w:t>
      </w:r>
      <w:r>
        <w:rPr>
          <w:rFonts w:hint="eastAsia" w:ascii="仿宋" w:hAnsi="仿宋" w:eastAsia="仿宋"/>
          <w:color w:val="auto"/>
          <w:sz w:val="32"/>
          <w:szCs w:val="32"/>
          <w:highlight w:val="none"/>
        </w:rPr>
        <w:t>万元，主要包括：办公费、印刷费、咨询费、手续费、水费、电费、邮电费、物业管理费、维修（护）费、会议费、培训费、公务接待费、劳务费、工会经费、福利费、公务用车运行维护费、其他交通费、其他商品和服务支出、办公设备购置等。</w:t>
      </w:r>
    </w:p>
    <w:p>
      <w:pPr>
        <w:spacing w:line="600" w:lineRule="exact"/>
        <w:ind w:firstLine="640"/>
        <w:outlineLvl w:val="1"/>
        <w:rPr>
          <w:rStyle w:val="21"/>
          <w:rFonts w:ascii="黑体" w:hAnsi="黑体" w:eastAsia="黑体"/>
          <w:b w:val="0"/>
          <w:color w:val="auto"/>
          <w:highlight w:val="none"/>
        </w:rPr>
      </w:pPr>
      <w:bookmarkStart w:id="56" w:name="_Toc15396609"/>
      <w:bookmarkStart w:id="57" w:name="_Toc15377215"/>
      <w:bookmarkStart w:id="58" w:name="_Toc11603"/>
      <w:r>
        <w:rPr>
          <w:rFonts w:hint="eastAsia" w:ascii="黑体" w:eastAsia="黑体"/>
          <w:color w:val="auto"/>
          <w:sz w:val="32"/>
          <w:szCs w:val="32"/>
          <w:highlight w:val="none"/>
        </w:rPr>
        <w:t>七、</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三公”经费财政拨款支出决算情况说明</w:t>
      </w:r>
      <w:bookmarkEnd w:id="56"/>
      <w:bookmarkEnd w:id="57"/>
      <w:bookmarkEnd w:id="58"/>
    </w:p>
    <w:p>
      <w:pPr>
        <w:spacing w:line="600" w:lineRule="exact"/>
        <w:ind w:firstLine="640"/>
        <w:outlineLvl w:val="2"/>
        <w:rPr>
          <w:rFonts w:ascii="仿宋" w:hAnsi="仿宋" w:eastAsia="仿宋"/>
          <w:b/>
          <w:color w:val="auto"/>
          <w:sz w:val="32"/>
          <w:szCs w:val="32"/>
          <w:highlight w:val="none"/>
        </w:rPr>
      </w:pPr>
      <w:bookmarkStart w:id="59" w:name="_Toc15377216"/>
      <w:r>
        <w:rPr>
          <w:rFonts w:hint="eastAsia" w:ascii="仿宋" w:hAnsi="仿宋" w:eastAsia="仿宋"/>
          <w:b/>
          <w:color w:val="auto"/>
          <w:sz w:val="32"/>
          <w:szCs w:val="32"/>
          <w:highlight w:val="none"/>
        </w:rPr>
        <w:t>（一）“三公”经费财政拨款支出决算总体情况说明</w:t>
      </w:r>
      <w:bookmarkEnd w:id="5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19.71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85.7</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厉行节约，严格控制“三公”经费开支</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60" w:name="_Toc15377217"/>
      <w:r>
        <w:rPr>
          <w:rFonts w:hint="eastAsia" w:ascii="仿宋" w:hAnsi="仿宋" w:eastAsia="仿宋"/>
          <w:b/>
          <w:color w:val="auto"/>
          <w:sz w:val="32"/>
          <w:szCs w:val="32"/>
          <w:highlight w:val="none"/>
        </w:rPr>
        <w:t>（二）“三公”经费财政拨款支出决算具体情况说明</w:t>
      </w:r>
      <w:bookmarkEnd w:id="60"/>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w:t>
      </w:r>
      <w:r>
        <w:rPr>
          <w:rFonts w:hint="eastAsia" w:ascii="仿宋" w:hAnsi="仿宋" w:eastAsia="仿宋"/>
          <w:color w:val="000000" w:themeColor="text1"/>
          <w:sz w:val="32"/>
          <w:szCs w:val="32"/>
          <w:highlight w:val="none"/>
          <w14:textFill>
            <w14:solidFill>
              <w14:schemeClr w14:val="tx1"/>
            </w14:solidFill>
          </w14:textFill>
        </w:rPr>
        <w:t>算</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color w:val="000000" w:themeColor="text1"/>
          <w:sz w:val="32"/>
          <w:szCs w:val="32"/>
          <w:highlight w:val="none"/>
          <w:lang w:eastAsia="zh-CN"/>
          <w14:textFill>
            <w14:solidFill>
              <w14:schemeClr w14:val="tx1"/>
            </w14:solidFill>
          </w14:textFill>
        </w:rPr>
        <w:t>，占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单位共有公务用车</w:t>
      </w:r>
      <w:r>
        <w:rPr>
          <w:rFonts w:hint="eastAsia" w:ascii="仿宋" w:hAnsi="仿宋" w:eastAsia="仿宋"/>
          <w:color w:val="000000" w:themeColor="text1"/>
          <w:sz w:val="32"/>
          <w:szCs w:val="32"/>
          <w:highlight w:val="none"/>
          <w:lang w:val="en-US" w:eastAsia="zh-CN"/>
          <w14:textFill>
            <w14:solidFill>
              <w14:schemeClr w14:val="tx1"/>
            </w14:solidFill>
          </w14:textFill>
        </w:rPr>
        <w:t>2辆，</w:t>
      </w:r>
      <w:r>
        <w:rPr>
          <w:rFonts w:hint="eastAsia" w:ascii="仿宋" w:hAnsi="仿宋" w:eastAsia="仿宋"/>
          <w:color w:val="000000" w:themeColor="text1"/>
          <w:sz w:val="32"/>
          <w:szCs w:val="32"/>
          <w:highlight w:val="none"/>
          <w14:textFill>
            <w14:solidFill>
              <w14:schemeClr w14:val="tx1"/>
            </w14:solidFill>
          </w14:textFill>
        </w:rPr>
        <w:t>公务用车</w:t>
      </w:r>
      <w:r>
        <w:rPr>
          <w:rFonts w:hint="eastAsia" w:ascii="仿宋" w:hAnsi="仿宋" w:eastAsia="仿宋"/>
          <w:color w:val="auto"/>
          <w:sz w:val="32"/>
          <w:szCs w:val="32"/>
          <w:highlight w:val="none"/>
        </w:rPr>
        <w:t>购置及运行维护费支出决算</w:t>
      </w:r>
      <w:r>
        <w:rPr>
          <w:rFonts w:hint="eastAsia" w:ascii="仿宋" w:hAnsi="仿宋" w:eastAsia="仿宋"/>
          <w:color w:val="auto"/>
          <w:sz w:val="32"/>
          <w:szCs w:val="32"/>
          <w:highlight w:val="none"/>
          <w:lang w:val="en-US" w:eastAsia="zh-CN"/>
        </w:rPr>
        <w:t>5.61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28.46</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14.11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71.59</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5.61</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70.13</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17.97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76.21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厉行节约，控制“三公”经费开支</w:t>
      </w:r>
      <w:r>
        <w:rPr>
          <w:rFonts w:hint="eastAsia" w:ascii="仿宋_GB2312" w:eastAsia="仿宋_GB2312"/>
          <w:color w:val="auto"/>
          <w:sz w:val="32"/>
          <w:szCs w:val="32"/>
          <w:highlight w:val="none"/>
        </w:rPr>
        <w:t>。</w:t>
      </w:r>
    </w:p>
    <w:p>
      <w:pPr>
        <w:spacing w:line="600" w:lineRule="exact"/>
        <w:ind w:firstLine="640" w:firstLineChars="200"/>
        <w:rPr>
          <w:rFonts w:hint="default" w:ascii="仿宋_GB2312" w:eastAsia="仿宋_GB2312"/>
          <w:b/>
          <w:color w:val="000000" w:themeColor="text1"/>
          <w:sz w:val="32"/>
          <w:szCs w:val="32"/>
          <w:highlight w:val="none"/>
          <w:lang w:val="en-US"/>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其中：</w:t>
      </w:r>
      <w:r>
        <w:rPr>
          <w:rFonts w:hint="eastAsia" w:ascii="仿宋_GB2312" w:eastAsia="仿宋_GB2312"/>
          <w:b/>
          <w:color w:val="000000" w:themeColor="text1"/>
          <w:sz w:val="32"/>
          <w:szCs w:val="32"/>
          <w:highlight w:val="none"/>
          <w14:textFill>
            <w14:solidFill>
              <w14:schemeClr w14:val="tx1"/>
            </w14:solidFill>
          </w14:textFill>
        </w:rPr>
        <w:t>公务用车购置支出</w:t>
      </w:r>
      <w:r>
        <w:rPr>
          <w:rFonts w:hint="eastAsia" w:ascii="仿宋_GB2312" w:eastAsia="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万元。</w:t>
      </w:r>
      <w:r>
        <w:rPr>
          <w:rFonts w:hint="eastAsia" w:ascii="仿宋_GB2312" w:eastAsia="仿宋_GB2312"/>
          <w:color w:val="000000" w:themeColor="text1"/>
          <w:sz w:val="32"/>
          <w:szCs w:val="32"/>
          <w:highlight w:val="none"/>
          <w:lang w:eastAsia="zh-CN"/>
          <w14:textFill>
            <w14:solidFill>
              <w14:schemeClr w14:val="tx1"/>
            </w14:solidFill>
          </w14:textFill>
        </w:rPr>
        <w:t>为响应上级要求，厉行节约，严格控制“三公”经费支出，全年未新购置公务用车。截至</w:t>
      </w:r>
      <w:r>
        <w:rPr>
          <w:rFonts w:hint="eastAsia" w:ascii="仿宋_GB2312" w:eastAsia="仿宋_GB2312"/>
          <w:color w:val="000000" w:themeColor="text1"/>
          <w:sz w:val="32"/>
          <w:szCs w:val="32"/>
          <w:highlight w:val="none"/>
          <w:lang w:val="en-US" w:eastAsia="zh-CN"/>
          <w14:textFill>
            <w14:solidFill>
              <w14:schemeClr w14:val="tx1"/>
            </w14:solidFill>
          </w14:textFill>
        </w:rPr>
        <w:t>2021年12月底，单位共有公务用车</w:t>
      </w:r>
      <w:r>
        <w:rPr>
          <w:rFonts w:hint="default" w:ascii="仿宋_GB2312" w:eastAsia="仿宋_GB2312"/>
          <w:color w:val="000000" w:themeColor="text1"/>
          <w:sz w:val="32"/>
          <w:szCs w:val="32"/>
          <w:highlight w:val="none"/>
          <w:lang w:eastAsia="zh-CN"/>
          <w14:textFill>
            <w14:solidFill>
              <w14:schemeClr w14:val="tx1"/>
            </w14:solidFill>
          </w14:textFill>
        </w:rPr>
        <w:t>0</w:t>
      </w:r>
      <w:r>
        <w:rPr>
          <w:rFonts w:hint="eastAsia" w:ascii="仿宋_GB2312" w:eastAsia="仿宋_GB2312"/>
          <w:color w:val="000000" w:themeColor="text1"/>
          <w:sz w:val="32"/>
          <w:szCs w:val="32"/>
          <w:highlight w:val="none"/>
          <w:lang w:val="en-US" w:eastAsia="zh-CN"/>
          <w14:textFill>
            <w14:solidFill>
              <w14:schemeClr w14:val="tx1"/>
            </w14:solidFill>
          </w14:textFill>
        </w:rPr>
        <w:t>辆，其中：</w:t>
      </w:r>
    </w:p>
    <w:p>
      <w:pPr>
        <w:spacing w:line="600" w:lineRule="exact"/>
        <w:ind w:firstLine="64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highlight w:val="none"/>
          <w14:textFill>
            <w14:solidFill>
              <w14:schemeClr w14:val="tx1"/>
            </w14:solidFill>
          </w14:textFill>
        </w:rPr>
        <w:t>公务用车运行维护费支出</w:t>
      </w:r>
      <w:r>
        <w:rPr>
          <w:rFonts w:hint="eastAsia" w:ascii="仿宋_GB2312" w:eastAsia="仿宋_GB2312"/>
          <w:color w:val="000000" w:themeColor="text1"/>
          <w:sz w:val="32"/>
          <w:szCs w:val="32"/>
          <w:highlight w:val="none"/>
          <w:lang w:val="en-US" w:eastAsia="zh-CN"/>
          <w14:textFill>
            <w14:solidFill>
              <w14:schemeClr w14:val="tx1"/>
            </w14:solidFill>
          </w14:textFill>
        </w:rPr>
        <w:t>5.61</w:t>
      </w:r>
      <w:r>
        <w:rPr>
          <w:rFonts w:hint="eastAsia" w:ascii="仿宋_GB2312" w:eastAsia="仿宋_GB2312"/>
          <w:color w:val="000000" w:themeColor="text1"/>
          <w:sz w:val="32"/>
          <w:szCs w:val="32"/>
          <w:highlight w:val="none"/>
          <w14:textFill>
            <w14:solidFill>
              <w14:schemeClr w14:val="tx1"/>
            </w14:solidFill>
          </w14:textFill>
        </w:rPr>
        <w:t>万元。主要用</w:t>
      </w:r>
      <w:r>
        <w:rPr>
          <w:rFonts w:hint="eastAsia" w:ascii="仿宋_GB2312" w:eastAsia="仿宋_GB2312"/>
          <w:color w:val="000000" w:themeColor="text1"/>
          <w:sz w:val="32"/>
          <w:szCs w:val="32"/>
          <w:highlight w:val="none"/>
          <w:lang w:eastAsia="zh-CN"/>
          <w14:textFill>
            <w14:solidFill>
              <w14:schemeClr w14:val="tx1"/>
            </w14:solidFill>
          </w14:textFill>
        </w:rPr>
        <w:t>招商引资、项目考察</w:t>
      </w:r>
      <w:r>
        <w:rPr>
          <w:rFonts w:hint="eastAsia" w:ascii="仿宋_GB2312" w:eastAsia="仿宋_GB2312"/>
          <w:color w:val="000000" w:themeColor="text1"/>
          <w:sz w:val="32"/>
          <w:szCs w:val="32"/>
          <w:highlight w:val="none"/>
          <w14:textFill>
            <w14:solidFill>
              <w14:schemeClr w14:val="tx1"/>
            </w14:solidFill>
          </w14:textFill>
        </w:rPr>
        <w:t>等所需的公务用车燃料费、维修费、过路过桥费、保险费等支出。</w:t>
      </w:r>
    </w:p>
    <w:p>
      <w:pPr>
        <w:spacing w:line="600" w:lineRule="exact"/>
        <w:ind w:firstLine="64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b/>
          <w:color w:val="000000" w:themeColor="text1"/>
          <w:sz w:val="32"/>
          <w:szCs w:val="32"/>
          <w:highlight w:val="none"/>
          <w14:textFill>
            <w14:solidFill>
              <w14:schemeClr w14:val="tx1"/>
            </w14:solidFill>
          </w14:textFill>
        </w:rPr>
        <w:t>3.</w:t>
      </w:r>
      <w:r>
        <w:rPr>
          <w:rFonts w:hint="eastAsia" w:ascii="仿宋_GB2312" w:eastAsia="仿宋_GB2312"/>
          <w:b/>
          <w:color w:val="000000" w:themeColor="text1"/>
          <w:sz w:val="32"/>
          <w:szCs w:val="32"/>
          <w:highlight w:val="none"/>
          <w14:textFill>
            <w14:solidFill>
              <w14:schemeClr w14:val="tx1"/>
            </w14:solidFill>
          </w14:textFill>
        </w:rPr>
        <w:t>公务接待费支出</w:t>
      </w:r>
      <w:r>
        <w:rPr>
          <w:rFonts w:hint="eastAsia" w:ascii="仿宋_GB2312" w:eastAsia="仿宋_GB2312"/>
          <w:color w:val="000000" w:themeColor="text1"/>
          <w:sz w:val="32"/>
          <w:szCs w:val="32"/>
          <w:highlight w:val="none"/>
          <w:lang w:val="en-US" w:eastAsia="zh-CN"/>
          <w14:textFill>
            <w14:solidFill>
              <w14:schemeClr w14:val="tx1"/>
            </w14:solidFill>
          </w14:textFill>
        </w:rPr>
        <w:t>14.11</w:t>
      </w:r>
      <w:r>
        <w:rPr>
          <w:rFonts w:hint="eastAsia" w:ascii="仿宋_GB2312" w:eastAsia="仿宋_GB2312"/>
          <w:color w:val="000000" w:themeColor="text1"/>
          <w:sz w:val="32"/>
          <w:szCs w:val="32"/>
          <w:highlight w:val="none"/>
          <w14:textFill>
            <w14:solidFill>
              <w14:schemeClr w14:val="tx1"/>
            </w14:solidFill>
          </w14:textFill>
        </w:rPr>
        <w:t>万元，</w:t>
      </w:r>
      <w:r>
        <w:rPr>
          <w:rStyle w:val="18"/>
          <w:rFonts w:hint="eastAsia" w:ascii="仿宋" w:hAnsi="仿宋" w:eastAsia="仿宋"/>
          <w:b w:val="0"/>
          <w:bCs/>
          <w:color w:val="000000" w:themeColor="text1"/>
          <w:sz w:val="32"/>
          <w:szCs w:val="32"/>
          <w:highlight w:val="none"/>
          <w14:textFill>
            <w14:solidFill>
              <w14:schemeClr w14:val="tx1"/>
            </w14:solidFill>
          </w14:textFill>
        </w:rPr>
        <w:t>完成预算</w:t>
      </w:r>
      <w:r>
        <w:rPr>
          <w:rStyle w:val="18"/>
          <w:rFonts w:hint="eastAsia" w:ascii="仿宋" w:hAnsi="仿宋" w:eastAsia="仿宋"/>
          <w:b w:val="0"/>
          <w:bCs/>
          <w:color w:val="000000" w:themeColor="text1"/>
          <w:sz w:val="32"/>
          <w:szCs w:val="32"/>
          <w:highlight w:val="none"/>
          <w:lang w:val="en-US" w:eastAsia="zh-CN"/>
          <w14:textFill>
            <w14:solidFill>
              <w14:schemeClr w14:val="tx1"/>
            </w14:solidFill>
          </w14:textFill>
        </w:rPr>
        <w:t>94.07</w:t>
      </w:r>
      <w:r>
        <w:rPr>
          <w:rStyle w:val="18"/>
          <w:rFonts w:ascii="仿宋" w:hAnsi="仿宋" w:eastAsia="仿宋"/>
          <w:b w:val="0"/>
          <w:bCs/>
          <w:color w:val="000000" w:themeColor="text1"/>
          <w:sz w:val="32"/>
          <w:szCs w:val="32"/>
          <w:highlight w:val="none"/>
          <w14:textFill>
            <w14:solidFill>
              <w14:schemeClr w14:val="tx1"/>
            </w14:solidFill>
          </w14:textFill>
        </w:rPr>
        <w:t>%</w:t>
      </w:r>
      <w:r>
        <w:rPr>
          <w:rStyle w:val="18"/>
          <w:rFonts w:hint="eastAsia" w:ascii="仿宋" w:hAnsi="仿宋" w:eastAsia="仿宋"/>
          <w:b w:val="0"/>
          <w:bCs/>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公务接待费支出决算比</w:t>
      </w: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20</w:t>
      </w:r>
      <w:r>
        <w:rPr>
          <w:rFonts w:hint="eastAsia" w:ascii="仿宋_GB2312" w:eastAsia="仿宋_GB2312"/>
          <w:color w:val="000000" w:themeColor="text1"/>
          <w:sz w:val="32"/>
          <w:szCs w:val="32"/>
          <w:highlight w:val="none"/>
          <w14:textFill>
            <w14:solidFill>
              <w14:schemeClr w14:val="tx1"/>
            </w14:solidFill>
          </w14:textFill>
        </w:rPr>
        <w:t>年增加</w:t>
      </w:r>
      <w:r>
        <w:rPr>
          <w:rFonts w:hint="eastAsia" w:ascii="仿宋_GB2312" w:eastAsia="仿宋_GB2312"/>
          <w:color w:val="000000" w:themeColor="text1"/>
          <w:sz w:val="32"/>
          <w:szCs w:val="32"/>
          <w:highlight w:val="none"/>
          <w:lang w:val="en-US" w:eastAsia="zh-CN"/>
          <w14:textFill>
            <w14:solidFill>
              <w14:schemeClr w14:val="tx1"/>
            </w14:solidFill>
          </w14:textFill>
        </w:rPr>
        <w:t>6.58</w:t>
      </w:r>
      <w:r>
        <w:rPr>
          <w:rFonts w:hint="eastAsia" w:ascii="仿宋_GB2312" w:eastAsia="仿宋_GB2312"/>
          <w:color w:val="000000" w:themeColor="text1"/>
          <w:sz w:val="32"/>
          <w:szCs w:val="32"/>
          <w:highlight w:val="none"/>
          <w14:textFill>
            <w14:solidFill>
              <w14:schemeClr w14:val="tx1"/>
            </w14:solidFill>
          </w14:textFill>
        </w:rPr>
        <w:t>万元，增长</w:t>
      </w:r>
      <w:r>
        <w:rPr>
          <w:rFonts w:hint="eastAsia" w:ascii="仿宋_GB2312" w:eastAsia="仿宋_GB2312"/>
          <w:color w:val="000000" w:themeColor="text1"/>
          <w:sz w:val="32"/>
          <w:szCs w:val="32"/>
          <w:highlight w:val="none"/>
          <w:lang w:val="en-US" w:eastAsia="zh-CN"/>
          <w14:textFill>
            <w14:solidFill>
              <w14:schemeClr w14:val="tx1"/>
            </w14:solidFill>
          </w14:textFill>
        </w:rPr>
        <w:t>87.38</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。主要原因是</w:t>
      </w:r>
      <w:r>
        <w:rPr>
          <w:rFonts w:hint="eastAsia" w:ascii="仿宋_GB2312" w:eastAsia="仿宋_GB2312"/>
          <w:color w:val="000000" w:themeColor="text1"/>
          <w:sz w:val="32"/>
          <w:szCs w:val="32"/>
          <w:highlight w:val="none"/>
          <w:lang w:eastAsia="zh-CN"/>
          <w14:textFill>
            <w14:solidFill>
              <w14:schemeClr w14:val="tx1"/>
            </w14:solidFill>
          </w14:textFill>
        </w:rPr>
        <w:t>单位合并，对应上级部门增加，导致公务接待费用增加</w:t>
      </w:r>
      <w:r>
        <w:rPr>
          <w:rFonts w:hint="eastAsia" w:ascii="仿宋_GB2312" w:eastAsia="仿宋_GB2312"/>
          <w:color w:val="000000" w:themeColor="text1"/>
          <w:sz w:val="32"/>
          <w:szCs w:val="32"/>
          <w:highlight w:val="none"/>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国内公务接待支出</w:t>
      </w:r>
      <w:r>
        <w:rPr>
          <w:rFonts w:hint="eastAsia" w:ascii="仿宋" w:hAnsi="仿宋" w:eastAsia="仿宋"/>
          <w:b/>
          <w:color w:val="000000" w:themeColor="text1"/>
          <w:sz w:val="32"/>
          <w:szCs w:val="32"/>
          <w:highlight w:val="none"/>
          <w:lang w:val="en-US" w:eastAsia="zh-CN"/>
          <w14:textFill>
            <w14:solidFill>
              <w14:schemeClr w14:val="tx1"/>
            </w14:solidFill>
          </w14:textFill>
        </w:rPr>
        <w:t>14.11</w:t>
      </w:r>
      <w:r>
        <w:rPr>
          <w:rFonts w:hint="eastAsia" w:ascii="仿宋_GB2312" w:eastAsia="仿宋_GB2312"/>
          <w:color w:val="000000" w:themeColor="text1"/>
          <w:sz w:val="32"/>
          <w:szCs w:val="32"/>
          <w:highlight w:val="none"/>
          <w14:textFill>
            <w14:solidFill>
              <w14:schemeClr w14:val="tx1"/>
            </w14:solidFill>
          </w14:textFill>
        </w:rPr>
        <w:t>万元，主要用于执行公务、开展业务活动开支的交通费、住宿费、用餐费等。国内公务接待</w:t>
      </w:r>
      <w:r>
        <w:rPr>
          <w:rFonts w:hint="eastAsia" w:ascii="仿宋_GB2312" w:eastAsia="仿宋_GB2312"/>
          <w:color w:val="000000" w:themeColor="text1"/>
          <w:sz w:val="32"/>
          <w:szCs w:val="32"/>
          <w:highlight w:val="none"/>
          <w:lang w:val="en-US" w:eastAsia="zh-CN"/>
          <w14:textFill>
            <w14:solidFill>
              <w14:schemeClr w14:val="tx1"/>
            </w14:solidFill>
          </w14:textFill>
        </w:rPr>
        <w:t>63</w:t>
      </w:r>
      <w:r>
        <w:rPr>
          <w:rFonts w:hint="eastAsia" w:ascii="仿宋_GB2312" w:eastAsia="仿宋_GB2312"/>
          <w:color w:val="000000" w:themeColor="text1"/>
          <w:sz w:val="32"/>
          <w:szCs w:val="32"/>
          <w:highlight w:val="none"/>
          <w14:textFill>
            <w14:solidFill>
              <w14:schemeClr w14:val="tx1"/>
            </w14:solidFill>
          </w14:textFill>
        </w:rPr>
        <w:t>批次，</w:t>
      </w:r>
      <w:r>
        <w:rPr>
          <w:rFonts w:hint="eastAsia" w:ascii="仿宋_GB2312" w:eastAsia="仿宋_GB2312"/>
          <w:color w:val="000000" w:themeColor="text1"/>
          <w:sz w:val="32"/>
          <w:szCs w:val="32"/>
          <w:highlight w:val="none"/>
          <w:lang w:val="en-US" w:eastAsia="zh-CN"/>
          <w14:textFill>
            <w14:solidFill>
              <w14:schemeClr w14:val="tx1"/>
            </w14:solidFill>
          </w14:textFill>
        </w:rPr>
        <w:t>642</w:t>
      </w:r>
      <w:r>
        <w:rPr>
          <w:rFonts w:hint="eastAsia" w:ascii="仿宋_GB2312" w:eastAsia="仿宋_GB2312"/>
          <w:color w:val="000000" w:themeColor="text1"/>
          <w:sz w:val="32"/>
          <w:szCs w:val="32"/>
          <w:highlight w:val="none"/>
          <w14:textFill>
            <w14:solidFill>
              <w14:schemeClr w14:val="tx1"/>
            </w14:solidFill>
          </w14:textFill>
        </w:rPr>
        <w:t>人次（不包括陪同人员），共计支出</w:t>
      </w:r>
      <w:r>
        <w:rPr>
          <w:rFonts w:hint="eastAsia" w:ascii="仿宋_GB2312" w:eastAsia="仿宋_GB2312"/>
          <w:color w:val="000000" w:themeColor="text1"/>
          <w:sz w:val="32"/>
          <w:szCs w:val="32"/>
          <w:highlight w:val="none"/>
          <w:lang w:val="en-US" w:eastAsia="zh-CN"/>
          <w14:textFill>
            <w14:solidFill>
              <w14:schemeClr w14:val="tx1"/>
            </w14:solidFill>
          </w14:textFill>
        </w:rPr>
        <w:t>14.11</w:t>
      </w:r>
      <w:r>
        <w:rPr>
          <w:rFonts w:hint="eastAsia" w:ascii="仿宋_GB2312" w:eastAsia="仿宋_GB2312"/>
          <w:color w:val="000000" w:themeColor="text1"/>
          <w:sz w:val="32"/>
          <w:szCs w:val="32"/>
          <w:highlight w:val="none"/>
          <w14:textFill>
            <w14:solidFill>
              <w14:schemeClr w14:val="tx1"/>
            </w14:solidFill>
          </w14:textFill>
        </w:rPr>
        <w:t>万元，具体内容包括：</w:t>
      </w:r>
      <w:r>
        <w:rPr>
          <w:rFonts w:hint="eastAsia" w:ascii="仿宋_GB2312" w:eastAsia="仿宋_GB2312"/>
          <w:color w:val="000000" w:themeColor="text1"/>
          <w:sz w:val="32"/>
          <w:szCs w:val="32"/>
          <w:highlight w:val="none"/>
          <w:lang w:eastAsia="zh-CN"/>
          <w14:textFill>
            <w14:solidFill>
              <w14:schemeClr w14:val="tx1"/>
            </w14:solidFill>
          </w14:textFill>
        </w:rPr>
        <w:t>省经合局来广调研、经联会成员方来我市衔接工作、央企国企来广考察、其他市州招商系统来广走访考察等。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eastAsia="仿宋_GB2312"/>
          <w:color w:val="000000" w:themeColor="text1"/>
          <w:sz w:val="32"/>
          <w:szCs w:val="32"/>
          <w:highlight w:val="none"/>
          <w:lang w:val="en-US"/>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外事接待支出</w:t>
      </w:r>
      <w:r>
        <w:rPr>
          <w:rFonts w:hint="eastAsia" w:ascii="仿宋_GB2312" w:eastAsia="仿宋_GB2312"/>
          <w:color w:val="000000" w:themeColor="text1"/>
          <w:sz w:val="32"/>
          <w:szCs w:val="32"/>
          <w:highlight w:val="none"/>
          <w:lang w:val="en-US" w:eastAsia="zh-CN"/>
          <w14:textFill>
            <w14:solidFill>
              <w14:schemeClr w14:val="tx1"/>
            </w14:solidFill>
          </w14:textFill>
        </w:rPr>
        <w:t>0万元。</w:t>
      </w:r>
    </w:p>
    <w:p>
      <w:pPr>
        <w:spacing w:line="600" w:lineRule="exact"/>
        <w:ind w:firstLine="640"/>
        <w:outlineLvl w:val="1"/>
        <w:rPr>
          <w:rStyle w:val="21"/>
          <w:rFonts w:ascii="黑体" w:hAnsi="黑体" w:eastAsia="黑体"/>
          <w:color w:val="auto"/>
          <w:highlight w:val="none"/>
        </w:rPr>
      </w:pPr>
      <w:bookmarkStart w:id="61" w:name="_Toc15396610"/>
      <w:bookmarkStart w:id="62" w:name="_Toc15377218"/>
      <w:bookmarkStart w:id="63" w:name="_Toc13093"/>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61"/>
      <w:bookmarkEnd w:id="62"/>
      <w:bookmarkEnd w:id="63"/>
    </w:p>
    <w:p>
      <w:pPr>
        <w:spacing w:line="600" w:lineRule="exact"/>
        <w:ind w:firstLine="640"/>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1"/>
          <w:rFonts w:ascii="黑体" w:hAnsi="黑体" w:eastAsia="黑体"/>
          <w:b w:val="0"/>
          <w:color w:val="auto"/>
          <w:highlight w:val="none"/>
        </w:rPr>
      </w:pPr>
      <w:bookmarkStart w:id="64" w:name="_Toc15377219"/>
      <w:bookmarkStart w:id="65" w:name="_Toc15396611"/>
      <w:bookmarkStart w:id="66" w:name="_Toc28112"/>
      <w:r>
        <w:rPr>
          <w:rStyle w:val="21"/>
          <w:rFonts w:hint="eastAsia" w:ascii="黑体" w:hAnsi="黑体" w:eastAsia="黑体"/>
          <w:b w:val="0"/>
          <w:color w:val="auto"/>
          <w:highlight w:val="none"/>
        </w:rPr>
        <w:t>国有资本经营预算支出决算情况说明</w:t>
      </w:r>
      <w:bookmarkEnd w:id="64"/>
      <w:bookmarkEnd w:id="65"/>
      <w:bookmarkEnd w:id="66"/>
    </w:p>
    <w:p>
      <w:pPr>
        <w:spacing w:line="600" w:lineRule="exact"/>
        <w:ind w:firstLine="640"/>
        <w:rPr>
          <w:rFonts w:hint="eastAsi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67" w:name="_Toc15377221"/>
      <w:bookmarkStart w:id="68" w:name="_Toc15396612"/>
    </w:p>
    <w:p>
      <w:pPr>
        <w:numPr>
          <w:ilvl w:val="0"/>
          <w:numId w:val="2"/>
        </w:numPr>
        <w:spacing w:line="600" w:lineRule="exact"/>
        <w:ind w:firstLine="640"/>
        <w:outlineLvl w:val="1"/>
        <w:rPr>
          <w:rStyle w:val="21"/>
          <w:rFonts w:hint="eastAsia" w:ascii="黑体" w:hAnsi="黑体" w:eastAsia="黑体"/>
          <w:b w:val="0"/>
          <w:color w:val="auto"/>
          <w:highlight w:val="none"/>
        </w:rPr>
      </w:pPr>
      <w:bookmarkStart w:id="69" w:name="_Toc7518"/>
      <w:r>
        <w:rPr>
          <w:rStyle w:val="21"/>
          <w:rFonts w:hint="eastAsia" w:ascii="黑体" w:hAnsi="黑体" w:eastAsia="黑体"/>
          <w:b w:val="0"/>
          <w:color w:val="auto"/>
          <w:highlight w:val="none"/>
          <w:lang w:val="en-US" w:eastAsia="zh-CN"/>
        </w:rPr>
        <w:t>预算绩效管理情况</w:t>
      </w:r>
      <w:bookmarkEnd w:id="69"/>
    </w:p>
    <w:p>
      <w:pPr>
        <w:numPr>
          <w:ilvl w:val="0"/>
          <w:numId w:val="0"/>
        </w:numPr>
        <w:spacing w:line="600" w:lineRule="exact"/>
        <w:ind w:firstLine="640" w:firstLineChars="200"/>
        <w:outlineLvl w:val="1"/>
        <w:rPr>
          <w:rFonts w:hint="eastAsia"/>
        </w:rPr>
      </w:pPr>
      <w:bookmarkStart w:id="70" w:name="_Toc25654"/>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驻外分局工作经费和房租</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广元市经济合作和外事局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bookmarkEnd w:id="70"/>
    </w:p>
    <w:p>
      <w:pPr>
        <w:numPr>
          <w:ilvl w:val="0"/>
          <w:numId w:val="2"/>
        </w:numPr>
        <w:spacing w:line="600" w:lineRule="exact"/>
        <w:ind w:firstLine="640"/>
        <w:outlineLvl w:val="1"/>
        <w:rPr>
          <w:rStyle w:val="21"/>
          <w:rFonts w:hint="eastAsia" w:ascii="黑体" w:hAnsi="黑体" w:eastAsia="黑体"/>
          <w:b w:val="0"/>
          <w:color w:val="auto"/>
          <w:highlight w:val="none"/>
        </w:rPr>
      </w:pPr>
      <w:bookmarkStart w:id="71" w:name="_Toc29334"/>
      <w:r>
        <w:rPr>
          <w:rStyle w:val="21"/>
          <w:rFonts w:hint="eastAsia" w:ascii="黑体" w:hAnsi="黑体" w:eastAsia="黑体"/>
          <w:b w:val="0"/>
          <w:color w:val="auto"/>
          <w:highlight w:val="none"/>
        </w:rPr>
        <w:t>其他重要事项的情况说明</w:t>
      </w:r>
      <w:bookmarkEnd w:id="67"/>
      <w:bookmarkEnd w:id="68"/>
      <w:bookmarkEnd w:id="71"/>
    </w:p>
    <w:p>
      <w:pPr>
        <w:spacing w:line="600" w:lineRule="exact"/>
        <w:ind w:firstLine="643" w:firstLineChars="200"/>
        <w:outlineLvl w:val="2"/>
        <w:rPr>
          <w:rFonts w:ascii="仿宋" w:hAnsi="仿宋" w:eastAsia="仿宋"/>
          <w:color w:val="auto"/>
          <w:sz w:val="32"/>
          <w:szCs w:val="32"/>
          <w:highlight w:val="none"/>
        </w:rPr>
      </w:pPr>
      <w:bookmarkStart w:id="72" w:name="_Toc15377222"/>
      <w:r>
        <w:rPr>
          <w:rFonts w:hint="eastAsia" w:ascii="仿宋" w:hAnsi="仿宋" w:eastAsia="仿宋"/>
          <w:b/>
          <w:color w:val="auto"/>
          <w:sz w:val="32"/>
          <w:szCs w:val="32"/>
          <w:highlight w:val="none"/>
        </w:rPr>
        <w:t>（一）机关运行经费支出情况</w:t>
      </w:r>
      <w:bookmarkEnd w:id="72"/>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市经济合作和外事局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114.06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6.84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5.66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厉行节约，严格控制各类费用支出。</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3" w:name="_Toc15377223"/>
      <w:r>
        <w:rPr>
          <w:rFonts w:hint="eastAsia" w:ascii="仿宋" w:hAnsi="仿宋" w:eastAsia="仿宋"/>
          <w:b/>
          <w:color w:val="auto"/>
          <w:sz w:val="32"/>
          <w:szCs w:val="32"/>
          <w:highlight w:val="none"/>
        </w:rPr>
        <w:t>（二）政府采购支出情况</w:t>
      </w:r>
      <w:bookmarkEnd w:id="73"/>
    </w:p>
    <w:p>
      <w:pPr>
        <w:spacing w:line="600" w:lineRule="exact"/>
        <w:ind w:firstLine="640" w:firstLineChars="200"/>
        <w:rPr>
          <w:rFonts w:hint="eastAsia" w:ascii="仿宋" w:hAnsi="仿宋" w:eastAsia="仿宋_GB2312"/>
          <w:b/>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市经济合作和外事局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4" w:name="_Toc15377224"/>
      <w:r>
        <w:rPr>
          <w:rFonts w:hint="eastAsia" w:ascii="仿宋" w:hAnsi="仿宋" w:eastAsia="仿宋"/>
          <w:b/>
          <w:color w:val="auto"/>
          <w:sz w:val="32"/>
          <w:szCs w:val="32"/>
          <w:highlight w:val="none"/>
        </w:rPr>
        <w:t>（三）国有资产占有使用情况</w:t>
      </w:r>
      <w:bookmarkEnd w:id="7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市经济合作和外事局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接待来广考察对接洽谈项目的客商，陪同客商赴各地考察项目基本要素等所需的公务用车燃料费、维修费、过路过桥费、保险费等支出。</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0"/>
          <w:rFonts w:ascii="黑体" w:hAnsi="黑体" w:eastAsia="黑体"/>
          <w:b w:val="0"/>
          <w:color w:val="auto"/>
          <w:highlight w:val="none"/>
        </w:rPr>
      </w:pPr>
      <w:bookmarkStart w:id="75" w:name="_Toc13417"/>
      <w:bookmarkStart w:id="76" w:name="_Toc15377225"/>
      <w:bookmarkStart w:id="77" w:name="_Toc15396613"/>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75"/>
      <w:bookmarkEnd w:id="76"/>
      <w:bookmarkEnd w:id="77"/>
    </w:p>
    <w:p>
      <w:pPr>
        <w:spacing w:line="600" w:lineRule="exact"/>
        <w:jc w:val="left"/>
        <w:rPr>
          <w:rFonts w:ascii="宋体"/>
          <w:b/>
          <w:color w:val="auto"/>
          <w:sz w:val="44"/>
          <w:szCs w:val="44"/>
          <w:highlight w:val="none"/>
        </w:rPr>
      </w:pPr>
    </w:p>
    <w:p>
      <w:pPr>
        <w:pStyle w:val="30"/>
        <w:spacing w:line="560" w:lineRule="exact"/>
        <w:ind w:firstLine="643" w:firstLineChars="200"/>
        <w:rPr>
          <w:rFonts w:ascii="仿宋_GB2312" w:eastAsia="仿宋_GB2312"/>
          <w:color w:val="auto"/>
          <w:sz w:val="32"/>
          <w:szCs w:val="32"/>
          <w:highlight w:val="none"/>
        </w:rPr>
      </w:pP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rPr>
        <w:t>财政拨款收入：</w:t>
      </w:r>
      <w:r>
        <w:rPr>
          <w:rFonts w:hint="eastAsia" w:ascii="仿宋_GB2312" w:eastAsia="仿宋_GB2312"/>
          <w:color w:val="auto"/>
          <w:sz w:val="32"/>
          <w:szCs w:val="32"/>
          <w:highlight w:val="none"/>
        </w:rPr>
        <w:t>指单位从同级财政部门取得的财政预算资金。</w:t>
      </w:r>
      <w:r>
        <w:rPr>
          <w:rFonts w:ascii="仿宋_GB2312" w:eastAsia="仿宋_GB2312"/>
          <w:color w:val="auto"/>
          <w:sz w:val="32"/>
          <w:szCs w:val="32"/>
          <w:highlight w:val="none"/>
        </w:rPr>
        <w:t xml:space="preserve"> </w:t>
      </w:r>
    </w:p>
    <w:p>
      <w:pPr>
        <w:pStyle w:val="30"/>
        <w:spacing w:line="56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2</w:t>
      </w:r>
      <w:r>
        <w:rPr>
          <w:rFonts w:ascii="仿宋_GB2312" w:eastAsia="仿宋_GB2312"/>
          <w:b/>
          <w:bCs/>
          <w:color w:val="auto"/>
          <w:sz w:val="32"/>
          <w:szCs w:val="32"/>
          <w:highlight w:val="none"/>
        </w:rPr>
        <w:t>.</w:t>
      </w:r>
      <w:r>
        <w:rPr>
          <w:rFonts w:hint="eastAsia" w:ascii="仿宋_GB2312" w:eastAsia="仿宋_GB2312"/>
          <w:b/>
          <w:bCs/>
          <w:color w:val="auto"/>
          <w:sz w:val="32"/>
          <w:szCs w:val="32"/>
          <w:highlight w:val="none"/>
        </w:rPr>
        <w:t>年初结转和结余</w:t>
      </w:r>
      <w:r>
        <w:rPr>
          <w:rFonts w:hint="eastAsia" w:ascii="仿宋_GB2312" w:eastAsia="仿宋_GB2312"/>
          <w:color w:val="auto"/>
          <w:sz w:val="32"/>
          <w:szCs w:val="32"/>
          <w:highlight w:val="none"/>
        </w:rPr>
        <w:t>：指以前年度尚未完成、结转到本年按有关规定继续使用的资金。</w:t>
      </w:r>
      <w:r>
        <w:rPr>
          <w:rFonts w:ascii="仿宋_GB2312" w:eastAsia="仿宋_GB2312"/>
          <w:color w:val="auto"/>
          <w:sz w:val="32"/>
          <w:szCs w:val="32"/>
          <w:highlight w:val="none"/>
        </w:rPr>
        <w:t xml:space="preserve"> </w:t>
      </w:r>
    </w:p>
    <w:p>
      <w:pPr>
        <w:pStyle w:val="30"/>
        <w:spacing w:line="560" w:lineRule="exact"/>
        <w:ind w:firstLine="643"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3</w:t>
      </w:r>
      <w:r>
        <w:rPr>
          <w:rFonts w:hint="eastAsia" w:ascii="仿宋_GB2312" w:eastAsia="仿宋_GB2312"/>
          <w:b/>
          <w:bCs/>
          <w:color w:val="auto"/>
          <w:sz w:val="32"/>
          <w:szCs w:val="32"/>
          <w:highlight w:val="none"/>
        </w:rPr>
        <w:t>、年末结转和结余</w:t>
      </w:r>
      <w:r>
        <w:rPr>
          <w:rFonts w:hint="eastAsia" w:ascii="仿宋_GB2312" w:eastAsia="仿宋_GB2312"/>
          <w:color w:val="auto"/>
          <w:sz w:val="32"/>
          <w:szCs w:val="32"/>
          <w:highlight w:val="none"/>
        </w:rPr>
        <w:t>：指单位按有关规定结转到下年或以后年度继续使用的资金。</w:t>
      </w:r>
    </w:p>
    <w:p>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eastAsia="zh-CN"/>
        </w:rPr>
        <w:t>商贸事务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行政运行</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Fonts w:hint="eastAsia" w:ascii="仿宋_GB2312" w:hAnsi="Calibri" w:eastAsia="仿宋_GB2312" w:cs="仿宋"/>
          <w:color w:val="auto"/>
          <w:kern w:val="0"/>
          <w:sz w:val="32"/>
          <w:szCs w:val="32"/>
          <w:highlight w:val="none"/>
          <w:lang w:val="en-US" w:eastAsia="zh-CN" w:bidi="ar-SA"/>
        </w:rPr>
        <w:t>指行政单位基本支出。</w:t>
      </w:r>
    </w:p>
    <w:p>
      <w:pPr>
        <w:spacing w:line="600" w:lineRule="exact"/>
        <w:ind w:firstLine="643" w:firstLineChars="200"/>
        <w:rPr>
          <w:rStyle w:val="18"/>
          <w:rFonts w:hint="eastAsia" w:ascii="仿宋" w:hAnsi="仿宋" w:eastAsia="仿宋"/>
          <w:bCs/>
          <w:color w:val="auto"/>
          <w:sz w:val="32"/>
          <w:szCs w:val="32"/>
          <w:highlight w:val="none"/>
          <w:lang w:eastAsia="zh-CN"/>
        </w:rPr>
      </w:pPr>
      <w:r>
        <w:rPr>
          <w:rStyle w:val="18"/>
          <w:rFonts w:hint="eastAsia" w:ascii="仿宋" w:hAnsi="仿宋" w:eastAsia="仿宋"/>
          <w:b/>
          <w:bCs w:val="0"/>
          <w:color w:val="auto"/>
          <w:sz w:val="32"/>
          <w:szCs w:val="32"/>
          <w:highlight w:val="none"/>
          <w:lang w:val="en-US" w:eastAsia="zh-CN"/>
        </w:rPr>
        <w:t>5.</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eastAsia="zh-CN"/>
        </w:rPr>
        <w:t>商贸事务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一般行政管理事务</w:t>
      </w:r>
      <w:r>
        <w:rPr>
          <w:rStyle w:val="18"/>
          <w:rFonts w:hint="eastAsia" w:ascii="仿宋" w:hAnsi="仿宋" w:eastAsia="仿宋"/>
          <w:bCs/>
          <w:color w:val="auto"/>
          <w:sz w:val="32"/>
          <w:szCs w:val="32"/>
          <w:highlight w:val="none"/>
        </w:rPr>
        <w:t>（项）</w:t>
      </w:r>
      <w:r>
        <w:rPr>
          <w:rStyle w:val="18"/>
          <w:rFonts w:hint="eastAsia" w:ascii="仿宋" w:hAnsi="仿宋" w:eastAsia="仿宋"/>
          <w:b w:val="0"/>
          <w:bCs w:val="0"/>
          <w:color w:val="auto"/>
          <w:sz w:val="32"/>
          <w:szCs w:val="32"/>
          <w:highlight w:val="none"/>
          <w:lang w:eastAsia="zh-CN"/>
        </w:rPr>
        <w:t>：指行政单位未单独设置顶级科目的其他项目支出。</w:t>
      </w:r>
    </w:p>
    <w:p>
      <w:pPr>
        <w:spacing w:line="600" w:lineRule="exact"/>
        <w:ind w:firstLine="640" w:firstLineChars="200"/>
        <w:rPr>
          <w:rFonts w:hint="eastAsia" w:eastAsia="仿宋"/>
          <w:b w:val="0"/>
          <w:bCs w:val="0"/>
          <w:lang w:val="en-US" w:eastAsia="zh-CN"/>
        </w:rPr>
      </w:pPr>
      <w:r>
        <w:rPr>
          <w:rStyle w:val="18"/>
          <w:rFonts w:hint="eastAsia" w:ascii="仿宋" w:hAnsi="仿宋" w:eastAsia="仿宋"/>
          <w:b w:val="0"/>
          <w:bCs/>
          <w:color w:val="auto"/>
          <w:sz w:val="32"/>
          <w:szCs w:val="32"/>
          <w:highlight w:val="none"/>
          <w:lang w:val="en-US" w:eastAsia="zh-CN"/>
        </w:rPr>
        <w:t>6.</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eastAsia="zh-CN"/>
        </w:rPr>
        <w:t>商贸事务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招商引资</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val="0"/>
          <w:color w:val="auto"/>
          <w:sz w:val="32"/>
          <w:szCs w:val="32"/>
          <w:highlight w:val="none"/>
          <w:lang w:eastAsia="zh-CN"/>
        </w:rPr>
        <w:t>指财政部门用于招商引资方面的支出。</w:t>
      </w:r>
    </w:p>
    <w:p>
      <w:pPr>
        <w:spacing w:line="600" w:lineRule="exact"/>
        <w:ind w:firstLine="643" w:firstLineChars="200"/>
        <w:rPr>
          <w:rStyle w:val="18"/>
          <w:rFonts w:hint="eastAsia" w:ascii="仿宋" w:hAnsi="仿宋" w:eastAsia="仿宋"/>
          <w:b w:val="0"/>
          <w:bCs w:val="0"/>
          <w:color w:val="auto"/>
          <w:sz w:val="32"/>
          <w:szCs w:val="32"/>
          <w:highlight w:val="none"/>
          <w:lang w:eastAsia="zh-CN"/>
        </w:rPr>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w:t>
      </w:r>
      <w:r>
        <w:rPr>
          <w:rStyle w:val="18"/>
          <w:rFonts w:hint="eastAsia" w:ascii="仿宋" w:hAnsi="仿宋" w:eastAsia="仿宋"/>
          <w:bCs/>
          <w:color w:val="auto"/>
          <w:sz w:val="32"/>
          <w:szCs w:val="32"/>
          <w:highlight w:val="none"/>
          <w:lang w:eastAsia="zh-CN"/>
        </w:rPr>
        <w:t>行政事业单位养老支出</w:t>
      </w:r>
      <w:r>
        <w:rPr>
          <w:rStyle w:val="18"/>
          <w:rFonts w:hint="eastAsia" w:ascii="仿宋" w:hAnsi="仿宋" w:eastAsia="仿宋"/>
          <w:bCs/>
          <w:color w:val="auto"/>
          <w:sz w:val="32"/>
          <w:szCs w:val="32"/>
          <w:highlight w:val="none"/>
        </w:rPr>
        <w:t>（款）机关事业单位基本养老保险缴费支出（项）</w:t>
      </w:r>
      <w:r>
        <w:rPr>
          <w:rStyle w:val="18"/>
          <w:rFonts w:hint="eastAsia" w:ascii="仿宋" w:hAnsi="仿宋" w:eastAsia="仿宋"/>
          <w:b w:val="0"/>
          <w:bCs w:val="0"/>
          <w:color w:val="auto"/>
          <w:sz w:val="32"/>
          <w:szCs w:val="32"/>
          <w:highlight w:val="none"/>
          <w:lang w:eastAsia="zh-CN"/>
        </w:rPr>
        <w:t>：指机关事业单位实施养老制度由单位缴纳的基本养老保险费用支出。</w:t>
      </w:r>
    </w:p>
    <w:p>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
          <w:bCs w:val="0"/>
          <w:color w:val="auto"/>
          <w:sz w:val="32"/>
          <w:szCs w:val="32"/>
          <w:highlight w:val="none"/>
          <w:lang w:val="en-US" w:eastAsia="zh-CN"/>
        </w:rPr>
        <w:t>8.</w:t>
      </w:r>
      <w:r>
        <w:rPr>
          <w:rStyle w:val="18"/>
          <w:rFonts w:hint="eastAsia" w:ascii="仿宋" w:hAnsi="仿宋" w:eastAsia="仿宋"/>
          <w:b/>
          <w:bCs w:val="0"/>
          <w:color w:val="auto"/>
          <w:sz w:val="32"/>
          <w:szCs w:val="32"/>
          <w:highlight w:val="none"/>
        </w:rPr>
        <w:t>社会</w:t>
      </w:r>
      <w:r>
        <w:rPr>
          <w:rStyle w:val="18"/>
          <w:rFonts w:hint="eastAsia" w:ascii="仿宋" w:hAnsi="仿宋" w:eastAsia="仿宋"/>
          <w:bCs/>
          <w:color w:val="auto"/>
          <w:sz w:val="32"/>
          <w:szCs w:val="32"/>
          <w:highlight w:val="none"/>
        </w:rPr>
        <w:t>保障和就业（类）</w:t>
      </w:r>
      <w:r>
        <w:rPr>
          <w:rStyle w:val="18"/>
          <w:rFonts w:hint="eastAsia" w:ascii="仿宋" w:hAnsi="仿宋" w:eastAsia="仿宋"/>
          <w:bCs/>
          <w:color w:val="auto"/>
          <w:sz w:val="32"/>
          <w:szCs w:val="32"/>
          <w:highlight w:val="none"/>
          <w:lang w:eastAsia="zh-CN"/>
        </w:rPr>
        <w:t>行政事业单位养老支出</w:t>
      </w:r>
      <w:r>
        <w:rPr>
          <w:rStyle w:val="18"/>
          <w:rFonts w:hint="eastAsia" w:ascii="仿宋" w:hAnsi="仿宋" w:eastAsia="仿宋"/>
          <w:bCs/>
          <w:color w:val="auto"/>
          <w:sz w:val="32"/>
          <w:szCs w:val="32"/>
          <w:highlight w:val="none"/>
        </w:rPr>
        <w:t>（款）机关事业单位职业年金缴费支出（项）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lang w:eastAsia="zh-CN"/>
        </w:rPr>
        <w:t>指机关事业单位用于缴纳职工职业年金的支出。</w:t>
      </w:r>
    </w:p>
    <w:p>
      <w:pPr>
        <w:spacing w:line="600" w:lineRule="exact"/>
        <w:ind w:firstLine="643" w:firstLineChars="200"/>
        <w:rPr>
          <w:rStyle w:val="18"/>
          <w:rFonts w:hint="eastAsia" w:ascii="仿宋" w:hAnsi="仿宋" w:eastAsia="仿宋"/>
          <w:b w:val="0"/>
          <w:bCs w:val="0"/>
          <w:color w:val="auto"/>
          <w:sz w:val="32"/>
          <w:szCs w:val="32"/>
          <w:highlight w:val="none"/>
          <w:lang w:eastAsia="zh-CN"/>
        </w:rPr>
      </w:pPr>
      <w:r>
        <w:rPr>
          <w:rStyle w:val="18"/>
          <w:rFonts w:hint="eastAsia" w:ascii="仿宋" w:hAnsi="仿宋" w:eastAsia="仿宋"/>
          <w:bCs/>
          <w:color w:val="auto"/>
          <w:sz w:val="32"/>
          <w:szCs w:val="32"/>
          <w:highlight w:val="none"/>
          <w:lang w:val="en-US" w:eastAsia="zh-CN"/>
        </w:rPr>
        <w:t>9</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（类）行政事业单位医疗（款）行政单位医疗（项）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val="0"/>
          <w:color w:val="auto"/>
          <w:sz w:val="32"/>
          <w:szCs w:val="32"/>
          <w:highlight w:val="none"/>
          <w:lang w:eastAsia="zh-CN"/>
        </w:rPr>
        <w:t>指财政部门集中安排的行政单位基本医疗保险缴费经费。</w:t>
      </w:r>
    </w:p>
    <w:p>
      <w:pPr>
        <w:spacing w:line="600" w:lineRule="exact"/>
        <w:ind w:firstLine="643" w:firstLineChars="200"/>
        <w:rPr>
          <w:rStyle w:val="18"/>
          <w:rFonts w:hint="eastAsia" w:ascii="仿宋" w:hAnsi="仿宋" w:eastAsia="仿宋"/>
          <w:b w:val="0"/>
          <w:bCs w:val="0"/>
          <w:color w:val="auto"/>
          <w:sz w:val="32"/>
          <w:szCs w:val="32"/>
          <w:highlight w:val="none"/>
          <w:lang w:eastAsia="zh-CN"/>
        </w:rPr>
      </w:pPr>
      <w:r>
        <w:rPr>
          <w:rStyle w:val="18"/>
          <w:rFonts w:hint="eastAsia" w:ascii="仿宋" w:hAnsi="仿宋" w:eastAsia="仿宋"/>
          <w:b/>
          <w:bCs w:val="0"/>
          <w:color w:val="auto"/>
          <w:sz w:val="32"/>
          <w:szCs w:val="32"/>
          <w:highlight w:val="none"/>
          <w:lang w:val="en-US" w:eastAsia="zh-CN"/>
        </w:rPr>
        <w:t>10.</w:t>
      </w:r>
      <w:r>
        <w:rPr>
          <w:rFonts w:hint="eastAsia" w:ascii="仿宋" w:hAnsi="仿宋" w:eastAsia="仿宋"/>
          <w:b/>
          <w:bCs w:val="0"/>
          <w:color w:val="auto"/>
          <w:sz w:val="32"/>
          <w:szCs w:val="32"/>
          <w:highlight w:val="none"/>
        </w:rPr>
        <w:t>住</w:t>
      </w:r>
      <w:r>
        <w:rPr>
          <w:rFonts w:hint="eastAsia" w:ascii="仿宋" w:hAnsi="仿宋" w:eastAsia="仿宋"/>
          <w:b/>
          <w:bCs/>
          <w:color w:val="auto"/>
          <w:sz w:val="32"/>
          <w:szCs w:val="32"/>
          <w:highlight w:val="none"/>
        </w:rPr>
        <w:t>房保障支出</w:t>
      </w:r>
      <w:r>
        <w:rPr>
          <w:rStyle w:val="18"/>
          <w:rFonts w:hint="eastAsia" w:ascii="仿宋" w:hAnsi="仿宋" w:eastAsia="仿宋"/>
          <w:bCs/>
          <w:color w:val="auto"/>
          <w:sz w:val="32"/>
          <w:szCs w:val="32"/>
          <w:highlight w:val="none"/>
        </w:rPr>
        <w:t>（类）住房改革支出（款）住房公积金（项）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 w:val="0"/>
          <w:bCs w:val="0"/>
          <w:color w:val="auto"/>
          <w:sz w:val="32"/>
          <w:szCs w:val="32"/>
          <w:highlight w:val="none"/>
          <w:lang w:eastAsia="zh-CN"/>
        </w:rPr>
        <w:t>指行政事业单位按人力资源和社会保障部、财政部规定的基本工资和津补贴以及规定比例为职工缴纳的住房公积金。</w:t>
      </w:r>
    </w:p>
    <w:p>
      <w:pPr>
        <w:spacing w:line="600" w:lineRule="exact"/>
        <w:ind w:firstLine="643" w:firstLineChars="200"/>
        <w:rPr>
          <w:rFonts w:hint="eastAsia" w:ascii="仿宋_GB2312" w:eastAsia="仿宋_GB2312"/>
          <w:b w:val="0"/>
          <w:bCs w:val="0"/>
          <w:color w:val="auto"/>
          <w:sz w:val="32"/>
          <w:szCs w:val="32"/>
          <w:highlight w:val="none"/>
        </w:rPr>
      </w:pPr>
      <w:r>
        <w:rPr>
          <w:rStyle w:val="18"/>
          <w:rFonts w:hint="eastAsia" w:ascii="仿宋" w:hAnsi="仿宋" w:eastAsia="仿宋"/>
          <w:b/>
          <w:bCs w:val="0"/>
          <w:color w:val="auto"/>
          <w:sz w:val="32"/>
          <w:szCs w:val="32"/>
          <w:highlight w:val="none"/>
          <w:lang w:val="en-US" w:eastAsia="zh-CN"/>
        </w:rPr>
        <w:t>11.</w:t>
      </w:r>
      <w:r>
        <w:rPr>
          <w:rFonts w:hint="eastAsia" w:ascii="仿宋" w:hAnsi="仿宋" w:eastAsia="仿宋"/>
          <w:b/>
          <w:bCs w:val="0"/>
          <w:color w:val="auto"/>
          <w:sz w:val="32"/>
          <w:szCs w:val="32"/>
          <w:highlight w:val="none"/>
        </w:rPr>
        <w:t>住</w:t>
      </w:r>
      <w:r>
        <w:rPr>
          <w:rFonts w:hint="eastAsia" w:ascii="仿宋" w:hAnsi="仿宋" w:eastAsia="仿宋"/>
          <w:b/>
          <w:bCs/>
          <w:color w:val="auto"/>
          <w:sz w:val="32"/>
          <w:szCs w:val="32"/>
          <w:highlight w:val="none"/>
        </w:rPr>
        <w:t>房保障支出</w:t>
      </w:r>
      <w:r>
        <w:rPr>
          <w:rStyle w:val="18"/>
          <w:rFonts w:hint="eastAsia" w:ascii="仿宋" w:hAnsi="仿宋" w:eastAsia="仿宋"/>
          <w:bCs/>
          <w:color w:val="auto"/>
          <w:sz w:val="32"/>
          <w:szCs w:val="32"/>
          <w:highlight w:val="none"/>
        </w:rPr>
        <w:t>（类）住房改革支出（款）购房补贴（项）</w:t>
      </w:r>
      <w:r>
        <w:rPr>
          <w:rStyle w:val="18"/>
          <w:rFonts w:ascii="仿宋" w:hAnsi="仿宋" w:eastAsia="仿宋"/>
          <w:bCs/>
          <w:color w:val="auto"/>
          <w:sz w:val="32"/>
          <w:szCs w:val="32"/>
          <w:highlight w:val="none"/>
        </w:rPr>
        <w:t>:</w:t>
      </w:r>
      <w:r>
        <w:rPr>
          <w:rStyle w:val="18"/>
          <w:rFonts w:hint="eastAsia" w:ascii="仿宋" w:hAnsi="仿宋" w:eastAsia="仿宋"/>
          <w:b w:val="0"/>
          <w:bCs w:val="0"/>
          <w:color w:val="auto"/>
          <w:sz w:val="32"/>
          <w:szCs w:val="32"/>
          <w:highlight w:val="none"/>
          <w:lang w:eastAsia="zh-CN"/>
        </w:rPr>
        <w:t>行政事业指按照上级相关规定为职工发放购房补贴的支出。</w:t>
      </w:r>
    </w:p>
    <w:p>
      <w:pPr>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12</w:t>
      </w:r>
      <w:r>
        <w:rPr>
          <w:rFonts w:ascii="仿宋_GB2312" w:eastAsia="仿宋_GB2312"/>
          <w:b/>
          <w:bCs/>
          <w:color w:val="auto"/>
          <w:sz w:val="32"/>
          <w:szCs w:val="32"/>
          <w:highlight w:val="none"/>
        </w:rPr>
        <w:t>.</w:t>
      </w:r>
      <w:r>
        <w:rPr>
          <w:rFonts w:hint="eastAsia" w:ascii="仿宋_GB2312" w:eastAsia="仿宋_GB2312"/>
          <w:b/>
          <w:bCs/>
          <w:color w:val="auto"/>
          <w:sz w:val="32"/>
          <w:szCs w:val="32"/>
          <w:highlight w:val="none"/>
        </w:rPr>
        <w:t>基本支出：</w:t>
      </w:r>
      <w:r>
        <w:rPr>
          <w:rFonts w:hint="eastAsia" w:ascii="仿宋_GB2312" w:eastAsia="仿宋_GB2312"/>
          <w:color w:val="auto"/>
          <w:sz w:val="32"/>
          <w:szCs w:val="32"/>
          <w:highlight w:val="none"/>
        </w:rPr>
        <w:t>指为保障机构正常运转、完成日常工作任务而发生的人员支出和公用支出。</w:t>
      </w:r>
    </w:p>
    <w:p>
      <w:pPr>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13</w:t>
      </w:r>
      <w:r>
        <w:rPr>
          <w:rFonts w:ascii="仿宋_GB2312" w:eastAsia="仿宋_GB2312"/>
          <w:b/>
          <w:bCs/>
          <w:color w:val="auto"/>
          <w:sz w:val="32"/>
          <w:szCs w:val="32"/>
          <w:highlight w:val="none"/>
        </w:rPr>
        <w:t>.</w:t>
      </w:r>
      <w:r>
        <w:rPr>
          <w:rFonts w:hint="eastAsia" w:ascii="仿宋_GB2312" w:eastAsia="仿宋_GB2312"/>
          <w:b/>
          <w:bCs/>
          <w:color w:val="auto"/>
          <w:sz w:val="32"/>
          <w:szCs w:val="32"/>
          <w:highlight w:val="none"/>
        </w:rPr>
        <w:t>项目支出：</w:t>
      </w:r>
      <w:r>
        <w:rPr>
          <w:rFonts w:hint="eastAsia" w:ascii="仿宋_GB2312" w:eastAsia="仿宋_GB2312"/>
          <w:color w:val="auto"/>
          <w:sz w:val="32"/>
          <w:szCs w:val="32"/>
          <w:highlight w:val="none"/>
        </w:rPr>
        <w:t>指在基本支出之外为完成特定行政任务和事业发展目标所发生的支出。</w:t>
      </w:r>
      <w:r>
        <w:rPr>
          <w:rFonts w:ascii="仿宋_GB2312" w:eastAsia="仿宋_GB2312"/>
          <w:color w:val="auto"/>
          <w:sz w:val="32"/>
          <w:szCs w:val="32"/>
          <w:highlight w:val="none"/>
        </w:rPr>
        <w:t xml:space="preserve"> </w:t>
      </w:r>
    </w:p>
    <w:p>
      <w:pPr>
        <w:pStyle w:val="30"/>
        <w:spacing w:line="56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14</w:t>
      </w:r>
      <w:r>
        <w:rPr>
          <w:rFonts w:ascii="仿宋_GB2312" w:eastAsia="仿宋_GB2312"/>
          <w:b/>
          <w:bCs/>
          <w:color w:val="auto"/>
          <w:sz w:val="32"/>
          <w:szCs w:val="32"/>
          <w:highlight w:val="none"/>
        </w:rPr>
        <w:t>.</w:t>
      </w:r>
      <w:r>
        <w:rPr>
          <w:rFonts w:hint="eastAsia" w:ascii="仿宋_GB2312" w:eastAsia="仿宋_GB2312"/>
          <w:b/>
          <w:bCs/>
          <w:color w:val="auto"/>
          <w:sz w:val="32"/>
          <w:szCs w:val="32"/>
          <w:highlight w:val="none"/>
        </w:rPr>
        <w:t>“三公”经费</w:t>
      </w:r>
      <w:r>
        <w:rPr>
          <w:rFonts w:hint="eastAsia" w:ascii="仿宋_GB2312" w:eastAsia="仿宋_GB2312"/>
          <w:color w:val="auto"/>
          <w:sz w:val="32"/>
          <w:szCs w:val="32"/>
          <w:highlight w:val="none"/>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6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15</w:t>
      </w:r>
      <w:r>
        <w:rPr>
          <w:rFonts w:ascii="仿宋_GB2312" w:eastAsia="仿宋_GB2312"/>
          <w:b/>
          <w:bCs/>
          <w:color w:val="auto"/>
          <w:sz w:val="32"/>
          <w:szCs w:val="32"/>
          <w:highlight w:val="none"/>
        </w:rPr>
        <w:t>.</w:t>
      </w:r>
      <w:r>
        <w:rPr>
          <w:rFonts w:hint="eastAsia" w:ascii="仿宋_GB2312" w:eastAsia="仿宋_GB2312"/>
          <w:b/>
          <w:bCs/>
          <w:color w:val="auto"/>
          <w:sz w:val="32"/>
          <w:szCs w:val="32"/>
          <w:highlight w:val="none"/>
        </w:rPr>
        <w:t>机关运行经费：</w:t>
      </w:r>
      <w:r>
        <w:rPr>
          <w:rFonts w:hint="eastAsia" w:ascii="仿宋_GB2312" w:eastAsia="仿宋_GB2312"/>
          <w:color w:val="auto"/>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ascii="仿宋" w:hAnsi="仿宋" w:eastAsia="仿宋"/>
          <w:b/>
          <w:color w:val="auto"/>
          <w:sz w:val="32"/>
          <w:szCs w:val="32"/>
          <w:highlight w:val="none"/>
        </w:rPr>
      </w:pPr>
    </w:p>
    <w:p>
      <w:pPr>
        <w:spacing w:line="600" w:lineRule="exact"/>
        <w:jc w:val="center"/>
        <w:outlineLvl w:val="0"/>
        <w:rPr>
          <w:rFonts w:ascii="宋体"/>
          <w:b/>
          <w:color w:val="auto"/>
          <w:sz w:val="44"/>
          <w:szCs w:val="44"/>
          <w:highlight w:val="none"/>
        </w:rPr>
      </w:pPr>
      <w:bookmarkStart w:id="78" w:name="_Toc15377226"/>
      <w:r>
        <w:rPr>
          <w:rFonts w:ascii="宋体"/>
          <w:b/>
          <w:color w:val="auto"/>
          <w:sz w:val="44"/>
          <w:szCs w:val="44"/>
          <w:highlight w:val="none"/>
        </w:rPr>
        <w:br w:type="page"/>
      </w:r>
      <w:bookmarkStart w:id="79" w:name="_Toc15396614"/>
    </w:p>
    <w:p>
      <w:pPr>
        <w:spacing w:line="600" w:lineRule="exact"/>
        <w:jc w:val="center"/>
        <w:outlineLvl w:val="0"/>
        <w:rPr>
          <w:rStyle w:val="20"/>
          <w:rFonts w:hint="eastAsia" w:ascii="黑体" w:hAnsi="黑体" w:eastAsia="黑体"/>
          <w:b w:val="0"/>
          <w:color w:val="auto"/>
          <w:highlight w:val="none"/>
          <w:lang w:eastAsia="zh-CN"/>
        </w:rPr>
      </w:pPr>
      <w:bookmarkStart w:id="80" w:name="_Toc9993"/>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 附件</w:t>
      </w:r>
      <w:bookmarkEnd w:id="80"/>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bookmarkStart w:id="81" w:name="_Toc27154"/>
      <w:r>
        <w:rPr>
          <w:rFonts w:hint="eastAsia" w:ascii="黑体" w:hAnsi="黑体" w:eastAsia="黑体" w:cs="黑体"/>
          <w:color w:val="auto"/>
          <w:sz w:val="32"/>
          <w:szCs w:val="32"/>
          <w:highlight w:val="none"/>
        </w:rPr>
        <w:t>附件</w:t>
      </w:r>
      <w:bookmarkEnd w:id="81"/>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val="0"/>
          <w:bCs/>
          <w:sz w:val="44"/>
          <w:szCs w:val="44"/>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val="0"/>
          <w:bCs/>
          <w:sz w:val="44"/>
          <w:szCs w:val="44"/>
          <w:shd w:val="clear" w:color="auto" w:fill="FFFFFF"/>
          <w:lang w:val="en-US" w:eastAsia="zh-CN"/>
        </w:rPr>
      </w:pPr>
      <w:r>
        <w:rPr>
          <w:rFonts w:hint="eastAsia" w:ascii="方正小标宋简体" w:hAnsi="方正小标宋简体" w:eastAsia="方正小标宋简体" w:cs="方正小标宋简体"/>
          <w:b w:val="0"/>
          <w:bCs/>
          <w:sz w:val="44"/>
          <w:szCs w:val="44"/>
          <w:shd w:val="clear" w:color="auto" w:fill="FFFFFF"/>
          <w:lang w:val="en-US" w:eastAsia="zh-CN"/>
        </w:rPr>
        <w:t>广元市经济合作和外事局</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lang w:eastAsia="zh-CN"/>
        </w:rPr>
        <w:t>关于</w:t>
      </w:r>
      <w:r>
        <w:rPr>
          <w:rFonts w:hint="eastAsia" w:ascii="方正小标宋简体" w:hAnsi="方正小标宋简体" w:eastAsia="方正小标宋简体" w:cs="方正小标宋简体"/>
          <w:b w:val="0"/>
          <w:bCs/>
          <w:sz w:val="44"/>
          <w:szCs w:val="44"/>
          <w:shd w:val="clear" w:color="auto" w:fill="FFFFFF"/>
          <w:lang w:val="en-US" w:eastAsia="zh-CN"/>
        </w:rPr>
        <w:t>2021</w:t>
      </w:r>
      <w:r>
        <w:rPr>
          <w:rFonts w:hint="eastAsia" w:ascii="方正小标宋简体" w:hAnsi="方正小标宋简体" w:eastAsia="方正小标宋简体" w:cs="方正小标宋简体"/>
          <w:b w:val="0"/>
          <w:bCs/>
          <w:sz w:val="44"/>
          <w:szCs w:val="44"/>
          <w:shd w:val="clear" w:color="auto" w:fill="FFFFFF"/>
        </w:rPr>
        <w:t>年</w:t>
      </w:r>
      <w:r>
        <w:rPr>
          <w:rFonts w:hint="eastAsia" w:ascii="方正小标宋简体" w:hAnsi="方正小标宋简体" w:eastAsia="方正小标宋简体" w:cs="方正小标宋简体"/>
          <w:b w:val="0"/>
          <w:bCs/>
          <w:sz w:val="44"/>
          <w:szCs w:val="44"/>
          <w:shd w:val="clear" w:color="auto" w:fill="FFFFFF"/>
          <w:lang w:eastAsia="zh-CN"/>
        </w:rPr>
        <w:t>度</w:t>
      </w:r>
      <w:r>
        <w:rPr>
          <w:rFonts w:hint="eastAsia" w:ascii="方正小标宋简体" w:hAnsi="方正小标宋简体" w:eastAsia="方正小标宋简体" w:cs="方正小标宋简体"/>
          <w:b w:val="0"/>
          <w:bCs/>
          <w:sz w:val="44"/>
          <w:szCs w:val="44"/>
          <w:shd w:val="clear" w:color="auto" w:fill="FFFFFF"/>
        </w:rPr>
        <w:t>部门整体支出绩效评价报告</w:t>
      </w: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line="576" w:lineRule="exact"/>
        <w:contextualSpacing/>
        <w:jc w:val="left"/>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eastAsia="zh-CN"/>
        </w:rPr>
        <w:t>市财政局绩效管理中心：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按照市财政局《关于开展2022年部门、政策和项目支出绩效自评工作的通知》（广财绩</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000000"/>
          <w:kern w:val="0"/>
          <w:sz w:val="32"/>
          <w:szCs w:val="32"/>
          <w:shd w:val="clear" w:color="auto" w:fill="FFFFFF"/>
          <w:lang w:val="en-US" w:eastAsia="zh-CN"/>
        </w:rPr>
        <w:t>）文件精神和要求，我局结合单位财务管理实际，认真开展了2021年市级部门整体支出绩效评价工作，现将自评工作报告如下：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方正黑体简体" w:hAnsi="方正黑体简体" w:eastAsia="方正黑体简体" w:cs="方正黑体简体"/>
          <w:color w:val="000000"/>
          <w:kern w:val="0"/>
          <w:sz w:val="32"/>
          <w:szCs w:val="32"/>
          <w:shd w:val="clear" w:color="auto" w:fill="FFFFFF"/>
          <w:lang w:val="zh-CN"/>
        </w:rPr>
      </w:pPr>
      <w:r>
        <w:rPr>
          <w:rFonts w:hint="eastAsia" w:ascii="方正黑体简体" w:hAnsi="方正黑体简体" w:eastAsia="方正黑体简体" w:cs="方正黑体简体"/>
          <w:color w:val="000000"/>
          <w:kern w:val="0"/>
          <w:sz w:val="32"/>
          <w:szCs w:val="32"/>
          <w:shd w:val="clear" w:color="auto" w:fill="FFFFFF"/>
        </w:rPr>
        <w:t>一、</w:t>
      </w:r>
      <w:r>
        <w:rPr>
          <w:rFonts w:hint="eastAsia" w:ascii="方正黑体简体" w:hAnsi="方正黑体简体" w:eastAsia="方正黑体简体" w:cs="方正黑体简体"/>
          <w:color w:val="000000"/>
          <w:kern w:val="0"/>
          <w:sz w:val="32"/>
          <w:szCs w:val="32"/>
          <w:shd w:val="clear" w:color="auto" w:fill="FFFFFF"/>
          <w:lang w:val="zh-CN"/>
        </w:rPr>
        <w:t>部门概况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方正楷体简体" w:hAnsi="方正楷体简体" w:eastAsia="方正楷体简体" w:cs="方正楷体简体"/>
          <w:color w:val="000000"/>
          <w:kern w:val="0"/>
          <w:sz w:val="32"/>
          <w:szCs w:val="32"/>
          <w:shd w:val="clear" w:color="auto" w:fill="FFFFFF"/>
          <w:lang w:val="zh-CN"/>
        </w:rPr>
      </w:pPr>
      <w:r>
        <w:rPr>
          <w:rFonts w:hint="default" w:ascii="方正楷体简体" w:hAnsi="方正楷体简体" w:eastAsia="方正楷体简体" w:cs="方正楷体简体"/>
          <w:color w:val="000000"/>
          <w:kern w:val="0"/>
          <w:sz w:val="32"/>
          <w:szCs w:val="32"/>
          <w:shd w:val="clear" w:color="auto" w:fill="FFFFFF"/>
          <w:lang w:val="zh-CN"/>
        </w:rPr>
        <w:t>（一）机构组成</w:t>
      </w:r>
    </w:p>
    <w:p>
      <w:pPr>
        <w:spacing w:line="600" w:lineRule="exact"/>
        <w:ind w:firstLine="640" w:firstLineChars="200"/>
        <w:jc w:val="left"/>
        <w:outlineLvl w:val="0"/>
        <w:rPr>
          <w:rFonts w:hint="eastAsia" w:eastAsia="仿宋_GB2312" w:cs="Times New Roman"/>
          <w:color w:val="000000"/>
          <w:kern w:val="0"/>
          <w:sz w:val="32"/>
          <w:szCs w:val="32"/>
          <w:shd w:val="clear" w:color="auto" w:fill="FFFFFF"/>
          <w:lang w:val="en-US" w:eastAsia="zh-CN"/>
        </w:rPr>
      </w:pPr>
      <w:bookmarkStart w:id="82" w:name="_Toc18087"/>
      <w:r>
        <w:rPr>
          <w:rFonts w:hint="default" w:ascii="Times New Roman" w:hAnsi="Times New Roman" w:eastAsia="仿宋_GB2312" w:cs="Times New Roman"/>
          <w:color w:val="000000"/>
          <w:kern w:val="0"/>
          <w:sz w:val="32"/>
          <w:szCs w:val="32"/>
          <w:shd w:val="clear" w:color="auto" w:fill="FFFFFF"/>
          <w:lang w:val="zh-CN"/>
        </w:rPr>
        <w:t>我单位为市政府组成部门，挂市港澳事务办公室牌子，代管市人民对外友好协会机关。市委外事工作委员会办公室、市投资促进委员会办公室（无编制）设在我局。局机关设办公室、投资促进一科、投资促进二科、投资促进三科、区域合作科、国际合作科（外资管理科）、项目管理科、外事和港澳科、人事科</w:t>
      </w:r>
      <w:r>
        <w:rPr>
          <w:rFonts w:hint="default" w:ascii="Times New Roman" w:hAnsi="Times New Roman" w:eastAsia="仿宋_GB2312" w:cs="Times New Roman"/>
          <w:color w:val="000000"/>
          <w:kern w:val="0"/>
          <w:sz w:val="32"/>
          <w:szCs w:val="32"/>
          <w:shd w:val="clear" w:color="auto" w:fill="FFFFFF"/>
          <w:lang w:val="en-US" w:eastAsia="zh-CN"/>
        </w:rPr>
        <w:t>9个科室；下设其他事业单位4个，分别是市经济合作服务中心、市招商中心、市外事和港澳服务中心、市人民对外友好协会机关；驻外机构8个，分别是成都分局、北京分局、浙江分局、江苏分</w:t>
      </w:r>
      <w:r>
        <w:rPr>
          <w:rFonts w:hint="eastAsia" w:eastAsia="仿宋_GB2312" w:cs="Times New Roman"/>
          <w:color w:val="000000"/>
          <w:kern w:val="0"/>
          <w:sz w:val="32"/>
          <w:szCs w:val="32"/>
          <w:shd w:val="clear" w:color="auto" w:fill="FFFFFF"/>
          <w:lang w:val="en-US" w:eastAsia="zh-CN"/>
        </w:rPr>
        <w:t>局、广东分局、直属（重庆）分局。</w:t>
      </w:r>
      <w:bookmarkEnd w:id="8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（二）</w:t>
      </w:r>
      <w:r>
        <w:rPr>
          <w:rFonts w:hint="default" w:ascii="方正楷体简体" w:hAnsi="方正楷体简体" w:eastAsia="方正楷体简体" w:cs="方正楷体简体"/>
          <w:color w:val="000000"/>
          <w:kern w:val="0"/>
          <w:sz w:val="32"/>
          <w:szCs w:val="32"/>
          <w:shd w:val="clear" w:color="auto" w:fill="FFFFFF"/>
          <w:lang w:val="zh-CN"/>
        </w:rPr>
        <w:t>机构职能</w:t>
      </w:r>
    </w:p>
    <w:p>
      <w:pPr>
        <w:keepNext w:val="0"/>
        <w:keepLines w:val="0"/>
        <w:pageBreakBefore w:val="0"/>
        <w:widowControl w:val="0"/>
        <w:kinsoku/>
        <w:wordWrap/>
        <w:overflowPunct/>
        <w:topLinePunct w:val="0"/>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1</w:t>
      </w:r>
      <w:r>
        <w:rPr>
          <w:rFonts w:hint="eastAsia" w:ascii="Times New Roman" w:hAnsi="Times New Roman" w:eastAsia="仿宋_GB2312" w:cs="Times New Roman"/>
          <w:bCs/>
          <w:color w:val="000000"/>
          <w:kern w:val="0"/>
          <w:sz w:val="32"/>
          <w:szCs w:val="32"/>
          <w:lang w:val="en-US" w:eastAsia="zh-CN" w:bidi="ar-SA"/>
        </w:rPr>
        <w:t>．</w:t>
      </w:r>
      <w:r>
        <w:rPr>
          <w:rFonts w:hint="default" w:ascii="Times New Roman" w:hAnsi="Times New Roman" w:eastAsia="仿宋_GB2312" w:cs="Times New Roman"/>
          <w:bCs/>
          <w:color w:val="000000"/>
          <w:kern w:val="0"/>
          <w:sz w:val="32"/>
          <w:szCs w:val="32"/>
          <w:lang w:val="en-US" w:eastAsia="zh-CN" w:bidi="ar-SA"/>
        </w:rPr>
        <w:t>负责推进投资促进等有关领域的经济合作（以下简称经济合作）。参与起草有关经济合作的地方性法规和规章草案。参与拟订全市经济合作的中长期规划和年度计划并组织实施。</w:t>
      </w:r>
    </w:p>
    <w:p>
      <w:pPr>
        <w:keepNext w:val="0"/>
        <w:keepLines w:val="0"/>
        <w:pageBreakBefore w:val="0"/>
        <w:widowControl w:val="0"/>
        <w:kinsoku/>
        <w:wordWrap/>
        <w:overflowPunct/>
        <w:topLinePunct w:val="0"/>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2</w:t>
      </w:r>
      <w:r>
        <w:rPr>
          <w:rFonts w:hint="eastAsia" w:ascii="Times New Roman" w:hAnsi="Times New Roman" w:eastAsia="仿宋_GB2312" w:cs="Times New Roman"/>
          <w:bCs/>
          <w:color w:val="000000"/>
          <w:kern w:val="0"/>
          <w:sz w:val="32"/>
          <w:szCs w:val="32"/>
          <w:lang w:val="en-US" w:eastAsia="zh-CN" w:bidi="ar-SA"/>
        </w:rPr>
        <w:t>．</w:t>
      </w:r>
      <w:r>
        <w:rPr>
          <w:rFonts w:hint="default" w:ascii="Times New Roman" w:hAnsi="Times New Roman" w:eastAsia="仿宋_GB2312" w:cs="Times New Roman"/>
          <w:bCs/>
          <w:color w:val="000000"/>
          <w:kern w:val="0"/>
          <w:sz w:val="32"/>
          <w:szCs w:val="32"/>
          <w:lang w:val="en-US" w:eastAsia="zh-CN" w:bidi="ar-SA"/>
        </w:rPr>
        <w:t>统筹指导全市投资促进工作。拟订全市投资促进政策、投资促进中长期规划和年度计划并组织实施。负责全市投资环境推介工作。统筹组织市级重大投资促进活动。牵头全市重大招商引资项目的促进和落实。推进投资促进和管理服务网络体系建设。</w:t>
      </w:r>
    </w:p>
    <w:p>
      <w:pPr>
        <w:keepNext w:val="0"/>
        <w:keepLines w:val="0"/>
        <w:pageBreakBefore w:val="0"/>
        <w:widowControl w:val="0"/>
        <w:kinsoku/>
        <w:wordWrap/>
        <w:overflowPunct/>
        <w:topLinePunct w:val="0"/>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3</w:t>
      </w:r>
      <w:r>
        <w:rPr>
          <w:rFonts w:hint="eastAsia" w:ascii="Times New Roman" w:hAnsi="Times New Roman" w:eastAsia="仿宋_GB2312" w:cs="Times New Roman"/>
          <w:bCs/>
          <w:color w:val="000000"/>
          <w:kern w:val="0"/>
          <w:sz w:val="32"/>
          <w:szCs w:val="32"/>
          <w:lang w:val="en-US" w:eastAsia="zh-CN" w:bidi="ar-SA"/>
        </w:rPr>
        <w:t>．</w:t>
      </w:r>
      <w:r>
        <w:rPr>
          <w:rFonts w:hint="default" w:ascii="Times New Roman" w:hAnsi="Times New Roman" w:eastAsia="仿宋_GB2312" w:cs="Times New Roman"/>
          <w:bCs/>
          <w:color w:val="000000"/>
          <w:kern w:val="0"/>
          <w:sz w:val="32"/>
          <w:szCs w:val="32"/>
          <w:lang w:val="en-US" w:eastAsia="zh-CN" w:bidi="ar-SA"/>
        </w:rPr>
        <w:t>指导外商投资促进和管理工作。参与拟订外商投资政策和改革方案并组织实施。统计分析全市外商投资情况。依法监督检查外商投资企业执行有关法律法规规章、合同章程的情况并协调解决有关问题。</w:t>
      </w:r>
    </w:p>
    <w:p>
      <w:pPr>
        <w:keepNext w:val="0"/>
        <w:keepLines w:val="0"/>
        <w:pageBreakBefore w:val="0"/>
        <w:widowControl w:val="0"/>
        <w:kinsoku/>
        <w:wordWrap/>
        <w:overflowPunct/>
        <w:topLinePunct w:val="0"/>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4</w:t>
      </w:r>
      <w:r>
        <w:rPr>
          <w:rFonts w:hint="eastAsia" w:ascii="Times New Roman" w:hAnsi="Times New Roman" w:eastAsia="仿宋_GB2312" w:cs="Times New Roman"/>
          <w:bCs/>
          <w:color w:val="000000"/>
          <w:kern w:val="0"/>
          <w:sz w:val="32"/>
          <w:szCs w:val="32"/>
          <w:lang w:val="en-US" w:eastAsia="zh-CN" w:bidi="ar-SA"/>
        </w:rPr>
        <w:t>．</w:t>
      </w:r>
      <w:r>
        <w:rPr>
          <w:rFonts w:hint="default" w:ascii="Times New Roman" w:hAnsi="Times New Roman" w:eastAsia="仿宋_GB2312" w:cs="Times New Roman"/>
          <w:bCs/>
          <w:color w:val="000000"/>
          <w:kern w:val="0"/>
          <w:sz w:val="32"/>
          <w:szCs w:val="32"/>
          <w:lang w:val="en-US" w:eastAsia="zh-CN" w:bidi="ar-SA"/>
        </w:rPr>
        <w:t>参与推进我市与国（境）内外相关区域合作。承担我市与国（境）内外相关区域经济合作活动的有关具体工作。</w:t>
      </w:r>
    </w:p>
    <w:p>
      <w:pPr>
        <w:keepNext w:val="0"/>
        <w:keepLines w:val="0"/>
        <w:pageBreakBefore w:val="0"/>
        <w:widowControl w:val="0"/>
        <w:kinsoku/>
        <w:wordWrap/>
        <w:overflowPunct/>
        <w:topLinePunct w:val="0"/>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5</w:t>
      </w:r>
      <w:r>
        <w:rPr>
          <w:rFonts w:hint="eastAsia" w:ascii="Times New Roman" w:hAnsi="Times New Roman" w:eastAsia="仿宋_GB2312" w:cs="Times New Roman"/>
          <w:bCs/>
          <w:color w:val="000000"/>
          <w:kern w:val="0"/>
          <w:sz w:val="32"/>
          <w:szCs w:val="32"/>
          <w:lang w:val="en-US" w:eastAsia="zh-CN" w:bidi="ar-SA"/>
        </w:rPr>
        <w:t>．</w:t>
      </w:r>
      <w:r>
        <w:rPr>
          <w:rFonts w:hint="default" w:ascii="Times New Roman" w:hAnsi="Times New Roman" w:eastAsia="仿宋_GB2312" w:cs="Times New Roman"/>
          <w:bCs/>
          <w:color w:val="000000"/>
          <w:kern w:val="0"/>
          <w:sz w:val="32"/>
          <w:szCs w:val="32"/>
          <w:lang w:val="en-US" w:eastAsia="zh-CN" w:bidi="ar-SA"/>
        </w:rPr>
        <w:t>承担推动我市与港澳台地区经贸合作有关工作。</w:t>
      </w:r>
    </w:p>
    <w:p>
      <w:pPr>
        <w:keepNext w:val="0"/>
        <w:keepLines w:val="0"/>
        <w:pageBreakBefore w:val="0"/>
        <w:widowControl w:val="0"/>
        <w:kinsoku/>
        <w:wordWrap/>
        <w:overflowPunct/>
        <w:topLinePunct w:val="0"/>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6</w:t>
      </w:r>
      <w:r>
        <w:rPr>
          <w:rFonts w:hint="eastAsia" w:ascii="Times New Roman" w:hAnsi="Times New Roman" w:eastAsia="仿宋_GB2312" w:cs="Times New Roman"/>
          <w:bCs/>
          <w:color w:val="000000"/>
          <w:kern w:val="0"/>
          <w:sz w:val="32"/>
          <w:szCs w:val="32"/>
          <w:lang w:val="en-US" w:eastAsia="zh-CN" w:bidi="ar-SA"/>
        </w:rPr>
        <w:t>．</w:t>
      </w:r>
      <w:r>
        <w:rPr>
          <w:rFonts w:hint="default" w:ascii="Times New Roman" w:hAnsi="Times New Roman" w:eastAsia="仿宋_GB2312" w:cs="Times New Roman"/>
          <w:bCs/>
          <w:color w:val="000000"/>
          <w:kern w:val="0"/>
          <w:sz w:val="32"/>
          <w:szCs w:val="32"/>
          <w:lang w:val="en-US" w:eastAsia="zh-CN" w:bidi="ar-SA"/>
        </w:rPr>
        <w:t>受市政府委托，负责管理市政府各驻外机构（不含市政府驻北京联络处、驻成都办事处、驻新疆办事处，下同）。推动全市博览发展促进工作，参与拟订全市会展业发展规划和相关政策。</w:t>
      </w:r>
    </w:p>
    <w:p>
      <w:pPr>
        <w:keepNext w:val="0"/>
        <w:keepLines w:val="0"/>
        <w:pageBreakBefore w:val="0"/>
        <w:widowControl w:val="0"/>
        <w:kinsoku/>
        <w:wordWrap/>
        <w:overflowPunct/>
        <w:topLinePunct w:val="0"/>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7</w:t>
      </w:r>
      <w:r>
        <w:rPr>
          <w:rFonts w:hint="eastAsia" w:ascii="Times New Roman" w:hAnsi="Times New Roman" w:eastAsia="仿宋_GB2312" w:cs="Times New Roman"/>
          <w:bCs/>
          <w:color w:val="000000"/>
          <w:kern w:val="0"/>
          <w:sz w:val="32"/>
          <w:szCs w:val="32"/>
          <w:lang w:val="en-US" w:eastAsia="zh-CN" w:bidi="ar-SA"/>
        </w:rPr>
        <w:t>．</w:t>
      </w:r>
      <w:r>
        <w:rPr>
          <w:rFonts w:hint="default" w:ascii="Times New Roman" w:hAnsi="Times New Roman" w:eastAsia="仿宋_GB2312" w:cs="Times New Roman"/>
          <w:bCs/>
          <w:color w:val="000000"/>
          <w:kern w:val="0"/>
          <w:sz w:val="32"/>
          <w:szCs w:val="32"/>
          <w:lang w:val="en-US" w:eastAsia="zh-CN" w:bidi="ar-SA"/>
        </w:rPr>
        <w:t>负责职责范围内的安全生产和职业健康、生态环境保护、审批服务便民化等工作。</w:t>
      </w:r>
    </w:p>
    <w:p>
      <w:pPr>
        <w:keepNext w:val="0"/>
        <w:keepLines w:val="0"/>
        <w:pageBreakBefore w:val="0"/>
        <w:widowControl w:val="0"/>
        <w:kinsoku/>
        <w:wordWrap/>
        <w:overflowPunct/>
        <w:topLinePunct w:val="0"/>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8</w:t>
      </w:r>
      <w:r>
        <w:rPr>
          <w:rFonts w:hint="eastAsia" w:ascii="Times New Roman" w:hAnsi="Times New Roman" w:eastAsia="仿宋_GB2312" w:cs="Times New Roman"/>
          <w:bCs/>
          <w:color w:val="000000"/>
          <w:kern w:val="0"/>
          <w:sz w:val="32"/>
          <w:szCs w:val="32"/>
          <w:lang w:val="en-US" w:eastAsia="zh-CN" w:bidi="ar-SA"/>
        </w:rPr>
        <w:t>．</w:t>
      </w:r>
      <w:r>
        <w:rPr>
          <w:rFonts w:hint="default" w:ascii="Times New Roman" w:hAnsi="Times New Roman" w:eastAsia="仿宋_GB2312" w:cs="Times New Roman"/>
          <w:bCs/>
          <w:color w:val="000000"/>
          <w:kern w:val="0"/>
          <w:sz w:val="32"/>
          <w:szCs w:val="32"/>
          <w:lang w:val="en-US" w:eastAsia="zh-CN" w:bidi="ar-SA"/>
        </w:rPr>
        <w:t>完成市委、市政府交办的其他工作。</w:t>
      </w:r>
    </w:p>
    <w:p>
      <w:pPr>
        <w:keepNext w:val="0"/>
        <w:keepLines w:val="0"/>
        <w:pageBreakBefore w:val="0"/>
        <w:widowControl w:val="0"/>
        <w:kinsoku/>
        <w:wordWrap/>
        <w:overflowPunct/>
        <w:topLinePunct w:val="0"/>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9</w:t>
      </w:r>
      <w:r>
        <w:rPr>
          <w:rFonts w:hint="eastAsia" w:ascii="Times New Roman" w:hAnsi="Times New Roman" w:eastAsia="仿宋_GB2312" w:cs="Times New Roman"/>
          <w:bCs/>
          <w:color w:val="000000"/>
          <w:kern w:val="0"/>
          <w:sz w:val="32"/>
          <w:szCs w:val="32"/>
          <w:lang w:val="en-US" w:eastAsia="zh-CN" w:bidi="ar-SA"/>
        </w:rPr>
        <w:t>．</w:t>
      </w:r>
      <w:r>
        <w:rPr>
          <w:rFonts w:hint="default" w:ascii="Times New Roman" w:hAnsi="Times New Roman" w:eastAsia="仿宋_GB2312" w:cs="Times New Roman"/>
          <w:bCs/>
          <w:color w:val="000000"/>
          <w:kern w:val="0"/>
          <w:sz w:val="32"/>
          <w:szCs w:val="32"/>
          <w:lang w:val="en-US" w:eastAsia="zh-CN" w:bidi="ar-SA"/>
        </w:rPr>
        <w:t>职能转变。建立健全体制机制，加强对全市经济合作的统筹，推进内资和外资、招商与博览有机融合发展。优化精准招商、精品招商、集群招商路径和方式，提升开放合作平台影响力，提高招商引资质量，发展壮大重点产业。深入实施外商投资管理体制改革，进一步改进外商投资企业投资管理，提高投资便利化水平。提升与发达地区经济合作层次，推进全市投资促进分工协作、错位发展。加强对重大引进项目的跟踪服务，完善市级重大引进项目激励机制。促进全市博览事业快速发展。</w:t>
      </w:r>
    </w:p>
    <w:p>
      <w:pPr>
        <w:keepNext w:val="0"/>
        <w:keepLines w:val="0"/>
        <w:pageBreakBefore w:val="0"/>
        <w:widowControl w:val="0"/>
        <w:kinsoku/>
        <w:wordWrap/>
        <w:overflowPunct/>
        <w:topLinePunct w:val="0"/>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10</w:t>
      </w:r>
      <w:r>
        <w:rPr>
          <w:rFonts w:hint="eastAsia" w:ascii="Times New Roman" w:hAnsi="Times New Roman" w:eastAsia="仿宋_GB2312" w:cs="Times New Roman"/>
          <w:bCs/>
          <w:color w:val="000000"/>
          <w:kern w:val="0"/>
          <w:sz w:val="32"/>
          <w:szCs w:val="32"/>
          <w:lang w:val="en-US" w:eastAsia="zh-CN" w:bidi="ar-SA"/>
        </w:rPr>
        <w:t>．</w:t>
      </w:r>
      <w:r>
        <w:rPr>
          <w:rFonts w:hint="default" w:ascii="Times New Roman" w:hAnsi="Times New Roman" w:eastAsia="仿宋_GB2312" w:cs="Times New Roman"/>
          <w:bCs/>
          <w:color w:val="000000"/>
          <w:kern w:val="0"/>
          <w:sz w:val="32"/>
          <w:szCs w:val="32"/>
          <w:lang w:val="en-US" w:eastAsia="zh-CN" w:bidi="ar-SA"/>
        </w:rPr>
        <w:t>有关职责分工。</w:t>
      </w:r>
    </w:p>
    <w:p>
      <w:pPr>
        <w:keepNext w:val="0"/>
        <w:keepLines w:val="0"/>
        <w:pageBreakBefore w:val="0"/>
        <w:widowControl w:val="0"/>
        <w:kinsoku/>
        <w:wordWrap/>
        <w:overflowPunct/>
        <w:topLinePunct w:val="0"/>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方正楷体简体" w:cs="Times New Roman"/>
          <w:b w:val="0"/>
          <w:bCs/>
          <w:color w:val="000000"/>
          <w:kern w:val="0"/>
          <w:sz w:val="32"/>
          <w:szCs w:val="32"/>
          <w:lang w:val="en-US" w:eastAsia="zh-CN" w:bidi="ar-SA"/>
        </w:rPr>
        <w:t>（1）外商投资管理。</w:t>
      </w:r>
      <w:r>
        <w:rPr>
          <w:rFonts w:hint="default" w:ascii="Times New Roman" w:hAnsi="Times New Roman" w:eastAsia="仿宋_GB2312" w:cs="Times New Roman"/>
          <w:bCs/>
          <w:color w:val="000000"/>
          <w:kern w:val="0"/>
          <w:sz w:val="32"/>
          <w:szCs w:val="32"/>
          <w:lang w:val="en-US" w:eastAsia="zh-CN" w:bidi="ar-SA"/>
        </w:rPr>
        <w:t>市发展改革委会同市商务局、市经济合作局等部门拟订上报《外商投资产业指导目录》和《中西部地区外商投资优势产业目录》的调整意见。市发展改革委按规定权限负责对外商投资企业投资项目进行核准、备案。市商务局按规定权限对广元经济开发区涉及国家规定实施准入特别管理措施的外商投资企业审批工作进行协调指导。市经济合作局按规定权限负责对外商投资企业设立及变更备案。</w:t>
      </w:r>
    </w:p>
    <w:p>
      <w:pPr>
        <w:keepNext w:val="0"/>
        <w:keepLines w:val="0"/>
        <w:pageBreakBefore w:val="0"/>
        <w:widowControl w:val="0"/>
        <w:kinsoku/>
        <w:wordWrap/>
        <w:overflowPunct/>
        <w:topLinePunct w:val="0"/>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24"/>
          <w:szCs w:val="32"/>
          <w:shd w:val="clear" w:color="auto" w:fill="FFFFFF"/>
          <w:lang w:val="zh-CN" w:eastAsia="zh-CN" w:bidi="ar-SA"/>
        </w:rPr>
      </w:pPr>
      <w:r>
        <w:rPr>
          <w:rFonts w:hint="default" w:ascii="Times New Roman" w:hAnsi="Times New Roman" w:eastAsia="方正楷体简体" w:cs="Times New Roman"/>
          <w:b w:val="0"/>
          <w:bCs/>
          <w:color w:val="000000"/>
          <w:kern w:val="0"/>
          <w:sz w:val="32"/>
          <w:szCs w:val="32"/>
          <w:lang w:val="en-US" w:eastAsia="zh-CN" w:bidi="ar-SA"/>
        </w:rPr>
        <w:t>（2）并购安全审查。</w:t>
      </w:r>
      <w:r>
        <w:rPr>
          <w:rFonts w:hint="default" w:ascii="Times New Roman" w:hAnsi="Times New Roman" w:eastAsia="仿宋_GB2312" w:cs="Times New Roman"/>
          <w:bCs/>
          <w:color w:val="000000"/>
          <w:kern w:val="0"/>
          <w:sz w:val="32"/>
          <w:szCs w:val="32"/>
          <w:lang w:val="en-US" w:eastAsia="zh-CN" w:bidi="ar-SA"/>
        </w:rPr>
        <w:t>市发展改革委、市商务局、市经济合作局按照各自职责，分别配合省发展改革委、省商委厅、省经济合作局开展外国投资者并购市内企业安全审查的相关工作。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方正楷体简体" w:hAnsi="方正楷体简体" w:eastAsia="方正楷体简体" w:cs="方正楷体简体"/>
          <w:color w:val="000000"/>
          <w:kern w:val="0"/>
          <w:sz w:val="32"/>
          <w:szCs w:val="32"/>
          <w:shd w:val="clear" w:color="auto" w:fill="FFFFFF"/>
          <w:lang w:val="zh-CN"/>
        </w:rPr>
      </w:pPr>
      <w:r>
        <w:rPr>
          <w:rFonts w:hint="default" w:ascii="方正楷体简体" w:hAnsi="方正楷体简体" w:eastAsia="方正楷体简体" w:cs="方正楷体简体"/>
          <w:color w:val="000000"/>
          <w:kern w:val="0"/>
          <w:sz w:val="32"/>
          <w:szCs w:val="32"/>
          <w:shd w:val="clear" w:color="auto" w:fill="FFFFFF"/>
          <w:lang w:val="zh-CN"/>
        </w:rPr>
        <w:t>（三）人员概况</w:t>
      </w:r>
    </w:p>
    <w:p>
      <w:pPr>
        <w:keepNext w:val="0"/>
        <w:keepLines w:val="0"/>
        <w:pageBreakBefore w:val="0"/>
        <w:widowControl w:val="0"/>
        <w:kinsoku/>
        <w:wordWrap/>
        <w:overflowPunct/>
        <w:topLinePunct w:val="0"/>
        <w:bidi w:val="0"/>
        <w:spacing w:line="576" w:lineRule="exact"/>
        <w:ind w:firstLine="640" w:firstLineChars="200"/>
        <w:jc w:val="both"/>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zh-CN" w:eastAsia="zh-CN" w:bidi="ar-SA"/>
        </w:rPr>
        <w:t>我局核定编制</w:t>
      </w:r>
      <w:r>
        <w:rPr>
          <w:rFonts w:hint="default" w:ascii="Times New Roman" w:hAnsi="Times New Roman" w:eastAsia="仿宋_GB2312" w:cs="Times New Roman"/>
          <w:color w:val="000000"/>
          <w:kern w:val="0"/>
          <w:sz w:val="32"/>
          <w:szCs w:val="32"/>
          <w:shd w:val="clear" w:color="auto" w:fill="FFFFFF"/>
          <w:lang w:val="en-US" w:eastAsia="zh-CN" w:bidi="ar-SA"/>
        </w:rPr>
        <w:t>60名，其中行政编制27名（含机关工勤3名），事业编制33名（含3个分局3个编制），在职在编44人，其中行政编制21人（含机关工勤3名），事业编制23人。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方正黑体简体" w:hAnsi="方正黑体简体" w:eastAsia="方正黑体简体" w:cs="方正黑体简体"/>
          <w:color w:val="000000"/>
          <w:kern w:val="0"/>
          <w:sz w:val="32"/>
          <w:szCs w:val="32"/>
          <w:shd w:val="clear" w:color="auto" w:fill="FFFFFF"/>
        </w:rPr>
      </w:pPr>
      <w:r>
        <w:rPr>
          <w:rFonts w:hint="default" w:ascii="方正黑体简体" w:hAnsi="方正黑体简体" w:eastAsia="方正黑体简体" w:cs="方正黑体简体"/>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方正楷体简体" w:hAnsi="方正楷体简体" w:eastAsia="方正楷体简体" w:cs="方正楷体简体"/>
          <w:color w:val="000000"/>
          <w:kern w:val="0"/>
          <w:sz w:val="32"/>
          <w:szCs w:val="32"/>
          <w:shd w:val="clear" w:color="auto" w:fill="FFFFFF"/>
          <w:lang w:val="zh-CN"/>
        </w:rPr>
      </w:pPr>
      <w:r>
        <w:rPr>
          <w:rFonts w:hint="default" w:ascii="方正楷体简体" w:hAnsi="方正楷体简体" w:eastAsia="方正楷体简体" w:cs="方正楷体简体"/>
          <w:color w:val="000000"/>
          <w:kern w:val="0"/>
          <w:sz w:val="32"/>
          <w:szCs w:val="32"/>
          <w:shd w:val="clear" w:color="auto" w:fill="FFFFFF"/>
          <w:lang w:val="zh-CN"/>
        </w:rPr>
        <w:t>（一）部门财政资金收入情况</w:t>
      </w:r>
    </w:p>
    <w:p>
      <w:pPr>
        <w:keepNext w:val="0"/>
        <w:keepLines w:val="0"/>
        <w:pageBreakBefore w:val="0"/>
        <w:widowControl w:val="0"/>
        <w:kinsoku/>
        <w:wordWrap/>
        <w:overflowPunct/>
        <w:topLinePunct w:val="0"/>
        <w:bidi w:val="0"/>
        <w:spacing w:line="576" w:lineRule="exact"/>
        <w:ind w:firstLine="640" w:firstLineChars="200"/>
        <w:jc w:val="both"/>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2021年我单位收入合计1815.63万元，其中一般公共预算财政拨款1756.11万元，年初结转结余59.51万元。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（二）</w:t>
      </w:r>
      <w:r>
        <w:rPr>
          <w:rFonts w:hint="default" w:ascii="方正楷体简体" w:hAnsi="方正楷体简体" w:eastAsia="方正楷体简体" w:cs="方正楷体简体"/>
          <w:color w:val="000000"/>
          <w:kern w:val="0"/>
          <w:sz w:val="32"/>
          <w:szCs w:val="32"/>
          <w:shd w:val="clear" w:color="auto" w:fill="FFFFFF"/>
          <w:lang w:val="zh-CN"/>
        </w:rPr>
        <w:t>部门财政资金支出情况</w:t>
      </w:r>
    </w:p>
    <w:p>
      <w:pPr>
        <w:keepNext w:val="0"/>
        <w:keepLines w:val="0"/>
        <w:pageBreakBefore w:val="0"/>
        <w:widowControl w:val="0"/>
        <w:numPr>
          <w:ilvl w:val="0"/>
          <w:numId w:val="0"/>
        </w:numPr>
        <w:kinsoku/>
        <w:wordWrap/>
        <w:overflowPunct/>
        <w:topLinePunct w:val="0"/>
        <w:bidi w:val="0"/>
        <w:spacing w:line="576" w:lineRule="exact"/>
        <w:ind w:firstLine="640" w:firstLineChars="200"/>
        <w:jc w:val="both"/>
        <w:textAlignment w:val="auto"/>
        <w:outlineLvl w:val="9"/>
        <w:rPr>
          <w:rFonts w:hint="default" w:ascii="Times New Roman" w:hAnsi="Times New Roman" w:eastAsia="仿宋_GB2312" w:cs="Times New Roman"/>
          <w:kern w:val="2"/>
          <w:sz w:val="32"/>
          <w:szCs w:val="20"/>
          <w:lang w:val="en-US" w:eastAsia="zh-CN" w:bidi="ar-SA"/>
        </w:rPr>
      </w:pPr>
      <w:r>
        <w:rPr>
          <w:rFonts w:hint="default" w:ascii="Times New Roman" w:hAnsi="Times New Roman" w:eastAsia="仿宋_GB2312" w:cs="Times New Roman"/>
          <w:kern w:val="2"/>
          <w:sz w:val="32"/>
          <w:szCs w:val="20"/>
          <w:lang w:val="en-US" w:eastAsia="zh-CN" w:bidi="ar-SA"/>
        </w:rPr>
        <w:t xml:space="preserve">2021年我单位支出合计1815.63万元，其中基本支出818.82万元，项目支出939.18万元，年末结转结余57.63万元。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方正黑体简体" w:hAnsi="方正黑体简体" w:eastAsia="方正黑体简体" w:cs="方正黑体简体"/>
          <w:color w:val="000000"/>
          <w:kern w:val="0"/>
          <w:sz w:val="32"/>
          <w:szCs w:val="32"/>
          <w:shd w:val="clear" w:color="auto" w:fill="FFFFFF"/>
          <w:lang w:val="en-US" w:eastAsia="zh-CN"/>
        </w:rPr>
      </w:pPr>
      <w:r>
        <w:rPr>
          <w:rFonts w:hint="eastAsia" w:ascii="方正黑体简体" w:hAnsi="方正黑体简体" w:eastAsia="方正黑体简体" w:cs="方正黑体简体"/>
          <w:color w:val="000000"/>
          <w:kern w:val="0"/>
          <w:sz w:val="32"/>
          <w:szCs w:val="32"/>
          <w:shd w:val="clear" w:color="auto" w:fill="FFFFFF"/>
          <w:lang w:eastAsia="zh-CN"/>
        </w:rPr>
        <w:t>三、</w:t>
      </w:r>
      <w:r>
        <w:rPr>
          <w:rFonts w:hint="default" w:ascii="方正黑体简体" w:hAnsi="方正黑体简体" w:eastAsia="方正黑体简体" w:cs="方正黑体简体"/>
          <w:color w:val="000000"/>
          <w:kern w:val="0"/>
          <w:sz w:val="32"/>
          <w:szCs w:val="32"/>
          <w:shd w:val="clear" w:color="auto" w:fill="FFFFFF"/>
        </w:rPr>
        <w:t>部门整体预算绩效管理情况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方正楷体简体" w:hAnsi="方正楷体简体" w:eastAsia="方正楷体简体" w:cs="方正楷体简体"/>
          <w:color w:val="000000"/>
          <w:kern w:val="0"/>
          <w:sz w:val="32"/>
          <w:szCs w:val="32"/>
          <w:shd w:val="clear" w:color="auto" w:fill="FFFFFF"/>
          <w:lang w:val="en-US" w:eastAsia="zh-CN"/>
        </w:rPr>
      </w:pPr>
      <w:r>
        <w:rPr>
          <w:rFonts w:hint="default" w:ascii="方正楷体简体" w:hAnsi="方正楷体简体" w:eastAsia="方正楷体简体" w:cs="方正楷体简体"/>
          <w:color w:val="000000"/>
          <w:kern w:val="0"/>
          <w:sz w:val="32"/>
          <w:szCs w:val="32"/>
          <w:shd w:val="clear" w:color="auto" w:fill="FFFFFF"/>
          <w:lang w:val="zh-CN"/>
        </w:rPr>
        <w:t>（一）部门预算项目绩效管理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2021年</w:t>
      </w:r>
      <w:r>
        <w:rPr>
          <w:rFonts w:hint="default" w:ascii="Times New Roman" w:hAnsi="Times New Roman" w:eastAsia="仿宋_GB2312" w:cs="Times New Roman"/>
          <w:color w:val="000000"/>
          <w:sz w:val="32"/>
          <w:szCs w:val="32"/>
          <w:lang w:val="en-US" w:eastAsia="zh-CN"/>
        </w:rPr>
        <w:t>我单位以</w:t>
      </w:r>
      <w:r>
        <w:rPr>
          <w:rFonts w:hint="default" w:ascii="Times New Roman" w:hAnsi="Times New Roman" w:eastAsia="仿宋_GB2312" w:cs="Times New Roman"/>
          <w:color w:val="000000"/>
          <w:sz w:val="32"/>
          <w:szCs w:val="32"/>
        </w:rPr>
        <w:t>切实推进预算绩效管理工作全面、均衡、深入发展，着力提升财政资金绩效为主线，以绩效目标实现为向导，以评价结果应用为保障，探索建立完善预算绩效管理体系，</w:t>
      </w:r>
      <w:r>
        <w:rPr>
          <w:rFonts w:hint="default" w:ascii="Times New Roman" w:hAnsi="Times New Roman" w:eastAsia="仿宋_GB2312" w:cs="Times New Roman"/>
          <w:color w:val="000000"/>
          <w:sz w:val="32"/>
          <w:szCs w:val="32"/>
          <w:lang w:val="en-US" w:eastAsia="zh-CN"/>
        </w:rPr>
        <w:t>本着“花钱必问效，无效必问责”原则，完善“</w:t>
      </w:r>
      <w:r>
        <w:rPr>
          <w:rFonts w:hint="default" w:ascii="Times New Roman" w:hAnsi="Times New Roman" w:eastAsia="仿宋_GB2312" w:cs="Times New Roman"/>
          <w:color w:val="000000"/>
          <w:kern w:val="0"/>
          <w:sz w:val="32"/>
          <w:szCs w:val="32"/>
          <w:lang w:val="en-US" w:eastAsia="zh-CN" w:bidi="ar"/>
        </w:rPr>
        <w:t>事前预算绩效评估、事中预算绩效监控、事后预算绩效评价</w:t>
      </w:r>
      <w:r>
        <w:rPr>
          <w:rFonts w:hint="default" w:ascii="Times New Roman" w:hAnsi="Times New Roman" w:eastAsia="仿宋_GB2312" w:cs="Times New Roman"/>
          <w:color w:val="000000"/>
          <w:sz w:val="32"/>
          <w:szCs w:val="32"/>
          <w:lang w:val="en-US" w:eastAsia="zh-CN"/>
        </w:rPr>
        <w:t>”，不断应用预算绩效管理结果，提升预算管理质量。</w:t>
      </w:r>
    </w:p>
    <w:p>
      <w:pPr>
        <w:keepNext w:val="0"/>
        <w:keepLines w:val="0"/>
        <w:pageBreakBefore w:val="0"/>
        <w:widowControl w:val="0"/>
        <w:suppressLineNumbers w:val="0"/>
        <w:kinsoku/>
        <w:wordWrap/>
        <w:overflowPunct/>
        <w:topLinePunct w:val="0"/>
        <w:bidi w:val="0"/>
        <w:spacing w:line="576" w:lineRule="exact"/>
        <w:ind w:firstLine="620" w:firstLineChars="20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color w:val="000000"/>
          <w:kern w:val="0"/>
          <w:sz w:val="31"/>
          <w:szCs w:val="31"/>
          <w:lang w:val="en-US" w:eastAsia="zh-CN" w:bidi="ar"/>
        </w:rPr>
        <w:t>一是我单位严格按照市财政局《关于编制2021年部门预算的通知》，结合我单位实际年度工作计划，认真编制单位部门预算项目。其中对“</w:t>
      </w:r>
      <w:r>
        <w:rPr>
          <w:rFonts w:hint="default" w:ascii="Times New Roman" w:hAnsi="Times New Roman" w:eastAsia="仿宋_GB2312" w:cs="Times New Roman"/>
          <w:kern w:val="2"/>
          <w:sz w:val="32"/>
          <w:szCs w:val="24"/>
          <w:lang w:val="en-US" w:eastAsia="zh-CN" w:bidi="ar-SA"/>
        </w:rPr>
        <w:t>脱贫攻坚帮扶经费”“驻外分局工作经费及房租”</w:t>
      </w:r>
      <w:r>
        <w:rPr>
          <w:rFonts w:hint="default" w:ascii="Times New Roman" w:hAnsi="Times New Roman" w:eastAsia="仿宋_GB2312" w:cs="Times New Roman"/>
          <w:color w:val="000000"/>
          <w:kern w:val="0"/>
          <w:sz w:val="31"/>
          <w:szCs w:val="31"/>
          <w:lang w:val="en-US" w:eastAsia="zh-CN" w:bidi="ar"/>
        </w:rPr>
        <w:t>等项目，同步编制了绩效目标，细化量化数量指标、成本指标、效益指标等，详细反映了相应项目工作任务、达成的效果。</w:t>
      </w:r>
    </w:p>
    <w:p>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0"/>
          <w:sz w:val="32"/>
          <w:szCs w:val="32"/>
          <w:shd w:val="clear" w:color="auto" w:fill="FFFFFF"/>
          <w:lang w:val="en-US" w:eastAsia="zh-CN"/>
        </w:rPr>
        <w:t>二是</w:t>
      </w:r>
      <w:r>
        <w:rPr>
          <w:rFonts w:hint="default" w:ascii="Times New Roman" w:hAnsi="Times New Roman" w:eastAsia="仿宋_GB2312" w:cs="Times New Roman"/>
          <w:color w:val="000000"/>
          <w:kern w:val="0"/>
          <w:sz w:val="31"/>
          <w:szCs w:val="31"/>
          <w:lang w:val="en-US" w:eastAsia="zh-CN" w:bidi="ar"/>
        </w:rPr>
        <w:t>按照</w:t>
      </w:r>
      <w:r>
        <w:rPr>
          <w:rFonts w:hint="default" w:ascii="Times New Roman" w:hAnsi="Times New Roman" w:eastAsia="仿宋_GB2312" w:cs="Times New Roman"/>
          <w:sz w:val="32"/>
          <w:szCs w:val="32"/>
        </w:rPr>
        <w:t>《关于印发广元市市级预算绩效运行监控管理暂行办法的通知》（广财绩〔2018〕9号）</w:t>
      </w:r>
      <w:r>
        <w:rPr>
          <w:rFonts w:hint="default" w:ascii="Times New Roman" w:hAnsi="Times New Roman" w:eastAsia="仿宋_GB2312" w:cs="Times New Roman"/>
          <w:sz w:val="32"/>
          <w:szCs w:val="32"/>
          <w:lang w:val="en-US" w:eastAsia="zh-CN"/>
        </w:rPr>
        <w:t>的要求，按时完成</w:t>
      </w:r>
      <w:r>
        <w:rPr>
          <w:rFonts w:hint="default" w:ascii="Times New Roman" w:hAnsi="Times New Roman" w:eastAsia="仿宋_GB2312" w:cs="Times New Roman"/>
          <w:sz w:val="32"/>
          <w:szCs w:val="32"/>
        </w:rPr>
        <w:t>预算绩效运行监控，</w:t>
      </w:r>
      <w:r>
        <w:rPr>
          <w:rFonts w:hint="default" w:ascii="Times New Roman" w:hAnsi="Times New Roman" w:eastAsia="仿宋_GB2312" w:cs="Times New Roman"/>
          <w:color w:val="000000"/>
          <w:kern w:val="0"/>
          <w:sz w:val="31"/>
          <w:szCs w:val="31"/>
          <w:lang w:val="en-US" w:eastAsia="zh-CN" w:bidi="ar"/>
        </w:rPr>
        <w:t>合理安排预算执行进度，提高资金使用绩效。</w:t>
      </w:r>
      <w:r>
        <w:rPr>
          <w:rFonts w:hint="default" w:ascii="Times New Roman" w:hAnsi="Times New Roman" w:eastAsia="仿宋_GB2312" w:cs="Times New Roman"/>
          <w:sz w:val="32"/>
          <w:szCs w:val="32"/>
        </w:rPr>
        <w:t>加快构建全方位、全过程、全覆盖的预算绩效管理体系</w:t>
      </w:r>
      <w:r>
        <w:rPr>
          <w:rFonts w:hint="default" w:ascii="Times New Roman" w:hAnsi="Times New Roman" w:eastAsia="仿宋_GB2312" w:cs="Times New Roman"/>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6"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三是</w:t>
      </w:r>
      <w:r>
        <w:rPr>
          <w:rFonts w:hint="default" w:ascii="Times New Roman" w:hAnsi="Times New Roman" w:eastAsia="仿宋_GB2312" w:cs="Times New Roman"/>
          <w:sz w:val="32"/>
          <w:szCs w:val="32"/>
        </w:rPr>
        <w:t>在预算</w:t>
      </w:r>
      <w:r>
        <w:rPr>
          <w:rFonts w:hint="default" w:ascii="Times New Roman" w:hAnsi="Times New Roman" w:eastAsia="仿宋_GB2312" w:cs="Times New Roman"/>
          <w:sz w:val="32"/>
          <w:szCs w:val="32"/>
          <w:lang w:val="en-US" w:eastAsia="zh-CN"/>
        </w:rPr>
        <w:t>绩效管理</w:t>
      </w:r>
      <w:r>
        <w:rPr>
          <w:rFonts w:hint="default" w:ascii="Times New Roman" w:hAnsi="Times New Roman" w:eastAsia="仿宋_GB2312" w:cs="Times New Roman"/>
          <w:sz w:val="32"/>
          <w:szCs w:val="32"/>
        </w:rPr>
        <w:t>中，我</w:t>
      </w:r>
      <w:r>
        <w:rPr>
          <w:rFonts w:hint="default" w:ascii="Times New Roman" w:hAnsi="Times New Roman" w:eastAsia="仿宋_GB2312" w:cs="Times New Roman"/>
          <w:sz w:val="32"/>
          <w:szCs w:val="32"/>
          <w:lang w:eastAsia="zh-CN"/>
        </w:rPr>
        <w:t>单位高度</w:t>
      </w:r>
      <w:r>
        <w:rPr>
          <w:rFonts w:hint="default" w:ascii="Times New Roman" w:hAnsi="Times New Roman" w:eastAsia="仿宋_GB2312" w:cs="Times New Roman"/>
          <w:sz w:val="32"/>
          <w:szCs w:val="32"/>
        </w:rPr>
        <w:t>重视预算执行的刚性和平衡，严格按照文件要求，切实加强市级财政支出预算执行管理，提高财政资金使用绩效。强化预算刚性约束，严格按照批复的部门支出预算执行，不随意改变资金使用用途，</w:t>
      </w:r>
      <w:r>
        <w:rPr>
          <w:rFonts w:hint="default" w:ascii="Times New Roman" w:hAnsi="Times New Roman" w:eastAsia="仿宋_GB2312" w:cs="Times New Roman"/>
          <w:sz w:val="32"/>
          <w:szCs w:val="32"/>
          <w:lang w:eastAsia="zh-CN"/>
        </w:rPr>
        <w:t>不</w:t>
      </w:r>
      <w:r>
        <w:rPr>
          <w:rFonts w:hint="default" w:ascii="Times New Roman" w:hAnsi="Times New Roman" w:eastAsia="仿宋_GB2312" w:cs="Times New Roman"/>
          <w:sz w:val="32"/>
          <w:szCs w:val="32"/>
        </w:rPr>
        <w:t>盲目扩大支出范围和提高支出标准的行为。狠抓预算执行进度管理，在各季度末提前统计分析预算执行进度情况，确保预算执行达到相关进度要求。</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方正楷体简体" w:hAnsi="方正楷体简体" w:eastAsia="方正楷体简体" w:cs="方正楷体简体"/>
          <w:color w:val="000000"/>
          <w:kern w:val="0"/>
          <w:sz w:val="32"/>
          <w:szCs w:val="32"/>
          <w:shd w:val="clear" w:color="auto" w:fill="FFFFFF"/>
          <w:lang w:val="zh-CN"/>
        </w:rPr>
      </w:pPr>
      <w:r>
        <w:rPr>
          <w:rFonts w:hint="default" w:ascii="方正楷体简体" w:hAnsi="方正楷体简体" w:eastAsia="方正楷体简体" w:cs="方正楷体简体"/>
          <w:color w:val="000000"/>
          <w:kern w:val="0"/>
          <w:sz w:val="32"/>
          <w:szCs w:val="32"/>
          <w:shd w:val="clear" w:color="auto" w:fill="FFFFFF"/>
          <w:lang w:val="zh-CN"/>
        </w:rPr>
        <w:t>（二）结果应用情况</w:t>
      </w:r>
    </w:p>
    <w:p>
      <w:pPr>
        <w:keepNext w:val="0"/>
        <w:keepLines w:val="0"/>
        <w:pageBreakBefore w:val="0"/>
        <w:widowControl w:val="0"/>
        <w:suppressLineNumbers w:val="0"/>
        <w:kinsoku/>
        <w:wordWrap/>
        <w:overflowPunct/>
        <w:topLinePunct w:val="0"/>
        <w:autoSpaceDE/>
        <w:autoSpaceDN/>
        <w:bidi w:val="0"/>
        <w:spacing w:line="576" w:lineRule="exact"/>
        <w:ind w:firstLine="620" w:firstLineChars="20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color w:val="000000"/>
          <w:kern w:val="0"/>
          <w:sz w:val="31"/>
          <w:szCs w:val="31"/>
          <w:lang w:val="en-US" w:eastAsia="zh-CN" w:bidi="ar"/>
        </w:rPr>
        <w:t>1</w:t>
      </w:r>
      <w:r>
        <w:rPr>
          <w:rFonts w:hint="eastAsia"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在信息公开方面，我单位按照要求将部门整体绩效自评情况和自行组织的评价情况随单位2021决算情况说明在单位网站进行了公开。</w:t>
      </w:r>
    </w:p>
    <w:p>
      <w:pPr>
        <w:keepNext w:val="0"/>
        <w:keepLines w:val="0"/>
        <w:pageBreakBefore w:val="0"/>
        <w:widowControl w:val="0"/>
        <w:kinsoku/>
        <w:wordWrap/>
        <w:overflowPunct/>
        <w:topLinePunct w:val="0"/>
        <w:autoSpaceDE/>
        <w:autoSpaceDN/>
        <w:bidi w:val="0"/>
        <w:spacing w:line="576" w:lineRule="exact"/>
        <w:ind w:firstLine="620" w:firstLineChars="200"/>
        <w:jc w:val="both"/>
        <w:textAlignment w:val="auto"/>
        <w:outlineLvl w:val="9"/>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1"/>
          <w:szCs w:val="31"/>
          <w:lang w:val="en-US" w:eastAsia="zh-CN" w:bidi="ar"/>
        </w:rPr>
        <w:t>2</w:t>
      </w:r>
      <w:r>
        <w:rPr>
          <w:rFonts w:hint="eastAsia"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在绩效目标设置上，详细反映相应项目工作任务、达成的效果，进一步提高绩效目标的针对性、有效性，便于对项目的实施情况进行考核。</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（三）</w:t>
      </w:r>
      <w:r>
        <w:rPr>
          <w:rFonts w:hint="default" w:ascii="方正楷体简体" w:hAnsi="方正楷体简体" w:eastAsia="方正楷体简体" w:cs="方正楷体简体"/>
          <w:color w:val="000000"/>
          <w:kern w:val="0"/>
          <w:sz w:val="32"/>
          <w:szCs w:val="32"/>
          <w:shd w:val="clear" w:color="auto" w:fill="FFFFFF"/>
          <w:lang w:val="zh-CN"/>
        </w:rPr>
        <w:t>自评质量</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kern w:val="0"/>
          <w:sz w:val="32"/>
          <w:szCs w:val="32"/>
          <w:lang w:val="en-US" w:eastAsia="zh-CN"/>
        </w:rPr>
        <w:t>2021年</w:t>
      </w:r>
      <w:r>
        <w:rPr>
          <w:rFonts w:hint="default" w:ascii="Times New Roman" w:hAnsi="Times New Roman" w:eastAsia="仿宋_GB2312" w:cs="Times New Roman"/>
          <w:kern w:val="0"/>
          <w:sz w:val="32"/>
          <w:szCs w:val="32"/>
          <w:lang w:eastAsia="zh-CN"/>
        </w:rPr>
        <w:t>我单位</w:t>
      </w:r>
      <w:r>
        <w:rPr>
          <w:rFonts w:hint="default" w:ascii="Times New Roman" w:hAnsi="Times New Roman" w:eastAsia="仿宋_GB2312" w:cs="Times New Roman"/>
          <w:kern w:val="0"/>
          <w:sz w:val="32"/>
          <w:szCs w:val="32"/>
        </w:rPr>
        <w:t>支出绩效总体情况较好，完成了各项目标任务。主要表现在：及时、准确地完成了预算编制；严格预算执行及资金支付，无违规列支的情况；会计核算较为规范，制度基本健全，严格按照相关会计制度和财务管理办法进行核算。</w:t>
      </w:r>
      <w:r>
        <w:rPr>
          <w:rFonts w:hint="default" w:ascii="Times New Roman" w:hAnsi="Times New Roman" w:eastAsia="仿宋_GB2312" w:cs="Times New Roman"/>
          <w:sz w:val="32"/>
          <w:szCs w:val="32"/>
        </w:rPr>
        <w:t>项目整体支出情况良好，各项经费严格执行</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支出审批制度，坚持“厉行节约、反对浪费”的原则，充分发挥了资金的使用效益。在资金的管理严格按政策执行项目资金申报与实际使用符合，无超报、虚报现象，达到项目预期效果。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方正黑体简体" w:hAnsi="方正黑体简体" w:eastAsia="方正黑体简体" w:cs="方正黑体简体"/>
          <w:color w:val="000000"/>
          <w:kern w:val="0"/>
          <w:sz w:val="32"/>
          <w:szCs w:val="32"/>
          <w:shd w:val="clear" w:color="auto" w:fill="FFFFFF"/>
        </w:rPr>
      </w:pPr>
      <w:r>
        <w:rPr>
          <w:rFonts w:hint="eastAsia" w:ascii="方正黑体简体" w:hAnsi="方正黑体简体" w:eastAsia="方正黑体简体" w:cs="方正黑体简体"/>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方正楷体简体" w:hAnsi="方正楷体简体" w:eastAsia="方正楷体简体" w:cs="方正楷体简体"/>
          <w:color w:val="000000"/>
          <w:kern w:val="0"/>
          <w:sz w:val="32"/>
          <w:szCs w:val="32"/>
          <w:shd w:val="clear" w:color="auto" w:fill="FFFFFF"/>
          <w:lang w:val="zh-CN"/>
        </w:rPr>
      </w:pPr>
      <w:r>
        <w:rPr>
          <w:rFonts w:hint="default" w:ascii="方正楷体简体" w:hAnsi="方正楷体简体" w:eastAsia="方正楷体简体" w:cs="方正楷体简体"/>
          <w:color w:val="000000"/>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eastAsia="zh-CN"/>
        </w:rPr>
        <w:t>2021年我单位整体支出绩效自查自评结果良好，全年基本支出保证了单位的正常运转，项目支出保障了重点专项工作的开展，按照</w:t>
      </w:r>
      <w:r>
        <w:rPr>
          <w:rFonts w:hint="default" w:ascii="Times New Roman" w:hAnsi="Times New Roman" w:eastAsia="仿宋_GB2312" w:cs="Times New Roman"/>
          <w:color w:val="auto"/>
          <w:kern w:val="0"/>
          <w:sz w:val="32"/>
          <w:szCs w:val="32"/>
          <w:shd w:val="clear" w:color="auto" w:fill="FFFFFF"/>
          <w:lang w:val="zh-CN" w:eastAsia="zh-CN"/>
        </w:rPr>
        <w:t>2021年度部门整体支出绩效评价指标体系对我单位预算编制、预算执行、完成结果、信息公开、整改反馈等方面进行了自评，最终得分</w:t>
      </w:r>
      <w:r>
        <w:rPr>
          <w:rFonts w:hint="default" w:ascii="Times New Roman" w:hAnsi="Times New Roman" w:eastAsia="仿宋_GB2312" w:cs="Times New Roman"/>
          <w:color w:val="auto"/>
          <w:kern w:val="0"/>
          <w:sz w:val="32"/>
          <w:szCs w:val="32"/>
          <w:shd w:val="clear" w:color="auto" w:fill="FFFFFF"/>
          <w:lang w:val="en-US" w:eastAsia="zh-CN"/>
        </w:rPr>
        <w:t>98</w:t>
      </w:r>
      <w:r>
        <w:rPr>
          <w:rFonts w:hint="default" w:ascii="Times New Roman" w:hAnsi="Times New Roman" w:eastAsia="仿宋_GB2312" w:cs="Times New Roman"/>
          <w:color w:val="auto"/>
          <w:kern w:val="0"/>
          <w:sz w:val="32"/>
          <w:szCs w:val="32"/>
          <w:shd w:val="clear" w:color="auto" w:fill="FFFFFF"/>
          <w:lang w:val="zh-CN" w:eastAsia="zh-CN"/>
        </w:rPr>
        <w:t>分（附件）。</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（二）</w:t>
      </w:r>
      <w:r>
        <w:rPr>
          <w:rFonts w:hint="default" w:ascii="方正楷体简体" w:hAnsi="方正楷体简体" w:eastAsia="方正楷体简体" w:cs="方正楷体简体"/>
          <w:color w:val="000000"/>
          <w:kern w:val="0"/>
          <w:sz w:val="32"/>
          <w:szCs w:val="32"/>
          <w:shd w:val="clear" w:color="auto" w:fill="FFFFFF"/>
          <w:lang w:val="zh-CN"/>
        </w:rPr>
        <w:t>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val="en-US" w:eastAsia="zh-CN"/>
        </w:rPr>
        <w:t>1.2021年财政资金支</w:t>
      </w:r>
      <w:r>
        <w:rPr>
          <w:rFonts w:hint="default" w:ascii="Times New Roman" w:hAnsi="Times New Roman" w:eastAsia="仿宋_GB2312" w:cs="Times New Roman"/>
          <w:color w:val="000000"/>
          <w:kern w:val="0"/>
          <w:sz w:val="32"/>
          <w:szCs w:val="32"/>
          <w:shd w:val="clear" w:color="auto" w:fill="FFFFFF"/>
          <w:lang w:val="en-US" w:eastAsia="zh-CN"/>
        </w:rPr>
        <w:t>出中存在个别会计核算不规范的情况。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Times New Roman" w:hAnsi="Times New Roman" w:eastAsia="仿宋_GB2312" w:cs="Times New Roman"/>
          <w:b/>
          <w:bCs/>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2.在预算执行过程中，个别项目资金分配不及时，导致支付进度跟不上。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方正楷体简体" w:hAnsi="方正楷体简体" w:eastAsia="方正楷体简体" w:cs="方正楷体简体"/>
          <w:color w:val="000000"/>
          <w:kern w:val="0"/>
          <w:sz w:val="32"/>
          <w:szCs w:val="32"/>
          <w:shd w:val="clear" w:color="auto" w:fill="FFFFFF"/>
          <w:lang w:val="zh-CN"/>
        </w:rPr>
      </w:pPr>
      <w:r>
        <w:rPr>
          <w:rFonts w:hint="eastAsia" w:ascii="方正楷体简体" w:hAnsi="方正楷体简体" w:eastAsia="方正楷体简体" w:cs="方正楷体简体"/>
          <w:color w:val="000000"/>
          <w:kern w:val="0"/>
          <w:sz w:val="32"/>
          <w:szCs w:val="32"/>
          <w:shd w:val="clear" w:color="auto" w:fill="FFFFFF"/>
          <w:lang w:val="zh-CN"/>
        </w:rPr>
        <w:t>（三）改进建议</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both"/>
        <w:textAlignment w:val="auto"/>
        <w:outlineLvl w:val="9"/>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1</w:t>
      </w:r>
      <w:r>
        <w:rPr>
          <w:rFonts w:hint="eastAsia" w:ascii="Times New Roman" w:hAnsi="Times New Roman" w:eastAsia="仿宋_GB2312" w:cs="Times New Roman"/>
          <w:color w:val="000000"/>
          <w:kern w:val="0"/>
          <w:sz w:val="32"/>
          <w:szCs w:val="32"/>
          <w:shd w:val="clear" w:color="auto" w:fill="FFFFFF"/>
          <w:lang w:val="en-US" w:eastAsia="zh-CN"/>
        </w:rPr>
        <w:t>．</w:t>
      </w:r>
      <w:r>
        <w:rPr>
          <w:rFonts w:hint="default" w:ascii="Times New Roman" w:hAnsi="Times New Roman" w:eastAsia="仿宋_GB2312" w:cs="Times New Roman"/>
          <w:color w:val="000000"/>
          <w:kern w:val="0"/>
          <w:sz w:val="32"/>
          <w:szCs w:val="32"/>
          <w:shd w:val="clear" w:color="auto" w:fill="FFFFFF"/>
          <w:lang w:val="en-US" w:eastAsia="zh-CN"/>
        </w:rPr>
        <w:t>进一步加强财务管理。规范会计核算，加强财务人员的专业化培训，做到财务核算规范、依据充分、数据准确。</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outlineLvl w:val="9"/>
        <w:rPr>
          <w:rFonts w:hint="eastAsia" w:ascii="方正小标宋简体" w:hAnsi="方正小标宋简体" w:eastAsia="方正小标宋简体" w:cs="方正小标宋简体"/>
          <w:b w:val="0"/>
          <w:bCs w:val="0"/>
          <w:sz w:val="44"/>
          <w:szCs w:val="44"/>
        </w:rPr>
      </w:pPr>
      <w:r>
        <w:rPr>
          <w:rFonts w:hint="default" w:ascii="Times New Roman" w:hAnsi="Times New Roman" w:eastAsia="仿宋_GB2312" w:cs="Times New Roman"/>
          <w:color w:val="000000"/>
          <w:kern w:val="0"/>
          <w:sz w:val="32"/>
          <w:szCs w:val="32"/>
          <w:shd w:val="clear" w:color="auto" w:fill="FFFFFF"/>
          <w:lang w:val="en-US" w:eastAsia="zh-CN"/>
        </w:rPr>
        <w:t>2</w:t>
      </w:r>
      <w:r>
        <w:rPr>
          <w:rFonts w:hint="eastAsia" w:ascii="Times New Roman" w:hAnsi="Times New Roman" w:eastAsia="仿宋_GB2312" w:cs="Times New Roman"/>
          <w:color w:val="000000"/>
          <w:kern w:val="0"/>
          <w:sz w:val="32"/>
          <w:szCs w:val="32"/>
          <w:shd w:val="clear" w:color="auto" w:fill="FFFFFF"/>
          <w:lang w:val="en-US" w:eastAsia="zh-CN"/>
        </w:rPr>
        <w:t>．</w:t>
      </w:r>
      <w:r>
        <w:rPr>
          <w:rFonts w:hint="default" w:ascii="Times New Roman" w:hAnsi="Times New Roman" w:eastAsia="仿宋_GB2312" w:cs="Times New Roman"/>
          <w:kern w:val="0"/>
          <w:sz w:val="32"/>
          <w:szCs w:val="32"/>
        </w:rPr>
        <w:t>进一步加强</w:t>
      </w:r>
      <w:r>
        <w:rPr>
          <w:rFonts w:hint="default" w:ascii="Times New Roman" w:hAnsi="Times New Roman" w:eastAsia="仿宋_GB2312" w:cs="Times New Roman"/>
          <w:kern w:val="0"/>
          <w:sz w:val="32"/>
          <w:szCs w:val="32"/>
          <w:lang w:eastAsia="zh-CN"/>
        </w:rPr>
        <w:t>预算执行管理。加强</w:t>
      </w:r>
      <w:r>
        <w:rPr>
          <w:rFonts w:hint="default" w:ascii="Times New Roman" w:hAnsi="Times New Roman" w:eastAsia="仿宋_GB2312" w:cs="Times New Roman"/>
          <w:kern w:val="0"/>
          <w:sz w:val="32"/>
          <w:szCs w:val="32"/>
        </w:rPr>
        <w:t>部门支出专项资金管理</w:t>
      </w:r>
      <w:r>
        <w:rPr>
          <w:rFonts w:hint="default" w:ascii="Times New Roman" w:hAnsi="Times New Roman" w:eastAsia="仿宋_GB2312" w:cs="Times New Roman"/>
          <w:kern w:val="0"/>
          <w:sz w:val="32"/>
          <w:szCs w:val="32"/>
          <w:lang w:val="en-US" w:eastAsia="zh-CN"/>
        </w:rPr>
        <w:t>和</w:t>
      </w:r>
      <w:r>
        <w:rPr>
          <w:rFonts w:hint="default" w:ascii="Times New Roman" w:hAnsi="Times New Roman" w:eastAsia="仿宋_GB2312" w:cs="Times New Roman"/>
          <w:kern w:val="0"/>
          <w:sz w:val="32"/>
          <w:szCs w:val="32"/>
        </w:rPr>
        <w:t>项目前期管理，</w:t>
      </w:r>
      <w:r>
        <w:rPr>
          <w:rFonts w:hint="default" w:ascii="Times New Roman" w:hAnsi="Times New Roman" w:eastAsia="仿宋" w:cs="Times New Roman"/>
          <w:sz w:val="32"/>
          <w:szCs w:val="40"/>
        </w:rPr>
        <w:t>加快项目执行进</w:t>
      </w:r>
      <w:r>
        <w:rPr>
          <w:rFonts w:hint="default" w:ascii="Times New Roman" w:hAnsi="Times New Roman" w:eastAsia="仿宋_GB2312" w:cs="Times New Roman"/>
          <w:kern w:val="0"/>
          <w:sz w:val="32"/>
          <w:szCs w:val="32"/>
        </w:rPr>
        <w:t>度。</w:t>
      </w:r>
      <w:bookmarkEnd w:id="79"/>
      <w:bookmarkStart w:id="83" w:name="_Toc3694"/>
    </w:p>
    <w:p>
      <w:pPr>
        <w:pStyle w:val="6"/>
        <w:rPr>
          <w:rFonts w:hint="eastAsia" w:ascii="方正小标宋简体" w:hAnsi="方正小标宋简体" w:eastAsia="方正小标宋简体" w:cs="方正小标宋简体"/>
          <w:b w:val="0"/>
          <w:bCs w:val="0"/>
          <w:sz w:val="44"/>
          <w:szCs w:val="44"/>
        </w:rPr>
      </w:pPr>
      <w:r>
        <w:rPr>
          <w:rFonts w:hint="eastAsia" w:hAnsi="宋体" w:cs="宋体"/>
          <w:color w:val="auto"/>
          <w:kern w:val="0"/>
          <w:sz w:val="32"/>
          <w:szCs w:val="32"/>
          <w:highlight w:val="none"/>
          <w:shd w:val="clear" w:color="auto" w:fill="FFFFFF"/>
          <w:lang w:val="zh-CN"/>
        </w:rPr>
        <w:t>附件</w:t>
      </w:r>
    </w:p>
    <w:bookmarkEnd w:id="83"/>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bidi="ar-SA"/>
        </w:rPr>
        <w:t>广元市经济合作和外事局</w:t>
      </w:r>
    </w:p>
    <w:p>
      <w:pPr>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zh-CN"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关于2021年度驻外分局工作经费及房租</w:t>
      </w:r>
      <w:r>
        <w:rPr>
          <w:rFonts w:hint="eastAsia" w:ascii="方正小标宋简体" w:hAnsi="方正小标宋简体" w:eastAsia="方正小标宋简体" w:cs="方正小标宋简体"/>
          <w:b w:val="0"/>
          <w:bCs w:val="0"/>
          <w:color w:val="auto"/>
          <w:kern w:val="2"/>
          <w:sz w:val="44"/>
          <w:szCs w:val="44"/>
          <w:lang w:val="zh-CN" w:eastAsia="zh-CN" w:bidi="ar-SA"/>
        </w:rPr>
        <w:t>项目绩效自评报告</w:t>
      </w:r>
    </w:p>
    <w:p>
      <w:pPr>
        <w:keepNext w:val="0"/>
        <w:keepLines w:val="0"/>
        <w:pageBreakBefore w:val="0"/>
        <w:widowControl w:val="0"/>
        <w:kinsoku/>
        <w:wordWrap/>
        <w:overflowPunct/>
        <w:topLinePunct w:val="0"/>
        <w:autoSpaceDE/>
        <w:autoSpaceDN/>
        <w:bidi w:val="0"/>
        <w:spacing w:line="576" w:lineRule="exact"/>
        <w:jc w:val="left"/>
        <w:textAlignment w:val="auto"/>
        <w:rPr>
          <w:rFonts w:hint="eastAsia" w:ascii="仿宋_GB2312" w:hAnsi="仿宋_GB2312" w:eastAsia="仿宋_GB2312" w:cs="仿宋_GB2312"/>
          <w:b w:val="0"/>
          <w:bCs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spacing w:line="576" w:lineRule="exact"/>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市财政局绩效管理中心：</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黑体" w:cs="Times New Roman"/>
          <w:b w:val="0"/>
          <w:bCs w:val="0"/>
          <w:color w:val="000000"/>
          <w:kern w:val="0"/>
          <w:sz w:val="28"/>
          <w:szCs w:val="21"/>
          <w:lang w:val="zh-CN" w:eastAsia="zh-CN" w:bidi="ar-SA"/>
        </w:rPr>
      </w:pPr>
      <w:r>
        <w:rPr>
          <w:rFonts w:hint="default" w:ascii="Times New Roman" w:hAnsi="Times New Roman" w:eastAsia="仿宋_GB2312" w:cs="Times New Roman"/>
          <w:b w:val="0"/>
          <w:bCs w:val="0"/>
          <w:color w:val="000000"/>
          <w:kern w:val="0"/>
          <w:sz w:val="32"/>
          <w:szCs w:val="32"/>
          <w:lang w:val="en-US" w:eastAsia="zh-CN" w:bidi="ar-SA"/>
        </w:rPr>
        <w:t>按照市财政局《关于开展2022年部门、政策和项目支出绩效自评工作的通知》（广财绩〔202</w:t>
      </w:r>
      <w:r>
        <w:rPr>
          <w:rFonts w:hint="eastAsia" w:ascii="Times New Roman" w:hAnsi="Times New Roman" w:eastAsia="仿宋_GB2312" w:cs="Times New Roman"/>
          <w:b w:val="0"/>
          <w:bCs w:val="0"/>
          <w:color w:val="000000"/>
          <w:kern w:val="0"/>
          <w:sz w:val="32"/>
          <w:szCs w:val="32"/>
          <w:lang w:val="en-US" w:eastAsia="zh-CN" w:bidi="ar-SA"/>
        </w:rPr>
        <w:t>2</w:t>
      </w:r>
      <w:r>
        <w:rPr>
          <w:rFonts w:hint="default" w:ascii="Times New Roman" w:hAnsi="Times New Roman" w:eastAsia="仿宋_GB2312" w:cs="Times New Roman"/>
          <w:b w:val="0"/>
          <w:bCs w:val="0"/>
          <w:color w:val="000000"/>
          <w:kern w:val="0"/>
          <w:sz w:val="32"/>
          <w:szCs w:val="32"/>
          <w:lang w:val="en-US" w:eastAsia="zh-CN" w:bidi="ar-SA"/>
        </w:rPr>
        <w:t>〕8</w:t>
      </w:r>
      <w:r>
        <w:rPr>
          <w:rFonts w:hint="default" w:ascii="Times New Roman" w:hAnsi="Times New Roman" w:eastAsia="仿宋_GB2312" w:cs="Times New Roman"/>
          <w:b w:val="0"/>
          <w:bCs w:val="0"/>
          <w:color w:val="000000"/>
          <w:kern w:val="0"/>
          <w:sz w:val="32"/>
          <w:szCs w:val="32"/>
          <w:lang w:val="zh-CN" w:eastAsia="zh-CN" w:bidi="ar-SA"/>
        </w:rPr>
        <w:t>号</w:t>
      </w:r>
      <w:r>
        <w:rPr>
          <w:rFonts w:hint="default" w:ascii="Times New Roman" w:hAnsi="Times New Roman" w:eastAsia="仿宋_GB2312" w:cs="Times New Roman"/>
          <w:b w:val="0"/>
          <w:bCs w:val="0"/>
          <w:color w:val="000000"/>
          <w:kern w:val="0"/>
          <w:sz w:val="32"/>
          <w:szCs w:val="32"/>
          <w:lang w:val="en-US" w:eastAsia="zh-CN" w:bidi="ar-SA"/>
        </w:rPr>
        <w:t>）文件精神和要求，我局结合单位财务管理实际，认真开展了2021年市级部门专项支出绩效评价工作，现将我单位驻外分局工作经费及房租项目自评工作报告如下：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简体" w:hAnsi="方正黑体简体" w:eastAsia="方正黑体简体" w:cs="方正黑体简体"/>
          <w:b w:val="0"/>
          <w:bCs w:val="0"/>
          <w:sz w:val="32"/>
          <w:szCs w:val="32"/>
          <w:lang w:val="zh-CN"/>
        </w:rPr>
      </w:pPr>
      <w:r>
        <w:rPr>
          <w:rFonts w:hint="eastAsia" w:ascii="方正黑体简体" w:hAnsi="方正黑体简体" w:eastAsia="方正黑体简体" w:cs="方正黑体简体"/>
          <w:b w:val="0"/>
          <w:bCs w:val="0"/>
          <w:sz w:val="32"/>
          <w:szCs w:val="32"/>
        </w:rPr>
        <w:t>一、</w:t>
      </w:r>
      <w:r>
        <w:rPr>
          <w:rFonts w:hint="eastAsia" w:ascii="方正黑体简体" w:hAnsi="方正黑体简体" w:eastAsia="方正黑体简体" w:cs="方正黑体简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1．市经济合作和外事局在该项目管理中的职能。受市政府委托，负责管理市政府各驻外机构。优化精准招商、精品招商、集中、群招商路径和方式，提升开放合作平台影响力，提高招商引资质量，发展壮大重点产业。提升与发达地区经济合作层次，推进全市投资促进分工协作、错位发展。</w:t>
      </w:r>
    </w:p>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2．项目立项、资金申报的依据。依据中共广元市经济合作</w:t>
      </w:r>
      <w:r>
        <w:rPr>
          <w:rFonts w:hint="default" w:ascii="Times New Roman" w:hAnsi="Times New Roman" w:cs="Times New Roman"/>
          <w:b w:val="0"/>
          <w:bCs w:val="0"/>
          <w:lang w:val="zh-CN"/>
        </w:rPr>
        <w:t>局</w:t>
      </w:r>
      <w:r>
        <w:rPr>
          <w:rFonts w:hint="default" w:ascii="Times New Roman" w:hAnsi="Times New Roman" w:eastAsia="仿宋_GB2312" w:cs="Times New Roman"/>
          <w:b w:val="0"/>
          <w:bCs w:val="0"/>
          <w:sz w:val="32"/>
          <w:szCs w:val="32"/>
          <w:lang w:val="zh-CN"/>
        </w:rPr>
        <w:t>党组关于印发《广元市经济合作局驻外分局管理制度》（</w:t>
      </w:r>
      <w:r>
        <w:rPr>
          <w:rFonts w:hint="default" w:ascii="Times New Roman" w:hAnsi="Times New Roman" w:eastAsia="仿宋_GB2312" w:cs="Times New Roman"/>
          <w:b w:val="0"/>
          <w:bCs w:val="0"/>
          <w:sz w:val="32"/>
          <w:szCs w:val="32"/>
          <w:lang w:val="en-US" w:eastAsia="zh-CN"/>
        </w:rPr>
        <w:t>广经合党组〔2021〕10号）</w:t>
      </w:r>
      <w:r>
        <w:rPr>
          <w:rFonts w:hint="default" w:ascii="Times New Roman" w:hAnsi="Times New Roman" w:eastAsia="仿宋_GB2312" w:cs="Times New Roman"/>
          <w:b w:val="0"/>
          <w:bCs w:val="0"/>
          <w:sz w:val="32"/>
          <w:szCs w:val="32"/>
          <w:lang w:val="zh-CN"/>
        </w:rPr>
        <w:t>文件精神，市财政局根据驻外分局上年度工作绩效和工作需要预算工作经费，办公和生活用房房租足额拨付。经费由市财政局划拨到市经济合作和外事局统一管理。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 w:cs="Times New Roman"/>
          <w:b w:val="0"/>
          <w:bCs w:val="0"/>
          <w:sz w:val="32"/>
          <w:szCs w:val="32"/>
        </w:rPr>
      </w:pPr>
      <w:r>
        <w:rPr>
          <w:rFonts w:hint="default" w:ascii="Times New Roman" w:hAnsi="Times New Roman" w:eastAsia="仿宋_GB2312" w:cs="Times New Roman"/>
          <w:b w:val="0"/>
          <w:bCs w:val="0"/>
          <w:sz w:val="32"/>
          <w:szCs w:val="32"/>
          <w:lang w:val="zh-CN"/>
        </w:rPr>
        <w:t>3．资金管理办法制定情况，资金支持具体项目的条件、范围与支持方式概况。</w:t>
      </w:r>
      <w:r>
        <w:rPr>
          <w:rFonts w:hint="default" w:ascii="Times New Roman" w:hAnsi="Times New Roman" w:eastAsia="仿宋" w:cs="Times New Roman"/>
          <w:b w:val="0"/>
          <w:bCs w:val="0"/>
          <w:sz w:val="32"/>
          <w:szCs w:val="32"/>
        </w:rPr>
        <w:t>先后制定中共广元市投资促进局党组《关于进一步加强市投资促进局驻外分局管理的通知（试行）》（广投促党组</w:t>
      </w:r>
      <w:r>
        <w:rPr>
          <w:rFonts w:hint="default" w:ascii="Times New Roman" w:hAnsi="Times New Roman" w:eastAsia="仿宋_GB2312" w:cs="Times New Roman"/>
          <w:b w:val="0"/>
          <w:bCs w:val="0"/>
          <w:sz w:val="32"/>
          <w:szCs w:val="32"/>
          <w:lang w:val="en-US" w:eastAsia="zh-CN"/>
        </w:rPr>
        <w:t>〔20</w:t>
      </w:r>
      <w:r>
        <w:rPr>
          <w:rFonts w:hint="eastAsia"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 w:cs="Times New Roman"/>
          <w:b w:val="0"/>
          <w:bCs w:val="0"/>
          <w:sz w:val="32"/>
          <w:szCs w:val="32"/>
        </w:rPr>
        <w:t>5号），广元市投资促进局《关于加强市投资促进局驻外分局财务考勤管理的通知》（广投促</w:t>
      </w:r>
      <w:r>
        <w:rPr>
          <w:rFonts w:hint="default" w:ascii="Times New Roman" w:hAnsi="Times New Roman" w:eastAsia="仿宋_GB2312" w:cs="Times New Roman"/>
          <w:b w:val="0"/>
          <w:bCs w:val="0"/>
          <w:sz w:val="32"/>
          <w:szCs w:val="32"/>
          <w:lang w:val="en-US" w:eastAsia="zh-CN"/>
        </w:rPr>
        <w:t>〔20</w:t>
      </w:r>
      <w:r>
        <w:rPr>
          <w:rFonts w:hint="eastAsia" w:eastAsia="仿宋_GB2312" w:cs="Times New Roman"/>
          <w:b w:val="0"/>
          <w:bCs w:val="0"/>
          <w:sz w:val="32"/>
          <w:szCs w:val="32"/>
          <w:lang w:val="en-US" w:eastAsia="zh-CN"/>
        </w:rPr>
        <w:t>17</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 w:cs="Times New Roman"/>
          <w:b w:val="0"/>
          <w:bCs w:val="0"/>
          <w:sz w:val="32"/>
          <w:szCs w:val="32"/>
        </w:rPr>
        <w:t>28号）、《关于进一步落实驻外分局党风廉政建设责任强化财务管理的通知》（广投促</w:t>
      </w:r>
      <w:r>
        <w:rPr>
          <w:rFonts w:hint="default" w:ascii="Times New Roman" w:hAnsi="Times New Roman" w:eastAsia="仿宋_GB2312" w:cs="Times New Roman"/>
          <w:b w:val="0"/>
          <w:bCs w:val="0"/>
          <w:sz w:val="32"/>
          <w:szCs w:val="32"/>
          <w:lang w:val="en-US" w:eastAsia="zh-CN"/>
        </w:rPr>
        <w:t>〔20</w:t>
      </w:r>
      <w:r>
        <w:rPr>
          <w:rFonts w:hint="eastAsia" w:eastAsia="仿宋_GB2312" w:cs="Times New Roman"/>
          <w:b w:val="0"/>
          <w:bCs w:val="0"/>
          <w:sz w:val="32"/>
          <w:szCs w:val="32"/>
          <w:lang w:val="en-US" w:eastAsia="zh-CN"/>
        </w:rPr>
        <w:t>18</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 w:cs="Times New Roman"/>
          <w:b w:val="0"/>
          <w:bCs w:val="0"/>
          <w:sz w:val="32"/>
          <w:szCs w:val="32"/>
        </w:rPr>
        <w:t>6号）、《关于印发〈关于加强驻外分局精准管理廉洁招商的十二条措施（试行）〉的通知》（广投促</w:t>
      </w:r>
      <w:r>
        <w:rPr>
          <w:rFonts w:hint="default" w:ascii="Times New Roman" w:hAnsi="Times New Roman" w:eastAsia="仿宋_GB2312" w:cs="Times New Roman"/>
          <w:b w:val="0"/>
          <w:bCs w:val="0"/>
          <w:sz w:val="32"/>
          <w:szCs w:val="32"/>
          <w:lang w:val="en-US" w:eastAsia="zh-CN"/>
        </w:rPr>
        <w:t>〔20</w:t>
      </w:r>
      <w:r>
        <w:rPr>
          <w:rFonts w:hint="eastAsia" w:eastAsia="仿宋_GB2312" w:cs="Times New Roman"/>
          <w:b w:val="0"/>
          <w:bCs w:val="0"/>
          <w:sz w:val="32"/>
          <w:szCs w:val="32"/>
          <w:lang w:val="en-US" w:eastAsia="zh-CN"/>
        </w:rPr>
        <w:t>18</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 w:cs="Times New Roman"/>
          <w:b w:val="0"/>
          <w:bCs w:val="0"/>
          <w:sz w:val="32"/>
          <w:szCs w:val="32"/>
        </w:rPr>
        <w:t>35号）</w:t>
      </w:r>
      <w:r>
        <w:rPr>
          <w:rFonts w:hint="default" w:ascii="Times New Roman" w:hAnsi="Times New Roman" w:eastAsia="仿宋" w:cs="Times New Roman"/>
          <w:b w:val="0"/>
          <w:bCs w:val="0"/>
          <w:sz w:val="32"/>
          <w:szCs w:val="32"/>
          <w:lang w:eastAsia="zh-CN"/>
        </w:rPr>
        <w:t>，</w:t>
      </w:r>
      <w:r>
        <w:rPr>
          <w:rFonts w:hint="default" w:ascii="Times New Roman" w:hAnsi="Times New Roman" w:eastAsia="仿宋_GB2312" w:cs="Times New Roman"/>
          <w:b w:val="0"/>
          <w:bCs w:val="0"/>
          <w:sz w:val="32"/>
          <w:szCs w:val="32"/>
          <w:lang w:val="zh-CN"/>
        </w:rPr>
        <w:t>中共广元市经济合作局党组关于印发《广元市经济合作局驻外分局管理制度》（</w:t>
      </w:r>
      <w:r>
        <w:rPr>
          <w:rFonts w:hint="default" w:ascii="Times New Roman" w:hAnsi="Times New Roman" w:eastAsia="仿宋_GB2312" w:cs="Times New Roman"/>
          <w:b w:val="0"/>
          <w:bCs w:val="0"/>
          <w:sz w:val="32"/>
          <w:szCs w:val="32"/>
          <w:lang w:val="en-US" w:eastAsia="zh-CN"/>
        </w:rPr>
        <w:t>广经合党组〔2021〕10号）等一系列管理办法，并</w:t>
      </w:r>
      <w:r>
        <w:rPr>
          <w:rFonts w:hint="default" w:ascii="Times New Roman" w:hAnsi="Times New Roman" w:eastAsia="仿宋_GB2312" w:cs="Times New Roman"/>
          <w:b w:val="0"/>
          <w:bCs w:val="0"/>
          <w:sz w:val="32"/>
          <w:szCs w:val="32"/>
          <w:lang w:val="zh-CN"/>
        </w:rPr>
        <w:t>严格执行财务管理制度，按照“专款专用，注重实效”的原则进行管理。严格执行</w:t>
      </w:r>
      <w:r>
        <w:rPr>
          <w:rFonts w:hint="default" w:ascii="Times New Roman" w:hAnsi="Times New Roman" w:eastAsia="仿宋_GB2312" w:cs="Times New Roman"/>
          <w:b w:val="0"/>
          <w:bCs w:val="0"/>
          <w:sz w:val="32"/>
          <w:szCs w:val="32"/>
          <w:lang w:val="en-US" w:eastAsia="zh-CN"/>
        </w:rPr>
        <w:t>财务</w:t>
      </w:r>
      <w:r>
        <w:rPr>
          <w:rFonts w:hint="default" w:ascii="Times New Roman" w:hAnsi="Times New Roman" w:eastAsia="仿宋_GB2312" w:cs="Times New Roman"/>
          <w:b w:val="0"/>
          <w:bCs w:val="0"/>
          <w:sz w:val="32"/>
          <w:szCs w:val="32"/>
          <w:lang w:val="zh-CN"/>
        </w:rPr>
        <w:t>管理及资金支付制度，从制度上为规范资金管理提供保障，促进了资金使用管理的规范性、安全性和有效性。</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4．资金分配的原则及考虑因素。各驻外分局工作经费及房租项目资金分配主要是根据时间进度、人员数量、工作业绩等方面进行拨付。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（二）项目绩效目标</w:t>
      </w:r>
    </w:p>
    <w:p>
      <w:pPr>
        <w:keepNext w:val="0"/>
        <w:keepLines w:val="0"/>
        <w:pageBreakBefore w:val="0"/>
        <w:widowControl w:val="0"/>
        <w:kinsoku/>
        <w:wordWrap/>
        <w:overflowPunct/>
        <w:topLinePunct w:val="0"/>
        <w:autoSpaceDE/>
        <w:autoSpaceDN/>
        <w:bidi w:val="0"/>
        <w:spacing w:after="0" w:line="576"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zh-CN" w:eastAsia="zh-CN" w:bidi="ar-SA"/>
        </w:rPr>
        <w:t>1．项目主要内容。</w:t>
      </w:r>
      <w:r>
        <w:rPr>
          <w:rFonts w:hint="default" w:ascii="Times New Roman" w:hAnsi="Times New Roman" w:eastAsia="仿宋" w:cs="Times New Roman"/>
          <w:b w:val="0"/>
          <w:bCs w:val="0"/>
          <w:kern w:val="2"/>
          <w:sz w:val="32"/>
          <w:szCs w:val="32"/>
          <w:lang w:val="en-US" w:eastAsia="zh-CN" w:bidi="ar-SA"/>
        </w:rPr>
        <w:t>主要用于市经济合作局北京、成都、浙江、江苏、广东、山东、福建、直属（重庆）8个驻外分局年度开展投资促进各项工作的保障，深入实施“大开放大合作”战略，聚力项目投资、产业发展、乡村振兴经济建设“三大主战场”，积极推动一批重大产业项目签约落地、开工建设、投产见效。通过市经济合作局8个驻外分局积极有效工作，为全市决战决胜整体连片贫困到同步全面小康跨越、加快建设川陕甘结合部区域中心城市和四川北向东出桥头堡提供扎实的项目支撑、产业支撑、发展支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2．项目应实现的具体绩效目标，包括目标的量化、细化情况以及项目实施进度计划等。</w:t>
      </w:r>
      <w:r>
        <w:rPr>
          <w:rFonts w:hint="default" w:ascii="Times New Roman" w:hAnsi="Times New Roman" w:eastAsia="仿宋_GB2312" w:cs="Times New Roman"/>
          <w:b w:val="0"/>
          <w:bCs w:val="0"/>
          <w:color w:val="auto"/>
          <w:kern w:val="0"/>
          <w:sz w:val="32"/>
          <w:szCs w:val="32"/>
          <w:lang w:val="en-US" w:eastAsia="zh-CN" w:bidi="ar-SA"/>
        </w:rPr>
        <w:t>8个驻外分局共签约产业项目53个，提供有效信息170条，有效对接企业300家，有效对接跟踪项目150个，到位市外资金65亿元。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3．</w:t>
      </w:r>
      <w:r>
        <w:rPr>
          <w:rFonts w:hint="default" w:ascii="Times New Roman" w:hAnsi="Times New Roman" w:eastAsia="仿宋_GB2312" w:cs="Times New Roman"/>
          <w:b w:val="0"/>
          <w:bCs w:val="0"/>
          <w:color w:val="auto"/>
          <w:kern w:val="0"/>
          <w:sz w:val="32"/>
          <w:szCs w:val="32"/>
          <w:lang w:val="en-US" w:eastAsia="zh-CN" w:bidi="ar-SA"/>
        </w:rPr>
        <w:t>该项目</w:t>
      </w:r>
      <w:r>
        <w:rPr>
          <w:rFonts w:hint="default" w:ascii="Times New Roman" w:hAnsi="Times New Roman" w:eastAsia="仿宋_GB2312" w:cs="Times New Roman"/>
          <w:b w:val="0"/>
          <w:bCs w:val="0"/>
          <w:color w:val="000000"/>
          <w:kern w:val="0"/>
          <w:sz w:val="32"/>
          <w:szCs w:val="32"/>
          <w:lang w:val="en-US" w:eastAsia="zh-CN" w:bidi="ar-SA"/>
        </w:rPr>
        <w:t>专项预算申报内容与实际相符，申报目标合理可行。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1</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强化组织领导。为做好部门财政支出绩效评价自查工作，成立了由局主要领导为组长，党组成员、财务分管领导为副组长，区域合作科负责人、财务人员为成员的各驻外分局工作经费及房租项目支出绩效评价工作领导小组。由财务分管领导牵头负责部门财政支出绩效评价自查各项工作。</w:t>
      </w:r>
    </w:p>
    <w:p>
      <w:pPr>
        <w:keepNext w:val="0"/>
        <w:keepLines w:val="0"/>
        <w:pageBreakBefore w:val="0"/>
        <w:widowControl w:val="0"/>
        <w:kinsoku/>
        <w:wordWrap/>
        <w:overflowPunct/>
        <w:topLinePunct w:val="0"/>
        <w:autoSpaceDE/>
        <w:autoSpaceDN/>
        <w:bidi w:val="0"/>
        <w:spacing w:after="0" w:line="576"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2</w:t>
      </w:r>
      <w:r>
        <w:rPr>
          <w:rFonts w:hint="eastAsia" w:ascii="Times New Roman" w:hAnsi="Times New Roman" w:eastAsia="仿宋" w:cs="Times New Roman"/>
          <w:b w:val="0"/>
          <w:bCs w:val="0"/>
          <w:kern w:val="2"/>
          <w:sz w:val="32"/>
          <w:szCs w:val="32"/>
          <w:lang w:val="en-US" w:eastAsia="zh-CN" w:bidi="ar-SA"/>
        </w:rPr>
        <w:t>．</w:t>
      </w:r>
      <w:r>
        <w:rPr>
          <w:rFonts w:hint="default" w:ascii="Times New Roman" w:hAnsi="Times New Roman" w:eastAsia="仿宋" w:cs="Times New Roman"/>
          <w:b w:val="0"/>
          <w:bCs w:val="0"/>
          <w:kern w:val="2"/>
          <w:sz w:val="32"/>
          <w:szCs w:val="32"/>
          <w:lang w:val="en-US" w:eastAsia="zh-CN" w:bidi="ar-SA"/>
        </w:rPr>
        <w:t>实施步骤分为两个阶段：一是前期准备阶段。组织认真学习《关于开展2022年部门、政策、政策和项目支出绩效自评工作的通知》（广财绩</w:t>
      </w:r>
      <w:r>
        <w:rPr>
          <w:rFonts w:hint="default" w:ascii="Times New Roman" w:hAnsi="Times New Roman" w:eastAsia="仿宋_GB2312" w:cs="Times New Roman"/>
          <w:b w:val="0"/>
          <w:bCs w:val="0"/>
          <w:kern w:val="2"/>
          <w:sz w:val="32"/>
          <w:szCs w:val="32"/>
          <w:lang w:val="en-US" w:eastAsia="zh-CN" w:bidi="ar-SA"/>
        </w:rPr>
        <w:t>[2022]8号</w:t>
      </w:r>
      <w:r>
        <w:rPr>
          <w:rFonts w:hint="default" w:ascii="Times New Roman" w:hAnsi="Times New Roman" w:eastAsia="仿宋" w:cs="Times New Roman"/>
          <w:b w:val="0"/>
          <w:bCs w:val="0"/>
          <w:kern w:val="2"/>
          <w:sz w:val="32"/>
          <w:szCs w:val="32"/>
          <w:lang w:val="en-US" w:eastAsia="zh-CN" w:bidi="ar-SA"/>
        </w:rPr>
        <w:t>）文件精神和要求，提高对开展部门支出绩效评价工作的认识，统一思想，确保自查工作的顺利开展。二是自查工作阶段。对市经合局2021年驻外分局工作经费收入、支出、预算编制、财务管理、项目资金使用投入产出等情况进行认真的自查。根据“坚持定量优先、简便有效原则”，我局对2021年度部门支出绩效评价主要采用了成本效益分析法、比较法：一是成本效益分析法。评价2021年度部门财政支出与招商引资工作取得的成效进行对比分析以评价绩效目标实现程度。二是比较法。通过对绩效目标与实施效果、历史与当期情况同类支出的比较，综合分析绩效目标实现程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简体" w:hAnsi="方正黑体简体" w:eastAsia="方正黑体简体" w:cs="方正黑体简体"/>
          <w:b w:val="0"/>
          <w:bCs w:val="0"/>
          <w:sz w:val="32"/>
          <w:szCs w:val="32"/>
          <w:lang w:val="zh-CN"/>
        </w:rPr>
      </w:pPr>
      <w:r>
        <w:rPr>
          <w:rFonts w:hint="eastAsia" w:ascii="方正黑体简体" w:hAnsi="方正黑体简体" w:eastAsia="方正黑体简体" w:cs="方正黑体简体"/>
          <w:b w:val="0"/>
          <w:bCs w:val="0"/>
          <w:sz w:val="32"/>
          <w:szCs w:val="32"/>
          <w:lang w:val="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color w:val="auto"/>
          <w:kern w:val="0"/>
          <w:sz w:val="32"/>
          <w:szCs w:val="32"/>
          <w:lang w:val="zh-CN" w:eastAsia="zh-CN" w:bidi="ar-SA"/>
        </w:rPr>
        <w:t>根据</w:t>
      </w:r>
      <w:r>
        <w:rPr>
          <w:rFonts w:hint="default" w:ascii="Times New Roman" w:hAnsi="Times New Roman" w:eastAsia="仿宋_GB2312" w:cs="Times New Roman"/>
          <w:b w:val="0"/>
          <w:bCs w:val="0"/>
          <w:color w:val="auto"/>
          <w:kern w:val="0"/>
          <w:sz w:val="32"/>
          <w:szCs w:val="32"/>
          <w:lang w:val="en-US" w:eastAsia="zh-CN" w:bidi="ar-SA"/>
        </w:rPr>
        <w:t>广元市财政局《关于批复2021年市级部门预算的通知》（广财预</w:t>
      </w:r>
      <w:r>
        <w:rPr>
          <w:rFonts w:hint="default" w:ascii="Times New Roman" w:hAnsi="Times New Roman" w:eastAsia="仿宋_GB2312" w:cs="Times New Roman"/>
          <w:b w:val="0"/>
          <w:bCs w:val="0"/>
          <w:color w:val="auto"/>
          <w:kern w:val="0"/>
          <w:sz w:val="32"/>
          <w:szCs w:val="32"/>
          <w:lang w:val="zh-CN" w:eastAsia="zh-CN" w:bidi="ar-SA"/>
        </w:rPr>
        <w:t>〔202</w:t>
      </w:r>
      <w:r>
        <w:rPr>
          <w:rFonts w:hint="default" w:ascii="Times New Roman" w:hAnsi="Times New Roman" w:eastAsia="仿宋_GB2312" w:cs="Times New Roman"/>
          <w:b w:val="0"/>
          <w:bCs w:val="0"/>
          <w:color w:val="auto"/>
          <w:kern w:val="0"/>
          <w:sz w:val="32"/>
          <w:szCs w:val="32"/>
          <w:lang w:val="en-US" w:eastAsia="zh-CN" w:bidi="ar-SA"/>
        </w:rPr>
        <w:t>1</w:t>
      </w:r>
      <w:r>
        <w:rPr>
          <w:rFonts w:hint="default" w:ascii="Times New Roman" w:hAnsi="Times New Roman" w:eastAsia="仿宋_GB2312" w:cs="Times New Roman"/>
          <w:b w:val="0"/>
          <w:bCs w:val="0"/>
          <w:color w:val="auto"/>
          <w:kern w:val="0"/>
          <w:sz w:val="32"/>
          <w:szCs w:val="32"/>
          <w:lang w:val="zh-CN" w:eastAsia="zh-CN" w:bidi="ar-SA"/>
        </w:rPr>
        <w:t>〕</w:t>
      </w:r>
      <w:r>
        <w:rPr>
          <w:rFonts w:hint="default" w:ascii="Times New Roman" w:hAnsi="Times New Roman" w:eastAsia="仿宋_GB2312" w:cs="Times New Roman"/>
          <w:b w:val="0"/>
          <w:bCs w:val="0"/>
          <w:color w:val="auto"/>
          <w:kern w:val="0"/>
          <w:sz w:val="32"/>
          <w:szCs w:val="32"/>
          <w:lang w:val="en-US" w:eastAsia="zh-CN" w:bidi="ar-SA"/>
        </w:rPr>
        <w:t>1）文件，下达我单位驻外分局工作经费及房租287.27万元，根据广元市财政局《关于下达财政专项补助资金的通知》（广财行</w:t>
      </w:r>
      <w:r>
        <w:rPr>
          <w:rFonts w:hint="default" w:ascii="Times New Roman" w:hAnsi="Times New Roman" w:eastAsia="仿宋_GB2312" w:cs="Times New Roman"/>
          <w:b w:val="0"/>
          <w:bCs w:val="0"/>
          <w:color w:val="auto"/>
          <w:kern w:val="0"/>
          <w:sz w:val="32"/>
          <w:szCs w:val="32"/>
          <w:lang w:val="zh-CN" w:eastAsia="zh-CN" w:bidi="ar-SA"/>
        </w:rPr>
        <w:t>〔202</w:t>
      </w:r>
      <w:r>
        <w:rPr>
          <w:rFonts w:hint="default" w:ascii="Times New Roman" w:hAnsi="Times New Roman" w:eastAsia="仿宋_GB2312" w:cs="Times New Roman"/>
          <w:b w:val="0"/>
          <w:bCs w:val="0"/>
          <w:color w:val="auto"/>
          <w:kern w:val="0"/>
          <w:sz w:val="32"/>
          <w:szCs w:val="32"/>
          <w:lang w:val="en-US" w:eastAsia="zh-CN" w:bidi="ar-SA"/>
        </w:rPr>
        <w:t>1</w:t>
      </w:r>
      <w:r>
        <w:rPr>
          <w:rFonts w:hint="default" w:ascii="Times New Roman" w:hAnsi="Times New Roman" w:eastAsia="仿宋_GB2312" w:cs="Times New Roman"/>
          <w:b w:val="0"/>
          <w:bCs w:val="0"/>
          <w:color w:val="auto"/>
          <w:kern w:val="0"/>
          <w:sz w:val="32"/>
          <w:szCs w:val="32"/>
          <w:lang w:val="zh-CN" w:eastAsia="zh-CN" w:bidi="ar-SA"/>
        </w:rPr>
        <w:t>〕</w:t>
      </w:r>
      <w:r>
        <w:rPr>
          <w:rFonts w:hint="default" w:ascii="Times New Roman" w:hAnsi="Times New Roman" w:eastAsia="仿宋_GB2312" w:cs="Times New Roman"/>
          <w:b w:val="0"/>
          <w:bCs w:val="0"/>
          <w:color w:val="auto"/>
          <w:kern w:val="0"/>
          <w:sz w:val="32"/>
          <w:szCs w:val="32"/>
          <w:lang w:val="en-US" w:eastAsia="zh-CN" w:bidi="ar-SA"/>
        </w:rPr>
        <w:t xml:space="preserve">77）文件，下达我单位驻外分局工作经费及房租100万元，合计387.27万元，实际到位387.27万元，资金到位率100%。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zh-CN"/>
        </w:rPr>
        <w:t>1．资金计划。年初申报预算各驻外分局工作经费及房租项目经费</w:t>
      </w:r>
      <w:r>
        <w:rPr>
          <w:rFonts w:hint="default" w:ascii="Times New Roman" w:hAnsi="Times New Roman" w:eastAsia="仿宋_GB2312" w:cs="Times New Roman"/>
          <w:b w:val="0"/>
          <w:bCs w:val="0"/>
          <w:sz w:val="32"/>
          <w:szCs w:val="32"/>
          <w:lang w:val="en-US" w:eastAsia="zh-CN"/>
        </w:rPr>
        <w:t>287.27万元，年中申报追加100万元。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zh-CN"/>
        </w:rPr>
        <w:t>2．资金到位。全年资金到位</w:t>
      </w:r>
      <w:r>
        <w:rPr>
          <w:rFonts w:hint="default" w:ascii="Times New Roman" w:hAnsi="Times New Roman" w:eastAsia="仿宋_GB2312" w:cs="Times New Roman"/>
          <w:b w:val="0"/>
          <w:bCs w:val="0"/>
          <w:sz w:val="32"/>
          <w:szCs w:val="32"/>
          <w:lang w:val="en-US" w:eastAsia="zh-CN"/>
        </w:rPr>
        <w:t>387.27万元。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zh-CN"/>
        </w:rPr>
        <w:t>3</w:t>
      </w:r>
      <w:r>
        <w:rPr>
          <w:rFonts w:hint="eastAsia" w:ascii="Times New Roman" w:hAnsi="Times New Roman" w:eastAsia="仿宋_GB2312" w:cs="Times New Roman"/>
          <w:b w:val="0"/>
          <w:bCs w:val="0"/>
          <w:sz w:val="32"/>
          <w:szCs w:val="32"/>
          <w:lang w:val="zh-CN"/>
        </w:rPr>
        <w:t>．</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zh-CN"/>
        </w:rPr>
        <w:t>资金使用。</w:t>
      </w:r>
      <w:r>
        <w:rPr>
          <w:rFonts w:hint="default" w:ascii="Times New Roman" w:hAnsi="Times New Roman" w:eastAsia="仿宋_GB2312" w:cs="Times New Roman"/>
          <w:b w:val="0"/>
          <w:bCs w:val="0"/>
          <w:sz w:val="32"/>
          <w:szCs w:val="32"/>
          <w:lang w:val="en-US" w:eastAsia="zh-CN"/>
        </w:rPr>
        <w:t>2021年全年到位资金387.27万元，拨付387.27万元，预算执行率100%，全部用于驻外分局工作经费及房租费用支出。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en-US" w:eastAsia="zh-CN"/>
        </w:rPr>
        <w:t>我单位严格</w:t>
      </w:r>
      <w:r>
        <w:rPr>
          <w:rFonts w:hint="default" w:ascii="Times New Roman" w:hAnsi="Times New Roman" w:eastAsia="仿宋_GB2312" w:cs="Times New Roman"/>
          <w:b w:val="0"/>
          <w:bCs w:val="0"/>
          <w:sz w:val="32"/>
          <w:szCs w:val="32"/>
          <w:lang w:val="zh-CN"/>
        </w:rPr>
        <w:t>按照中共广元市经济合作局党组关于印发《广元市经济合作局驻外分局管理制度》（</w:t>
      </w:r>
      <w:r>
        <w:rPr>
          <w:rFonts w:hint="default" w:ascii="Times New Roman" w:hAnsi="Times New Roman" w:eastAsia="仿宋_GB2312" w:cs="Times New Roman"/>
          <w:b w:val="0"/>
          <w:bCs w:val="0"/>
          <w:sz w:val="32"/>
          <w:szCs w:val="32"/>
          <w:lang w:val="en-US" w:eastAsia="zh-CN"/>
        </w:rPr>
        <w:t>广经合党组</w:t>
      </w:r>
      <w:r>
        <w:rPr>
          <w:rFonts w:hint="default" w:ascii="Times New Roman" w:hAnsi="Times New Roman" w:eastAsia="仿宋_GB2312" w:cs="Times New Roman"/>
          <w:b w:val="0"/>
          <w:bCs w:val="0"/>
          <w:color w:val="auto"/>
          <w:kern w:val="0"/>
          <w:sz w:val="32"/>
          <w:szCs w:val="32"/>
          <w:lang w:val="zh-CN" w:eastAsia="zh-CN" w:bidi="ar-SA"/>
        </w:rPr>
        <w:t>〔202</w:t>
      </w:r>
      <w:r>
        <w:rPr>
          <w:rFonts w:hint="default" w:ascii="Times New Roman" w:hAnsi="Times New Roman" w:eastAsia="仿宋_GB2312" w:cs="Times New Roman"/>
          <w:b w:val="0"/>
          <w:bCs w:val="0"/>
          <w:color w:val="auto"/>
          <w:kern w:val="0"/>
          <w:sz w:val="32"/>
          <w:szCs w:val="32"/>
          <w:lang w:val="en-US" w:eastAsia="zh-CN" w:bidi="ar-SA"/>
        </w:rPr>
        <w:t>1</w:t>
      </w:r>
      <w:r>
        <w:rPr>
          <w:rFonts w:hint="default" w:ascii="Times New Roman" w:hAnsi="Times New Roman" w:eastAsia="仿宋_GB2312" w:cs="Times New Roman"/>
          <w:b w:val="0"/>
          <w:bCs w:val="0"/>
          <w:color w:val="auto"/>
          <w:kern w:val="0"/>
          <w:sz w:val="32"/>
          <w:szCs w:val="32"/>
          <w:lang w:val="zh-CN" w:eastAsia="zh-CN" w:bidi="ar-SA"/>
        </w:rPr>
        <w:t>〕</w:t>
      </w:r>
      <w:r>
        <w:rPr>
          <w:rFonts w:hint="default" w:ascii="Times New Roman" w:hAnsi="Times New Roman" w:eastAsia="仿宋_GB2312" w:cs="Times New Roman"/>
          <w:b w:val="0"/>
          <w:bCs w:val="0"/>
          <w:sz w:val="32"/>
          <w:szCs w:val="32"/>
          <w:lang w:val="en-US" w:eastAsia="zh-CN"/>
        </w:rPr>
        <w:t>10号）</w:t>
      </w:r>
      <w:r>
        <w:rPr>
          <w:rFonts w:hint="default" w:ascii="Times New Roman" w:hAnsi="Times New Roman" w:eastAsia="仿宋_GB2312" w:cs="Times New Roman"/>
          <w:b w:val="0"/>
          <w:bCs w:val="0"/>
          <w:sz w:val="32"/>
          <w:szCs w:val="32"/>
          <w:lang w:val="zh-CN"/>
        </w:rPr>
        <w:t>文件精神，严格执行财务管理制度，按照“专款专用，注重实效”的原则进行管理。严格执行</w:t>
      </w:r>
      <w:r>
        <w:rPr>
          <w:rFonts w:hint="default" w:ascii="Times New Roman" w:hAnsi="Times New Roman" w:eastAsia="仿宋_GB2312" w:cs="Times New Roman"/>
          <w:b w:val="0"/>
          <w:bCs w:val="0"/>
          <w:sz w:val="32"/>
          <w:szCs w:val="32"/>
          <w:lang w:val="en-US" w:eastAsia="zh-CN"/>
        </w:rPr>
        <w:t>财务</w:t>
      </w:r>
      <w:r>
        <w:rPr>
          <w:rFonts w:hint="default" w:ascii="Times New Roman" w:hAnsi="Times New Roman" w:eastAsia="仿宋_GB2312" w:cs="Times New Roman"/>
          <w:b w:val="0"/>
          <w:bCs w:val="0"/>
          <w:sz w:val="32"/>
          <w:szCs w:val="32"/>
          <w:lang w:val="zh-CN"/>
        </w:rPr>
        <w:t>管理及资金支付制度，从制度上为规范资金管理提供保障，促进了资金使用管理的规范性、安全性和有效性。</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简体" w:hAnsi="方正黑体简体" w:eastAsia="方正黑体简体" w:cs="方正黑体简体"/>
          <w:b w:val="0"/>
          <w:bCs w:val="0"/>
          <w:sz w:val="32"/>
          <w:szCs w:val="32"/>
          <w:lang w:val="zh-CN"/>
        </w:rPr>
      </w:pPr>
      <w:r>
        <w:rPr>
          <w:rFonts w:hint="default" w:ascii="方正黑体简体" w:hAnsi="方正黑体简体" w:eastAsia="方正黑体简体" w:cs="方正黑体简体"/>
          <w:b w:val="0"/>
          <w:bCs w:val="0"/>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楷体_GB2312" w:cs="Times New Roman"/>
          <w:b w:val="0"/>
          <w:bCs w:val="0"/>
          <w:sz w:val="32"/>
          <w:szCs w:val="32"/>
          <w:lang w:val="zh-CN"/>
        </w:rPr>
      </w:pPr>
      <w:r>
        <w:rPr>
          <w:rFonts w:hint="default" w:ascii="方正楷体简体" w:hAnsi="方正楷体简体" w:eastAsia="方正楷体简体" w:cs="方正楷体简体"/>
          <w:b w:val="0"/>
          <w:bCs w:val="0"/>
          <w:sz w:val="32"/>
          <w:szCs w:val="32"/>
          <w:lang w:val="zh-CN"/>
        </w:rPr>
        <w:t>（一）项目组织架构及实施流程。</w:t>
      </w:r>
      <w:r>
        <w:rPr>
          <w:rFonts w:hint="default" w:ascii="Times New Roman" w:hAnsi="Times New Roman" w:eastAsia="仿宋" w:cs="Times New Roman"/>
          <w:b w:val="0"/>
          <w:bCs w:val="0"/>
          <w:kern w:val="2"/>
          <w:sz w:val="32"/>
          <w:szCs w:val="32"/>
          <w:lang w:eastAsia="zh-CN" w:bidi="ar-SA"/>
        </w:rPr>
        <w:t>严格按照单位相关财务内控制度、财务报销流程进行管理，严格按照</w:t>
      </w:r>
      <w:r>
        <w:rPr>
          <w:rFonts w:hint="default" w:ascii="Times New Roman" w:hAnsi="Times New Roman" w:eastAsia="仿宋_GB2312" w:cs="Times New Roman"/>
          <w:b w:val="0"/>
          <w:bCs w:val="0"/>
          <w:color w:val="000000"/>
          <w:sz w:val="32"/>
          <w:szCs w:val="32"/>
        </w:rPr>
        <w:t>驻外分局管理制度</w:t>
      </w:r>
      <w:r>
        <w:rPr>
          <w:rFonts w:hint="default" w:ascii="Times New Roman" w:hAnsi="Times New Roman" w:eastAsia="仿宋" w:cs="Times New Roman"/>
          <w:b w:val="0"/>
          <w:bCs w:val="0"/>
          <w:kern w:val="2"/>
          <w:sz w:val="32"/>
          <w:szCs w:val="32"/>
          <w:lang w:eastAsia="zh-CN" w:bidi="ar-SA"/>
        </w:rPr>
        <w:t>保证项目按照工作需要实施。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楷体_GB2312" w:cs="Times New Roman"/>
          <w:b w:val="0"/>
          <w:bCs w:val="0"/>
          <w:sz w:val="32"/>
          <w:szCs w:val="32"/>
          <w:lang w:val="zh-CN"/>
        </w:rPr>
      </w:pPr>
      <w:r>
        <w:rPr>
          <w:rFonts w:hint="default" w:ascii="方正楷体简体" w:hAnsi="方正楷体简体" w:eastAsia="方正楷体简体" w:cs="方正楷体简体"/>
          <w:b w:val="0"/>
          <w:bCs w:val="0"/>
          <w:sz w:val="32"/>
          <w:szCs w:val="32"/>
          <w:lang w:val="zh-CN"/>
        </w:rPr>
        <w:t>（二）项目管理情况。</w:t>
      </w:r>
      <w:r>
        <w:rPr>
          <w:rFonts w:hint="default" w:ascii="Times New Roman" w:hAnsi="Times New Roman" w:eastAsia="仿宋_GB2312" w:cs="Times New Roman"/>
          <w:b w:val="0"/>
          <w:bCs w:val="0"/>
          <w:sz w:val="32"/>
          <w:szCs w:val="32"/>
          <w:lang w:val="zh-CN" w:eastAsia="zh-CN"/>
        </w:rPr>
        <w:t>制定了</w:t>
      </w:r>
      <w:r>
        <w:rPr>
          <w:rFonts w:hint="default" w:ascii="Times New Roman" w:hAnsi="Times New Roman" w:eastAsia="仿宋_GB2312" w:cs="Times New Roman"/>
          <w:b w:val="0"/>
          <w:bCs w:val="0"/>
          <w:sz w:val="32"/>
          <w:szCs w:val="32"/>
          <w:lang w:val="zh-CN"/>
        </w:rPr>
        <w:t>中共广元市经济合作局党组关于印发《广元市经济合作局驻外分局管理制度》（</w:t>
      </w:r>
      <w:r>
        <w:rPr>
          <w:rFonts w:hint="default" w:ascii="Times New Roman" w:hAnsi="Times New Roman" w:eastAsia="仿宋_GB2312" w:cs="Times New Roman"/>
          <w:b w:val="0"/>
          <w:bCs w:val="0"/>
          <w:sz w:val="32"/>
          <w:szCs w:val="32"/>
          <w:lang w:val="en-US" w:eastAsia="zh-CN"/>
        </w:rPr>
        <w:t>广经合党组</w:t>
      </w:r>
      <w:r>
        <w:rPr>
          <w:rFonts w:hint="default" w:ascii="Times New Roman" w:hAnsi="Times New Roman" w:eastAsia="仿宋_GB2312" w:cs="Times New Roman"/>
          <w:b w:val="0"/>
          <w:bCs w:val="0"/>
          <w:color w:val="auto"/>
          <w:kern w:val="0"/>
          <w:sz w:val="32"/>
          <w:szCs w:val="32"/>
          <w:lang w:val="zh-CN" w:eastAsia="zh-CN" w:bidi="ar-SA"/>
        </w:rPr>
        <w:t>〔202</w:t>
      </w:r>
      <w:r>
        <w:rPr>
          <w:rFonts w:hint="default" w:ascii="Times New Roman" w:hAnsi="Times New Roman" w:eastAsia="仿宋_GB2312" w:cs="Times New Roman"/>
          <w:b w:val="0"/>
          <w:bCs w:val="0"/>
          <w:color w:val="auto"/>
          <w:kern w:val="0"/>
          <w:sz w:val="32"/>
          <w:szCs w:val="32"/>
          <w:lang w:val="en-US" w:eastAsia="zh-CN" w:bidi="ar-SA"/>
        </w:rPr>
        <w:t>1</w:t>
      </w:r>
      <w:r>
        <w:rPr>
          <w:rFonts w:hint="default" w:ascii="Times New Roman" w:hAnsi="Times New Roman" w:eastAsia="仿宋_GB2312" w:cs="Times New Roman"/>
          <w:b w:val="0"/>
          <w:bCs w:val="0"/>
          <w:color w:val="auto"/>
          <w:kern w:val="0"/>
          <w:sz w:val="32"/>
          <w:szCs w:val="32"/>
          <w:lang w:val="zh-CN" w:eastAsia="zh-CN" w:bidi="ar-SA"/>
        </w:rPr>
        <w:t>〕</w:t>
      </w:r>
      <w:r>
        <w:rPr>
          <w:rFonts w:hint="default" w:ascii="Times New Roman" w:hAnsi="Times New Roman" w:eastAsia="仿宋_GB2312" w:cs="Times New Roman"/>
          <w:b w:val="0"/>
          <w:bCs w:val="0"/>
          <w:sz w:val="32"/>
          <w:szCs w:val="32"/>
          <w:lang w:val="en-US" w:eastAsia="zh-CN"/>
        </w:rPr>
        <w:t>10号）</w:t>
      </w:r>
      <w:r>
        <w:rPr>
          <w:rFonts w:hint="default" w:ascii="Times New Roman" w:hAnsi="Times New Roman" w:eastAsia="仿宋_GB2312" w:cs="Times New Roman"/>
          <w:b w:val="0"/>
          <w:bCs w:val="0"/>
          <w:sz w:val="32"/>
          <w:szCs w:val="32"/>
          <w:lang w:val="zh-CN"/>
        </w:rPr>
        <w:t>，强化对驻外分局工作经费及房租费用的管理。各驻外分局工作经费及房租项目主要用于各驻外分局办公和生活用房房租、招商引资活动、重大投促活动中的商务接待、差旅、交通费用等。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方正楷体简体" w:hAnsi="方正楷体简体" w:eastAsia="方正楷体简体" w:cs="方正楷体简体"/>
          <w:b w:val="0"/>
          <w:bCs w:val="0"/>
          <w:sz w:val="32"/>
          <w:szCs w:val="32"/>
          <w:lang w:val="zh-CN"/>
        </w:rPr>
        <w:t>（三）项目监管情况。</w:t>
      </w:r>
      <w:r>
        <w:rPr>
          <w:rFonts w:hint="default" w:ascii="Times New Roman" w:hAnsi="Times New Roman" w:eastAsia="仿宋_GB2312" w:cs="Times New Roman"/>
          <w:b w:val="0"/>
          <w:bCs w:val="0"/>
          <w:sz w:val="32"/>
          <w:szCs w:val="32"/>
          <w:lang w:val="en-US" w:eastAsia="zh-CN"/>
        </w:rPr>
        <w:t>我单位除严格遵守财经纪律以及相关管理制度以外，还配合市纪委监委派驻市政府办纪检组不定期抽查监督，确保项目使用合理、合规</w:t>
      </w:r>
      <w:r>
        <w:rPr>
          <w:rFonts w:hint="default" w:ascii="Times New Roman" w:hAnsi="Times New Roman" w:eastAsia="仿宋_GB2312" w:cs="Times New Roman"/>
          <w:b w:val="0"/>
          <w:bCs w:val="0"/>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黑体" w:cs="Times New Roman"/>
          <w:b w:val="0"/>
          <w:bCs w:val="0"/>
          <w:sz w:val="32"/>
          <w:szCs w:val="32"/>
        </w:rPr>
        <w:t>四、项目绩效情况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方正楷体简体" w:hAnsi="方正楷体简体" w:eastAsia="方正楷体简体" w:cs="方正楷体简体"/>
          <w:b w:val="0"/>
          <w:bCs w:val="0"/>
          <w:sz w:val="32"/>
          <w:szCs w:val="32"/>
          <w:lang w:val="zh-CN"/>
        </w:rPr>
        <w:t>（一）项目完成情况。</w:t>
      </w:r>
      <w:r>
        <w:rPr>
          <w:rFonts w:hint="default" w:ascii="Times New Roman" w:hAnsi="Times New Roman" w:eastAsia="仿宋_GB2312" w:cs="Times New Roman"/>
          <w:b w:val="0"/>
          <w:bCs w:val="0"/>
          <w:color w:val="000000"/>
          <w:kern w:val="0"/>
          <w:sz w:val="32"/>
          <w:szCs w:val="32"/>
          <w:lang w:val="en-US" w:eastAsia="zh-CN" w:bidi="ar-SA"/>
        </w:rPr>
        <w:t>完成了年初预算申报目标绩效任务，并同时保障了驻外分局职工权益，圆满完成了全年招商引资任务，促进了广元经济发展。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楷体_GB2312" w:cs="Times New Roman"/>
          <w:b w:val="0"/>
          <w:bCs w:val="0"/>
          <w:sz w:val="32"/>
          <w:szCs w:val="32"/>
          <w:lang w:val="zh-CN"/>
        </w:rPr>
      </w:pPr>
      <w:r>
        <w:rPr>
          <w:rFonts w:hint="default" w:ascii="方正楷体简体" w:hAnsi="方正楷体简体" w:eastAsia="方正楷体简体" w:cs="方正楷体简体"/>
          <w:b w:val="0"/>
          <w:bCs w:val="0"/>
          <w:sz w:val="32"/>
          <w:szCs w:val="32"/>
          <w:lang w:val="zh-CN"/>
        </w:rPr>
        <w:t>（二）项目效益情况。</w:t>
      </w:r>
      <w:r>
        <w:rPr>
          <w:rFonts w:hint="default" w:ascii="Times New Roman" w:hAnsi="Times New Roman" w:eastAsia="仿宋_GB2312" w:cs="Times New Roman"/>
          <w:b w:val="0"/>
          <w:bCs w:val="0"/>
          <w:color w:val="auto"/>
          <w:kern w:val="0"/>
          <w:sz w:val="32"/>
          <w:szCs w:val="32"/>
          <w:lang w:val="en-US" w:eastAsia="zh-CN" w:bidi="ar-SA"/>
        </w:rPr>
        <w:t>8个驻外分局共签约产业项目42个，提供有效信息177条，有效对接企业724家，有效对接跟踪项目230个，到位市外资金84.36亿元。</w:t>
      </w:r>
      <w:r>
        <w:rPr>
          <w:rFonts w:hint="default" w:ascii="Times New Roman" w:hAnsi="Times New Roman" w:eastAsia="仿宋_GB2312" w:cs="Times New Roman"/>
          <w:b w:val="0"/>
          <w:bCs w:val="0"/>
          <w:color w:val="000000"/>
          <w:kern w:val="0"/>
          <w:sz w:val="32"/>
          <w:szCs w:val="32"/>
          <w:lang w:val="zh-CN" w:eastAsia="zh-CN" w:bidi="ar-SA"/>
        </w:rPr>
        <w:t>推动了广元经济发展，提高了广元就业率，群众满意度大幅度提升。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Times New Roman" w:hAnsi="Times New Roman" w:eastAsia="仿宋_GB2312" w:cs="Times New Roman"/>
          <w:b w:val="0"/>
          <w:bCs w:val="0"/>
          <w:color w:val="auto"/>
          <w:kern w:val="0"/>
          <w:sz w:val="32"/>
          <w:szCs w:val="32"/>
          <w:shd w:val="clear" w:color="auto" w:fill="FFFFFF"/>
          <w:lang w:val="zh-CN"/>
        </w:rPr>
      </w:pPr>
      <w:r>
        <w:rPr>
          <w:rFonts w:hint="default" w:ascii="Times New Roman" w:hAnsi="Times New Roman" w:eastAsia="仿宋_GB2312" w:cs="Times New Roman"/>
          <w:b w:val="0"/>
          <w:bCs w:val="0"/>
          <w:color w:val="000000"/>
          <w:kern w:val="0"/>
          <w:sz w:val="32"/>
          <w:szCs w:val="32"/>
          <w:shd w:val="clear" w:color="auto" w:fill="FFFFFF"/>
          <w:lang w:val="zh-CN" w:eastAsia="zh-CN"/>
        </w:rPr>
        <w:t>2021年我单位驻外分局工作经费及房租专项经费支出绩效自查自评结果良好，全年基本支出保证了驻外分局工作的正常运转，按照</w:t>
      </w:r>
      <w:r>
        <w:rPr>
          <w:rFonts w:hint="default" w:ascii="Times New Roman" w:hAnsi="Times New Roman" w:eastAsia="仿宋_GB2312" w:cs="Times New Roman"/>
          <w:b w:val="0"/>
          <w:bCs w:val="0"/>
          <w:color w:val="auto"/>
          <w:kern w:val="0"/>
          <w:sz w:val="32"/>
          <w:szCs w:val="32"/>
          <w:shd w:val="clear" w:color="auto" w:fill="FFFFFF"/>
          <w:lang w:val="zh-CN" w:eastAsia="zh-CN"/>
        </w:rPr>
        <w:t>2021年度部门驻外分局工作经费及房租专项经费支出绩效评价指标体系对我单位预算编制、预算执行、完成结果、信息公开、整改反馈等方面进行了自评，最终得分</w:t>
      </w:r>
      <w:r>
        <w:rPr>
          <w:rFonts w:hint="default" w:ascii="Times New Roman" w:hAnsi="Times New Roman" w:eastAsia="仿宋_GB2312" w:cs="Times New Roman"/>
          <w:b w:val="0"/>
          <w:bCs w:val="0"/>
          <w:color w:val="auto"/>
          <w:kern w:val="0"/>
          <w:sz w:val="32"/>
          <w:szCs w:val="32"/>
          <w:shd w:val="clear" w:color="auto" w:fill="FFFFFF"/>
          <w:lang w:val="en-US" w:eastAsia="zh-CN"/>
        </w:rPr>
        <w:t>97.5</w:t>
      </w:r>
      <w:r>
        <w:rPr>
          <w:rFonts w:hint="default" w:ascii="Times New Roman" w:hAnsi="Times New Roman" w:eastAsia="仿宋_GB2312" w:cs="Times New Roman"/>
          <w:b w:val="0"/>
          <w:bCs w:val="0"/>
          <w:color w:val="auto"/>
          <w:kern w:val="0"/>
          <w:sz w:val="32"/>
          <w:szCs w:val="32"/>
          <w:shd w:val="clear" w:color="auto" w:fill="FFFFFF"/>
          <w:lang w:val="zh-CN" w:eastAsia="zh-CN"/>
        </w:rPr>
        <w:t>分</w:t>
      </w:r>
      <w:r>
        <w:rPr>
          <w:rFonts w:hint="eastAsia" w:ascii="Times New Roman" w:hAnsi="Times New Roman" w:eastAsia="仿宋_GB2312" w:cs="Times New Roman"/>
          <w:b w:val="0"/>
          <w:bCs w:val="0"/>
          <w:color w:val="auto"/>
          <w:kern w:val="0"/>
          <w:sz w:val="32"/>
          <w:szCs w:val="32"/>
          <w:shd w:val="clear" w:color="auto" w:fill="FFFFFF"/>
          <w:lang w:val="en-US" w:eastAsia="zh-CN"/>
        </w:rPr>
        <w:t>（</w:t>
      </w:r>
      <w:r>
        <w:rPr>
          <w:rFonts w:hint="default" w:ascii="Times New Roman" w:hAnsi="Times New Roman" w:eastAsia="仿宋_GB2312" w:cs="Times New Roman"/>
          <w:b w:val="0"/>
          <w:bCs w:val="0"/>
          <w:color w:val="auto"/>
          <w:kern w:val="0"/>
          <w:sz w:val="32"/>
          <w:szCs w:val="32"/>
          <w:shd w:val="clear" w:color="auto" w:fill="FFFFFF"/>
          <w:lang w:val="en-US" w:eastAsia="zh-CN"/>
        </w:rPr>
        <w:t>附件</w:t>
      </w:r>
      <w:r>
        <w:rPr>
          <w:rFonts w:hint="eastAsia" w:ascii="Times New Roman" w:hAnsi="Times New Roman" w:eastAsia="仿宋_GB2312" w:cs="Times New Roman"/>
          <w:b w:val="0"/>
          <w:bCs w:val="0"/>
          <w:color w:val="auto"/>
          <w:kern w:val="0"/>
          <w:sz w:val="32"/>
          <w:szCs w:val="32"/>
          <w:shd w:val="clear" w:color="auto" w:fill="FFFFFF"/>
          <w:lang w:val="en-US" w:eastAsia="zh-CN"/>
        </w:rPr>
        <w:t>）</w:t>
      </w:r>
      <w:r>
        <w:rPr>
          <w:rFonts w:hint="default" w:ascii="Times New Roman" w:hAnsi="Times New Roman" w:eastAsia="仿宋_GB2312" w:cs="Times New Roman"/>
          <w:b w:val="0"/>
          <w:bCs w:val="0"/>
          <w:color w:val="auto"/>
          <w:kern w:val="0"/>
          <w:sz w:val="32"/>
          <w:szCs w:val="32"/>
          <w:shd w:val="clear" w:color="auto" w:fill="FFFFFF"/>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color w:val="000000"/>
          <w:kern w:val="0"/>
          <w:sz w:val="32"/>
          <w:szCs w:val="32"/>
          <w:lang w:val="en-US" w:eastAsia="zh-CN" w:bidi="ar-SA"/>
        </w:rPr>
        <w:t>相关管理制度不够完善，驻外分局经费管理难度较大。</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（三）相关建议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进一步健全和完善财务管理制度</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、驻外分局管理制度</w:t>
      </w:r>
      <w:r>
        <w:rPr>
          <w:rFonts w:hint="default" w:ascii="Times New Roman" w:hAnsi="Times New Roman" w:eastAsia="仿宋_GB2312" w:cs="Times New Roman"/>
          <w:b w:val="0"/>
          <w:bCs w:val="0"/>
          <w:i w:val="0"/>
          <w:iCs w:val="0"/>
          <w:caps w:val="0"/>
          <w:color w:val="auto"/>
          <w:spacing w:val="0"/>
          <w:sz w:val="32"/>
          <w:szCs w:val="32"/>
          <w:shd w:val="clear" w:fill="FFFFFF"/>
        </w:rPr>
        <w:t>及内部控制制度，创新管理手段，用新思路、新方法，改进完善财务管理方法</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tbl>
      <w:tblPr>
        <w:tblStyle w:val="16"/>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532"/>
        <w:gridCol w:w="2102"/>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634601</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广元市经济合作和外事局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项目预算</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执行情况</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3</w:t>
            </w:r>
            <w:r>
              <w:rPr>
                <w:rFonts w:hint="eastAsia" w:ascii="宋体" w:hAnsi="宋体" w:eastAsia="宋体" w:cs="宋体"/>
                <w:i w:val="0"/>
                <w:color w:val="auto"/>
                <w:sz w:val="24"/>
                <w:szCs w:val="24"/>
                <w:highlight w:val="none"/>
                <w:u w:val="none"/>
              </w:rPr>
              <w:t>87.27</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3</w:t>
            </w:r>
            <w:r>
              <w:rPr>
                <w:rFonts w:hint="eastAsia" w:ascii="宋体" w:hAnsi="宋体" w:eastAsia="宋体" w:cs="宋体"/>
                <w:i w:val="0"/>
                <w:color w:val="auto"/>
                <w:sz w:val="24"/>
                <w:szCs w:val="24"/>
                <w:highlight w:val="none"/>
                <w:u w:val="none"/>
              </w:rPr>
              <w:t>87.27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3</w:t>
            </w:r>
            <w:r>
              <w:rPr>
                <w:rFonts w:hint="eastAsia" w:ascii="宋体" w:hAnsi="宋体" w:eastAsia="宋体" w:cs="宋体"/>
                <w:i w:val="0"/>
                <w:color w:val="auto"/>
                <w:sz w:val="24"/>
                <w:szCs w:val="24"/>
                <w:highlight w:val="none"/>
                <w:u w:val="none"/>
              </w:rPr>
              <w:t>87.27</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3</w:t>
            </w:r>
            <w:r>
              <w:rPr>
                <w:rFonts w:hint="eastAsia" w:ascii="宋体" w:hAnsi="宋体" w:eastAsia="宋体" w:cs="宋体"/>
                <w:i w:val="0"/>
                <w:color w:val="auto"/>
                <w:sz w:val="24"/>
                <w:szCs w:val="24"/>
                <w:highlight w:val="none"/>
                <w:u w:val="none"/>
              </w:rPr>
              <w:t>87.27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18"/>
                <w:szCs w:val="18"/>
                <w:highlight w:val="none"/>
                <w:u w:val="none"/>
              </w:rPr>
              <w:t>8个驻外分局要共提供并动态追踪项目信息500条；引荐100批次以上企业来广投资考察；签约引进产业项目50个以上。</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18"/>
                <w:szCs w:val="18"/>
                <w:highlight w:val="none"/>
                <w:u w:val="none"/>
              </w:rPr>
              <w:t>8个驻外分局2021年全年引荐100批次以上企业来广投资考察。成功签约</w:t>
            </w:r>
            <w:r>
              <w:rPr>
                <w:rFonts w:hint="eastAsia" w:ascii="宋体" w:hAnsi="宋体" w:cs="宋体"/>
                <w:i w:val="0"/>
                <w:color w:val="auto"/>
                <w:sz w:val="18"/>
                <w:szCs w:val="18"/>
                <w:highlight w:val="none"/>
                <w:u w:val="none"/>
                <w:lang w:eastAsia="zh-CN"/>
              </w:rPr>
              <w:t>亿元以上</w:t>
            </w:r>
            <w:r>
              <w:rPr>
                <w:rFonts w:hint="eastAsia" w:ascii="宋体" w:hAnsi="宋体" w:eastAsia="宋体" w:cs="宋体"/>
                <w:i w:val="0"/>
                <w:color w:val="auto"/>
                <w:sz w:val="18"/>
                <w:szCs w:val="18"/>
                <w:highlight w:val="none"/>
                <w:u w:val="none"/>
              </w:rPr>
              <w:t>项目178个。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签约项目跟进</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提供信息500条以上；引荐100批次企业来广投资考察；签约引进产业项目50个</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2021年全年，8个驻外分局共提供并动态追踪项目信息500条以上；引荐100余批次以上企业来广投资考察；签约引进产业项目50个以上。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4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招商项目成果</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驻外分局动态追踪项目信息中，产业项目信息条数不低于90%。其中食品饮料、新材料、清洁能源化工、机械电子、建材家居、生物医药六大优势特色产业和战略性新兴产业、军民融合产业项目不低于总任务的60%。项目签约金额中，产业项目签约金额不低于80%。其中食品饮料、新材料、清洁能源化工、机械电子、建材家居、生物医药六大优势特色产业和战略性新兴产业、军民融合产业项目签约金额不低于总任务的50%。</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全市新签约招商引资项目342个</w:t>
            </w:r>
            <w:r>
              <w:rPr>
                <w:rFonts w:hint="eastAsia" w:ascii="仿宋_GB2312" w:hAnsi="仿宋_GB2312" w:eastAsia="仿宋_GB2312" w:cs="仿宋_GB2312"/>
                <w:i w:val="0"/>
                <w:color w:val="auto"/>
                <w:sz w:val="21"/>
                <w:szCs w:val="21"/>
                <w:highlight w:val="none"/>
                <w:u w:val="none"/>
                <w:lang w:eastAsia="zh-CN"/>
              </w:rPr>
              <w:t>。</w:t>
            </w:r>
            <w:r>
              <w:rPr>
                <w:rFonts w:hint="eastAsia" w:ascii="仿宋_GB2312" w:hAnsi="仿宋_GB2312" w:eastAsia="仿宋_GB2312" w:cs="仿宋_GB2312"/>
                <w:i w:val="0"/>
                <w:color w:val="auto"/>
                <w:sz w:val="21"/>
                <w:szCs w:val="21"/>
                <w:highlight w:val="none"/>
                <w:u w:val="none"/>
              </w:rPr>
              <w:t>全年引进到位国内市外资金701.47亿元；引进到位国内省外资金343.69亿元。新开工投资额亿元以上项目140个，促成增资意向项目13个，增资7.47亿元。省级平台活动现场签约招商引资项目113个，履约项目105个，开工项目101个，到位资金338.23亿元，履约率、开工率、资金到位率分别为92.92%、89.38%、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完成时限</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2021年全年</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2021年全年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预算经费成本</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287.27万元</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287.27万元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效益</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社会经济发展影响</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一是充分发挥市经济合作局8个驻外分局在经济发达地区的“桥梁”“窗口”作用，积极推介我市优势资源、项目，宣传我市优良的营商环境，吸引更多企业关注广元，引进更多项目落户广元，更多资金投资广元，推动全市经济社会发展。二是通过遴选一批精兵强将到分局参与经济建设和项目一线工作，可以锻炼一批优秀年轻干部，建设一支水平高、业绩好的驻外投资促进干部队伍，切实增强投资促进工作实效，为项目投资、产业发展、乡村振兴经济建设“三大主战场”储备更多的经济战线干部人才。</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一是充分发挥市经济合作局8个驻外分局在经济发达地区的“桥梁”“窗口”作用，积极推介我市优势资源、项目，宣传我市优良的营商环境，吸引更多企业关注广元，引进更多项目落户广元，更多资金投资广元，推动全市经济社会发展。二是通过遴选一批精兵强将到分局参与经济建设和项目一线工作，可以锻炼一批优秀年轻干部，建设一支水平高、业绩好的驻外投资促进干部队伍，切实增强投资促进工作实效，为项目投资、产业发展、乡村振兴经济建设“三大主战场”储备更多的经济战线干部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满意</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bl>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b w:val="0"/>
          <w:bCs w:val="0"/>
          <w:color w:val="000000"/>
          <w:kern w:val="0"/>
          <w:sz w:val="44"/>
          <w:szCs w:val="44"/>
          <w:lang w:val="en-US" w:eastAsia="zh-CN" w:bidi="ar-SA"/>
        </w:rPr>
      </w:pPr>
      <w:r>
        <w:rPr>
          <w:rFonts w:hint="eastAsia" w:ascii="方正小标宋简体" w:hAnsi="宋体" w:eastAsia="方正小标宋简体" w:cs="Times New Roman"/>
          <w:b w:val="0"/>
          <w:bCs w:val="0"/>
          <w:color w:val="000000"/>
          <w:kern w:val="0"/>
          <w:sz w:val="44"/>
          <w:szCs w:val="44"/>
          <w:lang w:val="en-US" w:eastAsia="zh-CN" w:bidi="ar-SA"/>
        </w:rPr>
        <w:t>广元市经济合作和外事局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Times New Roman"/>
          <w:b w:val="0"/>
          <w:bCs w:val="0"/>
          <w:color w:val="000000"/>
          <w:kern w:val="0"/>
          <w:sz w:val="44"/>
          <w:szCs w:val="44"/>
          <w:lang w:val="zh-CN" w:eastAsia="zh-CN" w:bidi="ar-SA"/>
        </w:rPr>
      </w:pPr>
      <w:r>
        <w:rPr>
          <w:rFonts w:hint="eastAsia" w:ascii="方正小标宋简体" w:hAnsi="宋体" w:eastAsia="方正小标宋简体" w:cs="Times New Roman"/>
          <w:b w:val="0"/>
          <w:bCs w:val="0"/>
          <w:color w:val="000000"/>
          <w:kern w:val="0"/>
          <w:sz w:val="44"/>
          <w:szCs w:val="44"/>
          <w:lang w:val="en-US" w:eastAsia="zh-CN" w:bidi="ar-SA"/>
        </w:rPr>
        <w:t>关于2021年度</w:t>
      </w:r>
      <w:r>
        <w:rPr>
          <w:rFonts w:hint="eastAsia" w:ascii="方正小标宋简体" w:hAnsi="宋体" w:eastAsia="方正小标宋简体" w:cs="Times New Roman"/>
          <w:b w:val="0"/>
          <w:bCs w:val="0"/>
          <w:color w:val="000000"/>
          <w:kern w:val="0"/>
          <w:sz w:val="44"/>
          <w:szCs w:val="44"/>
          <w:lang w:val="zh-CN" w:eastAsia="zh-CN" w:bidi="ar-SA"/>
        </w:rPr>
        <w:t>脱贫攻坚项目绩效自评报告</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cs="Times New Roman"/>
          <w:b w:val="0"/>
          <w:bCs w:val="0"/>
          <w:color w:val="000000"/>
          <w:kern w:val="0"/>
          <w:sz w:val="44"/>
          <w:szCs w:val="44"/>
          <w:lang w:val="zh-CN" w:eastAsia="zh-CN" w:bidi="ar-SA"/>
        </w:rPr>
      </w:pPr>
    </w:p>
    <w:p>
      <w:pPr>
        <w:keepNext w:val="0"/>
        <w:keepLines w:val="0"/>
        <w:pageBreakBefore w:val="0"/>
        <w:widowControl w:val="0"/>
        <w:kinsoku/>
        <w:wordWrap/>
        <w:overflowPunct/>
        <w:topLinePunct w:val="0"/>
        <w:autoSpaceDE/>
        <w:autoSpaceDN/>
        <w:bidi w:val="0"/>
        <w:spacing w:line="576" w:lineRule="exact"/>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市财政局绩效管理中心：</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黑体" w:cs="Times New Roman"/>
          <w:b w:val="0"/>
          <w:bCs w:val="0"/>
          <w:color w:val="000000"/>
          <w:kern w:val="0"/>
          <w:sz w:val="32"/>
          <w:szCs w:val="32"/>
          <w:lang w:val="zh-CN" w:eastAsia="zh-CN" w:bidi="ar-SA"/>
        </w:rPr>
      </w:pPr>
      <w:r>
        <w:rPr>
          <w:rFonts w:hint="default" w:ascii="Times New Roman" w:hAnsi="Times New Roman" w:eastAsia="仿宋_GB2312" w:cs="Times New Roman"/>
          <w:color w:val="000000"/>
          <w:kern w:val="0"/>
          <w:sz w:val="32"/>
          <w:szCs w:val="32"/>
          <w:lang w:val="en-US" w:eastAsia="zh-CN" w:bidi="ar-SA"/>
        </w:rPr>
        <w:t>按照市财政局《关于开展2022年部门、政策和项目支出绩效自评工作的通知》（广财绩</w:t>
      </w:r>
      <w:r>
        <w:rPr>
          <w:rFonts w:hint="default" w:ascii="Times New Roman" w:hAnsi="Times New Roman" w:eastAsia="仿宋_GB2312" w:cs="Times New Roman"/>
          <w:color w:val="000000"/>
          <w:kern w:val="0"/>
          <w:sz w:val="32"/>
          <w:szCs w:val="32"/>
          <w:lang w:val="zh-CN" w:eastAsia="zh-CN" w:bidi="ar-SA"/>
        </w:rPr>
        <w:t>〔202</w:t>
      </w:r>
      <w:r>
        <w:rPr>
          <w:rFonts w:hint="default" w:ascii="Times New Roman" w:hAnsi="Times New Roman" w:eastAsia="仿宋_GB2312" w:cs="Times New Roman"/>
          <w:color w:val="000000"/>
          <w:kern w:val="0"/>
          <w:sz w:val="32"/>
          <w:szCs w:val="32"/>
          <w:lang w:val="en-US" w:eastAsia="zh-CN" w:bidi="ar-SA"/>
        </w:rPr>
        <w:t>2</w:t>
      </w:r>
      <w:r>
        <w:rPr>
          <w:rFonts w:hint="default" w:ascii="Times New Roman" w:hAnsi="Times New Roman" w:eastAsia="仿宋_GB2312" w:cs="Times New Roman"/>
          <w:color w:val="000000"/>
          <w:kern w:val="0"/>
          <w:sz w:val="32"/>
          <w:szCs w:val="32"/>
          <w:lang w:val="zh-CN" w:eastAsia="zh-CN" w:bidi="ar-SA"/>
        </w:rPr>
        <w:t>〕</w:t>
      </w:r>
      <w:r>
        <w:rPr>
          <w:rFonts w:hint="default" w:ascii="Times New Roman" w:hAnsi="Times New Roman" w:eastAsia="仿宋_GB2312" w:cs="Times New Roman"/>
          <w:color w:val="000000"/>
          <w:kern w:val="0"/>
          <w:sz w:val="32"/>
          <w:szCs w:val="32"/>
          <w:lang w:val="en-US" w:eastAsia="zh-CN" w:bidi="ar-SA"/>
        </w:rPr>
        <w:t>8</w:t>
      </w:r>
      <w:r>
        <w:rPr>
          <w:rFonts w:hint="default" w:ascii="Times New Roman" w:hAnsi="Times New Roman" w:eastAsia="仿宋_GB2312" w:cs="Times New Roman"/>
          <w:color w:val="000000"/>
          <w:kern w:val="0"/>
          <w:sz w:val="32"/>
          <w:szCs w:val="32"/>
          <w:lang w:val="zh-CN" w:eastAsia="zh-CN" w:bidi="ar-SA"/>
        </w:rPr>
        <w:t>号</w:t>
      </w:r>
      <w:r>
        <w:rPr>
          <w:rFonts w:hint="default" w:ascii="Times New Roman" w:hAnsi="Times New Roman" w:eastAsia="仿宋_GB2312" w:cs="Times New Roman"/>
          <w:color w:val="000000"/>
          <w:kern w:val="0"/>
          <w:sz w:val="32"/>
          <w:szCs w:val="32"/>
          <w:lang w:val="en-US" w:eastAsia="zh-CN" w:bidi="ar-SA"/>
        </w:rPr>
        <w:t>）文件精神和要求，我局结合单位财务管理实际，认真开展了2021年市级部门专项支出绩效评价工作，现将我单位脱贫攻坚项目自评工作报告如下：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简体" w:hAnsi="方正黑体简体" w:eastAsia="方正黑体简体" w:cs="方正黑体简体"/>
          <w:b w:val="0"/>
          <w:bCs w:val="0"/>
          <w:sz w:val="32"/>
          <w:szCs w:val="32"/>
          <w:lang w:val="zh-CN"/>
        </w:rPr>
      </w:pPr>
      <w:r>
        <w:rPr>
          <w:rFonts w:hint="eastAsia" w:ascii="方正黑体简体" w:hAnsi="方正黑体简体" w:eastAsia="方正黑体简体" w:cs="方正黑体简体"/>
          <w:b w:val="0"/>
          <w:bCs w:val="0"/>
          <w:sz w:val="32"/>
          <w:szCs w:val="32"/>
        </w:rPr>
        <w:t>一、</w:t>
      </w:r>
      <w:r>
        <w:rPr>
          <w:rFonts w:hint="eastAsia" w:ascii="方正黑体简体" w:hAnsi="方正黑体简体" w:eastAsia="方正黑体简体" w:cs="方正黑体简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1．说明项目主管部门（单位）在该项目管理中的职能。</w:t>
      </w:r>
      <w:r>
        <w:rPr>
          <w:rFonts w:hint="default" w:ascii="Times New Roman" w:hAnsi="Times New Roman" w:eastAsia="仿宋_GB2312" w:cs="Times New Roman"/>
          <w:color w:val="auto"/>
          <w:sz w:val="32"/>
          <w:szCs w:val="32"/>
          <w:lang w:val="zh-CN" w:eastAsia="zh-CN"/>
        </w:rPr>
        <w:t>规范管理</w:t>
      </w:r>
      <w:r>
        <w:rPr>
          <w:rFonts w:hint="default" w:ascii="Times New Roman" w:hAnsi="Times New Roman" w:eastAsia="仿宋_GB2312" w:cs="Times New Roman"/>
          <w:color w:val="auto"/>
          <w:sz w:val="32"/>
          <w:szCs w:val="32"/>
          <w:lang w:val="zh-CN"/>
        </w:rPr>
        <w:t>脱贫攻坚</w:t>
      </w:r>
      <w:r>
        <w:rPr>
          <w:rFonts w:hint="default" w:ascii="Times New Roman" w:hAnsi="Times New Roman" w:eastAsia="仿宋_GB2312" w:cs="Times New Roman"/>
          <w:color w:val="auto"/>
          <w:sz w:val="32"/>
          <w:szCs w:val="32"/>
          <w:lang w:val="zh-CN" w:eastAsia="zh-CN"/>
        </w:rPr>
        <w:t>驻村帮扶项目资金，用于工作调研、规划编制、考察交流、日常工作运转以及驻村期间因公产生的差旅费等。</w:t>
      </w:r>
    </w:p>
    <w:p>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项目立项、资金申报的依据。</w:t>
      </w:r>
      <w:r>
        <w:rPr>
          <w:rFonts w:hint="default" w:ascii="Times New Roman" w:hAnsi="Times New Roman" w:eastAsia="仿宋_GB2312" w:cs="Times New Roman"/>
          <w:color w:val="auto"/>
          <w:sz w:val="32"/>
          <w:szCs w:val="32"/>
          <w:lang w:val="zh-CN" w:eastAsia="zh-CN"/>
        </w:rPr>
        <w:t>省委组织部印发《四川省贫困村第一书记及驻村工作队队员管理办法》（川组通〔</w:t>
      </w:r>
      <w:r>
        <w:rPr>
          <w:rFonts w:hint="default" w:ascii="Times New Roman" w:hAnsi="Times New Roman" w:eastAsia="仿宋_GB2312" w:cs="Times New Roman"/>
          <w:color w:val="auto"/>
          <w:sz w:val="32"/>
          <w:szCs w:val="32"/>
          <w:lang w:val="en-US" w:eastAsia="zh-CN"/>
        </w:rPr>
        <w:t>2018</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65号）等。</w:t>
      </w:r>
    </w:p>
    <w:p>
      <w:pPr>
        <w:pStyle w:val="6"/>
        <w:rPr>
          <w:rFonts w:hint="eastAsia" w:hAnsi="宋体" w:cs="宋体"/>
          <w:color w:val="auto"/>
          <w:kern w:val="0"/>
          <w:sz w:val="32"/>
          <w:szCs w:val="32"/>
          <w:highlight w:val="none"/>
          <w:shd w:val="clear" w:color="auto" w:fill="FFFFFF"/>
          <w:lang w:val="zh-CN"/>
        </w:rPr>
      </w:pPr>
      <w:r>
        <w:rPr>
          <w:rFonts w:hint="default" w:ascii="Times New Roman" w:hAnsi="Times New Roman" w:eastAsia="仿宋_GB2312" w:cs="Times New Roman"/>
          <w:b w:val="0"/>
          <w:bCs w:val="0"/>
          <w:sz w:val="32"/>
          <w:szCs w:val="32"/>
          <w:lang w:val="zh-CN"/>
        </w:rPr>
        <w:t>资金管理办法制定情况，资金支持具体项目的条件、范围与支持方式概况。</w:t>
      </w:r>
      <w:r>
        <w:rPr>
          <w:rFonts w:hint="default" w:ascii="Times New Roman" w:hAnsi="Times New Roman" w:eastAsia="仿宋_GB2312" w:cs="Times New Roman"/>
          <w:color w:val="auto"/>
          <w:sz w:val="32"/>
          <w:szCs w:val="32"/>
          <w:lang w:val="zh-CN" w:eastAsia="zh-CN"/>
        </w:rPr>
        <w:t>根据相关财务</w:t>
      </w:r>
      <w:r>
        <w:rPr>
          <w:rFonts w:hint="default" w:ascii="Times New Roman" w:hAnsi="Times New Roman" w:eastAsia="仿宋_GB2312" w:cs="Times New Roman"/>
          <w:color w:val="auto"/>
          <w:sz w:val="32"/>
          <w:szCs w:val="32"/>
          <w:lang w:val="en-US" w:eastAsia="zh-CN"/>
        </w:rPr>
        <w:t>管理制度，强化对</w:t>
      </w:r>
      <w:r>
        <w:rPr>
          <w:rFonts w:hint="default" w:ascii="Times New Roman" w:hAnsi="Times New Roman" w:eastAsia="仿宋_GB2312" w:cs="Times New Roman"/>
          <w:color w:val="auto"/>
          <w:sz w:val="32"/>
          <w:szCs w:val="32"/>
          <w:lang w:val="zh-CN" w:eastAsia="zh-CN"/>
        </w:rPr>
        <w:t>脱贫攻坚驻</w:t>
      </w:r>
      <w:r>
        <w:rPr>
          <w:rFonts w:hint="eastAsia" w:ascii="Times New Roman" w:cs="Times New Roman"/>
          <w:color w:val="auto"/>
          <w:sz w:val="32"/>
          <w:szCs w:val="32"/>
          <w:lang w:val="zh-CN" w:eastAsia="zh-CN"/>
        </w:rPr>
        <w:t>村帮扶项目资金的管理。</w:t>
      </w:r>
    </w:p>
    <w:p>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val="0"/>
          <w:bCs w:val="0"/>
          <w:sz w:val="32"/>
          <w:szCs w:val="32"/>
          <w:lang w:val="zh-CN"/>
        </w:rPr>
        <w:t>资金分配的原则及考虑因素。</w:t>
      </w:r>
      <w:r>
        <w:rPr>
          <w:rFonts w:hint="default" w:ascii="Times New Roman" w:hAnsi="Times New Roman" w:eastAsia="仿宋_GB2312" w:cs="Times New Roman"/>
          <w:color w:val="auto"/>
          <w:sz w:val="32"/>
          <w:szCs w:val="32"/>
          <w:lang w:val="zh-CN" w:eastAsia="zh-CN"/>
        </w:rPr>
        <w:t>严格按照省委组织部印发《四川省贫困村第一书记及驻村工作队队员管理办法》（川组通〔</w:t>
      </w:r>
      <w:r>
        <w:rPr>
          <w:rFonts w:hint="default" w:ascii="Times New Roman" w:hAnsi="Times New Roman" w:eastAsia="仿宋_GB2312" w:cs="Times New Roman"/>
          <w:color w:val="auto"/>
          <w:sz w:val="32"/>
          <w:szCs w:val="32"/>
          <w:lang w:val="en-US" w:eastAsia="zh-CN"/>
        </w:rPr>
        <w:t>2018</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65号）要求，</w:t>
      </w:r>
      <w:r>
        <w:rPr>
          <w:rFonts w:hint="default" w:ascii="Times New Roman" w:hAnsi="Times New Roman" w:eastAsia="仿宋_GB2312" w:cs="Times New Roman"/>
          <w:color w:val="auto"/>
          <w:sz w:val="32"/>
          <w:szCs w:val="32"/>
          <w:lang w:val="zh-CN" w:eastAsia="zh-CN"/>
        </w:rPr>
        <w:t>根据脱贫攻坚驻村帮扶工作实际进行分配。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1．项目主要内容。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auto"/>
          <w:sz w:val="32"/>
          <w:szCs w:val="32"/>
          <w:lang w:val="zh-CN" w:eastAsia="zh-CN"/>
        </w:rPr>
        <w:t>规范管理</w:t>
      </w:r>
      <w:r>
        <w:rPr>
          <w:rFonts w:hint="default" w:ascii="Times New Roman" w:hAnsi="Times New Roman" w:eastAsia="仿宋_GB2312" w:cs="Times New Roman"/>
          <w:color w:val="auto"/>
          <w:sz w:val="32"/>
          <w:szCs w:val="32"/>
          <w:lang w:val="zh-CN"/>
        </w:rPr>
        <w:t>脱贫攻坚</w:t>
      </w:r>
      <w:r>
        <w:rPr>
          <w:rFonts w:hint="default" w:ascii="Times New Roman" w:hAnsi="Times New Roman" w:eastAsia="仿宋_GB2312" w:cs="Times New Roman"/>
          <w:color w:val="auto"/>
          <w:sz w:val="32"/>
          <w:szCs w:val="32"/>
          <w:lang w:val="zh-CN" w:eastAsia="zh-CN"/>
        </w:rPr>
        <w:t>驻村帮扶项目资金，用于与脱贫攻坚工作相关的工作调研、日常工作运转以及驻村期间因公产生的差旅费等。保证高质量完成脱贫攻坚工作任务，巩固脱贫攻坚工作质量，为乡村振兴工作的顺利启动奠定基础。</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val="0"/>
          <w:bCs w:val="0"/>
          <w:sz w:val="32"/>
          <w:szCs w:val="32"/>
          <w:lang w:val="zh-CN"/>
        </w:rPr>
        <w:t>项目应实现的具体绩效目标，包括目标的量化、细化情况以及项目实施进度计划等。</w:t>
      </w:r>
      <w:r>
        <w:rPr>
          <w:rFonts w:hint="default" w:ascii="Times New Roman" w:hAnsi="Times New Roman" w:eastAsia="仿宋_GB2312" w:cs="Times New Roman"/>
          <w:color w:val="auto"/>
          <w:kern w:val="2"/>
          <w:sz w:val="32"/>
          <w:szCs w:val="32"/>
          <w:lang w:val="en-US" w:eastAsia="zh-CN" w:bidi="ar-SA"/>
        </w:rPr>
        <w:t>保障驻村工作队有效履行职责任务；</w:t>
      </w:r>
      <w:r>
        <w:rPr>
          <w:rFonts w:hint="default" w:ascii="Times New Roman" w:hAnsi="Times New Roman" w:eastAsia="仿宋_GB2312" w:cs="Times New Roman"/>
          <w:color w:val="auto"/>
          <w:kern w:val="2"/>
          <w:sz w:val="32"/>
          <w:szCs w:val="32"/>
          <w:lang w:val="zh-CN" w:eastAsia="zh-CN" w:bidi="ar-SA"/>
        </w:rPr>
        <w:t>为</w:t>
      </w:r>
      <w:r>
        <w:rPr>
          <w:rFonts w:hint="default" w:ascii="Times New Roman" w:hAnsi="Times New Roman" w:eastAsia="仿宋_GB2312" w:cs="Times New Roman"/>
          <w:color w:val="auto"/>
          <w:kern w:val="2"/>
          <w:sz w:val="32"/>
          <w:szCs w:val="32"/>
          <w:lang w:val="en-US" w:eastAsia="zh-CN" w:bidi="ar-SA"/>
        </w:rPr>
        <w:t>3名</w:t>
      </w:r>
      <w:r>
        <w:rPr>
          <w:rFonts w:hint="default" w:ascii="Times New Roman" w:hAnsi="Times New Roman" w:eastAsia="仿宋_GB2312" w:cs="Times New Roman"/>
          <w:color w:val="auto"/>
          <w:kern w:val="2"/>
          <w:sz w:val="32"/>
          <w:szCs w:val="32"/>
          <w:lang w:val="zh-CN" w:eastAsia="zh-CN" w:bidi="ar-SA"/>
        </w:rPr>
        <w:t>驻村工作队人员购买人身意外伤害保险；完成贫困村与非贫困村脱贫攻坚成果。</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val="0"/>
          <w:bCs w:val="0"/>
          <w:sz w:val="32"/>
          <w:szCs w:val="32"/>
          <w:lang w:val="zh-CN"/>
        </w:rPr>
        <w:t>分析评价申报内容是否与实际相符，申报目标是否合理可行。</w:t>
      </w:r>
      <w:r>
        <w:rPr>
          <w:rFonts w:hint="default" w:ascii="Times New Roman" w:hAnsi="Times New Roman" w:eastAsia="仿宋_GB2312" w:cs="Times New Roman"/>
          <w:sz w:val="32"/>
          <w:szCs w:val="32"/>
          <w:lang w:val="zh-CN"/>
        </w:rPr>
        <w:t>该目标制定根据实际情况出发，目标制定合理可行。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（三）</w:t>
      </w:r>
      <w:r>
        <w:rPr>
          <w:rFonts w:hint="default" w:ascii="方正楷体简体" w:hAnsi="方正楷体简体" w:eastAsia="方正楷体简体" w:cs="方正楷体简体"/>
          <w:b w:val="0"/>
          <w:bCs w:val="0"/>
          <w:sz w:val="32"/>
          <w:szCs w:val="32"/>
          <w:lang w:val="zh-CN"/>
        </w:rPr>
        <w:t>项目自评步骤及方法</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zh-CN" w:eastAsia="zh-CN" w:bidi="ar-SA"/>
        </w:rPr>
        <w:t>强化组织领导。成立绩效评价工作领导小组。</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zh-CN" w:eastAsia="zh-CN" w:bidi="ar-SA"/>
        </w:rPr>
        <w:t>自查评估实施步骤及方法。一是前期准备阶段。认真组织学习《政策和项目支出绩效评价工作的通知》文件精神和要求，提高对开展支出绩效评价工作的认识，统一思想，确保自查工作的顺利开展。二是自查工作阶段。对脱贫攻坚驻村帮扶项目资金收入、支出、预算编制、财务管理、项目资金使用投入产出等情况进行认真的自查，撰写《自查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zh-CN" w:eastAsia="zh-CN" w:bidi="ar-SA"/>
        </w:rPr>
        <w:t>严格按照预算申报项目资金申报，严格按照预算批复执行。年初申报脱贫攻坚驻村帮扶项目资金</w:t>
      </w:r>
      <w:r>
        <w:rPr>
          <w:rFonts w:hint="default" w:ascii="Times New Roman" w:hAnsi="Times New Roman" w:eastAsia="仿宋_GB2312" w:cs="Times New Roman"/>
          <w:color w:val="auto"/>
          <w:kern w:val="0"/>
          <w:sz w:val="32"/>
          <w:szCs w:val="32"/>
          <w:lang w:val="en-US" w:eastAsia="zh-CN" w:bidi="ar-SA"/>
        </w:rPr>
        <w:t>1.25万元，</w:t>
      </w:r>
      <w:r>
        <w:rPr>
          <w:rFonts w:hint="default" w:ascii="Times New Roman" w:hAnsi="Times New Roman" w:eastAsia="仿宋_GB2312" w:cs="Times New Roman"/>
          <w:color w:val="auto"/>
          <w:kern w:val="0"/>
          <w:sz w:val="32"/>
          <w:szCs w:val="32"/>
          <w:lang w:val="zh-CN" w:eastAsia="zh-CN" w:bidi="ar-SA"/>
        </w:rPr>
        <w:t>全年下达脱贫攻坚驻村帮扶项目资金</w:t>
      </w:r>
      <w:r>
        <w:rPr>
          <w:rFonts w:hint="default" w:ascii="Times New Roman" w:hAnsi="Times New Roman" w:eastAsia="仿宋_GB2312" w:cs="Times New Roman"/>
          <w:color w:val="auto"/>
          <w:kern w:val="0"/>
          <w:sz w:val="32"/>
          <w:szCs w:val="32"/>
          <w:lang w:val="en-US" w:eastAsia="zh-CN" w:bidi="ar-SA"/>
        </w:rPr>
        <w:t>1.25万元。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auto"/>
          <w:kern w:val="0"/>
          <w:sz w:val="32"/>
          <w:szCs w:val="32"/>
          <w:lang w:val="zh-CN" w:eastAsia="zh-CN" w:bidi="ar-SA"/>
        </w:rPr>
      </w:pPr>
      <w:r>
        <w:rPr>
          <w:rFonts w:hint="default" w:ascii="Times New Roman" w:hAnsi="Times New Roman" w:eastAsia="仿宋_GB2312" w:cs="Times New Roman"/>
          <w:color w:val="auto"/>
          <w:kern w:val="0"/>
          <w:sz w:val="32"/>
          <w:szCs w:val="32"/>
          <w:lang w:val="zh-CN" w:eastAsia="zh-CN" w:bidi="ar-SA"/>
        </w:rPr>
        <w:t>1．资金计划。年初申报预算脱贫攻坚驻村帮扶项目资金</w:t>
      </w:r>
      <w:r>
        <w:rPr>
          <w:rFonts w:hint="default" w:ascii="Times New Roman" w:hAnsi="Times New Roman" w:eastAsia="仿宋_GB2312" w:cs="Times New Roman"/>
          <w:color w:val="auto"/>
          <w:kern w:val="0"/>
          <w:sz w:val="32"/>
          <w:szCs w:val="32"/>
          <w:lang w:val="en-US" w:eastAsia="zh-CN" w:bidi="ar-SA"/>
        </w:rPr>
        <w:t>1.25万元。</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color w:val="auto"/>
          <w:kern w:val="0"/>
          <w:sz w:val="32"/>
          <w:szCs w:val="32"/>
          <w:lang w:val="zh-CN" w:eastAsia="zh-CN" w:bidi="ar-SA"/>
        </w:rPr>
        <w:t>2．资金到位。全年到位脱贫攻坚驻村帮扶项目资金</w:t>
      </w:r>
      <w:r>
        <w:rPr>
          <w:rFonts w:hint="default" w:ascii="Times New Roman" w:hAnsi="Times New Roman" w:eastAsia="仿宋_GB2312" w:cs="Times New Roman"/>
          <w:color w:val="auto"/>
          <w:kern w:val="0"/>
          <w:sz w:val="32"/>
          <w:szCs w:val="32"/>
          <w:lang w:val="en-US" w:eastAsia="zh-CN" w:bidi="ar-SA"/>
        </w:rPr>
        <w:t>1.25</w:t>
      </w:r>
      <w:r>
        <w:rPr>
          <w:rFonts w:hint="default" w:ascii="Times New Roman" w:hAnsi="Times New Roman" w:eastAsia="仿宋_GB2312" w:cs="Times New Roman"/>
          <w:color w:val="auto"/>
          <w:kern w:val="0"/>
          <w:sz w:val="32"/>
          <w:szCs w:val="32"/>
          <w:lang w:val="zh-CN" w:eastAsia="zh-CN" w:bidi="ar-SA"/>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color w:val="auto"/>
          <w:kern w:val="0"/>
          <w:sz w:val="32"/>
          <w:szCs w:val="32"/>
          <w:lang w:val="zh-CN" w:eastAsia="zh-CN" w:bidi="ar-SA"/>
        </w:rPr>
        <w:t>3．资金使用。主要用于保障驻村工作队履行</w:t>
      </w:r>
      <w:r>
        <w:rPr>
          <w:rFonts w:hint="default" w:ascii="Times New Roman" w:hAnsi="Times New Roman" w:eastAsia="仿宋_GB2312" w:cs="Times New Roman"/>
          <w:color w:val="auto"/>
          <w:kern w:val="0"/>
          <w:sz w:val="32"/>
          <w:szCs w:val="32"/>
          <w:lang w:val="en-US" w:eastAsia="zh-CN" w:bidi="ar-SA"/>
        </w:rPr>
        <w:t>五项职责任务、</w:t>
      </w:r>
      <w:r>
        <w:rPr>
          <w:rFonts w:hint="default" w:ascii="Times New Roman" w:hAnsi="Times New Roman" w:eastAsia="仿宋_GB2312" w:cs="Times New Roman"/>
          <w:color w:val="auto"/>
          <w:kern w:val="0"/>
          <w:sz w:val="32"/>
          <w:szCs w:val="32"/>
          <w:lang w:val="zh-CN" w:eastAsia="zh-CN" w:bidi="ar-SA"/>
        </w:rPr>
        <w:t>购买人身意外伤害保险等，全年共支出该项目资金</w:t>
      </w:r>
      <w:r>
        <w:rPr>
          <w:rFonts w:hint="default" w:ascii="Times New Roman" w:hAnsi="Times New Roman" w:eastAsia="仿宋_GB2312" w:cs="Times New Roman"/>
          <w:color w:val="auto"/>
          <w:kern w:val="0"/>
          <w:sz w:val="32"/>
          <w:szCs w:val="32"/>
          <w:lang w:val="en-US" w:eastAsia="zh-CN" w:bidi="ar-SA"/>
        </w:rPr>
        <w:t>1.25万元</w:t>
      </w:r>
      <w:r>
        <w:rPr>
          <w:rFonts w:hint="default" w:ascii="Times New Roman" w:hAnsi="Times New Roman" w:eastAsia="仿宋_GB2312" w:cs="Times New Roman"/>
          <w:color w:val="auto"/>
          <w:kern w:val="0"/>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zh-CN"/>
        </w:rPr>
        <w:t>我单位严格执行财务管理制度，按照“专款专用，注重实效”的原则进行管理。严格执行</w:t>
      </w:r>
      <w:r>
        <w:rPr>
          <w:rFonts w:hint="default" w:ascii="Times New Roman" w:hAnsi="Times New Roman" w:eastAsia="仿宋_GB2312" w:cs="Times New Roman"/>
          <w:b w:val="0"/>
          <w:bCs w:val="0"/>
          <w:sz w:val="32"/>
          <w:szCs w:val="32"/>
          <w:lang w:val="en-US" w:eastAsia="zh-CN"/>
        </w:rPr>
        <w:t>财务</w:t>
      </w:r>
      <w:r>
        <w:rPr>
          <w:rFonts w:hint="default" w:ascii="Times New Roman" w:hAnsi="Times New Roman" w:eastAsia="仿宋_GB2312" w:cs="Times New Roman"/>
          <w:b w:val="0"/>
          <w:bCs w:val="0"/>
          <w:sz w:val="32"/>
          <w:szCs w:val="32"/>
          <w:lang w:val="zh-CN"/>
        </w:rPr>
        <w:t>管理及资金支付制度，从制度上为规范资金管理提供保障，促进了资金使用管理的规范性、安全性和有效性。</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val="0"/>
          <w:bCs w:val="0"/>
          <w:sz w:val="32"/>
          <w:szCs w:val="32"/>
          <w:lang w:val="en-US" w:eastAsia="zh-CN"/>
        </w:rPr>
        <w:t>1</w:t>
      </w:r>
      <w:r>
        <w:rPr>
          <w:rFonts w:hint="eastAsia" w:ascii="Times New Roman" w:hAnsi="Times New Roman" w:eastAsia="楷体_GB2312" w:cs="Times New Roman"/>
          <w:b w:val="0"/>
          <w:bCs w:val="0"/>
          <w:sz w:val="32"/>
          <w:szCs w:val="32"/>
          <w:lang w:val="en-US" w:eastAsia="zh-CN"/>
        </w:rPr>
        <w:t>．</w:t>
      </w:r>
      <w:r>
        <w:rPr>
          <w:rFonts w:hint="default" w:ascii="Times New Roman" w:hAnsi="Times New Roman" w:eastAsia="楷体_GB2312" w:cs="Times New Roman"/>
          <w:b w:val="0"/>
          <w:bCs w:val="0"/>
          <w:sz w:val="32"/>
          <w:szCs w:val="32"/>
          <w:lang w:val="en-US" w:eastAsia="zh-CN"/>
        </w:rPr>
        <w:t>项目管理情况。</w:t>
      </w:r>
      <w:r>
        <w:rPr>
          <w:rFonts w:hint="default" w:ascii="Times New Roman" w:hAnsi="Times New Roman" w:eastAsia="仿宋_GB2312" w:cs="Times New Roman"/>
          <w:color w:val="auto"/>
          <w:kern w:val="2"/>
          <w:sz w:val="32"/>
          <w:szCs w:val="32"/>
          <w:lang w:val="zh-CN" w:eastAsia="zh-CN" w:bidi="ar-SA"/>
        </w:rPr>
        <w:t>根据财务内控管理，制定</w:t>
      </w:r>
      <w:r>
        <w:rPr>
          <w:rFonts w:hint="default" w:ascii="Times New Roman" w:hAnsi="Times New Roman" w:eastAsia="仿宋_GB2312" w:cs="Times New Roman"/>
          <w:color w:val="auto"/>
          <w:kern w:val="2"/>
          <w:sz w:val="32"/>
          <w:szCs w:val="32"/>
          <w:lang w:val="en-US" w:eastAsia="zh-CN" w:bidi="ar-SA"/>
        </w:rPr>
        <w:t>《市经济合作局财务管理办法》等管理制度，强化对</w:t>
      </w:r>
      <w:r>
        <w:rPr>
          <w:rFonts w:hint="default" w:ascii="Times New Roman" w:hAnsi="Times New Roman" w:eastAsia="仿宋_GB2312" w:cs="Times New Roman"/>
          <w:color w:val="auto"/>
          <w:kern w:val="2"/>
          <w:sz w:val="32"/>
          <w:szCs w:val="32"/>
          <w:lang w:val="zh-CN" w:eastAsia="zh-CN" w:bidi="ar-SA"/>
        </w:rPr>
        <w:t>脱贫攻坚驻村帮扶</w:t>
      </w:r>
      <w:r>
        <w:rPr>
          <w:rFonts w:hint="default" w:ascii="Times New Roman" w:hAnsi="Times New Roman" w:eastAsia="仿宋_GB2312" w:cs="Times New Roman"/>
          <w:color w:val="auto"/>
          <w:kern w:val="2"/>
          <w:sz w:val="32"/>
          <w:szCs w:val="32"/>
          <w:lang w:val="en-US" w:eastAsia="zh-CN" w:bidi="ar-SA"/>
        </w:rPr>
        <w:t>项目资金的管理。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项目监管情况。</w:t>
      </w:r>
      <w:r>
        <w:rPr>
          <w:rFonts w:hint="default" w:ascii="Times New Roman" w:hAnsi="Times New Roman" w:eastAsia="仿宋_GB2312" w:cs="Times New Roman"/>
          <w:color w:val="auto"/>
          <w:sz w:val="32"/>
          <w:szCs w:val="32"/>
        </w:rPr>
        <w:t>除严格遵守财经管理制度管理项</w:t>
      </w:r>
      <w:r>
        <w:rPr>
          <w:rFonts w:hint="default" w:ascii="Times New Roman" w:hAnsi="Times New Roman" w:eastAsia="仿宋_GB2312" w:cs="Times New Roman"/>
          <w:color w:val="auto"/>
          <w:kern w:val="2"/>
          <w:sz w:val="32"/>
          <w:szCs w:val="32"/>
          <w:lang w:val="en-US" w:eastAsia="zh-CN" w:bidi="ar-SA"/>
        </w:rPr>
        <w:t>目资金，还配合市纪委监委驻市政府办纪检监察组不定期抽查监督，确保项目使用合理、合规。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楷体_GB2312" w:cs="Times New Roman"/>
          <w:b w:val="0"/>
          <w:bCs w:val="0"/>
          <w:sz w:val="32"/>
          <w:szCs w:val="32"/>
          <w:lang w:val="zh-CN"/>
        </w:rPr>
      </w:pPr>
      <w:r>
        <w:rPr>
          <w:rFonts w:hint="default" w:ascii="方正楷体简体" w:hAnsi="方正楷体简体" w:eastAsia="方正楷体简体" w:cs="方正楷体简体"/>
          <w:b w:val="0"/>
          <w:bCs w:val="0"/>
          <w:sz w:val="32"/>
          <w:szCs w:val="32"/>
          <w:lang w:val="zh-CN"/>
        </w:rPr>
        <w:t>（一）项目组织架构及实施流程。</w:t>
      </w:r>
      <w:r>
        <w:rPr>
          <w:rFonts w:hint="default" w:ascii="Times New Roman" w:hAnsi="Times New Roman" w:eastAsia="仿宋" w:cs="Times New Roman"/>
          <w:color w:val="auto"/>
          <w:kern w:val="2"/>
          <w:sz w:val="32"/>
          <w:szCs w:val="32"/>
          <w:lang w:eastAsia="zh-CN" w:bidi="ar-SA"/>
        </w:rPr>
        <w:t>格按照财务内控制度，严格按照财务报销流程进行管理，保证项目按照工作需要实施。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方正楷体简体" w:hAnsi="方正楷体简体" w:eastAsia="方正楷体简体" w:cs="方正楷体简体"/>
          <w:b w:val="0"/>
          <w:bCs w:val="0"/>
          <w:sz w:val="32"/>
          <w:szCs w:val="32"/>
          <w:lang w:val="zh-CN"/>
        </w:rPr>
        <w:t>（二）项目管理情况。</w:t>
      </w:r>
      <w:r>
        <w:rPr>
          <w:rFonts w:hint="default" w:ascii="Times New Roman" w:hAnsi="Times New Roman" w:eastAsia="仿宋_GB2312" w:cs="Times New Roman"/>
          <w:color w:val="auto"/>
          <w:sz w:val="32"/>
          <w:szCs w:val="32"/>
          <w:lang w:val="zh-CN" w:eastAsia="zh-CN"/>
        </w:rPr>
        <w:t>根据相关财务</w:t>
      </w:r>
      <w:r>
        <w:rPr>
          <w:rFonts w:hint="default" w:ascii="Times New Roman" w:hAnsi="Times New Roman" w:eastAsia="仿宋_GB2312" w:cs="Times New Roman"/>
          <w:color w:val="auto"/>
          <w:sz w:val="32"/>
          <w:szCs w:val="32"/>
          <w:lang w:val="en-US" w:eastAsia="zh-CN"/>
        </w:rPr>
        <w:t>管理制度及</w:t>
      </w:r>
      <w:r>
        <w:rPr>
          <w:rFonts w:hint="default" w:ascii="Times New Roman" w:hAnsi="Times New Roman" w:eastAsia="仿宋_GB2312" w:cs="Times New Roman"/>
          <w:color w:val="auto"/>
          <w:sz w:val="32"/>
          <w:szCs w:val="32"/>
          <w:lang w:val="zh-CN" w:eastAsia="zh-CN"/>
        </w:rPr>
        <w:t>《四川省贫困村第一书记及驻村工作队队员管理办法》（川组通〔</w:t>
      </w:r>
      <w:r>
        <w:rPr>
          <w:rFonts w:hint="default" w:ascii="Times New Roman" w:hAnsi="Times New Roman" w:eastAsia="仿宋_GB2312" w:cs="Times New Roman"/>
          <w:color w:val="auto"/>
          <w:sz w:val="32"/>
          <w:szCs w:val="32"/>
          <w:lang w:val="en-US" w:eastAsia="zh-CN"/>
        </w:rPr>
        <w:t>2018</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65号）要求</w:t>
      </w:r>
      <w:r>
        <w:rPr>
          <w:rFonts w:hint="default" w:ascii="Times New Roman" w:hAnsi="Times New Roman" w:eastAsia="仿宋_GB2312" w:cs="Times New Roman"/>
          <w:color w:val="auto"/>
          <w:kern w:val="2"/>
          <w:sz w:val="32"/>
          <w:szCs w:val="32"/>
          <w:lang w:val="en-US" w:eastAsia="zh-CN" w:bidi="ar-SA"/>
        </w:rPr>
        <w:t>，强化对</w:t>
      </w:r>
      <w:r>
        <w:rPr>
          <w:rFonts w:hint="default" w:ascii="Times New Roman" w:hAnsi="Times New Roman" w:eastAsia="仿宋_GB2312" w:cs="Times New Roman"/>
          <w:color w:val="auto"/>
          <w:kern w:val="2"/>
          <w:sz w:val="32"/>
          <w:szCs w:val="32"/>
          <w:lang w:val="zh-CN" w:eastAsia="zh-CN" w:bidi="ar-SA"/>
        </w:rPr>
        <w:t>脱贫攻坚驻村帮扶</w:t>
      </w:r>
      <w:r>
        <w:rPr>
          <w:rFonts w:hint="default" w:ascii="Times New Roman" w:hAnsi="Times New Roman" w:eastAsia="仿宋_GB2312" w:cs="Times New Roman"/>
          <w:color w:val="auto"/>
          <w:kern w:val="2"/>
          <w:sz w:val="32"/>
          <w:szCs w:val="32"/>
          <w:lang w:val="en-US" w:eastAsia="zh-CN" w:bidi="ar-SA"/>
        </w:rPr>
        <w:t>项目资金的管理，保证专款专用，保证项目高效实施。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方正楷体简体" w:hAnsi="方正楷体简体" w:eastAsia="方正楷体简体" w:cs="方正楷体简体"/>
          <w:b w:val="0"/>
          <w:bCs w:val="0"/>
          <w:sz w:val="32"/>
          <w:szCs w:val="32"/>
          <w:lang w:val="zh-CN"/>
        </w:rPr>
        <w:t>（三）项目监管情况。</w:t>
      </w:r>
      <w:r>
        <w:rPr>
          <w:rFonts w:hint="default" w:ascii="Times New Roman" w:hAnsi="Times New Roman" w:eastAsia="仿宋_GB2312" w:cs="Times New Roman"/>
          <w:color w:val="auto"/>
          <w:sz w:val="32"/>
          <w:szCs w:val="32"/>
        </w:rPr>
        <w:t>除严格遵守财经管理制度管理项</w:t>
      </w:r>
      <w:r>
        <w:rPr>
          <w:rFonts w:hint="default" w:ascii="Times New Roman" w:hAnsi="Times New Roman" w:eastAsia="仿宋_GB2312" w:cs="Times New Roman"/>
          <w:color w:val="auto"/>
          <w:kern w:val="2"/>
          <w:sz w:val="32"/>
          <w:szCs w:val="32"/>
          <w:lang w:val="en-US" w:eastAsia="zh-CN" w:bidi="ar-SA"/>
        </w:rPr>
        <w:t>目资金，还配合市纪委监委驻市政府办纪检监察组不定期抽查监督，确保项目使用合理、合规。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简体" w:hAnsi="方正黑体简体" w:eastAsia="方正黑体简体" w:cs="方正黑体简体"/>
          <w:b w:val="0"/>
          <w:bCs w:val="0"/>
          <w:sz w:val="32"/>
          <w:szCs w:val="32"/>
          <w:lang w:val="zh-CN"/>
        </w:rPr>
      </w:pPr>
      <w:r>
        <w:rPr>
          <w:rFonts w:hint="default" w:ascii="方正黑体简体" w:hAnsi="方正黑体简体" w:eastAsia="方正黑体简体" w:cs="方正黑体简体"/>
          <w:b w:val="0"/>
          <w:bCs w:val="0"/>
          <w:sz w:val="32"/>
          <w:szCs w:val="32"/>
        </w:rPr>
        <w:t>四、项目绩效情况</w:t>
      </w:r>
      <w:r>
        <w:rPr>
          <w:rFonts w:hint="default" w:ascii="方正黑体简体" w:hAnsi="方正黑体简体" w:eastAsia="方正黑体简体" w:cs="方正黑体简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有效保障了驻村工作队履行“宣传党的政策、建强基层组织、推动精准脱贫、为民办事服务、提升治理水平”五项职责任务。为驻村工作队人员购买人身意外伤害保险，消除了驻村工作队人员及其家人的后顾之忧。高质量完成脱贫攻坚任务，为推进实施乡村振兴战略奠定了坚实的基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（二）项目效益情况</w:t>
      </w:r>
    </w:p>
    <w:p>
      <w:pPr>
        <w:keepNext w:val="0"/>
        <w:keepLines w:val="0"/>
        <w:pageBreakBefore w:val="0"/>
        <w:widowControl w:val="0"/>
        <w:suppressLineNumbers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000000"/>
          <w:kern w:val="0"/>
          <w:sz w:val="32"/>
          <w:szCs w:val="32"/>
          <w:lang w:val="zh-CN" w:eastAsia="zh-CN" w:bidi="ar-SA"/>
        </w:rPr>
      </w:pPr>
      <w:r>
        <w:rPr>
          <w:rFonts w:hint="default" w:ascii="Times New Roman" w:hAnsi="Times New Roman" w:eastAsia="仿宋_GB2312" w:cs="Times New Roman"/>
          <w:color w:val="auto"/>
          <w:kern w:val="2"/>
          <w:sz w:val="32"/>
          <w:szCs w:val="32"/>
          <w:lang w:val="en-US" w:eastAsia="zh-CN" w:bidi="ar-SA"/>
        </w:rPr>
        <w:t>高质量完成复兴村、大河村、新华村剩余脱贫任务。</w:t>
      </w:r>
      <w:r>
        <w:rPr>
          <w:rFonts w:hint="default" w:ascii="Times New Roman" w:hAnsi="Times New Roman" w:eastAsia="仿宋_GB2312" w:cs="Times New Roman"/>
          <w:color w:val="auto"/>
          <w:sz w:val="32"/>
          <w:szCs w:val="32"/>
        </w:rPr>
        <w:t>全年</w:t>
      </w:r>
      <w:r>
        <w:rPr>
          <w:rFonts w:hint="default" w:ascii="Times New Roman" w:hAnsi="Times New Roman" w:eastAsia="仿宋_GB2312" w:cs="Times New Roman"/>
          <w:color w:val="auto"/>
          <w:sz w:val="32"/>
          <w:szCs w:val="32"/>
          <w:lang w:eastAsia="zh-CN"/>
        </w:rPr>
        <w:t>组织帮扶责任人</w:t>
      </w:r>
      <w:r>
        <w:rPr>
          <w:rFonts w:hint="default" w:ascii="Times New Roman" w:hAnsi="Times New Roman" w:eastAsia="仿宋_GB2312" w:cs="Times New Roman"/>
          <w:color w:val="auto"/>
          <w:sz w:val="32"/>
          <w:szCs w:val="32"/>
        </w:rPr>
        <w:t>累计深入</w:t>
      </w:r>
      <w:r>
        <w:rPr>
          <w:rFonts w:hint="default" w:ascii="Times New Roman" w:hAnsi="Times New Roman" w:eastAsia="仿宋_GB2312" w:cs="Times New Roman"/>
          <w:color w:val="auto"/>
          <w:sz w:val="32"/>
          <w:szCs w:val="32"/>
          <w:lang w:eastAsia="zh-CN"/>
        </w:rPr>
        <w:t>到</w:t>
      </w:r>
      <w:r>
        <w:rPr>
          <w:rFonts w:hint="default" w:ascii="Times New Roman" w:hAnsi="Times New Roman" w:eastAsia="仿宋_GB2312" w:cs="Times New Roman"/>
          <w:color w:val="auto"/>
          <w:sz w:val="32"/>
          <w:szCs w:val="32"/>
        </w:rPr>
        <w:t>帮扶村</w:t>
      </w:r>
      <w:r>
        <w:rPr>
          <w:rFonts w:hint="default" w:ascii="Times New Roman" w:hAnsi="Times New Roman" w:eastAsia="仿宋_GB2312" w:cs="Times New Roman"/>
          <w:color w:val="auto"/>
          <w:sz w:val="32"/>
          <w:szCs w:val="32"/>
          <w:lang w:val="en-US" w:eastAsia="zh-CN"/>
        </w:rPr>
        <w:t>20余</w:t>
      </w:r>
      <w:r>
        <w:rPr>
          <w:rFonts w:hint="default" w:ascii="Times New Roman" w:hAnsi="Times New Roman" w:eastAsia="仿宋_GB2312" w:cs="Times New Roman"/>
          <w:color w:val="auto"/>
          <w:sz w:val="32"/>
          <w:szCs w:val="32"/>
        </w:rPr>
        <w:t>次，</w:t>
      </w:r>
      <w:r>
        <w:rPr>
          <w:rFonts w:hint="default" w:ascii="Times New Roman" w:hAnsi="Times New Roman" w:eastAsia="仿宋_GB2312" w:cs="Times New Roman"/>
          <w:color w:val="auto"/>
          <w:sz w:val="32"/>
          <w:szCs w:val="32"/>
          <w:lang w:eastAsia="zh-CN"/>
        </w:rPr>
        <w:t>并开展春节慰问送温暖等活动，为</w:t>
      </w:r>
      <w:r>
        <w:rPr>
          <w:rFonts w:hint="default" w:ascii="Times New Roman" w:hAnsi="Times New Roman" w:eastAsia="仿宋_GB2312" w:cs="Times New Roman"/>
          <w:color w:val="auto"/>
          <w:sz w:val="32"/>
          <w:szCs w:val="32"/>
          <w:lang w:val="en-US" w:eastAsia="zh-CN"/>
        </w:rPr>
        <w:t>201户帮扶户发放价值6.03万元大米、菜油和猪肉等慰问品，为16户受灾群众发放慰问金0.8万元，</w:t>
      </w:r>
      <w:r>
        <w:rPr>
          <w:rFonts w:hint="default" w:ascii="Times New Roman" w:hAnsi="Times New Roman" w:eastAsia="仿宋_GB2312" w:cs="Times New Roman"/>
          <w:color w:val="auto"/>
          <w:kern w:val="2"/>
          <w:sz w:val="32"/>
          <w:szCs w:val="32"/>
          <w:lang w:val="en-US" w:eastAsia="zh-CN" w:bidi="ar-SA"/>
        </w:rPr>
        <w:t>高水准巩固提脱贫攻坚质量，帮扶对象满意度显著提高。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eastAsia="zh-CN"/>
        </w:rPr>
        <w:t>2021年我单位脱贫攻坚支出绩效自查自评结果良好，全年基本支出保证了脱贫攻坚工作的正常运转，按照</w:t>
      </w:r>
      <w:r>
        <w:rPr>
          <w:rFonts w:hint="default" w:ascii="Times New Roman" w:hAnsi="Times New Roman" w:eastAsia="仿宋_GB2312" w:cs="Times New Roman"/>
          <w:color w:val="auto"/>
          <w:kern w:val="0"/>
          <w:sz w:val="32"/>
          <w:szCs w:val="32"/>
          <w:shd w:val="clear" w:color="auto" w:fill="FFFFFF"/>
          <w:lang w:val="zh-CN" w:eastAsia="zh-CN"/>
        </w:rPr>
        <w:t>2021年度部门</w:t>
      </w:r>
      <w:r>
        <w:rPr>
          <w:rFonts w:hint="default" w:ascii="Times New Roman" w:hAnsi="Times New Roman" w:eastAsia="仿宋_GB2312" w:cs="Times New Roman"/>
          <w:color w:val="auto"/>
          <w:kern w:val="0"/>
          <w:sz w:val="32"/>
          <w:szCs w:val="32"/>
          <w:shd w:val="clear" w:color="auto" w:fill="FFFFFF"/>
          <w:lang w:val="en-US" w:eastAsia="zh-CN"/>
        </w:rPr>
        <w:t>脱贫攻坚专项资金</w:t>
      </w:r>
      <w:r>
        <w:rPr>
          <w:rFonts w:hint="default" w:ascii="Times New Roman" w:hAnsi="Times New Roman" w:eastAsia="仿宋_GB2312" w:cs="Times New Roman"/>
          <w:color w:val="auto"/>
          <w:kern w:val="0"/>
          <w:sz w:val="32"/>
          <w:szCs w:val="32"/>
          <w:shd w:val="clear" w:color="auto" w:fill="FFFFFF"/>
          <w:lang w:val="zh-CN" w:eastAsia="zh-CN"/>
        </w:rPr>
        <w:t>支出绩效评价指标体系对我单位预算编制、预算执行、完成结果、信息公开、整改反馈等方面进行了自评，最终得分</w:t>
      </w:r>
      <w:r>
        <w:rPr>
          <w:rFonts w:hint="default" w:ascii="Times New Roman" w:hAnsi="Times New Roman" w:eastAsia="仿宋_GB2312" w:cs="Times New Roman"/>
          <w:color w:val="auto"/>
          <w:kern w:val="0"/>
          <w:sz w:val="32"/>
          <w:szCs w:val="32"/>
          <w:shd w:val="clear" w:color="auto" w:fill="FFFFFF"/>
          <w:lang w:val="en-US" w:eastAsia="zh-CN"/>
        </w:rPr>
        <w:t>99.5</w:t>
      </w:r>
      <w:r>
        <w:rPr>
          <w:rFonts w:hint="default" w:ascii="Times New Roman" w:hAnsi="Times New Roman" w:eastAsia="仿宋_GB2312" w:cs="Times New Roman"/>
          <w:color w:val="auto"/>
          <w:kern w:val="0"/>
          <w:sz w:val="32"/>
          <w:szCs w:val="32"/>
          <w:shd w:val="clear" w:color="auto" w:fill="FFFFFF"/>
          <w:lang w:val="zh-CN" w:eastAsia="zh-CN"/>
        </w:rPr>
        <w:t>分</w:t>
      </w:r>
      <w:r>
        <w:rPr>
          <w:rFonts w:hint="eastAsia" w:ascii="Times New Roman" w:hAnsi="Times New Roman" w:eastAsia="仿宋_GB2312" w:cs="Times New Roman"/>
          <w:color w:val="auto"/>
          <w:kern w:val="0"/>
          <w:sz w:val="32"/>
          <w:szCs w:val="32"/>
          <w:shd w:val="clear" w:color="auto" w:fill="FFFFFF"/>
          <w:lang w:val="en-US" w:eastAsia="zh-CN"/>
        </w:rPr>
        <w:t>（</w:t>
      </w:r>
      <w:r>
        <w:rPr>
          <w:rFonts w:hint="default" w:ascii="Times New Roman" w:hAnsi="Times New Roman" w:eastAsia="仿宋_GB2312" w:cs="Times New Roman"/>
          <w:color w:val="auto"/>
          <w:kern w:val="0"/>
          <w:sz w:val="32"/>
          <w:szCs w:val="32"/>
          <w:shd w:val="clear" w:color="auto" w:fill="FFFFFF"/>
          <w:lang w:val="en-US" w:eastAsia="zh-CN"/>
        </w:rPr>
        <w:t>附件</w:t>
      </w:r>
      <w:r>
        <w:rPr>
          <w:rFonts w:hint="eastAsia" w:ascii="Times New Roman" w:hAnsi="Times New Roman" w:eastAsia="仿宋_GB2312" w:cs="Times New Roman"/>
          <w:color w:val="auto"/>
          <w:kern w:val="0"/>
          <w:sz w:val="32"/>
          <w:szCs w:val="32"/>
          <w:shd w:val="clear" w:color="auto" w:fill="FFFFFF"/>
          <w:lang w:val="en-US" w:eastAsia="zh-CN"/>
        </w:rPr>
        <w:t>）</w:t>
      </w:r>
      <w:r>
        <w:rPr>
          <w:rFonts w:hint="default" w:ascii="Times New Roman" w:hAnsi="Times New Roman" w:eastAsia="仿宋_GB2312" w:cs="Times New Roman"/>
          <w:color w:val="auto"/>
          <w:kern w:val="0"/>
          <w:sz w:val="32"/>
          <w:szCs w:val="32"/>
          <w:shd w:val="clear" w:color="auto" w:fill="FFFFFF"/>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简体" w:hAnsi="方正楷体简体" w:eastAsia="方正楷体简体" w:cs="方正楷体简体"/>
          <w:b w:val="0"/>
          <w:bCs w:val="0"/>
          <w:sz w:val="32"/>
          <w:szCs w:val="32"/>
          <w:lang w:val="zh-CN"/>
        </w:rPr>
      </w:pPr>
      <w:r>
        <w:rPr>
          <w:rFonts w:hint="default" w:ascii="方正楷体简体" w:hAnsi="方正楷体简体" w:eastAsia="方正楷体简体" w:cs="方正楷体简体"/>
          <w:b w:val="0"/>
          <w:bCs w:val="0"/>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color w:val="000000"/>
          <w:kern w:val="0"/>
          <w:sz w:val="32"/>
          <w:szCs w:val="32"/>
          <w:lang w:val="en-US" w:eastAsia="zh-CN" w:bidi="ar-SA"/>
        </w:rPr>
        <w:t>相关管理制度不够完善。</w:t>
      </w:r>
      <w:r>
        <w:rPr>
          <w:rFonts w:hint="default" w:ascii="Times New Roman" w:hAnsi="Times New Roman" w:eastAsia="仿宋_GB2312" w:cs="Times New Roman"/>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（三）相关建议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lang w:val="en-US" w:eastAsia="zh-CN"/>
        </w:rPr>
        <w:t>1．</w:t>
      </w:r>
      <w:r>
        <w:rPr>
          <w:rFonts w:hint="default" w:ascii="Times New Roman" w:hAnsi="Times New Roman" w:eastAsia="仿宋_GB2312" w:cs="Times New Roman"/>
          <w:i w:val="0"/>
          <w:iCs w:val="0"/>
          <w:caps w:val="0"/>
          <w:color w:val="auto"/>
          <w:spacing w:val="0"/>
          <w:sz w:val="32"/>
          <w:szCs w:val="32"/>
          <w:shd w:val="clear" w:fill="FFFFFF"/>
        </w:rPr>
        <w:t>进一步健全和完善财务管理制度及内部控制制度，创新管理手段，用新思路、新方法，改进完善财务管理方法。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i w:val="0"/>
          <w:iCs w:val="0"/>
          <w:caps w:val="0"/>
          <w:color w:val="auto"/>
          <w:spacing w:val="0"/>
          <w:sz w:val="32"/>
          <w:szCs w:val="32"/>
          <w:shd w:val="clear" w:fill="FFFFFF"/>
          <w:lang w:val="en-US" w:eastAsia="zh-CN"/>
        </w:rPr>
        <w:t>2．</w:t>
      </w:r>
      <w:r>
        <w:rPr>
          <w:rFonts w:hint="default" w:ascii="Times New Roman" w:hAnsi="Times New Roman" w:eastAsia="仿宋_GB2312" w:cs="Times New Roman"/>
          <w:i w:val="0"/>
          <w:iCs w:val="0"/>
          <w:caps w:val="0"/>
          <w:color w:val="auto"/>
          <w:spacing w:val="0"/>
          <w:sz w:val="32"/>
          <w:szCs w:val="32"/>
          <w:shd w:val="clear" w:fill="FFFFFF"/>
        </w:rPr>
        <w:t>加强部门预算绩效管理的指导和培训，增强提高绩效管理业务人员绩效管理能力、专业素质和思想水平。</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tbl>
      <w:tblPr>
        <w:tblStyle w:val="16"/>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817"/>
        <w:gridCol w:w="1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634601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广元市经济合作和外事局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项目预算</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执行情况</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1.25</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1.25</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18"/>
                <w:szCs w:val="18"/>
                <w:highlight w:val="none"/>
                <w:u w:val="none"/>
              </w:rPr>
              <w:t>帮扶部门工作经费主要用于改善贫困户家庭面貌、帮助贫困户生产生活、贫困户应急救援、驻村工作队办公用品采购等。市经济合作局帮扶村4个，分别是旺苍县大两乡复兴村、大河村、新华村和剑阁县木马镇。其中贫困村1个，非贫困村3个。帮扶专项经费共计1.25万元。</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18"/>
                <w:szCs w:val="18"/>
                <w:highlight w:val="none"/>
                <w:u w:val="none"/>
              </w:rPr>
              <w:t>帮扶专项经费共计1.25万元，一定程度上改善了贫困户家庭面貌、帮助贫困户生产生活、贫困户应急救援、驻村工作队办公用品采购等。市经济合作局帮扶村4个，分别是旺苍县大两乡复兴村、大河村、新华村和剑阁县木马镇。其中贫困村1个，非贫困村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驻村帮扶</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bottom"/>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sz w:val="18"/>
                <w:szCs w:val="18"/>
                <w:highlight w:val="none"/>
                <w:u w:val="none"/>
              </w:rPr>
              <w:t>贫困村第一书记及工作队员驻村20天以上，非贫困村第一书记及队员驻村10天以上。慰问贫困户慰问率100%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bottom"/>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color w:val="auto"/>
                <w:sz w:val="18"/>
                <w:szCs w:val="18"/>
                <w:highlight w:val="none"/>
                <w:u w:val="none"/>
              </w:rPr>
              <w:t>贫困村第一书记及工作队员驻村22天，非贫困村第一书记及队员驻村11天。慰问贫困户慰问率100%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完成时限</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2021年全年</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2021年全年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预算经费成本</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1.25万元</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1.25万元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效益</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rPr>
              <w:t>社会影响</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巩固脱贫成果，助推致富奔小康。</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sz w:val="21"/>
                <w:szCs w:val="21"/>
                <w:highlight w:val="none"/>
                <w:u w:val="none"/>
              </w:rPr>
              <w:t>巩固脱贫成果，助推致富奔小康。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23" w:leftChars="87" w:hanging="240" w:hangingChars="100"/>
              <w:jc w:val="left"/>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满意</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群众满意度</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群众满意度80%以上</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群众满意度达95%以上</w:t>
            </w:r>
          </w:p>
        </w:tc>
      </w:tr>
    </w:tbl>
    <w:p>
      <w:pPr>
        <w:widowControl/>
        <w:jc w:val="left"/>
        <w:rPr>
          <w:rStyle w:val="20"/>
          <w:rFonts w:ascii="黑体" w:hAnsi="黑体" w:eastAsia="黑体"/>
          <w:b w:val="0"/>
          <w:color w:val="auto"/>
          <w:highlight w:val="none"/>
        </w:rPr>
      </w:pPr>
    </w:p>
    <w:p>
      <w:pPr>
        <w:spacing w:line="600" w:lineRule="exact"/>
        <w:jc w:val="center"/>
        <w:outlineLvl w:val="0"/>
        <w:rPr>
          <w:rFonts w:hint="eastAsia" w:ascii="黑体" w:hAnsi="黑体" w:eastAsia="黑体"/>
          <w:color w:val="auto"/>
          <w:sz w:val="44"/>
          <w:szCs w:val="44"/>
          <w:highlight w:val="none"/>
        </w:rPr>
      </w:pPr>
      <w:bookmarkStart w:id="84" w:name="_Toc15396618"/>
      <w:bookmarkStart w:id="85" w:name="_Toc7307"/>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bookmarkEnd w:id="78"/>
      <w:bookmarkEnd w:id="84"/>
      <w:bookmarkEnd w:id="85"/>
      <w:bookmarkStart w:id="86" w:name="_Toc15396619"/>
    </w:p>
    <w:p>
      <w:pPr>
        <w:pStyle w:val="4"/>
        <w:rPr>
          <w:rFonts w:ascii="仿宋" w:hAnsi="仿宋" w:eastAsia="仿宋"/>
          <w:color w:val="auto"/>
          <w:highlight w:val="none"/>
        </w:rPr>
      </w:pPr>
      <w:bookmarkStart w:id="87" w:name="_Toc490"/>
      <w:r>
        <w:rPr>
          <w:rFonts w:hint="eastAsia" w:ascii="仿宋" w:hAnsi="仿宋" w:eastAsia="仿宋"/>
          <w:b w:val="0"/>
          <w:color w:val="auto"/>
          <w:highlight w:val="none"/>
        </w:rPr>
        <w:t>一、收</w:t>
      </w:r>
      <w:r>
        <w:rPr>
          <w:rStyle w:val="21"/>
          <w:rFonts w:hint="eastAsia" w:ascii="仿宋" w:hAnsi="仿宋" w:eastAsia="仿宋"/>
          <w:b w:val="0"/>
          <w:bCs w:val="0"/>
          <w:color w:val="auto"/>
          <w:highlight w:val="none"/>
        </w:rPr>
        <w:t>入支出决算总表</w:t>
      </w:r>
      <w:bookmarkEnd w:id="86"/>
      <w:bookmarkEnd w:id="87"/>
    </w:p>
    <w:p>
      <w:pPr>
        <w:pStyle w:val="4"/>
        <w:rPr>
          <w:rFonts w:ascii="仿宋" w:hAnsi="仿宋" w:eastAsia="仿宋"/>
          <w:color w:val="auto"/>
          <w:highlight w:val="none"/>
        </w:rPr>
      </w:pPr>
      <w:bookmarkStart w:id="88" w:name="_Toc24283"/>
      <w:bookmarkStart w:id="89" w:name="_Toc15396620"/>
      <w:r>
        <w:rPr>
          <w:rFonts w:hint="eastAsia" w:ascii="仿宋" w:hAnsi="仿宋" w:eastAsia="仿宋"/>
          <w:b w:val="0"/>
          <w:color w:val="auto"/>
          <w:highlight w:val="none"/>
        </w:rPr>
        <w:t>二、收</w:t>
      </w:r>
      <w:r>
        <w:rPr>
          <w:rStyle w:val="21"/>
          <w:rFonts w:hint="eastAsia" w:ascii="仿宋" w:hAnsi="仿宋" w:eastAsia="仿宋"/>
          <w:b w:val="0"/>
          <w:bCs w:val="0"/>
          <w:color w:val="auto"/>
          <w:highlight w:val="none"/>
        </w:rPr>
        <w:t>入决算表</w:t>
      </w:r>
      <w:bookmarkEnd w:id="88"/>
      <w:bookmarkEnd w:id="89"/>
    </w:p>
    <w:p>
      <w:pPr>
        <w:pStyle w:val="4"/>
        <w:rPr>
          <w:rFonts w:ascii="仿宋" w:hAnsi="仿宋" w:eastAsia="仿宋"/>
          <w:color w:val="auto"/>
          <w:highlight w:val="none"/>
        </w:rPr>
      </w:pPr>
      <w:bookmarkStart w:id="90" w:name="_Toc6728"/>
      <w:bookmarkStart w:id="91" w:name="_Toc15396621"/>
      <w:r>
        <w:rPr>
          <w:rStyle w:val="2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1"/>
          <w:rFonts w:hint="eastAsia" w:ascii="仿宋" w:hAnsi="仿宋" w:eastAsia="仿宋"/>
          <w:b w:val="0"/>
          <w:bCs w:val="0"/>
          <w:color w:val="auto"/>
          <w:highlight w:val="none"/>
        </w:rPr>
        <w:t>出决算表</w:t>
      </w:r>
      <w:bookmarkEnd w:id="90"/>
      <w:bookmarkEnd w:id="91"/>
    </w:p>
    <w:p>
      <w:pPr>
        <w:pStyle w:val="4"/>
        <w:rPr>
          <w:rFonts w:ascii="仿宋" w:hAnsi="仿宋" w:eastAsia="仿宋"/>
          <w:b w:val="0"/>
          <w:color w:val="auto"/>
          <w:highlight w:val="none"/>
        </w:rPr>
      </w:pPr>
      <w:bookmarkStart w:id="92" w:name="_Toc15396622"/>
      <w:bookmarkStart w:id="93" w:name="_Toc17646"/>
      <w:r>
        <w:rPr>
          <w:rStyle w:val="2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政拨款收入支出决算总表</w:t>
      </w:r>
      <w:bookmarkEnd w:id="92"/>
      <w:bookmarkEnd w:id="93"/>
    </w:p>
    <w:p>
      <w:pPr>
        <w:pStyle w:val="4"/>
        <w:rPr>
          <w:rStyle w:val="21"/>
          <w:rFonts w:ascii="仿宋" w:hAnsi="仿宋" w:eastAsia="仿宋"/>
          <w:b w:val="0"/>
          <w:bCs w:val="0"/>
          <w:color w:val="auto"/>
          <w:highlight w:val="none"/>
        </w:rPr>
      </w:pPr>
      <w:bookmarkStart w:id="94" w:name="_Toc15396623"/>
      <w:bookmarkStart w:id="95" w:name="_Toc29480"/>
      <w:r>
        <w:rPr>
          <w:rStyle w:val="2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政拨款支出决算明细表</w:t>
      </w:r>
      <w:bookmarkEnd w:id="94"/>
      <w:bookmarkEnd w:id="95"/>
      <w:bookmarkStart w:id="96" w:name="_Toc15396624"/>
    </w:p>
    <w:p>
      <w:pPr>
        <w:pStyle w:val="4"/>
        <w:rPr>
          <w:rFonts w:ascii="仿宋" w:hAnsi="仿宋" w:eastAsia="仿宋"/>
          <w:color w:val="auto"/>
          <w:highlight w:val="none"/>
        </w:rPr>
      </w:pPr>
      <w:bookmarkStart w:id="97" w:name="_Toc20267"/>
      <w:r>
        <w:rPr>
          <w:rStyle w:val="2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般公共预算财政拨款支出决算表</w:t>
      </w:r>
      <w:bookmarkEnd w:id="96"/>
      <w:bookmarkEnd w:id="97"/>
    </w:p>
    <w:p>
      <w:pPr>
        <w:pStyle w:val="4"/>
        <w:rPr>
          <w:rFonts w:ascii="仿宋" w:hAnsi="仿宋" w:eastAsia="仿宋"/>
          <w:color w:val="auto"/>
          <w:highlight w:val="none"/>
        </w:rPr>
      </w:pPr>
      <w:bookmarkStart w:id="98" w:name="_Toc29569"/>
      <w:bookmarkStart w:id="99" w:name="_Toc15396625"/>
      <w:r>
        <w:rPr>
          <w:rStyle w:val="2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般公共预算财政拨款支出决算明细表</w:t>
      </w:r>
      <w:bookmarkEnd w:id="98"/>
      <w:bookmarkEnd w:id="99"/>
    </w:p>
    <w:p>
      <w:pPr>
        <w:pStyle w:val="4"/>
        <w:rPr>
          <w:rFonts w:ascii="仿宋" w:hAnsi="仿宋" w:eastAsia="仿宋"/>
          <w:color w:val="auto"/>
          <w:highlight w:val="none"/>
        </w:rPr>
      </w:pPr>
      <w:bookmarkStart w:id="100" w:name="_Toc22545"/>
      <w:bookmarkStart w:id="101" w:name="_Toc15396626"/>
      <w:r>
        <w:rPr>
          <w:rStyle w:val="2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般公共预算财政拨款基本支出决算表</w:t>
      </w:r>
      <w:bookmarkEnd w:id="100"/>
      <w:bookmarkEnd w:id="101"/>
    </w:p>
    <w:p>
      <w:pPr>
        <w:pStyle w:val="4"/>
        <w:rPr>
          <w:rFonts w:ascii="仿宋" w:hAnsi="仿宋" w:eastAsia="仿宋"/>
          <w:color w:val="auto"/>
          <w:highlight w:val="none"/>
        </w:rPr>
      </w:pPr>
      <w:bookmarkStart w:id="102" w:name="_Toc1432"/>
      <w:bookmarkStart w:id="103" w:name="_Toc15396627"/>
      <w:r>
        <w:rPr>
          <w:rStyle w:val="2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般公共预算财政拨款项目支出决算表</w:t>
      </w:r>
      <w:bookmarkEnd w:id="102"/>
      <w:bookmarkEnd w:id="103"/>
    </w:p>
    <w:p>
      <w:pPr>
        <w:pStyle w:val="4"/>
        <w:rPr>
          <w:rFonts w:ascii="仿宋" w:hAnsi="仿宋" w:eastAsia="仿宋"/>
          <w:color w:val="auto"/>
          <w:highlight w:val="none"/>
        </w:rPr>
      </w:pPr>
      <w:bookmarkStart w:id="104" w:name="_Toc15396628"/>
      <w:bookmarkStart w:id="105" w:name="_Toc15249"/>
      <w:r>
        <w:rPr>
          <w:rStyle w:val="21"/>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般公共预算财政拨款“三公”经费支出决算表</w:t>
      </w:r>
      <w:bookmarkEnd w:id="104"/>
      <w:bookmarkEnd w:id="105"/>
    </w:p>
    <w:p>
      <w:pPr>
        <w:pStyle w:val="4"/>
        <w:rPr>
          <w:rFonts w:ascii="仿宋" w:hAnsi="仿宋" w:eastAsia="仿宋"/>
          <w:color w:val="auto"/>
          <w:highlight w:val="none"/>
        </w:rPr>
      </w:pPr>
      <w:bookmarkStart w:id="106" w:name="_Toc11630"/>
      <w:bookmarkStart w:id="107" w:name="_Toc15396629"/>
      <w:r>
        <w:rPr>
          <w:rStyle w:val="21"/>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106"/>
      <w:bookmarkEnd w:id="107"/>
    </w:p>
    <w:p>
      <w:pPr>
        <w:pStyle w:val="4"/>
        <w:rPr>
          <w:rFonts w:ascii="仿宋" w:hAnsi="仿宋" w:eastAsia="仿宋"/>
          <w:color w:val="auto"/>
          <w:highlight w:val="none"/>
        </w:rPr>
      </w:pPr>
      <w:bookmarkStart w:id="108" w:name="_Toc28204"/>
      <w:bookmarkStart w:id="109" w:name="_Toc15396630"/>
      <w:r>
        <w:rPr>
          <w:rStyle w:val="21"/>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府性基金预算财政拨款“三公”经费支出决算表</w:t>
      </w:r>
      <w:bookmarkEnd w:id="108"/>
      <w:bookmarkEnd w:id="109"/>
    </w:p>
    <w:p>
      <w:pPr>
        <w:pStyle w:val="4"/>
        <w:rPr>
          <w:rStyle w:val="21"/>
          <w:rFonts w:hint="eastAsia" w:ascii="仿宋" w:hAnsi="仿宋" w:eastAsia="仿宋"/>
          <w:b w:val="0"/>
          <w:bCs w:val="0"/>
          <w:color w:val="auto"/>
          <w:highlight w:val="none"/>
        </w:rPr>
      </w:pPr>
      <w:bookmarkStart w:id="110" w:name="_Toc13280"/>
      <w:bookmarkStart w:id="111" w:name="_Toc15396631"/>
      <w:r>
        <w:rPr>
          <w:rStyle w:val="21"/>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110"/>
      <w:bookmarkEnd w:id="111"/>
    </w:p>
    <w:p>
      <w:pPr>
        <w:rPr>
          <w:rFonts w:hint="eastAsia" w:eastAsia="仿宋"/>
          <w:color w:val="auto"/>
          <w:highlight w:val="none"/>
          <w:lang w:eastAsia="zh-CN"/>
        </w:rPr>
      </w:pPr>
      <w:bookmarkStart w:id="112" w:name="_Toc10795"/>
      <w:r>
        <w:rPr>
          <w:rStyle w:val="21"/>
          <w:rFonts w:hint="eastAsia" w:ascii="仿宋" w:hAnsi="仿宋" w:eastAsia="仿宋"/>
          <w:b w:val="0"/>
          <w:bCs w:val="0"/>
          <w:color w:val="auto"/>
          <w:highlight w:val="none"/>
          <w:lang w:eastAsia="zh-CN"/>
        </w:rPr>
        <w:t>十四、国有资本经营预算财政拨款支出决算表</w:t>
      </w:r>
      <w:bookmarkEnd w:id="112"/>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8359FC-C897-4C70-B3F4-F05AD0AB00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10A5A1-C9C3-4F2B-BDA1-9C0404D87629}"/>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3" w:fontKey="{0E08098D-D0F6-4A24-9825-75E4595DE47B}"/>
  </w:font>
  <w:font w:name="Cambria">
    <w:panose1 w:val="02040503050406030204"/>
    <w:charset w:val="00"/>
    <w:family w:val="roman"/>
    <w:pitch w:val="default"/>
    <w:sig w:usb0="E00006FF" w:usb1="420024FF" w:usb2="02000000" w:usb3="00000000" w:csb0="2000019F" w:csb1="00000000"/>
    <w:embedRegular r:id="rId4" w:fontKey="{98154DFA-6969-4E21-A687-323C784DD516}"/>
  </w:font>
  <w:font w:name="仿宋">
    <w:panose1 w:val="02010609060101010101"/>
    <w:charset w:val="86"/>
    <w:family w:val="auto"/>
    <w:pitch w:val="default"/>
    <w:sig w:usb0="800002BF" w:usb1="38CF7CFA" w:usb2="00000016" w:usb3="00000000" w:csb0="00040001" w:csb1="00000000"/>
    <w:embedRegular r:id="rId5" w:fontKey="{B8364FAD-6C77-4F89-A2CC-9F24AB091861}"/>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C9FA8E86-834F-4F56-A655-25D045F10F57}"/>
  </w:font>
  <w:font w:name="楷体_GB2312">
    <w:altName w:val="楷体"/>
    <w:panose1 w:val="02010609030101010101"/>
    <w:charset w:val="86"/>
    <w:family w:val="auto"/>
    <w:pitch w:val="default"/>
    <w:sig w:usb0="00000000" w:usb1="00000000" w:usb2="00000000" w:usb3="00000000" w:csb0="00040000" w:csb1="00000000"/>
    <w:embedRegular r:id="rId7" w:fontKey="{E7EFAB25-B239-4481-9F4A-D885A23366F0}"/>
  </w:font>
  <w:font w:name="方正楷体简体">
    <w:altName w:val="宋体"/>
    <w:panose1 w:val="03000509000000000000"/>
    <w:charset w:val="86"/>
    <w:family w:val="auto"/>
    <w:pitch w:val="default"/>
    <w:sig w:usb0="00000000" w:usb1="00000000" w:usb2="00000000" w:usb3="00000000" w:csb0="00040000" w:csb1="00000000"/>
    <w:embedRegular r:id="rId8" w:fontKey="{AECFD252-5FE8-441A-BD8E-4520745845C8}"/>
  </w:font>
  <w:font w:name="方正黑体简体">
    <w:altName w:val="Arial Unicode MS"/>
    <w:panose1 w:val="03000509000000000000"/>
    <w:charset w:val="86"/>
    <w:family w:val="auto"/>
    <w:pitch w:val="default"/>
    <w:sig w:usb0="00000000" w:usb1="00000000" w:usb2="00000000" w:usb3="00000000" w:csb0="00040000" w:csb1="00000000"/>
    <w:embedRegular r:id="rId9" w:fontKey="{53F0AE54-882E-4936-BCF8-3E0F7DFB9D01}"/>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C1AC5"/>
    <w:multiLevelType w:val="singleLevel"/>
    <w:tmpl w:val="9D9C1AC5"/>
    <w:lvl w:ilvl="0" w:tentative="0">
      <w:start w:val="2"/>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8E1F6A8"/>
    <w:multiLevelType w:val="singleLevel"/>
    <w:tmpl w:val="F8E1F6A8"/>
    <w:lvl w:ilvl="0" w:tentative="0">
      <w:start w:val="2"/>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0AC64922"/>
    <w:rsid w:val="101860EC"/>
    <w:rsid w:val="10C055FF"/>
    <w:rsid w:val="118107EC"/>
    <w:rsid w:val="12557610"/>
    <w:rsid w:val="13D50BC4"/>
    <w:rsid w:val="16BB723D"/>
    <w:rsid w:val="1BE8440E"/>
    <w:rsid w:val="1D155CEE"/>
    <w:rsid w:val="23860B96"/>
    <w:rsid w:val="239A3150"/>
    <w:rsid w:val="240371BF"/>
    <w:rsid w:val="29FD04D3"/>
    <w:rsid w:val="2C8A61B5"/>
    <w:rsid w:val="2DF04E50"/>
    <w:rsid w:val="2EFD3A4F"/>
    <w:rsid w:val="319F7F4E"/>
    <w:rsid w:val="359F7AA1"/>
    <w:rsid w:val="36AA5135"/>
    <w:rsid w:val="37E16F03"/>
    <w:rsid w:val="3D98207C"/>
    <w:rsid w:val="3E3C1432"/>
    <w:rsid w:val="44E268DA"/>
    <w:rsid w:val="4A627F82"/>
    <w:rsid w:val="4B4F25DA"/>
    <w:rsid w:val="4B8A64CE"/>
    <w:rsid w:val="4BE068DB"/>
    <w:rsid w:val="4D577224"/>
    <w:rsid w:val="4EAB630A"/>
    <w:rsid w:val="4ECE2238"/>
    <w:rsid w:val="4F0A49CF"/>
    <w:rsid w:val="5AF92295"/>
    <w:rsid w:val="5C5D493A"/>
    <w:rsid w:val="5CD71FC4"/>
    <w:rsid w:val="5F2345A8"/>
    <w:rsid w:val="652E2806"/>
    <w:rsid w:val="66376316"/>
    <w:rsid w:val="6BFF7800"/>
    <w:rsid w:val="6C4A05C8"/>
    <w:rsid w:val="6E7E3605"/>
    <w:rsid w:val="6FF5CC65"/>
    <w:rsid w:val="715C0E4B"/>
    <w:rsid w:val="71EC30FB"/>
    <w:rsid w:val="72734D90"/>
    <w:rsid w:val="73AD73D5"/>
    <w:rsid w:val="73B6EB34"/>
    <w:rsid w:val="79EE5BA4"/>
    <w:rsid w:val="7A894339"/>
    <w:rsid w:val="7D9C1666"/>
    <w:rsid w:val="7EEF11D3"/>
    <w:rsid w:val="7FA30C79"/>
    <w:rsid w:val="7FC96657"/>
    <w:rsid w:val="8FFF09C3"/>
    <w:rsid w:val="D8D6DB89"/>
    <w:rsid w:val="DB6F4CAB"/>
    <w:rsid w:val="DE7FDA89"/>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spacing w:before="100" w:beforeAutospacing="1" w:after="100" w:afterAutospacing="1"/>
      <w:ind w:left="400" w:leftChars="200" w:hanging="200" w:hangingChars="200"/>
    </w:pPr>
    <w:rPr>
      <w:rFonts w:ascii="Times New Roman" w:hAnsi="Times New Roman"/>
    </w:rPr>
  </w:style>
  <w:style w:type="paragraph" w:styleId="6">
    <w:name w:val="Body Text"/>
    <w:basedOn w:val="1"/>
    <w:link w:val="29"/>
    <w:qFormat/>
    <w:uiPriority w:val="99"/>
    <w:pPr>
      <w:spacing w:beforeLines="30"/>
    </w:pPr>
    <w:rPr>
      <w:rFonts w:ascii="仿宋_GB2312" w:eastAsia="仿宋_GB2312"/>
      <w:kern w:val="0"/>
      <w:sz w:val="30"/>
    </w:rPr>
  </w:style>
  <w:style w:type="paragraph" w:styleId="7">
    <w:name w:val="Body Text Indent"/>
    <w:basedOn w:val="1"/>
    <w:qFormat/>
    <w:uiPriority w:val="99"/>
    <w:pPr>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w:basedOn w:val="6"/>
    <w:qFormat/>
    <w:uiPriority w:val="0"/>
    <w:pPr>
      <w:spacing w:beforeLines="0" w:after="120"/>
      <w:ind w:firstLine="420" w:firstLineChars="100"/>
    </w:pPr>
    <w:rPr>
      <w:rFonts w:ascii="Times New Roman" w:eastAsia="宋体"/>
      <w:kern w:val="2"/>
      <w:sz w:val="21"/>
    </w:rPr>
  </w:style>
  <w:style w:type="paragraph" w:styleId="15">
    <w:name w:val="Body Text First Indent 2"/>
    <w:basedOn w:val="7"/>
    <w:next w:val="1"/>
    <w:qFormat/>
    <w:uiPriority w:val="99"/>
    <w:pPr>
      <w:ind w:firstLine="420" w:firstLineChars="200"/>
    </w:pPr>
    <w:rPr>
      <w:rFonts w:ascii="Times New Roman" w:hAnsi="Times New Roman"/>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1 Char"/>
    <w:basedOn w:val="17"/>
    <w:link w:val="3"/>
    <w:qFormat/>
    <w:uiPriority w:val="9"/>
    <w:rPr>
      <w:rFonts w:ascii="Times New Roman" w:hAnsi="Times New Roman"/>
      <w:b/>
      <w:bCs/>
      <w:kern w:val="44"/>
      <w:sz w:val="44"/>
      <w:szCs w:val="44"/>
    </w:rPr>
  </w:style>
  <w:style w:type="character" w:customStyle="1" w:styleId="21">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5"/>
    <w:qFormat/>
    <w:uiPriority w:val="9"/>
    <w:rPr>
      <w:rFonts w:ascii="Times New Roman" w:hAnsi="Times New Roman"/>
      <w:b/>
      <w:bCs/>
      <w:kern w:val="2"/>
      <w:sz w:val="32"/>
      <w:szCs w:val="32"/>
    </w:rPr>
  </w:style>
  <w:style w:type="paragraph" w:customStyle="1" w:styleId="23">
    <w:name w:val="样式 行距: 固定值 28.9 磅"/>
    <w:basedOn w:val="1"/>
    <w:qFormat/>
    <w:uiPriority w:val="0"/>
    <w:pPr>
      <w:spacing w:line="578" w:lineRule="exact"/>
    </w:pPr>
    <w:rPr>
      <w:rFonts w:cs="宋体"/>
      <w:szCs w:val="20"/>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1"/>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10"/>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章标题"/>
    <w:basedOn w:val="1"/>
    <w:next w:val="1"/>
    <w:qFormat/>
    <w:uiPriority w:val="99"/>
    <w:pPr>
      <w:widowControl/>
      <w:spacing w:before="158" w:after="153" w:line="323" w:lineRule="atLeast"/>
      <w:ind w:right="-120"/>
      <w:jc w:val="center"/>
      <w:textAlignment w:val="baseline"/>
    </w:pPr>
    <w:rPr>
      <w:rFonts w:ascii="Times New Roman" w:hAnsi="Times New Roman"/>
      <w:color w:val="FF0000"/>
      <w:sz w:val="1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lenovo\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enovo\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109666666666667"/>
          <c:y val="0.140509259259259"/>
          <c:w val="0.882"/>
          <c:h val="0.711666666666667"/>
        </c:manualLayout>
      </c:layout>
      <c:barChart>
        <c:barDir val="col"/>
        <c:grouping val="stacked"/>
        <c:varyColors val="0"/>
        <c:ser>
          <c:idx val="0"/>
          <c:order val="0"/>
          <c:spPr>
            <a:solidFill>
              <a:schemeClr val="accent1"/>
            </a:solidFill>
            <a:ln>
              <a:noFill/>
            </a:ln>
            <a:effectLst/>
          </c:spPr>
          <c:invertIfNegative val="0"/>
          <c:dLbls>
            <c:delete val="1"/>
          </c:dLbls>
          <c:cat>
            <c:strRef>
              <c:f>'[新建 XLS 工作表.xls]Sheet1'!$A$1:$A$2</c:f>
              <c:strCache>
                <c:ptCount val="2"/>
                <c:pt idx="0">
                  <c:v>2020年</c:v>
                </c:pt>
                <c:pt idx="1">
                  <c:v>2021年</c:v>
                </c:pt>
              </c:strCache>
            </c:strRef>
          </c:cat>
          <c:val>
            <c:numRef>
              <c:f>'[新建 XLS 工作表.xls]Sheet1'!$B$1:$B$2</c:f>
              <c:numCache>
                <c:formatCode>General</c:formatCode>
                <c:ptCount val="2"/>
                <c:pt idx="0">
                  <c:v>1666.24</c:v>
                </c:pt>
                <c:pt idx="1">
                  <c:v>1815.63</c:v>
                </c:pt>
              </c:numCache>
            </c:numRef>
          </c:val>
        </c:ser>
        <c:dLbls>
          <c:showLegendKey val="0"/>
          <c:showVal val="0"/>
          <c:showCatName val="0"/>
          <c:showSerName val="0"/>
          <c:showPercent val="0"/>
          <c:showBubbleSize val="0"/>
        </c:dLbls>
        <c:gapWidth val="150"/>
        <c:overlap val="100"/>
        <c:axId val="615198234"/>
        <c:axId val="608236298"/>
      </c:barChart>
      <c:catAx>
        <c:axId val="6151982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236298"/>
        <c:crosses val="autoZero"/>
        <c:auto val="1"/>
        <c:lblAlgn val="ctr"/>
        <c:lblOffset val="100"/>
        <c:noMultiLvlLbl val="0"/>
      </c:catAx>
      <c:valAx>
        <c:axId val="6082362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519823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'[新建 XLS 工作表.xls]Sheet1'!$A$18:$A$19</c:f>
              <c:strCache>
                <c:ptCount val="2"/>
                <c:pt idx="0">
                  <c:v>一般公共预算拨款收入</c:v>
                </c:pt>
                <c:pt idx="1">
                  <c:v>其他收入</c:v>
                </c:pt>
              </c:strCache>
            </c:strRef>
          </c:cat>
          <c:val>
            <c:numRef>
              <c:f>'[新建 XLS 工作表.xls]Sheet1'!$B$18:$B$19</c:f>
              <c:numCache>
                <c:formatCode>General</c:formatCode>
                <c:ptCount val="2"/>
                <c:pt idx="0">
                  <c:v>1756.11</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354027777777778"/>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'[新建 XLS 工作表.xls]Sheet1'!$K$1:$K$2</c:f>
              <c:strCache>
                <c:ptCount val="2"/>
                <c:pt idx="0">
                  <c:v>基本支出</c:v>
                </c:pt>
                <c:pt idx="1">
                  <c:v>项目支出</c:v>
                </c:pt>
              </c:strCache>
            </c:strRef>
          </c:cat>
          <c:val>
            <c:numRef>
              <c:f>'[新建 XLS 工作表.xls]Sheet1'!$L$1:$L$2</c:f>
              <c:numCache>
                <c:formatCode>General</c:formatCode>
                <c:ptCount val="2"/>
                <c:pt idx="0">
                  <c:v>818.82</c:v>
                </c:pt>
                <c:pt idx="1">
                  <c:v>939.18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elete val="1"/>
          </c:dLbls>
          <c:cat>
            <c:strRef>
              <c:f>'[新建 XLS 工作表.xls]Sheet1'!$K$18:$K$19</c:f>
              <c:strCache>
                <c:ptCount val="2"/>
                <c:pt idx="0">
                  <c:v>2020年</c:v>
                </c:pt>
                <c:pt idx="1">
                  <c:v>2021年</c:v>
                </c:pt>
              </c:strCache>
            </c:strRef>
          </c:cat>
          <c:val>
            <c:numRef>
              <c:f>'[新建 XLS 工作表.xls]Sheet1'!$L$18:$L$19</c:f>
              <c:numCache>
                <c:formatCode>General</c:formatCode>
                <c:ptCount val="2"/>
                <c:pt idx="0">
                  <c:v>1666.24</c:v>
                </c:pt>
                <c:pt idx="1">
                  <c:v>1815.63</c:v>
                </c:pt>
              </c:numCache>
            </c:numRef>
          </c:val>
        </c:ser>
        <c:dLbls>
          <c:showLegendKey val="0"/>
          <c:showVal val="0"/>
          <c:showCatName val="0"/>
          <c:showSerName val="0"/>
          <c:showPercent val="0"/>
          <c:showBubbleSize val="0"/>
        </c:dLbls>
        <c:gapWidth val="150"/>
        <c:overlap val="100"/>
        <c:axId val="721790984"/>
        <c:axId val="954973593"/>
      </c:barChart>
      <c:catAx>
        <c:axId val="7217909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4973593"/>
        <c:crosses val="autoZero"/>
        <c:auto val="1"/>
        <c:lblAlgn val="ctr"/>
        <c:lblOffset val="100"/>
        <c:noMultiLvlLbl val="0"/>
      </c:catAx>
      <c:valAx>
        <c:axId val="9549735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1790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40138888888889"/>
          <c:y val="0.0277777777777778"/>
        </c:manualLayout>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elete val="1"/>
          </c:dLbls>
          <c:cat>
            <c:strRef>
              <c:f>'[新建 XLS 工作表.xls]Sheet1'!$A$34:$A$35</c:f>
              <c:strCache>
                <c:ptCount val="2"/>
                <c:pt idx="0">
                  <c:v>2020年</c:v>
                </c:pt>
                <c:pt idx="1">
                  <c:v>2021年</c:v>
                </c:pt>
              </c:strCache>
            </c:strRef>
          </c:cat>
          <c:val>
            <c:numRef>
              <c:f>'[新建 XLS 工作表.xls]Sheet1'!$B$34:$B$35</c:f>
              <c:numCache>
                <c:formatCode>General</c:formatCode>
                <c:ptCount val="2"/>
                <c:pt idx="0">
                  <c:v>1529.28</c:v>
                </c:pt>
                <c:pt idx="1">
                  <c:v>1758</c:v>
                </c:pt>
              </c:numCache>
            </c:numRef>
          </c:val>
        </c:ser>
        <c:dLbls>
          <c:showLegendKey val="0"/>
          <c:showVal val="0"/>
          <c:showCatName val="0"/>
          <c:showSerName val="0"/>
          <c:showPercent val="0"/>
          <c:showBubbleSize val="0"/>
        </c:dLbls>
        <c:gapWidth val="150"/>
        <c:overlap val="100"/>
        <c:axId val="173177368"/>
        <c:axId val="296843110"/>
      </c:barChart>
      <c:catAx>
        <c:axId val="1731773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6843110"/>
        <c:crosses val="autoZero"/>
        <c:auto val="1"/>
        <c:lblAlgn val="ctr"/>
        <c:lblOffset val="100"/>
        <c:noMultiLvlLbl val="0"/>
      </c:catAx>
      <c:valAx>
        <c:axId val="2968431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177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214444444444444"/>
          <c:y val="0.05555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'[新建 XLS 工作表.xls]Sheet1'!$K$34:$K$37</c:f>
              <c:strCache>
                <c:ptCount val="4"/>
                <c:pt idx="0">
                  <c:v>一般公共服务（类）</c:v>
                </c:pt>
                <c:pt idx="1">
                  <c:v>社会保障和就业（类）</c:v>
                </c:pt>
                <c:pt idx="2">
                  <c:v>卫生健康支出（类）</c:v>
                </c:pt>
                <c:pt idx="3">
                  <c:v>住房保障（类）</c:v>
                </c:pt>
              </c:strCache>
            </c:strRef>
          </c:cat>
          <c:val>
            <c:numRef>
              <c:f>'[新建 XLS 工作表.xls]Sheet1'!$L$34:$L$37</c:f>
              <c:numCache>
                <c:formatCode>General</c:formatCode>
                <c:ptCount val="4"/>
                <c:pt idx="0">
                  <c:v>1579.22</c:v>
                </c:pt>
                <c:pt idx="1">
                  <c:v>77</c:v>
                </c:pt>
                <c:pt idx="2">
                  <c:v>27.14</c:v>
                </c:pt>
                <c:pt idx="3">
                  <c:v>74.63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96597222222222"/>
          <c:y val="0.85231481481481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'[新建 XLS 工作表.xls]Sheet1'!$A$51:$A$53</c:f>
              <c:strCache>
                <c:ptCount val="3"/>
                <c:pt idx="0">
                  <c:v>因公出国（境）费</c:v>
                </c:pt>
                <c:pt idx="1">
                  <c:v>公务用车购置及运行维护费</c:v>
                </c:pt>
                <c:pt idx="2">
                  <c:v>公务接待费</c:v>
                </c:pt>
              </c:strCache>
            </c:strRef>
          </c:cat>
          <c:val>
            <c:numRef>
              <c:f>'[新建 XLS 工作表.xls]Sheet1'!$B$51:$B$53</c:f>
              <c:numCache>
                <c:formatCode>General</c:formatCode>
                <c:ptCount val="3"/>
                <c:pt idx="0">
                  <c:v>0</c:v>
                </c:pt>
                <c:pt idx="1">
                  <c:v>5.61</c:v>
                </c:pt>
                <c:pt idx="2">
                  <c:v>14.11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四川省财政厅</Company>
  <Pages>45</Pages>
  <Words>17388</Words>
  <Characters>18492</Characters>
  <Lines>61</Lines>
  <Paragraphs>17</Paragraphs>
  <TotalTime>200</TotalTime>
  <ScaleCrop>false</ScaleCrop>
  <LinksUpToDate>false</LinksUpToDate>
  <CharactersWithSpaces>18582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玖千余为春秋</cp:lastModifiedBy>
  <cp:lastPrinted>2022-08-09T09:11:00Z</cp:lastPrinted>
  <dcterms:modified xsi:type="dcterms:W3CDTF">2023-08-03T04:51:37Z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84FFCD9A6F854B6696C8AC9C95EC588A</vt:lpwstr>
  </property>
</Properties>
</file>