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300" w:lineRule="exact"/>
        <w:jc w:val="center"/>
        <w:outlineLvl w:val="0"/>
        <w:rPr>
          <w:rFonts w:hint="eastAsia" w:ascii="方正小标宋_GBK" w:hAnsi="方正小标宋_GBK" w:eastAsia="方正小标宋_GBK" w:cs="方正小标宋_GBK"/>
          <w:color w:val="000000"/>
          <w:sz w:val="72"/>
          <w:szCs w:val="72"/>
        </w:rPr>
      </w:pPr>
      <w:bookmarkStart w:id="0" w:name="_Toc15378441"/>
      <w:bookmarkStart w:id="1" w:name="_Toc15396475"/>
      <w:bookmarkStart w:id="2" w:name="_Toc9086"/>
      <w:bookmarkStart w:id="3" w:name="_Toc15396597"/>
      <w:bookmarkStart w:id="4" w:name="_Toc15377193"/>
      <w:bookmarkStart w:id="5" w:name="_Toc15377425"/>
      <w:bookmarkStart w:id="6" w:name="_Toc15306267"/>
      <w:r>
        <w:rPr>
          <w:rFonts w:hint="eastAsia" w:ascii="方正小标宋_GBK" w:hAnsi="方正小标宋_GBK" w:eastAsia="方正小标宋_GBK" w:cs="方正小标宋_GBK"/>
          <w:color w:val="000000"/>
          <w:sz w:val="72"/>
          <w:szCs w:val="72"/>
        </w:rPr>
        <w:t>20</w:t>
      </w:r>
      <w:r>
        <w:rPr>
          <w:rFonts w:hint="eastAsia" w:ascii="方正小标宋_GBK" w:hAnsi="方正小标宋_GBK" w:eastAsia="方正小标宋_GBK" w:cs="方正小标宋_GBK"/>
          <w:color w:val="000000"/>
          <w:sz w:val="72"/>
          <w:szCs w:val="72"/>
          <w:lang w:val="en-US" w:eastAsia="zh-CN"/>
        </w:rPr>
        <w:t>21</w:t>
      </w:r>
      <w:bookmarkStart w:id="142" w:name="_GoBack"/>
      <w:bookmarkEnd w:id="142"/>
      <w:r>
        <w:rPr>
          <w:rFonts w:hint="eastAsia" w:ascii="方正小标宋_GBK" w:hAnsi="方正小标宋_GBK" w:eastAsia="方正小标宋_GBK" w:cs="方正小标宋_GBK"/>
          <w:color w:val="000000"/>
          <w:sz w:val="72"/>
          <w:szCs w:val="72"/>
        </w:rPr>
        <w:t>年度</w:t>
      </w:r>
      <w:bookmarkEnd w:id="0"/>
      <w:bookmarkEnd w:id="1"/>
      <w:bookmarkEnd w:id="2"/>
      <w:bookmarkEnd w:id="3"/>
      <w:bookmarkEnd w:id="4"/>
      <w:bookmarkEnd w:id="5"/>
    </w:p>
    <w:p>
      <w:pPr>
        <w:adjustRightInd w:val="0"/>
        <w:snapToGrid w:val="0"/>
        <w:spacing w:line="1300" w:lineRule="exact"/>
        <w:jc w:val="center"/>
        <w:outlineLvl w:val="0"/>
        <w:rPr>
          <w:rFonts w:hint="eastAsia" w:ascii="方正小标宋_GBK" w:hAnsi="方正小标宋_GBK" w:eastAsia="方正小标宋_GBK" w:cs="方正小标宋_GBK"/>
          <w:color w:val="000000"/>
          <w:sz w:val="72"/>
          <w:szCs w:val="72"/>
        </w:rPr>
      </w:pPr>
      <w:bookmarkStart w:id="7" w:name="_Toc15377426"/>
      <w:bookmarkStart w:id="8" w:name="_Toc15377194"/>
      <w:bookmarkStart w:id="9" w:name="_Toc371"/>
      <w:bookmarkStart w:id="10" w:name="_Toc15396476"/>
      <w:bookmarkStart w:id="11" w:name="_Toc15378442"/>
      <w:bookmarkStart w:id="12" w:name="_Toc15396598"/>
      <w:r>
        <w:rPr>
          <w:rFonts w:hint="eastAsia" w:ascii="方正小标宋_GBK" w:hAnsi="方正小标宋_GBK" w:eastAsia="方正小标宋_GBK" w:cs="方正小标宋_GBK"/>
          <w:color w:val="000000"/>
          <w:sz w:val="72"/>
          <w:szCs w:val="72"/>
          <w:lang w:val="en-US" w:eastAsia="zh-CN"/>
        </w:rPr>
        <w:t>广元市</w:t>
      </w:r>
      <w:bookmarkEnd w:id="6"/>
      <w:bookmarkStart w:id="13" w:name="_Toc15306268"/>
      <w:r>
        <w:rPr>
          <w:rFonts w:hint="eastAsia" w:ascii="方正小标宋_GBK" w:hAnsi="方正小标宋_GBK" w:eastAsia="方正小标宋_GBK" w:cs="方正小标宋_GBK"/>
          <w:color w:val="000000"/>
          <w:sz w:val="72"/>
          <w:szCs w:val="72"/>
          <w:lang w:eastAsia="zh-CN"/>
        </w:rPr>
        <w:t>天然气综合利用工业园区管委会</w:t>
      </w:r>
      <w:r>
        <w:rPr>
          <w:rFonts w:hint="eastAsia" w:ascii="方正小标宋_GBK" w:hAnsi="方正小标宋_GBK" w:eastAsia="方正小标宋_GBK" w:cs="方正小标宋_GBK"/>
          <w:color w:val="000000"/>
          <w:sz w:val="72"/>
          <w:szCs w:val="72"/>
        </w:rPr>
        <w:t>部门决算</w:t>
      </w:r>
      <w:bookmarkEnd w:id="7"/>
      <w:bookmarkEnd w:id="8"/>
      <w:bookmarkEnd w:id="9"/>
      <w:bookmarkEnd w:id="10"/>
      <w:bookmarkEnd w:id="11"/>
      <w:bookmarkEnd w:id="12"/>
      <w:bookmarkEnd w:id="13"/>
    </w:p>
    <w:p>
      <w:pPr>
        <w:adjustRightInd w:val="0"/>
        <w:snapToGrid w:val="0"/>
        <w:spacing w:line="1300" w:lineRule="exact"/>
        <w:jc w:val="center"/>
        <w:outlineLvl w:val="0"/>
        <w:rPr>
          <w:rFonts w:hint="eastAsia" w:ascii="方正小标宋_GBK" w:hAnsi="方正小标宋_GBK" w:eastAsia="方正小标宋_GBK" w:cs="方正小标宋_GBK"/>
          <w:color w:val="000000"/>
          <w:sz w:val="72"/>
          <w:szCs w:val="72"/>
        </w:rPr>
      </w:pPr>
      <w:bookmarkStart w:id="14" w:name="_Toc27063"/>
      <w:bookmarkStart w:id="15" w:name="_Toc583"/>
      <w:bookmarkStart w:id="16" w:name="_Toc5594"/>
      <w:bookmarkStart w:id="17" w:name="_Toc18260"/>
    </w:p>
    <w:p>
      <w:pPr>
        <w:adjustRightInd w:val="0"/>
        <w:snapToGrid w:val="0"/>
        <w:spacing w:line="1300" w:lineRule="exact"/>
        <w:jc w:val="center"/>
        <w:outlineLvl w:val="0"/>
        <w:rPr>
          <w:rFonts w:ascii="方正小标宋_GBK" w:hAnsi="方正小标宋_GBK" w:eastAsia="方正小标宋_GBK" w:cs="方正小标宋_GBK"/>
          <w:color w:val="000000"/>
          <w:sz w:val="72"/>
          <w:szCs w:val="72"/>
        </w:rPr>
      </w:pPr>
      <w:bookmarkStart w:id="18" w:name="_Toc11747"/>
      <w:r>
        <w:rPr>
          <w:rFonts w:hint="eastAsia" w:ascii="方正小标宋_GBK" w:hAnsi="方正小标宋_GBK" w:eastAsia="方正小标宋_GBK" w:cs="方正小标宋_GBK"/>
          <w:color w:val="000000"/>
          <w:sz w:val="72"/>
          <w:szCs w:val="72"/>
        </w:rPr>
        <w:t>编</w:t>
      </w:r>
      <w:bookmarkEnd w:id="14"/>
      <w:bookmarkEnd w:id="15"/>
      <w:bookmarkEnd w:id="16"/>
      <w:bookmarkEnd w:id="17"/>
      <w:bookmarkEnd w:id="18"/>
    </w:p>
    <w:p>
      <w:pPr>
        <w:adjustRightInd w:val="0"/>
        <w:snapToGrid w:val="0"/>
        <w:spacing w:line="1300" w:lineRule="exact"/>
        <w:jc w:val="center"/>
        <w:outlineLvl w:val="0"/>
        <w:rPr>
          <w:rFonts w:ascii="方正小标宋_GBK" w:hAnsi="方正小标宋_GBK" w:eastAsia="方正小标宋_GBK" w:cs="方正小标宋_GBK"/>
          <w:color w:val="000000"/>
          <w:sz w:val="72"/>
          <w:szCs w:val="72"/>
        </w:rPr>
      </w:pPr>
      <w:bookmarkStart w:id="19" w:name="_Toc13941"/>
      <w:bookmarkStart w:id="20" w:name="_Toc5412"/>
      <w:bookmarkStart w:id="21" w:name="_Toc29255"/>
      <w:bookmarkStart w:id="22" w:name="_Toc1697"/>
      <w:bookmarkStart w:id="23" w:name="_Toc25563"/>
      <w:r>
        <w:rPr>
          <w:rFonts w:hint="eastAsia" w:ascii="方正小标宋_GBK" w:hAnsi="方正小标宋_GBK" w:eastAsia="方正小标宋_GBK" w:cs="方正小标宋_GBK"/>
          <w:color w:val="000000"/>
          <w:sz w:val="72"/>
          <w:szCs w:val="72"/>
        </w:rPr>
        <w:t>制</w:t>
      </w:r>
      <w:bookmarkEnd w:id="19"/>
      <w:bookmarkEnd w:id="20"/>
      <w:bookmarkEnd w:id="21"/>
      <w:bookmarkEnd w:id="22"/>
      <w:bookmarkEnd w:id="23"/>
    </w:p>
    <w:p>
      <w:pPr>
        <w:adjustRightInd w:val="0"/>
        <w:snapToGrid w:val="0"/>
        <w:spacing w:line="1300" w:lineRule="exact"/>
        <w:jc w:val="center"/>
        <w:outlineLvl w:val="0"/>
        <w:rPr>
          <w:rFonts w:ascii="方正小标宋_GBK" w:hAnsi="方正小标宋_GBK" w:eastAsia="方正小标宋_GBK" w:cs="方正小标宋_GBK"/>
          <w:color w:val="000000"/>
          <w:sz w:val="72"/>
          <w:szCs w:val="72"/>
        </w:rPr>
      </w:pPr>
      <w:bookmarkStart w:id="24" w:name="_Toc18320"/>
      <w:bookmarkStart w:id="25" w:name="_Toc3446"/>
      <w:bookmarkStart w:id="26" w:name="_Toc9615"/>
      <w:bookmarkStart w:id="27" w:name="_Toc15675"/>
      <w:bookmarkStart w:id="28" w:name="_Toc2484"/>
      <w:r>
        <w:rPr>
          <w:rFonts w:hint="eastAsia" w:ascii="方正小标宋_GBK" w:hAnsi="方正小标宋_GBK" w:eastAsia="方正小标宋_GBK" w:cs="方正小标宋_GBK"/>
          <w:color w:val="000000"/>
          <w:sz w:val="72"/>
          <w:szCs w:val="72"/>
        </w:rPr>
        <w:t>说</w:t>
      </w:r>
      <w:bookmarkEnd w:id="24"/>
      <w:bookmarkEnd w:id="25"/>
      <w:bookmarkEnd w:id="26"/>
      <w:bookmarkEnd w:id="27"/>
      <w:bookmarkEnd w:id="28"/>
    </w:p>
    <w:p>
      <w:pPr>
        <w:widowControl/>
        <w:spacing w:line="1300" w:lineRule="exact"/>
        <w:jc w:val="center"/>
        <w:rPr>
          <w:rFonts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明</w:t>
      </w:r>
    </w:p>
    <w:p>
      <w:pPr>
        <w:pStyle w:val="13"/>
        <w:tabs>
          <w:tab w:val="right" w:leader="middleDot" w:pos="8306"/>
          <w:tab w:val="clear" w:pos="8296"/>
        </w:tabs>
        <w:outlineLvl w:val="9"/>
        <w:rPr>
          <w:rFonts w:ascii="楷体_GB2312" w:hAnsi="楷体_GB2312" w:eastAsia="楷体_GB2312" w:cs="楷体_GB2312"/>
          <w:sz w:val="44"/>
          <w:szCs w:val="44"/>
        </w:rPr>
      </w:pPr>
    </w:p>
    <w:p>
      <w:pPr>
        <w:widowControl/>
        <w:jc w:val="center"/>
        <w:rPr>
          <w:rFonts w:hint="eastAsia" w:ascii="楷体_GB2312" w:hAnsi="楷体_GB2312" w:eastAsia="楷体_GB2312" w:cs="楷体_GB2312"/>
          <w:sz w:val="44"/>
          <w:szCs w:val="44"/>
        </w:rPr>
        <w:sectPr>
          <w:headerReference r:id="rId3" w:type="default"/>
          <w:footerReference r:id="rId4" w:type="default"/>
          <w:pgSz w:w="11906" w:h="16838"/>
          <w:pgMar w:top="2098" w:right="1474" w:bottom="1134" w:left="1587" w:header="851" w:footer="992" w:gutter="0"/>
          <w:pgNumType w:fmt="decimal" w:start="1"/>
          <w:cols w:space="425" w:num="1"/>
          <w:titlePg/>
          <w:docGrid w:type="lines" w:linePitch="312" w:charSpace="0"/>
        </w:sectPr>
      </w:pPr>
      <w:bookmarkStart w:id="29" w:name="_Toc24997"/>
      <w:r>
        <w:rPr>
          <w:rFonts w:hint="eastAsia" w:ascii="楷体_GB2312" w:hAnsi="楷体_GB2312" w:eastAsia="楷体_GB2312" w:cs="楷体_GB2312"/>
          <w:sz w:val="44"/>
          <w:szCs w:val="44"/>
        </w:rPr>
        <w:t>（202</w:t>
      </w:r>
      <w:r>
        <w:rPr>
          <w:rFonts w:hint="eastAsia" w:ascii="楷体_GB2312" w:hAnsi="楷体_GB2312" w:eastAsia="楷体_GB2312" w:cs="楷体_GB2312"/>
          <w:sz w:val="44"/>
          <w:szCs w:val="44"/>
          <w:lang w:val="en-US" w:eastAsia="zh-CN"/>
        </w:rPr>
        <w:t>2</w:t>
      </w:r>
      <w:r>
        <w:rPr>
          <w:rFonts w:hint="eastAsia" w:ascii="楷体_GB2312" w:hAnsi="楷体_GB2312" w:eastAsia="楷体_GB2312" w:cs="楷体_GB2312"/>
          <w:sz w:val="44"/>
          <w:szCs w:val="44"/>
        </w:rPr>
        <w:t>年9月）</w:t>
      </w:r>
      <w:bookmarkEnd w:id="29"/>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olor w:val="auto"/>
          <w:sz w:val="36"/>
          <w:szCs w:val="36"/>
          <w:highlight w:val="none"/>
        </w:rPr>
      </w:pPr>
      <w:r>
        <w:rPr>
          <w:rFonts w:hint="eastAsia" w:ascii="黑体" w:hAnsi="黑体" w:eastAsia="黑体"/>
          <w:color w:val="auto"/>
          <w:sz w:val="36"/>
          <w:szCs w:val="36"/>
          <w:highlight w:val="none"/>
        </w:rPr>
        <w:t>目录</w:t>
      </w:r>
    </w:p>
    <w:p>
      <w:pPr>
        <w:pStyle w:val="13"/>
        <w:keepNext w:val="0"/>
        <w:keepLines w:val="0"/>
        <w:pageBreakBefore w:val="0"/>
        <w:tabs>
          <w:tab w:val="right" w:leader="dot" w:pos="8845"/>
          <w:tab w:val="clear" w:pos="8296"/>
        </w:tabs>
        <w:kinsoku/>
        <w:wordWrap/>
        <w:overflowPunct/>
        <w:topLinePunct w:val="0"/>
        <w:autoSpaceDE/>
        <w:autoSpaceDN/>
        <w:bidi w:val="0"/>
        <w:adjustRightInd/>
        <w:snapToGrid/>
        <w:spacing w:line="400" w:lineRule="exact"/>
        <w:textAlignment w:val="auto"/>
      </w:pPr>
      <w:bookmarkStart w:id="30" w:name="_Toc15396599"/>
      <w:bookmarkStart w:id="31" w:name="_Toc15377196"/>
      <w:r>
        <w:rPr>
          <w:rFonts w:hint="eastAsia"/>
          <w:lang w:eastAsia="zh-CN"/>
        </w:rPr>
        <w:t>公开时间：</w:t>
      </w:r>
      <w:r>
        <w:rPr>
          <w:rFonts w:hint="eastAsia"/>
          <w:lang w:val="en-US" w:eastAsia="zh-CN"/>
        </w:rPr>
        <w:t>2022年9月20日</w:t>
      </w:r>
      <w:r>
        <w:fldChar w:fldCharType="begin"/>
      </w:r>
      <w:r>
        <w:instrText xml:space="preserve">TOC \o "1-2" \h \u </w:instrText>
      </w:r>
      <w:r>
        <w:fldChar w:fldCharType="separate"/>
      </w:r>
    </w:p>
    <w:p>
      <w:pPr>
        <w:pStyle w:val="13"/>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_Toc13646 </w:instrText>
      </w:r>
      <w:r>
        <w:rPr>
          <w:rFonts w:hint="eastAsia" w:ascii="宋体" w:hAnsi="宋体" w:eastAsia="宋体" w:cs="宋体"/>
          <w:sz w:val="21"/>
          <w:szCs w:val="21"/>
        </w:rPr>
        <w:fldChar w:fldCharType="separate"/>
      </w:r>
      <w:r>
        <w:rPr>
          <w:rFonts w:hint="eastAsia" w:ascii="宋体" w:hAnsi="宋体" w:eastAsia="宋体" w:cs="宋体"/>
          <w:sz w:val="21"/>
          <w:szCs w:val="21"/>
        </w:rPr>
        <w:t>第一部分 部门概况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_Toc13646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_Toc18542 </w:instrText>
      </w:r>
      <w:r>
        <w:rPr>
          <w:rFonts w:hint="eastAsia" w:ascii="宋体" w:hAnsi="宋体" w:eastAsia="宋体" w:cs="宋体"/>
          <w:sz w:val="21"/>
          <w:szCs w:val="21"/>
        </w:rPr>
        <w:fldChar w:fldCharType="separate"/>
      </w:r>
      <w:r>
        <w:rPr>
          <w:rFonts w:hint="eastAsia" w:ascii="宋体" w:hAnsi="宋体" w:eastAsia="宋体" w:cs="宋体"/>
          <w:sz w:val="21"/>
          <w:szCs w:val="21"/>
        </w:rPr>
        <w:t>一、基本职能及主要工作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_Toc18542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_Toc17700 </w:instrText>
      </w:r>
      <w:r>
        <w:rPr>
          <w:rFonts w:hint="eastAsia" w:ascii="宋体" w:hAnsi="宋体" w:eastAsia="宋体" w:cs="宋体"/>
          <w:sz w:val="21"/>
          <w:szCs w:val="21"/>
        </w:rPr>
        <w:fldChar w:fldCharType="separate"/>
      </w:r>
      <w:r>
        <w:rPr>
          <w:rFonts w:hint="eastAsia" w:ascii="宋体" w:hAnsi="宋体" w:eastAsia="宋体" w:cs="宋体"/>
          <w:sz w:val="21"/>
          <w:szCs w:val="21"/>
        </w:rPr>
        <w:t>二、机构设置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_Toc17700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_Toc29997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第二部分 </w:t>
      </w:r>
      <w:r>
        <w:rPr>
          <w:rFonts w:hint="eastAsia" w:ascii="宋体" w:hAnsi="宋体" w:eastAsia="宋体" w:cs="宋体"/>
          <w:sz w:val="21"/>
          <w:szCs w:val="21"/>
          <w:lang w:val="en-US" w:eastAsia="zh-CN"/>
        </w:rPr>
        <w:t>2021年度</w:t>
      </w:r>
      <w:r>
        <w:rPr>
          <w:rFonts w:hint="eastAsia" w:ascii="宋体" w:hAnsi="宋体" w:eastAsia="宋体" w:cs="宋体"/>
          <w:sz w:val="21"/>
          <w:szCs w:val="21"/>
        </w:rPr>
        <w:t>部门决算情况说明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_Toc29997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_Toc22853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一、</w:t>
      </w:r>
      <w:r>
        <w:rPr>
          <w:rFonts w:hint="eastAsia" w:ascii="宋体" w:hAnsi="宋体" w:eastAsia="宋体" w:cs="宋体"/>
          <w:sz w:val="21"/>
          <w:szCs w:val="21"/>
        </w:rPr>
        <w:t>收入支出决算总体情况说明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_Toc22853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_Toc23637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二、</w:t>
      </w:r>
      <w:r>
        <w:rPr>
          <w:rFonts w:hint="eastAsia" w:ascii="宋体" w:hAnsi="宋体" w:eastAsia="宋体" w:cs="宋体"/>
          <w:sz w:val="21"/>
          <w:szCs w:val="21"/>
        </w:rPr>
        <w:t>收入决算情况说明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_Toc23637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_Toc14247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三、</w:t>
      </w:r>
      <w:r>
        <w:rPr>
          <w:rFonts w:hint="eastAsia" w:ascii="宋体" w:hAnsi="宋体" w:eastAsia="宋体" w:cs="宋体"/>
          <w:sz w:val="21"/>
          <w:szCs w:val="21"/>
        </w:rPr>
        <w:t>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_Toc14247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_Toc8085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四、</w:t>
      </w:r>
      <w:r>
        <w:rPr>
          <w:rFonts w:hint="eastAsia" w:ascii="宋体" w:hAnsi="宋体" w:eastAsia="宋体" w:cs="宋体"/>
          <w:sz w:val="21"/>
          <w:szCs w:val="21"/>
        </w:rPr>
        <w:t>财政拨款收入支出决算总体情况说明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_Toc8085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_Toc32063 </w:instrText>
      </w:r>
      <w:r>
        <w:rPr>
          <w:rFonts w:hint="eastAsia" w:ascii="宋体" w:hAnsi="宋体" w:eastAsia="宋体" w:cs="宋体"/>
          <w:sz w:val="21"/>
          <w:szCs w:val="21"/>
        </w:rPr>
        <w:fldChar w:fldCharType="separate"/>
      </w:r>
      <w:r>
        <w:rPr>
          <w:rFonts w:hint="eastAsia" w:ascii="宋体" w:hAnsi="宋体" w:eastAsia="宋体" w:cs="宋体"/>
          <w:sz w:val="21"/>
          <w:szCs w:val="21"/>
        </w:rPr>
        <w:t>五、一般公共预算财政拨款支出决算情况说明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_Toc32063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_Toc29525 </w:instrText>
      </w:r>
      <w:r>
        <w:rPr>
          <w:rFonts w:hint="eastAsia" w:ascii="宋体" w:hAnsi="宋体" w:eastAsia="宋体" w:cs="宋体"/>
          <w:sz w:val="21"/>
          <w:szCs w:val="21"/>
        </w:rPr>
        <w:fldChar w:fldCharType="separate"/>
      </w:r>
      <w:r>
        <w:rPr>
          <w:rFonts w:hint="eastAsia" w:ascii="宋体" w:hAnsi="宋体" w:eastAsia="宋体" w:cs="宋体"/>
          <w:sz w:val="21"/>
          <w:szCs w:val="21"/>
        </w:rPr>
        <w:t>六、一般公共预算财政拨款基本支出决算情况说明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_Toc29525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_Toc19973 </w:instrText>
      </w:r>
      <w:r>
        <w:rPr>
          <w:rFonts w:hint="eastAsia" w:ascii="宋体" w:hAnsi="宋体" w:eastAsia="宋体" w:cs="宋体"/>
          <w:sz w:val="21"/>
          <w:szCs w:val="21"/>
        </w:rPr>
        <w:fldChar w:fldCharType="separate"/>
      </w:r>
      <w:r>
        <w:rPr>
          <w:rFonts w:hint="eastAsia" w:ascii="宋体" w:hAnsi="宋体" w:eastAsia="宋体" w:cs="宋体"/>
          <w:sz w:val="21"/>
          <w:szCs w:val="21"/>
        </w:rPr>
        <w:t>七、“三公”经费财政拨款支出决算情况说明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_Toc19973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_Toc13515 </w:instrText>
      </w:r>
      <w:r>
        <w:rPr>
          <w:rFonts w:hint="eastAsia" w:ascii="宋体" w:hAnsi="宋体" w:eastAsia="宋体" w:cs="宋体"/>
          <w:sz w:val="21"/>
          <w:szCs w:val="21"/>
        </w:rPr>
        <w:fldChar w:fldCharType="separate"/>
      </w:r>
      <w:r>
        <w:rPr>
          <w:rFonts w:hint="eastAsia" w:ascii="宋体" w:hAnsi="宋体" w:eastAsia="宋体" w:cs="宋体"/>
          <w:sz w:val="21"/>
          <w:szCs w:val="21"/>
        </w:rPr>
        <w:t>八、政府性基金预算支出决算情况说明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_Toc13515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_Toc10608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国有资本经营预算支出决算情况说明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_Toc10608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_Toc30898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lang w:val="en-US" w:eastAsia="zh-CN"/>
        </w:rPr>
        <w:t>十、预算绩效管理情况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_Toc30898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_Toc5808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lang w:eastAsia="zh-CN"/>
        </w:rPr>
        <w:t>十一、</w:t>
      </w:r>
      <w:r>
        <w:rPr>
          <w:rFonts w:hint="eastAsia" w:ascii="宋体" w:hAnsi="宋体" w:eastAsia="宋体" w:cs="宋体"/>
          <w:bCs/>
          <w:sz w:val="21"/>
          <w:szCs w:val="21"/>
          <w:highlight w:val="none"/>
        </w:rPr>
        <w:t>其他重要事项的情况说明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_Toc5808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_Toc32116 </w:instrText>
      </w:r>
      <w:r>
        <w:rPr>
          <w:rFonts w:hint="eastAsia" w:ascii="宋体" w:hAnsi="宋体" w:eastAsia="宋体" w:cs="宋体"/>
          <w:sz w:val="21"/>
          <w:szCs w:val="21"/>
        </w:rPr>
        <w:fldChar w:fldCharType="separate"/>
      </w:r>
      <w:r>
        <w:rPr>
          <w:rFonts w:hint="eastAsia" w:ascii="宋体" w:hAnsi="宋体" w:eastAsia="宋体" w:cs="宋体"/>
          <w:sz w:val="21"/>
          <w:szCs w:val="21"/>
        </w:rPr>
        <w:t>第三部分 名词解释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_Toc32116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_Toc30423 </w:instrText>
      </w:r>
      <w:r>
        <w:rPr>
          <w:rFonts w:hint="eastAsia" w:ascii="宋体" w:hAnsi="宋体" w:eastAsia="宋体" w:cs="宋体"/>
          <w:sz w:val="21"/>
          <w:szCs w:val="21"/>
        </w:rPr>
        <w:fldChar w:fldCharType="separate"/>
      </w:r>
      <w:r>
        <w:rPr>
          <w:rFonts w:hint="eastAsia" w:ascii="宋体" w:hAnsi="宋体" w:eastAsia="宋体" w:cs="宋体"/>
          <w:sz w:val="21"/>
          <w:szCs w:val="21"/>
        </w:rPr>
        <w:t>第四部分 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_Toc30423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_Toc22800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1</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_Toc22800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_Toc235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_Toc12466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3</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_Toc12466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_Toc12933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4</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_Toc12933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_Toc9221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5</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_Toc9221 \h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_Toc11083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6</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_Toc11083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7</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 \h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_Toc2065 </w:instrText>
      </w:r>
      <w:r>
        <w:rPr>
          <w:rFonts w:hint="eastAsia" w:ascii="宋体" w:hAnsi="宋体" w:eastAsia="宋体" w:cs="宋体"/>
          <w:sz w:val="21"/>
          <w:szCs w:val="21"/>
        </w:rPr>
        <w:fldChar w:fldCharType="separate"/>
      </w:r>
      <w:r>
        <w:rPr>
          <w:rFonts w:hint="eastAsia" w:ascii="宋体" w:hAnsi="宋体" w:eastAsia="宋体" w:cs="宋体"/>
          <w:sz w:val="21"/>
          <w:szCs w:val="21"/>
        </w:rPr>
        <w:t>第五部分 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_Toc2065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_Toc19067 </w:instrText>
      </w:r>
      <w:r>
        <w:rPr>
          <w:rFonts w:hint="eastAsia" w:ascii="宋体" w:hAnsi="宋体" w:eastAsia="宋体" w:cs="宋体"/>
          <w:sz w:val="21"/>
          <w:szCs w:val="21"/>
        </w:rPr>
        <w:fldChar w:fldCharType="separate"/>
      </w:r>
      <w:r>
        <w:rPr>
          <w:rFonts w:hint="eastAsia" w:ascii="宋体" w:hAnsi="宋体" w:eastAsia="宋体" w:cs="宋体"/>
          <w:sz w:val="21"/>
          <w:szCs w:val="21"/>
        </w:rPr>
        <w:t>一、收入支出决算总表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_Toc19067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_Toc27613 </w:instrText>
      </w:r>
      <w:r>
        <w:rPr>
          <w:rFonts w:hint="eastAsia" w:ascii="宋体" w:hAnsi="宋体" w:eastAsia="宋体" w:cs="宋体"/>
          <w:sz w:val="21"/>
          <w:szCs w:val="21"/>
        </w:rPr>
        <w:fldChar w:fldCharType="separate"/>
      </w:r>
      <w:r>
        <w:rPr>
          <w:rFonts w:hint="eastAsia" w:ascii="宋体" w:hAnsi="宋体" w:eastAsia="宋体" w:cs="宋体"/>
          <w:sz w:val="21"/>
          <w:szCs w:val="21"/>
        </w:rPr>
        <w:t>二、收入决算表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_Toc27613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_Toc9922 </w:instrText>
      </w:r>
      <w:r>
        <w:rPr>
          <w:rFonts w:hint="eastAsia" w:ascii="宋体" w:hAnsi="宋体" w:eastAsia="宋体" w:cs="宋体"/>
          <w:sz w:val="21"/>
          <w:szCs w:val="21"/>
        </w:rPr>
        <w:fldChar w:fldCharType="separate"/>
      </w:r>
      <w:r>
        <w:rPr>
          <w:rFonts w:hint="eastAsia" w:ascii="宋体" w:hAnsi="宋体" w:eastAsia="宋体" w:cs="宋体"/>
          <w:sz w:val="21"/>
          <w:szCs w:val="21"/>
        </w:rPr>
        <w:t>三、支出决算表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_Toc9922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_Toc20002 </w:instrText>
      </w:r>
      <w:r>
        <w:rPr>
          <w:rFonts w:hint="eastAsia" w:ascii="宋体" w:hAnsi="宋体" w:eastAsia="宋体" w:cs="宋体"/>
          <w:sz w:val="21"/>
          <w:szCs w:val="21"/>
        </w:rPr>
        <w:fldChar w:fldCharType="separate"/>
      </w:r>
      <w:r>
        <w:rPr>
          <w:rFonts w:hint="eastAsia" w:ascii="宋体" w:hAnsi="宋体" w:eastAsia="宋体" w:cs="宋体"/>
          <w:sz w:val="21"/>
          <w:szCs w:val="21"/>
        </w:rPr>
        <w:t>四、财政拨款收入支出决算总表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_Toc20002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_Toc28747 </w:instrText>
      </w:r>
      <w:r>
        <w:rPr>
          <w:rFonts w:hint="eastAsia" w:ascii="宋体" w:hAnsi="宋体" w:eastAsia="宋体" w:cs="宋体"/>
          <w:sz w:val="21"/>
          <w:szCs w:val="21"/>
        </w:rPr>
        <w:fldChar w:fldCharType="separate"/>
      </w:r>
      <w:r>
        <w:rPr>
          <w:rFonts w:hint="eastAsia" w:ascii="宋体" w:hAnsi="宋体" w:eastAsia="宋体" w:cs="宋体"/>
          <w:sz w:val="21"/>
          <w:szCs w:val="21"/>
        </w:rPr>
        <w:t>五、财政拨款支出决算明细表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_Toc28747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_Toc8104 </w:instrText>
      </w:r>
      <w:r>
        <w:rPr>
          <w:rFonts w:hint="eastAsia" w:ascii="宋体" w:hAnsi="宋体" w:eastAsia="宋体" w:cs="宋体"/>
          <w:sz w:val="21"/>
          <w:szCs w:val="21"/>
        </w:rPr>
        <w:fldChar w:fldCharType="separate"/>
      </w:r>
      <w:r>
        <w:rPr>
          <w:rFonts w:hint="eastAsia" w:ascii="宋体" w:hAnsi="宋体" w:eastAsia="宋体" w:cs="宋体"/>
          <w:sz w:val="21"/>
          <w:szCs w:val="21"/>
        </w:rPr>
        <w:t>六、一般公共预算财政拨款支出决算表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_Toc8104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_Toc29686 </w:instrText>
      </w:r>
      <w:r>
        <w:rPr>
          <w:rFonts w:hint="eastAsia" w:ascii="宋体" w:hAnsi="宋体" w:eastAsia="宋体" w:cs="宋体"/>
          <w:sz w:val="21"/>
          <w:szCs w:val="21"/>
        </w:rPr>
        <w:fldChar w:fldCharType="separate"/>
      </w:r>
      <w:r>
        <w:rPr>
          <w:rFonts w:hint="eastAsia" w:ascii="宋体" w:hAnsi="宋体" w:eastAsia="宋体" w:cs="宋体"/>
          <w:sz w:val="21"/>
          <w:szCs w:val="21"/>
        </w:rPr>
        <w:t>七、一般公共预算财政拨款支出决算明细表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_Toc29686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_Toc9224 </w:instrText>
      </w:r>
      <w:r>
        <w:rPr>
          <w:rFonts w:hint="eastAsia" w:ascii="宋体" w:hAnsi="宋体" w:eastAsia="宋体" w:cs="宋体"/>
          <w:sz w:val="21"/>
          <w:szCs w:val="21"/>
        </w:rPr>
        <w:fldChar w:fldCharType="separate"/>
      </w:r>
      <w:r>
        <w:rPr>
          <w:rFonts w:hint="eastAsia" w:ascii="宋体" w:hAnsi="宋体" w:eastAsia="宋体" w:cs="宋体"/>
          <w:sz w:val="21"/>
          <w:szCs w:val="21"/>
        </w:rPr>
        <w:t>八、一般公共预算财政拨款基本支出决算表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_Toc9224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_Toc20564 </w:instrText>
      </w:r>
      <w:r>
        <w:rPr>
          <w:rFonts w:hint="eastAsia" w:ascii="宋体" w:hAnsi="宋体" w:eastAsia="宋体" w:cs="宋体"/>
          <w:sz w:val="21"/>
          <w:szCs w:val="21"/>
        </w:rPr>
        <w:fldChar w:fldCharType="separate"/>
      </w:r>
      <w:r>
        <w:rPr>
          <w:rFonts w:hint="eastAsia" w:ascii="宋体" w:hAnsi="宋体" w:eastAsia="宋体" w:cs="宋体"/>
          <w:sz w:val="21"/>
          <w:szCs w:val="21"/>
        </w:rPr>
        <w:t>九、一般公共预算财政拨款项目支出决算表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_Toc20564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_Toc2971 </w:instrText>
      </w:r>
      <w:r>
        <w:rPr>
          <w:rFonts w:hint="eastAsia" w:ascii="宋体" w:hAnsi="宋体" w:eastAsia="宋体" w:cs="宋体"/>
          <w:sz w:val="21"/>
          <w:szCs w:val="21"/>
        </w:rPr>
        <w:fldChar w:fldCharType="separate"/>
      </w:r>
      <w:r>
        <w:rPr>
          <w:rFonts w:hint="eastAsia" w:ascii="宋体" w:hAnsi="宋体" w:eastAsia="宋体" w:cs="宋体"/>
          <w:sz w:val="21"/>
          <w:szCs w:val="21"/>
        </w:rPr>
        <w:t>十、一般公共预算财政拨款“三公”经费支出决算表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_Toc2971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_Toc30771 </w:instrText>
      </w:r>
      <w:r>
        <w:rPr>
          <w:rFonts w:hint="eastAsia" w:ascii="宋体" w:hAnsi="宋体" w:eastAsia="宋体" w:cs="宋体"/>
          <w:sz w:val="21"/>
          <w:szCs w:val="21"/>
        </w:rPr>
        <w:fldChar w:fldCharType="separate"/>
      </w:r>
      <w:r>
        <w:rPr>
          <w:rFonts w:hint="eastAsia" w:ascii="宋体" w:hAnsi="宋体" w:eastAsia="宋体" w:cs="宋体"/>
          <w:sz w:val="21"/>
          <w:szCs w:val="21"/>
        </w:rPr>
        <w:t>十一、政府性基金预算财政拨款收入支出决算表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_Toc30771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_Toc31311 </w:instrText>
      </w:r>
      <w:r>
        <w:rPr>
          <w:rFonts w:hint="eastAsia" w:ascii="宋体" w:hAnsi="宋体" w:eastAsia="宋体" w:cs="宋体"/>
          <w:sz w:val="21"/>
          <w:szCs w:val="21"/>
        </w:rPr>
        <w:fldChar w:fldCharType="separate"/>
      </w:r>
      <w:r>
        <w:rPr>
          <w:rFonts w:hint="eastAsia" w:ascii="宋体" w:hAnsi="宋体" w:eastAsia="宋体" w:cs="宋体"/>
          <w:sz w:val="21"/>
          <w:szCs w:val="21"/>
        </w:rPr>
        <w:t>十二、政府性基金预算财政拨款“三公”经费支出决算表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_Toc31311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_Toc29378 </w:instrText>
      </w:r>
      <w:r>
        <w:rPr>
          <w:rFonts w:hint="eastAsia" w:ascii="宋体" w:hAnsi="宋体" w:eastAsia="宋体" w:cs="宋体"/>
          <w:sz w:val="21"/>
          <w:szCs w:val="21"/>
        </w:rPr>
        <w:fldChar w:fldCharType="separate"/>
      </w:r>
      <w:r>
        <w:rPr>
          <w:rFonts w:hint="eastAsia" w:ascii="宋体" w:hAnsi="宋体" w:eastAsia="宋体" w:cs="宋体"/>
          <w:sz w:val="21"/>
          <w:szCs w:val="21"/>
        </w:rPr>
        <w:t>十三、国有资本经营预算</w:t>
      </w:r>
      <w:r>
        <w:rPr>
          <w:rFonts w:hint="eastAsia" w:ascii="宋体" w:hAnsi="宋体" w:eastAsia="宋体" w:cs="宋体"/>
          <w:sz w:val="21"/>
          <w:szCs w:val="21"/>
          <w:lang w:eastAsia="zh-CN"/>
        </w:rPr>
        <w:t>财政拨款收入</w:t>
      </w:r>
      <w:r>
        <w:rPr>
          <w:rFonts w:hint="eastAsia" w:ascii="宋体" w:hAnsi="宋体" w:eastAsia="宋体" w:cs="宋体"/>
          <w:sz w:val="21"/>
          <w:szCs w:val="21"/>
        </w:rPr>
        <w:t>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_Toc29378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845"/>
          <w:tab w:val="clear" w:pos="8296"/>
        </w:tabs>
        <w:rPr>
          <w:rFonts w:ascii="仿宋" w:hAnsi="仿宋" w:eastAsia="仿宋"/>
          <w:bCs/>
          <w:color w:val="auto"/>
          <w:kern w:val="44"/>
          <w:sz w:val="24"/>
          <w:highlight w:val="none"/>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_Toc18884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十四、国有资本经营预算财政拨款支出决算表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_Toc18884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r>
        <w:fldChar w:fldCharType="end"/>
      </w:r>
    </w:p>
    <w:p>
      <w:pPr>
        <w:pStyle w:val="3"/>
        <w:bidi w:val="0"/>
      </w:pPr>
      <w:bookmarkStart w:id="32" w:name="_Toc13646"/>
      <w:r>
        <w:rPr>
          <w:rFonts w:hint="eastAsia"/>
        </w:rPr>
        <w:t>第一部分 部门概况</w:t>
      </w:r>
      <w:bookmarkEnd w:id="30"/>
      <w:bookmarkEnd w:id="31"/>
      <w:bookmarkEnd w:id="32"/>
    </w:p>
    <w:p>
      <w:pPr>
        <w:pStyle w:val="6"/>
        <w:bidi w:val="0"/>
      </w:pPr>
      <w:bookmarkStart w:id="33" w:name="_Toc18542"/>
      <w:bookmarkStart w:id="34" w:name="_Toc15396600"/>
      <w:bookmarkStart w:id="35" w:name="_Toc15377197"/>
      <w:r>
        <w:rPr>
          <w:rFonts w:hint="eastAsia"/>
        </w:rPr>
        <w:t>一、基本职能及主要工作</w:t>
      </w:r>
      <w:bookmarkEnd w:id="33"/>
      <w:bookmarkEnd w:id="34"/>
      <w:bookmarkEnd w:id="35"/>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楷体_GB2312" w:hAnsi="楷体_GB2312" w:eastAsia="楷体_GB2312" w:cs="楷体_GB2312"/>
          <w:bCs/>
          <w:color w:val="auto"/>
          <w:sz w:val="32"/>
          <w:szCs w:val="32"/>
          <w:highlight w:val="none"/>
        </w:rPr>
      </w:pPr>
      <w:bookmarkStart w:id="36" w:name="_Toc15377198"/>
      <w:bookmarkStart w:id="37" w:name="_Toc15378445"/>
      <w:r>
        <w:rPr>
          <w:rFonts w:hint="eastAsia" w:ascii="楷体_GB2312" w:hAnsi="楷体_GB2312" w:eastAsia="楷体_GB2312" w:cs="楷体_GB2312"/>
          <w:bCs/>
          <w:color w:val="auto"/>
          <w:sz w:val="32"/>
          <w:szCs w:val="32"/>
          <w:highlight w:val="none"/>
        </w:rPr>
        <w:t>（一）主要职能。</w:t>
      </w:r>
      <w:bookmarkEnd w:id="36"/>
      <w:bookmarkEnd w:id="37"/>
      <w:bookmarkStart w:id="38" w:name="_Toc15378446"/>
      <w:bookmarkStart w:id="39" w:name="_Toc15377199"/>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3"/>
        <w:rPr>
          <w:rFonts w:hAnsi="仿宋_GB2312" w:cs="仿宋_GB2312"/>
          <w:bCs/>
          <w:color w:val="000000"/>
          <w:sz w:val="32"/>
          <w:szCs w:val="32"/>
        </w:rPr>
      </w:pPr>
      <w:r>
        <w:rPr>
          <w:rFonts w:hint="eastAsia" w:hAnsi="仿宋_GB2312" w:cs="仿宋_GB2312"/>
          <w:bCs/>
          <w:color w:val="000000"/>
          <w:sz w:val="32"/>
          <w:szCs w:val="32"/>
        </w:rPr>
        <w:t xml:space="preserve">1.贯彻执行国家关于天然气资源管理和开发利用的战略、方针、政策和法律法规，拟订全市天然气综合利用的政策措施和管理办法并组织实施。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0" w:name="_Toc26155"/>
      <w:r>
        <w:rPr>
          <w:rFonts w:hint="eastAsia" w:hAnsi="仿宋_GB2312" w:cs="仿宋_GB2312"/>
          <w:bCs/>
          <w:color w:val="000000"/>
          <w:sz w:val="32"/>
          <w:szCs w:val="32"/>
        </w:rPr>
        <w:t>2.研究提出全市天然气综合利用产业发展的总体目标和发展战略，编制全市天然气综合利用发展规划、天然气工业园区发展规划及年度计划并组织实施。</w:t>
      </w:r>
      <w:bookmarkEnd w:id="40"/>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1" w:name="_Toc12388"/>
      <w:r>
        <w:rPr>
          <w:rFonts w:hint="eastAsia" w:hAnsi="仿宋_GB2312" w:cs="仿宋_GB2312"/>
          <w:bCs/>
          <w:color w:val="000000"/>
          <w:sz w:val="32"/>
          <w:szCs w:val="32"/>
        </w:rPr>
        <w:t>3.指导协调、监督管理全市天然气综合利用工作。</w:t>
      </w:r>
      <w:bookmarkEnd w:id="41"/>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2" w:name="_Toc27901"/>
      <w:r>
        <w:rPr>
          <w:rFonts w:hint="eastAsia" w:hAnsi="仿宋_GB2312" w:cs="仿宋_GB2312"/>
          <w:bCs/>
          <w:color w:val="000000"/>
          <w:sz w:val="32"/>
          <w:szCs w:val="32"/>
        </w:rPr>
        <w:t>4.承担全市天然气勘探开发协调服务工作。</w:t>
      </w:r>
      <w:bookmarkEnd w:id="42"/>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3" w:name="_Toc28753"/>
      <w:r>
        <w:rPr>
          <w:rFonts w:hint="eastAsia" w:hAnsi="仿宋_GB2312" w:cs="仿宋_GB2312"/>
          <w:bCs/>
          <w:color w:val="000000"/>
          <w:sz w:val="32"/>
          <w:szCs w:val="32"/>
        </w:rPr>
        <w:t>5.负责全市天然气综合利用产业布局及项目用气指标争取，负责民用天然气、工业燃料用气、天然气发电、天然气化工、气煤循环利用的组织实施和监督管理。</w:t>
      </w:r>
      <w:bookmarkEnd w:id="43"/>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4" w:name="_Toc23083"/>
      <w:r>
        <w:rPr>
          <w:rFonts w:hint="eastAsia" w:hAnsi="仿宋_GB2312" w:cs="仿宋_GB2312"/>
          <w:bCs/>
          <w:color w:val="000000"/>
          <w:sz w:val="32"/>
          <w:szCs w:val="32"/>
        </w:rPr>
        <w:t>6.拟定广元市天然气综合利用工业园区管理办法并组织实施。</w:t>
      </w:r>
      <w:bookmarkEnd w:id="44"/>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5" w:name="_Toc9099"/>
      <w:r>
        <w:rPr>
          <w:rFonts w:hint="eastAsia" w:hAnsi="仿宋_GB2312" w:cs="仿宋_GB2312"/>
          <w:bCs/>
          <w:color w:val="000000"/>
          <w:sz w:val="32"/>
          <w:szCs w:val="32"/>
        </w:rPr>
        <w:t>7.负责广元天然气综合利用工业园区的统一管理、统一规划和基础设施配套建设工作。</w:t>
      </w:r>
      <w:bookmarkEnd w:id="45"/>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6" w:name="_Toc19280"/>
      <w:r>
        <w:rPr>
          <w:rFonts w:hint="eastAsia" w:hAnsi="仿宋_GB2312" w:cs="仿宋_GB2312"/>
          <w:bCs/>
          <w:color w:val="000000"/>
          <w:sz w:val="32"/>
          <w:szCs w:val="32"/>
        </w:rPr>
        <w:t>8.配合做好天然气综合利用产业项目招商引资工作。</w:t>
      </w:r>
      <w:bookmarkEnd w:id="46"/>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Ansi="仿宋_GB2312" w:cs="仿宋_GB2312"/>
          <w:bCs/>
          <w:color w:val="000000"/>
          <w:sz w:val="32"/>
          <w:szCs w:val="32"/>
        </w:rPr>
      </w:pPr>
      <w:bookmarkStart w:id="47" w:name="_Toc15938"/>
      <w:r>
        <w:rPr>
          <w:rFonts w:hint="eastAsia" w:hAnsi="仿宋_GB2312" w:cs="仿宋_GB2312"/>
          <w:bCs/>
          <w:color w:val="000000"/>
          <w:sz w:val="32"/>
          <w:szCs w:val="32"/>
        </w:rPr>
        <w:t>9.负责全市石油天然气管道保护执法工作，协调处理全市行政区域管道保护的重大问题，指导、监督有关单位履行管道保护义务，依法查处危害管道安全的违法行为。</w:t>
      </w:r>
      <w:bookmarkEnd w:id="47"/>
      <w:r>
        <w:rPr>
          <w:rFonts w:hint="eastAsia" w:hAnsi="仿宋_GB2312" w:cs="仿宋_GB2312"/>
          <w:bCs/>
          <w:color w:val="000000"/>
          <w:sz w:val="32"/>
          <w:szCs w:val="32"/>
        </w:rPr>
        <w:t xml:space="preserve"> </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 w:hAnsi="仿宋" w:eastAsia="仿宋"/>
          <w:bCs/>
          <w:color w:val="auto"/>
          <w:sz w:val="32"/>
          <w:szCs w:val="32"/>
          <w:highlight w:val="none"/>
        </w:rPr>
      </w:pPr>
      <w:bookmarkStart w:id="48" w:name="_Toc1238"/>
      <w:r>
        <w:rPr>
          <w:rFonts w:hint="eastAsia" w:hAnsi="仿宋_GB2312" w:cs="仿宋_GB2312"/>
          <w:bCs/>
          <w:color w:val="000000"/>
          <w:sz w:val="32"/>
          <w:szCs w:val="32"/>
        </w:rPr>
        <w:t>10.承办市政府交办的其他事项。</w:t>
      </w:r>
      <w:bookmarkEnd w:id="48"/>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（二）20</w:t>
      </w:r>
      <w:r>
        <w:rPr>
          <w:rFonts w:hint="eastAsia" w:ascii="楷体_GB2312" w:hAnsi="楷体_GB2312" w:eastAsia="楷体_GB2312" w:cs="楷体_GB2312"/>
          <w:bCs/>
          <w:color w:val="auto"/>
          <w:sz w:val="32"/>
          <w:szCs w:val="32"/>
          <w:highlight w:val="none"/>
          <w:lang w:val="en-US" w:eastAsia="zh-CN"/>
        </w:rPr>
        <w:t>21</w:t>
      </w:r>
      <w:r>
        <w:rPr>
          <w:rFonts w:hint="eastAsia" w:ascii="楷体_GB2312" w:hAnsi="楷体_GB2312" w:eastAsia="楷体_GB2312" w:cs="楷体_GB2312"/>
          <w:bCs/>
          <w:color w:val="auto"/>
          <w:sz w:val="32"/>
          <w:szCs w:val="32"/>
          <w:highlight w:val="none"/>
        </w:rPr>
        <w:t>年重点工作完成情况。</w:t>
      </w:r>
      <w:bookmarkEnd w:id="38"/>
      <w:bookmarkEnd w:id="39"/>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强化运行调度，工业经济持续快速增长。今年以来，随着天然气下游产业呈加快发展态势，天然气消费市场持续扩大，生产与需求旺盛。中石化元坝净化厂今年5月底完成检修后，全面恢复生产、达产达能；中石油九龙山、剑阁净化厂持续稳定生产，全年新增天然气产量10亿方。全力协调争取中石油、中石化落实气源指标，有力保障了四川燃气、华油LNG、吉通能源等重点用气企业正常生产，持续保持良好增长势头。新培育规上企业1家。全年预计完成工业增加值29.5亿元、增加值增速同比增长23%；完成工业利润11亿元、完成全年目标102%。</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强化协调服务，重大项目建设加快推进。中石油、中石化加快17口在钻井钻探施工进度，目前已完钻13口，新增日产上百万方高产井5口，新增探明储量600亿方。中石油永宁净化厂已完成设备运行调试，达到生产运行条件，新增年产能5亿方，预计2022年二季度投产运行。持续深化与四川能投战略合作，按照“一项目一专班”原则，组建5个工作专班推进项目建设，四川燃气集团上市已完成尽职调查等工作，正按计划加快推进资产重组等工作；总投资33亿元的2×700MW天然气发电项目已注册成立四川能投广元燃气发电有限公司（按四川能投二级公司管理），完成了选址、可研评审，预计年内向省发改委申报核准资料，项目建成后，年新增用气6亿方，实现产值25亿元、利税2亿元以上；元坝-德阳输气管道工程加快推进管线敷设及阀室配套工程建设，年内广元段可全面竣工；中贵线－元坝净化厂联络线项目前期工作有序开展。</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坚持“以气引企、以气聚企”，招商引资成效明显。持续优化“获得用气”营商环境，依托优势资源，围绕天然气勘探净化、管网建设、储气调峰、天然气发电、分布式能源、交通能源、工业燃料等领域，包装储备优质项目40余个，总投资达200余亿元。聚力制造业招商引资“百日攻坚”行动，积极参加知名企业四川行等重大活动，持续加强与中石油、中石化、国家管网、四川能投、新奥能源等知名企业对接洽谈，全力争取招引落地一批天然气综合利用项目落地建设。全年成功签约天然气发电、铝型材及高端铝制品等亿元以上项目8个，签约资金76.33亿元。</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坚持标本兼治，管道保护和安全监管平稳有序。扎实推进油气输送管道安全生产专项整治三年行动，针对性开展排险除患专项行动，排查整治隐患8处，建立13处风险台账。落实油气管道高后果区网格化管理，实行“一区一案一策”，切实加强59处管道高后果区管控。集中开展园区危险化学品企业“排险除患”专项行动，针对园区吉通、正元等危化品重点监管企业诊断式排查5次。牵头协调推进高铁物流、西二环等重点工程项目涉及兰成渝成品油管道、中贵天然气管道保护工作，在确保油气输送管道安全平稳运行的前提下，有力保障重点项目顺利推进。</w:t>
      </w:r>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狠抓全面从严治党，推动主体责任落地落实。出台2021年党建工作和党风廉政建设工作要点，全面安排部署全年党的建设、宣传思想和意识形态、党风廉政建设等工作，园区党委定期听取班子成员履行“一岗双责”情况报告，压实党委班子和班子成员全面从严治党主体责任。坚持把政治建设放在首位，严守政治纪律和政治规矩，切实筑牢“四个意识”、坚定“四个自信”、做到“两个维护”。坚持全面系统学党史、融会贯通悟思想、真情为民办实事、真抓实干开新局，党史学习教育取得明显成效。以干部纪律作风整顿为抓手，着力解决工作标准不高、工作效率低下、工作落实不好等突出问题，风清气正的干事环境不断优化。</w:t>
      </w:r>
    </w:p>
    <w:p>
      <w:pPr>
        <w:pStyle w:val="6"/>
        <w:pageBreakBefore w:val="0"/>
        <w:kinsoku/>
        <w:wordWrap/>
        <w:overflowPunct/>
        <w:topLinePunct w:val="0"/>
        <w:autoSpaceDE/>
        <w:autoSpaceDN/>
        <w:bidi w:val="0"/>
        <w:spacing w:line="576" w:lineRule="exact"/>
        <w:textAlignment w:val="auto"/>
      </w:pPr>
      <w:bookmarkStart w:id="49" w:name="_Toc15377200"/>
      <w:bookmarkStart w:id="50" w:name="_Toc15396601"/>
      <w:bookmarkStart w:id="51" w:name="_Toc17700"/>
      <w:r>
        <w:rPr>
          <w:rFonts w:hint="eastAsia"/>
        </w:rPr>
        <w:t>二、机构设置</w:t>
      </w:r>
      <w:bookmarkEnd w:id="49"/>
      <w:bookmarkEnd w:id="50"/>
      <w:bookmarkEnd w:id="51"/>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rPr>
        <w:t>市天然气</w:t>
      </w:r>
      <w:r>
        <w:rPr>
          <w:rFonts w:hint="eastAsia" w:hAnsi="仿宋_GB2312" w:cs="仿宋_GB2312"/>
          <w:sz w:val="32"/>
          <w:szCs w:val="32"/>
          <w:lang w:eastAsia="zh-CN"/>
        </w:rPr>
        <w:t>综合利用工业园区</w:t>
      </w:r>
      <w:r>
        <w:rPr>
          <w:rFonts w:hint="eastAsia" w:hAnsi="仿宋_GB2312" w:cs="仿宋_GB2312"/>
          <w:sz w:val="32"/>
          <w:szCs w:val="32"/>
        </w:rPr>
        <w:t>管委会成立于2008年8月，由市委、市政府批准成立。内设6个科室。机关行政编制</w:t>
      </w:r>
      <w:r>
        <w:rPr>
          <w:rFonts w:hint="eastAsia" w:hAnsi="仿宋_GB2312" w:cs="仿宋_GB2312"/>
          <w:sz w:val="32"/>
          <w:szCs w:val="32"/>
          <w:lang w:val="en-US" w:eastAsia="zh-CN"/>
        </w:rPr>
        <w:t>19</w:t>
      </w:r>
      <w:r>
        <w:rPr>
          <w:rFonts w:hint="eastAsia" w:hAnsi="仿宋_GB2312" w:cs="仿宋_GB2312"/>
          <w:sz w:val="32"/>
          <w:szCs w:val="32"/>
        </w:rPr>
        <w:t>名，工勤控制数3个。年末实际在职行政人员19人，退休人员1人，工勤</w:t>
      </w:r>
      <w:r>
        <w:rPr>
          <w:rFonts w:hint="eastAsia" w:ascii="仿宋_GB2312" w:hAnsi="仿宋_GB2312" w:eastAsia="仿宋_GB2312" w:cs="仿宋_GB2312"/>
          <w:sz w:val="32"/>
          <w:szCs w:val="32"/>
        </w:rPr>
        <w:t>控制数0人。</w:t>
      </w:r>
      <w:r>
        <w:rPr>
          <w:rFonts w:hint="eastAsia" w:ascii="仿宋_GB2312" w:hAnsi="仿宋_GB2312" w:eastAsia="仿宋_GB2312" w:cs="仿宋_GB2312"/>
          <w:sz w:val="32"/>
          <w:szCs w:val="32"/>
          <w:lang w:val="en-US" w:eastAsia="zh-CN"/>
        </w:rPr>
        <w:t>无二级预算单位。</w:t>
      </w:r>
    </w:p>
    <w:p>
      <w:pPr>
        <w:pStyle w:val="2"/>
        <w:pageBreakBefore w:val="0"/>
        <w:kinsoku/>
        <w:wordWrap/>
        <w:overflowPunct/>
        <w:topLinePunct w:val="0"/>
        <w:autoSpaceDE/>
        <w:autoSpaceDN/>
        <w:bidi w:val="0"/>
        <w:adjustRightInd w:val="0"/>
        <w:snapToGrid w:val="0"/>
        <w:spacing w:beforeLines="0" w:line="576" w:lineRule="exact"/>
        <w:ind w:firstLine="630" w:firstLineChars="210"/>
        <w:textAlignment w:val="auto"/>
        <w:rPr>
          <w:rFonts w:hint="eastAsia" w:ascii="仿宋" w:hAnsi="仿宋" w:eastAsia="仿宋"/>
          <w:color w:val="auto"/>
          <w:sz w:val="32"/>
          <w:szCs w:val="32"/>
          <w:highlight w:val="none"/>
          <w:lang w:eastAsia="zh-CN"/>
        </w:rPr>
      </w:pPr>
      <w:r>
        <w:rPr>
          <w:rFonts w:hint="eastAsia"/>
          <w:lang w:val="en-US" w:eastAsia="zh-CN"/>
        </w:rPr>
        <w:t>纳入本部门2021年部门</w:t>
      </w:r>
      <w:r>
        <w:rPr>
          <w:rFonts w:hint="eastAsia" w:ascii="仿宋" w:hAnsi="仿宋" w:eastAsia="仿宋"/>
          <w:color w:val="auto"/>
          <w:sz w:val="32"/>
          <w:szCs w:val="32"/>
          <w:highlight w:val="none"/>
        </w:rPr>
        <w:t>决算编制范围的二级预算单位包括：</w:t>
      </w:r>
      <w:r>
        <w:rPr>
          <w:rFonts w:hint="eastAsia" w:ascii="仿宋" w:hAnsi="仿宋" w:eastAsia="仿宋"/>
          <w:color w:val="auto"/>
          <w:sz w:val="32"/>
          <w:szCs w:val="32"/>
          <w:highlight w:val="none"/>
          <w:lang w:eastAsia="zh-CN"/>
        </w:rPr>
        <w:t>市天然气综合利用工业园区管委会（本级）。</w:t>
      </w:r>
    </w:p>
    <w:p>
      <w:pPr>
        <w:pageBreakBefore w:val="0"/>
        <w:widowControl/>
        <w:kinsoku/>
        <w:wordWrap/>
        <w:overflowPunct/>
        <w:topLinePunct w:val="0"/>
        <w:autoSpaceDE/>
        <w:autoSpaceDN/>
        <w:bidi w:val="0"/>
        <w:spacing w:line="576"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bidi w:val="0"/>
      </w:pPr>
      <w:bookmarkStart w:id="52" w:name="_Toc15396602"/>
      <w:bookmarkStart w:id="53" w:name="_Toc29997"/>
      <w:bookmarkStart w:id="54" w:name="_Toc15377204"/>
      <w:r>
        <w:rPr>
          <w:rFonts w:hint="eastAsia"/>
        </w:rPr>
        <w:t xml:space="preserve">第二部分 </w:t>
      </w:r>
      <w:r>
        <w:rPr>
          <w:rFonts w:hint="eastAsia"/>
          <w:lang w:val="en-US" w:eastAsia="zh-CN"/>
        </w:rPr>
        <w:t>2021年度</w:t>
      </w:r>
      <w:r>
        <w:rPr>
          <w:rFonts w:hint="eastAsia"/>
        </w:rPr>
        <w:t>部门决算情况说明</w:t>
      </w:r>
      <w:bookmarkEnd w:id="52"/>
      <w:bookmarkEnd w:id="53"/>
      <w:bookmarkEnd w:id="54"/>
    </w:p>
    <w:p>
      <w:pPr>
        <w:rPr>
          <w:color w:val="auto"/>
          <w:highlight w:val="none"/>
        </w:rPr>
      </w:pPr>
    </w:p>
    <w:p>
      <w:pPr>
        <w:pStyle w:val="6"/>
        <w:bidi w:val="0"/>
      </w:pPr>
      <w:bookmarkStart w:id="55" w:name="_Toc15396603"/>
      <w:bookmarkStart w:id="56" w:name="_Toc15377205"/>
      <w:bookmarkStart w:id="57" w:name="_Toc22853"/>
      <w:r>
        <w:rPr>
          <w:rFonts w:hint="eastAsia"/>
          <w:lang w:eastAsia="zh-CN"/>
        </w:rPr>
        <w:t>一、</w:t>
      </w:r>
      <w:r>
        <w:rPr>
          <w:rFonts w:hint="eastAsia"/>
        </w:rPr>
        <w:t>收入支出决算总体情况说明</w:t>
      </w:r>
      <w:bookmarkEnd w:id="55"/>
      <w:bookmarkEnd w:id="56"/>
      <w:bookmarkEnd w:id="57"/>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411.31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16.52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2021年人员正常晋级晋档后人员经费支出增加。</w:t>
      </w:r>
    </w:p>
    <w:p>
      <w:pPr>
        <w:pStyle w:val="8"/>
        <w:rPr>
          <w:rFonts w:hint="eastAsia"/>
          <w:lang w:val="en-US" w:eastAsia="zh-CN"/>
        </w:rPr>
      </w:pPr>
      <w:r>
        <w:drawing>
          <wp:anchor distT="0" distB="0" distL="114300" distR="114300" simplePos="0" relativeHeight="251659264" behindDoc="1" locked="0" layoutInCell="1" allowOverlap="1">
            <wp:simplePos x="0" y="0"/>
            <wp:positionH relativeFrom="column">
              <wp:posOffset>658495</wp:posOffset>
            </wp:positionH>
            <wp:positionV relativeFrom="paragraph">
              <wp:posOffset>135255</wp:posOffset>
            </wp:positionV>
            <wp:extent cx="4121150" cy="2105660"/>
            <wp:effectExtent l="5080" t="5080" r="64770" b="6096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olor w:val="auto"/>
          <w:sz w:val="32"/>
          <w:szCs w:val="32"/>
          <w:highlight w:val="none"/>
        </w:rPr>
      </w:pPr>
    </w:p>
    <w:p>
      <w:pPr>
        <w:pStyle w:val="8"/>
        <w:pageBreakBefore w:val="0"/>
        <w:widowControl w:val="0"/>
        <w:kinsoku/>
        <w:wordWrap/>
        <w:overflowPunct/>
        <w:topLinePunct w:val="0"/>
        <w:autoSpaceDE/>
        <w:autoSpaceDN/>
        <w:bidi w:val="0"/>
        <w:adjustRightInd/>
        <w:snapToGrid/>
        <w:spacing w:line="360" w:lineRule="exact"/>
        <w:textAlignment w:val="auto"/>
        <w:rPr>
          <w:rFonts w:hint="eastAsia"/>
        </w:rPr>
      </w:pP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rPr>
      </w:pPr>
      <w:r>
        <w:rPr>
          <w:rFonts w:hint="eastAsia" w:ascii="宋体" w:hAnsi="宋体" w:eastAsia="宋体" w:cs="宋体"/>
          <w:color w:val="auto"/>
          <w:sz w:val="32"/>
          <w:szCs w:val="32"/>
          <w:highlight w:val="none"/>
        </w:rPr>
        <w:t>图1：收、支决算总计变动情况图</w:t>
      </w:r>
    </w:p>
    <w:p>
      <w:pPr>
        <w:pStyle w:val="6"/>
        <w:bidi w:val="0"/>
      </w:pPr>
      <w:bookmarkStart w:id="58" w:name="_Toc15396604"/>
      <w:bookmarkStart w:id="59" w:name="_Toc15377206"/>
      <w:bookmarkStart w:id="60" w:name="_Toc23637"/>
      <w:r>
        <w:rPr>
          <w:rFonts w:hint="eastAsia"/>
          <w:lang w:eastAsia="zh-CN"/>
        </w:rPr>
        <w:t>二、</w:t>
      </w:r>
      <w:r>
        <w:rPr>
          <w:rFonts w:hint="eastAsia"/>
        </w:rPr>
        <w:t>收入决算情况说明</w:t>
      </w:r>
      <w:bookmarkEnd w:id="58"/>
      <w:bookmarkEnd w:id="59"/>
      <w:bookmarkEnd w:id="60"/>
    </w:p>
    <w:p>
      <w:pPr>
        <w:spacing w:line="600" w:lineRule="exact"/>
        <w:ind w:firstLine="640" w:firstLineChars="200"/>
        <w:outlineLvl w:val="1"/>
        <w:rPr>
          <w:rFonts w:ascii="仿宋" w:hAnsi="仿宋" w:eastAsia="仿宋"/>
          <w:color w:val="auto"/>
          <w:sz w:val="32"/>
          <w:szCs w:val="32"/>
          <w:highlight w:val="none"/>
        </w:rPr>
      </w:pPr>
      <w:bookmarkStart w:id="61" w:name="_Toc2490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409.79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409.79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61"/>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0288" behindDoc="1" locked="0" layoutInCell="1" allowOverlap="1">
            <wp:simplePos x="0" y="0"/>
            <wp:positionH relativeFrom="column">
              <wp:posOffset>1178560</wp:posOffset>
            </wp:positionH>
            <wp:positionV relativeFrom="paragraph">
              <wp:posOffset>16510</wp:posOffset>
            </wp:positionV>
            <wp:extent cx="3418205" cy="2307590"/>
            <wp:effectExtent l="4445" t="4445" r="6350" b="1206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spacing w:line="600" w:lineRule="exact"/>
        <w:ind w:firstLine="640" w:firstLineChars="200"/>
        <w:rPr>
          <w:rFonts w:hint="eastAsia" w:ascii="仿宋" w:hAnsi="仿宋" w:eastAsia="仿宋"/>
          <w:color w:val="auto"/>
          <w:sz w:val="32"/>
          <w:szCs w:val="32"/>
          <w:highlight w:val="none"/>
          <w:lang w:val="en-US" w:eastAsia="zh-CN"/>
        </w:rPr>
      </w:pP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图2：收入决算结构图</w:t>
      </w:r>
    </w:p>
    <w:p>
      <w:pPr>
        <w:pStyle w:val="6"/>
        <w:bidi w:val="0"/>
      </w:pPr>
      <w:bookmarkStart w:id="62" w:name="_Toc15377207"/>
      <w:bookmarkStart w:id="63" w:name="_Toc15396605"/>
      <w:bookmarkStart w:id="64" w:name="_Toc14247"/>
      <w:r>
        <w:rPr>
          <w:rFonts w:hint="eastAsia"/>
          <w:lang w:eastAsia="zh-CN"/>
        </w:rPr>
        <w:t>三、</w:t>
      </w:r>
      <w:r>
        <w:rPr>
          <w:rFonts w:hint="eastAsia"/>
        </w:rPr>
        <w:t>支出决算情况说明</w:t>
      </w:r>
      <w:bookmarkEnd w:id="62"/>
      <w:bookmarkEnd w:id="63"/>
      <w:bookmarkEnd w:id="64"/>
    </w:p>
    <w:p>
      <w:pPr>
        <w:spacing w:line="600" w:lineRule="exact"/>
        <w:ind w:firstLine="640" w:firstLineChars="200"/>
        <w:outlineLvl w:val="1"/>
        <w:rPr>
          <w:rFonts w:ascii="仿宋" w:hAnsi="仿宋" w:eastAsia="仿宋"/>
          <w:color w:val="auto"/>
          <w:sz w:val="32"/>
          <w:szCs w:val="32"/>
          <w:highlight w:val="none"/>
        </w:rPr>
      </w:pPr>
      <w:bookmarkStart w:id="65" w:name="_Toc2508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409.79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366.8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89.51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42.99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65"/>
    </w:p>
    <w:p>
      <w:pPr>
        <w:spacing w:line="600" w:lineRule="exact"/>
        <w:ind w:firstLine="640"/>
        <w:rPr>
          <w:rFonts w:ascii="仿宋" w:hAnsi="仿宋" w:eastAsia="仿宋"/>
          <w:color w:val="auto"/>
          <w:sz w:val="32"/>
          <w:szCs w:val="32"/>
          <w:highlight w:val="none"/>
          <w:shd w:val="pct10" w:color="auto" w:fill="FFFFFF"/>
        </w:rPr>
      </w:pPr>
      <w:r>
        <w:drawing>
          <wp:anchor distT="0" distB="0" distL="114300" distR="114300" simplePos="0" relativeHeight="251661312" behindDoc="1" locked="0" layoutInCell="1" allowOverlap="1">
            <wp:simplePos x="0" y="0"/>
            <wp:positionH relativeFrom="column">
              <wp:posOffset>1056640</wp:posOffset>
            </wp:positionH>
            <wp:positionV relativeFrom="paragraph">
              <wp:posOffset>106045</wp:posOffset>
            </wp:positionV>
            <wp:extent cx="4087495" cy="2493010"/>
            <wp:effectExtent l="4445" t="4445" r="22860" b="1714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8"/>
        <w:rPr>
          <w:rFonts w:ascii="仿宋" w:hAnsi="仿宋" w:eastAsia="仿宋"/>
          <w:color w:val="auto"/>
          <w:sz w:val="32"/>
          <w:szCs w:val="32"/>
          <w:highlight w:val="none"/>
          <w:shd w:val="pct10" w:color="auto" w:fill="FFFFFF"/>
        </w:rPr>
      </w:pPr>
    </w:p>
    <w:p>
      <w:pPr>
        <w:rPr>
          <w:rFonts w:ascii="仿宋" w:hAnsi="仿宋" w:eastAsia="仿宋"/>
          <w:color w:val="auto"/>
          <w:sz w:val="32"/>
          <w:szCs w:val="32"/>
          <w:highlight w:val="none"/>
          <w:shd w:val="pct10" w:color="auto" w:fill="FFFFFF"/>
        </w:rPr>
      </w:pPr>
    </w:p>
    <w:p>
      <w:pPr>
        <w:pStyle w:val="8"/>
        <w:rPr>
          <w:rFonts w:ascii="仿宋" w:hAnsi="仿宋" w:eastAsia="仿宋"/>
          <w:color w:val="auto"/>
          <w:sz w:val="32"/>
          <w:szCs w:val="32"/>
          <w:highlight w:val="none"/>
          <w:shd w:val="pct10" w:color="auto" w:fill="FFFFFF"/>
        </w:rPr>
      </w:pPr>
    </w:p>
    <w:p/>
    <w:p>
      <w:pPr>
        <w:rPr>
          <w:rFonts w:hint="default" w:eastAsia="仿宋"/>
          <w:lang w:val="en-US" w:eastAsia="zh-CN"/>
        </w:rPr>
      </w:pPr>
    </w:p>
    <w:p>
      <w:pPr>
        <w:spacing w:line="600" w:lineRule="exact"/>
        <w:ind w:firstLine="6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图3：支出决算结构图</w:t>
      </w:r>
    </w:p>
    <w:p>
      <w:pPr>
        <w:pStyle w:val="6"/>
        <w:bidi w:val="0"/>
      </w:pPr>
      <w:bookmarkStart w:id="66" w:name="_Toc15377208"/>
      <w:bookmarkStart w:id="67" w:name="_Toc8085"/>
      <w:bookmarkStart w:id="68" w:name="_Toc15396606"/>
      <w:r>
        <w:rPr>
          <w:rFonts w:hint="eastAsia"/>
          <w:lang w:eastAsia="zh-CN"/>
        </w:rPr>
        <w:t>四、</w:t>
      </w:r>
      <w:r>
        <w:rPr>
          <w:rFonts w:hint="eastAsia"/>
        </w:rPr>
        <w:t>财政拨款收入支出决算总体情况说明</w:t>
      </w:r>
      <w:bookmarkEnd w:id="66"/>
      <w:bookmarkEnd w:id="67"/>
      <w:bookmarkEnd w:id="68"/>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411.31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16.52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2021年人员正常晋级晋档后人员经费支出增加。</w:t>
      </w: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2336" behindDoc="1" locked="0" layoutInCell="1" allowOverlap="1">
            <wp:simplePos x="0" y="0"/>
            <wp:positionH relativeFrom="column">
              <wp:posOffset>908685</wp:posOffset>
            </wp:positionH>
            <wp:positionV relativeFrom="paragraph">
              <wp:posOffset>144780</wp:posOffset>
            </wp:positionV>
            <wp:extent cx="4038600" cy="2316480"/>
            <wp:effectExtent l="4445" t="4445" r="14605" b="2222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图4：财政拨款收、支决算总计变动情况</w:t>
      </w:r>
    </w:p>
    <w:p>
      <w:pPr>
        <w:pStyle w:val="6"/>
        <w:bidi w:val="0"/>
      </w:pPr>
      <w:bookmarkStart w:id="69" w:name="_Toc15396607"/>
      <w:bookmarkStart w:id="70" w:name="_Toc32063"/>
      <w:bookmarkStart w:id="71" w:name="_Toc15377209"/>
      <w:r>
        <w:rPr>
          <w:rFonts w:hint="eastAsia"/>
        </w:rPr>
        <w:t>五、一般公共预算财政拨款支出决算情况说明</w:t>
      </w:r>
      <w:bookmarkEnd w:id="69"/>
      <w:bookmarkEnd w:id="70"/>
      <w:bookmarkEnd w:id="71"/>
    </w:p>
    <w:p>
      <w:pPr>
        <w:spacing w:line="600" w:lineRule="exact"/>
        <w:ind w:firstLine="643" w:firstLineChars="200"/>
        <w:outlineLvl w:val="2"/>
        <w:rPr>
          <w:rFonts w:ascii="仿宋" w:hAnsi="仿宋" w:eastAsia="仿宋"/>
          <w:b/>
          <w:color w:val="auto"/>
          <w:sz w:val="32"/>
          <w:szCs w:val="32"/>
          <w:highlight w:val="none"/>
        </w:rPr>
      </w:pPr>
      <w:bookmarkStart w:id="72" w:name="_Toc15377210"/>
      <w:r>
        <w:rPr>
          <w:rFonts w:hint="eastAsia" w:ascii="仿宋" w:hAnsi="仿宋" w:eastAsia="仿宋"/>
          <w:b/>
          <w:color w:val="auto"/>
          <w:sz w:val="32"/>
          <w:szCs w:val="32"/>
          <w:highlight w:val="none"/>
        </w:rPr>
        <w:t>（一）一般公共预算财政拨款支出决算总体情况</w:t>
      </w:r>
      <w:bookmarkEnd w:id="72"/>
    </w:p>
    <w:p>
      <w:pPr>
        <w:spacing w:line="600" w:lineRule="exact"/>
        <w:ind w:firstLine="640" w:firstLineChars="20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409.79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16.52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2021年人员正常晋级晋档后人员经费支出增加。</w:t>
      </w:r>
    </w:p>
    <w:p>
      <w:pPr>
        <w:jc w:val="center"/>
        <w:rPr>
          <w:rFonts w:ascii="仿宋" w:hAnsi="仿宋" w:eastAsia="仿宋"/>
          <w:color w:val="auto"/>
          <w:sz w:val="32"/>
          <w:szCs w:val="32"/>
          <w:highlight w:val="none"/>
        </w:rPr>
      </w:pPr>
      <w:r>
        <w:drawing>
          <wp:inline distT="0" distB="0" distL="114300" distR="114300">
            <wp:extent cx="4483735" cy="2700655"/>
            <wp:effectExtent l="4445" t="5080" r="7620" b="1841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73" w:name="_Toc15377211"/>
      <w:r>
        <w:rPr>
          <w:rFonts w:hint="eastAsia" w:ascii="仿宋" w:hAnsi="仿宋" w:eastAsia="仿宋"/>
          <w:b/>
          <w:color w:val="auto"/>
          <w:sz w:val="32"/>
          <w:szCs w:val="32"/>
          <w:highlight w:val="none"/>
        </w:rPr>
        <w:t>（二）一般公共预算财政拨款支出决算结构情况</w:t>
      </w:r>
      <w:bookmarkEnd w:id="7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409.79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336.62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30.15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13.42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29.60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spacing w:line="600" w:lineRule="exact"/>
        <w:jc w:val="center"/>
        <w:rPr>
          <w:rFonts w:hint="eastAsia" w:asciiTheme="minorEastAsia" w:hAnsiTheme="minorEastAsia" w:eastAsiaTheme="minorEastAsia" w:cstheme="minorEastAsia"/>
          <w:color w:val="auto"/>
          <w:sz w:val="32"/>
          <w:szCs w:val="32"/>
          <w:highlight w:val="none"/>
        </w:rPr>
      </w:pPr>
      <w:r>
        <w:drawing>
          <wp:anchor distT="0" distB="0" distL="114300" distR="114300" simplePos="0" relativeHeight="251663360" behindDoc="1" locked="0" layoutInCell="1" allowOverlap="1">
            <wp:simplePos x="0" y="0"/>
            <wp:positionH relativeFrom="column">
              <wp:posOffset>831850</wp:posOffset>
            </wp:positionH>
            <wp:positionV relativeFrom="paragraph">
              <wp:posOffset>-401320</wp:posOffset>
            </wp:positionV>
            <wp:extent cx="3844925" cy="2364105"/>
            <wp:effectExtent l="4445" t="4445" r="17780" b="12700"/>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jc w:val="center"/>
        <w:rPr>
          <w:rFonts w:hint="eastAsia" w:asciiTheme="minorEastAsia" w:hAnsiTheme="minorEastAsia" w:eastAsiaTheme="minorEastAsia" w:cstheme="minorEastAsia"/>
          <w:color w:val="auto"/>
          <w:sz w:val="32"/>
          <w:szCs w:val="32"/>
          <w:highlight w:val="none"/>
        </w:rPr>
      </w:pPr>
    </w:p>
    <w:p>
      <w:pPr>
        <w:spacing w:line="600" w:lineRule="exact"/>
        <w:jc w:val="center"/>
        <w:rPr>
          <w:rFonts w:hint="eastAsia" w:asciiTheme="minorEastAsia" w:hAnsiTheme="minorEastAsia" w:eastAsiaTheme="minorEastAsia" w:cstheme="minorEastAsia"/>
          <w:color w:val="auto"/>
          <w:sz w:val="32"/>
          <w:szCs w:val="32"/>
          <w:highlight w:val="none"/>
        </w:rPr>
      </w:pPr>
    </w:p>
    <w:p>
      <w:pPr>
        <w:spacing w:line="600" w:lineRule="exact"/>
        <w:jc w:val="both"/>
        <w:rPr>
          <w:rFonts w:hint="eastAsia" w:asciiTheme="minorEastAsia" w:hAnsiTheme="minorEastAsia" w:eastAsiaTheme="minorEastAsia" w:cstheme="minorEastAsia"/>
          <w:color w:val="auto"/>
          <w:sz w:val="32"/>
          <w:szCs w:val="32"/>
          <w:highlight w:val="none"/>
        </w:rPr>
      </w:pPr>
    </w:p>
    <w:p>
      <w:pPr>
        <w:spacing w:line="600" w:lineRule="exact"/>
        <w:jc w:val="center"/>
        <w:rPr>
          <w:rFonts w:hint="eastAsia" w:asciiTheme="minorEastAsia" w:hAnsiTheme="minorEastAsia" w:eastAsiaTheme="minorEastAsia" w:cstheme="minorEastAsia"/>
          <w:color w:val="auto"/>
          <w:sz w:val="32"/>
          <w:szCs w:val="32"/>
          <w:highlight w:val="none"/>
        </w:rPr>
      </w:pPr>
    </w:p>
    <w:p>
      <w:pPr>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74" w:name="_Toc15377212"/>
      <w:r>
        <w:rPr>
          <w:rFonts w:hint="eastAsia" w:ascii="仿宋" w:hAnsi="仿宋" w:eastAsia="仿宋"/>
          <w:b/>
          <w:color w:val="auto"/>
          <w:sz w:val="32"/>
          <w:szCs w:val="32"/>
          <w:highlight w:val="none"/>
        </w:rPr>
        <w:t>（三）一般公共预算财政拨款支出决算具体情况</w:t>
      </w:r>
      <w:bookmarkEnd w:id="74"/>
    </w:p>
    <w:p>
      <w:pPr>
        <w:spacing w:line="600" w:lineRule="exact"/>
        <w:ind w:firstLine="643" w:firstLineChars="200"/>
        <w:outlineLvl w:val="2"/>
        <w:rPr>
          <w:rFonts w:ascii="仿宋" w:hAnsi="仿宋" w:eastAsia="仿宋"/>
          <w:color w:val="auto"/>
          <w:sz w:val="32"/>
          <w:szCs w:val="32"/>
          <w:highlight w:val="none"/>
        </w:rPr>
      </w:pPr>
      <w:bookmarkStart w:id="75" w:name="_Toc15377213"/>
      <w:bookmarkStart w:id="76" w:name="_Toc15378460"/>
      <w:bookmarkStart w:id="7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409.79</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99.63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75"/>
      <w:bookmarkEnd w:id="76"/>
      <w:bookmarkEnd w:id="77"/>
    </w:p>
    <w:p>
      <w:pPr>
        <w:spacing w:line="600" w:lineRule="exact"/>
        <w:ind w:firstLine="643" w:firstLineChars="200"/>
        <w:rPr>
          <w:rFonts w:hint="default" w:ascii="仿宋" w:hAnsi="仿宋" w:eastAsia="仿宋"/>
          <w:b/>
          <w:color w:val="auto"/>
          <w:sz w:val="32"/>
          <w:szCs w:val="32"/>
          <w:highlight w:val="none"/>
          <w:lang w:val="en-US" w:eastAsia="zh-CN"/>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政府办公厅（室）及相关机构事务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293.63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99.49</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，决算数小于预算数的主要原因是</w:t>
      </w:r>
      <w:r>
        <w:rPr>
          <w:rStyle w:val="18"/>
          <w:rFonts w:hint="eastAsia" w:ascii="仿宋" w:hAnsi="仿宋" w:eastAsia="仿宋"/>
          <w:b w:val="0"/>
          <w:bCs/>
          <w:color w:val="auto"/>
          <w:sz w:val="32"/>
          <w:szCs w:val="32"/>
          <w:highlight w:val="none"/>
          <w:lang w:val="en-US" w:eastAsia="zh-CN"/>
        </w:rPr>
        <w:t>2020年结转1.52万元用于基本支出，导致2021年基本支出需求减少。</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政府办公厅（室）及相关机构事务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42.99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_GB2312" w:eastAsia="仿宋_GB2312"/>
          <w:bCs/>
          <w:sz w:val="32"/>
          <w:szCs w:val="32"/>
        </w:rPr>
        <w:t>社会保障和就业支出（类）行政事业单位</w:t>
      </w:r>
      <w:r>
        <w:rPr>
          <w:rStyle w:val="18"/>
          <w:rFonts w:hint="eastAsia" w:ascii="仿宋_GB2312" w:eastAsia="仿宋_GB2312"/>
          <w:bCs/>
          <w:sz w:val="32"/>
          <w:szCs w:val="32"/>
          <w:lang w:eastAsia="zh-CN"/>
        </w:rPr>
        <w:t>养老支出</w:t>
      </w:r>
      <w:r>
        <w:rPr>
          <w:rStyle w:val="18"/>
          <w:rFonts w:hint="eastAsia" w:ascii="仿宋_GB2312" w:eastAsia="仿宋_GB2312"/>
          <w:bCs/>
          <w:sz w:val="32"/>
          <w:szCs w:val="32"/>
        </w:rPr>
        <w:t>（款）机关事业单位基本养老保险缴费支出（项）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26.43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_GB2312" w:eastAsia="仿宋_GB2312"/>
          <w:b w:val="0"/>
          <w:bCs w:val="0"/>
          <w:sz w:val="32"/>
          <w:szCs w:val="32"/>
          <w:lang w:val="en-US" w:eastAsia="zh-CN"/>
        </w:rPr>
      </w:pPr>
      <w:r>
        <w:rPr>
          <w:rStyle w:val="18"/>
          <w:rFonts w:hint="eastAsia" w:ascii="仿宋_GB2312" w:eastAsia="仿宋_GB2312"/>
          <w:bCs/>
          <w:sz w:val="32"/>
          <w:szCs w:val="32"/>
          <w:lang w:val="en-US" w:eastAsia="zh-CN"/>
        </w:rPr>
        <w:t>4.</w:t>
      </w:r>
      <w:r>
        <w:rPr>
          <w:rStyle w:val="18"/>
          <w:rFonts w:hint="eastAsia" w:ascii="仿宋_GB2312" w:eastAsia="仿宋_GB2312"/>
          <w:bCs/>
          <w:sz w:val="32"/>
          <w:szCs w:val="32"/>
        </w:rPr>
        <w:t>社会保障和就业支出（类）行政事业单位</w:t>
      </w:r>
      <w:r>
        <w:rPr>
          <w:rStyle w:val="18"/>
          <w:rFonts w:hint="eastAsia" w:ascii="仿宋_GB2312" w:eastAsia="仿宋_GB2312"/>
          <w:bCs/>
          <w:sz w:val="32"/>
          <w:szCs w:val="32"/>
          <w:lang w:eastAsia="zh-CN"/>
        </w:rPr>
        <w:t>养老支出</w:t>
      </w:r>
      <w:r>
        <w:rPr>
          <w:rStyle w:val="18"/>
          <w:rFonts w:hint="eastAsia" w:ascii="仿宋_GB2312" w:eastAsia="仿宋_GB2312"/>
          <w:bCs/>
          <w:sz w:val="32"/>
          <w:szCs w:val="32"/>
        </w:rPr>
        <w:t>（款）</w:t>
      </w:r>
      <w:r>
        <w:rPr>
          <w:rStyle w:val="18"/>
          <w:rFonts w:hint="eastAsia" w:ascii="仿宋_GB2312" w:eastAsia="仿宋_GB2312"/>
          <w:bCs/>
          <w:sz w:val="32"/>
          <w:szCs w:val="32"/>
          <w:lang w:eastAsia="zh-CN"/>
        </w:rPr>
        <w:t>机关事业单位职业年金缴费支出（项）：</w:t>
      </w:r>
      <w:r>
        <w:rPr>
          <w:rStyle w:val="18"/>
          <w:rFonts w:hint="eastAsia" w:ascii="仿宋_GB2312" w:eastAsia="仿宋_GB2312"/>
          <w:b w:val="0"/>
          <w:bCs w:val="0"/>
          <w:sz w:val="32"/>
          <w:szCs w:val="32"/>
          <w:lang w:eastAsia="zh-CN"/>
        </w:rPr>
        <w:t>支出决算为</w:t>
      </w:r>
      <w:r>
        <w:rPr>
          <w:rStyle w:val="18"/>
          <w:rFonts w:hint="eastAsia" w:ascii="仿宋_GB2312" w:eastAsia="仿宋_GB2312"/>
          <w:b w:val="0"/>
          <w:bCs w:val="0"/>
          <w:sz w:val="32"/>
          <w:szCs w:val="32"/>
          <w:lang w:val="en-US" w:eastAsia="zh-CN"/>
        </w:rPr>
        <w:t>1.02万元，完成预算100%。</w:t>
      </w:r>
    </w:p>
    <w:p>
      <w:pPr>
        <w:spacing w:line="600" w:lineRule="exact"/>
        <w:ind w:firstLine="643" w:firstLineChars="200"/>
        <w:rPr>
          <w:rStyle w:val="18"/>
          <w:rFonts w:hint="default" w:ascii="仿宋_GB2312" w:eastAsia="仿宋_GB2312"/>
          <w:b w:val="0"/>
          <w:bCs w:val="0"/>
          <w:sz w:val="32"/>
          <w:szCs w:val="32"/>
          <w:lang w:val="en-US" w:eastAsia="zh-CN"/>
        </w:rPr>
      </w:pPr>
      <w:r>
        <w:rPr>
          <w:rStyle w:val="18"/>
          <w:rFonts w:hint="eastAsia" w:ascii="仿宋_GB2312" w:eastAsia="仿宋_GB2312"/>
          <w:bCs/>
          <w:sz w:val="32"/>
          <w:szCs w:val="32"/>
          <w:lang w:val="en-US" w:eastAsia="zh-CN"/>
        </w:rPr>
        <w:t>5.</w:t>
      </w:r>
      <w:r>
        <w:rPr>
          <w:rStyle w:val="18"/>
          <w:rFonts w:hint="eastAsia" w:ascii="仿宋_GB2312" w:eastAsia="仿宋_GB2312"/>
          <w:bCs/>
          <w:sz w:val="32"/>
          <w:szCs w:val="32"/>
        </w:rPr>
        <w:t>社会保障和就业支出（类）</w:t>
      </w:r>
      <w:r>
        <w:rPr>
          <w:rStyle w:val="18"/>
          <w:rFonts w:hint="eastAsia" w:ascii="仿宋_GB2312" w:eastAsia="仿宋_GB2312"/>
          <w:bCs/>
          <w:sz w:val="32"/>
          <w:szCs w:val="32"/>
          <w:lang w:eastAsia="zh-CN"/>
        </w:rPr>
        <w:t>其他社会保障和就业支出</w:t>
      </w:r>
      <w:r>
        <w:rPr>
          <w:rStyle w:val="18"/>
          <w:rFonts w:hint="eastAsia" w:ascii="仿宋_GB2312" w:eastAsia="仿宋_GB2312"/>
          <w:bCs/>
          <w:sz w:val="32"/>
          <w:szCs w:val="32"/>
        </w:rPr>
        <w:t>（款）</w:t>
      </w:r>
      <w:r>
        <w:rPr>
          <w:rStyle w:val="18"/>
          <w:rFonts w:hint="eastAsia" w:ascii="仿宋_GB2312" w:eastAsia="仿宋_GB2312"/>
          <w:bCs/>
          <w:sz w:val="32"/>
          <w:szCs w:val="32"/>
          <w:lang w:eastAsia="zh-CN"/>
        </w:rPr>
        <w:t>其他社会保障和就业支出（项）：</w:t>
      </w:r>
      <w:r>
        <w:rPr>
          <w:rStyle w:val="18"/>
          <w:rFonts w:hint="eastAsia" w:ascii="仿宋_GB2312" w:eastAsia="仿宋_GB2312"/>
          <w:b w:val="0"/>
          <w:bCs w:val="0"/>
          <w:sz w:val="32"/>
          <w:szCs w:val="32"/>
          <w:lang w:eastAsia="zh-CN"/>
        </w:rPr>
        <w:t>支出决算为</w:t>
      </w:r>
      <w:r>
        <w:rPr>
          <w:rStyle w:val="18"/>
          <w:rFonts w:hint="eastAsia" w:ascii="仿宋_GB2312" w:eastAsia="仿宋_GB2312"/>
          <w:b w:val="0"/>
          <w:bCs w:val="0"/>
          <w:sz w:val="32"/>
          <w:szCs w:val="32"/>
          <w:lang w:val="en-US" w:eastAsia="zh-CN"/>
        </w:rPr>
        <w:t>2.70万元，完成预算100%。</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b/>
          <w:bCs/>
          <w:color w:val="000000"/>
          <w:sz w:val="32"/>
          <w:szCs w:val="32"/>
        </w:rPr>
        <w:t>卫生健康支出</w:t>
      </w:r>
      <w:r>
        <w:rPr>
          <w:rStyle w:val="18"/>
          <w:rFonts w:hint="eastAsia" w:ascii="仿宋" w:hAnsi="仿宋" w:eastAsia="仿宋"/>
          <w:bCs/>
          <w:color w:val="000000"/>
          <w:sz w:val="32"/>
          <w:szCs w:val="32"/>
        </w:rPr>
        <w:t>（类）行政事业单位医疗（款）行政单位医疗（项）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ind w:firstLine="643" w:firstLineChars="200"/>
        <w:textAlignment w:val="auto"/>
        <w:rPr>
          <w:rStyle w:val="18"/>
          <w:rFonts w:ascii="仿宋" w:hAnsi="仿宋" w:eastAsia="仿宋"/>
          <w:b w:val="0"/>
          <w:bCs/>
          <w:color w:val="000000"/>
          <w:sz w:val="32"/>
          <w:szCs w:val="32"/>
        </w:rPr>
      </w:pP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w:t>
      </w:r>
      <w:r>
        <w:rPr>
          <w:rStyle w:val="18"/>
          <w:rFonts w:hint="eastAsia" w:ascii="仿宋_GB2312" w:eastAsia="仿宋_GB2312"/>
          <w:bCs/>
          <w:sz w:val="32"/>
          <w:szCs w:val="32"/>
        </w:rPr>
        <w:t>住房保障支出（类）住房改革支出（款）住房公积金（项）：</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29.60</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6"/>
        <w:bidi w:val="0"/>
      </w:pPr>
      <w:bookmarkStart w:id="78" w:name="_Toc29525"/>
      <w:bookmarkStart w:id="79" w:name="_Toc15377214"/>
      <w:bookmarkStart w:id="80" w:name="_Toc15396608"/>
      <w:r>
        <w:rPr>
          <w:rFonts w:hint="eastAsia"/>
        </w:rPr>
        <w:t>六、一般公共预算财政拨款基本支出决算情况说明</w:t>
      </w:r>
      <w:bookmarkEnd w:id="78"/>
      <w:bookmarkEnd w:id="79"/>
      <w:bookmarkEnd w:id="80"/>
      <w: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366.80</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300.07</w:t>
      </w:r>
      <w:r>
        <w:rPr>
          <w:rFonts w:hint="eastAsia" w:ascii="仿宋" w:hAnsi="仿宋" w:eastAsia="仿宋"/>
          <w:color w:val="auto"/>
          <w:sz w:val="32"/>
          <w:szCs w:val="32"/>
          <w:highlight w:val="none"/>
        </w:rPr>
        <w:t>万元，主要包括：基本工资、津贴补贴、奖金、机关事业单位基本养老保险缴费、职业年金缴费、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住房公积金、其他工资福利支出、生活补助、奖励金等。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66.73</w:t>
      </w:r>
      <w:r>
        <w:rPr>
          <w:rFonts w:hint="eastAsia" w:ascii="仿宋" w:hAnsi="仿宋" w:eastAsia="仿宋"/>
          <w:color w:val="auto"/>
          <w:sz w:val="32"/>
          <w:szCs w:val="32"/>
          <w:highlight w:val="none"/>
        </w:rPr>
        <w:t>万元，主要包括：办公费、印刷费、手续费、水费、电费、邮电费、物业管理费、差旅费、维修（护）费、租赁费、会议费、工会经费、福利费、公务用车运行维护费、其他交通费、其他商品和服务支出、办公设备购置等。</w:t>
      </w:r>
    </w:p>
    <w:p>
      <w:pPr>
        <w:pStyle w:val="6"/>
        <w:bidi w:val="0"/>
      </w:pPr>
      <w:bookmarkStart w:id="81" w:name="_Toc15396609"/>
      <w:bookmarkStart w:id="82" w:name="_Toc19973"/>
      <w:bookmarkStart w:id="83" w:name="_Toc15377215"/>
      <w:r>
        <w:rPr>
          <w:rFonts w:hint="eastAsia"/>
        </w:rPr>
        <w:t>七、“三公”经费财政拨款支出决算情况说明</w:t>
      </w:r>
      <w:bookmarkEnd w:id="81"/>
      <w:bookmarkEnd w:id="82"/>
      <w:bookmarkEnd w:id="83"/>
    </w:p>
    <w:p>
      <w:pPr>
        <w:spacing w:line="600" w:lineRule="exact"/>
        <w:ind w:firstLine="640"/>
        <w:outlineLvl w:val="2"/>
        <w:rPr>
          <w:rFonts w:ascii="仿宋" w:hAnsi="仿宋" w:eastAsia="仿宋"/>
          <w:b/>
          <w:color w:val="auto"/>
          <w:sz w:val="32"/>
          <w:szCs w:val="32"/>
          <w:highlight w:val="none"/>
        </w:rPr>
      </w:pPr>
      <w:bookmarkStart w:id="84" w:name="_Toc15377216"/>
      <w:r>
        <w:rPr>
          <w:rFonts w:hint="eastAsia" w:ascii="仿宋" w:hAnsi="仿宋" w:eastAsia="仿宋"/>
          <w:b/>
          <w:color w:val="auto"/>
          <w:sz w:val="32"/>
          <w:szCs w:val="32"/>
          <w:highlight w:val="none"/>
        </w:rPr>
        <w:t>（一）“三公”经费财政拨款支出决算总体情况说明</w:t>
      </w:r>
      <w:bookmarkEnd w:id="8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6.67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95.29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公务接待频次未达到预算的预计频次</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85" w:name="_Toc15377217"/>
      <w:r>
        <w:rPr>
          <w:rFonts w:hint="eastAsia" w:ascii="仿宋" w:hAnsi="仿宋" w:eastAsia="仿宋"/>
          <w:b/>
          <w:color w:val="auto"/>
          <w:sz w:val="32"/>
          <w:szCs w:val="32"/>
          <w:highlight w:val="none"/>
        </w:rPr>
        <w:t>（二）“三公”经费财政拨款支出决算具体情况说明</w:t>
      </w:r>
      <w:bookmarkEnd w:id="8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29.39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70.61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8"/>
        <w:jc w:val="center"/>
        <w:rPr>
          <w:rFonts w:hint="eastAsia" w:ascii="仿宋" w:hAnsi="仿宋" w:eastAsia="仿宋"/>
          <w:color w:val="auto"/>
          <w:sz w:val="32"/>
          <w:szCs w:val="32"/>
          <w:highlight w:val="none"/>
        </w:rPr>
      </w:pPr>
      <w:r>
        <w:drawing>
          <wp:inline distT="0" distB="0" distL="114300" distR="114300">
            <wp:extent cx="4145280" cy="2113915"/>
            <wp:effectExtent l="5080" t="4445" r="21590" b="1524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图7：“三公”经费财政拨款支出结构</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因公出国（境）经费支出0万元，年初未安排预算</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支出决算较</w:t>
      </w:r>
      <w:r>
        <w:rPr>
          <w:rStyle w:val="18"/>
          <w:rFonts w:hint="eastAsia" w:ascii="仿宋" w:hAnsi="仿宋" w:eastAsia="仿宋"/>
          <w:b w:val="0"/>
          <w:bCs/>
          <w:color w:val="auto"/>
          <w:sz w:val="32"/>
          <w:szCs w:val="32"/>
          <w:highlight w:val="none"/>
          <w:lang w:val="en-US" w:eastAsia="zh-CN"/>
        </w:rPr>
        <w:t>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98</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,主要原因是公务用车出行次数未及预算时预计次数</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2.85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59.25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一是</w:t>
      </w:r>
      <w:r>
        <w:rPr>
          <w:rFonts w:hint="eastAsia" w:ascii="仿宋_GB2312" w:eastAsia="仿宋_GB2312"/>
          <w:color w:val="auto"/>
          <w:sz w:val="32"/>
          <w:szCs w:val="32"/>
          <w:highlight w:val="none"/>
          <w:lang w:val="en-US" w:eastAsia="zh-CN"/>
        </w:rPr>
        <w:t>2021年车辆使用的加油费为2020年预存额，二是2021年度公务车出行次数较2020年减少</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机关干部职工赴园区、扶贫村开展工作、市内石油天然气管道安全检查、</w:t>
      </w:r>
      <w:r>
        <w:rPr>
          <w:rFonts w:hint="eastAsia" w:ascii="仿宋_GB2312" w:hAnsi="仿宋_GB2312" w:eastAsia="仿宋_GB2312" w:cs="仿宋_GB2312"/>
          <w:color w:val="000000"/>
          <w:sz w:val="32"/>
          <w:szCs w:val="32"/>
          <w:lang w:eastAsia="zh-CN"/>
        </w:rPr>
        <w:t>项目现场调研、</w:t>
      </w:r>
      <w:r>
        <w:rPr>
          <w:rFonts w:hint="eastAsia" w:ascii="仿宋_GB2312" w:hAnsi="仿宋_GB2312" w:eastAsia="仿宋_GB2312" w:cs="仿宋_GB2312"/>
          <w:color w:val="000000"/>
          <w:sz w:val="32"/>
          <w:szCs w:val="32"/>
        </w:rPr>
        <w:t>外出考察招商、市内应急运行</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4.71</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94.2</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r>
        <w:rPr>
          <w:rFonts w:hint="eastAsia" w:ascii="仿宋" w:hAnsi="仿宋" w:eastAsia="仿宋"/>
          <w:color w:val="auto"/>
          <w:sz w:val="32"/>
          <w:szCs w:val="32"/>
          <w:highlight w:val="none"/>
          <w:lang w:eastAsia="zh-CN"/>
        </w:rPr>
        <w:t>公务接待频次未达到预算的预计频次</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41.02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color w:val="000000"/>
          <w:sz w:val="32"/>
          <w:szCs w:val="32"/>
          <w:lang w:val="en-US" w:eastAsia="zh-CN"/>
        </w:rPr>
        <w:t>招商引资目标任务增加，增加了接待预算</w:t>
      </w:r>
      <w:r>
        <w:rPr>
          <w:rFonts w:hint="eastAsia" w:ascii="仿宋_GB2312" w:eastAsia="仿宋_GB2312"/>
          <w:color w:val="auto"/>
          <w:sz w:val="32"/>
          <w:szCs w:val="32"/>
          <w:highlight w:val="none"/>
        </w:rPr>
        <w:t>。其中：</w:t>
      </w:r>
    </w:p>
    <w:p>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4.71</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eastAsia="zh-CN"/>
        </w:rPr>
        <w:t>招商引资</w:t>
      </w:r>
      <w:r>
        <w:rPr>
          <w:rFonts w:hint="eastAsia" w:ascii="仿宋_GB2312" w:hAnsi="仿宋_GB2312" w:eastAsia="仿宋_GB2312" w:cs="仿宋_GB2312"/>
          <w:color w:val="000000"/>
          <w:sz w:val="32"/>
          <w:szCs w:val="32"/>
        </w:rPr>
        <w:t>活动开支用餐费等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144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4.71</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sz w:val="32"/>
          <w:szCs w:val="32"/>
        </w:rPr>
        <w:t>园区项目推介、市内项目招商引资、勘探开发协调</w:t>
      </w:r>
      <w:r>
        <w:rPr>
          <w:rFonts w:hint="eastAsia" w:ascii="仿宋_GB2312" w:hAnsi="仿宋_GB2312" w:eastAsia="仿宋_GB2312" w:cs="仿宋_GB2312"/>
          <w:sz w:val="32"/>
          <w:szCs w:val="32"/>
          <w:lang w:eastAsia="zh-CN"/>
        </w:rPr>
        <w:t>、用气指标争取</w:t>
      </w:r>
      <w:r>
        <w:rPr>
          <w:rFonts w:hint="eastAsia" w:ascii="仿宋_GB2312" w:hAnsi="仿宋_GB2312" w:eastAsia="仿宋_GB2312" w:cs="仿宋_GB2312"/>
          <w:sz w:val="32"/>
          <w:szCs w:val="32"/>
        </w:rPr>
        <w:t>、管道保护等业务活动开支用餐费等</w:t>
      </w:r>
      <w:r>
        <w:rPr>
          <w:rFonts w:hint="eastAsia" w:ascii="仿宋_GB2312" w:hAnsi="仿宋_GB2312" w:eastAsia="仿宋_GB2312" w:cs="仿宋_GB2312"/>
          <w:color w:val="000000"/>
          <w:sz w:val="32"/>
          <w:szCs w:val="32"/>
        </w:rPr>
        <w:t>。</w:t>
      </w:r>
    </w:p>
    <w:p>
      <w:pPr>
        <w:spacing w:line="600" w:lineRule="exact"/>
        <w:ind w:firstLine="643" w:firstLineChars="20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pStyle w:val="6"/>
        <w:bidi w:val="0"/>
      </w:pPr>
      <w:bookmarkStart w:id="86" w:name="_Toc15377218"/>
      <w:bookmarkStart w:id="87" w:name="_Toc15396610"/>
      <w:bookmarkStart w:id="88" w:name="_Toc13515"/>
      <w:r>
        <w:rPr>
          <w:rFonts w:hint="eastAsia"/>
        </w:rPr>
        <w:t>八、政府性基金预算支出决算情况说明</w:t>
      </w:r>
      <w:bookmarkEnd w:id="86"/>
      <w:bookmarkEnd w:id="87"/>
      <w:bookmarkEnd w:id="88"/>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年本单位未在政府性基金预算拨款安排“三公经费”支出</w:t>
      </w:r>
      <w:r>
        <w:rPr>
          <w:rFonts w:hint="eastAsia" w:ascii="仿宋_GB2312" w:hAnsi="仿宋_GB2312" w:eastAsia="仿宋_GB2312" w:cs="仿宋_GB2312"/>
          <w:color w:val="000000"/>
          <w:sz w:val="32"/>
          <w:szCs w:val="32"/>
          <w:lang w:eastAsia="zh-CN"/>
        </w:rPr>
        <w:t>。</w:t>
      </w:r>
    </w:p>
    <w:p>
      <w:pPr>
        <w:pStyle w:val="6"/>
        <w:bidi w:val="0"/>
      </w:pPr>
      <w:bookmarkStart w:id="89" w:name="_Toc15396611"/>
      <w:bookmarkStart w:id="90" w:name="_Toc15377219"/>
      <w:bookmarkStart w:id="91" w:name="_Toc10608"/>
      <w:r>
        <w:rPr>
          <w:rFonts w:hint="eastAsia"/>
          <w:lang w:eastAsia="zh-CN"/>
        </w:rPr>
        <w:t>九、</w:t>
      </w:r>
      <w:r>
        <w:rPr>
          <w:rFonts w:hint="eastAsia"/>
        </w:rPr>
        <w:t>国有资本经营预算支出决算情况说明</w:t>
      </w:r>
      <w:bookmarkEnd w:id="89"/>
      <w:bookmarkEnd w:id="90"/>
      <w:bookmarkEnd w:id="91"/>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92" w:name="_Toc15377221"/>
      <w:bookmarkStart w:id="93" w:name="_Toc15396612"/>
    </w:p>
    <w:p>
      <w:pPr>
        <w:pStyle w:val="6"/>
        <w:bidi w:val="0"/>
        <w:rPr>
          <w:rStyle w:val="20"/>
          <w:rFonts w:hint="eastAsia" w:ascii="黑体" w:hAnsi="黑体" w:eastAsia="黑体"/>
          <w:b w:val="0"/>
          <w:bCs/>
          <w:color w:val="auto"/>
          <w:highlight w:val="none"/>
        </w:rPr>
      </w:pPr>
      <w:bookmarkStart w:id="94" w:name="_Toc30898"/>
      <w:r>
        <w:rPr>
          <w:rStyle w:val="20"/>
          <w:rFonts w:hint="eastAsia" w:ascii="黑体" w:hAnsi="黑体" w:eastAsia="黑体"/>
          <w:b w:val="0"/>
          <w:bCs/>
          <w:color w:val="auto"/>
          <w:highlight w:val="none"/>
          <w:lang w:val="en-US" w:eastAsia="zh-CN"/>
        </w:rPr>
        <w:t>十、预算绩效管理情况</w:t>
      </w:r>
      <w:bookmarkEnd w:id="94"/>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95" w:name="_Toc30662"/>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“天然气产业发展及项目储备招商工作”等</w:t>
      </w:r>
      <w:r>
        <w:rPr>
          <w:rFonts w:hint="eastAsia" w:ascii="仿宋_GB2312" w:hAnsi="仿宋_GB2312" w:eastAsia="仿宋_GB2312" w:cs="仿宋_GB2312"/>
          <w:color w:val="auto"/>
          <w:sz w:val="32"/>
          <w:szCs w:val="32"/>
          <w:highlight w:val="none"/>
          <w:lang w:val="en-US" w:eastAsia="zh-CN"/>
        </w:rPr>
        <w:t>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1年市天然气综合利用工业园区管委会</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95"/>
    </w:p>
    <w:p>
      <w:pPr>
        <w:pStyle w:val="6"/>
        <w:bidi w:val="0"/>
        <w:rPr>
          <w:rStyle w:val="20"/>
          <w:rFonts w:hint="eastAsia" w:ascii="黑体" w:hAnsi="黑体" w:eastAsia="黑体"/>
          <w:b w:val="0"/>
          <w:bCs/>
          <w:color w:val="auto"/>
          <w:highlight w:val="none"/>
        </w:rPr>
      </w:pPr>
      <w:bookmarkStart w:id="96" w:name="_Toc5808"/>
      <w:r>
        <w:rPr>
          <w:rStyle w:val="20"/>
          <w:rFonts w:hint="eastAsia" w:ascii="黑体" w:hAnsi="黑体" w:eastAsia="黑体"/>
          <w:b w:val="0"/>
          <w:bCs/>
          <w:color w:val="auto"/>
          <w:highlight w:val="none"/>
          <w:lang w:eastAsia="zh-CN"/>
        </w:rPr>
        <w:t>十一、</w:t>
      </w:r>
      <w:r>
        <w:rPr>
          <w:rStyle w:val="20"/>
          <w:rFonts w:hint="eastAsia" w:ascii="黑体" w:hAnsi="黑体" w:eastAsia="黑体"/>
          <w:b w:val="0"/>
          <w:bCs/>
          <w:color w:val="auto"/>
          <w:highlight w:val="none"/>
        </w:rPr>
        <w:t>其他重要事项的情况说明</w:t>
      </w:r>
      <w:bookmarkEnd w:id="92"/>
      <w:bookmarkEnd w:id="93"/>
      <w:bookmarkEnd w:id="96"/>
    </w:p>
    <w:p>
      <w:pPr>
        <w:spacing w:line="600" w:lineRule="exact"/>
        <w:ind w:firstLine="643" w:firstLineChars="200"/>
        <w:outlineLvl w:val="2"/>
        <w:rPr>
          <w:rFonts w:ascii="仿宋" w:hAnsi="仿宋" w:eastAsia="仿宋"/>
          <w:color w:val="auto"/>
          <w:sz w:val="32"/>
          <w:szCs w:val="32"/>
          <w:highlight w:val="none"/>
        </w:rPr>
      </w:pPr>
      <w:bookmarkStart w:id="97" w:name="_Toc15377222"/>
      <w:r>
        <w:rPr>
          <w:rFonts w:hint="eastAsia" w:ascii="仿宋" w:hAnsi="仿宋" w:eastAsia="仿宋"/>
          <w:b/>
          <w:color w:val="auto"/>
          <w:sz w:val="32"/>
          <w:szCs w:val="32"/>
          <w:highlight w:val="none"/>
        </w:rPr>
        <w:t>（一）机关运行经费支出情况</w:t>
      </w:r>
      <w:bookmarkEnd w:id="97"/>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66.73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2.03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2.95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减少了引进人才的住房补助支出。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8" w:name="_Toc15377223"/>
      <w:r>
        <w:rPr>
          <w:rFonts w:hint="eastAsia" w:ascii="仿宋" w:hAnsi="仿宋" w:eastAsia="仿宋"/>
          <w:b/>
          <w:color w:val="auto"/>
          <w:sz w:val="32"/>
          <w:szCs w:val="32"/>
          <w:highlight w:val="none"/>
        </w:rPr>
        <w:t>（二）政府采购支出情况</w:t>
      </w:r>
      <w:bookmarkEnd w:id="9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9" w:name="_Toc15377224"/>
      <w:r>
        <w:rPr>
          <w:rFonts w:hint="eastAsia" w:ascii="仿宋" w:hAnsi="仿宋" w:eastAsia="仿宋"/>
          <w:b/>
          <w:color w:val="auto"/>
          <w:sz w:val="32"/>
          <w:szCs w:val="32"/>
          <w:highlight w:val="none"/>
        </w:rPr>
        <w:t>（三）国有资产占有使用情况</w:t>
      </w:r>
      <w:bookmarkEnd w:id="9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hAnsi="仿宋_GB2312" w:eastAsia="仿宋_GB2312" w:cs="仿宋_GB2312"/>
          <w:color w:val="000000"/>
          <w:sz w:val="32"/>
          <w:szCs w:val="32"/>
        </w:rPr>
        <w:t>机关干部职工赴园区、扶贫村开展工作、市内石油天然气管道安全检查、</w:t>
      </w:r>
      <w:r>
        <w:rPr>
          <w:rFonts w:hint="eastAsia" w:ascii="仿宋_GB2312" w:hAnsi="仿宋_GB2312" w:eastAsia="仿宋_GB2312" w:cs="仿宋_GB2312"/>
          <w:color w:val="000000"/>
          <w:sz w:val="32"/>
          <w:szCs w:val="32"/>
          <w:lang w:eastAsia="zh-CN"/>
        </w:rPr>
        <w:t>项目现场调研、</w:t>
      </w:r>
      <w:r>
        <w:rPr>
          <w:rFonts w:hint="eastAsia" w:ascii="仿宋_GB2312" w:hAnsi="仿宋_GB2312" w:eastAsia="仿宋_GB2312" w:cs="仿宋_GB2312"/>
          <w:color w:val="000000"/>
          <w:sz w:val="32"/>
          <w:szCs w:val="32"/>
        </w:rPr>
        <w:t>外出考察招商、市内应急运行</w:t>
      </w:r>
      <w:r>
        <w:rPr>
          <w:rFonts w:hint="eastAsia" w:ascii="仿宋_GB2312" w:hAnsi="仿宋_GB2312" w:eastAsia="仿宋_GB2312" w:cs="仿宋_GB2312"/>
          <w:color w:val="000000"/>
          <w:sz w:val="32"/>
          <w:szCs w:val="32"/>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numPr>
          <w:ilvl w:val="0"/>
          <w:numId w:val="1"/>
        </w:numPr>
        <w:bidi w:val="0"/>
      </w:pPr>
      <w:bookmarkStart w:id="100" w:name="_Toc15377225"/>
      <w:bookmarkStart w:id="101" w:name="_Toc15396613"/>
      <w:bookmarkStart w:id="102" w:name="_Toc32116"/>
      <w:r>
        <w:rPr>
          <w:rFonts w:hint="eastAsia"/>
        </w:rPr>
        <w:t>名词解释</w:t>
      </w:r>
      <w:bookmarkEnd w:id="100"/>
      <w:bookmarkEnd w:id="101"/>
      <w:bookmarkEnd w:id="102"/>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rPr>
        <w:t>（类）政府办公厅（室）及相关机构事务（款）行政运行（项）：指行政单位（包括实行公务员管理的事业单位)的基本支出。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rPr>
        <w:t>（类）政府办公厅（室）及相关机构事务（款）一般行政管理事务（项）：指反映行政单位（包括实行公务员管理的事业单位)未单独设置项级科目的其他项目支出。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（款）机关事业单位基本养老保险缴费支出（项）：指机关事业单位实施养老保险制度由单位缴纳的基本养老保险费支出</w:t>
      </w:r>
      <w:r>
        <w:rPr>
          <w:rFonts w:hint="eastAsia" w:ascii="仿宋_GB2312" w:eastAsia="仿宋_GB2312"/>
          <w:color w:val="auto"/>
          <w:sz w:val="32"/>
          <w:szCs w:val="32"/>
          <w:highlight w:val="none"/>
        </w:rPr>
        <w:t>。</w:t>
      </w:r>
    </w:p>
    <w:p>
      <w:pPr>
        <w:pStyle w:val="14"/>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：反映机关事业单位实施养老保险制度由单位实际缴纳的职业年金支出。</w:t>
      </w:r>
    </w:p>
    <w:p>
      <w:pPr>
        <w:rPr>
          <w:rFonts w:hint="eastAsia"/>
          <w:lang w:eastAsia="zh-CN"/>
        </w:rPr>
      </w:pPr>
      <w:r>
        <w:rPr>
          <w:rFonts w:hint="eastAsia" w:ascii="仿宋_GB2312" w:eastAsia="仿宋_GB2312"/>
          <w:sz w:val="32"/>
          <w:szCs w:val="32"/>
          <w:lang w:val="en-US" w:eastAsia="zh-CN"/>
        </w:rPr>
        <w:t xml:space="preserve">    8.</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其他社会保障和就业支出（款）</w:t>
      </w:r>
      <w:r>
        <w:rPr>
          <w:rFonts w:hint="eastAsia" w:ascii="仿宋_GB2312" w:eastAsia="仿宋_GB2312"/>
          <w:sz w:val="32"/>
          <w:szCs w:val="32"/>
          <w:lang w:val="en-US" w:eastAsia="zh-CN"/>
        </w:rPr>
        <w:t>其他社会保障和就业支出）项：反映上述项目以外其他用于社会保障和就业方面的支出。</w:t>
      </w:r>
    </w:p>
    <w:p>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9.</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指财政部门集中安排的行政单位基本医疗保险缴纳经费，未参加医疗保险的行政单位公费医疗经费，按国家规定享受离休人员、红军老战士待遇人员的医疗经费</w:t>
      </w:r>
      <w:r>
        <w:rPr>
          <w:rFonts w:hint="eastAsia" w:ascii="仿宋_GB2312" w:eastAsia="仿宋_GB2312"/>
          <w:color w:val="auto"/>
          <w:sz w:val="32"/>
          <w:szCs w:val="32"/>
          <w:highlight w:val="none"/>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设备购置费、办公用房水电费、办公用房物业管理费、公务用车运行维护费以及其他费用。</w:t>
      </w:r>
    </w:p>
    <w:p>
      <w:pPr>
        <w:spacing w:line="600" w:lineRule="exact"/>
        <w:jc w:val="center"/>
        <w:outlineLvl w:val="0"/>
        <w:rPr>
          <w:rStyle w:val="29"/>
          <w:rFonts w:hint="eastAsia"/>
          <w:lang w:eastAsia="zh-CN"/>
        </w:rPr>
      </w:pPr>
      <w:bookmarkStart w:id="103" w:name="_Toc15377226"/>
      <w:r>
        <w:rPr>
          <w:rFonts w:ascii="宋体"/>
          <w:b/>
          <w:color w:val="auto"/>
          <w:sz w:val="44"/>
          <w:szCs w:val="44"/>
          <w:highlight w:val="none"/>
        </w:rPr>
        <w:br w:type="page"/>
      </w:r>
      <w:bookmarkStart w:id="104" w:name="_Toc15396614"/>
      <w:bookmarkStart w:id="105" w:name="_Toc30423"/>
      <w:r>
        <w:rPr>
          <w:rStyle w:val="29"/>
          <w:rFonts w:hint="eastAsia"/>
        </w:rPr>
        <w:t>第四部分 附件</w:t>
      </w:r>
      <w:bookmarkEnd w:id="104"/>
      <w:bookmarkEnd w:id="105"/>
    </w:p>
    <w:p>
      <w:pPr>
        <w:pStyle w:val="6"/>
        <w:bidi w:val="0"/>
        <w:rPr>
          <w:rFonts w:hint="eastAsia"/>
          <w:lang w:val="en-US" w:eastAsia="zh-CN"/>
        </w:rPr>
      </w:pPr>
      <w:bookmarkStart w:id="106" w:name="_Toc22800"/>
      <w:r>
        <w:rPr>
          <w:rFonts w:hint="eastAsia"/>
        </w:rPr>
        <w:t>附件</w:t>
      </w:r>
      <w:r>
        <w:rPr>
          <w:rFonts w:hint="eastAsia"/>
          <w:lang w:val="en-US" w:eastAsia="zh-CN"/>
        </w:rPr>
        <w:t>1</w:t>
      </w:r>
      <w:bookmarkEnd w:id="106"/>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lang w:eastAsia="zh-CN"/>
        </w:rPr>
      </w:pPr>
      <w:r>
        <w:rPr>
          <w:rFonts w:hint="eastAsia" w:ascii="方正小标宋简体" w:hAnsi="宋体" w:eastAsia="方正小标宋简体"/>
          <w:color w:val="auto"/>
          <w:kern w:val="0"/>
          <w:sz w:val="40"/>
          <w:szCs w:val="44"/>
          <w:highlight w:val="none"/>
          <w:lang w:eastAsia="zh-CN"/>
        </w:rPr>
        <w:t>广元市天然气综合利用工业园区管委会</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一、部门概况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 市天然气综合利用工业园区管委会成立于2008年8月，由市委、市政府批准成立。内设6个科室：办公室、产业发展科、规划建设科、招商引资科、项目投资科和管道保护科。无下属二级预算单位。</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1.贯彻执行国家关于天然气资源管理和开发利用的战略、方针、政策和法律法规，拟订全市天然气综合利用的政策措施和管理办法并组织实施。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2.研究提出全市天然气综合利用产业发展的总体目标和发展战略，编制全市天然气综合利用发展规划、天然气工业园区发展规划及年度计划并组织实施。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3.指导协调、监督管理全市天然气综合利用工作。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4.承担全市天然气勘探开发协调服务工作。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5.负责全市天然气综合利用产业布局及项目用气指标争取，负责民用天然气、工业燃料用气、天然气发电、天然气化工、气煤循环利用的组织实施和监督管理。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6.拟定广元市天然气综合利用工业园区管理办法并组织实施。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7.负责广元天然气综合利用工业园区的统一管理、统一规划和基础设施配套建设工作。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8.配合做好天然气综合利用产业项目招商引资工作。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9.承担广元市天然气公司和广元市油气投资股份公司行政管理职责。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10.负责全市石油天然气管道保护执法工作，协调处理全市行政区域管道保护的重大问题，指导、监督有关单位履行管道保护义务，依法查处危害管道安全的违法行为。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11.承办市政府交办的其他事项。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机关行政编制19名，工勤控制数3个。实际在职行政人员19人，退休人员1人，工勤控制数0人。</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二、部门财政资金收支情况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2021年财政拨款收入409.79万元，其中：一般公共预算财政拨款本年收入409.79万元，占100%。</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2021年财政拨款支出合计409.79万元，其中基本支出366.8万元，占89.51%；项目支出42.99万元，占10.49%。</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1.目标制定</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我委严格按照2021年度工作计划安排编制年度预算，绩效指标要素完整，各指标做到了细化量化，项目支出无调剂。</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2.目标实现</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人员类，年初预算数268.55万元，决算数300.07万元。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运转类，年初预算数73.94万元，决算数66.73万元。</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特定目标类，年初预算42.99万元，决算数42.99万元。四个项目涉及数量指标共35个，单个数量指标实际未达到预期值30%的0个，单位数量指标超过预期值的7个。</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3.支出控制</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日常公用经费年初预算数为73.94万元，年末决算数为66.73万元，偏差9.75%，偏差程序在10%以内。</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其中：“办公费、印刷费、水费、电费、物业管理费”科目年初预算数为12.68万元，年末决算数为10.43万元，偏差-17.74%。</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4.及时处置</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2021年度，我委部门绩效监控调整取消额与结余注销额均为0。</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5.执行进度</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2021年6月执行进度为17.17%，9月执行进度为58.97%，11月执行进度为83.20%。</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6.预算完成情况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2021年度我委共有4个预算项目，截至12月底预算执行进度均达100%。</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7.资金结余率</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我委部门预算项目年终资金结余数为0。</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8.违规记录</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我委在预算绩效管理、财务收支等方面不存在违规违纪问题。</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1.内部应用</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我委将预算绩效管理纳入单位年度目标考核指标，明确责任科室。</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2.自评公开</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我委整体部门支出绩效自评、项目支出绩效自评情况均随年度决算信息在市政府网站和门户网站公开。</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3.问题整改</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我委无整改的绩效问题。</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4.应用反馈</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我委已按要求及时向市财政局反馈结果应用情况。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（三）自评质量</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包括评价部门整体支出自评准确情况。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四、评价结论及建议</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我委开展自评的4个项目，得分情况为：“天然气产业发展及项目储备招商工作”100分，“勘探开发生产计划协调及用气指标争取”99分，“管道保护执法安全生产工作”99分，“扶贫工作经费”100分，项目平均得分99.5分，按40%权重计算，项目绩效评价最终得分为39.8分。</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2021年度整体绩效自评得分为：97.4分。</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1.个别项目责任主体较多，项目绩效指标特别是数量指标过多，涉及科室的预算资金指标不明确，为项目管理增加了难度。</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2.项目预算资金支付进度与财政要求有一定差距。</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 xml:space="preserve">1.涉及科室较多的项目根据科室职能职责，梳理目标任务，细化分解各自绩效指标和项目资金指标。 </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2.加强预算执行管理，进行科学合理筹划，在年初预算下达后，及时项目责任科室，按照预算执行管理规定，督促支付进度。</w:t>
      </w: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6"/>
        <w:bidi w:val="0"/>
        <w:rPr>
          <w:rFonts w:hint="eastAsia"/>
          <w:lang w:val="en-US" w:eastAsia="zh-CN"/>
        </w:rPr>
      </w:pPr>
      <w:bookmarkStart w:id="107" w:name="_Toc235"/>
      <w:r>
        <w:rPr>
          <w:rFonts w:hint="eastAsia"/>
          <w:lang w:val="zh-CN"/>
        </w:rPr>
        <w:t>附件</w:t>
      </w:r>
      <w:r>
        <w:rPr>
          <w:rFonts w:hint="eastAsia"/>
          <w:lang w:val="en-US" w:eastAsia="zh-CN"/>
        </w:rPr>
        <w:t>2</w:t>
      </w:r>
      <w:bookmarkEnd w:id="107"/>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pStyle w:val="34"/>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sz w:val="32"/>
          <w:szCs w:val="32"/>
          <w:lang w:val="en-US" w:eastAsia="zh-CN"/>
        </w:rPr>
        <w:t>（天然气产业发展及项目储备招商）</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一、项目概况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（一）项目基本情况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 xml:space="preserve">1.《关于印发广元市天然气综合利用工业园区管委会主要职责内设机构和人员编制规定的通知》（广府办发〔2011〕70号）中单位职责：配合做好天然气综合利用产业项目招商引资工作；指导协调、监督管理全市天然气综合利用工作；负责广元市天然气综合利用工业园区的统一管理、统一规划和基础设施配套建设工作。                                                                                                      </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关于调整市天然气管委会内设机构的通知》（广编办发〔2019〕57号）项目投资科主要职责是：争取天然气产业项目和投资；负责天然气产业重大项目的管理、推进和协调服务工作；负责全市重大项目和重点工业企业的供气保障等工作。</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项目立项、资金申报的依据</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2021年3月10日，市财政局《关于批复2021年市级部门预算的通知》（广财预〔2021〕1号）文件，批复我委“天然气产业发蔚县及项目储备招商工作”经费共26.49万元，同时批复了项目绩效目标申报表。</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及时完善资金管理办法</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为进一步加强和规范项目资金管理，推动我委天然气产业发展，提高财政资金使用绩效，依据《中华人民共和国预算法》和《中共中央国务院关于全面实施绩效管理的意见》，及时出台了《预算绩效管理办法（试行）》和《机关财务管理制度（试行》，强化了资金的绩效管理和监督。</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资金分配的原则及考虑因素。</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 xml:space="preserve">根据2021年度目标任务确定项目工作重点、具体绩效指标，解决天然气产业发展及项目储备招商工作中产生的差旅费、印刷费、咨询费、租车费、公务车运行费等支出，实行统筹安排、专款专用、专项管理。  </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（二）项目绩效目标。</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签约引进亿元以上项目3个，其中5亿元以上项目1个，引进到位资金25亿元。力争储备项目总投资160亿元以上。</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实现签约引进亿元以上项目3个，其中5亿元以上项目1个，引进到位资金25亿元。一是依托天然气资源优势，重点围绕以天然气为燃料、原料的产业，加大项目招引力度；二是争取中石油、中石化气源保障和政策支持，打造天然气价格“洼地”，加快推进“以气引企、以气聚企”，吸引聚集一批产业项目落户广元；三是积极跟踪华电集团、胜恒集团、视窗集团等知名企业，加快天然气调峰发电一期、天然气精细化工和新材料等项目前期工作，力争早日签约落地。</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 xml:space="preserve">（2）力争全市天然气系统实现工业总产值58亿元，实现工业利润11亿元、税收6亿元；完成工业投资25亿元；新发展天然气民用2.5万户以上，加快“气化广元”进程。 </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积极争取中石油、中石化天然气勘探开发项目投资，搞好重点项目协调服务，加快推进天然气勘探、苍溪永宁天然气净化厂、元德线等项目建设进度；全力完成LNG、CNG天然气加注交通能源站等项目前期工作，实现开工；启动剑阁天然气净化二厂、天然气输气分输站等项目前期工作；全年天然气产业项目完成投资25亿元。加强项目储备库建设，做好“十四五”重点项目规划，力争储备项目总投资160亿元以上。</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（4）继续做好园区安全保卫、基础设施维修管护、日常保洁、园区征地拆迁安置协调等工作。</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3.分析评价申报内容是否与实际相符，申报目标是否合理可行。</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绩效目标申报内容与实际相府，申报目标合理可行。</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（三）项目自评步骤及方法。</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市财政局《关于开展2022年度部门、政策和项目支出绩效自评工作的通知》（广财绩〔2022〕8号）文件要求，我委相关业务科室对项目各自领域绩效项目数量指标、质量指标及产生的效益指标和满意度情况进行自评，财务室汇总，形成项目资金支出绩效自评报告。</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二、项目资金申报及使用情况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（一）项目资金申报及批复情况。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市财政局关于编制2021年度财政预算工作的通知，我委开展预算编制工作，2021年3月10日，市财政局《关于批复2021年市级部门预算的通知》（广财预〔2021〕1号）文件，批复我委“天然气产业发展及项目储备招商工作”经费共26.49万元，全年指标无调整。</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（二）资金计划、到位及使用情况（可用表格形式反映）。</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1.资金计划。</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此项目属于常年工作经费项目，财政一般公共预算指标为26.49万元。</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2.资金到位。</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截至2021年底，市财政实际拨付资金26.49万元，资金拨付率为100%。</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3.资金使用。</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2021年度该项目资金实际执行26.49万元，执行率为100%。主要用于我委开展天然气产业发展、项目投资、招商引资等工作中产生的差旅费、资料印刷费、公务用车运行、招商接待等支出。</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（三）项目财务管理情况。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委严格按照财务管理相关制度规定，制定了《机关财务管理制度》《“三重一大”民主决策实施办法》，加强对财政管理项目经费的使用管理，在资金支付过程中严格执行制度规定，及时规范进行账务处理及会计核算。切实做到专款专用，最大发挥项目资金作用。</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三、项目实施及管理情况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（一）项目组织架构及实施流程。</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我委高度重视天然气产业发展及项目储备招商项目工作，为保障项目资金安全，确保资金专款专用，从资金申请、使用、会计核算三个环节加强资金管理。</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（二）项目管理情况。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该项目由产业发展科、招商引资科和项目投资科共同实施，涉及“三重一大”事项一律报园区党委会研究审定。</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（三）项目监管情况。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市纪委派驻市政府办公室纪检监察组对该项目实施情况进行全程监督，同时我们主动接受市纪委监委、市审计局的监督检查，对预算执行实行动态监控，无违纪违法现象。</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四、项目绩效情况</w:t>
      </w:r>
      <w:r>
        <w:rPr>
          <w:rFonts w:hint="eastAsia" w:ascii="黑体" w:hAnsi="黑体" w:eastAsia="黑体" w:cs="黑体"/>
          <w:color w:val="auto"/>
          <w:kern w:val="2"/>
          <w:sz w:val="32"/>
          <w:szCs w:val="32"/>
          <w:highlight w:val="none"/>
          <w:lang w:val="zh-CN" w:eastAsia="zh-CN" w:bidi="ar-SA"/>
        </w:rPr>
        <w:tab/>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（一）项目完成情况。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全市天然气系统2021年实现工业总产值87.5亿元，实现工业利润10.1亿元、税收7.7亿元；完成工业项目投资32.7亿元；新发展天然气民用3.6万户，“气化广元”进程进一步加快。协调中石油、中石化加大天然气勘探开发力度，累计探明储量达7000亿方，新增产能5亿方、累计达60亿方，产能排全省第三位。元坝、剑阁、九龙山净化厂全面达产达能，全年实现天然气产量52.4亿方，较去年新增11亿方、增长26%。元坝-德阳输气管道工程广元段全面竣工，全市油气输送管道安全平稳运行。中石油永宁净化厂已完成生产调试。剑阁天然气净化二期、广元经开区储气设施及加气站、华油LNG工厂1万水立方储气设施等项目前期工作加快推进。加强项目储备库建设，规划储备项目41个，项目总投资502亿元。签约燃气发电、铝型材及高端铝制品、橡胶硫化剂等项目11个，签约资金76.33亿元，进一步增强了天然气产业发展后劲。强化体制机制建设，修订完善应急预案，加强监督检查，确保了石油天然气管道和行业运行安全平稳。狠抓环境保护，全年未发生一起生态环境事故，未发生一起生态环境上访、举报事件，未受中央、省、市环保督查督办。</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（二）项目效益情况。</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2021年我市天然气系统实现税收7.7亿元，新增税收1.5亿元，新增产值27亿元，新增到位资金35亿元。中石油、中石化持续加大天然气勘探开发力度，累计探明储量达7000亿方，新增产能5亿方、累计达60亿方，产能排全省第三位。元坝、剑阁、九龙山净化厂全面达产达能，全年实现天然气产量52.4亿方，较去年新增11亿方、增长26%。元坝-德阳输气管道工程广元段全面竣工，全市油气输送管道安全平稳运行。实现工业总产值87.5亿元，规上工业增加值增长率20%，完成工业投资32.7亿元。新培育产值超亿元以上企业3户，新培育规上企业2户，产业结构进一步优化，为广元工业高质量发展做出了积极贡献。协调落实用气指标7.21亿方，发展天然气民用户3.6万户；2×70万千瓦清洁能源发电项目，省政府已通过核准审批，年可减少碳排放40万吨，为推进低碳绿色发展做出了积极贡献。</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五、评价结论及建议</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（一）评价结论。</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本项目决策、项目管理、项目绩效完全符合相关要求，项目建设推荐总体评价优。</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（二）存在的问题。</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1.该项目主体责任部门为产业发展科、招商引资科和项目投资科，责任主体过多，绩效指标特别是数量指标过多，每个科室涉及项目资金数目不明确，为项目管理增加了难度。</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2.该项目资金支付进度较缓慢，下半年支出比例较大。</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（三）相关建议。</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 xml:space="preserve">1.上述三个责任主体科室根据职能职责，重新立项，细化分解各自绩效指标和项目资金指标。   </w:t>
      </w:r>
    </w:p>
    <w:p>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2.采取有力措施，提升资金支付进度，按进度指标完成支付工作。</w:t>
      </w:r>
    </w:p>
    <w:p>
      <w:pPr>
        <w:pStyle w:val="8"/>
        <w:rPr>
          <w:rFonts w:hint="eastAsia"/>
          <w:lang w:val="zh-CN" w:eastAsia="zh-CN"/>
        </w:rPr>
      </w:pPr>
    </w:p>
    <w:p>
      <w:pPr>
        <w:pStyle w:val="2"/>
        <w:rPr>
          <w:rFonts w:hint="eastAsia"/>
          <w:color w:val="auto"/>
          <w:highlight w:val="none"/>
          <w:lang w:val="zh-CN"/>
        </w:rPr>
      </w:pPr>
    </w:p>
    <w:p>
      <w:pPr>
        <w:pStyle w:val="2"/>
        <w:rPr>
          <w:rFonts w:hint="eastAsia"/>
          <w:color w:val="auto"/>
          <w:highlight w:val="none"/>
          <w:lang w:val="zh-CN"/>
        </w:rPr>
      </w:pPr>
    </w:p>
    <w:p>
      <w:pPr>
        <w:pStyle w:val="6"/>
        <w:bidi w:val="0"/>
        <w:rPr>
          <w:rFonts w:hint="eastAsia"/>
          <w:lang w:val="en-US" w:eastAsia="zh-CN"/>
        </w:rPr>
      </w:pPr>
      <w:bookmarkStart w:id="108" w:name="_Toc12466"/>
      <w:r>
        <w:rPr>
          <w:rFonts w:hint="eastAsia"/>
          <w:lang w:val="zh-CN"/>
        </w:rPr>
        <w:t>附件</w:t>
      </w:r>
      <w:r>
        <w:rPr>
          <w:rFonts w:hint="eastAsia"/>
          <w:lang w:val="en-US" w:eastAsia="zh-CN"/>
        </w:rPr>
        <w:t>3</w:t>
      </w:r>
      <w:bookmarkEnd w:id="108"/>
    </w:p>
    <w:p>
      <w:pPr>
        <w:pStyle w:val="2"/>
        <w:jc w:val="center"/>
        <w:rPr>
          <w:rFonts w:hint="eastAsia" w:ascii="黑体" w:hAnsi="黑体" w:eastAsia="黑体" w:cs="黑体"/>
          <w:color w:val="auto"/>
          <w:kern w:val="0"/>
          <w:sz w:val="32"/>
          <w:szCs w:val="32"/>
          <w:highlight w:val="none"/>
          <w:shd w:val="clear" w:color="auto" w:fill="FFFFFF"/>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6"/>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167"/>
        <w:gridCol w:w="816"/>
        <w:gridCol w:w="508"/>
        <w:gridCol w:w="1469"/>
        <w:gridCol w:w="2109"/>
        <w:gridCol w:w="82"/>
        <w:gridCol w:w="2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天然气产业发展及项目储备招商工作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7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广元市天然气综合利用工业园区管委会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1.力争全市天然气系统实现工业总产值58亿元，实现工业利润11亿元、税收6亿元；完成工业投资25亿元；新发展天然气民用2.5万户以上，加快“气化广元”进程。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积极争取中石油、中石化天然气勘探开发项目投资，搞好重点项目协调服务，加快推进天然气勘探、苍溪永宁天然气净化厂、元德线等项目建设进度；全力完成LNG、CNG天然气加注交通能源站等项目前期工作，实现开工；启动剑阁天然气净化二厂、天然气输气分输站等项目前期工作；全年天然气产业项目完成投资25亿元。加强项目储备库建设，做好“十四五”重点项目规划，力争储备项目总投资160亿元以上。                   3.签约引进亿元以上项目3个，其中5亿元以上项目1个，引进到位资金25亿元。一是依托天然气资源优势，重点围绕以天然气为燃料、原料的产业，加大项目招引力度。二是争取中石油、中石化气源保障和政策支持，打造天然气价格“洼地”，加快推进“以气引企、以气聚企”，吸引聚集一批产业项目落户广元。三是积极跟踪华电集团、胜恒集团、视窗集团等知名企业，加快天然气调峰发电一期、天然气精细化工和新材料等项目前期工作，力争早日签约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4.继续做好园区安全保卫、基础设施维修管护、日常保洁、园区征地拆迁安置协调等工作。</w:t>
            </w:r>
          </w:p>
        </w:tc>
        <w:tc>
          <w:tcPr>
            <w:tcW w:w="43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1.全市天然气系统2021年实现工业总产值87.5亿元，实现工业利润10.1亿元、税收7.7亿元；完成工业项目投资32.7亿元；新发展天然气民用3.6万户，“气化广元”进程进一步加快。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调中石油、中石化加大天然气勘探开发力度，累计探明储量达7000亿方，新增产能5亿方、累计达60亿方，产能排全省第三位。元坝、剑阁、九龙山净化厂全面达产达能，全年实现天然气产量52.4亿方，较去年新增11亿方、增长26%。元坝-德阳输气管道工程广元段全面竣工，全市油气输送管道安全平稳运行。中石油永宁净化厂已完成生产调试。剑阁天然气净化二期、广元经开区储气设施及加气站、华油LNG工厂1万水立方储气设施等项目前期工作加快推进。加强项目储备库建设，规划储备项目41个，项目总投资502亿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3.签约燃气发电、铝型材及高端铝制品、橡胶硫化剂等项目11个，签约资金76.33亿元，进一步增强了天然气产业发展后劲。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强化体制机制建设，修订完善应急预案，加强监督检查，确保了石油天然气管道和行业运行安全平稳。狠抓环境保护，全年未发生一起生态环境事故，未发生一起生态环境上访、举报事件，未受中央、省、市环保督查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工业总产值</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增加值增速</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3%以上</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新进规企业</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1家</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完成工业项目投资</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发展天然气用户</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2.5万户</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3.6万户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主要领导每季度外出招商1次</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分管领导每月外出招商1次</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参加重大招商活动</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引进亿元以上项目</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3个（其中5亿元资金1个）</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11（其中5亿元资金3个）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引进市外到位资金</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参加招商引资培训会</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编制招商引资手册</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500本</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重点推进年内实现竣工投产项目</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3个（其中5亿元资金1个）</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竣工3个，其中5亿元以上项目2个。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重点推进加快进度项目</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重点推进新开工项目</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重点推进加快前期项目</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开展重点项目协调服务</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开展重点项目建设督查检查</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开展重点项目储备调研考察</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包装项目、完善建立项目储备库</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完善平台，储备包装项目10个</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储备包装项目12个，累计77个。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开展“十四五”规划调研、编制</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调研4次，完成项目规划</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调研6次，完成“十四五”规划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开展在建项目安全检查</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协调完善园区管理体制机制</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开展新建园区选址现场调研</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产业培优做强</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做大天然气产业规模，逐步培育成为助推广元发展的优势主导产业</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天然气系统税收</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新增产值</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新增税收</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新增到位资金</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项目投资</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25亿元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储备项目</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160亿元以上</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269.16亿元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天然气产供输能力</w:t>
            </w:r>
          </w:p>
        </w:tc>
        <w:tc>
          <w:tcPr>
            <w:tcW w:w="21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增储量、产能，提升供应能力；构建互联互通互保供气管网，提升输送保障能力</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石油、中石化持续加大天然气勘探开发力度，累计探明储量达7000亿方，新增产能5亿方、累计达60亿方，产能排全省第三位。元坝、剑阁、九龙山净化厂全面达产达能，全年实现天然气产量52.4亿方，较去年新增11亿方、增长26%。元坝-德阳输气管道工程广元段全面竣工，全市油气输送管道安全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助推广元经济社会高质量发展</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优化产业结构，助推广元工业高质量发展。</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实现工业总产值87.5亿元，规上工业增加值增长率20%，完成工业投资32.7亿元。新培育产值超亿元以上企业3户，新培育规上企业2户，产业结构进一步优化，为广元工业高质量发展做出了积极贡献。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发展清洁能源，推进绿色发展。</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落实用气指标7.21亿方，发展天然气民用户3.6万户；2×70万千瓦清洁能源发电项目，省政府已通过核准审批，年可减少碳排放40万吨，为推进低碳绿色发展做出了积极贡献。未发生一起生态环境事故，未发生一起生态环境上访、举报事件，未受中央、省、市环保督查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主管部门满意率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6"/>
        <w:bidi w:val="0"/>
        <w:rPr>
          <w:rFonts w:hint="eastAsia"/>
          <w:lang w:val="en-US" w:eastAsia="zh-CN"/>
        </w:rPr>
      </w:pPr>
      <w:bookmarkStart w:id="109" w:name="_Toc12933"/>
      <w:r>
        <w:rPr>
          <w:rFonts w:hint="eastAsia"/>
          <w:lang w:val="zh-CN"/>
        </w:rPr>
        <w:t>附件</w:t>
      </w:r>
      <w:r>
        <w:rPr>
          <w:rFonts w:hint="eastAsia"/>
          <w:lang w:val="en-US" w:eastAsia="zh-CN"/>
        </w:rPr>
        <w:t>4</w:t>
      </w:r>
      <w:bookmarkEnd w:id="109"/>
    </w:p>
    <w:p>
      <w:pPr>
        <w:pStyle w:val="34"/>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（勘探开发生产计划协调及用气指标争取）</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关于印发广元市天然气综合利用工业园区管委会主要职责内设机构和人员编制规定的通知》（广府办发〔2011〕70号）中单位职责：承担全市天然气勘探开始协调服务工作；负责作市天然气综合利用产业布局及项目用气指标争取，负责民用天然气、工业燃料天然气、天然气发电、天然气化工、气煤循环利用的组织实施和监督管理。         </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2.项目立项、资金申报的依据。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2021年3月10日，市财政局《关于批复2021年市级部门预算的通知》（广财预〔2021〕1号）文件，批复我委“勘探开发生产计划协调及用气指标争取工作”经费共8万元，同时批复了项目绩效目标申报表。</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3.及时完善资金管理办法</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进一步加强和规范项目资金管理，推动我委天然气产业发展，提高财政资金使用绩效，依据《中华人民共和国预算法》和《中共中央国务院关于全面实施绩效管理的意见》，及时出台了《预算绩效管理办法（试行）》和《机关财务管理制度（试行》，强化了资金的绩效管理和监督。</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4.资金分配的原则及考虑因素。</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根据2021年度目标任务确定项目工作重点、具体绩效指标，解决勘探开发生产计划协调及用气指标争取工作中产生的差旅费、印刷费、咨询费、公务车运行费等支出，实行统筹安排、专款专用、专项管理。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项目主要内容。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力支持中石油、中石化加快天然气勘探开发，强化天然气产业发展的资源保障。重点要抓住中石油、中石化着力打造四川“气大庆”，已将我市列为“十四五”天然气勘探开发主战场和上产区的机遇，积极支持中石油加快九龙山、龙岗西、双鱼石气田勘探开发，力争两大集团2021年在我市新布钻井15口以上、年增探明储量700－1000亿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项目应实现的具体绩效目标，包括目标的量化、细化情况以及项目实施进度计划等。</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实现中石油、中石化在我市新布天然气井15口，苍溪永宁天然气净化厂竣工投产，新建输气管线36公里，勘探开发投资10亿元，年探明储量700-1000亿立方。全年实现天然气勘探开发税收5亿元，保障我市能源供给，力促四川“气大庆”加快形成。促进地方交通、物流、商贸、餐饮等产业发展。持续加快清洁能源生产，加快产能提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分析评价申报内容是否与实际相符，申报目标是否合理可行。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绩效目标申报内容与实际相府，申报目标合理可行。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市财政局《关于开展2022年度部门、政策和项目支出绩效自评工作的通知》（广财绩〔2022〕8号）文件要求，我委相关业务科室对项目各自领域绩效项目数量指标、质量指标及产生的效益指标和满意度情况进行自评，财务室汇总，形成项目资金支出绩效自评报告。</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二、项目资金申报及使用情况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市财政局关于编制2021年度财政预算工作的通知，我委开展预算编制工作，2021年3月10日，市财政局《关于批复2021年市级部门预算的通知》（广财预〔2021〕1号）文件，批复我委“勘探开发生产计划协调及用气指标争取工作”经费共8万元，全年指标无调整。</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（二）资金计划、到位及使用情况。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资金计划。</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此项目属于常年工作经费项目，财政一般公共预算指标为8万元。</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2.资金到位。</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截至2021年底，市财政实际拨付资金8万元，资金拨付率为100%。</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3.资金使用。</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2021年度该项目资金实际执行8万元，执行率为100%。主要用于我委协调用气指标、天然气井建设、管线建设等工作中产生的差旅费、资料印刷费、公务用车运行等各项支出。</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（三）项目财务管理情况。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委严格按照财务管理相关制度规定，制定了《机关财务管理制度》《“三重一大”民主决策实施办法》，加强对财政管理项目经费的使用管理，在资金支付过程中严格执行制度规定，及时规范进行账务处理及会计核算。切实做到专款专用，最大发挥项目资金作用。</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三、项目实施及管理情况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（一）项目组织架构及实施流程。</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我委高度重视勘探开发生产计划协调及用气指标争取工作，为保障项目资金安全，确保资金专款专用，从资金申请、使用、会计核算三个环节加强资金管理。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）项目管理情况。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该项目由产业发展科、和项目投资科共同实施，涉及“三重一大”事项一律报园区党委会研究审定。</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（三）项目监管情况。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市纪委派驻市政府办公室纪检监察组对该项目实施情况进行全程监督，同时我们主动接受市纪委监委、市审计局的监督检查，对预算执行实行动态监控，无违纪违法现象。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四、项目绩效情况</w:t>
      </w:r>
      <w:r>
        <w:rPr>
          <w:rFonts w:hint="eastAsia" w:ascii="黑体" w:hAnsi="黑体" w:eastAsia="黑体" w:cs="黑体"/>
          <w:b w:val="0"/>
          <w:bCs w:val="0"/>
          <w:sz w:val="32"/>
          <w:szCs w:val="32"/>
        </w:rPr>
        <w:tab/>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实施钻井工程17口。苍溪永宁天然气净化厂于5月项目竣工，10月底完成了单机及联机调试、具备投产条件。全年建成管道85.6公里，其中元坝至德阳输气管线年度建成管道45公里，永宁净化厂天然气集输管道40.6公里。天然气勘探开发本年度完成投资25.3亿元，完成固定资产投资15.7亿元。</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石油、中石化持续加大天然气勘探开发力度，累计探明储量达7000亿方，新增产能5亿方、累计达60亿方，产能排全省第三位；协调落实用气指标7.21亿方，勘探开发税收达5.8亿元。保障了我市能源供给，促进了四川“气大庆”加快形成。</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五、评价结论及建议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本项目决策、项目管理、项目绩效完全符合相关要求，项目建设推荐总体评价优。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该项目主体责任部门为产业发展科和项目投资科，各科室涉及项目资金指标不明确，为项目管理了难度。</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产业发展科和项目投资科根据职能职责，重新立项，细化分解各自绩效指标和项目资金指标。   </w:t>
      </w: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6"/>
        <w:bidi w:val="0"/>
        <w:rPr>
          <w:rFonts w:hint="eastAsia"/>
          <w:lang w:val="en-US" w:eastAsia="zh-CN"/>
        </w:rPr>
      </w:pPr>
      <w:bookmarkStart w:id="110" w:name="_Toc9221"/>
      <w:r>
        <w:rPr>
          <w:rFonts w:hint="eastAsia"/>
          <w:lang w:val="zh-CN"/>
        </w:rPr>
        <w:t>附件</w:t>
      </w:r>
      <w:r>
        <w:rPr>
          <w:rFonts w:hint="eastAsia"/>
          <w:lang w:val="en-US" w:eastAsia="zh-CN"/>
        </w:rPr>
        <w:t>5</w:t>
      </w:r>
      <w:bookmarkEnd w:id="110"/>
    </w:p>
    <w:p>
      <w:pPr>
        <w:pStyle w:val="2"/>
        <w:ind w:firstLine="643" w:firstLineChars="200"/>
        <w:jc w:val="center"/>
        <w:rPr>
          <w:rFonts w:hint="eastAsia" w:ascii="仿宋_GB2312" w:hAnsi="仿宋_GB2312" w:eastAsia="仿宋_GB2312" w:cs="仿宋_GB2312"/>
          <w:b w:val="0"/>
          <w:bCs w:val="0"/>
          <w:sz w:val="32"/>
          <w:szCs w:val="32"/>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6"/>
        <w:tblW w:w="95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725"/>
        <w:gridCol w:w="246"/>
        <w:gridCol w:w="923"/>
        <w:gridCol w:w="382"/>
        <w:gridCol w:w="2000"/>
        <w:gridCol w:w="2004"/>
        <w:gridCol w:w="13"/>
        <w:gridCol w:w="2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8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勘探开发生产计划协调及用气指标争取工作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78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广元市天然气综合利用工业园区管委会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04"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7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力支持中石油、中石化加快天然气勘探开发，强化天然气产业发展的资源保障。重点要抓住中石油、中石化着力打造四川“气大庆”，已将我市列为“十四五”天然气勘探开发主战场和上产区的机遇，积极支持中石油加快九龙山、龙岗西、双鱼石气田勘探开发，力争两大集团2021年在我市新布钻井15口以上、年增探明储量700－1000亿方。</w:t>
            </w:r>
          </w:p>
        </w:tc>
        <w:tc>
          <w:tcPr>
            <w:tcW w:w="43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了两大集团2021年在我市新布钻井17口、年增探明储量800亿方，苍溪永宁天然气净化厂竣工投产，全年广元市境内新建输气管线45公里，勘探开发新增投资25.3亿元。保障了我市能源供给，促进了四川“气大庆”加快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97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新布天然气钻井</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15口</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苍溪永宁天然气净化厂</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竣工投产</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新建建输气管线</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36公里</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勘探开发投资</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目标完成率</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目标完成时间</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年增探明储量</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700－1000亿方</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800亿方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新增产能</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新增5亿方</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5亿方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勘探开发税收</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天然气产能</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保障我市能源供给，力促四川“气大庆”加快形成</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就业服务</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解决地方就业500以上</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第三产业</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促进地方交通、物流、商贸、餐饮等发展</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清洁能源生产</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持续加快清洁能源生产，加快产能提升</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年产能60亿方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服务对象满意率</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2"/>
        <w:ind w:firstLine="640" w:firstLineChars="200"/>
        <w:rPr>
          <w:rFonts w:hint="eastAsia" w:ascii="仿宋_GB2312" w:hAnsi="仿宋_GB2312" w:eastAsia="仿宋_GB2312" w:cs="仿宋_GB2312"/>
          <w:b w:val="0"/>
          <w:bCs w:val="0"/>
          <w:sz w:val="32"/>
          <w:szCs w:val="32"/>
        </w:rPr>
      </w:pPr>
    </w:p>
    <w:p>
      <w:pPr>
        <w:pStyle w:val="6"/>
        <w:bidi w:val="0"/>
        <w:rPr>
          <w:rFonts w:hint="eastAsia"/>
          <w:lang w:val="en-US" w:eastAsia="zh-CN"/>
        </w:rPr>
      </w:pPr>
      <w:bookmarkStart w:id="111" w:name="_Toc11083"/>
      <w:r>
        <w:rPr>
          <w:rFonts w:hint="eastAsia"/>
          <w:lang w:val="zh-CN"/>
        </w:rPr>
        <w:t>附件</w:t>
      </w:r>
      <w:r>
        <w:rPr>
          <w:rFonts w:hint="eastAsia"/>
          <w:lang w:val="en-US" w:eastAsia="zh-CN"/>
        </w:rPr>
        <w:t>6</w:t>
      </w:r>
      <w:bookmarkEnd w:id="111"/>
    </w:p>
    <w:p>
      <w:pPr>
        <w:pStyle w:val="34"/>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hAnsi="仿宋_GB2312" w:cs="仿宋_GB2312"/>
          <w:color w:val="auto"/>
          <w:kern w:val="0"/>
          <w:sz w:val="32"/>
          <w:szCs w:val="32"/>
          <w:highlight w:val="none"/>
          <w:shd w:val="clear" w:color="auto" w:fill="FFFFFF"/>
          <w:lang w:val="en-US" w:eastAsia="zh-CN"/>
        </w:rPr>
        <w:t xml:space="preserve">    </w:t>
      </w: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4"/>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（管道保护执法安全生产工作）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 xml:space="preserve">《关于印发广元市天然气综合利用工业园区管委会主要职责内设机构和人员编制规定的通知》（广府办发〔2011〕70号）中我委职责：负责全市石油天然气管道保护执法工作，协调处理全市行政区域管道保护的重大问题，指导、监督有关单位履行管道保护义务，依法查处危害管道安全的违法行为。                                                        广元市安委会《关于印发&lt;广元市油气输送管道保护和安全监管职责分工&gt;的通知》〔广安委〔2016〕6号〕中规定我委职责：负责全市油气输送管道保护行政执法工作，督促油气输送管道企业落实安全生产主体责任，加强日常安全监管、保障安全运行。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2021年3月10日，市财政局《关于批复2021年市级部门预算的通知》（广财预〔2021〕1号）文件，批复我委“</w:t>
      </w:r>
      <w:r>
        <w:rPr>
          <w:rFonts w:hint="eastAsia" w:ascii="仿宋_GB2312" w:hAnsi="仿宋_GB2312" w:eastAsia="仿宋_GB2312" w:cs="仿宋_GB2312"/>
          <w:b w:val="0"/>
          <w:bCs w:val="0"/>
          <w:color w:val="auto"/>
          <w:kern w:val="2"/>
          <w:sz w:val="32"/>
          <w:szCs w:val="32"/>
        </w:rPr>
        <w:t>管道保护执法安全生产工作</w:t>
      </w:r>
      <w:r>
        <w:rPr>
          <w:rFonts w:hint="eastAsia" w:ascii="仿宋_GB2312" w:hAnsi="仿宋_GB2312" w:eastAsia="仿宋_GB2312" w:cs="仿宋_GB2312"/>
          <w:b w:val="0"/>
          <w:bCs w:val="0"/>
          <w:sz w:val="32"/>
          <w:szCs w:val="32"/>
          <w:lang w:val="zh-CN"/>
        </w:rPr>
        <w:t>”经费共</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zh-CN"/>
        </w:rPr>
        <w:t>万元，同时批复了项目绩效目标申报表。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及时完善资金管理办法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为进一步加强和规范项目资金管理，推动我委天然气产业发展，提高财政资金使用绩效，依据《中华人民共和国</w:t>
      </w:r>
      <w:r>
        <w:rPr>
          <w:rFonts w:hint="eastAsia" w:ascii="仿宋_GB2312" w:hAnsi="仿宋_GB2312" w:eastAsia="仿宋_GB2312" w:cs="仿宋_GB2312"/>
          <w:b w:val="0"/>
          <w:bCs w:val="0"/>
          <w:sz w:val="32"/>
          <w:szCs w:val="32"/>
          <w:lang w:val="zh-CN" w:eastAsia="zh-CN"/>
        </w:rPr>
        <w:t>预算法》和《中共中央国务院关于全面实施绩效管理的意见》，及时出台了《预算绩效管理办法（试行）》</w:t>
      </w:r>
      <w:r>
        <w:rPr>
          <w:rFonts w:hint="eastAsia" w:ascii="仿宋_GB2312" w:hAnsi="仿宋_GB2312" w:eastAsia="仿宋_GB2312" w:cs="仿宋_GB2312"/>
          <w:b w:val="0"/>
          <w:bCs w:val="0"/>
          <w:sz w:val="32"/>
          <w:szCs w:val="32"/>
          <w:lang w:val="en-US" w:eastAsia="zh-CN"/>
        </w:rPr>
        <w:t>和《机关财务管理制度（试行》，强化了资金的绩效管理和监督。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rPr>
        <w:t>资金分配的原则及考虑因素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根据2021年度目标任务确定项目工作重点、具体绩效指标，解决开展</w:t>
      </w:r>
      <w:r>
        <w:rPr>
          <w:rFonts w:hint="eastAsia" w:ascii="仿宋_GB2312" w:hAnsi="仿宋_GB2312" w:eastAsia="仿宋_GB2312" w:cs="仿宋_GB2312"/>
          <w:b w:val="0"/>
          <w:bCs w:val="0"/>
          <w:sz w:val="32"/>
          <w:szCs w:val="32"/>
          <w:lang w:val="en-US" w:eastAsia="zh-CN"/>
        </w:rPr>
        <w:t>石油天然气管道保护、安全生产执法检查</w:t>
      </w:r>
      <w:r>
        <w:rPr>
          <w:rFonts w:hint="eastAsia" w:ascii="仿宋_GB2312" w:hAnsi="仿宋_GB2312" w:eastAsia="仿宋_GB2312" w:cs="仿宋_GB2312"/>
          <w:b w:val="0"/>
          <w:bCs w:val="0"/>
          <w:sz w:val="32"/>
          <w:szCs w:val="32"/>
          <w:highlight w:val="none"/>
          <w:lang w:val="en-US" w:eastAsia="zh-CN"/>
        </w:rPr>
        <w:t xml:space="preserve">工作中产生的差旅费、印刷费、租车费、公务车运行费等支出，实行统筹安排、专款专用、专项管理。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项目主要内容紧紧围绕企业安全生产主体责任落实，按照党政同责、一岗双责和企业五落实五到位的总体要求，大力推进“安全生产宣传月”、“排险除患专项整治”、“安全生产培训”“安全生产三年行动”等重点工作，注重双重预防机制成果运用，全面建立清单制管理，强化安全基础，加强安全监管，全面完善安全生产长效机制。 紧紧围绕管道保护企业主体责任落实，按照党政同责、一岗双责和五落实五到位的总体要求，大力推进“油气输送管道安全生产3年攻坚”、“管道排险除患专项整治”、“管道保护培训”“油气输送保护重大项目协调”等重点工作，注重双重预防机制成果运用，全面建立油气输送管道清单制管理，强化安全基础，加强安全监管，全面完善管道保护长效机制。</w:t>
      </w:r>
    </w:p>
    <w:p>
      <w:pPr>
        <w:pStyle w:val="8"/>
        <w:pageBreakBefore w:val="0"/>
        <w:widowControl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项目应实现的具体绩效目标，包括目标的量化、细化情况以及项目实施进度计划等。</w:t>
      </w:r>
    </w:p>
    <w:p>
      <w:pPr>
        <w:pageBreakBefore w:val="0"/>
        <w:widowControl w:val="0"/>
        <w:numPr>
          <w:ilvl w:val="0"/>
          <w:numId w:val="0"/>
        </w:numPr>
        <w:kinsoku/>
        <w:wordWrap/>
        <w:overflowPunct/>
        <w:topLinePunct w:val="0"/>
        <w:autoSpaceDE/>
        <w:autoSpaceDN/>
        <w:bidi w:val="0"/>
        <w:spacing w:line="576" w:lineRule="exact"/>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 xml:space="preserve">    全年开展油气输送管理安全检查4次，开展油气输送管道宣传教育、培训1次，发放资料1000份以上，协调处理油气输送管道保护工作8次；开展安全生产检查4次，开展安全生产宣传月活动，发放各类宣传资料1000份以上，协调处理安全生产工作9次。全年无安全生产事故发生，杜绝管道爆燃事故发生，杜绝监管不到位事故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绩效目标申报内容与实际相府，申报目标合理可行。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市财政局《关于开展2022年度部门、政策和项目支出绩效自评工作的通知》（广财绩〔2022〕8号）文件要求，我委相关业务科室对项目各自领域绩效项目数量指标、质量指标及产生的效益指标和满意度情况进行自评，财务室汇总，形成项目资金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根据市财政局关于编制</w:t>
      </w:r>
      <w:r>
        <w:rPr>
          <w:rFonts w:hint="eastAsia" w:ascii="仿宋_GB2312" w:hAnsi="仿宋_GB2312" w:eastAsia="仿宋_GB2312" w:cs="仿宋_GB2312"/>
          <w:b w:val="0"/>
          <w:bCs w:val="0"/>
          <w:sz w:val="32"/>
          <w:szCs w:val="32"/>
          <w:lang w:val="en-US" w:eastAsia="zh-CN"/>
        </w:rPr>
        <w:t>2021年度财政预算工作的通知，我委开展预算编制工作，2021年3月10日，市财政局《关于批复2021年市级部门预算的通知》（广财预〔2021〕1号）文件，批复我委“管道保护执法安全生产工作”经费共8万元，全年指标无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资金计划。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此项目属于常年工作经费项目，财政一般公共预算指标为</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zh-CN"/>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资金到位。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截至202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年底，市财政实际拨付资金</w:t>
      </w:r>
      <w:r>
        <w:rPr>
          <w:rFonts w:hint="eastAsia" w:ascii="仿宋_GB2312" w:hAnsi="仿宋_GB2312" w:eastAsia="仿宋_GB2312" w:cs="仿宋_GB2312"/>
          <w:b w:val="0"/>
          <w:bCs w:val="0"/>
          <w:sz w:val="32"/>
          <w:szCs w:val="32"/>
          <w:lang w:val="en-US" w:eastAsia="zh-CN"/>
        </w:rPr>
        <w:t>26.49</w:t>
      </w:r>
      <w:r>
        <w:rPr>
          <w:rFonts w:hint="eastAsia" w:ascii="仿宋_GB2312" w:hAnsi="仿宋_GB2312" w:eastAsia="仿宋_GB2312" w:cs="仿宋_GB2312"/>
          <w:b w:val="0"/>
          <w:bCs w:val="0"/>
          <w:sz w:val="32"/>
          <w:szCs w:val="32"/>
          <w:lang w:val="zh-CN"/>
        </w:rPr>
        <w:t>万元，资金拨付率为100%。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2021年度该项目资金实际执行8万元，执行率为100%。主要用于</w:t>
      </w:r>
      <w:r>
        <w:rPr>
          <w:rFonts w:hint="eastAsia" w:ascii="仿宋_GB2312" w:hAnsi="仿宋_GB2312" w:eastAsia="仿宋_GB2312" w:cs="仿宋_GB2312"/>
          <w:b w:val="0"/>
          <w:bCs w:val="0"/>
          <w:sz w:val="32"/>
          <w:szCs w:val="32"/>
          <w:highlight w:val="none"/>
          <w:lang w:val="en-US" w:eastAsia="zh-CN"/>
        </w:rPr>
        <w:t>开展</w:t>
      </w:r>
      <w:r>
        <w:rPr>
          <w:rFonts w:hint="eastAsia" w:ascii="仿宋_GB2312" w:hAnsi="仿宋_GB2312" w:eastAsia="仿宋_GB2312" w:cs="仿宋_GB2312"/>
          <w:b w:val="0"/>
          <w:bCs w:val="0"/>
          <w:sz w:val="32"/>
          <w:szCs w:val="32"/>
          <w:lang w:val="en-US" w:eastAsia="zh-CN"/>
        </w:rPr>
        <w:t>石油天然气管道保护、安全生产执法检查</w:t>
      </w:r>
      <w:r>
        <w:rPr>
          <w:rFonts w:hint="eastAsia" w:ascii="仿宋_GB2312" w:hAnsi="仿宋_GB2312" w:eastAsia="仿宋_GB2312" w:cs="仿宋_GB2312"/>
          <w:b w:val="0"/>
          <w:bCs w:val="0"/>
          <w:sz w:val="32"/>
          <w:szCs w:val="32"/>
          <w:highlight w:val="none"/>
          <w:lang w:val="en-US" w:eastAsia="zh-CN"/>
        </w:rPr>
        <w:t>工作中产生的差旅费、印刷费、租车费、公务车运行费等支出。</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我委严格按照财务管理相关制度规定，制定了《机关财务管理制度》《“三重一大”民主决策实施办法》，加强对财政管理项目经费的使用管理，在资金支付过程中严格执行制度规定，及时规范进行账务处理及会计核算。切实做到专款专用，最大发挥项目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我委高度重视管道保护执法安全生产工作，为保障项目资金安全，确保资金专款专用，从资金申请、使用、会计核算三个环节加强资金管理。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该项目由管道保护科实施，涉及“三重一大”事项一律报园区党委会研究审定。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市纪委派驻市政府办公室纪检监察组对该项目实施情况进行全程监督，同时我们主动接受市纪委监委、市审计局的监督检查，对预算执行实行动态监控，无违纪违法现象。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四、项目绩效情况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度，共开展油气输送管道安全检查5次，开展油气输送管道宣传教育活动2次，发放管道保护宣传册3000余份，天然气安全使用指南2000余份，《管道保护法》800余份，协调处理油气输送管道保护工作10次。召开工作会议10次以上牵头组织研究本系统安全生产工作，结合工作实际出台了《安全生产工作要点》《管道保护工作要点》等系列文件，并认真组织实施。督促管道企业建立事故隐患排查治理制度，深入企业检查10余次，共排查出隐患8处，风险13处，截至2021年底，已完成8处隐患整治，针对13处风险建立了台账，制定落实了风险管控和消减措施，各级别管道安全风险得到全面有效管控。三是强化涉及重点项目管道保护工作。牵头协调推进高铁物流、西二环等项目涉及兰成渝成品油管道、中贵天然气管道保护工作，在确保油气输送管道安全平稳运行的前提下，保障重点项目顺利推进。</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全市油气长输管道领域狠抓体制机制建设，修订完善应急预案，强化监督检查，确保了石油天然气长输管道安全平稳运行全年未发生一起生产安全事故，未发生一起上访、举报事件，未受中央、省、市督查督办。</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bdr w:val="single" w:color="auto" w:sz="4" w:space="0"/>
          <w:lang w:val="zh-CN"/>
        </w:rPr>
      </w:pPr>
      <w:r>
        <w:rPr>
          <w:rFonts w:hint="eastAsia" w:ascii="仿宋_GB2312" w:hAnsi="仿宋_GB2312" w:eastAsia="仿宋_GB2312" w:cs="仿宋_GB2312"/>
          <w:b w:val="0"/>
          <w:bCs w:val="0"/>
          <w:sz w:val="32"/>
          <w:szCs w:val="32"/>
          <w:highlight w:val="none"/>
          <w:lang w:val="zh-CN"/>
        </w:rPr>
        <w:t>本项目决策、项目管理、项目绩效完全符合相关要求，项目建设推荐总体评价优。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该项目资金支付进度较缓慢，下半年支出比例较大。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采取有力措施，提升资金支付进度，按进度指标完成支付工作。</w:t>
      </w:r>
    </w:p>
    <w:p>
      <w:pPr>
        <w:pStyle w:val="2"/>
        <w:rPr>
          <w:rFonts w:hint="default"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2"/>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6"/>
        <w:bidi w:val="0"/>
        <w:rPr>
          <w:rFonts w:hint="eastAsia"/>
          <w:lang w:val="en-US" w:eastAsia="zh-CN"/>
        </w:rPr>
      </w:pPr>
      <w:bookmarkStart w:id="112" w:name="_Toc22"/>
      <w:r>
        <w:rPr>
          <w:rFonts w:hint="eastAsia"/>
          <w:lang w:val="zh-CN"/>
        </w:rPr>
        <w:t>附件</w:t>
      </w:r>
      <w:r>
        <w:rPr>
          <w:rFonts w:hint="eastAsia"/>
          <w:lang w:val="en-US" w:eastAsia="zh-CN"/>
        </w:rPr>
        <w:t>7</w:t>
      </w:r>
      <w:bookmarkEnd w:id="112"/>
    </w:p>
    <w:p>
      <w:pPr>
        <w:pStyle w:val="2"/>
        <w:jc w:val="center"/>
        <w:rPr>
          <w:rFonts w:hint="eastAsia" w:ascii="黑体" w:hAnsi="黑体" w:eastAsia="黑体" w:cs="黑体"/>
          <w:color w:val="auto"/>
          <w:kern w:val="0"/>
          <w:sz w:val="32"/>
          <w:szCs w:val="32"/>
          <w:highlight w:val="none"/>
          <w:shd w:val="clear" w:color="auto" w:fill="FFFFFF"/>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6"/>
        <w:tblW w:w="94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623"/>
        <w:gridCol w:w="216"/>
        <w:gridCol w:w="771"/>
        <w:gridCol w:w="996"/>
        <w:gridCol w:w="1640"/>
        <w:gridCol w:w="2296"/>
        <w:gridCol w:w="2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管道保护执法安全生产工作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广元市天然气综合利用工业园区管委会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9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9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紧围绕企业安全生产主体责任落实，按照党政同责、一岗双责和企业五落实五到位的总体要求，大力推进“安全生产宣传月”、“排险除患专项整治”、“安全生产培训”“安全生产三年行动”等重点工作，注重双重预防机制成果运用，全面建立清单制管理，强化安全基础，加强安全监管，全面完善安全生产长效机制。                                        紧紧围绕管道保护企业主体责任落实，按照党政同责、一岗双责和五落实五到位的总体要求，大力推进“油气输送管道安全生产3年攻坚”、“管道排险除患专项整治”、“管道保护培训”“油气输送保护重大项目协调”等重点工作，注重双重预防机制成果运用，全面建立油气输送管道清单制管理，强化安全基础，加强安全监管，全面完善管道保护长效机制。</w:t>
            </w:r>
          </w:p>
        </w:tc>
        <w:tc>
          <w:tcPr>
            <w:tcW w:w="43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全面完成年度目标任务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8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7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开展油气输送管道安全检查</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开展油气输送管道宣传教育、培训</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发放资料1000余份，开展培训1次以上</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培训教育2次，发放资料1000余份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协调处理油气输送管道保护工作</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开展安全生产检查</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开展安全生产宣传月，培训教育</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发放各类安全宣传资料1000余份，开展安全生产培训1次以上</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已开展，发放资料1000余份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协调处理安全生产工作</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目标完成率</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项目效果指标</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安全生产事故</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全年无安全生产事故发生</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管道保护监管</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杜绝管道爆燃事故发生</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安全监管</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杜绝监管不到位事故发生</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服务对象满意率</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spacing w:line="580" w:lineRule="exac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r>
        <w:rPr>
          <w:rStyle w:val="29"/>
          <w:rFonts w:ascii="黑体" w:hAnsi="黑体" w:eastAsia="黑体"/>
          <w:b w:val="0"/>
          <w:color w:val="auto"/>
          <w:highlight w:val="none"/>
        </w:rPr>
        <w:br w:type="page"/>
      </w:r>
    </w:p>
    <w:p>
      <w:pPr>
        <w:pStyle w:val="3"/>
        <w:bidi w:val="0"/>
        <w:rPr>
          <w:rFonts w:hint="eastAsia"/>
        </w:rPr>
      </w:pPr>
      <w:bookmarkStart w:id="113" w:name="_Toc15396618"/>
      <w:bookmarkStart w:id="114" w:name="_Toc2065"/>
      <w:r>
        <w:rPr>
          <w:rFonts w:hint="eastAsia"/>
        </w:rPr>
        <w:t>第五部分 附表</w:t>
      </w:r>
      <w:bookmarkEnd w:id="103"/>
      <w:bookmarkEnd w:id="113"/>
      <w:bookmarkEnd w:id="114"/>
      <w:bookmarkStart w:id="115" w:name="_Toc15396619"/>
    </w:p>
    <w:p>
      <w:pPr>
        <w:pStyle w:val="6"/>
        <w:bidi w:val="0"/>
      </w:pPr>
      <w:bookmarkStart w:id="116" w:name="_Toc19067"/>
      <w:r>
        <w:rPr>
          <w:rFonts w:hint="eastAsia"/>
        </w:rPr>
        <w:t>一、收入支出决算总表</w:t>
      </w:r>
      <w:bookmarkEnd w:id="115"/>
      <w:bookmarkEnd w:id="116"/>
    </w:p>
    <w:p>
      <w:pPr>
        <w:pStyle w:val="6"/>
        <w:bidi w:val="0"/>
      </w:pPr>
      <w:bookmarkStart w:id="117" w:name="_Toc15396620"/>
      <w:bookmarkStart w:id="118" w:name="_Toc27613"/>
      <w:r>
        <w:rPr>
          <w:rFonts w:hint="eastAsia"/>
        </w:rPr>
        <w:t>二、收入决算表</w:t>
      </w:r>
      <w:bookmarkEnd w:id="117"/>
      <w:bookmarkEnd w:id="118"/>
    </w:p>
    <w:p>
      <w:pPr>
        <w:pStyle w:val="6"/>
        <w:bidi w:val="0"/>
      </w:pPr>
      <w:bookmarkStart w:id="119" w:name="_Toc15396621"/>
      <w:bookmarkStart w:id="120" w:name="_Toc9922"/>
      <w:r>
        <w:rPr>
          <w:rFonts w:hint="eastAsia"/>
        </w:rPr>
        <w:t>三、支出决算表</w:t>
      </w:r>
      <w:bookmarkEnd w:id="119"/>
      <w:bookmarkEnd w:id="120"/>
    </w:p>
    <w:p>
      <w:pPr>
        <w:pStyle w:val="6"/>
        <w:bidi w:val="0"/>
      </w:pPr>
      <w:bookmarkStart w:id="121" w:name="_Toc20002"/>
      <w:bookmarkStart w:id="122" w:name="_Toc15396622"/>
      <w:r>
        <w:rPr>
          <w:rFonts w:hint="eastAsia"/>
        </w:rPr>
        <w:t>四、财政拨款收入支出决算总表</w:t>
      </w:r>
      <w:bookmarkEnd w:id="121"/>
      <w:bookmarkEnd w:id="122"/>
    </w:p>
    <w:p>
      <w:pPr>
        <w:pStyle w:val="6"/>
        <w:bidi w:val="0"/>
      </w:pPr>
      <w:bookmarkStart w:id="123" w:name="_Toc28747"/>
      <w:bookmarkStart w:id="124" w:name="_Toc15396623"/>
      <w:r>
        <w:rPr>
          <w:rFonts w:hint="eastAsia"/>
        </w:rPr>
        <w:t>五、财政拨款支出决算明细表</w:t>
      </w:r>
      <w:bookmarkEnd w:id="123"/>
      <w:bookmarkEnd w:id="124"/>
      <w:bookmarkStart w:id="125" w:name="_Toc15396624"/>
    </w:p>
    <w:p>
      <w:pPr>
        <w:pStyle w:val="6"/>
        <w:bidi w:val="0"/>
      </w:pPr>
      <w:bookmarkStart w:id="126" w:name="_Toc8104"/>
      <w:r>
        <w:rPr>
          <w:rFonts w:hint="eastAsia"/>
        </w:rPr>
        <w:t>六、一般公共预算财政拨款支出决算表</w:t>
      </w:r>
      <w:bookmarkEnd w:id="125"/>
      <w:bookmarkEnd w:id="126"/>
    </w:p>
    <w:p>
      <w:pPr>
        <w:pStyle w:val="6"/>
        <w:bidi w:val="0"/>
      </w:pPr>
      <w:bookmarkStart w:id="127" w:name="_Toc15396625"/>
      <w:bookmarkStart w:id="128" w:name="_Toc29686"/>
      <w:r>
        <w:rPr>
          <w:rFonts w:hint="eastAsia"/>
        </w:rPr>
        <w:t>七、一般公共预算财政拨款支出决算明细表</w:t>
      </w:r>
      <w:bookmarkEnd w:id="127"/>
      <w:bookmarkEnd w:id="128"/>
    </w:p>
    <w:p>
      <w:pPr>
        <w:pStyle w:val="6"/>
        <w:bidi w:val="0"/>
      </w:pPr>
      <w:bookmarkStart w:id="129" w:name="_Toc15396626"/>
      <w:bookmarkStart w:id="130" w:name="_Toc9224"/>
      <w:r>
        <w:rPr>
          <w:rFonts w:hint="eastAsia"/>
        </w:rPr>
        <w:t>八、一般公共预算财政拨款基本支出决算表</w:t>
      </w:r>
      <w:bookmarkEnd w:id="129"/>
      <w:bookmarkEnd w:id="130"/>
    </w:p>
    <w:p>
      <w:pPr>
        <w:pStyle w:val="6"/>
        <w:bidi w:val="0"/>
      </w:pPr>
      <w:bookmarkStart w:id="131" w:name="_Toc15396627"/>
      <w:bookmarkStart w:id="132" w:name="_Toc20564"/>
      <w:r>
        <w:rPr>
          <w:rFonts w:hint="eastAsia"/>
        </w:rPr>
        <w:t>九、一般公共预算财政拨款项目支出决算表</w:t>
      </w:r>
      <w:bookmarkEnd w:id="131"/>
      <w:bookmarkEnd w:id="132"/>
    </w:p>
    <w:p>
      <w:pPr>
        <w:pStyle w:val="6"/>
        <w:bidi w:val="0"/>
      </w:pPr>
      <w:bookmarkStart w:id="133" w:name="_Toc2971"/>
      <w:bookmarkStart w:id="134" w:name="_Toc15396628"/>
      <w:r>
        <w:rPr>
          <w:rFonts w:hint="eastAsia"/>
        </w:rPr>
        <w:t>十、一般公共预算财政拨款“三公”经费支出决算表</w:t>
      </w:r>
      <w:bookmarkEnd w:id="133"/>
      <w:bookmarkEnd w:id="134"/>
    </w:p>
    <w:p>
      <w:pPr>
        <w:pStyle w:val="6"/>
        <w:bidi w:val="0"/>
      </w:pPr>
      <w:bookmarkStart w:id="135" w:name="_Toc15396629"/>
      <w:bookmarkStart w:id="136" w:name="_Toc30771"/>
      <w:r>
        <w:rPr>
          <w:rFonts w:hint="eastAsia"/>
        </w:rPr>
        <w:t>十一、政府性基金预算财政拨款收入支出决算表</w:t>
      </w:r>
      <w:bookmarkEnd w:id="135"/>
      <w:bookmarkEnd w:id="136"/>
    </w:p>
    <w:p>
      <w:pPr>
        <w:pStyle w:val="6"/>
        <w:bidi w:val="0"/>
      </w:pPr>
      <w:bookmarkStart w:id="137" w:name="_Toc15396630"/>
      <w:bookmarkStart w:id="138" w:name="_Toc31311"/>
      <w:r>
        <w:rPr>
          <w:rFonts w:hint="eastAsia"/>
        </w:rPr>
        <w:t>十二、政府性基金预算财政拨款“三公”经费支出决算表</w:t>
      </w:r>
      <w:bookmarkEnd w:id="137"/>
      <w:bookmarkEnd w:id="138"/>
    </w:p>
    <w:p>
      <w:pPr>
        <w:pStyle w:val="6"/>
        <w:bidi w:val="0"/>
        <w:rPr>
          <w:rFonts w:hint="eastAsia"/>
        </w:rPr>
      </w:pPr>
      <w:bookmarkStart w:id="139" w:name="_Toc15396631"/>
      <w:bookmarkStart w:id="140" w:name="_Toc29378"/>
      <w:r>
        <w:rPr>
          <w:rFonts w:hint="eastAsia"/>
        </w:rPr>
        <w:t>十三、国有资本经营预算</w:t>
      </w:r>
      <w:r>
        <w:rPr>
          <w:rFonts w:hint="eastAsia"/>
          <w:lang w:eastAsia="zh-CN"/>
        </w:rPr>
        <w:t>财政拨款收入</w:t>
      </w:r>
      <w:r>
        <w:rPr>
          <w:rFonts w:hint="eastAsia"/>
        </w:rPr>
        <w:t>支出决算表</w:t>
      </w:r>
      <w:bookmarkEnd w:id="139"/>
      <w:bookmarkEnd w:id="140"/>
    </w:p>
    <w:p>
      <w:pPr>
        <w:pStyle w:val="6"/>
        <w:bidi w:val="0"/>
        <w:rPr>
          <w:rFonts w:hint="eastAsia"/>
          <w:lang w:eastAsia="zh-CN"/>
        </w:rPr>
      </w:pPr>
      <w:bookmarkStart w:id="141" w:name="_Toc18884"/>
      <w:r>
        <w:rPr>
          <w:rFonts w:hint="eastAsia"/>
          <w:lang w:eastAsia="zh-CN"/>
        </w:rPr>
        <w:t>十四、国有资本经营预算财政拨款支出决算表</w:t>
      </w:r>
      <w:bookmarkEnd w:id="141"/>
    </w:p>
    <w:sectPr>
      <w:footerReference r:id="rId6" w:type="first"/>
      <w:footerReference r:id="rId5" w:type="default"/>
      <w:pgSz w:w="11906" w:h="16838"/>
      <w:pgMar w:top="2098" w:right="1474" w:bottom="113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5020310</wp:posOffset>
              </wp:positionH>
              <wp:positionV relativeFrom="paragraph">
                <wp:posOffset>151765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3pt;margin-top:11.95pt;height:144pt;width:144pt;mso-position-horizontal-relative:margin;mso-wrap-style:none;z-index:251660288;mso-width-relative:page;mso-height-relative:page;" filled="f" stroked="f" coordsize="21600,21600" o:gfxdata="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z7DeN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WFiNDc4YTRiMTkxMDQxNzE3M2UxMGMwYWYxNj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025DE5"/>
    <w:rsid w:val="066E0107"/>
    <w:rsid w:val="07996F6E"/>
    <w:rsid w:val="0A2032A3"/>
    <w:rsid w:val="0B5023B7"/>
    <w:rsid w:val="101860EC"/>
    <w:rsid w:val="10C055FF"/>
    <w:rsid w:val="11665A9F"/>
    <w:rsid w:val="118107EC"/>
    <w:rsid w:val="12557610"/>
    <w:rsid w:val="13836461"/>
    <w:rsid w:val="13D50BC4"/>
    <w:rsid w:val="155D48A1"/>
    <w:rsid w:val="16186D59"/>
    <w:rsid w:val="16BB723D"/>
    <w:rsid w:val="1BE8440E"/>
    <w:rsid w:val="1D155CEE"/>
    <w:rsid w:val="21760CC0"/>
    <w:rsid w:val="21FE134A"/>
    <w:rsid w:val="23860B96"/>
    <w:rsid w:val="240371BF"/>
    <w:rsid w:val="29930F11"/>
    <w:rsid w:val="29FD04D3"/>
    <w:rsid w:val="2BD53C76"/>
    <w:rsid w:val="2C8A61B5"/>
    <w:rsid w:val="2DF04E50"/>
    <w:rsid w:val="2F164DA1"/>
    <w:rsid w:val="319F7F4E"/>
    <w:rsid w:val="359F7AA1"/>
    <w:rsid w:val="36AA5135"/>
    <w:rsid w:val="37E16F03"/>
    <w:rsid w:val="3B00536D"/>
    <w:rsid w:val="3BFA6BCE"/>
    <w:rsid w:val="3D98207C"/>
    <w:rsid w:val="44D70417"/>
    <w:rsid w:val="44E268DA"/>
    <w:rsid w:val="469F284C"/>
    <w:rsid w:val="4A627F82"/>
    <w:rsid w:val="4B4F25DA"/>
    <w:rsid w:val="4BE068DB"/>
    <w:rsid w:val="4D577224"/>
    <w:rsid w:val="4EAB630A"/>
    <w:rsid w:val="4ECE2238"/>
    <w:rsid w:val="4FB940D4"/>
    <w:rsid w:val="58FD6D4A"/>
    <w:rsid w:val="5AF92295"/>
    <w:rsid w:val="5CD71FC4"/>
    <w:rsid w:val="5F2345A8"/>
    <w:rsid w:val="64F34037"/>
    <w:rsid w:val="66376316"/>
    <w:rsid w:val="6ACE4BFE"/>
    <w:rsid w:val="6B814A32"/>
    <w:rsid w:val="6BB10C18"/>
    <w:rsid w:val="6C4A05C8"/>
    <w:rsid w:val="6E7E3605"/>
    <w:rsid w:val="6FF5CC65"/>
    <w:rsid w:val="715C0E4B"/>
    <w:rsid w:val="72734D90"/>
    <w:rsid w:val="72967695"/>
    <w:rsid w:val="73AD73D5"/>
    <w:rsid w:val="73B6EB34"/>
    <w:rsid w:val="760A61DF"/>
    <w:rsid w:val="76A94801"/>
    <w:rsid w:val="79EE5BA4"/>
    <w:rsid w:val="7A894339"/>
    <w:rsid w:val="7AEB367D"/>
    <w:rsid w:val="7EEF11D3"/>
    <w:rsid w:val="7FA30C79"/>
    <w:rsid w:val="7FC96657"/>
    <w:rsid w:val="7FF90D1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link w:val="29"/>
    <w:qFormat/>
    <w:uiPriority w:val="9"/>
    <w:pPr>
      <w:keepNext/>
      <w:keepLines/>
      <w:spacing w:before="340" w:after="330" w:line="578" w:lineRule="auto"/>
      <w:outlineLvl w:val="0"/>
    </w:pPr>
    <w:rPr>
      <w:rFonts w:ascii="Times New Roman" w:hAnsi="Times New Roman" w:eastAsia="宋体"/>
      <w:bCs/>
      <w:kern w:val="44"/>
      <w:sz w:val="44"/>
      <w:szCs w:val="44"/>
    </w:rPr>
  </w:style>
  <w:style w:type="paragraph" w:styleId="6">
    <w:name w:val="heading 2"/>
    <w:basedOn w:val="7"/>
    <w:next w:val="1"/>
    <w:link w:val="20"/>
    <w:unhideWhenUsed/>
    <w:qFormat/>
    <w:uiPriority w:val="9"/>
    <w:pPr>
      <w:keepNext/>
      <w:keepLines/>
      <w:tabs>
        <w:tab w:val="left" w:pos="840"/>
      </w:tabs>
      <w:spacing w:line="576" w:lineRule="exact"/>
      <w:jc w:val="left"/>
      <w:outlineLvl w:val="1"/>
    </w:pPr>
    <w:rPr>
      <w:rFonts w:eastAsia="黑体" w:asciiTheme="majorAscii" w:hAnsiTheme="majorAscii" w:cstheme="majorBidi"/>
      <w:bCs/>
      <w:sz w:val="32"/>
      <w:szCs w:val="32"/>
    </w:rPr>
  </w:style>
  <w:style w:type="paragraph" w:styleId="8">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Body Text Indent 2"/>
    <w:basedOn w:val="1"/>
    <w:semiHidden/>
    <w:unhideWhenUsed/>
    <w:qFormat/>
    <w:uiPriority w:val="99"/>
    <w:pPr>
      <w:spacing w:after="120" w:afterLines="0" w:afterAutospacing="0" w:line="480" w:lineRule="auto"/>
      <w:ind w:left="420" w:leftChars="200"/>
    </w:pPr>
  </w:style>
  <w:style w:type="paragraph" w:styleId="7">
    <w:name w:val="Normal Indent"/>
    <w:basedOn w:val="1"/>
    <w:semiHidden/>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semiHidden/>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2 Char"/>
    <w:basedOn w:val="17"/>
    <w:link w:val="6"/>
    <w:qFormat/>
    <w:uiPriority w:val="9"/>
    <w:rPr>
      <w:rFonts w:eastAsia="黑体" w:asciiTheme="majorAscii" w:hAnsiTheme="majorAscii" w:cstheme="majorBidi"/>
      <w:bCs/>
      <w:kern w:val="2"/>
      <w:sz w:val="32"/>
      <w:szCs w:val="32"/>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eastAsia="宋体"/>
      <w:b/>
      <w:bCs/>
      <w:kern w:val="44"/>
      <w:sz w:val="44"/>
      <w:szCs w:val="44"/>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8"/>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61"/>
    <w:basedOn w:val="17"/>
    <w:qFormat/>
    <w:uiPriority w:val="0"/>
    <w:rPr>
      <w:rFonts w:hint="default" w:ascii="Times New Roman" w:hAnsi="Times New Roman" w:cs="Times New Roman"/>
      <w:color w:val="000000"/>
      <w:sz w:val="24"/>
      <w:szCs w:val="24"/>
      <w:u w:val="none"/>
    </w:rPr>
  </w:style>
  <w:style w:type="character" w:customStyle="1" w:styleId="36">
    <w:name w:val="font31"/>
    <w:basedOn w:val="17"/>
    <w:qFormat/>
    <w:uiPriority w:val="0"/>
    <w:rPr>
      <w:rFonts w:hint="eastAsia" w:ascii="宋体" w:hAnsi="宋体" w:eastAsia="宋体" w:cs="宋体"/>
      <w:color w:val="000000"/>
      <w:sz w:val="24"/>
      <w:szCs w:val="24"/>
      <w:u w:val="none"/>
    </w:rPr>
  </w:style>
  <w:style w:type="character" w:customStyle="1" w:styleId="37">
    <w:name w:val="font11"/>
    <w:basedOn w:val="17"/>
    <w:qFormat/>
    <w:uiPriority w:val="0"/>
    <w:rPr>
      <w:rFonts w:hint="eastAsia" w:ascii="宋体" w:hAnsi="宋体" w:eastAsia="宋体" w:cs="宋体"/>
      <w:color w:val="000000"/>
      <w:sz w:val="16"/>
      <w:szCs w:val="16"/>
      <w:u w:val="none"/>
    </w:rPr>
  </w:style>
  <w:style w:type="character" w:customStyle="1" w:styleId="38">
    <w:name w:val="font4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1&#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1&#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1&#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1&#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1&#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1&#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[图表.xlsx]Sheet1!$A$5:$A$6</c:f>
              <c:strCache>
                <c:ptCount val="2"/>
                <c:pt idx="0">
                  <c:v>2020年收支总计</c:v>
                </c:pt>
                <c:pt idx="1">
                  <c:v>2021年收支总计</c:v>
                </c:pt>
              </c:strCache>
            </c:strRef>
          </c:cat>
          <c:val>
            <c:numRef>
              <c:f>[图表.xlsx]Sheet1!$B$5:$B$6</c:f>
              <c:numCache>
                <c:formatCode>General</c:formatCode>
                <c:ptCount val="2"/>
                <c:pt idx="0">
                  <c:v>394.79</c:v>
                </c:pt>
                <c:pt idx="1">
                  <c:v>411.31</c:v>
                </c:pt>
              </c:numCache>
            </c:numRef>
          </c:val>
        </c:ser>
        <c:dLbls>
          <c:showLegendKey val="0"/>
          <c:showVal val="0"/>
          <c:showCatName val="0"/>
          <c:showSerName val="0"/>
          <c:showPercent val="0"/>
          <c:showBubbleSize val="0"/>
        </c:dLbls>
        <c:gapWidth val="150"/>
        <c:overlap val="100"/>
        <c:axId val="872267954"/>
        <c:axId val="31104702"/>
      </c:barChart>
      <c:catAx>
        <c:axId val="8722679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04702"/>
        <c:crosses val="autoZero"/>
        <c:auto val="1"/>
        <c:lblAlgn val="ctr"/>
        <c:lblOffset val="100"/>
        <c:noMultiLvlLbl val="0"/>
      </c:catAx>
      <c:valAx>
        <c:axId val="311047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26795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[图表.xlsx]Sheet1!$A$21:$A$22</c:f>
              <c:strCache>
                <c:ptCount val="2"/>
                <c:pt idx="0">
                  <c:v>一般公共预算财政拨款</c:v>
                </c:pt>
                <c:pt idx="1">
                  <c:v>其他收入</c:v>
                </c:pt>
              </c:strCache>
            </c:strRef>
          </c:cat>
          <c:val>
            <c:numRef>
              <c:f>[图表.xlsx]Sheet1!$B$21:$B$22</c:f>
              <c:numCache>
                <c:formatCode>General</c:formatCode>
                <c:ptCount val="2"/>
                <c:pt idx="0">
                  <c:v>409.79</c:v>
                </c:pt>
                <c:pt idx="1"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[图表.xlsx]Sheet1!$A$39:$A$40</c:f>
              <c:strCache>
                <c:ptCount val="2"/>
                <c:pt idx="0">
                  <c:v>基本支出</c:v>
                </c:pt>
                <c:pt idx="1">
                  <c:v>项目支出</c:v>
                </c:pt>
              </c:strCache>
            </c:strRef>
          </c:cat>
          <c:val>
            <c:numRef>
              <c:f>[图表.xlsx]Sheet1!$B$39:$B$40</c:f>
              <c:numCache>
                <c:formatCode>General</c:formatCode>
                <c:ptCount val="2"/>
                <c:pt idx="0">
                  <c:v>366.8</c:v>
                </c:pt>
                <c:pt idx="1">
                  <c:v>42.99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[图表.xlsx]Sheet1!$A$55:$A$56</c:f>
              <c:strCache>
                <c:ptCount val="2"/>
                <c:pt idx="0">
                  <c:v>2020财政预算收支总计</c:v>
                </c:pt>
                <c:pt idx="1">
                  <c:v>2021财政预算收支总计</c:v>
                </c:pt>
              </c:strCache>
            </c:strRef>
          </c:cat>
          <c:val>
            <c:numRef>
              <c:f>[图表.xlsx]Sheet1!$B$55:$B$56</c:f>
              <c:numCache>
                <c:formatCode>General</c:formatCode>
                <c:ptCount val="2"/>
                <c:pt idx="0">
                  <c:v>394.79</c:v>
                </c:pt>
                <c:pt idx="1">
                  <c:v>411.31</c:v>
                </c:pt>
              </c:numCache>
            </c:numRef>
          </c:val>
        </c:ser>
        <c:dLbls>
          <c:showLegendKey val="0"/>
          <c:showVal val="1"/>
          <c:showCatName val="0"/>
          <c:showSerName val="0"/>
          <c:showPercent val="0"/>
          <c:showBubbleSize val="0"/>
        </c:dLbls>
        <c:gapWidth val="75"/>
        <c:overlap val="40"/>
        <c:axId val="183155039"/>
        <c:axId val="912695031"/>
      </c:barChart>
      <c:catAx>
        <c:axId val="183155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695031"/>
        <c:crosses val="autoZero"/>
        <c:auto val="1"/>
        <c:lblAlgn val="ctr"/>
        <c:lblOffset val="100"/>
        <c:noMultiLvlLbl val="0"/>
      </c:catAx>
      <c:valAx>
        <c:axId val="912695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15503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[图表.xlsx]Sheet1!$A$74:$A$75</c:f>
              <c:strCache>
                <c:ptCount val="2"/>
                <c:pt idx="0">
                  <c:v>2020年一般公共预算财政拨款支出</c:v>
                </c:pt>
                <c:pt idx="1">
                  <c:v>2021年一般公共预算财政拨款支出</c:v>
                </c:pt>
              </c:strCache>
            </c:strRef>
          </c:cat>
          <c:val>
            <c:numRef>
              <c:f>[图表.xlsx]Sheet1!$B$74:$B$75</c:f>
              <c:numCache>
                <c:formatCode>General</c:formatCode>
                <c:ptCount val="2"/>
                <c:pt idx="0">
                  <c:v>393.27</c:v>
                </c:pt>
                <c:pt idx="1">
                  <c:v>409.79</c:v>
                </c:pt>
              </c:numCache>
            </c:numRef>
          </c:val>
        </c:ser>
        <c:dLbls>
          <c:showLegendKey val="0"/>
          <c:showVal val="1"/>
          <c:showCatName val="0"/>
          <c:showSerName val="0"/>
          <c:showPercent val="0"/>
          <c:showBubbleSize val="0"/>
        </c:dLbls>
        <c:gapWidth val="75"/>
        <c:overlap val="40"/>
        <c:axId val="275954489"/>
        <c:axId val="916633394"/>
      </c:barChart>
      <c:catAx>
        <c:axId val="275954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633394"/>
        <c:crosses val="autoZero"/>
        <c:auto val="1"/>
        <c:lblAlgn val="ctr"/>
        <c:lblOffset val="100"/>
        <c:noMultiLvlLbl val="0"/>
      </c:catAx>
      <c:valAx>
        <c:axId val="9166333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595448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[图表.xlsx]Sheet1!$A$91:$A$94</c:f>
              <c:strCache>
                <c:ptCount val="4"/>
                <c:pt idx="0">
                  <c:v>一般公共服务支出</c:v>
                </c:pt>
                <c:pt idx="1">
                  <c:v>社会保障和就业支出</c:v>
                </c:pt>
                <c:pt idx="2">
                  <c:v>卫生健康支出</c:v>
                </c:pt>
                <c:pt idx="3">
                  <c:v>住房保障支出</c:v>
                </c:pt>
              </c:strCache>
            </c:strRef>
          </c:cat>
          <c:val>
            <c:numRef>
              <c:f>[图表.xlsx]Sheet1!$B$91:$B$94</c:f>
              <c:numCache>
                <c:formatCode>General</c:formatCode>
                <c:ptCount val="4"/>
                <c:pt idx="0">
                  <c:v>336.62</c:v>
                </c:pt>
                <c:pt idx="1">
                  <c:v>30.15</c:v>
                </c:pt>
                <c:pt idx="2">
                  <c:v>13.42</c:v>
                </c:pt>
                <c:pt idx="3">
                  <c:v>29.6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[图表.xlsx]Sheet1!$A$107:$A$109</c:f>
              <c:strCache>
                <c:ptCount val="3"/>
                <c:pt idx="0">
                  <c:v>公务用车购置及运行维护费</c:v>
                </c:pt>
                <c:pt idx="1">
                  <c:v>公务接待</c:v>
                </c:pt>
                <c:pt idx="2">
                  <c:v>因公出国（境）</c:v>
                </c:pt>
              </c:strCache>
            </c:strRef>
          </c:cat>
          <c:val>
            <c:numRef>
              <c:f>[图表.xlsx]Sheet1!$B$107:$B$109</c:f>
              <c:numCache>
                <c:formatCode>General</c:formatCode>
                <c:ptCount val="3"/>
                <c:pt idx="0">
                  <c:v>1.96</c:v>
                </c:pt>
                <c:pt idx="1">
                  <c:v>4.71</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19567</Words>
  <Characters>20939</Characters>
  <Lines>61</Lines>
  <Paragraphs>17</Paragraphs>
  <TotalTime>5</TotalTime>
  <ScaleCrop>false</ScaleCrop>
  <LinksUpToDate>false</LinksUpToDate>
  <CharactersWithSpaces>21290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辜艳霞</cp:lastModifiedBy>
  <cp:lastPrinted>2022-09-16T16:26:00Z</cp:lastPrinted>
  <dcterms:modified xsi:type="dcterms:W3CDTF">2023-06-26T03:36:33Z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