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15396475"/>
      <w:bookmarkStart w:id="4" w:name="_Toc15378441"/>
      <w:bookmarkStart w:id="5" w:name="_Toc12015"/>
      <w:bookmarkStart w:id="6" w:name="_Toc6272"/>
      <w:bookmarkStart w:id="7"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31358"/>
      <w:bookmarkStart w:id="9" w:name="_Toc15396476"/>
      <w:bookmarkStart w:id="10" w:name="_Toc15377194"/>
      <w:bookmarkStart w:id="11" w:name="_Toc15396598"/>
      <w:bookmarkStart w:id="12" w:name="_Toc15378442"/>
      <w:bookmarkStart w:id="13" w:name="_Toc15377426"/>
      <w:bookmarkStart w:id="14" w:name="_Toc25094"/>
      <w:r>
        <w:rPr>
          <w:rFonts w:hint="eastAsia" w:ascii="方正小标宋简体" w:hAnsi="方正小标宋简体" w:eastAsia="方正小标宋简体" w:cs="方正小标宋简体"/>
          <w:sz w:val="72"/>
          <w:szCs w:val="72"/>
        </w:rPr>
        <w:t>广元市</w:t>
      </w:r>
      <w:bookmarkEnd w:id="0"/>
      <w:bookmarkStart w:id="15" w:name="_Toc15306268"/>
      <w:r>
        <w:rPr>
          <w:rFonts w:hint="eastAsia" w:ascii="方正小标宋简体" w:hAnsi="方正小标宋简体" w:eastAsia="方正小标宋简体" w:cs="方正小标宋简体"/>
          <w:sz w:val="72"/>
          <w:szCs w:val="72"/>
        </w:rPr>
        <w:t>人力资源和社会保障局机关单位决算</w:t>
      </w:r>
      <w:bookmarkEnd w:id="8"/>
      <w:bookmarkEnd w:id="9"/>
      <w:bookmarkEnd w:id="10"/>
      <w:bookmarkEnd w:id="11"/>
      <w:bookmarkEnd w:id="12"/>
      <w:bookmarkEnd w:id="13"/>
      <w:bookmarkEnd w:id="14"/>
      <w:bookmarkEnd w:id="15"/>
    </w:p>
    <w:p>
      <w:pPr>
        <w:widowControl/>
        <w:jc w:val="center"/>
        <w:rPr>
          <w:rFonts w:hint="eastAsia" w:ascii="黑体" w:hAnsi="黑体" w:eastAsia="黑体"/>
          <w:sz w:val="48"/>
          <w:szCs w:val="48"/>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widowControl/>
        <w:jc w:val="center"/>
        <w:rPr>
          <w:rFonts w:ascii="黑体" w:hAnsi="黑体" w:eastAsia="黑体" w:cstheme="minorBidi"/>
          <w:sz w:val="28"/>
          <w:szCs w:val="28"/>
        </w:rPr>
      </w:pPr>
    </w:p>
    <w:p>
      <w:pPr>
        <w:pStyle w:val="11"/>
      </w:pPr>
      <w:r>
        <w:rPr>
          <w:rFonts w:hint="eastAsia"/>
        </w:rPr>
        <w:t>公开时间：2022年</w:t>
      </w:r>
      <w:r>
        <w:rPr>
          <w:rFonts w:hint="eastAsia"/>
          <w:lang w:val="en-US" w:eastAsia="zh-CN"/>
        </w:rPr>
        <w:t>9</w:t>
      </w:r>
      <w:r>
        <w:rPr>
          <w:rFonts w:hint="eastAsia"/>
        </w:rPr>
        <w:t>月</w:t>
      </w:r>
      <w:r>
        <w:rPr>
          <w:rFonts w:hint="eastAsia"/>
          <w:lang w:val="en-US" w:eastAsia="zh-CN"/>
        </w:rPr>
        <w:t>30</w:t>
      </w:r>
      <w:r>
        <w:rPr>
          <w:rFonts w:hint="eastAsia"/>
        </w:rPr>
        <w:t>日</w:t>
      </w:r>
    </w:p>
    <w:sdt>
      <w:sdtPr>
        <w:rPr>
          <w:rFonts w:ascii="宋体" w:hAnsi="宋体" w:eastAsia="宋体" w:cs="Times New Roman"/>
          <w:kern w:val="2"/>
          <w:sz w:val="21"/>
          <w:szCs w:val="24"/>
          <w:lang w:val="en-US" w:eastAsia="zh-CN" w:bidi="ar-SA"/>
        </w:rPr>
        <w:id w:val="147451219"/>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6" w:name="_Toc12904"/>
        </w:p>
        <w:p>
          <w:pPr>
            <w:pStyle w:val="37"/>
            <w:tabs>
              <w:tab w:val="right" w:leader="dot" w:pos="8306"/>
            </w:tabs>
            <w:rPr>
              <w:b/>
            </w:rPr>
          </w:pPr>
          <w:r>
            <w:fldChar w:fldCharType="begin"/>
          </w:r>
          <w:r>
            <w:instrText xml:space="preserve">TOC \o "1-2" \h \u </w:instrText>
          </w:r>
          <w:r>
            <w:fldChar w:fldCharType="separate"/>
          </w:r>
        </w:p>
        <w:p>
          <w:pPr>
            <w:pStyle w:val="37"/>
            <w:tabs>
              <w:tab w:val="right" w:leader="dot" w:pos="8306"/>
            </w:tabs>
            <w:rPr>
              <w:b/>
            </w:rPr>
          </w:pPr>
          <w:r>
            <w:rPr>
              <w:b/>
            </w:rPr>
            <w:fldChar w:fldCharType="begin"/>
          </w:r>
          <w:r>
            <w:rPr>
              <w:b/>
            </w:rPr>
            <w:instrText xml:space="preserve"> HYPERLINK \l _Toc31452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_Toc31452 \h </w:instrText>
          </w:r>
          <w:r>
            <w:rPr>
              <w:b/>
            </w:rPr>
            <w:fldChar w:fldCharType="separate"/>
          </w:r>
          <w:r>
            <w:rPr>
              <w:b/>
            </w:rPr>
            <w:t>1</w:t>
          </w:r>
          <w:r>
            <w:rPr>
              <w:b/>
            </w:rPr>
            <w:fldChar w:fldCharType="end"/>
          </w:r>
          <w:r>
            <w:rPr>
              <w:b/>
            </w:rPr>
            <w:fldChar w:fldCharType="end"/>
          </w:r>
        </w:p>
        <w:p>
          <w:pPr>
            <w:pStyle w:val="38"/>
            <w:tabs>
              <w:tab w:val="right" w:leader="dot" w:pos="8306"/>
            </w:tabs>
          </w:pPr>
          <w:r>
            <w:fldChar w:fldCharType="begin"/>
          </w:r>
          <w:r>
            <w:instrText xml:space="preserve"> HYPERLINK \l _Toc30225 </w:instrText>
          </w:r>
          <w:r>
            <w:fldChar w:fldCharType="separate"/>
          </w:r>
          <w:r>
            <w:rPr>
              <w:rFonts w:hint="eastAsia"/>
            </w:rPr>
            <w:t xml:space="preserve">一、 </w:t>
          </w:r>
          <w:r>
            <w:rPr>
              <w:rFonts w:hint="eastAsia" w:ascii="黑体" w:hAnsi="黑体" w:eastAsia="黑体"/>
              <w:bCs w:val="0"/>
            </w:rPr>
            <w:t>职能简介</w:t>
          </w:r>
          <w:r>
            <w:tab/>
          </w:r>
          <w:r>
            <w:fldChar w:fldCharType="begin"/>
          </w:r>
          <w:r>
            <w:instrText xml:space="preserve"> PAGEREF _Toc30225 \h </w:instrText>
          </w:r>
          <w:r>
            <w:fldChar w:fldCharType="separate"/>
          </w:r>
          <w:r>
            <w:t>1</w:t>
          </w:r>
          <w:r>
            <w:fldChar w:fldCharType="end"/>
          </w:r>
          <w:r>
            <w:fldChar w:fldCharType="end"/>
          </w:r>
        </w:p>
        <w:p>
          <w:pPr>
            <w:pStyle w:val="38"/>
            <w:tabs>
              <w:tab w:val="right" w:leader="dot" w:pos="8306"/>
            </w:tabs>
          </w:pPr>
          <w:r>
            <w:fldChar w:fldCharType="begin"/>
          </w:r>
          <w:r>
            <w:instrText xml:space="preserve"> HYPERLINK \l _Toc24371 </w:instrText>
          </w:r>
          <w:r>
            <w:fldChar w:fldCharType="separate"/>
          </w:r>
          <w:r>
            <w:rPr>
              <w:rFonts w:hint="eastAsia" w:ascii="黑体" w:hAnsi="黑体" w:eastAsia="黑体"/>
            </w:rPr>
            <w:t>二、2021年重点工作完成情况</w:t>
          </w:r>
          <w:r>
            <w:tab/>
          </w:r>
          <w:r>
            <w:fldChar w:fldCharType="begin"/>
          </w:r>
          <w:r>
            <w:instrText xml:space="preserve"> PAGEREF _Toc24371 \h </w:instrText>
          </w:r>
          <w:r>
            <w:fldChar w:fldCharType="separate"/>
          </w:r>
          <w:r>
            <w:t>4</w:t>
          </w:r>
          <w:r>
            <w:fldChar w:fldCharType="end"/>
          </w:r>
          <w:r>
            <w:fldChar w:fldCharType="end"/>
          </w:r>
        </w:p>
        <w:p>
          <w:pPr>
            <w:pStyle w:val="37"/>
            <w:tabs>
              <w:tab w:val="right" w:leader="dot" w:pos="8306"/>
            </w:tabs>
            <w:rPr>
              <w:b/>
            </w:rPr>
          </w:pPr>
          <w:r>
            <w:rPr>
              <w:b/>
            </w:rPr>
            <w:fldChar w:fldCharType="begin"/>
          </w:r>
          <w:r>
            <w:rPr>
              <w:b/>
            </w:rPr>
            <w:instrText xml:space="preserve"> HYPERLINK \l _Toc25725 </w:instrText>
          </w:r>
          <w:r>
            <w:rPr>
              <w:b/>
            </w:rPr>
            <w:fldChar w:fldCharType="separate"/>
          </w:r>
          <w:r>
            <w:rPr>
              <w:rFonts w:hint="eastAsia" w:ascii="黑体" w:hAnsi="黑体" w:eastAsia="黑体"/>
              <w:b/>
            </w:rPr>
            <w:t>第二部分 2021年度</w:t>
          </w:r>
          <w:r>
            <w:rPr>
              <w:rFonts w:hint="eastAsia" w:ascii="黑体" w:hAnsi="黑体" w:eastAsia="黑体"/>
              <w:b/>
              <w:bCs/>
            </w:rPr>
            <w:t>单位决算情况说明</w:t>
          </w:r>
          <w:r>
            <w:rPr>
              <w:b/>
            </w:rPr>
            <w:tab/>
          </w:r>
          <w:r>
            <w:rPr>
              <w:b/>
            </w:rPr>
            <w:fldChar w:fldCharType="begin"/>
          </w:r>
          <w:r>
            <w:rPr>
              <w:b/>
            </w:rPr>
            <w:instrText xml:space="preserve"> PAGEREF _Toc25725 \h </w:instrText>
          </w:r>
          <w:r>
            <w:rPr>
              <w:b/>
            </w:rPr>
            <w:fldChar w:fldCharType="separate"/>
          </w:r>
          <w:r>
            <w:rPr>
              <w:b/>
            </w:rPr>
            <w:t>5</w:t>
          </w:r>
          <w:r>
            <w:rPr>
              <w:b/>
            </w:rPr>
            <w:fldChar w:fldCharType="end"/>
          </w:r>
          <w:r>
            <w:rPr>
              <w:b/>
            </w:rPr>
            <w:fldChar w:fldCharType="end"/>
          </w:r>
        </w:p>
        <w:p>
          <w:pPr>
            <w:pStyle w:val="38"/>
            <w:tabs>
              <w:tab w:val="right" w:leader="dot" w:pos="8306"/>
            </w:tabs>
          </w:pPr>
          <w:r>
            <w:fldChar w:fldCharType="begin"/>
          </w:r>
          <w:r>
            <w:instrText xml:space="preserve"> HYPERLINK \l _Toc24507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_Toc24507 \h </w:instrText>
          </w:r>
          <w:r>
            <w:fldChar w:fldCharType="separate"/>
          </w:r>
          <w:r>
            <w:t>5</w:t>
          </w:r>
          <w:r>
            <w:fldChar w:fldCharType="end"/>
          </w:r>
          <w:r>
            <w:fldChar w:fldCharType="end"/>
          </w:r>
        </w:p>
        <w:p>
          <w:pPr>
            <w:pStyle w:val="38"/>
            <w:tabs>
              <w:tab w:val="right" w:leader="dot" w:pos="8306"/>
            </w:tabs>
          </w:pPr>
          <w:r>
            <w:fldChar w:fldCharType="begin"/>
          </w:r>
          <w:r>
            <w:instrText xml:space="preserve"> HYPERLINK \l _Toc9504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_Toc9504 \h </w:instrText>
          </w:r>
          <w:r>
            <w:fldChar w:fldCharType="separate"/>
          </w:r>
          <w:r>
            <w:t>5</w:t>
          </w:r>
          <w:r>
            <w:fldChar w:fldCharType="end"/>
          </w:r>
          <w:r>
            <w:fldChar w:fldCharType="end"/>
          </w:r>
        </w:p>
        <w:p>
          <w:pPr>
            <w:pStyle w:val="38"/>
            <w:tabs>
              <w:tab w:val="right" w:leader="dot" w:pos="8306"/>
            </w:tabs>
          </w:pPr>
          <w:r>
            <w:fldChar w:fldCharType="begin"/>
          </w:r>
          <w:r>
            <w:instrText xml:space="preserve"> HYPERLINK \l _Toc2754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_Toc2754 \h </w:instrText>
          </w:r>
          <w:r>
            <w:fldChar w:fldCharType="separate"/>
          </w:r>
          <w:r>
            <w:t>6</w:t>
          </w:r>
          <w:r>
            <w:fldChar w:fldCharType="end"/>
          </w:r>
          <w:r>
            <w:fldChar w:fldCharType="end"/>
          </w:r>
        </w:p>
        <w:p>
          <w:pPr>
            <w:pStyle w:val="38"/>
            <w:tabs>
              <w:tab w:val="right" w:leader="dot" w:pos="8306"/>
            </w:tabs>
          </w:pPr>
          <w:r>
            <w:fldChar w:fldCharType="begin"/>
          </w:r>
          <w:r>
            <w:instrText xml:space="preserve"> HYPERLINK \l _Toc23316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_Toc23316 \h </w:instrText>
          </w:r>
          <w:r>
            <w:fldChar w:fldCharType="separate"/>
          </w:r>
          <w:r>
            <w:t>6</w:t>
          </w:r>
          <w:r>
            <w:fldChar w:fldCharType="end"/>
          </w:r>
          <w:r>
            <w:fldChar w:fldCharType="end"/>
          </w:r>
        </w:p>
        <w:p>
          <w:pPr>
            <w:pStyle w:val="38"/>
            <w:tabs>
              <w:tab w:val="right" w:leader="dot" w:pos="8306"/>
            </w:tabs>
          </w:pPr>
          <w:r>
            <w:fldChar w:fldCharType="begin"/>
          </w:r>
          <w:r>
            <w:instrText xml:space="preserve"> HYPERLINK \l _Toc29184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_Toc29184 \h </w:instrText>
          </w:r>
          <w:r>
            <w:fldChar w:fldCharType="separate"/>
          </w:r>
          <w:r>
            <w:t>7</w:t>
          </w:r>
          <w:r>
            <w:fldChar w:fldCharType="end"/>
          </w:r>
          <w:r>
            <w:fldChar w:fldCharType="end"/>
          </w:r>
        </w:p>
        <w:p>
          <w:pPr>
            <w:pStyle w:val="38"/>
            <w:tabs>
              <w:tab w:val="right" w:leader="dot" w:pos="8306"/>
            </w:tabs>
          </w:pPr>
          <w:r>
            <w:fldChar w:fldCharType="begin"/>
          </w:r>
          <w:r>
            <w:instrText xml:space="preserve"> HYPERLINK \l _Toc27408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_Toc27408 \h </w:instrText>
          </w:r>
          <w:r>
            <w:fldChar w:fldCharType="separate"/>
          </w:r>
          <w:r>
            <w:t>11</w:t>
          </w:r>
          <w:r>
            <w:fldChar w:fldCharType="end"/>
          </w:r>
          <w:r>
            <w:fldChar w:fldCharType="end"/>
          </w:r>
        </w:p>
        <w:p>
          <w:pPr>
            <w:pStyle w:val="38"/>
            <w:tabs>
              <w:tab w:val="right" w:leader="dot" w:pos="8306"/>
            </w:tabs>
          </w:pPr>
          <w:r>
            <w:fldChar w:fldCharType="begin"/>
          </w:r>
          <w:r>
            <w:instrText xml:space="preserve"> HYPERLINK \l _Toc402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_Toc402 \h </w:instrText>
          </w:r>
          <w:r>
            <w:fldChar w:fldCharType="separate"/>
          </w:r>
          <w:r>
            <w:t>12</w:t>
          </w:r>
          <w:r>
            <w:fldChar w:fldCharType="end"/>
          </w:r>
          <w:r>
            <w:fldChar w:fldCharType="end"/>
          </w:r>
        </w:p>
        <w:p>
          <w:pPr>
            <w:pStyle w:val="38"/>
            <w:tabs>
              <w:tab w:val="right" w:leader="dot" w:pos="8306"/>
            </w:tabs>
          </w:pPr>
          <w:r>
            <w:fldChar w:fldCharType="begin"/>
          </w:r>
          <w:r>
            <w:instrText xml:space="preserve"> HYPERLINK \l _Toc18282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_Toc18282 \h </w:instrText>
          </w:r>
          <w:r>
            <w:fldChar w:fldCharType="separate"/>
          </w:r>
          <w:r>
            <w:t>13</w:t>
          </w:r>
          <w:r>
            <w:fldChar w:fldCharType="end"/>
          </w:r>
          <w:r>
            <w:fldChar w:fldCharType="end"/>
          </w:r>
        </w:p>
        <w:p>
          <w:pPr>
            <w:pStyle w:val="38"/>
            <w:tabs>
              <w:tab w:val="right" w:leader="dot" w:pos="8306"/>
            </w:tabs>
          </w:pPr>
          <w:r>
            <w:fldChar w:fldCharType="begin"/>
          </w:r>
          <w:r>
            <w:instrText xml:space="preserve"> HYPERLINK \l _Toc28283 </w:instrText>
          </w:r>
          <w:r>
            <w:fldChar w:fldCharType="separate"/>
          </w:r>
          <w:r>
            <w:rPr>
              <w:rFonts w:hint="eastAsia" w:ascii="黑体" w:hAnsi="黑体" w:eastAsia="黑体"/>
            </w:rPr>
            <w:t>九、 国有资本经营预算支出决算情况说明</w:t>
          </w:r>
          <w:r>
            <w:tab/>
          </w:r>
          <w:r>
            <w:fldChar w:fldCharType="begin"/>
          </w:r>
          <w:r>
            <w:instrText xml:space="preserve"> PAGEREF _Toc28283 \h </w:instrText>
          </w:r>
          <w:r>
            <w:fldChar w:fldCharType="separate"/>
          </w:r>
          <w:r>
            <w:t>14</w:t>
          </w:r>
          <w:r>
            <w:fldChar w:fldCharType="end"/>
          </w:r>
          <w:r>
            <w:fldChar w:fldCharType="end"/>
          </w:r>
        </w:p>
        <w:p>
          <w:pPr>
            <w:pStyle w:val="38"/>
            <w:tabs>
              <w:tab w:val="right" w:leader="dot" w:pos="8306"/>
            </w:tabs>
          </w:pPr>
          <w:r>
            <w:fldChar w:fldCharType="begin"/>
          </w:r>
          <w:r>
            <w:instrText xml:space="preserve"> HYPERLINK \l _Toc6728 </w:instrText>
          </w:r>
          <w:r>
            <w:fldChar w:fldCharType="separate"/>
          </w:r>
          <w:r>
            <w:rPr>
              <w:rFonts w:hint="eastAsia" w:ascii="黑体" w:hAnsi="黑体" w:eastAsia="黑体"/>
            </w:rPr>
            <w:t>十、 预算绩效管理情况</w:t>
          </w:r>
          <w:r>
            <w:tab/>
          </w:r>
          <w:r>
            <w:fldChar w:fldCharType="begin"/>
          </w:r>
          <w:r>
            <w:instrText xml:space="preserve"> PAGEREF _Toc6728 \h </w:instrText>
          </w:r>
          <w:r>
            <w:fldChar w:fldCharType="separate"/>
          </w:r>
          <w:r>
            <w:t>14</w:t>
          </w:r>
          <w:r>
            <w:fldChar w:fldCharType="end"/>
          </w:r>
          <w:r>
            <w:fldChar w:fldCharType="end"/>
          </w:r>
        </w:p>
        <w:p>
          <w:pPr>
            <w:pStyle w:val="38"/>
            <w:tabs>
              <w:tab w:val="right" w:leader="dot" w:pos="8306"/>
            </w:tabs>
          </w:pPr>
          <w:r>
            <w:fldChar w:fldCharType="begin"/>
          </w:r>
          <w:r>
            <w:instrText xml:space="preserve"> HYPERLINK \l _Toc15373 </w:instrText>
          </w:r>
          <w:r>
            <w:fldChar w:fldCharType="separate"/>
          </w:r>
          <w:r>
            <w:rPr>
              <w:rFonts w:hint="eastAsia" w:ascii="黑体" w:hAnsi="黑体" w:eastAsia="黑体"/>
            </w:rPr>
            <w:t>十一、 其他重要事项的情况说明</w:t>
          </w:r>
          <w:r>
            <w:tab/>
          </w:r>
          <w:r>
            <w:fldChar w:fldCharType="begin"/>
          </w:r>
          <w:r>
            <w:instrText xml:space="preserve"> PAGEREF _Toc15373 \h </w:instrText>
          </w:r>
          <w:r>
            <w:fldChar w:fldCharType="separate"/>
          </w:r>
          <w:r>
            <w:t>14</w:t>
          </w:r>
          <w:r>
            <w:fldChar w:fldCharType="end"/>
          </w:r>
          <w:r>
            <w:fldChar w:fldCharType="end"/>
          </w:r>
        </w:p>
        <w:p>
          <w:pPr>
            <w:pStyle w:val="37"/>
            <w:tabs>
              <w:tab w:val="right" w:leader="dot" w:pos="8306"/>
            </w:tabs>
            <w:rPr>
              <w:b/>
            </w:rPr>
          </w:pPr>
          <w:r>
            <w:rPr>
              <w:b/>
            </w:rPr>
            <w:fldChar w:fldCharType="begin"/>
          </w:r>
          <w:r>
            <w:rPr>
              <w:b/>
            </w:rPr>
            <w:instrText xml:space="preserve"> HYPERLINK \l _Toc11647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_Toc11647 \h </w:instrText>
          </w:r>
          <w:r>
            <w:rPr>
              <w:b/>
            </w:rPr>
            <w:fldChar w:fldCharType="separate"/>
          </w:r>
          <w:r>
            <w:rPr>
              <w:b/>
            </w:rPr>
            <w:t>16</w:t>
          </w:r>
          <w:r>
            <w:rPr>
              <w:b/>
            </w:rPr>
            <w:fldChar w:fldCharType="end"/>
          </w:r>
          <w:r>
            <w:rPr>
              <w:b/>
            </w:rPr>
            <w:fldChar w:fldCharType="end"/>
          </w:r>
        </w:p>
        <w:p>
          <w:pPr>
            <w:pStyle w:val="37"/>
            <w:tabs>
              <w:tab w:val="right" w:leader="dot" w:pos="8306"/>
            </w:tabs>
          </w:pPr>
          <w:r>
            <w:rPr>
              <w:b/>
            </w:rPr>
            <w:fldChar w:fldCharType="begin"/>
          </w:r>
          <w:r>
            <w:rPr>
              <w:b/>
            </w:rPr>
            <w:instrText xml:space="preserve"> HYPERLINK \l _Toc17425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_Toc17425 \h </w:instrText>
          </w:r>
          <w:r>
            <w:rPr>
              <w:b/>
            </w:rPr>
            <w:fldChar w:fldCharType="separate"/>
          </w:r>
          <w:r>
            <w:rPr>
              <w:b/>
            </w:rPr>
            <w:t>20</w:t>
          </w:r>
          <w:r>
            <w:rPr>
              <w:b/>
            </w:rPr>
            <w:fldChar w:fldCharType="end"/>
          </w:r>
          <w:r>
            <w:rPr>
              <w:b/>
            </w:rPr>
            <w:fldChar w:fldCharType="end"/>
          </w:r>
        </w:p>
        <w:p>
          <w:pPr>
            <w:pStyle w:val="37"/>
            <w:tabs>
              <w:tab w:val="right" w:leader="dot" w:pos="8306"/>
            </w:tabs>
            <w:rPr>
              <w:b/>
            </w:rPr>
          </w:pPr>
          <w:r>
            <w:rPr>
              <w:b/>
            </w:rPr>
            <w:fldChar w:fldCharType="begin"/>
          </w:r>
          <w:r>
            <w:rPr>
              <w:b/>
            </w:rPr>
            <w:instrText xml:space="preserve"> HYPERLINK \l _Toc7483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_Toc7483 \h </w:instrText>
          </w:r>
          <w:r>
            <w:rPr>
              <w:b/>
            </w:rPr>
            <w:fldChar w:fldCharType="separate"/>
          </w:r>
          <w:r>
            <w:rPr>
              <w:b/>
            </w:rPr>
            <w:t>42</w:t>
          </w:r>
          <w:r>
            <w:rPr>
              <w:b/>
            </w:rPr>
            <w:fldChar w:fldCharType="end"/>
          </w:r>
          <w:r>
            <w:rPr>
              <w:b/>
            </w:rPr>
            <w:fldChar w:fldCharType="end"/>
          </w:r>
        </w:p>
        <w:p>
          <w:pPr>
            <w:pStyle w:val="38"/>
            <w:tabs>
              <w:tab w:val="right" w:leader="dot" w:pos="8306"/>
            </w:tabs>
            <w:rPr>
              <w:rFonts w:asciiTheme="minorHAnsi" w:hAnsiTheme="minorHAnsi" w:eastAsiaTheme="minorEastAsia" w:cstheme="minorBidi"/>
            </w:rPr>
          </w:pP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HYPERLINK \l _Toc23189 </w:instrText>
          </w:r>
          <w:r>
            <w:rPr>
              <w:rFonts w:asciiTheme="minorHAnsi" w:hAnsiTheme="minorHAnsi" w:eastAsiaTheme="minorEastAsia" w:cstheme="minorBidi"/>
            </w:rPr>
            <w:fldChar w:fldCharType="separate"/>
          </w:r>
          <w:r>
            <w:rPr>
              <w:rFonts w:hint="eastAsia" w:ascii="黑体" w:hAnsi="黑体" w:eastAsia="黑体" w:cs="黑体"/>
            </w:rPr>
            <w:t>一、收入支出决算总表</w:t>
          </w:r>
          <w:r>
            <w:rPr>
              <w:rFonts w:asciiTheme="minorHAnsi" w:hAnsiTheme="minorHAnsi" w:eastAsiaTheme="minorEastAsia" w:cstheme="minorBidi"/>
            </w:rPr>
            <w:tab/>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PAGEREF _Toc23189 \h </w:instrText>
          </w:r>
          <w:r>
            <w:rPr>
              <w:rFonts w:asciiTheme="minorHAnsi" w:hAnsiTheme="minorHAnsi" w:eastAsiaTheme="minorEastAsia" w:cstheme="minorBidi"/>
            </w:rPr>
            <w:fldChar w:fldCharType="separate"/>
          </w:r>
          <w:r>
            <w:rPr>
              <w:rFonts w:asciiTheme="minorHAnsi" w:hAnsiTheme="minorHAnsi" w:eastAsiaTheme="minorEastAsia" w:cstheme="minorBidi"/>
            </w:rPr>
            <w:t>42</w:t>
          </w:r>
          <w:r>
            <w:rPr>
              <w:rFonts w:asciiTheme="minorHAnsi" w:hAnsiTheme="minorHAnsi" w:eastAsiaTheme="minorEastAsia" w:cstheme="minorBidi"/>
            </w:rPr>
            <w:fldChar w:fldCharType="end"/>
          </w:r>
          <w:r>
            <w:rPr>
              <w:rFonts w:asciiTheme="minorHAnsi" w:hAnsiTheme="minorHAnsi" w:eastAsiaTheme="minorEastAsia" w:cstheme="minorBidi"/>
            </w:rPr>
            <w:fldChar w:fldCharType="end"/>
          </w:r>
        </w:p>
        <w:p>
          <w:pPr>
            <w:pStyle w:val="38"/>
            <w:tabs>
              <w:tab w:val="right" w:leader="dot" w:pos="8306"/>
            </w:tabs>
            <w:rPr>
              <w:rFonts w:asciiTheme="minorHAnsi" w:hAnsiTheme="minorHAnsi" w:eastAsiaTheme="minorEastAsia" w:cstheme="minorBidi"/>
            </w:rPr>
          </w:pP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HYPERLINK \l _Toc22141 </w:instrText>
          </w:r>
          <w:r>
            <w:rPr>
              <w:rFonts w:asciiTheme="minorHAnsi" w:hAnsiTheme="minorHAnsi" w:eastAsiaTheme="minorEastAsia" w:cstheme="minorBidi"/>
            </w:rPr>
            <w:fldChar w:fldCharType="separate"/>
          </w:r>
          <w:r>
            <w:rPr>
              <w:rFonts w:hint="eastAsia" w:ascii="黑体" w:hAnsi="黑体" w:eastAsia="黑体" w:cs="黑体"/>
            </w:rPr>
            <w:t>二、收入决算表</w:t>
          </w:r>
          <w:r>
            <w:rPr>
              <w:rFonts w:asciiTheme="minorHAnsi" w:hAnsiTheme="minorHAnsi" w:eastAsiaTheme="minorEastAsia" w:cstheme="minorBidi"/>
            </w:rPr>
            <w:tab/>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PAGEREF _Toc22141 \h </w:instrText>
          </w:r>
          <w:r>
            <w:rPr>
              <w:rFonts w:asciiTheme="minorHAnsi" w:hAnsiTheme="minorHAnsi" w:eastAsiaTheme="minorEastAsia" w:cstheme="minorBidi"/>
            </w:rPr>
            <w:fldChar w:fldCharType="separate"/>
          </w:r>
          <w:r>
            <w:rPr>
              <w:rFonts w:asciiTheme="minorHAnsi" w:hAnsiTheme="minorHAnsi" w:eastAsiaTheme="minorEastAsia" w:cstheme="minorBidi"/>
            </w:rPr>
            <w:t>42</w:t>
          </w:r>
          <w:r>
            <w:rPr>
              <w:rFonts w:asciiTheme="minorHAnsi" w:hAnsiTheme="minorHAnsi" w:eastAsiaTheme="minorEastAsia" w:cstheme="minorBidi"/>
            </w:rPr>
            <w:fldChar w:fldCharType="end"/>
          </w:r>
          <w:r>
            <w:rPr>
              <w:rFonts w:asciiTheme="minorHAnsi" w:hAnsiTheme="minorHAnsi" w:eastAsiaTheme="minorEastAsia" w:cstheme="minorBidi"/>
            </w:rPr>
            <w:fldChar w:fldCharType="end"/>
          </w:r>
        </w:p>
        <w:p>
          <w:pPr>
            <w:pStyle w:val="38"/>
            <w:tabs>
              <w:tab w:val="right" w:leader="dot" w:pos="8306"/>
            </w:tabs>
            <w:rPr>
              <w:rFonts w:asciiTheme="minorHAnsi" w:hAnsiTheme="minorHAnsi" w:eastAsiaTheme="minorEastAsia" w:cstheme="minorBidi"/>
            </w:rPr>
          </w:pP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HYPERLINK \l _Toc14607 </w:instrText>
          </w:r>
          <w:r>
            <w:rPr>
              <w:rFonts w:asciiTheme="minorHAnsi" w:hAnsiTheme="minorHAnsi" w:eastAsiaTheme="minorEastAsia" w:cstheme="minorBidi"/>
            </w:rPr>
            <w:fldChar w:fldCharType="separate"/>
          </w:r>
          <w:r>
            <w:rPr>
              <w:rFonts w:hint="eastAsia" w:ascii="黑体" w:hAnsi="黑体" w:eastAsia="黑体" w:cs="黑体"/>
            </w:rPr>
            <w:t>三、支出决算表</w:t>
          </w:r>
          <w:r>
            <w:rPr>
              <w:rFonts w:asciiTheme="minorHAnsi" w:hAnsiTheme="minorHAnsi" w:eastAsiaTheme="minorEastAsia" w:cstheme="minorBidi"/>
            </w:rPr>
            <w:tab/>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PAGEREF _Toc14607 \h </w:instrText>
          </w:r>
          <w:r>
            <w:rPr>
              <w:rFonts w:asciiTheme="minorHAnsi" w:hAnsiTheme="minorHAnsi" w:eastAsiaTheme="minorEastAsia" w:cstheme="minorBidi"/>
            </w:rPr>
            <w:fldChar w:fldCharType="separate"/>
          </w:r>
          <w:r>
            <w:rPr>
              <w:rFonts w:asciiTheme="minorHAnsi" w:hAnsiTheme="minorHAnsi" w:eastAsiaTheme="minorEastAsia" w:cstheme="minorBidi"/>
            </w:rPr>
            <w:t>42</w:t>
          </w:r>
          <w:r>
            <w:rPr>
              <w:rFonts w:asciiTheme="minorHAnsi" w:hAnsiTheme="minorHAnsi" w:eastAsiaTheme="minorEastAsia" w:cstheme="minorBidi"/>
            </w:rPr>
            <w:fldChar w:fldCharType="end"/>
          </w:r>
          <w:r>
            <w:rPr>
              <w:rFonts w:asciiTheme="minorHAnsi" w:hAnsiTheme="minorHAnsi" w:eastAsiaTheme="minorEastAsia" w:cstheme="minorBidi"/>
            </w:rPr>
            <w:fldChar w:fldCharType="end"/>
          </w:r>
        </w:p>
        <w:p>
          <w:pPr>
            <w:pStyle w:val="38"/>
            <w:tabs>
              <w:tab w:val="right" w:leader="dot" w:pos="8306"/>
            </w:tabs>
            <w:rPr>
              <w:rFonts w:asciiTheme="minorHAnsi" w:hAnsiTheme="minorHAnsi" w:eastAsiaTheme="minorEastAsia" w:cstheme="minorBidi"/>
            </w:rPr>
          </w:pP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HYPERLINK \l _Toc30694 </w:instrText>
          </w:r>
          <w:r>
            <w:rPr>
              <w:rFonts w:asciiTheme="minorHAnsi" w:hAnsiTheme="minorHAnsi" w:eastAsiaTheme="minorEastAsia" w:cstheme="minorBidi"/>
            </w:rPr>
            <w:fldChar w:fldCharType="separate"/>
          </w:r>
          <w:r>
            <w:rPr>
              <w:rFonts w:hint="eastAsia" w:ascii="黑体" w:hAnsi="黑体" w:eastAsia="黑体" w:cs="黑体"/>
            </w:rPr>
            <w:t>四、财政拨款收入支出决算总表</w:t>
          </w:r>
          <w:r>
            <w:rPr>
              <w:rFonts w:asciiTheme="minorHAnsi" w:hAnsiTheme="minorHAnsi" w:eastAsiaTheme="minorEastAsia" w:cstheme="minorBidi"/>
            </w:rPr>
            <w:tab/>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PAGEREF _Toc30694 \h </w:instrText>
          </w:r>
          <w:r>
            <w:rPr>
              <w:rFonts w:asciiTheme="minorHAnsi" w:hAnsiTheme="minorHAnsi" w:eastAsiaTheme="minorEastAsia" w:cstheme="minorBidi"/>
            </w:rPr>
            <w:fldChar w:fldCharType="separate"/>
          </w:r>
          <w:r>
            <w:rPr>
              <w:rFonts w:asciiTheme="minorHAnsi" w:hAnsiTheme="minorHAnsi" w:eastAsiaTheme="minorEastAsia" w:cstheme="minorBidi"/>
            </w:rPr>
            <w:t>42</w:t>
          </w:r>
          <w:r>
            <w:rPr>
              <w:rFonts w:asciiTheme="minorHAnsi" w:hAnsiTheme="minorHAnsi" w:eastAsiaTheme="minorEastAsia" w:cstheme="minorBidi"/>
            </w:rPr>
            <w:fldChar w:fldCharType="end"/>
          </w:r>
          <w:r>
            <w:rPr>
              <w:rFonts w:asciiTheme="minorHAnsi" w:hAnsiTheme="minorHAnsi" w:eastAsiaTheme="minorEastAsia" w:cstheme="minorBidi"/>
            </w:rPr>
            <w:fldChar w:fldCharType="end"/>
          </w:r>
        </w:p>
        <w:p>
          <w:pPr>
            <w:pStyle w:val="38"/>
            <w:tabs>
              <w:tab w:val="right" w:leader="dot" w:pos="8306"/>
            </w:tabs>
            <w:rPr>
              <w:rFonts w:asciiTheme="minorHAnsi" w:hAnsiTheme="minorHAnsi" w:eastAsiaTheme="minorEastAsia" w:cstheme="minorBidi"/>
            </w:rPr>
          </w:pP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HYPERLINK \l _Toc2922 </w:instrText>
          </w:r>
          <w:r>
            <w:rPr>
              <w:rFonts w:asciiTheme="minorHAnsi" w:hAnsiTheme="minorHAnsi" w:eastAsiaTheme="minorEastAsia" w:cstheme="minorBidi"/>
            </w:rPr>
            <w:fldChar w:fldCharType="separate"/>
          </w:r>
          <w:r>
            <w:rPr>
              <w:rFonts w:hint="eastAsia" w:ascii="黑体" w:hAnsi="黑体" w:eastAsia="黑体" w:cs="黑体"/>
            </w:rPr>
            <w:t>五、财政拨款支出决算明细表</w:t>
          </w:r>
          <w:r>
            <w:rPr>
              <w:rFonts w:asciiTheme="minorHAnsi" w:hAnsiTheme="minorHAnsi" w:eastAsiaTheme="minorEastAsia" w:cstheme="minorBidi"/>
            </w:rPr>
            <w:tab/>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PAGEREF _Toc2922 \h </w:instrText>
          </w:r>
          <w:r>
            <w:rPr>
              <w:rFonts w:asciiTheme="minorHAnsi" w:hAnsiTheme="minorHAnsi" w:eastAsiaTheme="minorEastAsia" w:cstheme="minorBidi"/>
            </w:rPr>
            <w:fldChar w:fldCharType="separate"/>
          </w:r>
          <w:r>
            <w:rPr>
              <w:rFonts w:asciiTheme="minorHAnsi" w:hAnsiTheme="minorHAnsi" w:eastAsiaTheme="minorEastAsia" w:cstheme="minorBidi"/>
            </w:rPr>
            <w:t>42</w:t>
          </w:r>
          <w:r>
            <w:rPr>
              <w:rFonts w:asciiTheme="minorHAnsi" w:hAnsiTheme="minorHAnsi" w:eastAsiaTheme="minorEastAsia" w:cstheme="minorBidi"/>
            </w:rPr>
            <w:fldChar w:fldCharType="end"/>
          </w:r>
          <w:r>
            <w:rPr>
              <w:rFonts w:asciiTheme="minorHAnsi" w:hAnsiTheme="minorHAnsi" w:eastAsiaTheme="minorEastAsia" w:cstheme="minorBidi"/>
            </w:rPr>
            <w:fldChar w:fldCharType="end"/>
          </w:r>
        </w:p>
        <w:p>
          <w:pPr>
            <w:pStyle w:val="38"/>
            <w:tabs>
              <w:tab w:val="right" w:leader="dot" w:pos="8306"/>
            </w:tabs>
            <w:rPr>
              <w:rFonts w:asciiTheme="minorHAnsi" w:hAnsiTheme="minorHAnsi" w:eastAsiaTheme="minorEastAsia" w:cstheme="minorBidi"/>
            </w:rPr>
          </w:pP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HYPERLINK \l _Toc5558 </w:instrText>
          </w:r>
          <w:r>
            <w:rPr>
              <w:rFonts w:asciiTheme="minorHAnsi" w:hAnsiTheme="minorHAnsi" w:eastAsiaTheme="minorEastAsia" w:cstheme="minorBidi"/>
            </w:rPr>
            <w:fldChar w:fldCharType="separate"/>
          </w:r>
          <w:r>
            <w:rPr>
              <w:rFonts w:hint="eastAsia" w:ascii="黑体" w:hAnsi="黑体" w:eastAsia="黑体" w:cs="黑体"/>
            </w:rPr>
            <w:t>六、一般公共预算财政拨款支出决算表</w:t>
          </w:r>
          <w:r>
            <w:rPr>
              <w:rFonts w:asciiTheme="minorHAnsi" w:hAnsiTheme="minorHAnsi" w:eastAsiaTheme="minorEastAsia" w:cstheme="minorBidi"/>
            </w:rPr>
            <w:tab/>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PAGEREF _Toc5558 \h </w:instrText>
          </w:r>
          <w:r>
            <w:rPr>
              <w:rFonts w:asciiTheme="minorHAnsi" w:hAnsiTheme="minorHAnsi" w:eastAsiaTheme="minorEastAsia" w:cstheme="minorBidi"/>
            </w:rPr>
            <w:fldChar w:fldCharType="separate"/>
          </w:r>
          <w:r>
            <w:rPr>
              <w:rFonts w:asciiTheme="minorHAnsi" w:hAnsiTheme="minorHAnsi" w:eastAsiaTheme="minorEastAsia" w:cstheme="minorBidi"/>
            </w:rPr>
            <w:t>42</w:t>
          </w:r>
          <w:r>
            <w:rPr>
              <w:rFonts w:asciiTheme="minorHAnsi" w:hAnsiTheme="minorHAnsi" w:eastAsiaTheme="minorEastAsia" w:cstheme="minorBidi"/>
            </w:rPr>
            <w:fldChar w:fldCharType="end"/>
          </w:r>
          <w:r>
            <w:rPr>
              <w:rFonts w:asciiTheme="minorHAnsi" w:hAnsiTheme="minorHAnsi" w:eastAsiaTheme="minorEastAsia" w:cstheme="minorBidi"/>
            </w:rPr>
            <w:fldChar w:fldCharType="end"/>
          </w:r>
        </w:p>
        <w:p>
          <w:pPr>
            <w:pStyle w:val="38"/>
            <w:tabs>
              <w:tab w:val="right" w:leader="dot" w:pos="8306"/>
            </w:tabs>
            <w:rPr>
              <w:rFonts w:asciiTheme="minorHAnsi" w:hAnsiTheme="minorHAnsi" w:eastAsiaTheme="minorEastAsia" w:cstheme="minorBidi"/>
            </w:rPr>
          </w:pP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HYPERLINK \l _Toc18813 </w:instrText>
          </w:r>
          <w:r>
            <w:rPr>
              <w:rFonts w:asciiTheme="minorHAnsi" w:hAnsiTheme="minorHAnsi" w:eastAsiaTheme="minorEastAsia" w:cstheme="minorBidi"/>
            </w:rPr>
            <w:fldChar w:fldCharType="separate"/>
          </w:r>
          <w:r>
            <w:rPr>
              <w:rFonts w:hint="eastAsia" w:ascii="黑体" w:hAnsi="黑体" w:eastAsia="黑体" w:cs="黑体"/>
            </w:rPr>
            <w:t>七、一般公共预算财政拨款支出决算明细表</w:t>
          </w:r>
          <w:r>
            <w:rPr>
              <w:rFonts w:asciiTheme="minorHAnsi" w:hAnsiTheme="minorHAnsi" w:eastAsiaTheme="minorEastAsia" w:cstheme="minorBidi"/>
            </w:rPr>
            <w:tab/>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PAGEREF _Toc18813 \h </w:instrText>
          </w:r>
          <w:r>
            <w:rPr>
              <w:rFonts w:asciiTheme="minorHAnsi" w:hAnsiTheme="minorHAnsi" w:eastAsiaTheme="minorEastAsia" w:cstheme="minorBidi"/>
            </w:rPr>
            <w:fldChar w:fldCharType="separate"/>
          </w:r>
          <w:r>
            <w:rPr>
              <w:rFonts w:asciiTheme="minorHAnsi" w:hAnsiTheme="minorHAnsi" w:eastAsiaTheme="minorEastAsia" w:cstheme="minorBidi"/>
            </w:rPr>
            <w:t>42</w:t>
          </w:r>
          <w:r>
            <w:rPr>
              <w:rFonts w:asciiTheme="minorHAnsi" w:hAnsiTheme="minorHAnsi" w:eastAsiaTheme="minorEastAsia" w:cstheme="minorBidi"/>
            </w:rPr>
            <w:fldChar w:fldCharType="end"/>
          </w:r>
          <w:r>
            <w:rPr>
              <w:rFonts w:asciiTheme="minorHAnsi" w:hAnsiTheme="minorHAnsi" w:eastAsiaTheme="minorEastAsia" w:cstheme="minorBidi"/>
            </w:rPr>
            <w:fldChar w:fldCharType="end"/>
          </w:r>
        </w:p>
        <w:p>
          <w:pPr>
            <w:pStyle w:val="38"/>
            <w:tabs>
              <w:tab w:val="right" w:leader="dot" w:pos="8306"/>
            </w:tabs>
            <w:rPr>
              <w:rFonts w:asciiTheme="minorHAnsi" w:hAnsiTheme="minorHAnsi" w:eastAsiaTheme="minorEastAsia" w:cstheme="minorBidi"/>
            </w:rPr>
          </w:pP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HYPERLINK \l _Toc4756 </w:instrText>
          </w:r>
          <w:r>
            <w:rPr>
              <w:rFonts w:asciiTheme="minorHAnsi" w:hAnsiTheme="minorHAnsi" w:eastAsiaTheme="minorEastAsia" w:cstheme="minorBidi"/>
            </w:rPr>
            <w:fldChar w:fldCharType="separate"/>
          </w:r>
          <w:r>
            <w:rPr>
              <w:rFonts w:hint="eastAsia" w:ascii="黑体" w:hAnsi="黑体" w:eastAsia="黑体" w:cs="黑体"/>
            </w:rPr>
            <w:t>八、一般公共预算财政拨款基本支出决算表</w:t>
          </w:r>
          <w:r>
            <w:rPr>
              <w:rFonts w:asciiTheme="minorHAnsi" w:hAnsiTheme="minorHAnsi" w:eastAsiaTheme="minorEastAsia" w:cstheme="minorBidi"/>
            </w:rPr>
            <w:tab/>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PAGEREF _Toc4756 \h </w:instrText>
          </w:r>
          <w:r>
            <w:rPr>
              <w:rFonts w:asciiTheme="minorHAnsi" w:hAnsiTheme="minorHAnsi" w:eastAsiaTheme="minorEastAsia" w:cstheme="minorBidi"/>
            </w:rPr>
            <w:fldChar w:fldCharType="separate"/>
          </w:r>
          <w:r>
            <w:rPr>
              <w:rFonts w:asciiTheme="minorHAnsi" w:hAnsiTheme="minorHAnsi" w:eastAsiaTheme="minorEastAsia" w:cstheme="minorBidi"/>
            </w:rPr>
            <w:t>42</w:t>
          </w:r>
          <w:r>
            <w:rPr>
              <w:rFonts w:asciiTheme="minorHAnsi" w:hAnsiTheme="minorHAnsi" w:eastAsiaTheme="minorEastAsia" w:cstheme="minorBidi"/>
            </w:rPr>
            <w:fldChar w:fldCharType="end"/>
          </w:r>
          <w:r>
            <w:rPr>
              <w:rFonts w:asciiTheme="minorHAnsi" w:hAnsiTheme="minorHAnsi" w:eastAsiaTheme="minorEastAsia" w:cstheme="minorBidi"/>
            </w:rPr>
            <w:fldChar w:fldCharType="end"/>
          </w:r>
        </w:p>
        <w:p>
          <w:pPr>
            <w:pStyle w:val="38"/>
            <w:tabs>
              <w:tab w:val="right" w:leader="dot" w:pos="8306"/>
            </w:tabs>
            <w:rPr>
              <w:rFonts w:asciiTheme="minorHAnsi" w:hAnsiTheme="minorHAnsi" w:eastAsiaTheme="minorEastAsia" w:cstheme="minorBidi"/>
            </w:rPr>
          </w:pP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HYPERLINK \l _Toc13500 </w:instrText>
          </w:r>
          <w:r>
            <w:rPr>
              <w:rFonts w:asciiTheme="minorHAnsi" w:hAnsiTheme="minorHAnsi" w:eastAsiaTheme="minorEastAsia" w:cstheme="minorBidi"/>
            </w:rPr>
            <w:fldChar w:fldCharType="separate"/>
          </w:r>
          <w:r>
            <w:rPr>
              <w:rFonts w:hint="eastAsia" w:ascii="黑体" w:hAnsi="黑体" w:eastAsia="黑体" w:cs="黑体"/>
            </w:rPr>
            <w:t>九、一般公共预算财政拨款项目支出决算表</w:t>
          </w:r>
          <w:r>
            <w:rPr>
              <w:rFonts w:asciiTheme="minorHAnsi" w:hAnsiTheme="minorHAnsi" w:eastAsiaTheme="minorEastAsia" w:cstheme="minorBidi"/>
            </w:rPr>
            <w:tab/>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PAGEREF _Toc13500 \h </w:instrText>
          </w:r>
          <w:r>
            <w:rPr>
              <w:rFonts w:asciiTheme="minorHAnsi" w:hAnsiTheme="minorHAnsi" w:eastAsiaTheme="minorEastAsia" w:cstheme="minorBidi"/>
            </w:rPr>
            <w:fldChar w:fldCharType="separate"/>
          </w:r>
          <w:r>
            <w:rPr>
              <w:rFonts w:asciiTheme="minorHAnsi" w:hAnsiTheme="minorHAnsi" w:eastAsiaTheme="minorEastAsia" w:cstheme="minorBidi"/>
            </w:rPr>
            <w:t>42</w:t>
          </w:r>
          <w:r>
            <w:rPr>
              <w:rFonts w:asciiTheme="minorHAnsi" w:hAnsiTheme="minorHAnsi" w:eastAsiaTheme="minorEastAsia" w:cstheme="minorBidi"/>
            </w:rPr>
            <w:fldChar w:fldCharType="end"/>
          </w:r>
          <w:r>
            <w:rPr>
              <w:rFonts w:asciiTheme="minorHAnsi" w:hAnsiTheme="minorHAnsi" w:eastAsiaTheme="minorEastAsia" w:cstheme="minorBidi"/>
            </w:rPr>
            <w:fldChar w:fldCharType="end"/>
          </w:r>
        </w:p>
        <w:p>
          <w:pPr>
            <w:pStyle w:val="38"/>
            <w:tabs>
              <w:tab w:val="right" w:leader="dot" w:pos="8306"/>
            </w:tabs>
            <w:rPr>
              <w:rFonts w:asciiTheme="minorHAnsi" w:hAnsiTheme="minorHAnsi" w:eastAsiaTheme="minorEastAsia" w:cstheme="minorBidi"/>
            </w:rPr>
          </w:pP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HYPERLINK \l _Toc5607 </w:instrText>
          </w:r>
          <w:r>
            <w:rPr>
              <w:rFonts w:asciiTheme="minorHAnsi" w:hAnsiTheme="minorHAnsi" w:eastAsiaTheme="minorEastAsia" w:cstheme="minorBidi"/>
            </w:rPr>
            <w:fldChar w:fldCharType="separate"/>
          </w:r>
          <w:r>
            <w:rPr>
              <w:rFonts w:hint="eastAsia" w:ascii="黑体" w:hAnsi="黑体" w:eastAsia="黑体" w:cs="黑体"/>
            </w:rPr>
            <w:t>十、一般公共预算财政拨款“三公”经费支出决算表</w:t>
          </w:r>
          <w:r>
            <w:rPr>
              <w:rFonts w:asciiTheme="minorHAnsi" w:hAnsiTheme="minorHAnsi" w:eastAsiaTheme="minorEastAsia" w:cstheme="minorBidi"/>
            </w:rPr>
            <w:tab/>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PAGEREF _Toc5607 \h </w:instrText>
          </w:r>
          <w:r>
            <w:rPr>
              <w:rFonts w:asciiTheme="minorHAnsi" w:hAnsiTheme="minorHAnsi" w:eastAsiaTheme="minorEastAsia" w:cstheme="minorBidi"/>
            </w:rPr>
            <w:fldChar w:fldCharType="separate"/>
          </w:r>
          <w:r>
            <w:rPr>
              <w:rFonts w:asciiTheme="minorHAnsi" w:hAnsiTheme="minorHAnsi" w:eastAsiaTheme="minorEastAsia" w:cstheme="minorBidi"/>
            </w:rPr>
            <w:t>42</w:t>
          </w:r>
          <w:r>
            <w:rPr>
              <w:rFonts w:asciiTheme="minorHAnsi" w:hAnsiTheme="minorHAnsi" w:eastAsiaTheme="minorEastAsia" w:cstheme="minorBidi"/>
            </w:rPr>
            <w:fldChar w:fldCharType="end"/>
          </w:r>
          <w:r>
            <w:rPr>
              <w:rFonts w:asciiTheme="minorHAnsi" w:hAnsiTheme="minorHAnsi" w:eastAsiaTheme="minorEastAsia" w:cstheme="minorBidi"/>
            </w:rPr>
            <w:fldChar w:fldCharType="end"/>
          </w:r>
        </w:p>
        <w:p>
          <w:pPr>
            <w:pStyle w:val="38"/>
            <w:tabs>
              <w:tab w:val="right" w:leader="dot" w:pos="8306"/>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_Toc7089 </w:instrText>
          </w:r>
          <w:r>
            <w:rPr>
              <w:rFonts w:hint="eastAsia" w:ascii="黑体" w:hAnsi="黑体" w:eastAsia="黑体" w:cs="黑体"/>
            </w:rPr>
            <w:fldChar w:fldCharType="separate"/>
          </w:r>
          <w:r>
            <w:rPr>
              <w:rFonts w:hint="eastAsia" w:ascii="黑体" w:hAnsi="黑体" w:eastAsia="黑体" w:cs="黑体"/>
            </w:rPr>
            <w:t>十一、政府性基金预算财政拨款收入支出决算表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_Toc7089 \h </w:instrText>
          </w:r>
          <w:r>
            <w:rPr>
              <w:rFonts w:hint="eastAsia" w:ascii="黑体" w:hAnsi="黑体" w:eastAsia="黑体" w:cs="黑体"/>
            </w:rPr>
            <w:fldChar w:fldCharType="separate"/>
          </w:r>
          <w:r>
            <w:rPr>
              <w:rFonts w:hint="eastAsia" w:ascii="黑体" w:hAnsi="黑体" w:eastAsia="黑体" w:cs="黑体"/>
            </w:rPr>
            <w:t>42</w:t>
          </w:r>
          <w:r>
            <w:rPr>
              <w:rFonts w:hint="eastAsia" w:ascii="黑体" w:hAnsi="黑体" w:eastAsia="黑体" w:cs="黑体"/>
            </w:rPr>
            <w:fldChar w:fldCharType="end"/>
          </w:r>
          <w:r>
            <w:rPr>
              <w:rFonts w:hint="eastAsia" w:ascii="黑体" w:hAnsi="黑体" w:eastAsia="黑体" w:cs="黑体"/>
            </w:rPr>
            <w:fldChar w:fldCharType="end"/>
          </w:r>
        </w:p>
        <w:p>
          <w:pPr>
            <w:pStyle w:val="38"/>
            <w:tabs>
              <w:tab w:val="right" w:leader="dot" w:pos="8306"/>
            </w:tabs>
            <w:rPr>
              <w:rFonts w:asciiTheme="minorHAnsi" w:hAnsiTheme="minorHAnsi" w:eastAsiaTheme="minorEastAsia" w:cstheme="minorBidi"/>
            </w:rPr>
          </w:pPr>
          <w:r>
            <w:rPr>
              <w:rFonts w:hint="eastAsia" w:ascii="黑体" w:hAnsi="黑体" w:eastAsia="黑体" w:cs="黑体"/>
            </w:rPr>
            <w:fldChar w:fldCharType="begin"/>
          </w:r>
          <w:r>
            <w:rPr>
              <w:rFonts w:hint="eastAsia" w:ascii="黑体" w:hAnsi="黑体" w:eastAsia="黑体" w:cs="黑体"/>
            </w:rPr>
            <w:instrText xml:space="preserve"> HYPERLINK \l _Toc19942 </w:instrText>
          </w:r>
          <w:r>
            <w:rPr>
              <w:rFonts w:hint="eastAsia" w:ascii="黑体" w:hAnsi="黑体" w:eastAsia="黑体" w:cs="黑体"/>
            </w:rPr>
            <w:fldChar w:fldCharType="separate"/>
          </w:r>
          <w:r>
            <w:rPr>
              <w:rFonts w:hint="eastAsia" w:ascii="黑体" w:hAnsi="黑体" w:eastAsia="黑体" w:cs="黑体"/>
            </w:rPr>
            <w:t>十二、政府性基金预算财政拨款“三公”经费支出决算表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_Toc19942 \h </w:instrText>
          </w:r>
          <w:r>
            <w:rPr>
              <w:rFonts w:hint="eastAsia" w:ascii="黑体" w:hAnsi="黑体" w:eastAsia="黑体" w:cs="黑体"/>
            </w:rPr>
            <w:fldChar w:fldCharType="separate"/>
          </w:r>
          <w:r>
            <w:rPr>
              <w:rFonts w:hint="eastAsia" w:ascii="黑体" w:hAnsi="黑体" w:eastAsia="黑体" w:cs="黑体"/>
            </w:rPr>
            <w:t>42</w:t>
          </w:r>
          <w:r>
            <w:rPr>
              <w:rFonts w:hint="eastAsia" w:ascii="黑体" w:hAnsi="黑体" w:eastAsia="黑体" w:cs="黑体"/>
            </w:rPr>
            <w:fldChar w:fldCharType="end"/>
          </w:r>
          <w:r>
            <w:rPr>
              <w:rFonts w:hint="eastAsia" w:ascii="黑体" w:hAnsi="黑体" w:eastAsia="黑体" w:cs="黑体"/>
            </w:rPr>
            <w:fldChar w:fldCharType="end"/>
          </w:r>
        </w:p>
        <w:p>
          <w:pPr>
            <w:pStyle w:val="38"/>
            <w:tabs>
              <w:tab w:val="right" w:leader="dot" w:pos="8306"/>
            </w:tabs>
            <w:rPr>
              <w:rFonts w:asciiTheme="minorHAnsi" w:hAnsiTheme="minorHAnsi" w:eastAsiaTheme="minorEastAsia" w:cstheme="minorBidi"/>
            </w:rPr>
          </w:pP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HYPERLINK \l _Toc28218 </w:instrText>
          </w:r>
          <w:r>
            <w:rPr>
              <w:rFonts w:asciiTheme="minorHAnsi" w:hAnsiTheme="minorHAnsi" w:eastAsiaTheme="minorEastAsia" w:cstheme="minorBidi"/>
            </w:rPr>
            <w:fldChar w:fldCharType="separate"/>
          </w:r>
          <w:r>
            <w:rPr>
              <w:rFonts w:hint="eastAsia" w:ascii="黑体" w:hAnsi="黑体" w:eastAsia="黑体" w:cs="黑体"/>
            </w:rPr>
            <w:t>十三、国有资本经营预算财政拨款收入支出决算表</w:t>
          </w:r>
          <w:r>
            <w:rPr>
              <w:rFonts w:asciiTheme="minorHAnsi" w:hAnsiTheme="minorHAnsi" w:eastAsiaTheme="minorEastAsia" w:cstheme="minorBidi"/>
            </w:rPr>
            <w:tab/>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PAGEREF _Toc28218 \h </w:instrText>
          </w:r>
          <w:r>
            <w:rPr>
              <w:rFonts w:asciiTheme="minorHAnsi" w:hAnsiTheme="minorHAnsi" w:eastAsiaTheme="minorEastAsia" w:cstheme="minorBidi"/>
            </w:rPr>
            <w:fldChar w:fldCharType="separate"/>
          </w:r>
          <w:r>
            <w:rPr>
              <w:rFonts w:asciiTheme="minorHAnsi" w:hAnsiTheme="minorHAnsi" w:eastAsiaTheme="minorEastAsia" w:cstheme="minorBidi"/>
            </w:rPr>
            <w:t>42</w:t>
          </w:r>
          <w:r>
            <w:rPr>
              <w:rFonts w:asciiTheme="minorHAnsi" w:hAnsiTheme="minorHAnsi" w:eastAsiaTheme="minorEastAsia" w:cstheme="minorBidi"/>
            </w:rPr>
            <w:fldChar w:fldCharType="end"/>
          </w:r>
          <w:r>
            <w:rPr>
              <w:rFonts w:asciiTheme="minorHAnsi" w:hAnsiTheme="minorHAnsi" w:eastAsiaTheme="minorEastAsia" w:cstheme="minorBidi"/>
            </w:rPr>
            <w:fldChar w:fldCharType="end"/>
          </w:r>
        </w:p>
        <w:p>
          <w:pPr>
            <w:pStyle w:val="38"/>
            <w:tabs>
              <w:tab w:val="right" w:leader="dot" w:pos="8306"/>
            </w:tabs>
          </w:pP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HYPERLINK \l _Toc9048 </w:instrText>
          </w:r>
          <w:r>
            <w:rPr>
              <w:rFonts w:asciiTheme="minorHAnsi" w:hAnsiTheme="minorHAnsi" w:eastAsiaTheme="minorEastAsia" w:cstheme="minorBidi"/>
            </w:rPr>
            <w:fldChar w:fldCharType="separate"/>
          </w:r>
          <w:r>
            <w:rPr>
              <w:rFonts w:hint="eastAsia" w:ascii="黑体" w:hAnsi="黑体" w:eastAsia="黑体" w:cs="黑体"/>
            </w:rPr>
            <w:t>十四、国有资本经营预算财政拨款支出决算表</w:t>
          </w:r>
          <w:r>
            <w:rPr>
              <w:rFonts w:asciiTheme="minorHAnsi" w:hAnsiTheme="minorHAnsi" w:eastAsiaTheme="minorEastAsia" w:cstheme="minorBidi"/>
            </w:rPr>
            <w:tab/>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 PAGEREF _Toc9048 \h </w:instrText>
          </w:r>
          <w:r>
            <w:rPr>
              <w:rFonts w:asciiTheme="minorHAnsi" w:hAnsiTheme="minorHAnsi" w:eastAsiaTheme="minorEastAsia" w:cstheme="minorBidi"/>
            </w:rPr>
            <w:fldChar w:fldCharType="separate"/>
          </w:r>
          <w:r>
            <w:rPr>
              <w:rFonts w:asciiTheme="minorHAnsi" w:hAnsiTheme="minorHAnsi" w:eastAsiaTheme="minorEastAsia" w:cstheme="minorBidi"/>
            </w:rPr>
            <w:t>42</w:t>
          </w:r>
          <w:r>
            <w:rPr>
              <w:rFonts w:asciiTheme="minorHAnsi" w:hAnsiTheme="minorHAnsi" w:eastAsiaTheme="minorEastAsia" w:cstheme="minorBidi"/>
            </w:rPr>
            <w:fldChar w:fldCharType="end"/>
          </w:r>
          <w:r>
            <w:rPr>
              <w:rFonts w:asciiTheme="minorHAnsi" w:hAnsiTheme="minorHAnsi" w:eastAsiaTheme="minorEastAsia" w:cstheme="minorBidi"/>
            </w:rPr>
            <w:fldChar w:fldCharType="end"/>
          </w:r>
        </w:p>
        <w:p>
          <w:r>
            <w:rPr>
              <w:b/>
            </w:rPr>
            <w:fldChar w:fldCharType="end"/>
          </w:r>
        </w:p>
      </w:sdtContent>
    </w:sdt>
    <w:p>
      <w:pPr>
        <w:pStyle w:val="2"/>
        <w:jc w:val="center"/>
        <w:rPr>
          <w:rFonts w:hint="eastAsia" w:ascii="黑体" w:hAnsi="黑体" w:eastAsia="黑体"/>
          <w:b w:val="0"/>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17" w:name="_Toc31452"/>
    </w:p>
    <w:p>
      <w:pPr>
        <w:pStyle w:val="2"/>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6"/>
      <w:bookmarkEnd w:id="17"/>
    </w:p>
    <w:p>
      <w:pPr>
        <w:widowControl/>
        <w:jc w:val="left"/>
        <w:rPr>
          <w:rFonts w:ascii="黑体" w:eastAsia="黑体"/>
          <w:sz w:val="32"/>
          <w:szCs w:val="32"/>
        </w:rPr>
      </w:pPr>
    </w:p>
    <w:p>
      <w:pPr>
        <w:pStyle w:val="3"/>
        <w:numPr>
          <w:ilvl w:val="0"/>
          <w:numId w:val="1"/>
        </w:numPr>
      </w:pPr>
      <w:bookmarkStart w:id="18" w:name="_Toc30225"/>
      <w:bookmarkStart w:id="19" w:name="_Toc15396600"/>
      <w:bookmarkStart w:id="20" w:name="_Toc15377197"/>
      <w:r>
        <w:rPr>
          <w:rStyle w:val="29"/>
          <w:rFonts w:hint="eastAsia" w:ascii="黑体" w:hAnsi="黑体" w:eastAsia="黑体"/>
          <w:b w:val="0"/>
          <w:bCs w:val="0"/>
        </w:rPr>
        <w:t>职能简介</w:t>
      </w:r>
      <w:bookmarkEnd w:id="18"/>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ascii="仿宋" w:hAnsi="仿宋" w:eastAsia="仿宋"/>
          <w:bCs/>
          <w:sz w:val="32"/>
          <w:szCs w:val="32"/>
        </w:rPr>
      </w:pPr>
      <w:r>
        <w:rPr>
          <w:rFonts w:hint="eastAsia" w:ascii="仿宋" w:hAnsi="仿宋" w:eastAsia="仿宋"/>
          <w:bCs/>
          <w:sz w:val="32"/>
          <w:szCs w:val="32"/>
        </w:rPr>
        <w:t>1.拟订全市人力资源和社会保障事业发展规划、政策并组织实施和监督检查。起草地方性法规、规章草案。</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ascii="仿宋" w:hAnsi="仿宋" w:eastAsia="仿宋"/>
          <w:bCs/>
          <w:sz w:val="32"/>
          <w:szCs w:val="32"/>
        </w:rPr>
      </w:pPr>
      <w:r>
        <w:rPr>
          <w:rFonts w:hint="eastAsia" w:ascii="仿宋" w:hAnsi="仿宋" w:eastAsia="仿宋"/>
          <w:bCs/>
          <w:sz w:val="32"/>
          <w:szCs w:val="32"/>
        </w:rPr>
        <w:t>2.拟订全市人力资源市场发展规划和人力资源流动政策并组织实施，建立全市统一规范的人力资源市场，促进人力资源合理流动、有效配置。</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ascii="仿宋" w:hAnsi="仿宋" w:eastAsia="仿宋"/>
          <w:bCs/>
          <w:sz w:val="32"/>
          <w:szCs w:val="32"/>
        </w:rPr>
      </w:pPr>
      <w:r>
        <w:rPr>
          <w:rFonts w:hint="eastAsia" w:ascii="仿宋" w:hAnsi="仿宋" w:eastAsia="仿宋"/>
          <w:bCs/>
          <w:sz w:val="32"/>
          <w:szCs w:val="32"/>
        </w:rPr>
        <w:t>3.负责促进就业工作，拟订统筹城乡的就业发展规划和政策，完善公共就业创业服务体系，拟订并组织落实创业、就业援助制度，完善职业资格制度，统筹建立面向城乡劳动者的职业培训制度，牵头拟订并实施高校毕业生就业政策。</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ascii="仿宋" w:hAnsi="仿宋" w:eastAsia="仿宋"/>
          <w:bCs/>
          <w:sz w:val="32"/>
          <w:szCs w:val="32"/>
        </w:rPr>
      </w:pPr>
      <w:r>
        <w:rPr>
          <w:rFonts w:hint="eastAsia" w:ascii="仿宋" w:hAnsi="仿宋" w:eastAsia="仿宋"/>
          <w:bCs/>
          <w:sz w:val="32"/>
          <w:szCs w:val="32"/>
        </w:rPr>
        <w:t>4.统筹建立覆盖城乡的多层次社会保障体系。拟订社会保险政策和标准。贯彻落实养老保险全国统筹办法和全国统一的养老、失业、工伤保险关系转续办法。组织拟订基本养老、企业年金、职业年金、失业、工伤保险基金管理和监督制度，编制全市社会保险基金预决算草案，参与制定全市社会保障基金投资政策。会同有关部门实施全民参保计划。拟订人力资源和社会保障信息化建设总体规划、年度计划，制订相关制度、标准和规范并组织实施。指导、督促企业参加工伤保险。</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ascii="仿宋" w:hAnsi="仿宋" w:eastAsia="仿宋"/>
          <w:bCs/>
          <w:sz w:val="32"/>
          <w:szCs w:val="32"/>
        </w:rPr>
      </w:pPr>
      <w:r>
        <w:rPr>
          <w:rFonts w:hint="eastAsia" w:ascii="仿宋" w:hAnsi="仿宋" w:eastAsia="仿宋"/>
          <w:bCs/>
          <w:sz w:val="32"/>
          <w:szCs w:val="32"/>
        </w:rPr>
        <w:t>5.负责就业、失业和相关社会保险基金预测预警和信息引导，拟订应对预案，实施预防、调节和控制，保持就业形势稳定和社会保险基金总体收支平衡。</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ascii="仿宋" w:hAnsi="仿宋" w:eastAsia="仿宋"/>
          <w:bCs/>
          <w:sz w:val="32"/>
          <w:szCs w:val="32"/>
        </w:rPr>
      </w:pPr>
      <w:r>
        <w:rPr>
          <w:rFonts w:hint="eastAsia" w:ascii="仿宋" w:hAnsi="仿宋" w:eastAsia="仿宋"/>
          <w:bCs/>
          <w:sz w:val="32"/>
          <w:szCs w:val="32"/>
        </w:rPr>
        <w:t>6.统筹拟订劳动人事争议调解仲裁制度，完善劳动关系协调机制，拟订职工工作时间、休息休假和假期制度，拟订消除非法使用童工政策和女工、未成年工的特殊劳动保护措施。依法督促用人单位在劳动用工、合同签订与履约时，载明劳动保护、劳动条件和职业危害防护等条款。组织实施劳动监察，协调劳动者维权工作，依法查处重大案件。</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ascii="仿宋" w:hAnsi="仿宋" w:eastAsia="仿宋"/>
          <w:bCs/>
          <w:sz w:val="32"/>
          <w:szCs w:val="32"/>
        </w:rPr>
      </w:pPr>
      <w:r>
        <w:rPr>
          <w:rFonts w:hint="eastAsia" w:ascii="仿宋" w:hAnsi="仿宋" w:eastAsia="仿宋"/>
          <w:bCs/>
          <w:sz w:val="32"/>
          <w:szCs w:val="32"/>
        </w:rPr>
        <w:t>7.牵头推进深化职称制度改革，拟订专业技术人员管理、继续教育和博士后管理等政策，负责高层次专业技术人才选拔和培养工作，拟订吸引国（境）外专家、留学人员来广（回广）工作或定居政策。组织拟订技能人才培养、评价、使用和激励制度。贯彻落实职业资格制度，健全职业技能多元化评价政策。指导、监督各级各类技工学校、民办职业培训机构按国家和省有关规定履行安全管理责任。</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ascii="仿宋" w:hAnsi="仿宋" w:eastAsia="仿宋"/>
          <w:bCs/>
          <w:sz w:val="32"/>
          <w:szCs w:val="32"/>
        </w:rPr>
      </w:pPr>
      <w:r>
        <w:rPr>
          <w:rFonts w:hint="eastAsia" w:ascii="仿宋" w:hAnsi="仿宋" w:eastAsia="仿宋"/>
          <w:bCs/>
          <w:sz w:val="32"/>
          <w:szCs w:val="32"/>
        </w:rPr>
        <w:t>8.会同有关部门指导事业单位人事制度改革，按照管理权限负责规范事业单位岗位设置、公开招聘、聘用合同等人事综合管理工作，拟订事业单位人员和机关工勤人员管理政策，将安全生产责任履行情况作为事业单位工作人员奖惩、考核的重要内容。</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ascii="仿宋" w:hAnsi="仿宋" w:eastAsia="仿宋"/>
          <w:bCs/>
          <w:sz w:val="32"/>
          <w:szCs w:val="32"/>
        </w:rPr>
      </w:pPr>
      <w:r>
        <w:rPr>
          <w:rFonts w:hint="eastAsia" w:ascii="仿宋" w:hAnsi="仿宋" w:eastAsia="仿宋"/>
          <w:bCs/>
          <w:sz w:val="32"/>
          <w:szCs w:val="32"/>
        </w:rPr>
        <w:t>9.贯彻执行事业单位人员工资收入分配政策和企业职工工资收入分配调控政策，贯彻落实企事业单位人员工资正常增长和支付保障政策，贯彻执行企事业单位人员福利和离退休政策。</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ascii="仿宋" w:hAnsi="仿宋" w:eastAsia="仿宋"/>
          <w:bCs/>
          <w:sz w:val="32"/>
          <w:szCs w:val="32"/>
        </w:rPr>
      </w:pPr>
      <w:r>
        <w:rPr>
          <w:rFonts w:hint="eastAsia" w:ascii="仿宋" w:hAnsi="仿宋" w:eastAsia="仿宋"/>
          <w:bCs/>
          <w:sz w:val="32"/>
          <w:szCs w:val="32"/>
        </w:rPr>
        <w:t>10.组织实施国家表彰奖励制度，综合管理政府奖励表彰工作，承担评比达标表彰等工作，根据授权承办以市委、市政府名义开展的奖励表彰活动。承办提请市人大常委会和市政府决定的人事任免事项。</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ascii="仿宋" w:hAnsi="仿宋" w:eastAsia="仿宋"/>
          <w:bCs/>
          <w:sz w:val="32"/>
          <w:szCs w:val="32"/>
        </w:rPr>
      </w:pPr>
      <w:r>
        <w:rPr>
          <w:rFonts w:hint="eastAsia" w:ascii="仿宋" w:hAnsi="仿宋" w:eastAsia="仿宋"/>
          <w:bCs/>
          <w:sz w:val="32"/>
          <w:szCs w:val="32"/>
        </w:rPr>
        <w:t>11.贯彻执行农民工工作相关政策和规划，协调解决重点难点问题，维护农民工合法权益。负责将安全生产纳入农民工技能培训内容。</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3"/>
        <w:rPr>
          <w:rFonts w:ascii="仿宋" w:hAnsi="仿宋" w:eastAsia="仿宋"/>
          <w:bCs/>
          <w:sz w:val="32"/>
          <w:szCs w:val="32"/>
        </w:rPr>
      </w:pPr>
      <w:r>
        <w:rPr>
          <w:rFonts w:hint="eastAsia" w:ascii="仿宋" w:hAnsi="仿宋" w:eastAsia="仿宋"/>
          <w:bCs/>
          <w:sz w:val="32"/>
          <w:szCs w:val="32"/>
        </w:rPr>
        <w:t>12.负责人力资源和社会保障领域内的对外交流与合作工作。</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3"/>
        <w:rPr>
          <w:rFonts w:ascii="仿宋" w:hAnsi="仿宋" w:eastAsia="仿宋"/>
          <w:bCs/>
          <w:sz w:val="32"/>
          <w:szCs w:val="32"/>
        </w:rPr>
      </w:pPr>
      <w:r>
        <w:rPr>
          <w:rFonts w:hint="eastAsia" w:ascii="仿宋" w:hAnsi="仿宋" w:eastAsia="仿宋"/>
          <w:bCs/>
          <w:sz w:val="32"/>
          <w:szCs w:val="32"/>
        </w:rPr>
        <w:t>13.承担职责范围内的安全生产和职业健康、生态环境保护、审批服务便民化等工作。</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3"/>
        <w:rPr>
          <w:rFonts w:ascii="仿宋" w:hAnsi="仿宋" w:eastAsia="仿宋"/>
          <w:bCs/>
          <w:sz w:val="32"/>
          <w:szCs w:val="32"/>
        </w:rPr>
      </w:pPr>
      <w:r>
        <w:rPr>
          <w:rFonts w:hint="eastAsia" w:ascii="仿宋" w:hAnsi="仿宋" w:eastAsia="仿宋"/>
          <w:bCs/>
          <w:sz w:val="32"/>
          <w:szCs w:val="32"/>
        </w:rPr>
        <w:t>14.完成市委、市政府交办的其他事项。</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rPr>
          <w:rFonts w:ascii="仿宋" w:hAnsi="仿宋" w:eastAsia="仿宋"/>
          <w:bCs/>
          <w:sz w:val="32"/>
          <w:szCs w:val="32"/>
        </w:rPr>
      </w:pPr>
      <w:r>
        <w:rPr>
          <w:rFonts w:hint="eastAsia" w:ascii="仿宋" w:hAnsi="仿宋" w:eastAsia="仿宋"/>
          <w:bCs/>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共享，提高公共服务水平。</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72" w:firstLineChars="210"/>
        <w:textAlignment w:val="auto"/>
        <w:outlineLvl w:val="2"/>
      </w:pPr>
      <w:r>
        <w:rPr>
          <w:rFonts w:hint="eastAsia" w:ascii="仿宋" w:hAnsi="仿宋" w:eastAsia="仿宋"/>
          <w:bCs/>
          <w:sz w:val="32"/>
          <w:szCs w:val="32"/>
        </w:rPr>
        <w:t>16.有关职责分工。高校毕业生就业政策由市人力资源社会保障局牵头，会同教育等部门拟订。高校毕业生离校前的就业指导和服务工作，由教育部门负责；高校毕业生离校后的就业指导和服务工作，由市人力资源社会保障局负责。</w:t>
      </w:r>
    </w:p>
    <w:p>
      <w:pPr>
        <w:pStyle w:val="3"/>
        <w:rPr>
          <w:rFonts w:ascii="黑体" w:hAnsi="黑体" w:eastAsia="黑体"/>
          <w:b w:val="0"/>
        </w:rPr>
      </w:pPr>
      <w:bookmarkStart w:id="21" w:name="_Toc24371"/>
      <w:r>
        <w:rPr>
          <w:rFonts w:hint="eastAsia" w:ascii="黑体" w:hAnsi="黑体" w:eastAsia="黑体"/>
          <w:b w:val="0"/>
        </w:rPr>
        <w:t>二、2021年重点工作</w:t>
      </w:r>
      <w:bookmarkEnd w:id="19"/>
      <w:bookmarkEnd w:id="20"/>
      <w:r>
        <w:rPr>
          <w:rFonts w:hint="eastAsia" w:ascii="黑体" w:hAnsi="黑体" w:eastAsia="黑体"/>
          <w:b w:val="0"/>
        </w:rPr>
        <w:t>完成情况</w:t>
      </w:r>
      <w:bookmarkEnd w:id="21"/>
    </w:p>
    <w:p>
      <w:pPr>
        <w:spacing w:line="530" w:lineRule="exact"/>
        <w:ind w:firstLine="640" w:firstLineChars="200"/>
        <w:rPr>
          <w:rFonts w:ascii="仿宋" w:hAnsi="仿宋" w:eastAsia="仿宋"/>
          <w:kern w:val="0"/>
          <w:sz w:val="32"/>
          <w:szCs w:val="32"/>
        </w:rPr>
      </w:pPr>
      <w:r>
        <w:rPr>
          <w:rFonts w:hint="eastAsia" w:ascii="仿宋_GB2312" w:eastAsia="仿宋_GB2312"/>
          <w:sz w:val="32"/>
          <w:szCs w:val="32"/>
        </w:rPr>
        <w:t>2021年，我局深入贯彻习近平总书记系列重要讲话和指示批示精神，全面落实市第八次党代会、市“两会”决策部署，全力推进系统“六大任务”，目标任务全面或超额完成。全市城镇新增就业3.7万人，完成目标任务的107.55%，城镇登记失业率3.4%；农民工转移就业96.53万人，实现劳务收入270亿元。争取就业创业补助资金23196万元。城镇职工基本养老、工伤、失业保险分别参保66.35万、21.3万、16.09万人。城乡居民基本养老保险覆盖123.91万人。引进第十三批高层次人才104名，入选第十三批省学术和技术带头人2名，申报聘用专业技术二级岗位人选2名。劳动保障监察举报投诉案件到期结案率100%，劳动人事争议案件结案率95.6％、调解成功率70.3％。人才扶贫等工作在全省交流经验6次。农民工工作连续第三年受到省委、省政府通报表扬，我局被推荐表彰为“全国根治拖欠农民工工资工作先进集体”。</w:t>
      </w:r>
      <w:r>
        <w:rPr>
          <w:rFonts w:ascii="仿宋" w:hAnsi="仿宋" w:eastAsia="仿宋"/>
          <w:sz w:val="32"/>
          <w:szCs w:val="32"/>
        </w:rPr>
        <w:br w:type="page"/>
      </w:r>
    </w:p>
    <w:p>
      <w:pPr>
        <w:pStyle w:val="2"/>
        <w:ind w:right="440"/>
        <w:jc w:val="center"/>
        <w:rPr>
          <w:rStyle w:val="28"/>
          <w:rFonts w:ascii="黑体" w:hAnsi="黑体" w:eastAsia="黑体"/>
          <w:b w:val="0"/>
          <w:bCs/>
        </w:rPr>
      </w:pPr>
      <w:bookmarkStart w:id="22" w:name="_Toc15396602"/>
      <w:bookmarkStart w:id="23" w:name="_Toc15377204"/>
      <w:bookmarkStart w:id="24" w:name="_Toc25725"/>
      <w:bookmarkStart w:id="25" w:name="_Toc30451"/>
      <w:r>
        <w:rPr>
          <w:rFonts w:hint="eastAsia" w:ascii="黑体" w:hAnsi="黑体" w:eastAsia="黑体"/>
          <w:b w:val="0"/>
        </w:rPr>
        <w:t>第二部分 2021年度</w:t>
      </w:r>
      <w:r>
        <w:rPr>
          <w:rStyle w:val="28"/>
          <w:rFonts w:hint="eastAsia" w:ascii="黑体" w:hAnsi="黑体" w:eastAsia="黑体"/>
          <w:b w:val="0"/>
          <w:bCs/>
        </w:rPr>
        <w:t>单位决算情况说明</w:t>
      </w:r>
      <w:bookmarkEnd w:id="22"/>
      <w:bookmarkEnd w:id="23"/>
      <w:bookmarkEnd w:id="24"/>
      <w:bookmarkEnd w:id="25"/>
    </w:p>
    <w:p/>
    <w:p>
      <w:pPr>
        <w:pStyle w:val="27"/>
        <w:numPr>
          <w:ilvl w:val="0"/>
          <w:numId w:val="2"/>
        </w:numPr>
        <w:spacing w:line="600" w:lineRule="exact"/>
        <w:ind w:firstLineChars="0"/>
        <w:outlineLvl w:val="1"/>
        <w:rPr>
          <w:rStyle w:val="29"/>
          <w:rFonts w:ascii="黑体" w:hAnsi="黑体" w:eastAsia="黑体"/>
          <w:b w:val="0"/>
        </w:rPr>
      </w:pPr>
      <w:bookmarkStart w:id="26" w:name="_Toc24507"/>
      <w:bookmarkStart w:id="27" w:name="_Toc15396603"/>
      <w:bookmarkStart w:id="28"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6"/>
      <w:bookmarkEnd w:id="27"/>
      <w:bookmarkEnd w:id="28"/>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2021年度收、支总计2953.96万元。与2020年相比，收、支总计各增加330.78万元，增长12.61</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w:t>
      </w:r>
      <w:r>
        <w:rPr>
          <w:rFonts w:hint="eastAsia" w:ascii="仿宋" w:hAnsi="仿宋" w:eastAsia="仿宋"/>
          <w:sz w:val="32"/>
          <w:szCs w:val="32"/>
        </w:rPr>
        <w:t>一是</w:t>
      </w:r>
      <w:r>
        <w:rPr>
          <w:rFonts w:hint="eastAsia" w:ascii="仿宋" w:hAnsi="仿宋" w:eastAsia="仿宋" w:cs="宋体"/>
          <w:kern w:val="0"/>
          <w:sz w:val="32"/>
          <w:szCs w:val="32"/>
        </w:rPr>
        <w:t>2021年较2020年新增“一卡通”阳光审批建设采购项目资金300万元；二是人员增多，公用经费和人员经费相应增加</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pStyle w:val="5"/>
        <w:spacing w:before="93"/>
        <w:jc w:val="center"/>
      </w:pPr>
      <w:r>
        <w:drawing>
          <wp:inline distT="0" distB="0" distL="114300" distR="114300">
            <wp:extent cx="4171315" cy="2613025"/>
            <wp:effectExtent l="4445" t="5080" r="15240"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7"/>
        <w:numPr>
          <w:ilvl w:val="0"/>
          <w:numId w:val="2"/>
        </w:numPr>
        <w:spacing w:line="600" w:lineRule="exact"/>
        <w:ind w:firstLineChars="0"/>
        <w:outlineLvl w:val="1"/>
        <w:rPr>
          <w:rStyle w:val="29"/>
          <w:rFonts w:ascii="黑体" w:hAnsi="黑体" w:eastAsia="黑体"/>
          <w:b w:val="0"/>
        </w:rPr>
      </w:pPr>
      <w:bookmarkStart w:id="29" w:name="_Toc15377206"/>
      <w:bookmarkStart w:id="30" w:name="_Toc15396604"/>
      <w:bookmarkStart w:id="31" w:name="_Toc9504"/>
      <w:r>
        <w:rPr>
          <w:rFonts w:hint="eastAsia" w:ascii="黑体" w:hAnsi="黑体" w:eastAsia="黑体"/>
          <w:sz w:val="32"/>
          <w:szCs w:val="32"/>
        </w:rPr>
        <w:t>收</w:t>
      </w:r>
      <w:r>
        <w:rPr>
          <w:rStyle w:val="29"/>
          <w:rFonts w:hint="eastAsia" w:ascii="黑体" w:hAnsi="黑体" w:eastAsia="黑体"/>
          <w:b w:val="0"/>
        </w:rPr>
        <w:t>入决算情况说明</w:t>
      </w:r>
      <w:bookmarkEnd w:id="29"/>
      <w:bookmarkEnd w:id="30"/>
      <w:bookmarkEnd w:id="31"/>
    </w:p>
    <w:p>
      <w:pPr>
        <w:spacing w:line="600" w:lineRule="exact"/>
        <w:ind w:firstLine="640" w:firstLineChars="200"/>
        <w:outlineLvl w:val="1"/>
        <w:rPr>
          <w:rFonts w:ascii="仿宋" w:hAnsi="仿宋" w:eastAsia="仿宋"/>
          <w:sz w:val="32"/>
          <w:szCs w:val="32"/>
        </w:rPr>
      </w:pPr>
      <w:bookmarkStart w:id="32" w:name="_Toc26182"/>
      <w:r>
        <w:rPr>
          <w:rFonts w:ascii="仿宋" w:hAnsi="仿宋" w:eastAsia="仿宋"/>
          <w:sz w:val="32"/>
          <w:szCs w:val="32"/>
        </w:rPr>
        <w:t>20</w:t>
      </w:r>
      <w:r>
        <w:rPr>
          <w:rFonts w:hint="eastAsia" w:ascii="仿宋" w:hAnsi="仿宋" w:eastAsia="仿宋"/>
          <w:sz w:val="32"/>
          <w:szCs w:val="32"/>
        </w:rPr>
        <w:t>21年本年收入合计2547.98万元，全部为一般公共预算财政拨款收入，占100</w:t>
      </w:r>
      <w:r>
        <w:rPr>
          <w:rFonts w:ascii="仿宋" w:hAnsi="仿宋" w:eastAsia="仿宋"/>
          <w:sz w:val="32"/>
          <w:szCs w:val="32"/>
        </w:rPr>
        <w:t>%</w:t>
      </w:r>
      <w:r>
        <w:rPr>
          <w:rFonts w:hint="eastAsia" w:ascii="仿宋" w:hAnsi="仿宋" w:eastAsia="仿宋"/>
          <w:sz w:val="32"/>
          <w:szCs w:val="32"/>
        </w:rPr>
        <w:t>。</w:t>
      </w:r>
      <w:bookmarkEnd w:id="32"/>
    </w:p>
    <w:p>
      <w:pPr>
        <w:pStyle w:val="5"/>
        <w:spacing w:before="93"/>
      </w:pPr>
    </w:p>
    <w:p>
      <w:pPr>
        <w:pStyle w:val="5"/>
        <w:spacing w:before="93"/>
        <w:rPr>
          <w:rFonts w:ascii="仿宋" w:hAnsi="仿宋" w:eastAsia="仿宋"/>
          <w:b/>
          <w:sz w:val="32"/>
          <w:szCs w:val="32"/>
        </w:rPr>
      </w:pPr>
    </w:p>
    <w:p>
      <w:pPr>
        <w:pStyle w:val="5"/>
        <w:spacing w:before="93"/>
        <w:jc w:val="center"/>
      </w:pPr>
      <w:r>
        <w:pict>
          <v:shape id="_x0000_s1026" o:spid="_x0000_s1026" o:spt="32" type="#_x0000_t32" style="position:absolute;left:0pt;flip:x;margin-left:244.3pt;margin-top:60.65pt;height:28.05pt;width:44.5pt;z-index:251660288;mso-width-relative:page;mso-height-relative:page;" filled="f" stroked="t" coordsize="21600,21600" o:gfxdata="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KLXOdkAAAALAQAADwAAAAAAAAABACAAAAAiAAAAZHJzL2Rvd25yZXYu&#10;eG1sUEsBAhQAFAAAAAgAh07iQCKSkXIzAgAALAQAAA4AAAAAAAAAAQAgAAAAKAEAAGRycy9lMm9E&#10;b2MueG1sUEsFBgAAAAAGAAYAWQEAAM0FAAAAAA==&#10;">
            <v:path arrowok="t"/>
            <v:fill on="f" focussize="0,0"/>
            <v:stroke color="#000000" endarrow="open"/>
            <v:imagedata o:title=""/>
            <o:lock v:ext="edit"/>
          </v:shape>
        </w:pict>
      </w:r>
      <w:r>
        <w:pict>
          <v:shape id="_x0000_s1041" o:spid="_x0000_s1041" o:spt="202" type="#_x0000_t202" style="position:absolute;left:0pt;margin-left:280.7pt;margin-top:23.6pt;height:93.95pt;width:77.5pt;z-index:251659264;mso-width-relative:page;mso-height-relative:page;" filled="f" stroked="f" coordsize="21600,21600" o:gfxdata="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W81D/cAAAACgEAAA8AAAAAAAAA&#10;AQAgAAAAIgAAAGRycy9kb3ducmV2LnhtbFBLAQIUABQAAAAIAIdO4kBJwOMIRgIAAHIEAAAOAAAA&#10;AAAAAAEAIAAAACsBAABkcnMvZTJvRG9jLnhtbFBLBQYAAAAABgAGAFkBAADjBQAAAAA=&#10;">
            <v:path/>
            <v:fill on="f" focussize="0,0"/>
            <v:stroke on="f" weight="0.5pt" joinstyle="miter"/>
            <v:imagedata o:title=""/>
            <o:lock v:ext="edit"/>
            <v:textbox>
              <w:txbxContent>
                <w:p>
                  <w:r>
                    <w:rPr>
                      <w:rFonts w:hint="eastAsia"/>
                    </w:rPr>
                    <w:t>一般公共预算财政拨款收入2547.98万元，占本年收入合计100%</w:t>
                  </w:r>
                </w:p>
                <w:p/>
              </w:txbxContent>
            </v:textbox>
          </v:shape>
        </w:pict>
      </w:r>
      <w:r>
        <w:drawing>
          <wp:inline distT="0" distB="0" distL="114300" distR="114300">
            <wp:extent cx="4344670" cy="2317115"/>
            <wp:effectExtent l="6350" t="6350" r="11430" b="1968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5"/>
        <w:spacing w:before="93"/>
        <w:jc w:val="center"/>
        <w:rPr>
          <w:sz w:val="32"/>
          <w:szCs w:val="32"/>
        </w:rPr>
      </w:pPr>
      <w:r>
        <w:rPr>
          <w:rFonts w:hint="eastAsia" w:ascii="仿宋" w:hAnsi="仿宋" w:eastAsia="仿宋"/>
          <w:sz w:val="32"/>
          <w:szCs w:val="32"/>
        </w:rPr>
        <w:t>（图2：收入决算结构图）</w:t>
      </w:r>
    </w:p>
    <w:p>
      <w:pPr>
        <w:pStyle w:val="27"/>
        <w:numPr>
          <w:ilvl w:val="0"/>
          <w:numId w:val="2"/>
        </w:numPr>
        <w:spacing w:line="600" w:lineRule="exact"/>
        <w:ind w:firstLineChars="0"/>
        <w:outlineLvl w:val="1"/>
        <w:rPr>
          <w:rStyle w:val="29"/>
          <w:rFonts w:ascii="黑体" w:hAnsi="黑体" w:eastAsia="黑体"/>
          <w:b w:val="0"/>
        </w:rPr>
      </w:pPr>
      <w:bookmarkStart w:id="33" w:name="_Toc2754"/>
      <w:bookmarkStart w:id="34" w:name="_Toc15396605"/>
      <w:bookmarkStart w:id="35" w:name="_Toc15377207"/>
      <w:r>
        <w:rPr>
          <w:rFonts w:hint="eastAsia" w:ascii="黑体" w:hAnsi="黑体" w:eastAsia="黑体"/>
          <w:sz w:val="32"/>
          <w:szCs w:val="32"/>
        </w:rPr>
        <w:t>支</w:t>
      </w:r>
      <w:r>
        <w:rPr>
          <w:rStyle w:val="29"/>
          <w:rFonts w:hint="eastAsia" w:ascii="黑体" w:hAnsi="黑体" w:eastAsia="黑体"/>
          <w:b w:val="0"/>
        </w:rPr>
        <w:t>出决算情况说明</w:t>
      </w:r>
      <w:bookmarkEnd w:id="33"/>
      <w:bookmarkEnd w:id="34"/>
      <w:bookmarkEnd w:id="35"/>
    </w:p>
    <w:p>
      <w:pPr>
        <w:spacing w:line="600" w:lineRule="exact"/>
        <w:ind w:firstLine="640" w:firstLineChars="200"/>
        <w:outlineLvl w:val="1"/>
        <w:rPr>
          <w:rFonts w:ascii="仿宋" w:hAnsi="仿宋" w:eastAsia="仿宋"/>
          <w:sz w:val="32"/>
          <w:szCs w:val="32"/>
        </w:rPr>
      </w:pPr>
      <w:bookmarkStart w:id="36" w:name="_Toc20917"/>
      <w:r>
        <w:rPr>
          <w:rFonts w:ascii="仿宋" w:hAnsi="仿宋" w:eastAsia="仿宋"/>
          <w:sz w:val="32"/>
          <w:szCs w:val="32"/>
        </w:rPr>
        <w:t>20</w:t>
      </w:r>
      <w:r>
        <w:rPr>
          <w:rFonts w:hint="eastAsia" w:ascii="仿宋" w:hAnsi="仿宋" w:eastAsia="仿宋"/>
          <w:sz w:val="32"/>
          <w:szCs w:val="32"/>
        </w:rPr>
        <w:t>21年本年支出合计2309.50万元，其中：基本支出1624.49万元，占70.34</w:t>
      </w:r>
      <w:r>
        <w:rPr>
          <w:rFonts w:ascii="仿宋" w:hAnsi="仿宋" w:eastAsia="仿宋"/>
          <w:sz w:val="32"/>
          <w:szCs w:val="32"/>
        </w:rPr>
        <w:t>%</w:t>
      </w:r>
      <w:r>
        <w:rPr>
          <w:rFonts w:hint="eastAsia" w:ascii="仿宋" w:hAnsi="仿宋" w:eastAsia="仿宋"/>
          <w:sz w:val="32"/>
          <w:szCs w:val="32"/>
        </w:rPr>
        <w:t>；项目支出685.01万元，占29.66</w:t>
      </w:r>
      <w:r>
        <w:rPr>
          <w:rFonts w:ascii="仿宋" w:hAnsi="仿宋" w:eastAsia="仿宋"/>
          <w:sz w:val="32"/>
          <w:szCs w:val="32"/>
        </w:rPr>
        <w:t>%</w:t>
      </w:r>
      <w:r>
        <w:rPr>
          <w:rFonts w:hint="eastAsia" w:ascii="仿宋" w:hAnsi="仿宋" w:eastAsia="仿宋"/>
          <w:sz w:val="32"/>
          <w:szCs w:val="32"/>
        </w:rPr>
        <w:t>。</w:t>
      </w:r>
      <w:bookmarkEnd w:id="36"/>
    </w:p>
    <w:p>
      <w:pPr>
        <w:pStyle w:val="5"/>
        <w:spacing w:before="93"/>
        <w:jc w:val="center"/>
      </w:pPr>
      <w:r>
        <w:pict>
          <v:shape id="_x0000_s1040" o:spid="_x0000_s1040" o:spt="202" type="#_x0000_t202" style="position:absolute;left:0pt;margin-left:143.05pt;margin-top:116.95pt;height:44.5pt;width:84.9pt;z-index:251663360;mso-width-relative:page;mso-height-relative:page;" filled="f" stroked="f" coordsize="21600,21600" o:gfxdata="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sSzTJ3AAAAAsBAAAPAAAAAAAA&#10;AAEAIAAAACIAAABkcnMvZG93bnJldi54bWxQSwECFAAUAAAACACHTuJAzI8pVkcCAAByBAAADgAA&#10;AAAAAAABACAAAAArAQAAZHJzL2Uyb0RvYy54bWxQSwUGAAAAAAYABgBZAQAA5AUAAAAA&#10;">
            <v:path/>
            <v:fill on="f" focussize="0,0"/>
            <v:stroke on="f" weight="0.5pt" joinstyle="miter"/>
            <v:imagedata o:title=""/>
            <o:lock v:ext="edit"/>
            <v:textbox>
              <w:txbxContent>
                <w:p>
                  <w:r>
                    <w:rPr>
                      <w:rFonts w:hint="eastAsia"/>
                    </w:rPr>
                    <w:t>1624.49万元，占比70.34%</w:t>
                  </w:r>
                </w:p>
              </w:txbxContent>
            </v:textbox>
          </v:shape>
        </w:pict>
      </w:r>
      <w:r>
        <w:pict>
          <v:shape id="_x0000_s1039" o:spid="_x0000_s1039" o:spt="32" type="#_x0000_t32" style="position:absolute;left:0pt;margin-left:129.05pt;margin-top:46pt;height:37.95pt;width:18.95pt;z-index:251662336;mso-width-relative:page;mso-height-relative:page;" filled="f" stroked="t" coordsize="21600,21600" o:gfxdata="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II85dgAAAAKAQAADwAAAAAAAAABACAAAAAiAAAA&#10;ZHJzL2Rvd25yZXYueG1sUEsBAhQAFAAAAAgAh07iQALx1M0HAgAA1wMAAA4AAAAAAAAAAQAgAAAA&#10;JwEAAGRycy9lMm9Eb2MueG1sUEsFBgAAAAAGAAYAWQEAAKAFAAAAAA==&#10;">
            <v:path arrowok="t"/>
            <v:fill on="f" focussize="0,0"/>
            <v:stroke color="#000000" endarrow="open"/>
            <v:imagedata o:title=""/>
            <o:lock v:ext="edit"/>
          </v:shape>
        </w:pict>
      </w:r>
      <w:r>
        <w:pict>
          <v:shape id="_x0000_s1038" o:spid="_x0000_s1038" o:spt="202" type="#_x0000_t202" style="position:absolute;left:0pt;margin-left:74.65pt;margin-top:9.8pt;height:40.4pt;width:80.85pt;z-index:251661312;mso-width-relative:page;mso-height-relative:page;" filled="f" stroked="f" coordsize="21600,21600" o:gfxdata="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jvzn62gAAAAoBAAAPAAAAAAAAAAEA&#10;IAAAACIAAABkcnMvZG93bnJldi54bWxQSwECFAAUAAAACACHTuJAexSmMUYCAAByBAAADgAAAAAA&#10;AAABACAAAAApAQAAZHJzL2Uyb0RvYy54bWxQSwUGAAAAAAYABgBZAQAA4QUAAAAA&#10;">
            <v:path/>
            <v:fill on="f" focussize="0,0"/>
            <v:stroke on="f" weight="0.5pt" joinstyle="miter"/>
            <v:imagedata o:title=""/>
            <o:lock v:ext="edit"/>
            <v:textbox>
              <w:txbxContent>
                <w:p>
                  <w:r>
                    <w:rPr>
                      <w:rFonts w:hint="eastAsia"/>
                    </w:rPr>
                    <w:t>685.01万元，占比29.66%</w:t>
                  </w:r>
                </w:p>
              </w:txbxContent>
            </v:textbox>
          </v:shape>
        </w:pict>
      </w:r>
      <w:r>
        <w:drawing>
          <wp:inline distT="0" distB="0" distL="114300" distR="114300">
            <wp:extent cx="4420235" cy="2160905"/>
            <wp:effectExtent l="6350" t="6350" r="12065" b="2349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9"/>
          <w:rFonts w:ascii="黑体" w:hAnsi="黑体" w:eastAsia="黑体"/>
          <w:b w:val="0"/>
        </w:rPr>
      </w:pPr>
      <w:bookmarkStart w:id="37" w:name="_Toc23316"/>
      <w:bookmarkStart w:id="38" w:name="_Toc15377208"/>
      <w:bookmarkStart w:id="39"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7"/>
      <w:bookmarkEnd w:id="38"/>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21年财政拨款收、支总计2953.57万元。与</w:t>
      </w:r>
      <w:r>
        <w:rPr>
          <w:rFonts w:ascii="仿宋" w:hAnsi="仿宋" w:eastAsia="仿宋"/>
          <w:sz w:val="32"/>
          <w:szCs w:val="32"/>
        </w:rPr>
        <w:t>20</w:t>
      </w:r>
      <w:r>
        <w:rPr>
          <w:rFonts w:hint="eastAsia" w:ascii="仿宋" w:hAnsi="仿宋" w:eastAsia="仿宋"/>
          <w:sz w:val="32"/>
          <w:szCs w:val="32"/>
        </w:rPr>
        <w:t>20年相比，财政拨款收、支总计各增加330.79万元，增长12.61</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w:t>
      </w:r>
      <w:r>
        <w:rPr>
          <w:rFonts w:hint="eastAsia" w:ascii="仿宋" w:hAnsi="仿宋" w:eastAsia="仿宋"/>
          <w:sz w:val="32"/>
          <w:szCs w:val="32"/>
        </w:rPr>
        <w:t>一是</w:t>
      </w:r>
      <w:r>
        <w:rPr>
          <w:rFonts w:hint="eastAsia" w:ascii="仿宋" w:hAnsi="仿宋" w:eastAsia="仿宋" w:cs="宋体"/>
          <w:kern w:val="0"/>
          <w:sz w:val="32"/>
          <w:szCs w:val="32"/>
        </w:rPr>
        <w:t>2021年较2020年新增“一卡通”阳光审批建设采购资金项目300万元；二是人员增多，公用经费和人员经费相应增加</w:t>
      </w:r>
      <w:r>
        <w:rPr>
          <w:rFonts w:hint="eastAsia" w:ascii="仿宋" w:hAnsi="仿宋" w:eastAsia="仿宋"/>
          <w:sz w:val="32"/>
          <w:szCs w:val="32"/>
        </w:rPr>
        <w:t>。</w:t>
      </w:r>
    </w:p>
    <w:p>
      <w:pPr>
        <w:pStyle w:val="5"/>
        <w:spacing w:before="93"/>
        <w:jc w:val="center"/>
        <w:rPr>
          <w:rFonts w:ascii="仿宋" w:hAnsi="仿宋" w:eastAsia="仿宋"/>
          <w:sz w:val="32"/>
          <w:szCs w:val="32"/>
        </w:rPr>
      </w:pPr>
      <w:r>
        <w:pict>
          <v:shape id="_x0000_s1037" o:spid="_x0000_s1037" o:spt="202" type="#_x0000_t202" style="position:absolute;left:0pt;margin-left:103.55pt;margin-top:76.1pt;height:31.3pt;width:75.8pt;z-index:251664384;mso-width-relative:page;mso-height-relative:page;" filled="f" stroked="f" coordsize="21600,21600" o:gfxdata="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M54U7bAAAACwEAAA8AAAAAAAAA&#10;AQAgAAAAIgAAAGRycy9kb3ducmV2LnhtbFBLAQIUABQAAAAIAIdO4kC2ZgwXRwIAAHMEAAAOAAAA&#10;AAAAAAEAIAAAACoBAABkcnMvZTJvRG9jLnhtbFBLBQYAAAAABgAGAFkBAADjBQAAAAA=&#10;">
            <v:path/>
            <v:fill on="f" focussize="0,0"/>
            <v:stroke on="f" weight="0.5pt" joinstyle="miter"/>
            <v:imagedata o:title=""/>
            <o:lock v:ext="edit"/>
            <v:textbox>
              <w:txbxContent>
                <w:p>
                  <w:r>
                    <w:rPr>
                      <w:rFonts w:hint="eastAsia"/>
                    </w:rPr>
                    <w:t>2622.78万元</w:t>
                  </w:r>
                </w:p>
              </w:txbxContent>
            </v:textbox>
          </v:shape>
        </w:pict>
      </w:r>
      <w:r>
        <w:pict>
          <v:shape id="_x0000_s1036" o:spid="_x0000_s1036" o:spt="202" type="#_x0000_t202" style="position:absolute;left:0pt;margin-left:256.8pt;margin-top:10.15pt;height:23.15pt;width:84.9pt;z-index:251665408;mso-width-relative:page;mso-height-relative:page;" filled="f" stroked="f" coordsize="21600,21600" o:gfxdata="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4DNc2wAAAAkBAAAPAAAAAAAA&#10;AAEAIAAAACIAAABkcnMvZG93bnJldi54bWxQSwECFAAUAAAACACHTuJAwmQ9/kgCAAB0BAAADgAA&#10;AAAAAAABACAAAAAqAQAAZHJzL2Uyb0RvYy54bWxQSwUGAAAAAAYABgBZAQAA5AUAAAAA&#10;">
            <v:path/>
            <v:fill on="f" focussize="0,0"/>
            <v:stroke on="f" weight="0.5pt" joinstyle="miter"/>
            <v:imagedata o:title=""/>
            <o:lock v:ext="edit"/>
            <v:textbox>
              <w:txbxContent>
                <w:p>
                  <w:r>
                    <w:rPr>
                      <w:rFonts w:hint="eastAsia"/>
                    </w:rPr>
                    <w:t>2953.57万元</w:t>
                  </w:r>
                </w:p>
              </w:txbxContent>
            </v:textbox>
          </v:shape>
        </w:pict>
      </w:r>
      <w:r>
        <w:drawing>
          <wp:inline distT="0" distB="0" distL="114300" distR="114300">
            <wp:extent cx="4509770" cy="2028825"/>
            <wp:effectExtent l="6350" t="6350" r="17780" b="2222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9"/>
          <w:rFonts w:ascii="黑体" w:hAnsi="黑体" w:eastAsia="黑体"/>
          <w:b w:val="0"/>
        </w:rPr>
      </w:pPr>
      <w:bookmarkStart w:id="40" w:name="_Toc15396607"/>
      <w:bookmarkStart w:id="41" w:name="_Toc29184"/>
      <w:bookmarkStart w:id="42"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40"/>
      <w:bookmarkEnd w:id="41"/>
      <w:bookmarkEnd w:id="42"/>
    </w:p>
    <w:p>
      <w:pPr>
        <w:spacing w:line="600" w:lineRule="exact"/>
        <w:ind w:firstLine="640" w:firstLineChars="200"/>
        <w:outlineLvl w:val="2"/>
        <w:rPr>
          <w:rFonts w:ascii="仿宋" w:hAnsi="仿宋" w:eastAsia="仿宋"/>
          <w:b/>
          <w:sz w:val="32"/>
          <w:szCs w:val="32"/>
        </w:rPr>
      </w:pPr>
      <w:bookmarkStart w:id="43" w:name="_Toc15377210"/>
      <w:r>
        <w:rPr>
          <w:rFonts w:hint="eastAsia" w:ascii="仿宋" w:hAnsi="仿宋" w:eastAsia="仿宋"/>
          <w:b/>
          <w:sz w:val="32"/>
          <w:szCs w:val="32"/>
        </w:rPr>
        <w:t>（一）一般公共预算财政拨款支出决算总体情况</w:t>
      </w:r>
      <w:bookmarkEnd w:id="43"/>
    </w:p>
    <w:p>
      <w:pPr>
        <w:spacing w:line="600" w:lineRule="exact"/>
        <w:ind w:firstLine="640"/>
      </w:pPr>
      <w:r>
        <w:rPr>
          <w:rFonts w:ascii="仿宋" w:hAnsi="仿宋" w:eastAsia="仿宋"/>
          <w:sz w:val="32"/>
          <w:szCs w:val="32"/>
        </w:rPr>
        <w:t>20</w:t>
      </w:r>
      <w:r>
        <w:rPr>
          <w:rFonts w:hint="eastAsia" w:ascii="仿宋" w:hAnsi="仿宋" w:eastAsia="仿宋"/>
          <w:sz w:val="32"/>
          <w:szCs w:val="32"/>
        </w:rPr>
        <w:t>21年一般公共预算财政拨款支出2309.17万元，占本年支出合计的100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20年相比，一般公共预算财政拨款支出增加91.76万元，增长4.14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宋体"/>
          <w:kern w:val="0"/>
          <w:sz w:val="32"/>
          <w:szCs w:val="32"/>
        </w:rPr>
        <w:t>新增“一卡通”阳光审批建设采购资金项目部分支出；二是人员增多，公用经费支出和人员经费支出增加。</w:t>
      </w:r>
    </w:p>
    <w:p>
      <w:pPr>
        <w:pStyle w:val="5"/>
        <w:spacing w:before="93"/>
        <w:jc w:val="center"/>
        <w:rPr>
          <w:rFonts w:ascii="仿宋" w:hAnsi="仿宋" w:eastAsia="仿宋"/>
          <w:sz w:val="32"/>
          <w:szCs w:val="32"/>
        </w:rPr>
      </w:pPr>
      <w:r>
        <w:drawing>
          <wp:inline distT="0" distB="0" distL="114300" distR="114300">
            <wp:extent cx="4279265" cy="2207260"/>
            <wp:effectExtent l="6350" t="6350" r="19685" b="15240"/>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pict>
          <v:shape id="_x0000_s1035" o:spid="_x0000_s1035" o:spt="202" type="#_x0000_t202" style="position:absolute;left:0pt;margin-left:106.05pt;margin-top:88.4pt;height:23.1pt;width:69.2pt;z-index:251666432;mso-width-relative:page;mso-height-relative:page;" filled="f" stroked="f" coordsize="21600,21600" o:gfxdata="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pxlmtoAAAALAQAADwAAAAAAAAAB&#10;ACAAAAAiAAAAZHJzL2Rvd25yZXYueG1sUEsBAhQAFAAAAAgAh07iQNyq0XdHAgAAcwQAAA4AAAAA&#10;AAAAAQAgAAAAKQEAAGRycy9lMm9Eb2MueG1sUEsFBgAAAAAGAAYAWQEAAOIFAAAAAA==&#10;">
            <v:path/>
            <v:fill on="f" focussize="0,0"/>
            <v:stroke on="f" weight="0.5pt" joinstyle="miter"/>
            <v:imagedata o:title=""/>
            <o:lock v:ext="edit"/>
            <v:textbox>
              <w:txbxContent>
                <w:p>
                  <w:r>
                    <w:rPr>
                      <w:rFonts w:hint="eastAsia"/>
                    </w:rPr>
                    <w:t>2217.4万元</w:t>
                  </w:r>
                </w:p>
              </w:txbxContent>
            </v:textbox>
          </v:shape>
        </w:pict>
      </w:r>
      <w:r>
        <w:pict>
          <v:shape id="_x0000_s1034" o:spid="_x0000_s1034" o:spt="202" type="#_x0000_t202" style="position:absolute;left:0pt;margin-left:254.4pt;margin-top:13.45pt;height:21.4pt;width:72.55pt;z-index:251667456;mso-width-relative:page;mso-height-relative:page;" filled="f" stroked="f" coordsize="21600,21600" o:gfxdata="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khiv9oAAAAJAQAADwAAAAAAAAAB&#10;ACAAAAAiAAAAZHJzL2Rvd25yZXYueG1sUEsBAhQAFAAAAAgAh07iQD9HjX1HAgAAcwQAAA4AAAAA&#10;AAAAAQAgAAAAKQEAAGRycy9lMm9Eb2MueG1sUEsFBgAAAAAGAAYAWQEAAOIFAAAAAA==&#10;">
            <v:path/>
            <v:fill on="f" focussize="0,0"/>
            <v:stroke on="f" weight="0.5pt" joinstyle="miter"/>
            <v:imagedata o:title=""/>
            <o:lock v:ext="edit"/>
            <v:textbox>
              <w:txbxContent>
                <w:p>
                  <w:pPr>
                    <w:rPr>
                      <w:color w:val="000000" w:themeColor="text1"/>
                    </w:rPr>
                  </w:pPr>
                  <w:r>
                    <w:rPr>
                      <w:rFonts w:hint="eastAsia"/>
                      <w:color w:val="000000" w:themeColor="text1"/>
                    </w:rPr>
                    <w:t>2309.17万元</w:t>
                  </w:r>
                </w:p>
              </w:txbxContent>
            </v:textbox>
          </v:shape>
        </w:pict>
      </w:r>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outlineLvl w:val="2"/>
        <w:rPr>
          <w:rFonts w:ascii="仿宋" w:hAnsi="仿宋" w:eastAsia="仿宋"/>
          <w:b/>
          <w:sz w:val="32"/>
          <w:szCs w:val="32"/>
        </w:rPr>
      </w:pPr>
      <w:bookmarkStart w:id="44" w:name="_Toc15377211"/>
      <w:r>
        <w:rPr>
          <w:rFonts w:hint="eastAsia" w:ascii="仿宋" w:hAnsi="仿宋" w:eastAsia="仿宋"/>
          <w:b/>
          <w:sz w:val="32"/>
          <w:szCs w:val="32"/>
        </w:rPr>
        <w:t>（二）一般公共预算财政拨款支出决算结构情况</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21年一般公共预算财政拨款支出2309.17万元，主要用于以下方面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支出16.8万元，占0.73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支出2129.3</w:t>
      </w:r>
      <w:r>
        <w:rPr>
          <w:rFonts w:hint="eastAsia" w:ascii="仿宋" w:hAnsi="仿宋" w:eastAsia="仿宋"/>
          <w:sz w:val="32"/>
          <w:szCs w:val="32"/>
          <w:lang w:val="en-US" w:eastAsia="zh-CN"/>
        </w:rPr>
        <w:t>7</w:t>
      </w:r>
      <w:r>
        <w:rPr>
          <w:rFonts w:hint="eastAsia" w:ascii="仿宋" w:hAnsi="仿宋" w:eastAsia="仿宋"/>
          <w:sz w:val="32"/>
          <w:szCs w:val="32"/>
        </w:rPr>
        <w:t>万元，占92.21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48.1</w:t>
      </w:r>
      <w:r>
        <w:rPr>
          <w:rFonts w:hint="eastAsia" w:ascii="仿宋" w:hAnsi="仿宋" w:eastAsia="仿宋"/>
          <w:sz w:val="32"/>
          <w:szCs w:val="32"/>
          <w:lang w:val="en-US" w:eastAsia="zh-CN"/>
        </w:rPr>
        <w:t>6</w:t>
      </w:r>
      <w:r>
        <w:rPr>
          <w:rFonts w:hint="eastAsia" w:ascii="仿宋" w:hAnsi="仿宋" w:eastAsia="仿宋"/>
          <w:sz w:val="32"/>
          <w:szCs w:val="32"/>
        </w:rPr>
        <w:t>万元，占2.09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住房保障支出</w:t>
      </w:r>
      <w:r>
        <w:rPr>
          <w:rFonts w:hint="eastAsia" w:ascii="仿宋" w:hAnsi="仿宋" w:eastAsia="仿宋"/>
          <w:sz w:val="32"/>
          <w:szCs w:val="32"/>
        </w:rPr>
        <w:t>114.82万元，占4.97</w:t>
      </w:r>
      <w:r>
        <w:rPr>
          <w:rFonts w:ascii="仿宋" w:hAnsi="仿宋" w:eastAsia="仿宋"/>
          <w:sz w:val="32"/>
          <w:szCs w:val="32"/>
        </w:rPr>
        <w:t>%</w:t>
      </w:r>
      <w:r>
        <w:rPr>
          <w:rFonts w:hint="eastAsia" w:ascii="仿宋" w:hAnsi="仿宋" w:eastAsia="仿宋"/>
          <w:sz w:val="32"/>
          <w:szCs w:val="32"/>
        </w:rPr>
        <w:t>。</w:t>
      </w:r>
    </w:p>
    <w:p>
      <w:pPr>
        <w:pStyle w:val="5"/>
        <w:spacing w:beforeLines="0"/>
      </w:pPr>
    </w:p>
    <w:p>
      <w:pPr>
        <w:pStyle w:val="5"/>
        <w:spacing w:beforeLines="0"/>
        <w:jc w:val="center"/>
      </w:pPr>
      <w:r>
        <w:pict>
          <v:shape id="_x0000_s1033" o:spid="_x0000_s1033" o:spt="32" type="#_x0000_t32" style="position:absolute;left:0pt;flip:x y;margin-left:139.8pt;margin-top:39.65pt;height:12.8pt;width:85.7pt;z-index:251674624;mso-width-relative:page;mso-height-relative:page;" filled="f" stroked="t" coordsize="21600,21600" o:gfxdata="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dNIkdgAAAAKAQAADwAAAAAAAAAB&#10;ACAAAAAiAAAAZHJzL2Rvd25yZXYueG1sUEsBAhQAFAAAAAgAh07iQH4RGjlJAgAAYAQAAA4AAAAA&#10;AAAAAQAgAAAAJwEAAGRycy9lMm9Eb2MueG1sUEsFBgAAAAAGAAYAWQEAAOIFAAAAAA==&#10;">
            <v:path arrowok="t"/>
            <v:fill on="f" focussize="0,0"/>
            <v:stroke color="#000000" endarrow="open"/>
            <v:imagedata o:title=""/>
            <o:lock v:ext="edit"/>
          </v:shape>
        </w:pict>
      </w:r>
      <w:r>
        <w:pict>
          <v:shape id="_x0000_s1032" o:spid="_x0000_s1032" o:spt="202" type="#_x0000_t202" style="position:absolute;left:0pt;margin-left:225.5pt;margin-top:41.3pt;height:22.3pt;width:68.4pt;z-index:251673600;mso-width-relative:page;mso-height-relative:page;" fillcolor="#FFFFFF" filled="t" stroked="f" coordsize="21600,21600" o:gfxdata="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Q6aznW&#10;AAAACgEAAA8AAAAAAAAAAQAgAAAAIgAAAGRycy9kb3ducmV2LnhtbFBLAQIUABQAAAAIAIdO4kDf&#10;ly1vWwIAAJwEAAAOAAAAAAAAAAEAIAAAACUBAABkcnMvZTJvRG9jLnhtbFBLBQYAAAAABgAGAFkB&#10;AADyBQAAAAA=&#10;">
            <v:path/>
            <v:fill on="t" focussize="0,0"/>
            <v:stroke on="f" weight="0.5pt" joinstyle="miter"/>
            <v:imagedata o:title=""/>
            <o:lock v:ext="edit"/>
            <v:textbox>
              <w:txbxContent>
                <w:p>
                  <w:r>
                    <w:rPr>
                      <w:rFonts w:hint="eastAsia"/>
                    </w:rPr>
                    <w:t>占4.97%</w:t>
                  </w:r>
                </w:p>
              </w:txbxContent>
            </v:textbox>
          </v:shape>
        </w:pict>
      </w:r>
      <w:r>
        <w:pict>
          <v:shape id="_x0000_s1031" o:spid="_x0000_s1031" o:spt="32" type="#_x0000_t32" style="position:absolute;left:0pt;flip:x;margin-left:119.2pt;margin-top:19.05pt;height:7.4pt;width:67.55pt;z-index:251672576;mso-width-relative:page;mso-height-relative:page;" filled="f" stroked="t" coordsize="21600,21600" o:gfxdata="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vCq7jZAAAACQEAAA8AAAAAAAAAAQAgAAAA&#10;IgAAAGRycy9kb3ducmV2LnhtbFBLAQIUABQAAAAIAIdO4kDHfouqQwIAAFQEAAAOAAAAAAAAAAEA&#10;IAAAACgBAABkcnMvZTJvRG9jLnhtbFBLBQYAAAAABgAGAFkBAADdBQAAAAA=&#10;">
            <v:path arrowok="t"/>
            <v:fill on="f" focussize="0,0"/>
            <v:stroke color="#000000" endarrow="open"/>
            <v:imagedata o:title=""/>
            <o:lock v:ext="edit"/>
          </v:shape>
        </w:pict>
      </w:r>
      <w:r>
        <w:pict>
          <v:shape id="_x0000_s1030" o:spid="_x0000_s1030" o:spt="202" type="#_x0000_t202" style="position:absolute;left:0pt;margin-left:186.75pt;margin-top:7.45pt;height:23.15pt;width:56.95pt;z-index:251671552;mso-width-relative:page;mso-height-relative:page;" filled="f" stroked="f" coordsize="21600,21600" o:gfxdata="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RtZgdsAAAAJAQAADwAAAAAAAAAB&#10;ACAAAAAiAAAAZHJzL2Rvd25yZXYueG1sUEsBAhQAFAAAAAgAh07iQHYhFkVGAgAAcwQAAA4AAAAA&#10;AAAAAQAgAAAAKgEAAGRycy9lMm9Eb2MueG1sUEsFBgAAAAAGAAYAWQEAAOIFAAAAAA==&#10;">
            <v:path/>
            <v:fill on="f" focussize="0,0"/>
            <v:stroke on="f" weight="0.5pt" joinstyle="miter"/>
            <v:imagedata o:title=""/>
            <o:lock v:ext="edit"/>
            <v:textbox>
              <w:txbxContent>
                <w:p>
                  <w:r>
                    <w:rPr>
                      <w:rFonts w:hint="eastAsia"/>
                    </w:rPr>
                    <w:t>占2.09%</w:t>
                  </w:r>
                </w:p>
              </w:txbxContent>
            </v:textbox>
          </v:shape>
        </w:pict>
      </w:r>
      <w:r>
        <w:pict>
          <v:shape id="_x0000_s1029" o:spid="_x0000_s1029" o:spt="202" type="#_x0000_t202" style="position:absolute;left:0pt;margin-left:36.8pt;margin-top:25.65pt;height:27.9pt;width:61.9pt;z-index:251669504;mso-width-relative:page;mso-height-relative:page;" filled="f" stroked="f" coordsize="21600,21600" o:gfxdata="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1O4euNsAAAAJAQAADwAAAAAAAAAB&#10;ACAAAAAiAAAAZHJzL2Rvd25yZXYueG1sUEsBAhQAFAAAAAgAh07iQCG3KJpGAgAAcwQAAA4AAAAA&#10;AAAAAQAgAAAAKgEAAGRycy9lMm9Eb2MueG1sUEsFBgAAAAAGAAYAWQEAAOIFAAAAAA==&#10;">
            <v:path/>
            <v:fill on="f" focussize="0,0"/>
            <v:stroke on="f" weight="0.5pt" joinstyle="miter"/>
            <v:imagedata o:title=""/>
            <o:lock v:ext="edit"/>
            <v:textbox>
              <w:txbxContent>
                <w:p>
                  <w:r>
                    <w:rPr>
                      <w:rFonts w:hint="eastAsia"/>
                    </w:rPr>
                    <w:t>占0.73%</w:t>
                  </w:r>
                </w:p>
              </w:txbxContent>
            </v:textbox>
          </v:shape>
        </w:pict>
      </w:r>
      <w:r>
        <w:pict>
          <v:shape id="_x0000_s1028" o:spid="_x0000_s1028" o:spt="32" type="#_x0000_t32" style="position:absolute;left:0pt;flip:y;margin-left:74.7pt;margin-top:26.4pt;height:6.65pt;width:38.85pt;z-index:251670528;mso-width-relative:page;mso-height-relative:page;" filled="f" stroked="t" coordsize="21600,21600" o:gfxdata="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2BBL9cAAAAJAQAADwAAAAAAAAAB&#10;ACAAAAAiAAAAZHJzL2Rvd25yZXYueG1sUEsBAhQAFAAAAAgAh07iQHxDwoMRAgAA4gMAAA4AAAAA&#10;AAAAAQAgAAAAJgEAAGRycy9lMm9Eb2MueG1sUEsFBgAAAAAGAAYAWQEAAKkFAAAAAA==&#10;">
            <v:path arrowok="t"/>
            <v:fill on="f" focussize="0,0"/>
            <v:stroke color="#000000" endarrow="open"/>
            <v:imagedata o:title=""/>
            <o:lock v:ext="edit"/>
          </v:shape>
        </w:pict>
      </w:r>
      <w:r>
        <w:pict>
          <v:shape id="_x0000_s1027" o:spid="_x0000_s1027" o:spt="202" type="#_x0000_t202" style="position:absolute;left:0pt;margin-left:132.35pt;margin-top:119.6pt;height:23.95pt;width:74.25pt;z-index:251668480;mso-width-relative:page;mso-height-relative:page;" filled="f" stroked="f" coordsize="21600,21600" o:gfxdata="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OjzgR3AAAAAsBAAAPAAAAAAAA&#10;AAEAIAAAACIAAABkcnMvZG93bnJldi54bWxQSwECFAAUAAAACACHTuJAIzHZQkcCAABxBAAADgAA&#10;AAAAAAABACAAAAArAQAAZHJzL2Uyb0RvYy54bWxQSwUGAAAAAAYABgBZAQAA5AUAAAAA&#10;">
            <v:path/>
            <v:fill on="f" focussize="0,0"/>
            <v:stroke on="f" weight="0.5pt" joinstyle="miter"/>
            <v:imagedata o:title=""/>
            <o:lock v:ext="edit"/>
            <v:textbox>
              <w:txbxContent>
                <w:p>
                  <w:r>
                    <w:rPr>
                      <w:rFonts w:hint="eastAsia"/>
                    </w:rPr>
                    <w:t>占92.21%</w:t>
                  </w:r>
                </w:p>
              </w:txbxContent>
            </v:textbox>
          </v:shape>
        </w:pict>
      </w:r>
      <w:r>
        <w:drawing>
          <wp:inline distT="0" distB="0" distL="114300" distR="114300">
            <wp:extent cx="4352925" cy="2332355"/>
            <wp:effectExtent l="6350" t="6350" r="22225" b="23495"/>
            <wp:docPr id="1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outlineLvl w:val="2"/>
        <w:rPr>
          <w:rFonts w:ascii="仿宋" w:hAnsi="仿宋" w:eastAsia="仿宋"/>
          <w:b/>
          <w:sz w:val="32"/>
          <w:szCs w:val="32"/>
        </w:rPr>
      </w:pPr>
      <w:bookmarkStart w:id="45" w:name="_Toc15377212"/>
      <w:r>
        <w:rPr>
          <w:rFonts w:hint="eastAsia" w:ascii="仿宋" w:hAnsi="仿宋" w:eastAsia="仿宋"/>
          <w:b/>
          <w:sz w:val="32"/>
          <w:szCs w:val="32"/>
        </w:rPr>
        <w:t>（三）一般公共预算财政拨款支出决算具体情况</w:t>
      </w:r>
      <w:bookmarkEnd w:id="45"/>
    </w:p>
    <w:p>
      <w:pPr>
        <w:spacing w:line="600" w:lineRule="exact"/>
        <w:ind w:firstLine="640" w:firstLineChars="200"/>
        <w:outlineLvl w:val="2"/>
        <w:rPr>
          <w:rFonts w:ascii="仿宋" w:hAnsi="仿宋" w:eastAsia="仿宋"/>
          <w:sz w:val="32"/>
          <w:szCs w:val="32"/>
        </w:rPr>
      </w:pPr>
      <w:bookmarkStart w:id="46" w:name="_Toc15378460"/>
      <w:bookmarkStart w:id="47" w:name="_Toc15377213"/>
      <w:bookmarkStart w:id="48" w:name="_Toc15377444"/>
      <w:r>
        <w:rPr>
          <w:rFonts w:hint="eastAsia" w:ascii="仿宋" w:hAnsi="仿宋" w:eastAsia="仿宋"/>
          <w:b/>
          <w:sz w:val="32"/>
          <w:szCs w:val="32"/>
        </w:rPr>
        <w:t>2021年一般公共预算支出决算数为2309.17万元</w:t>
      </w:r>
      <w:r>
        <w:rPr>
          <w:rFonts w:hint="eastAsia" w:ascii="仿宋" w:hAnsi="仿宋" w:eastAsia="仿宋"/>
          <w:sz w:val="32"/>
          <w:szCs w:val="32"/>
        </w:rPr>
        <w:t>，</w:t>
      </w:r>
      <w:r>
        <w:rPr>
          <w:rStyle w:val="17"/>
          <w:rFonts w:hint="eastAsia" w:ascii="仿宋" w:hAnsi="仿宋" w:eastAsia="仿宋"/>
          <w:bCs/>
          <w:sz w:val="32"/>
          <w:szCs w:val="32"/>
        </w:rPr>
        <w:t>完成预算78.18</w:t>
      </w:r>
      <w:r>
        <w:rPr>
          <w:rStyle w:val="17"/>
          <w:rFonts w:ascii="仿宋" w:hAnsi="仿宋" w:eastAsia="仿宋"/>
          <w:bCs/>
          <w:sz w:val="32"/>
          <w:szCs w:val="32"/>
        </w:rPr>
        <w:t>%</w:t>
      </w:r>
      <w:r>
        <w:rPr>
          <w:rStyle w:val="17"/>
          <w:rFonts w:hint="eastAsia" w:ascii="仿宋" w:hAnsi="仿宋" w:eastAsia="仿宋"/>
          <w:bCs/>
          <w:sz w:val="32"/>
          <w:szCs w:val="32"/>
        </w:rPr>
        <w:t>。其中：</w:t>
      </w:r>
      <w:bookmarkEnd w:id="46"/>
      <w:bookmarkEnd w:id="47"/>
      <w:bookmarkEnd w:id="48"/>
    </w:p>
    <w:p>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1.一般公共服务（类）组织事务（款）其他组织事务支出（项）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支出决算为16.8万元，完成预算96.56</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，决算数小于预算数的主要原因是该项目为蜀道英才工程激励资金，因其中有一人弃权享受该项激励，资金未支付。</w:t>
      </w:r>
    </w:p>
    <w:p>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2</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社会保障和就业支出（类）人力资源和社会保障管理事务（款）行政运行（项）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支出决算为1038.77万元，完成预算97.86</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，决算数等于预算数的主要原因是通用办公设备和办公家具采购经费、公务车运行维护费、公务接待费有结转资金。</w:t>
      </w:r>
    </w:p>
    <w:p>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3</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社会保障和就业支出（类）人力资源和社会保障管理事务（款）一般行政管理事务（项）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支出决算为162.51万元，完成预算64.96</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，决算数小于预算数的主要原因是职称评审、市直事业单位人员公开选调及招聘、人力资源服务等项目集中在第四季度实施，相关费用跨年度支付。</w:t>
      </w:r>
    </w:p>
    <w:p>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4</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社会保障和就业支出（类）人力资源和社会保障管理事务（款）社会保险业务管理事务（项）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支出决算为13.11万元，完成预算68.25</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，决算数小于预算数的主要原因是社保基金风险防控和举报奖励、推进全民参保项目年底才实施完，费用跨年度支付。</w:t>
      </w:r>
    </w:p>
    <w:p>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5</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社会保障和就业支出（类）人力资源和社会保障管理事务（款）信息化建设（项）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支出决算为267.66万元，完成预算40.26</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，决算数小于预算数的主要原因是“一卡通”阳光审批系统建设、“一卡通”短信服务费项目属于跨年度实施项目，费用在下一年支付。</w:t>
      </w:r>
    </w:p>
    <w:p>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6</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社会保障和就业支出（类）人力资源和社会保障管理事务（款）劳动关系和维权（项）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支出决算为22.49万元，完成预算38.61</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，决算数小于预算数的主要原因是劳动保障监督检查相关项目在年底实施，费用跨年度支付。</w:t>
      </w:r>
    </w:p>
    <w:p>
      <w:pPr>
        <w:spacing w:line="600" w:lineRule="exact"/>
        <w:ind w:firstLine="640"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7</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社会保障和就业支出（类）人力资源和社会保障管理事务（款）引进人才费用（项）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支出</w:t>
      </w:r>
      <w:r>
        <w:rPr>
          <w:rStyle w:val="17"/>
          <w:rFonts w:hint="eastAsia" w:ascii="仿宋" w:hAnsi="仿宋" w:eastAsia="仿宋"/>
          <w:b w:val="0"/>
          <w:bCs/>
          <w:color w:val="000000"/>
          <w:sz w:val="32"/>
          <w:szCs w:val="32"/>
        </w:rPr>
        <w:t>决算为34.06万元，完成预算100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，决算数等于预算数。</w:t>
      </w:r>
    </w:p>
    <w:p>
      <w:pPr>
        <w:pStyle w:val="12"/>
        <w:spacing w:line="576" w:lineRule="exact"/>
        <w:ind w:firstLine="640"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8</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社会保障和就业支出（类）人力资源和社会保障管理事务（款）事业运行（项）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支出</w:t>
      </w:r>
      <w:r>
        <w:rPr>
          <w:rStyle w:val="17"/>
          <w:rFonts w:hint="eastAsia" w:ascii="仿宋" w:hAnsi="仿宋" w:eastAsia="仿宋"/>
          <w:b w:val="0"/>
          <w:bCs/>
          <w:color w:val="000000"/>
          <w:sz w:val="32"/>
          <w:szCs w:val="32"/>
        </w:rPr>
        <w:t>决算为233.04万元，完成预算100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pStyle w:val="12"/>
        <w:spacing w:line="576" w:lineRule="exact"/>
        <w:ind w:firstLine="640"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9.社会保障和就业支出（类）人力资源和社会保障管理事务（款）其他人力资源和社会保障管理事务支出（项）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支出</w:t>
      </w:r>
      <w:r>
        <w:rPr>
          <w:rStyle w:val="17"/>
          <w:rFonts w:hint="eastAsia" w:ascii="仿宋" w:hAnsi="仿宋" w:eastAsia="仿宋"/>
          <w:b w:val="0"/>
          <w:bCs/>
          <w:color w:val="000000"/>
          <w:sz w:val="32"/>
          <w:szCs w:val="32"/>
        </w:rPr>
        <w:t>决算为145.22万元，完成预算69.60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，决算数小于预算数的原因是三支一扶培训、工伤预防等项目跨年度实施，资金在下一年支付。</w:t>
      </w:r>
    </w:p>
    <w:p>
      <w:pPr>
        <w:pStyle w:val="12"/>
        <w:spacing w:line="576" w:lineRule="exact"/>
        <w:ind w:firstLine="640" w:firstLineChars="200"/>
      </w:pPr>
      <w:r>
        <w:rPr>
          <w:rStyle w:val="17"/>
          <w:rFonts w:hint="eastAsia" w:ascii="仿宋" w:hAnsi="仿宋" w:eastAsia="仿宋"/>
          <w:bCs/>
          <w:color w:val="000000"/>
          <w:sz w:val="32"/>
          <w:szCs w:val="32"/>
        </w:rPr>
        <w:t>10</w:t>
      </w:r>
      <w:r>
        <w:rPr>
          <w:rStyle w:val="17"/>
          <w:rFonts w:ascii="仿宋" w:hAnsi="仿宋" w:eastAsia="仿宋"/>
          <w:bCs/>
          <w:color w:val="000000"/>
          <w:sz w:val="32"/>
          <w:szCs w:val="32"/>
        </w:rPr>
        <w:t>.</w:t>
      </w:r>
      <w:r>
        <w:rPr>
          <w:rStyle w:val="28"/>
          <w:rFonts w:hint="eastAsia" w:ascii="仿宋" w:hAnsi="仿宋" w:eastAsia="仿宋"/>
          <w:bCs w:val="0"/>
          <w:color w:val="000000"/>
          <w:sz w:val="32"/>
          <w:szCs w:val="32"/>
        </w:rPr>
        <w:t xml:space="preserve"> </w:t>
      </w:r>
      <w:r>
        <w:rPr>
          <w:rStyle w:val="17"/>
          <w:rFonts w:hint="eastAsia" w:ascii="仿宋" w:hAnsi="仿宋" w:eastAsia="仿宋"/>
          <w:bCs/>
          <w:color w:val="000000"/>
          <w:sz w:val="32"/>
          <w:szCs w:val="32"/>
        </w:rPr>
        <w:t>社会保障和就业支出（类）行政事业单位养老支出（款）行政单位离退休（项）</w:t>
      </w:r>
      <w:r>
        <w:rPr>
          <w:rStyle w:val="17"/>
          <w:rFonts w:ascii="仿宋" w:hAnsi="仿宋" w:eastAsia="仿宋"/>
          <w:bCs/>
          <w:color w:val="000000"/>
          <w:sz w:val="32"/>
          <w:szCs w:val="32"/>
        </w:rPr>
        <w:t>:</w:t>
      </w:r>
      <w:r>
        <w:rPr>
          <w:rStyle w:val="17"/>
          <w:rFonts w:ascii="仿宋" w:hAnsi="仿宋" w:eastAsia="仿宋"/>
          <w:b w:val="0"/>
          <w:bCs/>
          <w:color w:val="000000"/>
          <w:sz w:val="32"/>
          <w:szCs w:val="32"/>
        </w:rPr>
        <w:t>支出</w:t>
      </w:r>
      <w:r>
        <w:rPr>
          <w:rStyle w:val="17"/>
          <w:rFonts w:hint="eastAsia" w:ascii="仿宋" w:hAnsi="仿宋" w:eastAsia="仿宋"/>
          <w:b w:val="0"/>
          <w:bCs/>
          <w:color w:val="000000"/>
          <w:sz w:val="32"/>
          <w:szCs w:val="32"/>
        </w:rPr>
        <w:t>决算为5.47万元，完成预算100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，决算数等于预算数。</w:t>
      </w:r>
    </w:p>
    <w:p>
      <w:pPr>
        <w:spacing w:line="576" w:lineRule="exact"/>
        <w:ind w:firstLine="640"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11</w:t>
      </w:r>
      <w:r>
        <w:rPr>
          <w:rStyle w:val="17"/>
          <w:rFonts w:ascii="仿宋" w:hAnsi="仿宋" w:eastAsia="仿宋"/>
          <w:bCs/>
          <w:color w:val="000000"/>
          <w:sz w:val="32"/>
          <w:szCs w:val="32"/>
        </w:rPr>
        <w:t>.</w:t>
      </w:r>
      <w:r>
        <w:rPr>
          <w:rStyle w:val="28"/>
          <w:rFonts w:hint="eastAsia" w:ascii="仿宋" w:hAnsi="仿宋" w:eastAsia="仿宋"/>
          <w:bCs w:val="0"/>
          <w:color w:val="000000"/>
          <w:sz w:val="32"/>
          <w:szCs w:val="32"/>
        </w:rPr>
        <w:t xml:space="preserve"> </w:t>
      </w:r>
      <w:r>
        <w:rPr>
          <w:rStyle w:val="17"/>
          <w:rFonts w:hint="eastAsia" w:ascii="仿宋" w:hAnsi="仿宋" w:eastAsia="仿宋"/>
          <w:bCs/>
          <w:color w:val="000000"/>
          <w:sz w:val="32"/>
          <w:szCs w:val="32"/>
        </w:rPr>
        <w:t>社会保障和就业支出（类）行政事业单位养老支出（款）机关事业单位基本养老保险缴费支出（项）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支出</w:t>
      </w:r>
      <w:r>
        <w:rPr>
          <w:rStyle w:val="17"/>
          <w:rFonts w:hint="eastAsia" w:ascii="仿宋" w:hAnsi="仿宋" w:eastAsia="仿宋"/>
          <w:b w:val="0"/>
          <w:bCs/>
          <w:color w:val="000000"/>
          <w:sz w:val="32"/>
          <w:szCs w:val="32"/>
        </w:rPr>
        <w:t>决算为93.98万元，完成预算100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，决算数等于预算数。</w:t>
      </w:r>
    </w:p>
    <w:p>
      <w:pPr>
        <w:spacing w:line="576" w:lineRule="exact"/>
        <w:ind w:firstLine="640"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12</w:t>
      </w:r>
      <w:r>
        <w:rPr>
          <w:rStyle w:val="17"/>
          <w:rFonts w:ascii="仿宋" w:hAnsi="仿宋" w:eastAsia="仿宋"/>
          <w:bCs/>
          <w:color w:val="000000"/>
          <w:sz w:val="32"/>
          <w:szCs w:val="32"/>
        </w:rPr>
        <w:t>.</w:t>
      </w:r>
      <w:r>
        <w:rPr>
          <w:rStyle w:val="28"/>
          <w:rFonts w:hint="eastAsia" w:ascii="仿宋" w:hAnsi="仿宋" w:eastAsia="仿宋"/>
          <w:bCs w:val="0"/>
          <w:color w:val="000000"/>
          <w:sz w:val="32"/>
          <w:szCs w:val="32"/>
        </w:rPr>
        <w:t xml:space="preserve"> </w:t>
      </w:r>
      <w:r>
        <w:rPr>
          <w:rStyle w:val="17"/>
          <w:rFonts w:hint="eastAsia" w:ascii="仿宋" w:hAnsi="仿宋" w:eastAsia="仿宋"/>
          <w:bCs/>
          <w:color w:val="000000"/>
          <w:sz w:val="32"/>
          <w:szCs w:val="32"/>
        </w:rPr>
        <w:t>社会保障和就业支出（类）行政事业单位养老支出（款）机关事业单位职业年金缴费支出（项）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支出</w:t>
      </w:r>
      <w:r>
        <w:rPr>
          <w:rStyle w:val="17"/>
          <w:rFonts w:hint="eastAsia" w:ascii="仿宋" w:hAnsi="仿宋" w:eastAsia="仿宋"/>
          <w:b w:val="0"/>
          <w:bCs/>
          <w:color w:val="000000"/>
          <w:sz w:val="32"/>
          <w:szCs w:val="32"/>
        </w:rPr>
        <w:t>决算为10.32万元，完成预算100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，决算数等于预算数。</w:t>
      </w:r>
    </w:p>
    <w:p>
      <w:pPr>
        <w:spacing w:line="576" w:lineRule="exact"/>
        <w:ind w:firstLine="640"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rPr>
        <w:t>13</w:t>
      </w:r>
      <w:r>
        <w:rPr>
          <w:rStyle w:val="17"/>
          <w:rFonts w:ascii="仿宋" w:hAnsi="仿宋" w:eastAsia="仿宋"/>
          <w:bCs/>
          <w:color w:val="000000"/>
          <w:sz w:val="32"/>
          <w:szCs w:val="32"/>
        </w:rPr>
        <w:t>.</w:t>
      </w:r>
      <w:r>
        <w:rPr>
          <w:rStyle w:val="28"/>
          <w:rFonts w:hint="eastAsia" w:ascii="仿宋" w:hAnsi="仿宋" w:eastAsia="仿宋"/>
          <w:bCs w:val="0"/>
          <w:color w:val="000000"/>
          <w:sz w:val="32"/>
          <w:szCs w:val="32"/>
        </w:rPr>
        <w:t xml:space="preserve"> </w:t>
      </w:r>
      <w:r>
        <w:rPr>
          <w:rStyle w:val="17"/>
          <w:rFonts w:hint="eastAsia" w:ascii="仿宋" w:hAnsi="仿宋" w:eastAsia="仿宋"/>
          <w:bCs/>
          <w:color w:val="000000"/>
          <w:sz w:val="32"/>
          <w:szCs w:val="32"/>
        </w:rPr>
        <w:t>社会保障和就业支出（类）就业补助（款）其他就业补助支出（项）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支出</w:t>
      </w:r>
      <w:r>
        <w:rPr>
          <w:rStyle w:val="17"/>
          <w:rFonts w:hint="eastAsia" w:ascii="仿宋" w:hAnsi="仿宋" w:eastAsia="仿宋"/>
          <w:b w:val="0"/>
          <w:bCs/>
          <w:color w:val="000000"/>
          <w:sz w:val="32"/>
          <w:szCs w:val="32"/>
        </w:rPr>
        <w:t>决算为23.16万元，完成预算42.98</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，决算数小于预算数的主要原因是就业创业相关项目跨年度实施，资金在下一年度支付。</w:t>
      </w:r>
    </w:p>
    <w:p>
      <w:pPr>
        <w:pStyle w:val="12"/>
        <w:spacing w:line="576" w:lineRule="exact"/>
        <w:ind w:firstLine="640" w:firstLineChars="200"/>
      </w:pPr>
      <w:r>
        <w:rPr>
          <w:rStyle w:val="17"/>
          <w:rFonts w:hint="eastAsia" w:ascii="仿宋" w:hAnsi="仿宋" w:eastAsia="仿宋"/>
          <w:bCs/>
          <w:color w:val="000000"/>
          <w:sz w:val="32"/>
          <w:szCs w:val="32"/>
        </w:rPr>
        <w:t>14</w:t>
      </w:r>
      <w:r>
        <w:rPr>
          <w:rStyle w:val="17"/>
          <w:rFonts w:ascii="仿宋" w:hAnsi="仿宋" w:eastAsia="仿宋"/>
          <w:bCs/>
          <w:color w:val="000000"/>
          <w:sz w:val="32"/>
          <w:szCs w:val="32"/>
        </w:rPr>
        <w:t>.</w:t>
      </w:r>
      <w:r>
        <w:rPr>
          <w:rStyle w:val="28"/>
          <w:rFonts w:hint="eastAsia" w:ascii="仿宋" w:hAnsi="仿宋" w:eastAsia="仿宋"/>
          <w:bCs w:val="0"/>
          <w:color w:val="000000"/>
          <w:sz w:val="32"/>
          <w:szCs w:val="32"/>
        </w:rPr>
        <w:t xml:space="preserve"> </w:t>
      </w:r>
      <w:r>
        <w:rPr>
          <w:rStyle w:val="17"/>
          <w:rFonts w:hint="eastAsia" w:ascii="仿宋" w:hAnsi="仿宋" w:eastAsia="仿宋"/>
          <w:bCs/>
          <w:color w:val="000000"/>
          <w:sz w:val="32"/>
          <w:szCs w:val="32"/>
        </w:rPr>
        <w:t>社会保障和就业支出（类）其他社会保障和就业支出（款）其他社会保障和就业支出（项）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支出</w:t>
      </w:r>
      <w:r>
        <w:rPr>
          <w:rStyle w:val="17"/>
          <w:rFonts w:hint="eastAsia" w:ascii="仿宋" w:hAnsi="仿宋" w:eastAsia="仿宋"/>
          <w:b w:val="0"/>
          <w:bCs/>
          <w:color w:val="000000"/>
          <w:sz w:val="32"/>
          <w:szCs w:val="32"/>
        </w:rPr>
        <w:t>决算为38.43万元，完成预算100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，决算数等于预算数。</w:t>
      </w:r>
    </w:p>
    <w:p>
      <w:pPr>
        <w:pStyle w:val="12"/>
        <w:spacing w:line="576" w:lineRule="exact"/>
        <w:ind w:firstLine="640" w:firstLineChars="200"/>
      </w:pPr>
      <w:r>
        <w:rPr>
          <w:rStyle w:val="17"/>
          <w:rFonts w:hint="eastAsia" w:ascii="仿宋" w:hAnsi="仿宋" w:eastAsia="仿宋"/>
          <w:bCs/>
          <w:color w:val="000000"/>
          <w:sz w:val="32"/>
          <w:szCs w:val="32"/>
        </w:rPr>
        <w:t>15</w:t>
      </w:r>
      <w:r>
        <w:rPr>
          <w:rStyle w:val="17"/>
          <w:rFonts w:ascii="仿宋" w:hAnsi="仿宋" w:eastAsia="仿宋"/>
          <w:bCs/>
          <w:color w:val="000000"/>
          <w:sz w:val="32"/>
          <w:szCs w:val="32"/>
        </w:rPr>
        <w:t>.</w:t>
      </w:r>
      <w:r>
        <w:rPr>
          <w:rStyle w:val="28"/>
          <w:rFonts w:hint="eastAsia" w:ascii="仿宋" w:hAnsi="仿宋" w:eastAsia="仿宋"/>
          <w:bCs w:val="0"/>
          <w:color w:val="000000"/>
          <w:sz w:val="32"/>
          <w:szCs w:val="32"/>
        </w:rPr>
        <w:t xml:space="preserve"> </w:t>
      </w:r>
      <w:r>
        <w:rPr>
          <w:rStyle w:val="17"/>
          <w:rFonts w:hint="eastAsia" w:ascii="仿宋" w:hAnsi="仿宋" w:eastAsia="仿宋"/>
          <w:bCs/>
          <w:color w:val="000000"/>
          <w:sz w:val="32"/>
          <w:szCs w:val="32"/>
        </w:rPr>
        <w:t>社会保障和就业支出（类）抚恤（款）死亡抚恤（项）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支出</w:t>
      </w:r>
      <w:r>
        <w:rPr>
          <w:rStyle w:val="17"/>
          <w:rFonts w:hint="eastAsia" w:ascii="仿宋" w:hAnsi="仿宋" w:eastAsia="仿宋"/>
          <w:b w:val="0"/>
          <w:bCs/>
          <w:color w:val="000000"/>
          <w:sz w:val="32"/>
          <w:szCs w:val="32"/>
        </w:rPr>
        <w:t>决算为41.15万元，完成预算100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，决算数等于预算数。</w:t>
      </w:r>
    </w:p>
    <w:p>
      <w:pPr>
        <w:pStyle w:val="12"/>
        <w:spacing w:line="576" w:lineRule="exact"/>
        <w:ind w:firstLine="640" w:firstLineChars="200"/>
      </w:pPr>
      <w:r>
        <w:rPr>
          <w:rStyle w:val="17"/>
          <w:rFonts w:hint="eastAsia" w:ascii="仿宋" w:hAnsi="仿宋" w:eastAsia="仿宋"/>
          <w:bCs/>
          <w:color w:val="000000"/>
          <w:sz w:val="32"/>
          <w:szCs w:val="32"/>
        </w:rPr>
        <w:t>16</w:t>
      </w:r>
      <w:r>
        <w:rPr>
          <w:rStyle w:val="17"/>
          <w:rFonts w:ascii="仿宋" w:hAnsi="仿宋" w:eastAsia="仿宋"/>
          <w:bCs/>
          <w:color w:val="000000"/>
          <w:sz w:val="32"/>
          <w:szCs w:val="32"/>
        </w:rPr>
        <w:t>.</w:t>
      </w:r>
      <w:r>
        <w:rPr>
          <w:rFonts w:hint="eastAsia" w:ascii="仿宋" w:hAnsi="仿宋" w:eastAsia="仿宋"/>
          <w:b/>
          <w:bCs/>
          <w:color w:val="000000"/>
          <w:sz w:val="32"/>
          <w:szCs w:val="32"/>
        </w:rPr>
        <w:t>卫生健康</w:t>
      </w:r>
      <w:r>
        <w:rPr>
          <w:rStyle w:val="17"/>
          <w:rFonts w:hint="eastAsia" w:ascii="仿宋" w:hAnsi="仿宋" w:eastAsia="仿宋"/>
          <w:bCs/>
          <w:color w:val="000000"/>
          <w:sz w:val="32"/>
          <w:szCs w:val="32"/>
        </w:rPr>
        <w:t>（类）行政事业单位</w:t>
      </w:r>
      <w:r>
        <w:rPr>
          <w:rStyle w:val="17"/>
          <w:rFonts w:ascii="仿宋" w:hAnsi="仿宋" w:eastAsia="仿宋"/>
          <w:bCs/>
          <w:color w:val="000000"/>
          <w:sz w:val="32"/>
          <w:szCs w:val="32"/>
        </w:rPr>
        <w:t>医疗</w:t>
      </w:r>
      <w:r>
        <w:rPr>
          <w:rStyle w:val="17"/>
          <w:rFonts w:hint="eastAsia" w:ascii="仿宋" w:hAnsi="仿宋" w:eastAsia="仿宋"/>
          <w:bCs/>
          <w:color w:val="000000"/>
          <w:sz w:val="32"/>
          <w:szCs w:val="32"/>
        </w:rPr>
        <w:t>（款）行政单位</w:t>
      </w:r>
      <w:r>
        <w:rPr>
          <w:rStyle w:val="17"/>
          <w:rFonts w:ascii="仿宋" w:hAnsi="仿宋" w:eastAsia="仿宋"/>
          <w:bCs/>
          <w:color w:val="000000"/>
          <w:sz w:val="32"/>
          <w:szCs w:val="32"/>
        </w:rPr>
        <w:t>医疗</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支出决算为48.16万元，完成预算100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，决算数等于预算数。</w:t>
      </w:r>
    </w:p>
    <w:p>
      <w:pPr>
        <w:spacing w:line="600" w:lineRule="exact"/>
        <w:ind w:firstLine="640" w:firstLineChars="200"/>
        <w:rPr>
          <w:rFonts w:ascii="仿宋" w:hAnsi="仿宋" w:eastAsia="仿宋"/>
          <w:b/>
          <w:sz w:val="32"/>
          <w:szCs w:val="32"/>
        </w:rPr>
      </w:pPr>
      <w:r>
        <w:rPr>
          <w:rStyle w:val="17"/>
          <w:rFonts w:hint="eastAsia" w:ascii="仿宋" w:hAnsi="仿宋" w:eastAsia="仿宋"/>
          <w:bCs/>
          <w:color w:val="000000"/>
          <w:sz w:val="32"/>
          <w:szCs w:val="32"/>
        </w:rPr>
        <w:t>17</w:t>
      </w:r>
      <w:r>
        <w:rPr>
          <w:rStyle w:val="17"/>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17"/>
          <w:rFonts w:hint="eastAsia" w:ascii="仿宋" w:hAnsi="仿宋" w:eastAsia="仿宋"/>
          <w:bCs/>
          <w:color w:val="000000"/>
          <w:sz w:val="32"/>
          <w:szCs w:val="32"/>
        </w:rPr>
        <w:t>（类）住房改革支出（款）住房公积金（项）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支出决算为114.82万元，完成预算100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tabs>
          <w:tab w:val="right" w:pos="8306"/>
        </w:tabs>
        <w:spacing w:line="600" w:lineRule="exact"/>
        <w:ind w:firstLine="640"/>
        <w:outlineLvl w:val="1"/>
        <w:rPr>
          <w:rStyle w:val="29"/>
        </w:rPr>
      </w:pPr>
      <w:bookmarkStart w:id="49" w:name="_Toc15396608"/>
      <w:bookmarkStart w:id="50" w:name="_Toc27408"/>
      <w:bookmarkStart w:id="5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9"/>
      <w:bookmarkEnd w:id="50"/>
      <w:bookmarkEnd w:id="51"/>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21年一般公共预算财政拨款基本支出1624.16万元，其中：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1366.62万元，主要包括：基本工资、津贴补贴、奖金、绩效工资、机关事业单位基本养老保险缴费、职业年金缴费、职工基本医疗保险缴费、其他社会保障缴费、其他工资福利支出、抚恤金、生活补助、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公用经费257.54万元，主要包括：办公费、印刷费、咨询费、水费、邮电费、物业管理费、差旅费、维修（护）费、租赁费、会议费、培训费、公务接待费、</w:t>
      </w:r>
      <w:r>
        <w:rPr>
          <w:rFonts w:hint="eastAsia" w:ascii="仿宋" w:hAnsi="仿宋" w:eastAsia="仿宋"/>
          <w:sz w:val="32"/>
          <w:szCs w:val="32"/>
          <w:lang w:val="en-US" w:eastAsia="zh-CN"/>
        </w:rPr>
        <w:t>专用材料费、</w:t>
      </w:r>
      <w:r>
        <w:rPr>
          <w:rFonts w:hint="eastAsia" w:ascii="仿宋" w:hAnsi="仿宋" w:eastAsia="仿宋"/>
          <w:sz w:val="32"/>
          <w:szCs w:val="32"/>
        </w:rPr>
        <w:t>劳务费、委托业务费、工会经费、福利费、公务用车运行维护费、其他交通费、其他商品和服务支出等。</w:t>
      </w:r>
    </w:p>
    <w:p>
      <w:pPr>
        <w:spacing w:line="600" w:lineRule="exact"/>
        <w:ind w:firstLine="640"/>
        <w:outlineLvl w:val="1"/>
        <w:rPr>
          <w:rStyle w:val="29"/>
          <w:rFonts w:ascii="黑体" w:hAnsi="黑体" w:eastAsia="黑体"/>
          <w:b w:val="0"/>
        </w:rPr>
      </w:pPr>
      <w:bookmarkStart w:id="52" w:name="_Toc15377215"/>
      <w:bookmarkStart w:id="53" w:name="_Toc402"/>
      <w:bookmarkStart w:id="54" w:name="_Toc15396609"/>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52"/>
      <w:bookmarkEnd w:id="53"/>
      <w:bookmarkEnd w:id="54"/>
    </w:p>
    <w:p>
      <w:pPr>
        <w:spacing w:line="600" w:lineRule="exact"/>
        <w:ind w:firstLine="640"/>
        <w:outlineLvl w:val="2"/>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pPr>
        <w:spacing w:line="600" w:lineRule="exact"/>
        <w:ind w:firstLine="640"/>
        <w:rPr>
          <w:rFonts w:ascii="仿宋" w:hAnsi="仿宋" w:eastAsia="仿宋"/>
          <w:b/>
          <w:color w:val="000000"/>
          <w:sz w:val="32"/>
          <w:szCs w:val="32"/>
        </w:rPr>
      </w:pPr>
      <w:r>
        <w:rPr>
          <w:rFonts w:ascii="仿宋" w:hAnsi="仿宋" w:eastAsia="仿宋"/>
          <w:sz w:val="32"/>
          <w:szCs w:val="32"/>
        </w:rPr>
        <w:t>20</w:t>
      </w:r>
      <w:r>
        <w:rPr>
          <w:rFonts w:hint="eastAsia" w:ascii="仿宋" w:hAnsi="仿宋" w:eastAsia="仿宋"/>
          <w:sz w:val="32"/>
          <w:szCs w:val="32"/>
        </w:rPr>
        <w:t>21年“三公”经费财政拨款支出决算为9.79万元，完成预算88.20</w:t>
      </w:r>
      <w:r>
        <w:rPr>
          <w:rFonts w:ascii="仿宋" w:hAnsi="仿宋" w:eastAsia="仿宋"/>
          <w:sz w:val="32"/>
          <w:szCs w:val="32"/>
        </w:rPr>
        <w:t>%</w:t>
      </w:r>
      <w:r>
        <w:rPr>
          <w:rFonts w:hint="eastAsia" w:ascii="仿宋" w:hAnsi="仿宋" w:eastAsia="仿宋"/>
          <w:sz w:val="32"/>
          <w:szCs w:val="32"/>
        </w:rPr>
        <w:t>，决算数小于预算数的主要原因</w:t>
      </w:r>
      <w:r>
        <w:rPr>
          <w:rFonts w:hint="eastAsia" w:ascii="仿宋" w:hAnsi="仿宋" w:eastAsia="仿宋"/>
          <w:color w:val="000000"/>
          <w:sz w:val="32"/>
          <w:szCs w:val="32"/>
        </w:rPr>
        <w:t>是</w:t>
      </w:r>
      <w:r>
        <w:rPr>
          <w:rFonts w:hint="eastAsia" w:ascii="仿宋_GB2312" w:eastAsia="仿宋_GB2312"/>
          <w:sz w:val="32"/>
          <w:szCs w:val="32"/>
        </w:rPr>
        <w:t>继续落实转变作风、厉行节约、过紧日子“十三条措施”有关要求，严格控制接待标准，压缩接待规模，通过继续加强公务用车日常管理，降低车辆各类消耗所致。</w:t>
      </w:r>
    </w:p>
    <w:p>
      <w:pPr>
        <w:spacing w:line="600" w:lineRule="exact"/>
        <w:ind w:firstLine="640"/>
        <w:outlineLvl w:val="2"/>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21年“三公”经费财政拨款支出决算中，因公出国（境）费支出决算0万元，未安排此项预算；公务用车购置及运行维护费支出决算5.79万元，占59.14</w:t>
      </w:r>
      <w:r>
        <w:rPr>
          <w:rFonts w:ascii="仿宋" w:hAnsi="仿宋" w:eastAsia="仿宋"/>
          <w:sz w:val="32"/>
          <w:szCs w:val="32"/>
        </w:rPr>
        <w:t>%</w:t>
      </w:r>
      <w:r>
        <w:rPr>
          <w:rFonts w:hint="eastAsia" w:ascii="仿宋" w:hAnsi="仿宋" w:eastAsia="仿宋"/>
          <w:sz w:val="32"/>
          <w:szCs w:val="32"/>
        </w:rPr>
        <w:t>；公务接待费支出决算4万元，占40.86</w:t>
      </w:r>
      <w:r>
        <w:rPr>
          <w:rFonts w:ascii="仿宋" w:hAnsi="仿宋" w:eastAsia="仿宋"/>
          <w:sz w:val="32"/>
          <w:szCs w:val="32"/>
        </w:rPr>
        <w:t>%</w:t>
      </w:r>
      <w:r>
        <w:rPr>
          <w:rFonts w:hint="eastAsia" w:ascii="仿宋" w:hAnsi="仿宋" w:eastAsia="仿宋"/>
          <w:sz w:val="32"/>
          <w:szCs w:val="32"/>
        </w:rPr>
        <w:t>。具体情况如下：</w:t>
      </w:r>
    </w:p>
    <w:p>
      <w:pPr>
        <w:pStyle w:val="5"/>
        <w:spacing w:before="93"/>
        <w:jc w:val="center"/>
        <w:rPr>
          <w:rFonts w:ascii="仿宋" w:hAnsi="仿宋" w:eastAsia="仿宋"/>
          <w:sz w:val="32"/>
          <w:szCs w:val="32"/>
        </w:rPr>
      </w:pPr>
      <w:bookmarkStart w:id="151" w:name="_GoBack"/>
      <w:r>
        <w:drawing>
          <wp:inline distT="0" distB="0" distL="114300" distR="114300">
            <wp:extent cx="3477895" cy="2016760"/>
            <wp:effectExtent l="5080" t="4445" r="22225" b="17145"/>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151"/>
    </w:p>
    <w:p>
      <w:pPr>
        <w:spacing w:line="600" w:lineRule="exact"/>
        <w:jc w:val="center"/>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0万元，未安排此项预算</w:t>
      </w:r>
      <w:r>
        <w:rPr>
          <w:rStyle w:val="17"/>
          <w:rFonts w:hint="eastAsia" w:ascii="仿宋" w:hAnsi="仿宋" w:eastAsia="仿宋"/>
          <w:b w:val="0"/>
          <w:bCs/>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5.79万元,</w:t>
      </w:r>
      <w:r>
        <w:rPr>
          <w:rStyle w:val="17"/>
          <w:rFonts w:hint="eastAsia" w:ascii="仿宋" w:hAnsi="仿宋" w:eastAsia="仿宋"/>
          <w:b w:val="0"/>
          <w:bCs/>
          <w:sz w:val="32"/>
          <w:szCs w:val="32"/>
        </w:rPr>
        <w:t>完成预算81.55</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20年增加1.46万元，增长33.72</w:t>
      </w:r>
      <w:r>
        <w:rPr>
          <w:rFonts w:ascii="仿宋_GB2312" w:eastAsia="仿宋_GB2312"/>
          <w:sz w:val="32"/>
          <w:szCs w:val="32"/>
        </w:rPr>
        <w:t>%</w:t>
      </w:r>
      <w:r>
        <w:rPr>
          <w:rFonts w:hint="eastAsia" w:ascii="仿宋_GB2312" w:eastAsia="仿宋_GB2312"/>
          <w:sz w:val="32"/>
          <w:szCs w:val="32"/>
        </w:rPr>
        <w:t>。主要原因是2021年进行了公务车维修，增加了维修费用。</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0万元。全年未更新购置公务用车。</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7.62万元。</w:t>
      </w:r>
      <w:r>
        <w:rPr>
          <w:rFonts w:hint="eastAsia" w:ascii="仿宋" w:hAnsi="仿宋" w:eastAsia="仿宋"/>
          <w:color w:val="000000"/>
          <w:sz w:val="32"/>
          <w:szCs w:val="32"/>
        </w:rPr>
        <w:t>主要用于</w:t>
      </w:r>
      <w:r>
        <w:rPr>
          <w:rFonts w:hint="eastAsia" w:ascii="仿宋_GB2312" w:eastAsia="仿宋_GB2312"/>
          <w:sz w:val="32"/>
          <w:szCs w:val="32"/>
        </w:rPr>
        <w:t>促进就业创业、人才队伍建设、人事制度改革、高层次人才引进、劳动关系维权、工伤调查认定、公共服务体系建设</w:t>
      </w:r>
      <w:r>
        <w:rPr>
          <w:rFonts w:hint="eastAsia" w:ascii="仿宋" w:hAnsi="仿宋" w:eastAsia="仿宋"/>
          <w:color w:val="000000"/>
          <w:sz w:val="32"/>
          <w:szCs w:val="32"/>
        </w:rPr>
        <w:t>等所需的公务用车燃料费、维修费、过路过桥费、保险费等支出</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4万元，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20年增加0.66万元，增长19.76</w:t>
      </w:r>
      <w:r>
        <w:rPr>
          <w:rFonts w:ascii="仿宋_GB2312" w:eastAsia="仿宋_GB2312"/>
          <w:sz w:val="32"/>
          <w:szCs w:val="32"/>
        </w:rPr>
        <w:t>%</w:t>
      </w:r>
      <w:r>
        <w:rPr>
          <w:rFonts w:hint="eastAsia" w:ascii="仿宋_GB2312" w:eastAsia="仿宋_GB2312"/>
          <w:sz w:val="32"/>
          <w:szCs w:val="32"/>
        </w:rPr>
        <w:t>。主要原因是接待批次较2020年有所增加。其中：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4</w:t>
      </w:r>
      <w:r>
        <w:rPr>
          <w:rFonts w:hint="eastAsia" w:ascii="仿宋_GB2312" w:eastAsia="仿宋_GB2312"/>
          <w:sz w:val="32"/>
          <w:szCs w:val="32"/>
        </w:rPr>
        <w:t>万元，主要用于开展就业创业、完善社会保障体系、人才队伍建设、人事制度改革、构建和谐劳动关系、公共服务体系建设等重点工作以及有关单位来广调研、指导、督查督办、学习交流开支的交通费、住宿费、用餐费等)。国内公务接待25批次，194人次（不包括陪同人员），共计支出4万元，具体内容包括：上级督导、检查、调研公务接待2.47万元，市州交流、考察、学习公务接待0.85万元，跨省东西部协作公务接待0.68万元。</w:t>
      </w:r>
    </w:p>
    <w:p>
      <w:pPr>
        <w:spacing w:line="600" w:lineRule="exact"/>
        <w:ind w:firstLine="640"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万元，年度内未发生外事接待支出。</w:t>
      </w:r>
      <w:bookmarkStart w:id="57" w:name="_Toc15396610"/>
      <w:bookmarkStart w:id="58" w:name="_Toc15377218"/>
    </w:p>
    <w:p>
      <w:pPr>
        <w:spacing w:line="600" w:lineRule="exact"/>
        <w:ind w:firstLine="640"/>
        <w:outlineLvl w:val="1"/>
        <w:rPr>
          <w:rStyle w:val="29"/>
          <w:rFonts w:ascii="黑体" w:hAnsi="黑体" w:eastAsia="黑体"/>
        </w:rPr>
      </w:pPr>
      <w:bookmarkStart w:id="59" w:name="_Toc18282"/>
      <w:r>
        <w:rPr>
          <w:rFonts w:hint="eastAsia" w:ascii="黑体" w:eastAsia="黑体"/>
          <w:sz w:val="32"/>
          <w:szCs w:val="32"/>
        </w:rPr>
        <w:t>八、</w:t>
      </w:r>
      <w:r>
        <w:rPr>
          <w:rStyle w:val="29"/>
          <w:rFonts w:hint="eastAsia" w:ascii="黑体" w:hAnsi="黑体" w:eastAsia="黑体"/>
          <w:b w:val="0"/>
        </w:rPr>
        <w:t>政府性基金预算支出决算情况说明</w:t>
      </w:r>
      <w:bookmarkEnd w:id="57"/>
      <w:bookmarkEnd w:id="58"/>
      <w:bookmarkEnd w:id="5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21年政府性基金预算财政拨款支出0万元，未安排政府性基金预算，也</w:t>
      </w:r>
      <w:r>
        <w:rPr>
          <w:rFonts w:hint="eastAsia" w:ascii="仿宋" w:hAnsi="仿宋" w:eastAsia="仿宋"/>
          <w:color w:val="000000"/>
          <w:sz w:val="32"/>
          <w:szCs w:val="32"/>
        </w:rPr>
        <w:t>未在政府性基金预算拨款安排“三公经费”支出。</w:t>
      </w:r>
    </w:p>
    <w:p>
      <w:pPr>
        <w:numPr>
          <w:ilvl w:val="0"/>
          <w:numId w:val="3"/>
        </w:numPr>
        <w:spacing w:line="600" w:lineRule="exact"/>
        <w:ind w:firstLine="640"/>
        <w:outlineLvl w:val="1"/>
        <w:rPr>
          <w:rStyle w:val="29"/>
          <w:rFonts w:ascii="黑体" w:hAnsi="黑体" w:eastAsia="黑体"/>
          <w:b w:val="0"/>
        </w:rPr>
      </w:pPr>
      <w:bookmarkStart w:id="60" w:name="_Toc28283"/>
      <w:bookmarkStart w:id="61" w:name="_Toc15377219"/>
      <w:bookmarkStart w:id="62" w:name="_Toc15396611"/>
      <w:r>
        <w:rPr>
          <w:rStyle w:val="29"/>
          <w:rFonts w:hint="eastAsia" w:ascii="黑体" w:hAnsi="黑体" w:eastAsia="黑体"/>
          <w:b w:val="0"/>
        </w:rPr>
        <w:t>国有资本经营预算支出决算情况说明</w:t>
      </w:r>
      <w:bookmarkEnd w:id="60"/>
      <w:bookmarkEnd w:id="61"/>
      <w:bookmarkEnd w:id="62"/>
    </w:p>
    <w:p>
      <w:pPr>
        <w:spacing w:line="600" w:lineRule="exact"/>
        <w:ind w:firstLine="640" w:firstLineChars="200"/>
        <w:outlineLvl w:val="1"/>
        <w:rPr>
          <w:rStyle w:val="29"/>
          <w:rFonts w:ascii="黑体" w:hAnsi="黑体" w:eastAsia="黑体"/>
          <w:b w:val="0"/>
        </w:rPr>
      </w:pPr>
      <w:bookmarkStart w:id="63" w:name="_Toc4463"/>
      <w:bookmarkStart w:id="64" w:name="_Toc15396612"/>
      <w:bookmarkStart w:id="65" w:name="_Toc15377221"/>
      <w:r>
        <w:rPr>
          <w:rFonts w:ascii="仿宋_GB2312" w:eastAsia="仿宋_GB2312"/>
          <w:sz w:val="32"/>
          <w:szCs w:val="32"/>
        </w:rPr>
        <w:t>20</w:t>
      </w:r>
      <w:r>
        <w:rPr>
          <w:rFonts w:hint="eastAsia" w:ascii="仿宋_GB2312" w:eastAsia="仿宋_GB2312"/>
          <w:sz w:val="32"/>
          <w:szCs w:val="32"/>
        </w:rPr>
        <w:t>21年国有资本经营预算财政拨款支出0万元，未安排国有资本经营预算。</w:t>
      </w:r>
      <w:bookmarkEnd w:id="63"/>
    </w:p>
    <w:p>
      <w:pPr>
        <w:numPr>
          <w:ilvl w:val="0"/>
          <w:numId w:val="3"/>
        </w:numPr>
        <w:spacing w:line="600" w:lineRule="exact"/>
        <w:ind w:firstLine="640"/>
        <w:outlineLvl w:val="1"/>
        <w:rPr>
          <w:rStyle w:val="29"/>
          <w:rFonts w:ascii="黑体" w:hAnsi="黑体" w:eastAsia="黑体"/>
          <w:b w:val="0"/>
        </w:rPr>
      </w:pPr>
      <w:bookmarkStart w:id="66" w:name="_Toc6728"/>
      <w:r>
        <w:rPr>
          <w:rStyle w:val="29"/>
          <w:rFonts w:hint="eastAsia" w:ascii="黑体" w:hAnsi="黑体" w:eastAsia="黑体"/>
          <w:b w:val="0"/>
        </w:rPr>
        <w:t>预算绩效管理情况</w:t>
      </w:r>
      <w:bookmarkEnd w:id="66"/>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一卡通”阳光审批系统建设项目开展了事前绩效评估，对31个项目编制了绩效目标，预算执行过程中，对31个项目开展绩效监控，年终执行完毕后，对31个项目开展了绩效自评，2021年部门预算项目绩效目标自评表（选5个项目公开）见附件（第四部分）。</w:t>
      </w:r>
    </w:p>
    <w:p>
      <w:pPr>
        <w:numPr>
          <w:ilvl w:val="0"/>
          <w:numId w:val="3"/>
        </w:numPr>
        <w:spacing w:line="600" w:lineRule="exact"/>
        <w:ind w:firstLine="640"/>
        <w:outlineLvl w:val="1"/>
        <w:rPr>
          <w:rStyle w:val="29"/>
          <w:rFonts w:ascii="黑体" w:hAnsi="黑体" w:eastAsia="黑体"/>
          <w:b w:val="0"/>
        </w:rPr>
      </w:pPr>
      <w:bookmarkStart w:id="67" w:name="_Toc15373"/>
      <w:r>
        <w:rPr>
          <w:rStyle w:val="29"/>
          <w:rFonts w:hint="eastAsia" w:ascii="黑体" w:hAnsi="黑体" w:eastAsia="黑体"/>
          <w:b w:val="0"/>
        </w:rPr>
        <w:t>其他重要事项的情况说明</w:t>
      </w:r>
      <w:bookmarkEnd w:id="64"/>
      <w:bookmarkEnd w:id="65"/>
      <w:bookmarkEnd w:id="67"/>
    </w:p>
    <w:p>
      <w:pPr>
        <w:spacing w:line="600" w:lineRule="exact"/>
        <w:ind w:firstLine="640" w:firstLineChars="200"/>
        <w:outlineLvl w:val="2"/>
        <w:rPr>
          <w:rFonts w:ascii="仿宋" w:hAnsi="仿宋" w:eastAsia="仿宋"/>
          <w:sz w:val="32"/>
          <w:szCs w:val="32"/>
        </w:rPr>
      </w:pPr>
      <w:bookmarkStart w:id="68" w:name="_Toc15377222"/>
      <w:r>
        <w:rPr>
          <w:rFonts w:hint="eastAsia" w:ascii="仿宋" w:hAnsi="仿宋" w:eastAsia="仿宋"/>
          <w:b/>
          <w:sz w:val="32"/>
          <w:szCs w:val="32"/>
        </w:rPr>
        <w:t>（一）机关运行经费支出情况</w:t>
      </w:r>
      <w:bookmarkEnd w:id="68"/>
    </w:p>
    <w:p>
      <w:pPr>
        <w:spacing w:line="600" w:lineRule="exact"/>
        <w:ind w:firstLine="640" w:firstLineChars="200"/>
        <w:rPr>
          <w:rFonts w:ascii="仿宋" w:hAnsi="仿宋" w:eastAsia="仿宋_GB2312"/>
          <w:b/>
          <w:sz w:val="32"/>
          <w:szCs w:val="32"/>
        </w:rPr>
      </w:pPr>
      <w:r>
        <w:rPr>
          <w:rFonts w:ascii="仿宋_GB2312" w:eastAsia="仿宋_GB2312"/>
          <w:sz w:val="32"/>
          <w:szCs w:val="32"/>
        </w:rPr>
        <w:t>20</w:t>
      </w:r>
      <w:r>
        <w:rPr>
          <w:rFonts w:hint="eastAsia" w:ascii="仿宋_GB2312" w:eastAsia="仿宋_GB2312"/>
          <w:sz w:val="32"/>
          <w:szCs w:val="32"/>
        </w:rPr>
        <w:t>21年，广元市人力资源和社会保障局机关运行经费支出257.54万元，比</w:t>
      </w:r>
      <w:r>
        <w:rPr>
          <w:rFonts w:ascii="仿宋_GB2312" w:eastAsia="仿宋_GB2312"/>
          <w:sz w:val="32"/>
          <w:szCs w:val="32"/>
        </w:rPr>
        <w:t>20</w:t>
      </w:r>
      <w:r>
        <w:rPr>
          <w:rFonts w:hint="eastAsia" w:ascii="仿宋_GB2312" w:eastAsia="仿宋_GB2312"/>
          <w:sz w:val="32"/>
          <w:szCs w:val="32"/>
        </w:rPr>
        <w:t>20年增加20.52万元，增长8.66</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w:t>
      </w:r>
      <w:r>
        <w:rPr>
          <w:rFonts w:hint="eastAsia" w:ascii="仿宋_GB2312" w:eastAsia="仿宋_GB2312"/>
          <w:sz w:val="32"/>
          <w:szCs w:val="32"/>
        </w:rPr>
        <w:t>一是2021年人员增加；二是2021年受疫情因素影响程度较2020年有所缓解，业务活动开展次数比2020年增多，相应的运行经费有所增加。</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69" w:name="_Toc15377223"/>
      <w:r>
        <w:rPr>
          <w:rFonts w:hint="eastAsia" w:ascii="仿宋" w:hAnsi="仿宋" w:eastAsia="仿宋"/>
          <w:b/>
          <w:sz w:val="32"/>
          <w:szCs w:val="32"/>
        </w:rPr>
        <w:t>（二）政府采购支出情况</w:t>
      </w:r>
      <w:bookmarkEnd w:id="69"/>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21年，广元市人力资源和社会保障局机关政府采购支出总额63.11万元，其中：政府采购货物支出63.11万元、政府采购工程支出0万元、政府采购服务支出0万元。主要用于办公设备设施，“一卡通”阳光审批系统建设、信息中心机房UPS电源、精密空调等设施设备的采购。授予中小企业合同金额63.11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70" w:name="_Toc15377224"/>
      <w:r>
        <w:rPr>
          <w:rFonts w:hint="eastAsia" w:ascii="仿宋" w:hAnsi="仿宋" w:eastAsia="仿宋"/>
          <w:b/>
          <w:sz w:val="32"/>
          <w:szCs w:val="32"/>
        </w:rPr>
        <w:t>（三）国有资产占有使用情况</w:t>
      </w:r>
      <w:bookmarkEnd w:id="70"/>
    </w:p>
    <w:p>
      <w:pPr>
        <w:autoSpaceDE w:val="0"/>
        <w:autoSpaceDN w:val="0"/>
        <w:adjustRightInd w:val="0"/>
        <w:spacing w:line="600" w:lineRule="exact"/>
        <w:ind w:firstLine="640" w:firstLineChars="200"/>
        <w:jc w:val="left"/>
        <w:rPr>
          <w:highlight w:val="yellow"/>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日，广元市人力资源和社会保障局机关共有车辆1辆，为其他用车。主要用于</w:t>
      </w:r>
      <w:r>
        <w:rPr>
          <w:rFonts w:hint="eastAsia" w:ascii="仿宋" w:hAnsi="仿宋" w:eastAsia="仿宋"/>
          <w:color w:val="000000"/>
          <w:sz w:val="32"/>
          <w:szCs w:val="32"/>
        </w:rPr>
        <w:t>日常工作开展；单价</w:t>
      </w:r>
      <w:r>
        <w:rPr>
          <w:rFonts w:ascii="仿宋" w:hAnsi="仿宋" w:eastAsia="仿宋"/>
          <w:color w:val="000000"/>
          <w:sz w:val="32"/>
          <w:szCs w:val="32"/>
        </w:rPr>
        <w:t>50</w:t>
      </w:r>
      <w:r>
        <w:rPr>
          <w:rFonts w:hint="eastAsia" w:ascii="仿宋" w:hAnsi="仿宋" w:eastAsia="仿宋"/>
          <w:color w:val="000000"/>
          <w:sz w:val="32"/>
          <w:szCs w:val="32"/>
        </w:rPr>
        <w:t>万元以上通用设备6台（套），单价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71" w:name="_Toc11647"/>
      <w:bookmarkStart w:id="72" w:name="_Toc15396613"/>
      <w:bookmarkStart w:id="73" w:name="_Toc15377225"/>
      <w:bookmarkStart w:id="74" w:name="_Toc21546"/>
      <w:r>
        <w:rPr>
          <w:rFonts w:hint="eastAsia" w:ascii="黑体" w:hAnsi="黑体" w:eastAsia="黑体"/>
          <w:sz w:val="44"/>
          <w:szCs w:val="44"/>
        </w:rPr>
        <w:t>名</w:t>
      </w:r>
      <w:r>
        <w:rPr>
          <w:rStyle w:val="28"/>
          <w:rFonts w:hint="eastAsia" w:ascii="黑体" w:hAnsi="黑体" w:eastAsia="黑体"/>
          <w:b w:val="0"/>
        </w:rPr>
        <w:t>词解释</w:t>
      </w:r>
      <w:bookmarkEnd w:id="71"/>
      <w:bookmarkEnd w:id="72"/>
      <w:bookmarkEnd w:id="73"/>
      <w:bookmarkEnd w:id="74"/>
    </w:p>
    <w:p>
      <w:pPr>
        <w:spacing w:line="600" w:lineRule="exact"/>
        <w:jc w:val="left"/>
        <w:rPr>
          <w:rFonts w:ascii="宋体"/>
          <w:b/>
          <w:sz w:val="44"/>
          <w:szCs w:val="44"/>
        </w:rPr>
      </w:pPr>
    </w:p>
    <w:p>
      <w:pPr>
        <w:pStyle w:val="26"/>
        <w:spacing w:line="560" w:lineRule="exact"/>
        <w:ind w:firstLine="640" w:firstLineChars="200"/>
        <w:outlineLvl w:val="1"/>
        <w:rPr>
          <w:rFonts w:ascii="仿宋_GB2312" w:eastAsia="仿宋_GB2312"/>
          <w:sz w:val="32"/>
          <w:szCs w:val="32"/>
        </w:rPr>
      </w:pPr>
      <w:bookmarkStart w:id="75" w:name="_Toc29138"/>
      <w:bookmarkStart w:id="76" w:name="_Toc13822"/>
      <w:r>
        <w:rPr>
          <w:rFonts w:ascii="仿宋_GB2312" w:eastAsia="仿宋_GB2312"/>
          <w:sz w:val="32"/>
          <w:szCs w:val="32"/>
        </w:rPr>
        <w:t>1.</w:t>
      </w:r>
      <w:r>
        <w:rPr>
          <w:rFonts w:hint="eastAsia" w:ascii="仿宋_GB2312" w:eastAsia="仿宋_GB2312"/>
          <w:sz w:val="32"/>
          <w:szCs w:val="32"/>
        </w:rPr>
        <w:t>财政拨款收入：反映单位从同级财政部门取得的财政预算资金。</w:t>
      </w:r>
      <w:bookmarkEnd w:id="75"/>
      <w:bookmarkEnd w:id="76"/>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年初结转和结余：反映以前年度尚未完成、结转到本年按有关规定继续使用的资金。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.年末结转和结余：反映单位按有关规定结转到下年或以后年度继续使用的资金。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一般公共服务（类）组织事务（款）其他组织事务支出（项）：反映除上述项目以外其他用于中国共产党组织部门的事务支出。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 xml:space="preserve"> 社会保障和就业支出（类）人力资源和社会保障管理事务（款）行政运行（项）：反映行政单位（包括实行公务员管理的事业单位）的基本支出。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 xml:space="preserve"> 社会保障和就业支出（类）人力资源和社会保障管理事务（款）一般行政管理事务（项）：反映行政单位（包括实行公务员管理的事业单位）未单独设置顶级科目其他项目支出。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 社会保障和就业支出（类）人力资源和社会保障管理事务（款）社会保险业务管理事务（项）：反映社会保险业务管理和基金监督方面的支出。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 社会保障和就业支出（类）人力资源和社会保障管理事务（款）信息化建设（项）：反映人力资源和社会保障部门用于信息化建设、运行维护和数据分析等方面的支出，如：金保工程、社会保障卡建设和运行维护、人力资源市场信息化等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 社会保障和就业支出（类）人力资源和社会保障管理事务（款）劳动关系维和（项）：反映劳动关系和维权事务支出。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.社会保障和就业支出（类）人力资源和社会保障管理事务（款）引进人才费用（项）：反映用于引进外国专家补助、引智成果推广等方面的支出。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.社会保障和就业支出（类）人力资源和社会保障管理事务（款）事业运行（项）：反映事业单位的基本支出，不包括行政单位（包括实行公务员管理的事业单位）后勤服务中心、医务室等附属事业单位。</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 社会保障和就业支出（类）人力资源和社会保障管理事务（款）其他人力资源和社会保障管理事务支出（项）：反映除上述项目以外其他人力资源和社会保障管理事务方面的支出。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 社会保障和就业支出（类）行政事业单位离退休（款）行政单位离退休（项）：反映行政单位的行政单位（包括实行公务员管理的事业单位）开支的离退休支出。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 社会保障和就业支出（类）行政事业单位离退休（款）机关事业单位基本养老保险缴费支出（项）：反映机关事业单位实施养老保险制度有单位缴纳的基本养老保险费支出。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 社会保障和就业支出（类）行政事业单位离退休（款）机关事业单位职业年金缴费支出（项）：反映机关事业单位实施养老保险制度由单位实际缴纳的职业年金支出。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 社会保障和就业支出（类）就业补助（款）其他就业补助支出（项）：反映除上述项目以外按规定确定的其他用于促进就业的补助支出。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hint="eastAsia" w:ascii="仿宋_GB2312" w:eastAsia="仿宋_GB2312"/>
          <w:sz w:val="32"/>
          <w:szCs w:val="32"/>
        </w:rPr>
        <w:t>. 社会保障和就业支出（类）抚恤（款）死亡抚恤（项）：反映按规定用于烈士和牺牲、病故人员家属的一次性和定期抚恤金以及丧葬补助费。</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.社会保障和就业支出（类）其他社会保障和就业支出（款）其他社会保障和就业支出（项）：反映上述项目以外其他用于社会保障和就业方面的支出。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0</w:t>
      </w:r>
      <w:r>
        <w:rPr>
          <w:rFonts w:hint="eastAsia" w:ascii="仿宋_GB2312" w:eastAsia="仿宋_GB2312"/>
          <w:sz w:val="32"/>
          <w:szCs w:val="32"/>
        </w:rPr>
        <w:t>. 医疗卫生与计划生育支出（类）行政事业单位医疗（款）行政单位医疗（项）：反映财政部门集中安排的行政单位基本医疗保险缴费经费、未参加医疗保险的行政单位公费医疗经费，按国家规定享受离退休人员、红军老战士待遇人员的医疗经费。</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 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ascii="黑体" w:hAnsi="黑体" w:eastAsia="黑体"/>
          <w:b w:val="0"/>
        </w:rPr>
      </w:pPr>
      <w:bookmarkStart w:id="77" w:name="_Toc15377226"/>
      <w:r>
        <w:rPr>
          <w:rFonts w:ascii="宋体"/>
          <w:b/>
          <w:sz w:val="44"/>
          <w:szCs w:val="44"/>
        </w:rPr>
        <w:br w:type="page"/>
      </w:r>
      <w:bookmarkStart w:id="78" w:name="_Toc5166"/>
      <w:bookmarkStart w:id="79" w:name="_Toc17425"/>
      <w:bookmarkStart w:id="80" w:name="_Toc15396614"/>
      <w:r>
        <w:rPr>
          <w:rFonts w:hint="eastAsia" w:ascii="黑体" w:hAnsi="黑体" w:eastAsia="黑体"/>
          <w:sz w:val="44"/>
          <w:szCs w:val="44"/>
        </w:rPr>
        <w:t>第</w:t>
      </w:r>
      <w:r>
        <w:rPr>
          <w:rStyle w:val="28"/>
          <w:rFonts w:hint="eastAsia" w:ascii="黑体" w:hAnsi="黑体" w:eastAsia="黑体"/>
          <w:b w:val="0"/>
        </w:rPr>
        <w:t>四部分 附件</w:t>
      </w:r>
      <w:bookmarkEnd w:id="78"/>
      <w:bookmarkEnd w:id="79"/>
      <w:bookmarkEnd w:id="80"/>
    </w:p>
    <w:p>
      <w:pPr>
        <w:pStyle w:val="5"/>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pacing w:val="-20"/>
          <w:sz w:val="44"/>
          <w:szCs w:val="44"/>
          <w:lang w:val="zh-CN"/>
        </w:rPr>
      </w:pPr>
      <w:bookmarkStart w:id="81" w:name="_Toc15396618"/>
      <w:r>
        <w:rPr>
          <w:rFonts w:hint="eastAsia" w:ascii="方正小标宋简体" w:hAnsi="方正小标宋简体" w:eastAsia="方正小标宋简体" w:cs="方正小标宋简体"/>
          <w:spacing w:val="-20"/>
          <w:sz w:val="44"/>
          <w:szCs w:val="44"/>
        </w:rPr>
        <w:t>2021年</w:t>
      </w:r>
      <w:r>
        <w:rPr>
          <w:rFonts w:hint="eastAsia" w:ascii="方正小标宋简体" w:hAnsi="方正小标宋简体" w:eastAsia="方正小标宋简体" w:cs="方正小标宋简体"/>
          <w:spacing w:val="-20"/>
          <w:sz w:val="44"/>
          <w:szCs w:val="44"/>
          <w:lang w:val="zh-CN"/>
        </w:rPr>
        <w:t>专项预算项目支出绩效自评报告（一）</w:t>
      </w:r>
    </w:p>
    <w:p>
      <w:pPr>
        <w:spacing w:line="600" w:lineRule="exact"/>
        <w:ind w:firstLine="883"/>
        <w:rPr>
          <w:rFonts w:ascii="仿宋_GB2312" w:hAnsi="宋体" w:eastAsia="仿宋_GB2312"/>
          <w:sz w:val="32"/>
          <w:szCs w:val="32"/>
          <w:lang w:val="zh-CN"/>
        </w:rPr>
      </w:pPr>
      <w:r>
        <w:rPr>
          <w:rFonts w:hint="eastAsia" w:ascii="仿宋_GB2312" w:hAnsi="宋体" w:eastAsia="仿宋_GB2312"/>
          <w:sz w:val="32"/>
          <w:szCs w:val="32"/>
          <w:lang w:val="zh-CN"/>
        </w:rPr>
        <w:t>（"一卡通"阳光审批平台建设采购资金项目）</w:t>
      </w:r>
    </w:p>
    <w:p>
      <w:pPr>
        <w:spacing w:line="560" w:lineRule="exact"/>
        <w:ind w:firstLine="641" w:firstLineChars="200"/>
        <w:rPr>
          <w:rFonts w:ascii="黑体" w:eastAsia="黑体" w:cs="黑体"/>
          <w:b/>
          <w:bCs/>
          <w:sz w:val="32"/>
          <w:szCs w:val="32"/>
        </w:rPr>
      </w:pPr>
    </w:p>
    <w:p>
      <w:pPr>
        <w:spacing w:line="560" w:lineRule="exact"/>
        <w:ind w:firstLine="641" w:firstLineChars="200"/>
        <w:outlineLvl w:val="1"/>
        <w:rPr>
          <w:rFonts w:ascii="黑体" w:eastAsia="黑体"/>
          <w:b/>
          <w:bCs/>
          <w:sz w:val="32"/>
          <w:szCs w:val="32"/>
        </w:rPr>
      </w:pPr>
      <w:bookmarkStart w:id="82" w:name="_Toc29052"/>
      <w:bookmarkStart w:id="83" w:name="_Toc29727"/>
      <w:r>
        <w:rPr>
          <w:rFonts w:hint="eastAsia" w:ascii="黑体" w:eastAsia="黑体" w:cs="黑体"/>
          <w:b/>
          <w:bCs/>
          <w:sz w:val="32"/>
          <w:szCs w:val="32"/>
        </w:rPr>
        <w:t>一、项目概况</w:t>
      </w:r>
      <w:bookmarkEnd w:id="82"/>
      <w:bookmarkEnd w:id="83"/>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（一）项目基本情况。</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cs="仿宋_GB2312"/>
          <w:sz w:val="32"/>
          <w:szCs w:val="32"/>
        </w:rPr>
        <w:t>根据</w:t>
      </w:r>
      <w:r>
        <w:rPr>
          <w:rFonts w:hint="eastAsia" w:ascii="仿宋_GB2312" w:eastAsia="仿宋_GB2312" w:cs="仿宋_GB2312"/>
          <w:kern w:val="0"/>
          <w:sz w:val="32"/>
          <w:szCs w:val="32"/>
          <w:lang w:val="zh-CN"/>
        </w:rPr>
        <w:t>省财政厅《关于进一步推进惠民惠农财政补贴资金“一卡通”阳光审批工作的通知》（川财办〔</w:t>
      </w:r>
      <w:r>
        <w:rPr>
          <w:rFonts w:ascii="仿宋_GB2312" w:eastAsia="仿宋_GB2312" w:cs="仿宋_GB2312"/>
          <w:kern w:val="0"/>
          <w:sz w:val="32"/>
          <w:szCs w:val="32"/>
          <w:lang w:val="zh-CN"/>
        </w:rPr>
        <w:t>2021</w:t>
      </w:r>
      <w:r>
        <w:rPr>
          <w:rFonts w:hint="eastAsia" w:ascii="仿宋_GB2312" w:eastAsia="仿宋_GB2312" w:cs="仿宋_GB2312"/>
          <w:kern w:val="0"/>
          <w:sz w:val="32"/>
          <w:szCs w:val="32"/>
          <w:lang w:val="zh-CN"/>
        </w:rPr>
        <w:t>〕</w:t>
      </w:r>
      <w:r>
        <w:rPr>
          <w:rFonts w:ascii="仿宋_GB2312" w:eastAsia="仿宋_GB2312" w:cs="仿宋_GB2312"/>
          <w:kern w:val="0"/>
          <w:sz w:val="32"/>
          <w:szCs w:val="32"/>
          <w:lang w:val="zh-CN"/>
        </w:rPr>
        <w:t>3</w:t>
      </w:r>
      <w:r>
        <w:rPr>
          <w:rFonts w:hint="eastAsia" w:ascii="仿宋_GB2312" w:eastAsia="仿宋_GB2312" w:cs="仿宋_GB2312"/>
          <w:kern w:val="0"/>
          <w:sz w:val="32"/>
          <w:szCs w:val="32"/>
          <w:lang w:val="zh-CN"/>
        </w:rPr>
        <w:t>号）、省财政厅等</w:t>
      </w:r>
      <w:r>
        <w:rPr>
          <w:rFonts w:ascii="仿宋_GB2312" w:eastAsia="仿宋_GB2312" w:cs="仿宋_GB2312"/>
          <w:kern w:val="0"/>
          <w:sz w:val="32"/>
          <w:szCs w:val="32"/>
          <w:lang w:val="zh-CN"/>
        </w:rPr>
        <w:t>7</w:t>
      </w:r>
      <w:r>
        <w:rPr>
          <w:rFonts w:hint="eastAsia" w:ascii="仿宋_GB2312" w:eastAsia="仿宋_GB2312" w:cs="仿宋_GB2312"/>
          <w:kern w:val="0"/>
          <w:sz w:val="32"/>
          <w:szCs w:val="32"/>
          <w:lang w:val="zh-CN"/>
        </w:rPr>
        <w:t>部门联合印发的《关于加强惠民惠农财政补贴资金“一卡通”管理的通知》（川财办〔</w:t>
      </w:r>
      <w:r>
        <w:rPr>
          <w:rFonts w:ascii="仿宋_GB2312" w:eastAsia="仿宋_GB2312" w:cs="仿宋_GB2312"/>
          <w:kern w:val="0"/>
          <w:sz w:val="32"/>
          <w:szCs w:val="32"/>
          <w:lang w:val="zh-CN"/>
        </w:rPr>
        <w:t>2021</w:t>
      </w:r>
      <w:r>
        <w:rPr>
          <w:rFonts w:hint="eastAsia" w:ascii="仿宋_GB2312" w:eastAsia="仿宋_GB2312" w:cs="仿宋_GB2312"/>
          <w:kern w:val="0"/>
          <w:sz w:val="32"/>
          <w:szCs w:val="32"/>
          <w:lang w:val="zh-CN"/>
        </w:rPr>
        <w:t>〕</w:t>
      </w:r>
      <w:r>
        <w:rPr>
          <w:rFonts w:ascii="仿宋_GB2312" w:eastAsia="仿宋_GB2312" w:cs="仿宋_GB2312"/>
          <w:kern w:val="0"/>
          <w:sz w:val="32"/>
          <w:szCs w:val="32"/>
          <w:lang w:val="zh-CN"/>
        </w:rPr>
        <w:t>6</w:t>
      </w:r>
      <w:r>
        <w:rPr>
          <w:rFonts w:hint="eastAsia" w:ascii="仿宋_GB2312" w:eastAsia="仿宋_GB2312" w:cs="仿宋_GB2312"/>
          <w:kern w:val="0"/>
          <w:sz w:val="32"/>
          <w:szCs w:val="32"/>
          <w:lang w:val="zh-CN"/>
        </w:rPr>
        <w:t>号）和全省惠民惠农“一卡通”阳光审批系统建设推进会精神，要求</w:t>
      </w:r>
      <w:r>
        <w:rPr>
          <w:rFonts w:ascii="仿宋_GB2312" w:eastAsia="仿宋_GB2312" w:cs="仿宋_GB2312"/>
          <w:kern w:val="0"/>
          <w:sz w:val="32"/>
          <w:szCs w:val="32"/>
          <w:lang w:val="zh-CN"/>
        </w:rPr>
        <w:t>2021</w:t>
      </w:r>
      <w:r>
        <w:rPr>
          <w:rFonts w:hint="eastAsia" w:ascii="仿宋_GB2312" w:eastAsia="仿宋_GB2312" w:cs="仿宋_GB2312"/>
          <w:kern w:val="0"/>
          <w:sz w:val="32"/>
          <w:szCs w:val="32"/>
          <w:lang w:val="zh-CN"/>
        </w:rPr>
        <w:t>年</w:t>
      </w:r>
      <w:r>
        <w:rPr>
          <w:rFonts w:ascii="仿宋_GB2312" w:eastAsia="仿宋_GB2312" w:cs="仿宋_GB2312"/>
          <w:kern w:val="0"/>
          <w:sz w:val="32"/>
          <w:szCs w:val="32"/>
          <w:lang w:val="zh-CN"/>
        </w:rPr>
        <w:t>9</w:t>
      </w:r>
      <w:r>
        <w:rPr>
          <w:rFonts w:hint="eastAsia" w:ascii="仿宋_GB2312" w:eastAsia="仿宋_GB2312" w:cs="仿宋_GB2312"/>
          <w:kern w:val="0"/>
          <w:sz w:val="32"/>
          <w:szCs w:val="32"/>
          <w:lang w:val="zh-CN"/>
        </w:rPr>
        <w:t>月底前，市县两级全面建成“一卡通”阳光审批系统。</w:t>
      </w:r>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（二）项目绩效目标。</w:t>
      </w:r>
    </w:p>
    <w:p>
      <w:pPr>
        <w:spacing w:line="560" w:lineRule="exact"/>
        <w:ind w:firstLine="640" w:firstLineChars="200"/>
        <w:rPr>
          <w:rFonts w:ascii="楷体_GB2312" w:eastAsia="楷体_GB2312"/>
          <w:b/>
          <w:bCs/>
          <w:sz w:val="32"/>
          <w:szCs w:val="32"/>
        </w:rPr>
      </w:pPr>
      <w:r>
        <w:rPr>
          <w:rFonts w:hint="eastAsia" w:ascii="仿宋_GB2312" w:hAnsi="Calibri" w:eastAsia="仿宋_GB2312" w:cs="仿宋_GB2312"/>
          <w:sz w:val="32"/>
          <w:szCs w:val="32"/>
        </w:rPr>
        <w:t>该项目预期在</w:t>
      </w:r>
      <w:r>
        <w:rPr>
          <w:rFonts w:ascii="仿宋_GB2312" w:hAnsi="Calibri" w:eastAsia="仿宋_GB2312" w:cs="仿宋_GB2312"/>
          <w:sz w:val="32"/>
          <w:szCs w:val="32"/>
        </w:rPr>
        <w:t>202</w:t>
      </w:r>
      <w:r>
        <w:rPr>
          <w:rFonts w:hint="eastAsia" w:ascii="仿宋_GB2312" w:hAnsi="Calibri" w:eastAsia="仿宋_GB2312" w:cs="仿宋_GB2312"/>
          <w:sz w:val="32"/>
          <w:szCs w:val="32"/>
        </w:rPr>
        <w:t>1年9月底前，建成</w:t>
      </w:r>
      <w:r>
        <w:rPr>
          <w:rFonts w:hint="eastAsia" w:ascii="仿宋_GB2312" w:eastAsia="仿宋_GB2312" w:cs="仿宋_GB2312"/>
          <w:kern w:val="0"/>
          <w:sz w:val="32"/>
          <w:szCs w:val="32"/>
          <w:lang w:val="zh-CN"/>
        </w:rPr>
        <w:t>“一卡通”阳光审批系统并上线试运行</w:t>
      </w:r>
      <w:r>
        <w:rPr>
          <w:rFonts w:hint="eastAsia" w:ascii="仿宋_GB2312" w:hAnsi="Calibri" w:eastAsia="仿宋_GB2312" w:cs="仿宋_GB2312"/>
          <w:sz w:val="32"/>
          <w:szCs w:val="32"/>
        </w:rPr>
        <w:t>。</w:t>
      </w:r>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（三）资金申报相符性。</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项目资金的内容与我单位开展</w:t>
      </w:r>
      <w:r>
        <w:rPr>
          <w:rFonts w:hint="eastAsia" w:ascii="仿宋_GB2312" w:hAnsi="Calibri" w:eastAsia="仿宋_GB2312" w:cs="仿宋_GB2312"/>
          <w:sz w:val="32"/>
          <w:szCs w:val="32"/>
        </w:rPr>
        <w:t>广元市</w:t>
      </w:r>
      <w:r>
        <w:rPr>
          <w:rFonts w:hint="eastAsia" w:ascii="仿宋_GB2312" w:eastAsia="仿宋_GB2312" w:cs="仿宋_GB2312"/>
          <w:kern w:val="0"/>
          <w:sz w:val="32"/>
          <w:szCs w:val="32"/>
          <w:lang w:val="zh-CN"/>
        </w:rPr>
        <w:t>“一卡通”阳光审批系统建设</w:t>
      </w:r>
      <w:r>
        <w:rPr>
          <w:rFonts w:hint="eastAsia" w:ascii="仿宋_GB2312" w:hAnsi="Calibri" w:eastAsia="仿宋_GB2312" w:cs="仿宋_GB2312"/>
          <w:sz w:val="32"/>
          <w:szCs w:val="32"/>
        </w:rPr>
        <w:t>工作活动</w:t>
      </w:r>
      <w:r>
        <w:rPr>
          <w:rFonts w:hint="eastAsia" w:ascii="仿宋_GB2312" w:eastAsia="仿宋_GB2312" w:cs="仿宋_GB2312"/>
          <w:sz w:val="32"/>
          <w:szCs w:val="32"/>
        </w:rPr>
        <w:t>内容完全相符、申报目标经测算是合理可行的。</w:t>
      </w:r>
    </w:p>
    <w:p>
      <w:pPr>
        <w:adjustRightInd w:val="0"/>
        <w:snapToGrid w:val="0"/>
        <w:spacing w:line="560" w:lineRule="exact"/>
        <w:ind w:firstLine="720"/>
        <w:outlineLvl w:val="1"/>
        <w:rPr>
          <w:rFonts w:ascii="黑体" w:hAnsi="宋体" w:eastAsia="黑体"/>
          <w:sz w:val="32"/>
          <w:szCs w:val="32"/>
        </w:rPr>
      </w:pPr>
      <w:bookmarkStart w:id="84" w:name="_Toc8766"/>
      <w:bookmarkStart w:id="85" w:name="_Toc10827"/>
      <w:r>
        <w:rPr>
          <w:rFonts w:hint="eastAsia" w:ascii="黑体" w:hAnsi="宋体" w:eastAsia="黑体" w:cs="黑体"/>
          <w:sz w:val="32"/>
          <w:szCs w:val="32"/>
        </w:rPr>
        <w:t>二、项目资金申报及使用情况</w:t>
      </w:r>
      <w:bookmarkEnd w:id="84"/>
      <w:bookmarkEnd w:id="85"/>
    </w:p>
    <w:p>
      <w:pPr>
        <w:adjustRightInd w:val="0"/>
        <w:snapToGrid w:val="0"/>
        <w:spacing w:line="560" w:lineRule="exact"/>
        <w:ind w:firstLine="720"/>
        <w:rPr>
          <w:rFonts w:ascii="仿宋_GB2312" w:hAnsi="宋体" w:eastAsia="仿宋_GB2312"/>
          <w:sz w:val="32"/>
          <w:szCs w:val="32"/>
        </w:rPr>
      </w:pPr>
      <w:r>
        <w:rPr>
          <w:rFonts w:hint="eastAsia" w:ascii="楷体_GB2312" w:eastAsia="楷体_GB2312" w:cs="楷体_GB2312"/>
          <w:b/>
          <w:bCs/>
          <w:sz w:val="32"/>
          <w:szCs w:val="32"/>
        </w:rPr>
        <w:t>（一）资金申报及批复情况</w:t>
      </w:r>
      <w:r>
        <w:rPr>
          <w:rFonts w:hint="eastAsia" w:ascii="仿宋_GB2312" w:eastAsia="仿宋_GB2312" w:cs="仿宋_GB2312"/>
          <w:spacing w:val="-8"/>
          <w:sz w:val="32"/>
          <w:szCs w:val="32"/>
        </w:rPr>
        <w:t>。</w:t>
      </w:r>
      <w:r>
        <w:rPr>
          <w:rFonts w:hint="eastAsia" w:ascii="仿宋_GB2312" w:hAnsi="宋体" w:eastAsia="仿宋_GB2312" w:cs="仿宋_GB2312"/>
          <w:sz w:val="32"/>
          <w:szCs w:val="32"/>
          <w:lang w:val="zh-CN"/>
        </w:rPr>
        <w:t>经市委、市政府主要领导批示，市财政局调整2021年度预算300万元为</w:t>
      </w:r>
      <w:r>
        <w:rPr>
          <w:rFonts w:hint="eastAsia" w:ascii="仿宋_GB2312" w:hAnsi="Calibri" w:eastAsia="仿宋_GB2312" w:cs="仿宋_GB2312"/>
          <w:sz w:val="32"/>
          <w:szCs w:val="32"/>
        </w:rPr>
        <w:t>广元市“一卡通”阳光审批系统建设</w:t>
      </w:r>
      <w:r>
        <w:rPr>
          <w:rFonts w:hint="eastAsia" w:ascii="仿宋_GB2312" w:hAnsi="宋体" w:eastAsia="仿宋_GB2312" w:cs="仿宋_GB2312"/>
          <w:sz w:val="32"/>
          <w:szCs w:val="32"/>
          <w:lang w:val="zh-CN"/>
        </w:rPr>
        <w:t>项目经费。</w:t>
      </w:r>
    </w:p>
    <w:p>
      <w:pPr>
        <w:spacing w:line="560" w:lineRule="exact"/>
        <w:ind w:firstLine="641" w:firstLineChars="200"/>
        <w:rPr>
          <w:rFonts w:ascii="仿宋_GB2312" w:hAnsi="宋体" w:eastAsia="仿宋_GB2312" w:cs="仿宋_GB2312"/>
          <w:sz w:val="32"/>
          <w:szCs w:val="32"/>
          <w:lang w:val="zh-CN"/>
        </w:rPr>
      </w:pPr>
      <w:r>
        <w:rPr>
          <w:rFonts w:hint="eastAsia" w:ascii="楷体_GB2312" w:eastAsia="楷体_GB2312" w:cs="楷体_GB2312"/>
          <w:b/>
          <w:bCs/>
          <w:sz w:val="32"/>
          <w:szCs w:val="32"/>
        </w:rPr>
        <w:t>（二）资金计划、到位、使用情况</w:t>
      </w:r>
      <w:r>
        <w:rPr>
          <w:rFonts w:hint="eastAsia" w:ascii="仿宋_GB2312" w:eastAsia="仿宋_GB2312" w:cs="仿宋_GB2312"/>
          <w:sz w:val="32"/>
          <w:szCs w:val="32"/>
        </w:rPr>
        <w:t>。</w:t>
      </w:r>
      <w:r>
        <w:rPr>
          <w:rFonts w:hint="eastAsia" w:ascii="仿宋_GB2312" w:hAnsi="宋体" w:eastAsia="仿宋_GB2312" w:cs="仿宋_GB2312"/>
          <w:sz w:val="32"/>
          <w:szCs w:val="32"/>
          <w:lang w:val="zh-CN"/>
        </w:rPr>
        <w:t>该项目资金计划300万元，到位300万元，资金到位率</w:t>
      </w:r>
      <w:r>
        <w:rPr>
          <w:rFonts w:ascii="仿宋_GB2312" w:hAnsi="宋体" w:eastAsia="仿宋_GB2312" w:cs="仿宋_GB2312"/>
          <w:sz w:val="32"/>
          <w:szCs w:val="32"/>
          <w:lang w:val="zh-CN"/>
        </w:rPr>
        <w:t>100%</w:t>
      </w:r>
      <w:r>
        <w:rPr>
          <w:rFonts w:hint="eastAsia" w:ascii="仿宋_GB2312" w:hAnsi="宋体" w:eastAsia="仿宋_GB2312" w:cs="仿宋_GB2312"/>
          <w:sz w:val="32"/>
          <w:szCs w:val="32"/>
          <w:lang w:val="zh-CN"/>
        </w:rPr>
        <w:t>，为本级财政拨款资金。截止到评价日，该项目资金已使用</w:t>
      </w:r>
      <w:r>
        <w:rPr>
          <w:rFonts w:hint="eastAsia" w:ascii="仿宋_GB2312" w:hAnsi="宋体" w:eastAsia="仿宋_GB2312" w:cs="仿宋_GB2312"/>
          <w:color w:val="000000" w:themeColor="text1"/>
          <w:sz w:val="32"/>
          <w:szCs w:val="32"/>
          <w:lang w:val="en-US" w:eastAsia="zh-CN"/>
        </w:rPr>
        <w:t>269.03</w:t>
      </w:r>
      <w:r>
        <w:rPr>
          <w:rFonts w:hint="eastAsia" w:ascii="仿宋_GB2312" w:hAnsi="宋体" w:eastAsia="仿宋_GB2312" w:cs="仿宋_GB2312"/>
          <w:color w:val="000000" w:themeColor="text1"/>
          <w:sz w:val="32"/>
          <w:szCs w:val="32"/>
          <w:lang w:val="zh-CN"/>
        </w:rPr>
        <w:t>万元，完成支付239.44</w:t>
      </w:r>
      <w:r>
        <w:rPr>
          <w:rFonts w:hint="eastAsia" w:ascii="仿宋_GB2312" w:hAnsi="宋体" w:eastAsia="仿宋_GB2312" w:cs="仿宋_GB2312"/>
          <w:sz w:val="32"/>
          <w:szCs w:val="32"/>
          <w:lang w:val="zh-CN"/>
        </w:rPr>
        <w:t>万元，预算支出未发现无预算、超预算支出，资金使用安全、规范及有效，资金支付范围、支付标准、支付进度、支付依据等合规合法、与预算相符，未发现虚列支出、挤占、挪用、转移财政资金行为。</w:t>
      </w:r>
    </w:p>
    <w:p>
      <w:pPr>
        <w:spacing w:line="560" w:lineRule="exact"/>
        <w:ind w:firstLine="641" w:firstLineChars="200"/>
        <w:outlineLvl w:val="1"/>
        <w:rPr>
          <w:rFonts w:ascii="黑体" w:eastAsia="黑体"/>
          <w:b/>
          <w:bCs/>
          <w:sz w:val="32"/>
          <w:szCs w:val="32"/>
        </w:rPr>
      </w:pPr>
      <w:bookmarkStart w:id="86" w:name="_Toc13097"/>
      <w:bookmarkStart w:id="87" w:name="_Toc1270"/>
      <w:r>
        <w:rPr>
          <w:rFonts w:hint="eastAsia" w:ascii="黑体" w:eastAsia="黑体" w:cs="黑体"/>
          <w:b/>
          <w:bCs/>
          <w:sz w:val="32"/>
          <w:szCs w:val="32"/>
        </w:rPr>
        <w:t>三、项目实施及管理情况</w:t>
      </w:r>
      <w:bookmarkEnd w:id="86"/>
      <w:bookmarkEnd w:id="87"/>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（一）项目组织架构及实施情况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该项目由纪检监察部门、财政部门、人力资源社会保障部门、公安部门、审计部门和银保监部门等7部门联合推进落实。</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我局对“一卡通”阳光审批系统进行了建设、维护和管理；对使用系统的业务主管部门进行操作培训；延伸查询公示至天府通办APP；开展系统使用宣传。</w:t>
      </w:r>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（二）项目管理情况</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cs="仿宋_GB2312"/>
          <w:sz w:val="32"/>
          <w:szCs w:val="32"/>
        </w:rPr>
        <w:t>根据《广元市惠民惠农财政补贴资金社会保障卡“一卡通”管理暂行办法》严格进行项目实施和管理。</w:t>
      </w:r>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（三）项目监管情况</w:t>
      </w:r>
    </w:p>
    <w:p>
      <w:pPr>
        <w:spacing w:line="560" w:lineRule="exact"/>
        <w:rPr>
          <w:rFonts w:ascii="楷体_GB2312" w:eastAsia="楷体_GB2312"/>
          <w:b/>
          <w:bCs/>
          <w:sz w:val="32"/>
          <w:szCs w:val="32"/>
        </w:rPr>
      </w:pPr>
      <w:r>
        <w:rPr>
          <w:rFonts w:ascii="楷体_GB2312" w:eastAsia="楷体_GB2312" w:cs="楷体_GB2312"/>
          <w:b/>
          <w:bCs/>
          <w:sz w:val="32"/>
          <w:szCs w:val="32"/>
        </w:rPr>
        <w:t xml:space="preserve">    </w:t>
      </w:r>
      <w:r>
        <w:rPr>
          <w:rFonts w:hint="eastAsia" w:ascii="仿宋_GB2312" w:hAnsi="Calibri" w:eastAsia="仿宋_GB2312" w:cs="仿宋_GB2312"/>
          <w:sz w:val="32"/>
          <w:szCs w:val="32"/>
        </w:rPr>
        <w:t>根据《广元市惠民惠农财政补贴资金社会保障卡“一卡通”管理暂行办法》，</w:t>
      </w:r>
      <w:r>
        <w:rPr>
          <w:rFonts w:hint="eastAsia" w:ascii="仿宋_GB2312" w:hAnsi="宋体" w:eastAsia="仿宋_GB2312" w:cs="仿宋_GB2312"/>
          <w:sz w:val="32"/>
          <w:szCs w:val="32"/>
        </w:rPr>
        <w:t>该项目分别由纪检监察部门、审计部门、银保监部门对各个环节进行监督检查和处理。</w:t>
      </w:r>
    </w:p>
    <w:p>
      <w:pPr>
        <w:spacing w:line="560" w:lineRule="exact"/>
        <w:ind w:firstLine="641" w:firstLineChars="200"/>
        <w:outlineLvl w:val="1"/>
        <w:rPr>
          <w:rFonts w:ascii="黑体" w:eastAsia="黑体"/>
          <w:b/>
          <w:bCs/>
          <w:sz w:val="32"/>
          <w:szCs w:val="32"/>
        </w:rPr>
      </w:pPr>
      <w:bookmarkStart w:id="88" w:name="_Toc24001"/>
      <w:bookmarkStart w:id="89" w:name="_Toc11233"/>
      <w:r>
        <w:rPr>
          <w:rFonts w:hint="eastAsia" w:ascii="黑体" w:eastAsia="黑体" w:cs="黑体"/>
          <w:b/>
          <w:bCs/>
          <w:sz w:val="32"/>
          <w:szCs w:val="32"/>
        </w:rPr>
        <w:t>四、项目绩效情况</w:t>
      </w:r>
      <w:bookmarkEnd w:id="88"/>
      <w:bookmarkEnd w:id="89"/>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（一）项目完成情况</w:t>
      </w:r>
    </w:p>
    <w:p>
      <w:pPr>
        <w:pStyle w:val="14"/>
        <w:spacing w:line="560" w:lineRule="exact"/>
        <w:ind w:left="0" w:leftChars="0" w:firstLine="640"/>
        <w:rPr>
          <w:rFonts w:ascii="仿宋_GB2312" w:eastAsia="仿宋_GB2312"/>
          <w:sz w:val="32"/>
          <w:szCs w:val="32"/>
        </w:rPr>
      </w:pPr>
      <w:r>
        <w:rPr>
          <w:rFonts w:hint="eastAsia" w:ascii="仿宋_GB2312" w:eastAsia="仿宋_GB2312" w:cs="仿宋_GB2312"/>
          <w:sz w:val="32"/>
          <w:szCs w:val="32"/>
        </w:rPr>
        <w:t>2021年9月18日，系统上线试运行，全市纳入“一卡通”阳光审批系统项目42个，其中省级项目13个，市级项目29个。已通过“一卡通”系统申报补贴1216.8万人次，实现发放43.23亿元，惠及126.88万人。</w:t>
      </w:r>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（二）项目效益情况</w:t>
      </w:r>
    </w:p>
    <w:p>
      <w:pPr>
        <w:adjustRightInd w:val="0"/>
        <w:snapToGrid w:val="0"/>
        <w:spacing w:line="576" w:lineRule="exact"/>
        <w:ind w:firstLine="720"/>
        <w:rPr>
          <w:rFonts w:ascii="仿宋_GB2312" w:hAnsi="Calibri" w:eastAsia="仿宋_GB2312" w:cs="仿宋_GB2312"/>
          <w:sz w:val="32"/>
          <w:szCs w:val="32"/>
        </w:rPr>
      </w:pPr>
      <w:bookmarkStart w:id="90" w:name="_Toc71038136"/>
      <w:r>
        <w:rPr>
          <w:rFonts w:hint="eastAsia" w:ascii="仿宋_GB2312" w:hAnsi="Calibri" w:eastAsia="仿宋_GB2312" w:cs="仿宋_GB2312"/>
          <w:sz w:val="32"/>
          <w:szCs w:val="32"/>
        </w:rPr>
        <w:t>1、经济效益分析</w:t>
      </w:r>
      <w:bookmarkEnd w:id="90"/>
      <w:r>
        <w:rPr>
          <w:rFonts w:hint="eastAsia" w:ascii="仿宋_GB2312" w:hAnsi="Calibri" w:eastAsia="仿宋_GB2312" w:cs="仿宋_GB2312"/>
          <w:sz w:val="32"/>
          <w:szCs w:val="32"/>
        </w:rPr>
        <w:t>。一是提高行政效率，降低行政管理成本。广元市惠民惠农财政补贴“一卡通”监管发放阳光审批平台项目实现从“阳光审批”到“阳光发放”的全方位监管的全程信息化，使业务经办人员能够专注于管理与服务，将更多的精力投入到为权益保障服务工作中去，提升行政效率的同时，还降低了行政成本。二是统一规划建设，节约建设和运行资金。统一设计、统一开发应用系统，可以节省大量的建设费用和政府采购成本，充分发挥应用软件及维护的规模效益，降低管理成本，同时也避免了标准不统一造成的网络无法互联的问题。三是促进业务规范化，防止资金“跑冒滴漏”。在惠民惠农管理服务工作中，有诸多环节涉及到对资金的管理，在收、管、支等各个环节都有可能存在安全隐患。广元市惠民惠农财政补贴“一卡通”监管发放阳光审批平台的建设，将在实现从“阳光审批”到“阳光发放”的全方位监管业务信息化的基础上，进一步提升业务管理水平，通过技术手段避免经办过程中的人为因素干扰、虚报享受政策人员，套取资金的现象出现，有效保障资金安全。</w:t>
      </w:r>
    </w:p>
    <w:p>
      <w:pPr>
        <w:adjustRightInd w:val="0"/>
        <w:snapToGrid w:val="0"/>
        <w:spacing w:line="576" w:lineRule="exact"/>
        <w:ind w:firstLine="720"/>
        <w:rPr>
          <w:rFonts w:ascii="仿宋_GB2312" w:hAnsi="Calibri" w:eastAsia="仿宋_GB2312" w:cs="仿宋_GB2312"/>
          <w:sz w:val="32"/>
          <w:szCs w:val="32"/>
        </w:rPr>
      </w:pPr>
      <w:bookmarkStart w:id="91" w:name="_Toc422086609"/>
      <w:bookmarkStart w:id="92" w:name="_Toc387069859"/>
      <w:bookmarkStart w:id="93" w:name="_Toc71038137"/>
      <w:r>
        <w:rPr>
          <w:rFonts w:hint="eastAsia" w:ascii="仿宋_GB2312" w:hAnsi="Calibri" w:eastAsia="仿宋_GB2312" w:cs="仿宋_GB2312"/>
          <w:sz w:val="32"/>
          <w:szCs w:val="32"/>
        </w:rPr>
        <w:t>2、社会效益</w:t>
      </w:r>
      <w:bookmarkEnd w:id="91"/>
      <w:bookmarkEnd w:id="92"/>
      <w:r>
        <w:rPr>
          <w:rFonts w:hint="eastAsia" w:ascii="仿宋_GB2312" w:hAnsi="Calibri" w:eastAsia="仿宋_GB2312" w:cs="仿宋_GB2312"/>
          <w:sz w:val="32"/>
          <w:szCs w:val="32"/>
        </w:rPr>
        <w:t>分析</w:t>
      </w:r>
      <w:bookmarkEnd w:id="93"/>
      <w:r>
        <w:rPr>
          <w:rFonts w:hint="eastAsia" w:ascii="仿宋_GB2312" w:hAnsi="Calibri" w:eastAsia="仿宋_GB2312" w:cs="仿宋_GB2312"/>
          <w:sz w:val="32"/>
          <w:szCs w:val="32"/>
        </w:rPr>
        <w:t>。一是践行“民生为本”理念，促进构建和谐社会。财政局会同纪委监委等六部门，研究制定了全市《惠民惠农财政补贴资金社会保障卡“一卡通”实施方案》，明确发放范围、实施步骤、时间安排和具体要求。通过该系统的建设，将极大提升广元市从“阳光审批”到“阳光发放”的全方位监管业务开展的政策持续能力、监管能力、业务协同能力，为确保人民群众原有生活水平不降低、长远生计有保障。二是改善业务流程，提高行政办事效率。升级改造建设广元市惠民惠农财政补贴“一卡通”监管发放阳光审批平台，有助于提高业务部门的行政效率。通过部署信息化系统，改变信息的传递和流动方式，促进协同共享，减少重复信息的提交，改变办事方式。逐步扩大和完善广元市惠民惠农财政补贴“一卡通”监管发放阳光审批平台功能，构建适合信息社会的全新工作方式。三是提高决策科学性，发挥政府工作效能。通过广元市惠民惠农财政补贴“一卡通”监管发放阳光审批平台的建立，为广元市惠民惠农业务的深入展开和宏观决策、改进工作流程和方法、促进工作方式和作风转变提高信息基础，系统的建设提高了广元市业务经办各部门之间的协同工作能力，增强各部门合力，提高组织重大项目的能力，提高信息系统的统一规划、管理能力和容灾能力，为提高决策科学性提供了有利条件。</w:t>
      </w:r>
    </w:p>
    <w:p>
      <w:pPr>
        <w:spacing w:line="560" w:lineRule="exact"/>
        <w:ind w:firstLine="641" w:firstLineChars="200"/>
        <w:outlineLvl w:val="1"/>
        <w:rPr>
          <w:rFonts w:ascii="黑体" w:eastAsia="黑体"/>
          <w:b/>
          <w:bCs/>
          <w:sz w:val="32"/>
          <w:szCs w:val="32"/>
        </w:rPr>
      </w:pPr>
      <w:bookmarkStart w:id="94" w:name="_Toc16432"/>
      <w:bookmarkStart w:id="95" w:name="_Toc14327"/>
      <w:r>
        <w:rPr>
          <w:rFonts w:hint="eastAsia" w:ascii="黑体" w:eastAsia="黑体" w:cs="黑体"/>
          <w:b/>
          <w:bCs/>
          <w:sz w:val="32"/>
          <w:szCs w:val="32"/>
        </w:rPr>
        <w:t>五、自评结论及建议</w:t>
      </w:r>
      <w:bookmarkEnd w:id="94"/>
      <w:bookmarkEnd w:id="95"/>
    </w:p>
    <w:p>
      <w:p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（一）评价结论。</w:t>
      </w:r>
    </w:p>
    <w:p>
      <w:pPr>
        <w:spacing w:line="560" w:lineRule="exact"/>
        <w:ind w:firstLine="640" w:firstLineChars="200"/>
        <w:rPr>
          <w:rFonts w:ascii="楷体_GB2312" w:eastAsia="楷体_GB2312"/>
          <w:b/>
          <w:bCs/>
          <w:sz w:val="32"/>
          <w:szCs w:val="32"/>
        </w:rPr>
      </w:pPr>
      <w:r>
        <w:rPr>
          <w:rFonts w:hint="eastAsia" w:ascii="仿宋_GB2312" w:eastAsia="仿宋_GB2312" w:cs="仿宋_GB2312"/>
          <w:sz w:val="32"/>
          <w:szCs w:val="32"/>
        </w:rPr>
        <w:t>通过项目实施，</w:t>
      </w:r>
      <w:r>
        <w:rPr>
          <w:rFonts w:hint="eastAsia" w:ascii="仿宋_GB2312" w:eastAsia="仿宋_GB2312" w:cs="仿宋_GB2312"/>
          <w:kern w:val="0"/>
          <w:sz w:val="32"/>
          <w:szCs w:val="32"/>
          <w:lang w:val="zh-CN"/>
        </w:rPr>
        <w:t>实现对补贴人员的资格进行受理、审核、公示，对多地重复享受补贴的人员进行资格核实，发现违规领取补贴情况并进行查处登记；通过整合接惠民惠农财政补贴资金“一卡通”发放平台，实现对财政补贴资金从财务申报、资金管理到补贴发放的全链路管理，实现 “阳光审批”“阳光发放”和“阳光监管”三个阳光。</w:t>
      </w:r>
    </w:p>
    <w:p>
      <w:pPr>
        <w:numPr>
          <w:ilvl w:val="0"/>
          <w:numId w:val="5"/>
        </w:num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存在的问题。</w:t>
      </w:r>
    </w:p>
    <w:p>
      <w:pPr>
        <w:spacing w:line="560" w:lineRule="exact"/>
        <w:ind w:firstLine="420"/>
        <w:rPr>
          <w:rFonts w:ascii="仿宋_GB2312" w:eastAsia="仿宋_GB2312"/>
          <w:sz w:val="32"/>
          <w:szCs w:val="32"/>
        </w:rPr>
      </w:pPr>
      <w:r>
        <w:rPr>
          <w:rFonts w:hint="eastAsia" w:ascii="仿宋_GB2312" w:eastAsia="仿宋_GB2312" w:cs="仿宋_GB2312"/>
          <w:sz w:val="32"/>
          <w:szCs w:val="32"/>
        </w:rPr>
        <w:t>无</w:t>
      </w:r>
    </w:p>
    <w:p>
      <w:pPr>
        <w:numPr>
          <w:ilvl w:val="0"/>
          <w:numId w:val="5"/>
        </w:numPr>
        <w:spacing w:line="560" w:lineRule="exact"/>
        <w:ind w:firstLine="641" w:firstLineChars="200"/>
        <w:outlineLvl w:val="2"/>
        <w:rPr>
          <w:rFonts w:ascii="楷体_GB2312" w:eastAsia="楷体_GB2312"/>
          <w:b/>
          <w:bCs/>
          <w:sz w:val="32"/>
          <w:szCs w:val="32"/>
        </w:rPr>
      </w:pPr>
      <w:r>
        <w:rPr>
          <w:rFonts w:hint="eastAsia" w:ascii="楷体_GB2312" w:eastAsia="楷体_GB2312" w:cs="楷体_GB2312"/>
          <w:b/>
          <w:bCs/>
          <w:sz w:val="32"/>
          <w:szCs w:val="32"/>
        </w:rPr>
        <w:t>相关建议</w:t>
      </w:r>
    </w:p>
    <w:p>
      <w:pPr>
        <w:spacing w:line="560" w:lineRule="exact"/>
        <w:ind w:firstLine="420"/>
        <w:rPr>
          <w:rFonts w:ascii="楷体_GB2312" w:eastAsia="楷体_GB2312"/>
          <w:b/>
          <w:bCs/>
          <w:sz w:val="32"/>
          <w:szCs w:val="32"/>
        </w:rPr>
      </w:pPr>
      <w:r>
        <w:rPr>
          <w:rFonts w:hint="eastAsia" w:ascii="仿宋_GB2312" w:eastAsia="仿宋_GB2312" w:cs="仿宋_GB2312"/>
          <w:sz w:val="32"/>
          <w:szCs w:val="32"/>
        </w:rPr>
        <w:t>无</w:t>
      </w:r>
    </w:p>
    <w:p>
      <w:r>
        <w:rPr>
          <w:rFonts w:ascii="仿宋_GB2312" w:eastAsia="仿宋_GB2312"/>
          <w:sz w:val="32"/>
          <w:szCs w:val="32"/>
        </w:rPr>
        <w:br w:type="page"/>
      </w:r>
    </w:p>
    <w:p>
      <w:pPr>
        <w:spacing w:line="600" w:lineRule="exact"/>
        <w:jc w:val="center"/>
        <w:rPr>
          <w:rFonts w:ascii="方正小标宋简体" w:hAnsi="方正小标宋简体" w:eastAsia="方正小标宋简体" w:cs="方正小标宋简体"/>
          <w:spacing w:val="-20"/>
          <w:sz w:val="44"/>
          <w:szCs w:val="44"/>
          <w:lang w:val="zh-CN"/>
        </w:rPr>
      </w:pPr>
      <w:r>
        <w:rPr>
          <w:rFonts w:hint="eastAsia" w:ascii="方正小标宋简体" w:hAnsi="方正小标宋简体" w:eastAsia="方正小标宋简体" w:cs="方正小标宋简体"/>
          <w:spacing w:val="-20"/>
          <w:sz w:val="44"/>
          <w:szCs w:val="44"/>
        </w:rPr>
        <w:t>2021年</w:t>
      </w:r>
      <w:r>
        <w:rPr>
          <w:rFonts w:hint="eastAsia" w:ascii="方正小标宋简体" w:hAnsi="方正小标宋简体" w:eastAsia="方正小标宋简体" w:cs="方正小标宋简体"/>
          <w:spacing w:val="-20"/>
          <w:sz w:val="44"/>
          <w:szCs w:val="44"/>
          <w:lang w:val="zh-CN"/>
        </w:rPr>
        <w:t>专项预算项目支出绩效自评报（二）</w:t>
      </w:r>
    </w:p>
    <w:p>
      <w:pPr>
        <w:spacing w:line="600" w:lineRule="exact"/>
        <w:jc w:val="center"/>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（广元市就业和社会保障公共服务信息系统电费项目）</w:t>
      </w:r>
    </w:p>
    <w:p>
      <w:pPr>
        <w:adjustRightInd w:val="0"/>
        <w:snapToGrid w:val="0"/>
        <w:spacing w:line="576" w:lineRule="exact"/>
        <w:ind w:firstLine="720"/>
        <w:rPr>
          <w:rFonts w:ascii="黑体" w:hAnsi="黑体" w:eastAsia="黑体" w:cs="黑体"/>
          <w:sz w:val="32"/>
          <w:szCs w:val="32"/>
        </w:rPr>
      </w:pPr>
    </w:p>
    <w:p>
      <w:pPr>
        <w:adjustRightInd w:val="0"/>
        <w:snapToGrid w:val="0"/>
        <w:spacing w:line="576" w:lineRule="exact"/>
        <w:ind w:firstLine="720"/>
        <w:outlineLvl w:val="1"/>
        <w:rPr>
          <w:rFonts w:ascii="黑体" w:hAnsi="黑体" w:eastAsia="黑体" w:cs="黑体"/>
          <w:sz w:val="32"/>
          <w:szCs w:val="32"/>
          <w:lang w:val="zh-CN"/>
        </w:rPr>
      </w:pPr>
      <w:bookmarkStart w:id="96" w:name="_Toc1346"/>
      <w:bookmarkStart w:id="97" w:name="_Toc7824"/>
      <w:r>
        <w:rPr>
          <w:rFonts w:hint="eastAsia" w:ascii="黑体" w:hAnsi="黑体" w:eastAsia="黑体" w:cs="黑体"/>
          <w:sz w:val="32"/>
          <w:szCs w:val="32"/>
        </w:rPr>
        <w:t>一、</w:t>
      </w:r>
      <w:r>
        <w:rPr>
          <w:rFonts w:hint="eastAsia" w:ascii="黑体" w:hAnsi="黑体" w:eastAsia="黑体" w:cs="黑体"/>
          <w:sz w:val="32"/>
          <w:szCs w:val="32"/>
          <w:lang w:val="zh-CN"/>
        </w:rPr>
        <w:t>项目概况</w:t>
      </w:r>
      <w:bookmarkEnd w:id="96"/>
      <w:bookmarkEnd w:id="97"/>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我市就业和社会保障局公共服务信息系统（金保工程）于2011年6月建成，7月正式投入使用。自2020年起，大部分业务系统已省集中，保留苍溪县城乡居民养老保险信息系统、就业和社会保障公共服务信息系统备份系统、广元市社保电子档案系统，以及相关监控、精密空调、新风机、ups电池、网络设备等配套设备。</w:t>
      </w:r>
    </w:p>
    <w:p>
      <w:pPr>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rPr>
        <w:t>（一）</w:t>
      </w:r>
      <w:r>
        <w:rPr>
          <w:rFonts w:hint="eastAsia" w:ascii="楷体" w:hAnsi="楷体" w:eastAsia="楷体" w:cs="楷体"/>
          <w:sz w:val="32"/>
          <w:szCs w:val="32"/>
          <w:lang w:val="zh-CN"/>
        </w:rPr>
        <w:t>项目资金申报及批复情况</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经市八届人大二次会议审查批准及市财政局批复，年初预算广元市就业和社会保障公共服务信息系统电费项目经费40万元</w:t>
      </w:r>
      <w:r>
        <w:rPr>
          <w:rFonts w:hint="eastAsia" w:ascii="仿宋" w:hAnsi="仿宋" w:eastAsia="仿宋" w:cs="仿宋"/>
          <w:sz w:val="32"/>
          <w:szCs w:val="32"/>
          <w:lang w:val="zh-CN"/>
        </w:rPr>
        <w:t>。</w:t>
      </w:r>
    </w:p>
    <w:p>
      <w:pPr>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lang w:val="zh-CN"/>
        </w:rPr>
        <w:t>（二）项目绩效目标</w:t>
      </w:r>
    </w:p>
    <w:p>
      <w:pPr>
        <w:spacing w:line="576" w:lineRule="exact"/>
        <w:ind w:firstLine="640" w:firstLineChars="200"/>
        <w:rPr>
          <w:rFonts w:ascii="仿宋" w:hAnsi="仿宋" w:eastAsia="仿宋" w:cs="仿宋"/>
          <w:b/>
          <w:sz w:val="32"/>
          <w:szCs w:val="32"/>
        </w:rPr>
      </w:pPr>
      <w:r>
        <w:rPr>
          <w:rFonts w:hint="eastAsia" w:ascii="仿宋" w:hAnsi="仿宋" w:eastAsia="仿宋" w:cs="仿宋"/>
          <w:sz w:val="32"/>
          <w:szCs w:val="32"/>
        </w:rPr>
        <w:t>该项目预期在2021年全年，保障中心机房供电率达100%。</w:t>
      </w:r>
    </w:p>
    <w:p>
      <w:pPr>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lang w:val="zh-CN"/>
        </w:rPr>
        <w:t>（三）资金申报相符性</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项目资金的内容与我单位开展保障广元市就业和社会保障公共服务信息系统中心机房供电活动内容完全相符、申报目标经测算是合理可行的。</w:t>
      </w:r>
    </w:p>
    <w:p>
      <w:pPr>
        <w:adjustRightInd w:val="0"/>
        <w:snapToGrid w:val="0"/>
        <w:spacing w:line="576" w:lineRule="exact"/>
        <w:ind w:firstLine="720"/>
        <w:outlineLvl w:val="1"/>
        <w:rPr>
          <w:rFonts w:ascii="黑体" w:hAnsi="黑体" w:eastAsia="黑体" w:cs="黑体"/>
          <w:sz w:val="32"/>
          <w:szCs w:val="32"/>
        </w:rPr>
      </w:pPr>
      <w:bookmarkStart w:id="98" w:name="_Toc11405"/>
      <w:bookmarkStart w:id="99" w:name="_Toc11639"/>
      <w:r>
        <w:rPr>
          <w:rFonts w:hint="eastAsia" w:ascii="黑体" w:hAnsi="黑体" w:eastAsia="黑体" w:cs="黑体"/>
          <w:sz w:val="32"/>
          <w:szCs w:val="32"/>
        </w:rPr>
        <w:t>二、项目实施及管理情况</w:t>
      </w:r>
      <w:bookmarkEnd w:id="98"/>
      <w:bookmarkEnd w:id="99"/>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ab/>
      </w:r>
      <w:r>
        <w:rPr>
          <w:rFonts w:hint="eastAsia" w:ascii="楷体" w:hAnsi="楷体" w:eastAsia="楷体" w:cs="楷体"/>
          <w:sz w:val="32"/>
          <w:szCs w:val="32"/>
          <w:lang w:val="zh-CN"/>
        </w:rPr>
        <w:t>（一）资金计划、到位及使用情况</w:t>
      </w:r>
    </w:p>
    <w:p>
      <w:pPr>
        <w:adjustRightInd w:val="0"/>
        <w:snapToGrid w:val="0"/>
        <w:spacing w:line="576" w:lineRule="exact"/>
        <w:ind w:firstLine="720"/>
        <w:outlineLvl w:val="3"/>
        <w:rPr>
          <w:rFonts w:ascii="仿宋" w:hAnsi="仿宋" w:eastAsia="仿宋" w:cs="仿宋"/>
          <w:sz w:val="32"/>
          <w:szCs w:val="32"/>
          <w:lang w:val="zh-CN"/>
        </w:rPr>
      </w:pPr>
      <w:r>
        <w:rPr>
          <w:rFonts w:hint="eastAsia" w:ascii="仿宋" w:hAnsi="仿宋" w:eastAsia="仿宋" w:cs="仿宋"/>
          <w:sz w:val="32"/>
          <w:szCs w:val="32"/>
          <w:lang w:val="zh-CN"/>
        </w:rPr>
        <w:t>1．资金计划及到位。</w:t>
      </w:r>
    </w:p>
    <w:p>
      <w:pPr>
        <w:adjustRightInd w:val="0"/>
        <w:snapToGrid w:val="0"/>
        <w:spacing w:line="576" w:lineRule="exact"/>
        <w:ind w:firstLine="720"/>
        <w:rPr>
          <w:rFonts w:ascii="仿宋" w:hAnsi="仿宋" w:eastAsia="仿宋" w:cs="仿宋"/>
          <w:sz w:val="32"/>
          <w:szCs w:val="32"/>
          <w:lang w:val="zh-CN"/>
        </w:rPr>
      </w:pPr>
      <w:r>
        <w:rPr>
          <w:rFonts w:hint="eastAsia" w:ascii="仿宋" w:hAnsi="仿宋" w:eastAsia="仿宋" w:cs="仿宋"/>
          <w:sz w:val="32"/>
          <w:szCs w:val="32"/>
          <w:lang w:val="zh-CN"/>
        </w:rPr>
        <w:t>该项目资金计划40万元，到位40万元，资金到位率100%，为本级财政拨款资金。</w:t>
      </w:r>
    </w:p>
    <w:p>
      <w:pPr>
        <w:adjustRightInd w:val="0"/>
        <w:snapToGrid w:val="0"/>
        <w:spacing w:line="576" w:lineRule="exact"/>
        <w:ind w:firstLine="640" w:firstLineChars="200"/>
        <w:outlineLvl w:val="3"/>
        <w:rPr>
          <w:rFonts w:ascii="仿宋" w:hAnsi="仿宋" w:eastAsia="仿宋" w:cs="仿宋"/>
          <w:sz w:val="32"/>
          <w:szCs w:val="32"/>
          <w:lang w:val="zh-CN"/>
        </w:rPr>
      </w:pPr>
      <w:r>
        <w:rPr>
          <w:rFonts w:hint="eastAsia" w:ascii="仿宋" w:hAnsi="仿宋" w:eastAsia="仿宋" w:cs="仿宋"/>
          <w:sz w:val="32"/>
          <w:szCs w:val="32"/>
        </w:rPr>
        <w:t>2.</w:t>
      </w:r>
      <w:r>
        <w:rPr>
          <w:rFonts w:hint="eastAsia" w:ascii="仿宋" w:hAnsi="仿宋" w:eastAsia="仿宋" w:cs="仿宋"/>
          <w:sz w:val="32"/>
          <w:szCs w:val="32"/>
          <w:lang w:val="zh-CN"/>
        </w:rPr>
        <w:t>资金使用</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截止到评价日，该项目资金已使用40万元，完成支付40万元，预算支出未发现无预算、超预算支出，资金使用安全、规范及有效，资金支付范围、支付标准、支付进度、支付依据等合规合法、与预算相符，未发现虚列支出、挤占、挪用、转移财政资金行为。</w:t>
      </w:r>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（二）项目财务管理情况</w:t>
      </w:r>
    </w:p>
    <w:p>
      <w:pPr>
        <w:adjustRightInd w:val="0"/>
        <w:snapToGrid w:val="0"/>
        <w:spacing w:line="576" w:lineRule="exact"/>
        <w:ind w:firstLine="720"/>
        <w:rPr>
          <w:rFonts w:ascii="仿宋" w:hAnsi="仿宋" w:eastAsia="仿宋" w:cs="仿宋"/>
          <w:sz w:val="32"/>
          <w:szCs w:val="32"/>
          <w:lang w:val="zh-CN"/>
        </w:rPr>
      </w:pPr>
      <w:r>
        <w:rPr>
          <w:rFonts w:hint="eastAsia" w:ascii="仿宋" w:hAnsi="仿宋" w:eastAsia="仿宋" w:cs="仿宋"/>
          <w:sz w:val="32"/>
          <w:szCs w:val="32"/>
          <w:lang w:val="zh-CN"/>
        </w:rPr>
        <w:t>该项目资金由局规划财务科统一进行专项资金财务核算管理，财务管理制度健全、会计核算及账务处理规范，项目执行过程中，严格执行财务管理制度，保证了专款专用。</w:t>
      </w:r>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（三）项目组织实施情况</w:t>
      </w:r>
    </w:p>
    <w:p>
      <w:pPr>
        <w:adjustRightInd w:val="0"/>
        <w:snapToGrid w:val="0"/>
        <w:spacing w:line="576" w:lineRule="exact"/>
        <w:ind w:firstLine="720"/>
        <w:rPr>
          <w:rFonts w:ascii="仿宋" w:hAnsi="仿宋" w:eastAsia="仿宋" w:cs="仿宋"/>
          <w:sz w:val="32"/>
          <w:szCs w:val="32"/>
          <w:lang w:val="zh-CN"/>
        </w:rPr>
      </w:pPr>
      <w:r>
        <w:rPr>
          <w:rFonts w:hint="eastAsia" w:ascii="仿宋" w:hAnsi="仿宋" w:eastAsia="仿宋" w:cs="仿宋"/>
          <w:sz w:val="32"/>
          <w:szCs w:val="32"/>
        </w:rPr>
        <w:t>该项目由我局办公室和信息中心共同负责实施。保障中心机房日常稳定供电，保障相关系统正常运行，业务正常开展</w:t>
      </w:r>
      <w:r>
        <w:rPr>
          <w:rFonts w:hint="eastAsia" w:ascii="仿宋" w:hAnsi="仿宋" w:eastAsia="仿宋" w:cs="仿宋"/>
          <w:sz w:val="32"/>
          <w:szCs w:val="32"/>
          <w:lang w:val="zh-CN"/>
        </w:rPr>
        <w:t>。</w:t>
      </w:r>
    </w:p>
    <w:p>
      <w:pPr>
        <w:adjustRightInd w:val="0"/>
        <w:snapToGrid w:val="0"/>
        <w:spacing w:line="576" w:lineRule="exact"/>
        <w:ind w:firstLine="720"/>
        <w:outlineLvl w:val="1"/>
        <w:rPr>
          <w:rFonts w:ascii="仿宋" w:hAnsi="仿宋" w:eastAsia="仿宋" w:cs="仿宋"/>
          <w:sz w:val="32"/>
          <w:szCs w:val="32"/>
          <w:lang w:val="zh-CN"/>
        </w:rPr>
      </w:pPr>
      <w:bookmarkStart w:id="100" w:name="_Toc20193"/>
      <w:bookmarkStart w:id="101" w:name="_Toc24663"/>
      <w:r>
        <w:rPr>
          <w:rFonts w:hint="eastAsia" w:ascii="黑体" w:hAnsi="黑体" w:eastAsia="黑体" w:cs="黑体"/>
          <w:sz w:val="32"/>
          <w:szCs w:val="32"/>
        </w:rPr>
        <w:t>三、项目绩效情况</w:t>
      </w:r>
      <w:bookmarkEnd w:id="100"/>
      <w:bookmarkEnd w:id="101"/>
      <w:r>
        <w:rPr>
          <w:rFonts w:hint="eastAsia" w:ascii="仿宋" w:hAnsi="仿宋" w:eastAsia="仿宋" w:cs="仿宋"/>
          <w:sz w:val="32"/>
          <w:szCs w:val="32"/>
          <w:lang w:val="zh-CN"/>
        </w:rPr>
        <w:tab/>
      </w:r>
    </w:p>
    <w:p>
      <w:pPr>
        <w:adjustRightInd w:val="0"/>
        <w:snapToGrid w:val="0"/>
        <w:spacing w:line="576" w:lineRule="exact"/>
        <w:ind w:firstLine="720"/>
        <w:outlineLvl w:val="2"/>
        <w:rPr>
          <w:rFonts w:ascii="楷体" w:hAnsi="楷体" w:eastAsia="楷体" w:cs="楷体"/>
          <w:sz w:val="32"/>
          <w:szCs w:val="32"/>
          <w:lang w:val="zh-CN"/>
        </w:rPr>
      </w:pPr>
      <w:r>
        <w:rPr>
          <w:rFonts w:hint="eastAsia" w:ascii="楷体" w:hAnsi="楷体" w:eastAsia="楷体" w:cs="楷体"/>
          <w:sz w:val="32"/>
          <w:szCs w:val="32"/>
          <w:lang w:val="zh-CN"/>
        </w:rPr>
        <w:t>（一）项目完成情况</w:t>
      </w:r>
    </w:p>
    <w:p>
      <w:pPr>
        <w:adjustRightInd w:val="0"/>
        <w:snapToGrid w:val="0"/>
        <w:spacing w:line="576" w:lineRule="exact"/>
        <w:ind w:firstLine="720"/>
        <w:rPr>
          <w:rFonts w:ascii="仿宋" w:hAnsi="仿宋" w:eastAsia="仿宋" w:cs="仿宋"/>
          <w:color w:val="FF0000"/>
          <w:sz w:val="32"/>
          <w:szCs w:val="32"/>
          <w:lang w:val="zh-CN"/>
        </w:rPr>
      </w:pPr>
      <w:r>
        <w:rPr>
          <w:rFonts w:hint="eastAsia" w:ascii="仿宋" w:hAnsi="仿宋" w:eastAsia="仿宋" w:cs="仿宋"/>
          <w:sz w:val="32"/>
          <w:szCs w:val="32"/>
        </w:rPr>
        <w:t>截至2021年12月31日，项目完成实施，全年供电基本保持稳定，苍溪县城乡居民养老保险信息系统、就业和社会保障公共服务信息系统备份系统、广元市社保电子档案系统正常运行。</w:t>
      </w:r>
    </w:p>
    <w:p>
      <w:pPr>
        <w:adjustRightInd w:val="0"/>
        <w:snapToGrid w:val="0"/>
        <w:spacing w:line="576" w:lineRule="exact"/>
        <w:ind w:left="420" w:leftChars="200"/>
        <w:outlineLvl w:val="2"/>
        <w:rPr>
          <w:rFonts w:ascii="楷体" w:hAnsi="楷体" w:eastAsia="楷体" w:cs="楷体"/>
          <w:sz w:val="32"/>
          <w:szCs w:val="32"/>
          <w:lang w:val="zh-CN"/>
        </w:rPr>
      </w:pPr>
      <w:r>
        <w:rPr>
          <w:rFonts w:hint="eastAsia" w:ascii="楷体" w:hAnsi="楷体" w:eastAsia="楷体" w:cs="楷体"/>
          <w:sz w:val="32"/>
          <w:szCs w:val="32"/>
        </w:rPr>
        <w:t>（二）</w:t>
      </w:r>
      <w:r>
        <w:rPr>
          <w:rFonts w:hint="eastAsia" w:ascii="楷体" w:hAnsi="楷体" w:eastAsia="楷体" w:cs="楷体"/>
          <w:sz w:val="32"/>
          <w:szCs w:val="32"/>
          <w:lang w:val="zh-CN"/>
        </w:rPr>
        <w:t>项目效益情况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金保工程是利用先进的信息技术，以中央、省、市三级网络为依托，支持就业和社会保障业务经办、公共服务、基金监管和宏观决策等核心应用，覆盖全国的统一的劳动和社会保障电子政务工程。苍溪城乡居民养老保险信息系统、就业和社会保障公共服务信息系统备份系统、广元市社保电子档案系统是其中的一部分，它的正常运行，将实在的惠及我市200多万人民群众，减少社会保障经办成本，提高社会保障管理水平，堵住管理上的漏洞。</w:t>
      </w:r>
    </w:p>
    <w:p>
      <w:pPr>
        <w:adjustRightInd w:val="0"/>
        <w:snapToGrid w:val="0"/>
        <w:spacing w:line="576" w:lineRule="exact"/>
        <w:ind w:firstLine="720"/>
        <w:outlineLvl w:val="1"/>
        <w:rPr>
          <w:rFonts w:ascii="黑体" w:hAnsi="黑体" w:eastAsia="黑体" w:cs="黑体"/>
          <w:sz w:val="32"/>
          <w:szCs w:val="32"/>
        </w:rPr>
      </w:pPr>
      <w:bookmarkStart w:id="102" w:name="_Toc23475"/>
      <w:bookmarkStart w:id="103" w:name="_Toc614"/>
      <w:r>
        <w:rPr>
          <w:rFonts w:hint="eastAsia" w:ascii="黑体" w:hAnsi="黑体" w:eastAsia="黑体" w:cs="黑体"/>
          <w:sz w:val="32"/>
          <w:szCs w:val="32"/>
        </w:rPr>
        <w:t>四、问题及建议</w:t>
      </w:r>
      <w:bookmarkEnd w:id="102"/>
      <w:bookmarkEnd w:id="103"/>
    </w:p>
    <w:p>
      <w:pPr>
        <w:adjustRightInd w:val="0"/>
        <w:snapToGrid w:val="0"/>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lang w:val="zh-CN"/>
        </w:rPr>
        <w:t>（一）存在的问题</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部分配套设备老化，可能会加大用电量。</w:t>
      </w:r>
    </w:p>
    <w:p>
      <w:pPr>
        <w:adjustRightInd w:val="0"/>
        <w:snapToGrid w:val="0"/>
        <w:spacing w:line="576" w:lineRule="exact"/>
        <w:ind w:firstLine="640" w:firstLineChars="200"/>
        <w:outlineLvl w:val="2"/>
        <w:rPr>
          <w:rFonts w:ascii="楷体" w:hAnsi="楷体" w:eastAsia="楷体" w:cs="楷体"/>
          <w:sz w:val="32"/>
          <w:szCs w:val="32"/>
          <w:lang w:val="zh-CN"/>
        </w:rPr>
      </w:pPr>
      <w:r>
        <w:rPr>
          <w:rFonts w:hint="eastAsia" w:ascii="楷体" w:hAnsi="楷体" w:eastAsia="楷体" w:cs="楷体"/>
          <w:sz w:val="32"/>
          <w:szCs w:val="32"/>
          <w:lang w:val="zh-CN"/>
        </w:rPr>
        <w:t>（二）相关建议</w:t>
      </w:r>
    </w:p>
    <w:p>
      <w:pPr>
        <w:adjustRightInd w:val="0"/>
        <w:snapToGrid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建议将现存的信息系统以购买服务的方式委托第三方管理，保障系统运行安全、稳定，节约运维成本。</w:t>
      </w:r>
    </w:p>
    <w:p>
      <w:pPr>
        <w:rPr>
          <w:rFonts w:ascii="仿宋" w:hAnsi="仿宋" w:eastAsia="仿宋" w:cs="仿宋"/>
          <w:sz w:val="32"/>
          <w:szCs w:val="32"/>
        </w:rPr>
      </w:pPr>
      <w:r>
        <w:rPr>
          <w:rFonts w:hint="eastAsia"/>
        </w:rPr>
        <w:br w:type="page"/>
      </w:r>
    </w:p>
    <w:p>
      <w:pPr>
        <w:spacing w:line="600" w:lineRule="exact"/>
        <w:jc w:val="center"/>
        <w:rPr>
          <w:rFonts w:ascii="方正小标宋简体" w:hAnsi="方正小标宋简体" w:eastAsia="方正小标宋简体" w:cs="方正小标宋简体"/>
          <w:sz w:val="32"/>
          <w:szCs w:val="32"/>
          <w:lang w:val="zh-CN"/>
        </w:rPr>
      </w:pPr>
      <w:r>
        <w:rPr>
          <w:rFonts w:hint="eastAsia" w:ascii="方正小标宋简体" w:hAnsi="方正小标宋简体" w:eastAsia="方正小标宋简体" w:cs="方正小标宋简体"/>
          <w:spacing w:val="-20"/>
          <w:sz w:val="44"/>
          <w:szCs w:val="44"/>
        </w:rPr>
        <w:t>2021年</w:t>
      </w:r>
      <w:r>
        <w:rPr>
          <w:rFonts w:hint="eastAsia" w:ascii="方正小标宋简体" w:hAnsi="方正小标宋简体" w:eastAsia="方正小标宋简体" w:cs="方正小标宋简体"/>
          <w:spacing w:val="-20"/>
          <w:sz w:val="44"/>
          <w:szCs w:val="44"/>
          <w:lang w:val="zh-CN"/>
        </w:rPr>
        <w:t>专项预算项目支出绩效自评报</w:t>
      </w:r>
      <w:r>
        <w:rPr>
          <w:rFonts w:hint="eastAsia" w:ascii="方正小标宋简体" w:hAnsi="方正小标宋简体" w:eastAsia="方正小标宋简体" w:cs="方正小标宋简体"/>
          <w:spacing w:val="-20"/>
          <w:sz w:val="44"/>
          <w:szCs w:val="44"/>
        </w:rPr>
        <w:t>告</w:t>
      </w:r>
      <w:r>
        <w:rPr>
          <w:rFonts w:hint="eastAsia" w:ascii="方正小标宋简体" w:hAnsi="方正小标宋简体" w:eastAsia="方正小标宋简体" w:cs="方正小标宋简体"/>
          <w:spacing w:val="-20"/>
          <w:sz w:val="44"/>
          <w:szCs w:val="44"/>
          <w:lang w:val="zh-CN"/>
        </w:rPr>
        <w:t>（三）</w:t>
      </w:r>
    </w:p>
    <w:p>
      <w:pPr>
        <w:spacing w:line="560" w:lineRule="exact"/>
        <w:jc w:val="center"/>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w:t>
      </w:r>
      <w:r>
        <w:rPr>
          <w:rFonts w:hint="eastAsia" w:ascii="仿宋_GB2312" w:hAnsi="楷体" w:eastAsia="仿宋_GB2312" w:cs="楷体_GB2312"/>
          <w:sz w:val="32"/>
          <w:szCs w:val="32"/>
        </w:rPr>
        <w:t>依法行政工作经费</w:t>
      </w:r>
      <w:r>
        <w:rPr>
          <w:rFonts w:hint="eastAsia" w:ascii="仿宋_GB2312" w:eastAsia="仿宋_GB2312" w:cs="仿宋_GB2312"/>
          <w:kern w:val="0"/>
          <w:sz w:val="32"/>
          <w:szCs w:val="32"/>
          <w:lang w:val="zh-CN"/>
        </w:rPr>
        <w:t>项目）</w:t>
      </w:r>
    </w:p>
    <w:p>
      <w:pPr>
        <w:adjustRightInd w:val="0"/>
        <w:snapToGrid w:val="0"/>
        <w:spacing w:line="580" w:lineRule="exact"/>
        <w:ind w:firstLine="640" w:firstLineChars="200"/>
        <w:rPr>
          <w:rFonts w:ascii="黑体" w:hAnsi="黑体" w:eastAsia="黑体" w:cs="方正黑体_GBK"/>
          <w:sz w:val="32"/>
          <w:szCs w:val="32"/>
          <w:lang w:val="zh-CN"/>
        </w:rPr>
      </w:pPr>
    </w:p>
    <w:p>
      <w:pPr>
        <w:adjustRightInd w:val="0"/>
        <w:snapToGrid w:val="0"/>
        <w:spacing w:line="580" w:lineRule="exact"/>
        <w:ind w:firstLine="640" w:firstLineChars="200"/>
        <w:outlineLvl w:val="1"/>
        <w:rPr>
          <w:rFonts w:ascii="黑体" w:hAnsi="黑体" w:eastAsia="黑体" w:cs="方正黑体_GBK"/>
          <w:sz w:val="32"/>
          <w:szCs w:val="32"/>
          <w:lang w:val="zh-CN"/>
        </w:rPr>
      </w:pPr>
      <w:bookmarkStart w:id="104" w:name="_Toc29859"/>
      <w:bookmarkStart w:id="105" w:name="_Toc4029"/>
      <w:r>
        <w:rPr>
          <w:rFonts w:hint="eastAsia" w:ascii="黑体" w:hAnsi="黑体" w:eastAsia="黑体" w:cs="方正黑体_GBK"/>
          <w:sz w:val="32"/>
          <w:szCs w:val="32"/>
          <w:lang w:val="zh-CN"/>
        </w:rPr>
        <w:t>一、项目概况</w:t>
      </w:r>
      <w:bookmarkEnd w:id="104"/>
      <w:bookmarkEnd w:id="105"/>
    </w:p>
    <w:p>
      <w:pPr>
        <w:spacing w:line="576" w:lineRule="exact"/>
        <w:ind w:firstLine="640" w:firstLineChars="200"/>
        <w:rPr>
          <w:rFonts w:ascii="仿宋_GB2312" w:hAnsi="方正黑体_GBK" w:eastAsia="仿宋_GB2312" w:cs="方正黑体_GBK"/>
          <w:sz w:val="32"/>
          <w:szCs w:val="32"/>
          <w:lang w:val="zh-CN"/>
        </w:rPr>
      </w:pPr>
      <w:r>
        <w:rPr>
          <w:rFonts w:hint="eastAsia" w:ascii="仿宋_GB2312" w:hAnsi="方正黑体_GBK" w:eastAsia="仿宋_GB2312" w:cs="方正黑体_GBK"/>
          <w:sz w:val="32"/>
          <w:szCs w:val="32"/>
          <w:lang w:val="zh-CN"/>
        </w:rPr>
        <w:t>根据《四川省人力资源和社会保障厅关于进一步加强新形势下行政复议和行政应诉工作的意见》（川人社办发〔2016〕4号）第七条第一款“要将复议应诉工作所需经费列入本部门的经费预算，为开展复议应诉工作提供相应的场地、设备、交通等工作条件”立项。此项目是为了保障行政复议应诉工作顺利开展。</w:t>
      </w:r>
    </w:p>
    <w:p>
      <w:pPr>
        <w:spacing w:line="576" w:lineRule="exact"/>
        <w:ind w:firstLine="640" w:firstLineChars="200"/>
        <w:outlineLvl w:val="2"/>
        <w:rPr>
          <w:rFonts w:ascii="楷体" w:hAnsi="楷体" w:eastAsia="楷体"/>
          <w:sz w:val="32"/>
          <w:szCs w:val="32"/>
        </w:rPr>
      </w:pPr>
      <w:r>
        <w:rPr>
          <w:rFonts w:hint="eastAsia" w:ascii="楷体" w:hAnsi="楷体" w:eastAsia="楷体"/>
          <w:sz w:val="32"/>
          <w:szCs w:val="32"/>
        </w:rPr>
        <w:t>（一）项目资金申报及批复情况</w:t>
      </w:r>
    </w:p>
    <w:p>
      <w:pPr>
        <w:spacing w:line="576" w:lineRule="exact"/>
        <w:ind w:firstLine="640" w:firstLineChars="200"/>
        <w:rPr>
          <w:rFonts w:ascii="仿宋_GB2312" w:hAnsi="方正黑体_GBK" w:eastAsia="仿宋_GB2312" w:cs="方正黑体_GBK"/>
          <w:sz w:val="32"/>
          <w:szCs w:val="32"/>
          <w:lang w:val="zh-CN"/>
        </w:rPr>
      </w:pPr>
      <w:r>
        <w:rPr>
          <w:rFonts w:hint="eastAsia" w:ascii="仿宋_GB2312" w:hAnsi="方正黑体_GBK" w:eastAsia="仿宋_GB2312" w:cs="方正黑体_GBK"/>
          <w:sz w:val="32"/>
          <w:szCs w:val="32"/>
          <w:lang w:val="zh-CN"/>
        </w:rPr>
        <w:t>经市八届人大二次会议审查批准及市财政局批复，年初预算依法行政工作项目经费8万元。</w:t>
      </w:r>
    </w:p>
    <w:p>
      <w:pPr>
        <w:numPr>
          <w:ilvl w:val="0"/>
          <w:numId w:val="6"/>
        </w:num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项目绩效目标</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聘请法律顾问团队</w:t>
      </w:r>
      <w:r>
        <w:rPr>
          <w:rFonts w:hint="eastAsia" w:ascii="仿宋_GB2312" w:hAnsi="仿宋_GB2312" w:eastAsia="仿宋_GB2312" w:cs="仿宋_GB2312"/>
          <w:sz w:val="32"/>
          <w:szCs w:val="32"/>
        </w:rPr>
        <w:t>1个</w:t>
      </w:r>
      <w:r>
        <w:rPr>
          <w:rFonts w:hint="eastAsia" w:ascii="仿宋_GB2312" w:hAnsi="仿宋_GB2312" w:eastAsia="仿宋_GB2312" w:cs="仿宋_GB2312"/>
          <w:sz w:val="32"/>
          <w:szCs w:val="32"/>
          <w:lang w:val="zh-CN"/>
        </w:rPr>
        <w:t>，完成全年所有行政复议案件，预计开展行政复议和行政应诉</w:t>
      </w:r>
      <w:r>
        <w:rPr>
          <w:rFonts w:hint="eastAsia" w:ascii="仿宋_GB2312" w:hAnsi="仿宋_GB2312" w:eastAsia="仿宋_GB2312" w:cs="仿宋_GB2312"/>
          <w:sz w:val="32"/>
          <w:szCs w:val="32"/>
        </w:rPr>
        <w:t>100件以上</w:t>
      </w:r>
      <w:r>
        <w:rPr>
          <w:rFonts w:hint="eastAsia" w:ascii="仿宋_GB2312" w:hAnsi="仿宋_GB2312" w:eastAsia="仿宋_GB2312" w:cs="仿宋_GB2312"/>
          <w:sz w:val="32"/>
          <w:szCs w:val="32"/>
          <w:lang w:val="zh-CN"/>
        </w:rPr>
        <w:t>。</w:t>
      </w:r>
    </w:p>
    <w:p>
      <w:pPr>
        <w:numPr>
          <w:ilvl w:val="0"/>
          <w:numId w:val="6"/>
        </w:num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项目资金申报相符性</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项目申报内容与具体实施内容基本相符、申报目标合理可行。</w:t>
      </w:r>
    </w:p>
    <w:p>
      <w:pPr>
        <w:adjustRightInd w:val="0"/>
        <w:snapToGrid w:val="0"/>
        <w:spacing w:line="580" w:lineRule="exact"/>
        <w:ind w:firstLine="640" w:firstLineChars="200"/>
        <w:outlineLvl w:val="1"/>
        <w:rPr>
          <w:rFonts w:ascii="黑体" w:hAnsi="黑体" w:eastAsia="黑体" w:cs="方正黑体_GBK"/>
          <w:sz w:val="32"/>
          <w:szCs w:val="32"/>
          <w:lang w:val="zh-CN"/>
        </w:rPr>
      </w:pPr>
      <w:bookmarkStart w:id="106" w:name="_Toc6924"/>
      <w:bookmarkStart w:id="107" w:name="_Toc8860"/>
      <w:r>
        <w:rPr>
          <w:rFonts w:hint="eastAsia" w:ascii="黑体" w:hAnsi="黑体" w:eastAsia="黑体" w:cs="方正黑体_GBK"/>
          <w:sz w:val="32"/>
          <w:szCs w:val="32"/>
          <w:lang w:val="zh-CN"/>
        </w:rPr>
        <w:t>二、项目实施及管理情况</w:t>
      </w:r>
      <w:bookmarkEnd w:id="106"/>
      <w:bookmarkEnd w:id="107"/>
    </w:p>
    <w:p>
      <w:pPr>
        <w:adjustRightInd w:val="0"/>
        <w:snapToGrid w:val="0"/>
        <w:spacing w:line="580" w:lineRule="exact"/>
        <w:ind w:left="643"/>
        <w:outlineLvl w:val="2"/>
        <w:rPr>
          <w:rFonts w:ascii="楷体" w:hAnsi="楷体" w:eastAsia="楷体" w:cs="仿宋_GB2312"/>
          <w:b/>
          <w:sz w:val="32"/>
          <w:szCs w:val="32"/>
          <w:lang w:val="zh-CN"/>
        </w:rPr>
      </w:pPr>
      <w:r>
        <w:rPr>
          <w:rFonts w:hint="eastAsia" w:ascii="楷体" w:hAnsi="楷体" w:eastAsia="楷体"/>
          <w:sz w:val="32"/>
          <w:szCs w:val="32"/>
        </w:rPr>
        <w:t>（一）资金计划、到位及使用情况</w:t>
      </w:r>
    </w:p>
    <w:p>
      <w:pPr>
        <w:adjustRightInd w:val="0"/>
        <w:snapToGrid w:val="0"/>
        <w:spacing w:line="580" w:lineRule="exact"/>
        <w:ind w:firstLine="640" w:firstLineChars="200"/>
        <w:outlineLvl w:val="3"/>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此项目属于常规工作经费项目，财务用一般公共预算资金安排</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万元。</w:t>
      </w:r>
    </w:p>
    <w:p>
      <w:pPr>
        <w:adjustRightInd w:val="0"/>
        <w:snapToGrid w:val="0"/>
        <w:spacing w:line="580" w:lineRule="exact"/>
        <w:ind w:firstLine="640" w:firstLineChars="200"/>
        <w:outlineLvl w:val="3"/>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资金到位</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年12月31日，此项目到位资金</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万元，100%到位，此资金属于市级一般公共预算资金。</w:t>
      </w:r>
    </w:p>
    <w:p>
      <w:pPr>
        <w:adjustRightInd w:val="0"/>
        <w:snapToGrid w:val="0"/>
        <w:spacing w:line="580" w:lineRule="exact"/>
        <w:ind w:firstLine="640" w:firstLineChars="200"/>
        <w:outlineLvl w:val="3"/>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资金使用</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截至评价日共支付</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万元，包括聘请法律顾问费、开展行政复议和行政应诉工作相关调查差旅费、租车费及材料印制费用等。</w:t>
      </w:r>
    </w:p>
    <w:p>
      <w:p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（二）项目财务管理情况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该项目资金由局规划财务科统一进行专项资金财务核算管理，财务管理制度健全、会计核算及账务处理规范，项目执行过程中，严格执行财务管理制度，保证了专款专用。</w:t>
      </w:r>
    </w:p>
    <w:p>
      <w:p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（三）项目组织实施情况</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依法行政工作经费项目属于财政下达的常规性一般公共预算项目，由政策法规科负责实施，资金专门保障用于政策法规科</w:t>
      </w:r>
      <w:r>
        <w:rPr>
          <w:rFonts w:hint="eastAsia" w:ascii="仿宋_GB2312" w:hAnsi="方正黑体_GBK" w:eastAsia="仿宋_GB2312" w:cs="方正黑体_GBK"/>
          <w:sz w:val="32"/>
          <w:szCs w:val="32"/>
          <w:lang w:val="zh-CN"/>
        </w:rPr>
        <w:t>开展复议应诉工作提供相应的场地、设备、交通等费用开支。</w:t>
      </w:r>
    </w:p>
    <w:p>
      <w:pPr>
        <w:adjustRightInd w:val="0"/>
        <w:snapToGrid w:val="0"/>
        <w:spacing w:line="580" w:lineRule="exact"/>
        <w:ind w:firstLine="640" w:firstLineChars="200"/>
        <w:outlineLvl w:val="1"/>
        <w:rPr>
          <w:rFonts w:ascii="黑体" w:hAnsi="黑体" w:eastAsia="黑体" w:cs="方正黑体_GBK"/>
          <w:sz w:val="32"/>
          <w:szCs w:val="32"/>
          <w:lang w:val="zh-CN"/>
        </w:rPr>
      </w:pPr>
      <w:bookmarkStart w:id="108" w:name="_Toc8402"/>
      <w:bookmarkStart w:id="109" w:name="_Toc7688"/>
      <w:r>
        <w:rPr>
          <w:rFonts w:hint="eastAsia" w:ascii="黑体" w:hAnsi="黑体" w:eastAsia="黑体" w:cs="方正黑体_GBK"/>
          <w:sz w:val="32"/>
          <w:szCs w:val="32"/>
          <w:lang w:val="zh-CN"/>
        </w:rPr>
        <w:t>三、项目绩效情况</w:t>
      </w:r>
      <w:bookmarkEnd w:id="108"/>
      <w:bookmarkEnd w:id="109"/>
      <w:r>
        <w:rPr>
          <w:rFonts w:hint="eastAsia" w:ascii="黑体" w:hAnsi="黑体" w:eastAsia="黑体" w:cs="方正黑体_GBK"/>
          <w:sz w:val="32"/>
          <w:szCs w:val="32"/>
          <w:lang w:val="zh-CN"/>
        </w:rPr>
        <w:tab/>
      </w:r>
    </w:p>
    <w:p>
      <w:p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（一）项目完成情况</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截止202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年12月31日，聘请律师</w:t>
      </w:r>
      <w:r>
        <w:rPr>
          <w:rFonts w:hint="eastAsia" w:ascii="仿宋_GB2312" w:hAnsi="仿宋_GB2312" w:eastAsia="仿宋_GB2312" w:cs="仿宋_GB2312"/>
          <w:sz w:val="32"/>
          <w:szCs w:val="32"/>
        </w:rPr>
        <w:t>1名，开展行政复议和行政应诉68件，按质按量完成全年行政复议案件。为我局依法行政、重大行政决策提供了科学合理的法律支撑，为保障企业和劳动者权益提供了法律保障。通过行政复议和行政应诉切实有效的促进依法行政工作高质量发展。</w:t>
      </w:r>
    </w:p>
    <w:p>
      <w:p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（二）项目效益情况</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产生的经济效益是最大限度减少国家和人民群众的财产损失，遏制违法行政导致的行政赔偿。社会效益：保护企业和劳动者权益，维护社会和谐稳定。可持续效益：无违规违决策行为和行政行为，深入推进人社依法行政工作。</w:t>
      </w:r>
    </w:p>
    <w:p>
      <w:pPr>
        <w:adjustRightInd w:val="0"/>
        <w:snapToGrid w:val="0"/>
        <w:spacing w:line="580" w:lineRule="exact"/>
        <w:ind w:firstLine="640" w:firstLineChars="200"/>
        <w:outlineLvl w:val="1"/>
        <w:rPr>
          <w:rFonts w:ascii="方正黑体_GBK" w:hAnsi="方正黑体_GBK" w:eastAsia="方正黑体_GBK" w:cs="方正黑体_GBK"/>
          <w:sz w:val="32"/>
          <w:szCs w:val="32"/>
          <w:lang w:val="zh-CN"/>
        </w:rPr>
      </w:pPr>
      <w:bookmarkStart w:id="110" w:name="_Toc2879"/>
      <w:bookmarkStart w:id="111" w:name="_Toc5322"/>
      <w:r>
        <w:rPr>
          <w:rFonts w:hint="eastAsia" w:ascii="方正黑体_GBK" w:hAnsi="方正黑体_GBK" w:eastAsia="方正黑体_GBK" w:cs="方正黑体_GBK"/>
          <w:sz w:val="32"/>
          <w:szCs w:val="32"/>
          <w:lang w:val="zh-CN"/>
        </w:rPr>
        <w:t>四、问题及建议</w:t>
      </w:r>
      <w:bookmarkEnd w:id="110"/>
      <w:bookmarkEnd w:id="111"/>
    </w:p>
    <w:p>
      <w:p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（一）存在的问题</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主要问题是人社行政争议处理案件呈现案多、量大、人手不足。</w:t>
      </w:r>
    </w:p>
    <w:p>
      <w:pPr>
        <w:adjustRightInd w:val="0"/>
        <w:snapToGrid w:val="0"/>
        <w:spacing w:line="580" w:lineRule="exact"/>
        <w:ind w:firstLine="640" w:firstLineChars="200"/>
        <w:outlineLvl w:val="2"/>
        <w:rPr>
          <w:rFonts w:ascii="楷体" w:hAnsi="楷体" w:eastAsia="楷体"/>
          <w:sz w:val="32"/>
          <w:szCs w:val="32"/>
        </w:rPr>
      </w:pPr>
      <w:r>
        <w:rPr>
          <w:rFonts w:hint="eastAsia" w:ascii="楷体" w:hAnsi="楷体" w:eastAsia="楷体"/>
          <w:sz w:val="32"/>
          <w:szCs w:val="32"/>
        </w:rPr>
        <w:t>（二）相关建议</w:t>
      </w:r>
    </w:p>
    <w:p>
      <w:pPr>
        <w:adjustRightInd w:val="0"/>
        <w:snapToGrid w:val="0"/>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建议行政应诉案件按仲裁案件标准对办案人员核发补贴。</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2.对法治宣传的经费按实际发生情况予以保障。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3.对年度计划外的依法行政事项予以额外追加经费。</w:t>
      </w:r>
    </w:p>
    <w:p>
      <w:r>
        <w:rPr>
          <w:rFonts w:hint="eastAsia"/>
        </w:rPr>
        <w:br w:type="page"/>
      </w:r>
    </w:p>
    <w:p>
      <w:pPr>
        <w:pStyle w:val="36"/>
        <w:spacing w:line="576"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rPr>
        <w:t>2021年</w:t>
      </w:r>
      <w:r>
        <w:rPr>
          <w:rFonts w:hint="eastAsia" w:ascii="方正小标宋简体" w:hAnsi="宋体" w:eastAsia="方正小标宋简体"/>
          <w:sz w:val="44"/>
          <w:szCs w:val="44"/>
        </w:rPr>
        <w:t>专项预算项目支出绩效自评报告（</w:t>
      </w:r>
      <w:r>
        <w:rPr>
          <w:rFonts w:hint="eastAsia" w:ascii="方正小标宋简体" w:hAnsi="宋体" w:eastAsia="方正小标宋简体"/>
          <w:sz w:val="44"/>
          <w:szCs w:val="44"/>
          <w:lang w:val="en-US"/>
        </w:rPr>
        <w:t>四</w:t>
      </w:r>
      <w:r>
        <w:rPr>
          <w:rFonts w:hint="eastAsia" w:ascii="方正小标宋简体" w:hAnsi="宋体" w:eastAsia="方正小标宋简体"/>
          <w:sz w:val="44"/>
          <w:szCs w:val="44"/>
        </w:rPr>
        <w:t>）</w:t>
      </w:r>
    </w:p>
    <w:p>
      <w:pPr>
        <w:adjustRightInd w:val="0"/>
        <w:snapToGrid w:val="0"/>
        <w:spacing w:line="576" w:lineRule="exact"/>
        <w:jc w:val="center"/>
        <w:rPr>
          <w:rFonts w:ascii="仿宋_GB2312" w:hAnsi="仿宋_GB2312" w:eastAsia="仿宋_GB2312" w:cs="仿宋_GB2312"/>
          <w:w w:val="90"/>
          <w:sz w:val="32"/>
          <w:szCs w:val="32"/>
        </w:rPr>
      </w:pPr>
      <w:r>
        <w:rPr>
          <w:rFonts w:hint="eastAsia" w:ascii="仿宋_GB2312" w:hAnsi="仿宋_GB2312" w:eastAsia="仿宋_GB2312" w:cs="仿宋_GB2312"/>
          <w:w w:val="90"/>
          <w:sz w:val="32"/>
          <w:szCs w:val="32"/>
        </w:rPr>
        <w:t>（技能大师工作室、技工院校教师职称、培训结构设立、变更工种、地址等评审经费项目）</w:t>
      </w:r>
    </w:p>
    <w:p>
      <w:pPr>
        <w:pStyle w:val="36"/>
        <w:spacing w:line="576" w:lineRule="exact"/>
        <w:ind w:firstLine="640"/>
        <w:jc w:val="center"/>
        <w:rPr>
          <w:rFonts w:ascii="宋体" w:hAnsi="宋体"/>
          <w:color w:val="auto"/>
          <w:kern w:val="2"/>
          <w:sz w:val="32"/>
          <w:szCs w:val="32"/>
        </w:rPr>
      </w:pPr>
    </w:p>
    <w:p>
      <w:pPr>
        <w:adjustRightInd w:val="0"/>
        <w:snapToGrid w:val="0"/>
        <w:spacing w:line="576" w:lineRule="exact"/>
        <w:ind w:firstLine="720"/>
        <w:outlineLvl w:val="1"/>
        <w:rPr>
          <w:rFonts w:ascii="黑体" w:hAnsi="黑体" w:eastAsia="黑体" w:cs="黑体"/>
          <w:b/>
          <w:bCs/>
          <w:sz w:val="32"/>
          <w:szCs w:val="32"/>
          <w:lang w:val="zh-CN"/>
        </w:rPr>
      </w:pPr>
      <w:bookmarkStart w:id="112" w:name="_Toc30754"/>
      <w:r>
        <w:rPr>
          <w:rFonts w:hint="eastAsia" w:ascii="黑体" w:hAnsi="黑体" w:eastAsia="黑体" w:cs="黑体"/>
          <w:b/>
          <w:bCs/>
          <w:sz w:val="32"/>
          <w:szCs w:val="32"/>
        </w:rPr>
        <w:t>一、</w:t>
      </w:r>
      <w:r>
        <w:rPr>
          <w:rFonts w:hint="eastAsia" w:ascii="黑体" w:hAnsi="黑体" w:eastAsia="黑体" w:cs="黑体"/>
          <w:b/>
          <w:bCs/>
          <w:sz w:val="32"/>
          <w:szCs w:val="32"/>
          <w:lang w:val="zh-CN"/>
        </w:rPr>
        <w:t>项目概况</w:t>
      </w:r>
      <w:bookmarkEnd w:id="112"/>
    </w:p>
    <w:p>
      <w:pPr>
        <w:adjustRightInd w:val="0"/>
        <w:snapToGrid w:val="0"/>
        <w:spacing w:line="576" w:lineRule="exact"/>
        <w:ind w:firstLine="720"/>
        <w:rPr>
          <w:rFonts w:ascii="楷体" w:hAnsi="楷体" w:eastAsia="楷体" w:cs="楷体"/>
          <w:sz w:val="32"/>
          <w:szCs w:val="32"/>
          <w:lang w:val="zh-CN"/>
        </w:rPr>
      </w:pPr>
      <w:r>
        <w:rPr>
          <w:rFonts w:hint="eastAsia" w:ascii="楷体" w:hAnsi="楷体" w:eastAsia="楷体" w:cs="楷体"/>
          <w:sz w:val="32"/>
          <w:szCs w:val="32"/>
          <w:lang w:val="zh-CN"/>
        </w:rPr>
        <w:t>（一）项目资金申报及批复情况</w:t>
      </w:r>
    </w:p>
    <w:p>
      <w:pPr>
        <w:adjustRightInd w:val="0"/>
        <w:snapToGrid w:val="0"/>
        <w:spacing w:line="576" w:lineRule="exact"/>
        <w:ind w:firstLine="720"/>
        <w:rPr>
          <w:rFonts w:ascii="仿宋_GB2312" w:hAnsi="仿宋_GB2312" w:eastAsia="仿宋_GB2312" w:cs="仿宋_GB2312"/>
          <w:spacing w:val="-6"/>
          <w:sz w:val="32"/>
          <w:szCs w:val="32"/>
          <w:lang w:val="zh-CN"/>
        </w:rPr>
      </w:pPr>
      <w:r>
        <w:rPr>
          <w:rFonts w:hint="eastAsia" w:ascii="仿宋_GB2312" w:hAnsi="仿宋_GB2312" w:eastAsia="仿宋_GB2312" w:cs="仿宋_GB2312"/>
          <w:spacing w:val="-6"/>
          <w:sz w:val="32"/>
          <w:szCs w:val="32"/>
        </w:rPr>
        <w:t>2021年，我局申报</w:t>
      </w:r>
      <w:r>
        <w:rPr>
          <w:rFonts w:hint="eastAsia" w:ascii="仿宋_GB2312" w:hAnsi="仿宋_GB2312" w:eastAsia="仿宋_GB2312" w:cs="仿宋_GB2312"/>
          <w:spacing w:val="-6"/>
          <w:sz w:val="32"/>
          <w:szCs w:val="32"/>
          <w:lang w:val="zh-CN"/>
        </w:rPr>
        <w:t>技能大师工作室、技工院校教师职称、培训结构设立、变更工种、地址等评审经费</w:t>
      </w:r>
      <w:r>
        <w:rPr>
          <w:rFonts w:hint="eastAsia" w:ascii="仿宋_GB2312" w:hAnsi="仿宋_GB2312" w:eastAsia="仿宋_GB2312" w:cs="仿宋_GB2312"/>
          <w:spacing w:val="-6"/>
          <w:sz w:val="32"/>
          <w:szCs w:val="32"/>
        </w:rPr>
        <w:t>8万元，财政批复该项目经费8万元。该项目</w:t>
      </w:r>
      <w:r>
        <w:rPr>
          <w:rFonts w:hint="eastAsia" w:ascii="仿宋_GB2312" w:hAnsi="仿宋_GB2312" w:eastAsia="仿宋_GB2312" w:cs="仿宋_GB2312"/>
          <w:spacing w:val="-6"/>
          <w:sz w:val="32"/>
          <w:szCs w:val="32"/>
          <w:lang w:val="zh-CN"/>
        </w:rPr>
        <w:t>符合资金管理办法等相关规定。</w:t>
      </w:r>
    </w:p>
    <w:p>
      <w:pPr>
        <w:numPr>
          <w:ilvl w:val="0"/>
          <w:numId w:val="7"/>
        </w:numPr>
        <w:adjustRightInd w:val="0"/>
        <w:snapToGrid w:val="0"/>
        <w:spacing w:line="576" w:lineRule="exact"/>
        <w:ind w:firstLine="720"/>
        <w:rPr>
          <w:rFonts w:ascii="楷体" w:hAnsi="楷体" w:eastAsia="楷体" w:cs="楷体"/>
          <w:sz w:val="32"/>
          <w:szCs w:val="32"/>
          <w:lang w:val="zh-CN"/>
        </w:rPr>
      </w:pPr>
      <w:r>
        <w:rPr>
          <w:rFonts w:hint="eastAsia" w:ascii="楷体" w:hAnsi="楷体" w:eastAsia="楷体" w:cs="楷体"/>
          <w:sz w:val="32"/>
          <w:szCs w:val="32"/>
          <w:lang w:val="zh-CN"/>
        </w:rPr>
        <w:t>项目绩效目标</w:t>
      </w:r>
    </w:p>
    <w:p>
      <w:pPr>
        <w:adjustRightInd w:val="0"/>
        <w:snapToGrid w:val="0"/>
        <w:spacing w:line="576"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该项目主要用于技能大师工作室、技工院校教师职称、培训结构设立、变更工种、地址等日常业务工作。2021年，已开展</w:t>
      </w:r>
      <w:r>
        <w:rPr>
          <w:rFonts w:hint="eastAsia" w:ascii="仿宋_GB2312" w:hAnsi="仿宋_GB2312" w:eastAsia="仿宋_GB2312" w:cs="仿宋_GB2312"/>
          <w:sz w:val="32"/>
          <w:szCs w:val="32"/>
          <w:lang w:val="zh-CN"/>
        </w:rPr>
        <w:t>技能大师工作室</w:t>
      </w:r>
      <w:r>
        <w:rPr>
          <w:rFonts w:hint="eastAsia" w:ascii="仿宋_GB2312" w:hAnsi="仿宋_GB2312" w:eastAsia="仿宋_GB2312" w:cs="仿宋_GB2312"/>
          <w:sz w:val="32"/>
          <w:szCs w:val="32"/>
        </w:rPr>
        <w:t>评审1次，</w:t>
      </w:r>
      <w:r>
        <w:rPr>
          <w:rFonts w:hint="eastAsia" w:ascii="仿宋_GB2312" w:hAnsi="仿宋_GB2312" w:eastAsia="仿宋_GB2312" w:cs="仿宋_GB2312"/>
          <w:sz w:val="32"/>
          <w:szCs w:val="32"/>
          <w:lang w:val="zh-CN"/>
        </w:rPr>
        <w:t>技工院校教师职称</w:t>
      </w:r>
      <w:r>
        <w:rPr>
          <w:rFonts w:hint="eastAsia" w:ascii="仿宋_GB2312" w:hAnsi="仿宋_GB2312" w:eastAsia="仿宋_GB2312" w:cs="仿宋_GB2312"/>
          <w:sz w:val="32"/>
          <w:szCs w:val="32"/>
        </w:rPr>
        <w:t>评审1次，</w:t>
      </w:r>
      <w:r>
        <w:rPr>
          <w:rFonts w:hint="eastAsia" w:ascii="仿宋_GB2312" w:hAnsi="仿宋_GB2312" w:eastAsia="仿宋_GB2312" w:cs="仿宋_GB2312"/>
          <w:w w:val="90"/>
          <w:sz w:val="32"/>
          <w:szCs w:val="32"/>
        </w:rPr>
        <w:t>培训结构设立、变更工种、地址</w:t>
      </w:r>
      <w:r>
        <w:rPr>
          <w:rFonts w:hint="eastAsia" w:ascii="仿宋_GB2312" w:hAnsi="仿宋_GB2312" w:eastAsia="仿宋_GB2312" w:cs="仿宋_GB2312"/>
          <w:sz w:val="32"/>
          <w:szCs w:val="32"/>
        </w:rPr>
        <w:t>等审批工作10次。</w:t>
      </w:r>
    </w:p>
    <w:p>
      <w:pPr>
        <w:numPr>
          <w:ilvl w:val="0"/>
          <w:numId w:val="7"/>
        </w:numPr>
        <w:adjustRightInd w:val="0"/>
        <w:snapToGrid w:val="0"/>
        <w:spacing w:line="576" w:lineRule="exact"/>
        <w:ind w:firstLine="720"/>
        <w:rPr>
          <w:rFonts w:ascii="楷体" w:hAnsi="楷体" w:eastAsia="楷体" w:cs="楷体"/>
          <w:sz w:val="32"/>
          <w:szCs w:val="32"/>
          <w:lang w:val="zh-CN"/>
        </w:rPr>
      </w:pPr>
      <w:r>
        <w:rPr>
          <w:rFonts w:hint="eastAsia" w:ascii="楷体" w:hAnsi="楷体" w:eastAsia="楷体" w:cs="楷体"/>
          <w:sz w:val="32"/>
          <w:szCs w:val="32"/>
          <w:lang w:val="zh-CN"/>
        </w:rPr>
        <w:t>项目资金申报相符性</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项目资金申报内容与具体实施建设内容相符，项目资金做到了专款专用，申报目标合理可行。</w:t>
      </w:r>
    </w:p>
    <w:p>
      <w:pPr>
        <w:adjustRightInd w:val="0"/>
        <w:snapToGrid w:val="0"/>
        <w:spacing w:line="576" w:lineRule="exact"/>
        <w:ind w:firstLine="720"/>
        <w:outlineLvl w:val="1"/>
        <w:rPr>
          <w:rFonts w:ascii="黑体" w:hAnsi="黑体" w:eastAsia="黑体" w:cs="黑体"/>
          <w:sz w:val="32"/>
          <w:szCs w:val="32"/>
        </w:rPr>
      </w:pPr>
      <w:bookmarkStart w:id="113" w:name="_Toc25670"/>
      <w:r>
        <w:rPr>
          <w:rFonts w:hint="eastAsia" w:ascii="黑体" w:hAnsi="黑体" w:eastAsia="黑体" w:cs="黑体"/>
          <w:sz w:val="32"/>
          <w:szCs w:val="32"/>
        </w:rPr>
        <w:t>二、项目实施及管理情况</w:t>
      </w:r>
      <w:bookmarkEnd w:id="113"/>
    </w:p>
    <w:p>
      <w:pPr>
        <w:adjustRightInd w:val="0"/>
        <w:snapToGrid w:val="0"/>
        <w:spacing w:line="576" w:lineRule="exact"/>
        <w:ind w:firstLine="720"/>
        <w:rPr>
          <w:rFonts w:ascii="楷体" w:hAnsi="楷体" w:eastAsia="楷体" w:cs="楷体"/>
          <w:sz w:val="32"/>
          <w:szCs w:val="32"/>
          <w:lang w:val="zh-CN"/>
        </w:rPr>
      </w:pPr>
      <w:r>
        <w:rPr>
          <w:rFonts w:hint="eastAsia" w:ascii="楷体" w:hAnsi="楷体" w:eastAsia="楷体" w:cs="楷体"/>
          <w:sz w:val="32"/>
          <w:szCs w:val="32"/>
          <w:lang w:val="zh-CN"/>
        </w:rPr>
        <w:tab/>
      </w:r>
      <w:r>
        <w:rPr>
          <w:rFonts w:hint="eastAsia" w:ascii="楷体" w:hAnsi="楷体" w:eastAsia="楷体" w:cs="楷体"/>
          <w:sz w:val="32"/>
          <w:szCs w:val="32"/>
          <w:lang w:val="zh-CN"/>
        </w:rPr>
        <w:t>（一）资金计划、到位及使用情况</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1．资金计划及到位。该项目资金</w:t>
      </w:r>
      <w:r>
        <w:rPr>
          <w:rFonts w:hint="eastAsia" w:ascii="仿宋_GB2312" w:hAnsi="仿宋_GB2312" w:eastAsia="仿宋_GB2312" w:cs="仿宋_GB2312"/>
          <w:sz w:val="32"/>
          <w:szCs w:val="32"/>
        </w:rPr>
        <w:t>已全部到位</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全部为市级</w:t>
      </w:r>
      <w:r>
        <w:rPr>
          <w:rFonts w:hint="eastAsia" w:ascii="仿宋_GB2312" w:hAnsi="仿宋_GB2312" w:eastAsia="仿宋_GB2312" w:cs="仿宋_GB2312"/>
          <w:sz w:val="32"/>
          <w:szCs w:val="32"/>
          <w:lang w:val="zh-CN"/>
        </w:rPr>
        <w:t>财政</w:t>
      </w:r>
      <w:r>
        <w:rPr>
          <w:rFonts w:hint="eastAsia" w:ascii="仿宋_GB2312" w:hAnsi="仿宋_GB2312" w:eastAsia="仿宋_GB2312" w:cs="仿宋_GB2312"/>
          <w:sz w:val="32"/>
          <w:szCs w:val="32"/>
        </w:rPr>
        <w:t>配套</w:t>
      </w:r>
      <w:r>
        <w:rPr>
          <w:rFonts w:hint="eastAsia" w:ascii="仿宋_GB2312" w:hAnsi="仿宋_GB2312" w:eastAsia="仿宋_GB2312" w:cs="仿宋_GB2312"/>
          <w:sz w:val="32"/>
          <w:szCs w:val="32"/>
          <w:lang w:val="zh-CN"/>
        </w:rPr>
        <w:t>资金。资金到位</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zh-CN"/>
        </w:rPr>
        <w:t>资金计划</w:t>
      </w:r>
      <w:r>
        <w:rPr>
          <w:rFonts w:hint="eastAsia" w:ascii="仿宋_GB2312" w:hAnsi="仿宋_GB2312" w:eastAsia="仿宋_GB2312" w:cs="仿宋_GB2312"/>
          <w:sz w:val="32"/>
          <w:szCs w:val="32"/>
        </w:rPr>
        <w:t>一致</w:t>
      </w:r>
      <w:r>
        <w:rPr>
          <w:rFonts w:hint="eastAsia" w:ascii="仿宋_GB2312" w:hAnsi="仿宋_GB2312" w:eastAsia="仿宋_GB2312" w:cs="仿宋_GB2312"/>
          <w:sz w:val="32"/>
          <w:szCs w:val="32"/>
          <w:lang w:val="zh-CN"/>
        </w:rPr>
        <w:t>，资金到位率100%，到位及时率100%。</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2．资金使用。截</w:t>
      </w:r>
      <w:r>
        <w:rPr>
          <w:rFonts w:hint="eastAsia" w:ascii="仿宋_GB2312" w:hAnsi="仿宋_GB2312" w:eastAsia="仿宋_GB2312" w:cs="仿宋_GB2312"/>
          <w:sz w:val="32"/>
          <w:szCs w:val="32"/>
        </w:rPr>
        <w:t>至目前，</w:t>
      </w:r>
      <w:r>
        <w:rPr>
          <w:rFonts w:hint="eastAsia" w:ascii="仿宋_GB2312" w:hAnsi="仿宋_GB2312" w:eastAsia="仿宋_GB2312" w:cs="仿宋_GB2312"/>
          <w:sz w:val="32"/>
          <w:szCs w:val="32"/>
          <w:lang w:val="zh-CN"/>
        </w:rPr>
        <w:t>项目资金</w:t>
      </w:r>
      <w:r>
        <w:rPr>
          <w:rFonts w:hint="eastAsia" w:ascii="仿宋_GB2312" w:hAnsi="仿宋_GB2312" w:eastAsia="仿宋_GB2312" w:cs="仿宋_GB2312"/>
          <w:sz w:val="32"/>
          <w:szCs w:val="32"/>
        </w:rPr>
        <w:t>已支出8万元</w:t>
      </w:r>
      <w:r>
        <w:rPr>
          <w:rFonts w:hint="eastAsia" w:ascii="仿宋_GB2312" w:hAnsi="仿宋_GB2312" w:eastAsia="仿宋_GB2312" w:cs="仿宋_GB2312"/>
          <w:sz w:val="32"/>
          <w:szCs w:val="32"/>
          <w:lang w:val="zh-CN"/>
        </w:rPr>
        <w:t>，资金开支范围、标准</w:t>
      </w:r>
      <w:r>
        <w:rPr>
          <w:rFonts w:hint="eastAsia" w:ascii="仿宋_GB2312" w:hAnsi="仿宋_GB2312" w:eastAsia="仿宋_GB2312" w:cs="仿宋_GB2312"/>
          <w:sz w:val="32"/>
          <w:szCs w:val="32"/>
        </w:rPr>
        <w:t>均严格按照</w:t>
      </w:r>
      <w:r>
        <w:rPr>
          <w:rFonts w:hint="eastAsia" w:ascii="仿宋_GB2312" w:hAnsi="仿宋_GB2312" w:eastAsia="仿宋_GB2312" w:cs="仿宋_GB2312"/>
          <w:sz w:val="32"/>
          <w:szCs w:val="32"/>
          <w:lang w:val="zh-CN"/>
        </w:rPr>
        <w:t>国家、省、</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zh-CN"/>
        </w:rPr>
        <w:t>有关规章制度规定执行，</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zh-CN"/>
        </w:rPr>
        <w:t>预算</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zh-CN"/>
        </w:rPr>
        <w:t>。</w:t>
      </w:r>
    </w:p>
    <w:p>
      <w:pPr>
        <w:adjustRightInd w:val="0"/>
        <w:snapToGrid w:val="0"/>
        <w:spacing w:line="576" w:lineRule="exact"/>
        <w:ind w:firstLine="720"/>
        <w:rPr>
          <w:rFonts w:ascii="楷体" w:hAnsi="楷体" w:eastAsia="楷体" w:cs="楷体"/>
          <w:sz w:val="32"/>
          <w:szCs w:val="32"/>
          <w:lang w:val="zh-CN"/>
        </w:rPr>
      </w:pPr>
      <w:r>
        <w:rPr>
          <w:rFonts w:hint="eastAsia" w:ascii="楷体" w:hAnsi="楷体" w:eastAsia="楷体" w:cs="楷体"/>
          <w:sz w:val="32"/>
          <w:szCs w:val="32"/>
          <w:lang w:val="zh-CN"/>
        </w:rPr>
        <w:t>（二）项目财务管理情况</w:t>
      </w:r>
    </w:p>
    <w:p>
      <w:pPr>
        <w:adjustRightInd w:val="0"/>
        <w:snapToGrid w:val="0"/>
        <w:spacing w:line="576"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在资金使用时坚持专款专用，严格财务管理，专项核算，建立明细台账，留存资料随时接受监督和检查。</w:t>
      </w:r>
      <w:r>
        <w:rPr>
          <w:rFonts w:hint="eastAsia" w:ascii="仿宋_GB2312" w:hAnsi="仿宋_GB2312" w:eastAsia="仿宋_GB2312" w:cs="仿宋_GB2312"/>
          <w:sz w:val="32"/>
          <w:szCs w:val="32"/>
        </w:rPr>
        <w:t>项目严格执行财务管理制度、财务处理及时、会计核算符合规范。</w:t>
      </w:r>
    </w:p>
    <w:p>
      <w:pPr>
        <w:adjustRightInd w:val="0"/>
        <w:snapToGrid w:val="0"/>
        <w:spacing w:line="576" w:lineRule="exact"/>
        <w:ind w:firstLine="720"/>
        <w:rPr>
          <w:rFonts w:ascii="楷体" w:hAnsi="楷体" w:eastAsia="楷体" w:cs="楷体"/>
          <w:sz w:val="32"/>
          <w:szCs w:val="32"/>
          <w:lang w:val="zh-CN"/>
        </w:rPr>
      </w:pPr>
      <w:r>
        <w:rPr>
          <w:rFonts w:hint="eastAsia" w:ascii="楷体" w:hAnsi="楷体" w:eastAsia="楷体" w:cs="楷体"/>
          <w:sz w:val="32"/>
          <w:szCs w:val="32"/>
          <w:lang w:val="zh-CN"/>
        </w:rPr>
        <w:t>（三）项目组织实施情况</w:t>
      </w:r>
    </w:p>
    <w:p>
      <w:pPr>
        <w:adjustRightInd w:val="0"/>
        <w:snapToGrid w:val="0"/>
        <w:spacing w:line="576"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项目由业务科室根据</w:t>
      </w:r>
      <w:r>
        <w:rPr>
          <w:rFonts w:hint="eastAsia" w:ascii="仿宋_GB2312" w:hAnsi="仿宋_GB2312" w:eastAsia="仿宋_GB2312" w:cs="仿宋_GB2312"/>
          <w:sz w:val="32"/>
          <w:szCs w:val="32"/>
        </w:rPr>
        <w:t>各类业务申报情况，测算评审所需</w:t>
      </w:r>
      <w:r>
        <w:rPr>
          <w:rFonts w:hint="eastAsia" w:ascii="仿宋_GB2312" w:hAnsi="仿宋_GB2312" w:eastAsia="仿宋_GB2312" w:cs="仿宋_GB2312"/>
          <w:sz w:val="32"/>
          <w:szCs w:val="32"/>
          <w:lang w:val="zh-CN"/>
        </w:rPr>
        <w:t>金额，</w:t>
      </w:r>
      <w:r>
        <w:rPr>
          <w:rFonts w:hint="eastAsia" w:ascii="仿宋_GB2312" w:hAnsi="仿宋_GB2312" w:eastAsia="仿宋_GB2312" w:cs="仿宋_GB2312"/>
          <w:sz w:val="32"/>
          <w:szCs w:val="32"/>
        </w:rPr>
        <w:t>组织开展评审工作，</w:t>
      </w:r>
      <w:r>
        <w:rPr>
          <w:rFonts w:hint="eastAsia" w:ascii="仿宋_GB2312" w:hAnsi="仿宋_GB2312" w:eastAsia="仿宋_GB2312" w:cs="仿宋_GB2312"/>
          <w:sz w:val="32"/>
          <w:szCs w:val="32"/>
          <w:lang w:val="zh-CN"/>
        </w:rPr>
        <w:t>经</w:t>
      </w:r>
      <w:r>
        <w:rPr>
          <w:rFonts w:hint="eastAsia" w:ascii="仿宋_GB2312" w:hAnsi="仿宋_GB2312" w:eastAsia="仿宋_GB2312" w:cs="仿宋_GB2312"/>
          <w:sz w:val="32"/>
          <w:szCs w:val="32"/>
        </w:rPr>
        <w:t>层层审签</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财务室</w:t>
      </w:r>
      <w:r>
        <w:rPr>
          <w:rFonts w:hint="eastAsia" w:ascii="仿宋_GB2312" w:hAnsi="仿宋_GB2312" w:eastAsia="仿宋_GB2312" w:cs="仿宋_GB2312"/>
          <w:sz w:val="32"/>
          <w:szCs w:val="32"/>
          <w:lang w:val="zh-CN"/>
        </w:rPr>
        <w:t>对照金额转账实施，</w:t>
      </w:r>
      <w:r>
        <w:rPr>
          <w:rFonts w:hint="eastAsia" w:ascii="仿宋_GB2312" w:hAnsi="仿宋_GB2312" w:eastAsia="仿宋_GB2312" w:cs="仿宋_GB2312"/>
          <w:sz w:val="32"/>
          <w:szCs w:val="32"/>
        </w:rPr>
        <w:t>过程留存各级经办人</w:t>
      </w:r>
      <w:r>
        <w:rPr>
          <w:rFonts w:hint="eastAsia" w:ascii="仿宋_GB2312" w:hAnsi="仿宋_GB2312" w:eastAsia="仿宋_GB2312" w:cs="仿宋_GB2312"/>
          <w:sz w:val="32"/>
          <w:szCs w:val="32"/>
          <w:lang w:val="zh-CN"/>
        </w:rPr>
        <w:t>签字作为支付</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val="zh-CN"/>
        </w:rPr>
        <w:t>。</w:t>
      </w:r>
    </w:p>
    <w:p>
      <w:pPr>
        <w:adjustRightInd w:val="0"/>
        <w:snapToGrid w:val="0"/>
        <w:spacing w:line="576" w:lineRule="exact"/>
        <w:ind w:firstLine="720"/>
        <w:outlineLvl w:val="1"/>
        <w:rPr>
          <w:rFonts w:ascii="黑体" w:hAnsi="黑体" w:eastAsia="黑体" w:cs="黑体"/>
          <w:sz w:val="32"/>
          <w:szCs w:val="32"/>
          <w:lang w:val="zh-CN"/>
        </w:rPr>
      </w:pPr>
      <w:bookmarkStart w:id="114" w:name="_Toc23318"/>
      <w:r>
        <w:rPr>
          <w:rFonts w:hint="eastAsia" w:ascii="黑体" w:hAnsi="黑体" w:eastAsia="黑体" w:cs="黑体"/>
          <w:sz w:val="32"/>
          <w:szCs w:val="32"/>
        </w:rPr>
        <w:t>三、项目绩效情况</w:t>
      </w:r>
      <w:bookmarkEnd w:id="114"/>
      <w:r>
        <w:rPr>
          <w:rFonts w:hint="eastAsia" w:ascii="黑体" w:hAnsi="黑体" w:eastAsia="黑体" w:cs="黑体"/>
          <w:sz w:val="32"/>
          <w:szCs w:val="32"/>
          <w:lang w:val="zh-CN"/>
        </w:rPr>
        <w:tab/>
      </w:r>
    </w:p>
    <w:p>
      <w:pPr>
        <w:adjustRightInd w:val="0"/>
        <w:snapToGrid w:val="0"/>
        <w:spacing w:line="576" w:lineRule="exact"/>
        <w:ind w:firstLine="720"/>
        <w:rPr>
          <w:rFonts w:ascii="楷体" w:hAnsi="楷体" w:eastAsia="楷体" w:cs="楷体"/>
          <w:sz w:val="32"/>
          <w:szCs w:val="32"/>
          <w:lang w:val="zh-CN"/>
        </w:rPr>
      </w:pPr>
      <w:r>
        <w:rPr>
          <w:rFonts w:hint="eastAsia" w:ascii="楷体" w:hAnsi="楷体" w:eastAsia="楷体" w:cs="楷体"/>
          <w:sz w:val="32"/>
          <w:szCs w:val="32"/>
          <w:lang w:val="zh-CN"/>
        </w:rPr>
        <w:t>（一）项目完成情况</w:t>
      </w:r>
    </w:p>
    <w:p>
      <w:pPr>
        <w:adjustRightInd w:val="0"/>
        <w:snapToGrid w:val="0"/>
        <w:spacing w:line="576"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总成本8万元，在2021年12月31日前已完成。高质量完成该项目。无项目资金结余，无违规记录。</w:t>
      </w:r>
    </w:p>
    <w:p>
      <w:pPr>
        <w:numPr>
          <w:ilvl w:val="0"/>
          <w:numId w:val="8"/>
        </w:numPr>
        <w:adjustRightInd w:val="0"/>
        <w:snapToGrid w:val="0"/>
        <w:spacing w:line="576" w:lineRule="exact"/>
        <w:ind w:firstLine="720"/>
        <w:rPr>
          <w:rFonts w:ascii="楷体" w:hAnsi="楷体" w:eastAsia="楷体" w:cs="楷体"/>
          <w:sz w:val="32"/>
          <w:szCs w:val="32"/>
          <w:lang w:val="zh-CN"/>
        </w:rPr>
      </w:pPr>
      <w:r>
        <w:rPr>
          <w:rFonts w:hint="eastAsia" w:ascii="楷体" w:hAnsi="楷体" w:eastAsia="楷体" w:cs="楷体"/>
          <w:sz w:val="32"/>
          <w:szCs w:val="32"/>
          <w:lang w:val="zh-CN"/>
        </w:rPr>
        <w:t>项目效益情况</w:t>
      </w:r>
    </w:p>
    <w:p>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通过开展</w:t>
      </w:r>
      <w:r>
        <w:rPr>
          <w:rFonts w:hint="eastAsia" w:ascii="仿宋_GB2312" w:hAnsi="仿宋_GB2312" w:eastAsia="仿宋_GB2312" w:cs="仿宋_GB2312"/>
          <w:sz w:val="32"/>
          <w:szCs w:val="32"/>
        </w:rPr>
        <w:t>技能大师工作室评选</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建设民办培训机构</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提升院校教师教学能力</w:t>
      </w:r>
      <w:r>
        <w:rPr>
          <w:rFonts w:hint="eastAsia" w:ascii="仿宋_GB2312" w:hAnsi="仿宋_GB2312" w:eastAsia="仿宋_GB2312" w:cs="仿宋_GB2312"/>
          <w:sz w:val="32"/>
          <w:szCs w:val="32"/>
          <w:lang w:val="zh-CN"/>
        </w:rPr>
        <w:t>等多元化形式，带动和促进高技能人才培养，成效显著。</w:t>
      </w:r>
    </w:p>
    <w:p>
      <w:pPr>
        <w:adjustRightInd w:val="0"/>
        <w:snapToGrid w:val="0"/>
        <w:spacing w:line="576" w:lineRule="exact"/>
        <w:ind w:firstLine="720"/>
        <w:outlineLvl w:val="1"/>
        <w:rPr>
          <w:rFonts w:ascii="黑体" w:hAnsi="黑体" w:eastAsia="黑体" w:cs="黑体"/>
          <w:sz w:val="32"/>
          <w:szCs w:val="32"/>
        </w:rPr>
      </w:pPr>
      <w:bookmarkStart w:id="115" w:name="_Toc29601"/>
      <w:r>
        <w:rPr>
          <w:rFonts w:hint="eastAsia" w:ascii="黑体" w:hAnsi="黑体" w:eastAsia="黑体" w:cs="黑体"/>
          <w:sz w:val="32"/>
          <w:szCs w:val="32"/>
        </w:rPr>
        <w:t>四、问题及建议</w:t>
      </w:r>
      <w:bookmarkEnd w:id="115"/>
    </w:p>
    <w:p>
      <w:pPr>
        <w:adjustRightInd w:val="0"/>
        <w:snapToGrid w:val="0"/>
        <w:spacing w:line="576" w:lineRule="exact"/>
        <w:ind w:firstLine="720"/>
        <w:rPr>
          <w:rFonts w:ascii="楷体" w:hAnsi="楷体" w:eastAsia="楷体" w:cs="楷体"/>
          <w:sz w:val="32"/>
          <w:szCs w:val="32"/>
          <w:lang w:val="zh-CN"/>
        </w:rPr>
      </w:pPr>
      <w:r>
        <w:rPr>
          <w:rFonts w:hint="eastAsia" w:ascii="楷体" w:hAnsi="楷体" w:eastAsia="楷体" w:cs="楷体"/>
          <w:sz w:val="32"/>
          <w:szCs w:val="32"/>
          <w:lang w:val="zh-CN"/>
        </w:rPr>
        <w:t>（一）存在的问题</w:t>
      </w:r>
    </w:p>
    <w:p>
      <w:pPr>
        <w:adjustRightInd w:val="0"/>
        <w:snapToGrid w:val="0"/>
        <w:spacing w:line="576"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由于经费有限，每年开展技能大师工作室评选和民办培训机构有关业务均按计划实施，不利于项目规范有序地发展。</w:t>
      </w:r>
    </w:p>
    <w:p>
      <w:pPr>
        <w:numPr>
          <w:ilvl w:val="0"/>
          <w:numId w:val="8"/>
        </w:numPr>
        <w:adjustRightInd w:val="0"/>
        <w:snapToGrid w:val="0"/>
        <w:spacing w:line="576" w:lineRule="exact"/>
        <w:ind w:firstLine="720"/>
        <w:rPr>
          <w:rFonts w:ascii="楷体" w:hAnsi="楷体" w:eastAsia="楷体" w:cs="楷体"/>
          <w:sz w:val="32"/>
          <w:szCs w:val="32"/>
          <w:lang w:val="zh-CN"/>
        </w:rPr>
      </w:pPr>
      <w:r>
        <w:rPr>
          <w:rFonts w:hint="eastAsia" w:ascii="楷体" w:hAnsi="楷体" w:eastAsia="楷体" w:cs="楷体"/>
          <w:sz w:val="32"/>
          <w:szCs w:val="32"/>
          <w:lang w:val="zh-CN"/>
        </w:rPr>
        <w:t>相关建议</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建议提高项目经费，为后续开展技能人才培养相关工作提供充足保障。</w:t>
      </w:r>
    </w:p>
    <w:p>
      <w:pPr>
        <w:spacing w:line="600" w:lineRule="exact"/>
        <w:jc w:val="center"/>
        <w:outlineLvl w:val="1"/>
        <w:rPr>
          <w:rFonts w:ascii="方正小标宋简体" w:eastAsia="方正小标宋简体"/>
          <w:b/>
          <w:sz w:val="44"/>
          <w:szCs w:val="44"/>
        </w:rPr>
      </w:pPr>
      <w:bookmarkStart w:id="116" w:name="_Toc26362"/>
      <w:r>
        <w:rPr>
          <w:rFonts w:hint="eastAsia" w:ascii="方正小标宋简体" w:eastAsia="方正小标宋简体"/>
          <w:b/>
          <w:sz w:val="44"/>
          <w:szCs w:val="44"/>
        </w:rPr>
        <w:t>2021年度市直属事业单位人员公开考调及招聘考务经费支出绩效自评报告（五）</w:t>
      </w:r>
      <w:bookmarkEnd w:id="116"/>
    </w:p>
    <w:p>
      <w:pPr>
        <w:adjustRightInd w:val="0"/>
        <w:snapToGrid w:val="0"/>
        <w:spacing w:line="576" w:lineRule="exact"/>
        <w:jc w:val="center"/>
        <w:rPr>
          <w:rFonts w:ascii="仿宋_GB2312" w:hAnsi="仿宋_GB2312" w:eastAsia="仿宋_GB2312" w:cs="仿宋_GB2312"/>
          <w:w w:val="90"/>
          <w:sz w:val="32"/>
          <w:szCs w:val="32"/>
        </w:rPr>
      </w:pPr>
      <w:r>
        <w:rPr>
          <w:rFonts w:hint="eastAsia" w:ascii="仿宋_GB2312" w:hAnsi="仿宋_GB2312" w:eastAsia="仿宋_GB2312" w:cs="仿宋_GB2312"/>
          <w:w w:val="90"/>
          <w:sz w:val="32"/>
          <w:szCs w:val="32"/>
        </w:rPr>
        <w:t>（市直机关事业单位人员公开选调及招聘考务经费项目）</w:t>
      </w:r>
    </w:p>
    <w:p>
      <w:pPr>
        <w:spacing w:line="576" w:lineRule="exact"/>
        <w:rPr>
          <w:rFonts w:ascii="仿宋_GB2312" w:eastAsia="仿宋_GB2312"/>
          <w:sz w:val="32"/>
          <w:szCs w:val="32"/>
        </w:rPr>
      </w:pPr>
    </w:p>
    <w:p>
      <w:pPr>
        <w:spacing w:line="576" w:lineRule="exact"/>
        <w:ind w:firstLine="641" w:firstLineChars="200"/>
        <w:outlineLvl w:val="1"/>
        <w:rPr>
          <w:rFonts w:ascii="黑体" w:eastAsia="黑体"/>
          <w:b/>
          <w:sz w:val="32"/>
          <w:szCs w:val="32"/>
        </w:rPr>
      </w:pPr>
      <w:bookmarkStart w:id="117" w:name="_Toc31278"/>
      <w:r>
        <w:rPr>
          <w:rFonts w:hint="eastAsia" w:ascii="黑体" w:eastAsia="黑体"/>
          <w:b/>
          <w:sz w:val="32"/>
          <w:szCs w:val="32"/>
        </w:rPr>
        <w:t>一、项目概况</w:t>
      </w:r>
      <w:bookmarkEnd w:id="117"/>
    </w:p>
    <w:p>
      <w:pPr>
        <w:spacing w:line="576" w:lineRule="exact"/>
        <w:ind w:firstLine="641" w:firstLineChars="200"/>
        <w:rPr>
          <w:rFonts w:ascii="楷体_GB2312" w:eastAsia="楷体_GB2312"/>
          <w:b/>
          <w:sz w:val="32"/>
          <w:szCs w:val="32"/>
        </w:rPr>
      </w:pPr>
      <w:r>
        <w:rPr>
          <w:rFonts w:hint="eastAsia" w:ascii="楷体_GB2312" w:eastAsia="楷体_GB2312"/>
          <w:b/>
          <w:sz w:val="32"/>
          <w:szCs w:val="32"/>
        </w:rPr>
        <w:t>（一）项目基本情况。</w:t>
      </w:r>
    </w:p>
    <w:p>
      <w:pPr>
        <w:spacing w:line="576" w:lineRule="exact"/>
        <w:ind w:firstLine="640" w:firstLineChars="200"/>
        <w:rPr>
          <w:rFonts w:ascii="仿宋_GB2312" w:hAnsi="Calibri" w:eastAsia="仿宋_GB2312"/>
          <w:sz w:val="32"/>
          <w:szCs w:val="32"/>
        </w:rPr>
      </w:pPr>
      <w:r>
        <w:rPr>
          <w:rFonts w:hint="eastAsia" w:ascii="仿宋_GB2312" w:hAnsi="Calibri" w:eastAsia="仿宋_GB2312"/>
          <w:sz w:val="32"/>
          <w:szCs w:val="32"/>
        </w:rPr>
        <w:t>根据市委编办年度空编使用计划，会同市委组织部组织实施我市2021年度直属事业单位工作人员公开考调、公开招聘工作。</w:t>
      </w:r>
    </w:p>
    <w:p>
      <w:pPr>
        <w:spacing w:line="576" w:lineRule="exact"/>
        <w:ind w:firstLine="641" w:firstLineChars="200"/>
        <w:rPr>
          <w:rFonts w:ascii="楷体_GB2312" w:eastAsia="楷体_GB2312"/>
          <w:b/>
          <w:sz w:val="32"/>
          <w:szCs w:val="32"/>
        </w:rPr>
      </w:pPr>
      <w:r>
        <w:rPr>
          <w:rFonts w:hint="eastAsia" w:ascii="楷体_GB2312" w:eastAsia="楷体_GB2312"/>
          <w:b/>
          <w:sz w:val="32"/>
          <w:szCs w:val="32"/>
        </w:rPr>
        <w:t>（二）项目绩效目标。</w:t>
      </w:r>
    </w:p>
    <w:p>
      <w:pPr>
        <w:spacing w:line="576" w:lineRule="exact"/>
        <w:ind w:firstLine="640" w:firstLineChars="200"/>
        <w:rPr>
          <w:rFonts w:ascii="仿宋_GB2312" w:hAnsi="Calibri" w:eastAsia="仿宋_GB2312"/>
          <w:sz w:val="32"/>
          <w:szCs w:val="32"/>
        </w:rPr>
      </w:pPr>
      <w:r>
        <w:rPr>
          <w:rFonts w:hint="eastAsia" w:ascii="仿宋_GB2312" w:hAnsi="Calibri" w:eastAsia="仿宋_GB2312"/>
          <w:sz w:val="32"/>
          <w:szCs w:val="32"/>
        </w:rPr>
        <w:t>完成我市2021年度事业单位公开招聘、公开考调工作，补充事业单位工作人员。</w:t>
      </w:r>
    </w:p>
    <w:p>
      <w:pPr>
        <w:spacing w:line="576" w:lineRule="exact"/>
        <w:ind w:firstLine="641" w:firstLineChars="200"/>
        <w:rPr>
          <w:rFonts w:ascii="楷体_GB2312" w:eastAsia="楷体_GB2312"/>
          <w:b/>
          <w:sz w:val="32"/>
          <w:szCs w:val="32"/>
        </w:rPr>
      </w:pPr>
      <w:r>
        <w:rPr>
          <w:rFonts w:hint="eastAsia" w:ascii="楷体_GB2312" w:eastAsia="楷体_GB2312"/>
          <w:b/>
          <w:sz w:val="32"/>
          <w:szCs w:val="32"/>
        </w:rPr>
        <w:t>（三）资金申报相符性。</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项目资金的内容与我单位开展</w:t>
      </w:r>
      <w:r>
        <w:rPr>
          <w:rFonts w:hint="eastAsia" w:ascii="仿宋_GB2312" w:hAnsi="Calibri" w:eastAsia="仿宋_GB2312"/>
          <w:sz w:val="32"/>
          <w:szCs w:val="32"/>
        </w:rPr>
        <w:t>市直事业单位人员公开考调及招聘活动</w:t>
      </w:r>
      <w:r>
        <w:rPr>
          <w:rFonts w:hint="eastAsia" w:ascii="仿宋_GB2312" w:eastAsia="仿宋_GB2312"/>
          <w:sz w:val="32"/>
          <w:szCs w:val="32"/>
        </w:rPr>
        <w:t>内容完全相符、申报目标经测算是合理可行的。</w:t>
      </w:r>
    </w:p>
    <w:p>
      <w:pPr>
        <w:adjustRightInd w:val="0"/>
        <w:snapToGrid w:val="0"/>
        <w:spacing w:line="600" w:lineRule="exact"/>
        <w:ind w:firstLine="720"/>
        <w:outlineLvl w:val="1"/>
        <w:rPr>
          <w:rFonts w:ascii="黑体" w:hAnsi="宋体" w:eastAsia="黑体"/>
          <w:sz w:val="32"/>
          <w:szCs w:val="32"/>
        </w:rPr>
      </w:pPr>
      <w:bookmarkStart w:id="118" w:name="_Toc19527"/>
      <w:r>
        <w:rPr>
          <w:rFonts w:hint="eastAsia" w:ascii="黑体" w:hAnsi="宋体" w:eastAsia="黑体"/>
          <w:sz w:val="32"/>
          <w:szCs w:val="32"/>
        </w:rPr>
        <w:t>二、项目资金申报及使用情况</w:t>
      </w:r>
      <w:bookmarkEnd w:id="118"/>
    </w:p>
    <w:p>
      <w:pPr>
        <w:adjustRightInd w:val="0"/>
        <w:snapToGrid w:val="0"/>
        <w:spacing w:line="600" w:lineRule="exact"/>
        <w:ind w:firstLine="720"/>
        <w:rPr>
          <w:rFonts w:ascii="仿宋_GB2312" w:hAnsi="宋体" w:eastAsia="仿宋_GB2312"/>
          <w:sz w:val="32"/>
          <w:szCs w:val="32"/>
        </w:rPr>
      </w:pPr>
      <w:r>
        <w:rPr>
          <w:rFonts w:hint="eastAsia" w:ascii="楷体_GB2312" w:eastAsia="楷体_GB2312"/>
          <w:b/>
          <w:sz w:val="32"/>
          <w:szCs w:val="32"/>
        </w:rPr>
        <w:t>（一）资金申报及批复情况</w:t>
      </w:r>
      <w:r>
        <w:rPr>
          <w:rFonts w:hint="eastAsia" w:ascii="仿宋_GB2312" w:eastAsia="仿宋_GB2312"/>
          <w:spacing w:val="-8"/>
          <w:sz w:val="32"/>
          <w:szCs w:val="32"/>
        </w:rPr>
        <w:t>。</w:t>
      </w:r>
      <w:r>
        <w:rPr>
          <w:rFonts w:hint="eastAsia" w:ascii="仿宋_GB2312" w:hAnsi="宋体" w:eastAsia="仿宋_GB2312"/>
          <w:sz w:val="32"/>
          <w:szCs w:val="32"/>
          <w:lang w:val="zh-CN"/>
        </w:rPr>
        <w:t>经</w:t>
      </w:r>
      <w:r>
        <w:rPr>
          <w:rFonts w:hint="eastAsia" w:ascii="仿宋" w:hAnsi="仿宋" w:eastAsia="仿宋" w:cs="仿宋"/>
          <w:sz w:val="32"/>
          <w:szCs w:val="32"/>
        </w:rPr>
        <w:t>八届人大二次</w:t>
      </w:r>
      <w:r>
        <w:rPr>
          <w:rFonts w:hint="eastAsia" w:ascii="仿宋_GB2312" w:hAnsi="宋体" w:eastAsia="仿宋_GB2312"/>
          <w:sz w:val="32"/>
          <w:szCs w:val="32"/>
          <w:lang w:val="zh-CN"/>
        </w:rPr>
        <w:t>会议审查批准及市财政局批复，年初预算</w:t>
      </w:r>
      <w:r>
        <w:rPr>
          <w:rFonts w:hint="eastAsia" w:ascii="仿宋_GB2312" w:hAnsi="Calibri" w:eastAsia="仿宋_GB2312"/>
          <w:sz w:val="32"/>
          <w:szCs w:val="32"/>
        </w:rPr>
        <w:t>市直机关事业单位人员公开考调及招聘考务经费</w:t>
      </w:r>
      <w:r>
        <w:rPr>
          <w:rFonts w:hint="eastAsia" w:ascii="仿宋_GB2312" w:hAnsi="宋体" w:eastAsia="仿宋_GB2312"/>
          <w:sz w:val="32"/>
          <w:szCs w:val="32"/>
          <w:lang w:val="zh-CN"/>
        </w:rPr>
        <w:t>项目经费</w:t>
      </w:r>
      <w:r>
        <w:rPr>
          <w:rFonts w:hint="eastAsia" w:ascii="仿宋_GB2312" w:hAnsi="宋体" w:eastAsia="仿宋_GB2312"/>
          <w:sz w:val="32"/>
          <w:szCs w:val="32"/>
        </w:rPr>
        <w:t>7</w:t>
      </w:r>
      <w:r>
        <w:rPr>
          <w:rFonts w:hint="eastAsia" w:ascii="仿宋_GB2312" w:hAnsi="宋体" w:eastAsia="仿宋_GB2312"/>
          <w:sz w:val="32"/>
          <w:szCs w:val="32"/>
          <w:lang w:val="zh-CN"/>
        </w:rPr>
        <w:t>万元。</w:t>
      </w:r>
    </w:p>
    <w:p>
      <w:pPr>
        <w:spacing w:line="576" w:lineRule="exact"/>
        <w:ind w:firstLine="641" w:firstLineChars="200"/>
        <w:rPr>
          <w:rFonts w:ascii="仿宋_GB2312" w:hAnsi="宋体" w:eastAsia="仿宋_GB2312"/>
          <w:sz w:val="32"/>
          <w:szCs w:val="32"/>
        </w:rPr>
      </w:pPr>
      <w:r>
        <w:rPr>
          <w:rFonts w:hint="eastAsia" w:ascii="楷体_GB2312" w:eastAsia="楷体_GB2312"/>
          <w:b/>
          <w:sz w:val="32"/>
          <w:szCs w:val="32"/>
        </w:rPr>
        <w:t>（二）资金计划、到位、使用情况</w:t>
      </w:r>
      <w:r>
        <w:rPr>
          <w:rFonts w:hint="eastAsia" w:ascii="仿宋_GB2312" w:eastAsia="仿宋_GB2312"/>
          <w:sz w:val="32"/>
          <w:szCs w:val="32"/>
        </w:rPr>
        <w:t>。</w:t>
      </w:r>
      <w:r>
        <w:rPr>
          <w:rFonts w:hint="eastAsia" w:ascii="仿宋_GB2312" w:hAnsi="宋体" w:eastAsia="仿宋_GB2312"/>
          <w:sz w:val="32"/>
          <w:szCs w:val="32"/>
          <w:lang w:val="zh-CN"/>
        </w:rPr>
        <w:t>该项目资金计划</w:t>
      </w:r>
      <w:r>
        <w:rPr>
          <w:rFonts w:hint="eastAsia" w:ascii="仿宋_GB2312" w:hAnsi="宋体" w:eastAsia="仿宋_GB2312"/>
          <w:sz w:val="32"/>
          <w:szCs w:val="32"/>
        </w:rPr>
        <w:t>7万</w:t>
      </w:r>
      <w:r>
        <w:rPr>
          <w:rFonts w:hint="eastAsia" w:ascii="仿宋_GB2312" w:hAnsi="宋体" w:eastAsia="仿宋_GB2312"/>
          <w:sz w:val="32"/>
          <w:szCs w:val="32"/>
          <w:lang w:val="zh-CN"/>
        </w:rPr>
        <w:t>元，到位</w:t>
      </w:r>
      <w:r>
        <w:rPr>
          <w:rFonts w:hint="eastAsia" w:ascii="仿宋_GB2312" w:hAnsi="宋体" w:eastAsia="仿宋_GB2312"/>
          <w:sz w:val="32"/>
          <w:szCs w:val="32"/>
        </w:rPr>
        <w:t>7万元，资金到位率100%，为本级财政拨款资金。</w:t>
      </w:r>
      <w:r>
        <w:rPr>
          <w:rFonts w:hint="eastAsia" w:ascii="仿宋_GB2312" w:hAnsi="宋体" w:eastAsia="仿宋_GB2312"/>
          <w:sz w:val="32"/>
          <w:szCs w:val="32"/>
          <w:lang w:val="zh-CN"/>
        </w:rPr>
        <w:t>截止到评价日，该项目资金已使用</w:t>
      </w:r>
      <w:r>
        <w:rPr>
          <w:rFonts w:hint="eastAsia" w:ascii="仿宋_GB2312" w:hAnsi="宋体" w:eastAsia="仿宋_GB2312"/>
          <w:sz w:val="32"/>
          <w:szCs w:val="32"/>
        </w:rPr>
        <w:t>7万</w:t>
      </w:r>
      <w:r>
        <w:rPr>
          <w:rFonts w:hint="eastAsia" w:ascii="仿宋_GB2312" w:hAnsi="宋体" w:eastAsia="仿宋_GB2312"/>
          <w:sz w:val="32"/>
          <w:szCs w:val="32"/>
          <w:lang w:val="zh-CN"/>
        </w:rPr>
        <w:t>元，完成支付</w:t>
      </w:r>
      <w:r>
        <w:rPr>
          <w:rFonts w:hint="eastAsia" w:ascii="仿宋_GB2312" w:hAnsi="宋体" w:eastAsia="仿宋_GB2312"/>
          <w:sz w:val="32"/>
          <w:szCs w:val="32"/>
        </w:rPr>
        <w:t>7万元</w:t>
      </w:r>
      <w:r>
        <w:rPr>
          <w:rFonts w:hint="eastAsia" w:ascii="仿宋_GB2312" w:hAnsi="宋体" w:eastAsia="仿宋_GB2312"/>
          <w:sz w:val="32"/>
          <w:szCs w:val="32"/>
          <w:lang w:val="zh-CN"/>
        </w:rPr>
        <w:t>元，</w:t>
      </w:r>
      <w:r>
        <w:rPr>
          <w:rFonts w:hint="eastAsia" w:ascii="仿宋_GB2312" w:hAnsi="宋体" w:eastAsia="仿宋_GB2312"/>
          <w:sz w:val="32"/>
          <w:szCs w:val="32"/>
        </w:rPr>
        <w:t>预算支出未发现无预算、超预算支出，</w:t>
      </w:r>
      <w:r>
        <w:rPr>
          <w:rFonts w:hint="eastAsia" w:ascii="仿宋_GB2312" w:hAnsi="宋体" w:eastAsia="仿宋_GB2312"/>
          <w:sz w:val="32"/>
          <w:szCs w:val="32"/>
          <w:lang w:val="zh-CN"/>
        </w:rPr>
        <w:t>资金使用安全、规范及有效，资金支付范围、支付标准、支付进度、支付依据等合规合法、与预算相符，</w:t>
      </w:r>
      <w:r>
        <w:rPr>
          <w:rFonts w:hint="eastAsia" w:ascii="仿宋_GB2312" w:hAnsi="宋体" w:eastAsia="仿宋_GB2312"/>
          <w:sz w:val="32"/>
          <w:szCs w:val="32"/>
        </w:rPr>
        <w:t>未发现虚列支出、挤占、挪用、转移财政资金行为。</w:t>
      </w:r>
    </w:p>
    <w:p>
      <w:pPr>
        <w:spacing w:line="576" w:lineRule="exact"/>
        <w:ind w:firstLine="641" w:firstLineChars="200"/>
        <w:outlineLvl w:val="1"/>
        <w:rPr>
          <w:rFonts w:ascii="黑体" w:eastAsia="黑体"/>
          <w:b/>
          <w:sz w:val="32"/>
          <w:szCs w:val="32"/>
        </w:rPr>
      </w:pPr>
      <w:bookmarkStart w:id="119" w:name="_Toc30859"/>
      <w:r>
        <w:rPr>
          <w:rFonts w:hint="eastAsia" w:ascii="黑体" w:eastAsia="黑体"/>
          <w:b/>
          <w:sz w:val="32"/>
          <w:szCs w:val="32"/>
        </w:rPr>
        <w:t>三、项目实施及管理情况</w:t>
      </w:r>
      <w:bookmarkEnd w:id="119"/>
    </w:p>
    <w:p>
      <w:pPr>
        <w:spacing w:line="576" w:lineRule="exact"/>
        <w:ind w:firstLine="641" w:firstLineChars="200"/>
        <w:rPr>
          <w:rFonts w:ascii="楷体_GB2312" w:eastAsia="楷体_GB2312"/>
          <w:b/>
          <w:sz w:val="32"/>
          <w:szCs w:val="32"/>
        </w:rPr>
      </w:pPr>
      <w:r>
        <w:rPr>
          <w:rFonts w:hint="eastAsia" w:ascii="楷体_GB2312" w:eastAsia="楷体_GB2312"/>
          <w:b/>
          <w:sz w:val="32"/>
          <w:szCs w:val="32"/>
        </w:rPr>
        <w:t>（一）项目组织架构及实施情况</w:t>
      </w:r>
    </w:p>
    <w:p>
      <w:pPr>
        <w:spacing w:line="576" w:lineRule="exact"/>
        <w:ind w:firstLine="640" w:firstLineChars="200"/>
        <w:rPr>
          <w:rFonts w:ascii="仿宋_GB2312" w:hAnsi="Calibri" w:eastAsia="仿宋_GB2312"/>
          <w:sz w:val="32"/>
          <w:szCs w:val="32"/>
        </w:rPr>
      </w:pPr>
      <w:r>
        <w:rPr>
          <w:rFonts w:hint="eastAsia" w:ascii="仿宋_GB2312" w:hAnsi="Calibri" w:eastAsia="仿宋_GB2312"/>
          <w:sz w:val="32"/>
          <w:szCs w:val="32"/>
        </w:rPr>
        <w:t>1.根据《广元市直机关事业单位公开考调工作人员办法（试行）》（广组通〔2020〕29号），报经市委、市政府批准后，会同市委组织部启动了2021年度直属机关事业单位公开考调工作。</w:t>
      </w:r>
    </w:p>
    <w:p>
      <w:pPr>
        <w:spacing w:line="576" w:lineRule="exact"/>
        <w:ind w:firstLine="640" w:firstLineChars="200"/>
        <w:rPr>
          <w:rFonts w:ascii="仿宋_GB2312" w:hAnsi="Calibri" w:eastAsia="仿宋_GB2312"/>
          <w:sz w:val="32"/>
          <w:szCs w:val="32"/>
        </w:rPr>
      </w:pPr>
      <w:r>
        <w:rPr>
          <w:rFonts w:hint="eastAsia" w:ascii="仿宋_GB2312" w:hAnsi="Calibri" w:eastAsia="仿宋_GB2312"/>
          <w:sz w:val="32"/>
          <w:szCs w:val="32"/>
        </w:rPr>
        <w:t>2.围绕补充疫情防控急需紧缺，以及经济社会事业发展急需人才、促进高校毕业生就业和脱贫攻坚三大主题，严格按照省、市文件规定，按程序报批后，为事业单位公开招聘补充了一批急需紧缺的工作人员。</w:t>
      </w:r>
    </w:p>
    <w:p>
      <w:pPr>
        <w:spacing w:line="576" w:lineRule="exact"/>
        <w:ind w:firstLine="641" w:firstLineChars="200"/>
        <w:rPr>
          <w:rFonts w:ascii="楷体_GB2312" w:eastAsia="楷体_GB2312"/>
          <w:b/>
          <w:sz w:val="32"/>
          <w:szCs w:val="32"/>
        </w:rPr>
      </w:pPr>
      <w:r>
        <w:rPr>
          <w:rFonts w:hint="eastAsia" w:ascii="楷体_GB2312" w:eastAsia="楷体_GB2312"/>
          <w:b/>
          <w:sz w:val="32"/>
          <w:szCs w:val="32"/>
        </w:rPr>
        <w:t>（二）项目管理情况</w:t>
      </w:r>
    </w:p>
    <w:p>
      <w:pPr>
        <w:adjustRightInd w:val="0"/>
        <w:snapToGrid w:val="0"/>
        <w:spacing w:line="576" w:lineRule="exact"/>
        <w:ind w:firstLine="640" w:firstLineChars="200"/>
        <w:rPr>
          <w:rFonts w:ascii="楷体_GB2312" w:eastAsia="楷体_GB2312"/>
          <w:b/>
          <w:sz w:val="32"/>
          <w:szCs w:val="32"/>
        </w:rPr>
      </w:pPr>
      <w:r>
        <w:rPr>
          <w:rFonts w:hint="eastAsia" w:ascii="仿宋_GB2312" w:hAnsi="仿宋_GB2312" w:eastAsia="仿宋_GB2312" w:cs="仿宋_GB2312"/>
          <w:sz w:val="32"/>
          <w:szCs w:val="32"/>
          <w:lang w:val="zh-CN"/>
        </w:rPr>
        <w:t>该项目资金由局规划财务科统一进行专项资金财务核算管理，财务管理制度健全、会计核算及账务处理规范，项目执行过程中，严格执行财务管理制度，保证了专款专用。</w:t>
      </w:r>
    </w:p>
    <w:p>
      <w:pPr>
        <w:spacing w:line="576" w:lineRule="exact"/>
        <w:ind w:firstLine="641" w:firstLineChars="200"/>
        <w:outlineLvl w:val="1"/>
        <w:rPr>
          <w:rFonts w:ascii="黑体" w:eastAsia="黑体"/>
          <w:b/>
          <w:sz w:val="32"/>
          <w:szCs w:val="32"/>
        </w:rPr>
      </w:pPr>
      <w:bookmarkStart w:id="120" w:name="_Toc31490"/>
      <w:r>
        <w:rPr>
          <w:rFonts w:hint="eastAsia" w:ascii="黑体" w:eastAsia="黑体"/>
          <w:b/>
          <w:sz w:val="32"/>
          <w:szCs w:val="32"/>
        </w:rPr>
        <w:t>四、项目绩效情况</w:t>
      </w:r>
      <w:bookmarkEnd w:id="120"/>
    </w:p>
    <w:p>
      <w:pPr>
        <w:spacing w:line="576" w:lineRule="exact"/>
        <w:ind w:firstLine="641" w:firstLineChars="200"/>
        <w:rPr>
          <w:rFonts w:ascii="楷体_GB2312" w:eastAsia="楷体_GB2312"/>
          <w:b/>
          <w:sz w:val="32"/>
          <w:szCs w:val="32"/>
        </w:rPr>
      </w:pPr>
      <w:r>
        <w:rPr>
          <w:rFonts w:hint="eastAsia" w:ascii="楷体_GB2312" w:eastAsia="楷体_GB2312"/>
          <w:b/>
          <w:sz w:val="32"/>
          <w:szCs w:val="32"/>
        </w:rPr>
        <w:t>（一）项目完成情况</w:t>
      </w:r>
    </w:p>
    <w:p>
      <w:pPr>
        <w:spacing w:line="576" w:lineRule="exact"/>
        <w:ind w:firstLine="641" w:firstLineChars="200"/>
        <w:rPr>
          <w:rFonts w:ascii="仿宋_GB2312" w:hAnsi="Calibri" w:eastAsia="仿宋_GB2312"/>
          <w:sz w:val="32"/>
          <w:szCs w:val="32"/>
        </w:rPr>
      </w:pPr>
      <w:r>
        <w:rPr>
          <w:rFonts w:hint="eastAsia" w:ascii="楷体_GB2312" w:eastAsia="楷体_GB2312"/>
          <w:b/>
          <w:sz w:val="32"/>
          <w:szCs w:val="32"/>
        </w:rPr>
        <w:t>1.</w:t>
      </w:r>
      <w:r>
        <w:rPr>
          <w:rFonts w:hint="eastAsia" w:ascii="仿宋_GB2312" w:hAnsi="Calibri" w:eastAsia="仿宋_GB2312"/>
          <w:sz w:val="32"/>
          <w:szCs w:val="32"/>
        </w:rPr>
        <w:t>2021年市直事业单位公开考调工作人员共44名，其中，管理岗位36名、专业技术岗位18名。</w:t>
      </w:r>
    </w:p>
    <w:p>
      <w:pPr>
        <w:spacing w:line="576" w:lineRule="exact"/>
        <w:ind w:firstLine="640" w:firstLineChars="200"/>
        <w:rPr>
          <w:rFonts w:ascii="仿宋_GB2312" w:hAnsi="Calibri" w:eastAsia="仿宋_GB2312"/>
          <w:sz w:val="32"/>
          <w:szCs w:val="32"/>
        </w:rPr>
      </w:pPr>
      <w:r>
        <w:rPr>
          <w:rFonts w:hint="eastAsia" w:ascii="仿宋_GB2312" w:hAnsi="Calibri" w:eastAsia="仿宋_GB2312"/>
          <w:sz w:val="32"/>
          <w:szCs w:val="32"/>
        </w:rPr>
        <w:t>2.2021年发布公开招聘公告31次，公开招聘1803人，其中：</w:t>
      </w:r>
      <w:r>
        <w:rPr>
          <w:rFonts w:hint="eastAsia" w:ascii="仿宋_GB2312" w:eastAsia="仿宋_GB2312"/>
          <w:sz w:val="32"/>
          <w:szCs w:val="32"/>
        </w:rPr>
        <w:t>市直236人，县区1567人</w:t>
      </w:r>
      <w:r>
        <w:rPr>
          <w:rFonts w:hint="eastAsia" w:ascii="仿宋_GB2312" w:hAnsi="Calibri" w:eastAsia="仿宋_GB2312"/>
          <w:sz w:val="32"/>
          <w:szCs w:val="32"/>
        </w:rPr>
        <w:t>，招聘工作平稳、顺利、安全。</w:t>
      </w:r>
    </w:p>
    <w:p>
      <w:pPr>
        <w:spacing w:line="576" w:lineRule="exact"/>
        <w:ind w:firstLine="641" w:firstLineChars="200"/>
        <w:rPr>
          <w:rFonts w:ascii="楷体_GB2312" w:eastAsia="楷体_GB2312"/>
          <w:b/>
          <w:sz w:val="32"/>
          <w:szCs w:val="32"/>
        </w:rPr>
      </w:pPr>
      <w:r>
        <w:rPr>
          <w:rFonts w:hint="eastAsia" w:ascii="楷体_GB2312" w:eastAsia="楷体_GB2312"/>
          <w:b/>
          <w:sz w:val="32"/>
          <w:szCs w:val="32"/>
        </w:rPr>
        <w:t>（二）项目效益情况</w:t>
      </w:r>
    </w:p>
    <w:p>
      <w:pPr>
        <w:spacing w:line="576" w:lineRule="exact"/>
        <w:ind w:firstLine="640" w:firstLineChars="200"/>
        <w:rPr>
          <w:rFonts w:ascii="仿宋_GB2312" w:hAnsi="Calibri" w:eastAsia="仿宋_GB2312"/>
          <w:sz w:val="32"/>
          <w:szCs w:val="32"/>
        </w:rPr>
      </w:pPr>
      <w:r>
        <w:rPr>
          <w:rFonts w:hint="eastAsia" w:ascii="仿宋_GB2312" w:hAnsi="Calibri" w:eastAsia="仿宋_GB2312"/>
          <w:sz w:val="32"/>
          <w:szCs w:val="32"/>
        </w:rPr>
        <w:t>在市委编办年度空编使用计划内，规范组织实施了我市事业单位公开招聘、公开考调工作，确保事业单位工作人员补充到位。</w:t>
      </w:r>
    </w:p>
    <w:p>
      <w:pPr>
        <w:spacing w:line="576" w:lineRule="exact"/>
        <w:ind w:firstLine="641" w:firstLineChars="200"/>
        <w:outlineLvl w:val="1"/>
        <w:rPr>
          <w:rFonts w:ascii="黑体" w:eastAsia="黑体"/>
          <w:b/>
          <w:sz w:val="32"/>
          <w:szCs w:val="32"/>
        </w:rPr>
      </w:pPr>
      <w:bookmarkStart w:id="121" w:name="_Toc20740"/>
      <w:r>
        <w:rPr>
          <w:rFonts w:hint="eastAsia" w:ascii="黑体" w:eastAsia="黑体"/>
          <w:b/>
          <w:sz w:val="32"/>
          <w:szCs w:val="32"/>
        </w:rPr>
        <w:t>五、自评结论及建议</w:t>
      </w:r>
      <w:bookmarkEnd w:id="121"/>
    </w:p>
    <w:p>
      <w:pPr>
        <w:spacing w:line="576" w:lineRule="exact"/>
        <w:ind w:firstLine="641" w:firstLineChars="200"/>
        <w:rPr>
          <w:rFonts w:ascii="楷体_GB2312" w:eastAsia="楷体_GB2312"/>
          <w:b/>
          <w:sz w:val="32"/>
          <w:szCs w:val="32"/>
        </w:rPr>
      </w:pPr>
      <w:r>
        <w:rPr>
          <w:rFonts w:hint="eastAsia" w:ascii="楷体_GB2312" w:eastAsia="楷体_GB2312"/>
          <w:b/>
          <w:sz w:val="32"/>
          <w:szCs w:val="32"/>
        </w:rPr>
        <w:t>（一）评价结论。</w:t>
      </w:r>
    </w:p>
    <w:p>
      <w:pPr>
        <w:spacing w:line="576" w:lineRule="exact"/>
        <w:ind w:firstLine="640" w:firstLineChars="200"/>
        <w:rPr>
          <w:rFonts w:ascii="仿宋_GB2312" w:hAnsi="Calibri" w:eastAsia="仿宋_GB2312"/>
          <w:sz w:val="32"/>
          <w:szCs w:val="32"/>
        </w:rPr>
      </w:pPr>
      <w:r>
        <w:rPr>
          <w:rFonts w:hint="eastAsia" w:ascii="仿宋_GB2312" w:hAnsi="Calibri" w:eastAsia="仿宋_GB2312"/>
          <w:sz w:val="32"/>
          <w:szCs w:val="32"/>
        </w:rPr>
        <w:t>该项资金的合理使用，能够确保我市事业单位公开招聘、公开考调工作的顺利运行，为提高高校毕业生就业率、缓解就业压力提供有力的支撑。</w:t>
      </w:r>
    </w:p>
    <w:p>
      <w:pPr>
        <w:spacing w:line="576" w:lineRule="exact"/>
        <w:ind w:firstLine="641" w:firstLineChars="200"/>
        <w:rPr>
          <w:rFonts w:ascii="楷体_GB2312" w:eastAsia="楷体_GB2312"/>
          <w:b/>
          <w:sz w:val="32"/>
          <w:szCs w:val="32"/>
        </w:rPr>
      </w:pPr>
      <w:r>
        <w:rPr>
          <w:rFonts w:hint="eastAsia" w:ascii="楷体_GB2312" w:eastAsia="楷体_GB2312"/>
          <w:b/>
          <w:sz w:val="32"/>
          <w:szCs w:val="32"/>
        </w:rPr>
        <w:t>（二）存在的问题。</w:t>
      </w:r>
    </w:p>
    <w:p>
      <w:pPr>
        <w:spacing w:line="576" w:lineRule="exact"/>
        <w:ind w:firstLine="640" w:firstLineChars="200"/>
        <w:rPr>
          <w:rFonts w:ascii="仿宋_GB2312" w:hAnsi="Calibri" w:eastAsia="仿宋_GB2312"/>
          <w:sz w:val="32"/>
          <w:szCs w:val="32"/>
        </w:rPr>
      </w:pPr>
      <w:r>
        <w:rPr>
          <w:rFonts w:hint="eastAsia" w:ascii="仿宋_GB2312" w:hAnsi="Calibri" w:eastAsia="仿宋_GB2312"/>
          <w:sz w:val="32"/>
          <w:szCs w:val="32"/>
        </w:rPr>
        <w:t>随着每年高校毕业生人数的增多，以及面临的就业形势，事业单位公开招聘报名人数可能会逐年增加，资金不足将会导致事业单位公开招聘、公开考调工作运转出现问题。</w:t>
      </w:r>
    </w:p>
    <w:p>
      <w:pPr>
        <w:spacing w:line="576" w:lineRule="exact"/>
        <w:ind w:firstLine="641" w:firstLineChars="200"/>
        <w:rPr>
          <w:rFonts w:ascii="楷体_GB2312" w:eastAsia="楷体_GB2312"/>
          <w:b/>
          <w:sz w:val="32"/>
          <w:szCs w:val="32"/>
        </w:rPr>
      </w:pPr>
      <w:r>
        <w:rPr>
          <w:rFonts w:hint="eastAsia" w:ascii="楷体_GB2312" w:eastAsia="楷体_GB2312"/>
          <w:b/>
          <w:sz w:val="32"/>
          <w:szCs w:val="32"/>
        </w:rPr>
        <w:t>（三）相关建议</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提高我市事业单位公开招聘、公开考调工作经费预算。</w:t>
      </w:r>
    </w:p>
    <w:p>
      <w:pPr>
        <w:spacing w:line="576" w:lineRule="exact"/>
        <w:rPr>
          <w:rFonts w:ascii="仿宋_GB2312" w:eastAsia="仿宋_GB2312"/>
          <w:sz w:val="32"/>
          <w:szCs w:val="32"/>
        </w:rPr>
      </w:pPr>
    </w:p>
    <w:p>
      <w:pPr>
        <w:spacing w:line="576" w:lineRule="exact"/>
        <w:ind w:firstLine="3779" w:firstLineChars="1181"/>
        <w:jc w:val="center"/>
        <w:rPr>
          <w:rFonts w:ascii="仿宋_GB2312" w:eastAsia="仿宋_GB2312"/>
          <w:sz w:val="32"/>
          <w:szCs w:val="32"/>
        </w:rPr>
      </w:pPr>
    </w:p>
    <w:p>
      <w:pPr>
        <w:spacing w:line="576" w:lineRule="exact"/>
      </w:pPr>
    </w:p>
    <w:p>
      <w:pPr>
        <w:pStyle w:val="5"/>
        <w:spacing w:before="93"/>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15"/>
        <w:tblpPr w:leftFromText="180" w:rightFromText="180" w:vertAnchor="text" w:horzAnchor="page" w:tblpX="1281" w:tblpY="660"/>
        <w:tblOverlap w:val="never"/>
        <w:tblW w:w="0" w:type="auto"/>
        <w:tblInd w:w="0" w:type="dxa"/>
        <w:tblLayout w:type="fixed"/>
        <w:tblCellMar>
          <w:top w:w="0" w:type="dxa"/>
          <w:left w:w="108" w:type="dxa"/>
          <w:bottom w:w="0" w:type="dxa"/>
          <w:right w:w="108" w:type="dxa"/>
        </w:tblCellMar>
      </w:tblPr>
      <w:tblGrid>
        <w:gridCol w:w="925"/>
        <w:gridCol w:w="887"/>
        <w:gridCol w:w="1413"/>
        <w:gridCol w:w="1862"/>
        <w:gridCol w:w="1938"/>
        <w:gridCol w:w="624"/>
        <w:gridCol w:w="1928"/>
        <w:gridCol w:w="236"/>
      </w:tblGrid>
      <w:tr>
        <w:tblPrEx>
          <w:tblCellMar>
            <w:top w:w="0" w:type="dxa"/>
            <w:left w:w="108" w:type="dxa"/>
            <w:bottom w:w="0" w:type="dxa"/>
            <w:right w:w="108" w:type="dxa"/>
          </w:tblCellMar>
        </w:tblPrEx>
        <w:trPr>
          <w:trHeight w:val="675" w:hRule="atLeast"/>
        </w:trPr>
        <w:tc>
          <w:tcPr>
            <w:tcW w:w="9577" w:type="dxa"/>
            <w:gridSpan w:val="7"/>
            <w:tcBorders>
              <w:top w:val="nil"/>
              <w:left w:val="nil"/>
              <w:bottom w:val="nil"/>
              <w:right w:val="nil"/>
            </w:tcBorders>
            <w:shd w:val="clear" w:color="auto" w:fill="auto"/>
            <w:vAlign w:val="center"/>
          </w:tcPr>
          <w:p>
            <w:pPr>
              <w:widowControl/>
              <w:jc w:val="center"/>
              <w:textAlignment w:val="center"/>
              <w:rPr>
                <w:rFonts w:ascii="黑体" w:hAnsi="黑体" w:eastAsia="黑体" w:cs="黑体"/>
                <w:sz w:val="44"/>
                <w:szCs w:val="44"/>
              </w:rPr>
            </w:pPr>
            <w:r>
              <w:rPr>
                <w:rFonts w:hint="eastAsia" w:ascii="黑体" w:hAnsi="黑体" w:eastAsia="黑体" w:cs="黑体"/>
                <w:sz w:val="44"/>
                <w:szCs w:val="44"/>
              </w:rPr>
              <w:t>2021年部门预算项目绩效目标自评表（一）</w:t>
            </w:r>
          </w:p>
          <w:p>
            <w:pPr>
              <w:widowControl/>
              <w:jc w:val="center"/>
              <w:textAlignment w:val="center"/>
              <w:rPr>
                <w:rFonts w:eastAsia="方正仿宋简体"/>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"一卡通"阳光审批平台建设采购资金项目</w:t>
            </w:r>
            <w:r>
              <w:rPr>
                <w:rFonts w:hint="eastAsia" w:ascii="仿宋_GB2312" w:hAnsi="仿宋_GB2312" w:eastAsia="仿宋_GB2312" w:cs="仿宋_GB2312"/>
                <w:sz w:val="32"/>
                <w:szCs w:val="32"/>
              </w:rPr>
              <w:t>）</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主管部门及代码</w:t>
            </w:r>
          </w:p>
        </w:tc>
        <w:tc>
          <w:tcPr>
            <w:tcW w:w="3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342-广元市人力资源和社会保障局</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实施单位</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广元市人力资源和社会保障局</w:t>
            </w:r>
          </w:p>
        </w:tc>
      </w:tr>
      <w:tr>
        <w:tblPrEx>
          <w:tblCellMar>
            <w:top w:w="0" w:type="dxa"/>
            <w:left w:w="108" w:type="dxa"/>
            <w:bottom w:w="0" w:type="dxa"/>
            <w:right w:w="108" w:type="dxa"/>
          </w:tblCellMar>
        </w:tblPrEx>
        <w:trPr>
          <w:gridAfter w:val="1"/>
          <w:wAfter w:w="234" w:type="dxa"/>
          <w:trHeight w:val="341" w:hRule="atLeast"/>
        </w:trPr>
        <w:tc>
          <w:tcPr>
            <w:tcW w:w="18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项目预算</w:t>
            </w:r>
          </w:p>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执行情况</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（万元）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预算数：</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300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 xml:space="preserve"> 执行数：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720" w:firstLineChars="300"/>
              <w:textAlignment w:val="center"/>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26</w:t>
            </w: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03</w:t>
            </w:r>
          </w:p>
        </w:tc>
      </w:tr>
      <w:tr>
        <w:tblPrEx>
          <w:tblCellMar>
            <w:top w:w="0" w:type="dxa"/>
            <w:left w:w="108" w:type="dxa"/>
            <w:bottom w:w="0" w:type="dxa"/>
            <w:right w:w="108" w:type="dxa"/>
          </w:tblCellMar>
        </w:tblPrEx>
        <w:trPr>
          <w:gridAfter w:val="1"/>
          <w:wAfter w:w="234" w:type="dxa"/>
          <w:trHeight w:val="555" w:hRule="atLeast"/>
        </w:trPr>
        <w:tc>
          <w:tcPr>
            <w:tcW w:w="1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300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720" w:firstLineChars="300"/>
              <w:textAlignment w:val="center"/>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26</w:t>
            </w: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03</w:t>
            </w:r>
          </w:p>
        </w:tc>
      </w:tr>
      <w:tr>
        <w:tblPrEx>
          <w:tblCellMar>
            <w:top w:w="0" w:type="dxa"/>
            <w:left w:w="108" w:type="dxa"/>
            <w:bottom w:w="0" w:type="dxa"/>
            <w:right w:w="108" w:type="dxa"/>
          </w:tblCellMar>
        </w:tblPrEx>
        <w:trPr>
          <w:gridAfter w:val="1"/>
          <w:wAfter w:w="234" w:type="dxa"/>
          <w:trHeight w:val="341" w:hRule="atLeast"/>
        </w:trPr>
        <w:tc>
          <w:tcPr>
            <w:tcW w:w="1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0 </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0</w:t>
            </w:r>
          </w:p>
        </w:tc>
      </w:tr>
      <w:tr>
        <w:tblPrEx>
          <w:tblCellMar>
            <w:top w:w="0" w:type="dxa"/>
            <w:left w:w="108" w:type="dxa"/>
            <w:bottom w:w="0" w:type="dxa"/>
            <w:right w:w="108" w:type="dxa"/>
          </w:tblCellMar>
        </w:tblPrEx>
        <w:trPr>
          <w:gridAfter w:val="1"/>
          <w:wAfter w:w="234" w:type="dxa"/>
          <w:trHeight w:val="217"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年度总体目标</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完成情况</w:t>
            </w: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预期目标</w:t>
            </w:r>
          </w:p>
        </w:tc>
        <w:tc>
          <w:tcPr>
            <w:tcW w:w="4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 w:val="24"/>
              </w:rPr>
            </w:pP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cs="仿宋_GB2312" w:asciiTheme="minorEastAsia" w:hAnsiTheme="minorEastAsia" w:eastAsiaTheme="minorEastAsia"/>
                <w:color w:val="000000"/>
                <w:kern w:val="0"/>
                <w:sz w:val="24"/>
              </w:rPr>
            </w:pPr>
            <w:r>
              <w:rPr>
                <w:rFonts w:hint="eastAsia" w:cs="仿宋_GB2312" w:asciiTheme="minorEastAsia" w:hAnsiTheme="minorEastAsia" w:eastAsiaTheme="minorEastAsia"/>
                <w:color w:val="000000"/>
                <w:kern w:val="0"/>
                <w:sz w:val="24"/>
              </w:rPr>
              <w:t>该项目预期在</w:t>
            </w:r>
            <w:r>
              <w:rPr>
                <w:rFonts w:cs="仿宋_GB2312" w:asciiTheme="minorEastAsia" w:hAnsiTheme="minorEastAsia" w:eastAsiaTheme="minorEastAsia"/>
                <w:color w:val="000000"/>
                <w:kern w:val="0"/>
                <w:sz w:val="24"/>
              </w:rPr>
              <w:t>202</w:t>
            </w:r>
            <w:r>
              <w:rPr>
                <w:rFonts w:hint="eastAsia" w:cs="仿宋_GB2312" w:asciiTheme="minorEastAsia" w:hAnsiTheme="minorEastAsia" w:eastAsiaTheme="minorEastAsia"/>
                <w:color w:val="000000"/>
                <w:kern w:val="0"/>
                <w:sz w:val="24"/>
              </w:rPr>
              <w:t>1年9月底前，建成“一卡通”阳光审批系统并上线试运行。</w:t>
            </w:r>
          </w:p>
          <w:p>
            <w:pPr>
              <w:widowControl/>
              <w:jc w:val="center"/>
              <w:textAlignment w:val="center"/>
              <w:rPr>
                <w:rFonts w:cs="仿宋_GB2312" w:asciiTheme="minorEastAsia" w:hAnsiTheme="minorEastAsia" w:eastAsiaTheme="minorEastAsia"/>
                <w:color w:val="000000"/>
                <w:kern w:val="0"/>
                <w:sz w:val="24"/>
              </w:rPr>
            </w:pPr>
          </w:p>
        </w:tc>
        <w:tc>
          <w:tcPr>
            <w:tcW w:w="449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textAlignment w:val="top"/>
              <w:rPr>
                <w:rFonts w:cs="宋体" w:asciiTheme="minorEastAsia" w:hAnsiTheme="minorEastAsia" w:eastAsiaTheme="minorEastAsia"/>
                <w:sz w:val="24"/>
              </w:rPr>
            </w:pPr>
          </w:p>
          <w:p>
            <w:pPr>
              <w:widowControl/>
              <w:spacing w:line="320" w:lineRule="exact"/>
              <w:jc w:val="center"/>
              <w:textAlignment w:val="top"/>
              <w:rPr>
                <w:rFonts w:cs="宋体" w:asciiTheme="minorEastAsia" w:hAnsiTheme="minorEastAsia" w:eastAsiaTheme="minorEastAsia"/>
                <w:sz w:val="24"/>
              </w:rPr>
            </w:pPr>
            <w:r>
              <w:rPr>
                <w:rFonts w:hint="eastAsia" w:cs="宋体" w:asciiTheme="minorEastAsia" w:hAnsiTheme="minorEastAsia" w:eastAsiaTheme="minorEastAsia"/>
                <w:sz w:val="24"/>
              </w:rPr>
              <w:t>已完成预期目标。</w:t>
            </w:r>
          </w:p>
        </w:tc>
      </w:tr>
      <w:tr>
        <w:tblPrEx>
          <w:tblCellMar>
            <w:top w:w="0" w:type="dxa"/>
            <w:left w:w="108" w:type="dxa"/>
            <w:bottom w:w="0" w:type="dxa"/>
            <w:right w:w="108" w:type="dxa"/>
          </w:tblCellMar>
        </w:tblPrEx>
        <w:trPr>
          <w:gridAfter w:val="1"/>
          <w:wAfter w:w="234" w:type="dxa"/>
          <w:trHeight w:val="693" w:hRule="atLeast"/>
        </w:trPr>
        <w:tc>
          <w:tcPr>
            <w:tcW w:w="9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年度绩效指标完成情况</w:t>
            </w:r>
          </w:p>
        </w:tc>
        <w:tc>
          <w:tcPr>
            <w:tcW w:w="887"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一级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二级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三级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预期指标值</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实际完成指标值</w:t>
            </w:r>
          </w:p>
        </w:tc>
      </w:tr>
      <w:tr>
        <w:tblPrEx>
          <w:tblCellMar>
            <w:top w:w="0" w:type="dxa"/>
            <w:left w:w="108" w:type="dxa"/>
            <w:bottom w:w="0" w:type="dxa"/>
            <w:right w:w="108" w:type="dxa"/>
          </w:tblCellMar>
        </w:tblPrEx>
        <w:trPr>
          <w:gridAfter w:val="1"/>
          <w:wAfter w:w="234" w:type="dxa"/>
          <w:trHeight w:val="415"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完成</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数量指标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“一卡通”阳光审批系统建设</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1套系统</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1套系统</w:t>
            </w:r>
          </w:p>
        </w:tc>
      </w:tr>
      <w:tr>
        <w:tblPrEx>
          <w:tblCellMar>
            <w:top w:w="0" w:type="dxa"/>
            <w:left w:w="108" w:type="dxa"/>
            <w:bottom w:w="0" w:type="dxa"/>
            <w:right w:w="108" w:type="dxa"/>
          </w:tblCellMar>
        </w:tblPrEx>
        <w:trPr>
          <w:gridAfter w:val="1"/>
          <w:wAfter w:w="234" w:type="dxa"/>
          <w:trHeight w:val="415"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887"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数量指标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“一卡通”阳光发放数据迁移和“一卡通”阳光审批系统备份数据库建设</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1次数据迁移，1个生产数据库建设，1个备份数据库建设</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1次数据迁移，1个生产数据库建设，1个备份数据库建设</w:t>
            </w:r>
          </w:p>
        </w:tc>
      </w:tr>
      <w:tr>
        <w:tblPrEx>
          <w:tblCellMar>
            <w:top w:w="0" w:type="dxa"/>
            <w:left w:w="108" w:type="dxa"/>
            <w:bottom w:w="0" w:type="dxa"/>
            <w:right w:w="108" w:type="dxa"/>
          </w:tblCellMar>
        </w:tblPrEx>
        <w:trPr>
          <w:gridAfter w:val="1"/>
          <w:wAfter w:w="234" w:type="dxa"/>
          <w:trHeight w:val="415"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887"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数量指标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“一卡通”阳光审批系统建设其他费用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设计费用、人工费用等</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设计费用、人工费用等</w:t>
            </w:r>
          </w:p>
        </w:tc>
      </w:tr>
      <w:tr>
        <w:tblPrEx>
          <w:tblCellMar>
            <w:top w:w="0" w:type="dxa"/>
            <w:left w:w="108" w:type="dxa"/>
            <w:bottom w:w="0" w:type="dxa"/>
            <w:right w:w="108" w:type="dxa"/>
          </w:tblCellMar>
        </w:tblPrEx>
        <w:trPr>
          <w:gridAfter w:val="1"/>
          <w:wAfter w:w="234" w:type="dxa"/>
          <w:trHeight w:val="415"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质量指标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“一卡通”阳光审批系统上线运行</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满足市县定项目审批经办</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满足市县定项目审批经办</w:t>
            </w:r>
          </w:p>
        </w:tc>
      </w:tr>
      <w:tr>
        <w:tblPrEx>
          <w:tblCellMar>
            <w:top w:w="0" w:type="dxa"/>
            <w:left w:w="108" w:type="dxa"/>
            <w:bottom w:w="0" w:type="dxa"/>
            <w:right w:w="108" w:type="dxa"/>
          </w:tblCellMar>
        </w:tblPrEx>
        <w:trPr>
          <w:gridAfter w:val="1"/>
          <w:wAfter w:w="234" w:type="dxa"/>
          <w:trHeight w:val="415"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时效指标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建成市县“一卡通”阳光审批系统</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color w:val="000000"/>
                <w:kern w:val="0"/>
                <w:sz w:val="24"/>
              </w:rPr>
              <w:t>2021年</w:t>
            </w:r>
            <w:r>
              <w:rPr>
                <w:rFonts w:cs="仿宋_GB2312" w:asciiTheme="minorEastAsia" w:hAnsiTheme="minorEastAsia" w:eastAsiaTheme="minorEastAsia"/>
                <w:color w:val="000000"/>
                <w:kern w:val="0"/>
                <w:sz w:val="24"/>
              </w:rPr>
              <w:t>9月底前</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color w:val="000000"/>
                <w:kern w:val="0"/>
                <w:sz w:val="24"/>
              </w:rPr>
              <w:t>2021年</w:t>
            </w:r>
            <w:r>
              <w:rPr>
                <w:rFonts w:cs="仿宋_GB2312" w:asciiTheme="minorEastAsia" w:hAnsiTheme="minorEastAsia" w:eastAsiaTheme="minorEastAsia"/>
                <w:color w:val="000000"/>
                <w:kern w:val="0"/>
                <w:sz w:val="24"/>
              </w:rPr>
              <w:t>9月</w:t>
            </w:r>
            <w:r>
              <w:rPr>
                <w:rFonts w:hint="eastAsia" w:cs="仿宋_GB2312" w:asciiTheme="minorEastAsia" w:hAnsiTheme="minorEastAsia" w:eastAsiaTheme="minorEastAsia"/>
                <w:color w:val="000000"/>
                <w:kern w:val="0"/>
                <w:sz w:val="24"/>
              </w:rPr>
              <w:t>30日</w:t>
            </w:r>
          </w:p>
        </w:tc>
      </w:tr>
      <w:tr>
        <w:tblPrEx>
          <w:tblCellMar>
            <w:top w:w="0" w:type="dxa"/>
            <w:left w:w="108" w:type="dxa"/>
            <w:bottom w:w="0" w:type="dxa"/>
            <w:right w:w="108" w:type="dxa"/>
          </w:tblCellMar>
        </w:tblPrEx>
        <w:trPr>
          <w:gridAfter w:val="1"/>
          <w:wAfter w:w="234" w:type="dxa"/>
          <w:trHeight w:val="480"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成本指标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“一卡通”阳光审批系统</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260万元</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235万元</w:t>
            </w:r>
          </w:p>
        </w:tc>
      </w:tr>
      <w:tr>
        <w:tblPrEx>
          <w:tblCellMar>
            <w:top w:w="0" w:type="dxa"/>
            <w:left w:w="108" w:type="dxa"/>
            <w:bottom w:w="0" w:type="dxa"/>
            <w:right w:w="108" w:type="dxa"/>
          </w:tblCellMar>
        </w:tblPrEx>
        <w:trPr>
          <w:gridAfter w:val="1"/>
          <w:wAfter w:w="234" w:type="dxa"/>
          <w:trHeight w:val="480"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成本指标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“一卡通”阳光发放数据迁移和“一卡通”阳光审批系统备份数据库</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30万元</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29.38万元</w:t>
            </w:r>
          </w:p>
        </w:tc>
      </w:tr>
      <w:tr>
        <w:tblPrEx>
          <w:tblCellMar>
            <w:top w:w="0" w:type="dxa"/>
            <w:left w:w="108" w:type="dxa"/>
            <w:bottom w:w="0" w:type="dxa"/>
            <w:right w:w="108" w:type="dxa"/>
          </w:tblCellMar>
        </w:tblPrEx>
        <w:trPr>
          <w:gridAfter w:val="1"/>
          <w:wAfter w:w="234" w:type="dxa"/>
          <w:trHeight w:val="480"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成本指标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“一卡通”阳光审批系统建设其他费用</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10万元</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产生其他费用4.65万元已在“一卡通”工作经费中列支</w:t>
            </w:r>
          </w:p>
        </w:tc>
      </w:tr>
      <w:tr>
        <w:tblPrEx>
          <w:tblCellMar>
            <w:top w:w="0" w:type="dxa"/>
            <w:left w:w="108" w:type="dxa"/>
            <w:bottom w:w="0" w:type="dxa"/>
            <w:right w:w="108" w:type="dxa"/>
          </w:tblCellMar>
        </w:tblPrEx>
        <w:trPr>
          <w:gridAfter w:val="1"/>
          <w:wAfter w:w="234" w:type="dxa"/>
          <w:trHeight w:val="480" w:hRule="atLeast"/>
        </w:trPr>
        <w:tc>
          <w:tcPr>
            <w:tcW w:w="925"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效益指标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可持续影响指标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持续满足“一卡通”线上办事需求</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长期</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sz w:val="24"/>
              </w:rPr>
              <w:t>长期有效</w:t>
            </w:r>
          </w:p>
        </w:tc>
      </w:tr>
      <w:tr>
        <w:tblPrEx>
          <w:tblCellMar>
            <w:top w:w="0" w:type="dxa"/>
            <w:left w:w="108" w:type="dxa"/>
            <w:bottom w:w="0" w:type="dxa"/>
            <w:right w:w="108" w:type="dxa"/>
          </w:tblCellMar>
        </w:tblPrEx>
        <w:trPr>
          <w:gridAfter w:val="1"/>
          <w:wAfter w:w="234" w:type="dxa"/>
          <w:trHeight w:val="530" w:hRule="atLeast"/>
        </w:trPr>
        <w:tc>
          <w:tcPr>
            <w:tcW w:w="9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满意</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度指标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满意度度</w:t>
            </w:r>
          </w:p>
          <w:p>
            <w:pPr>
              <w:widowControl/>
              <w:spacing w:line="320" w:lineRule="exact"/>
              <w:jc w:val="left"/>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color w:val="000000"/>
                <w:kern w:val="0"/>
                <w:sz w:val="24"/>
              </w:rPr>
              <w:t>群众满意度</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&gt;95%</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sz w:val="24"/>
              </w:rPr>
            </w:pPr>
            <w:r>
              <w:rPr>
                <w:rFonts w:cs="仿宋_GB2312" w:asciiTheme="minorEastAsia" w:hAnsiTheme="minorEastAsia" w:eastAsiaTheme="minorEastAsia"/>
                <w:color w:val="000000"/>
                <w:kern w:val="0"/>
                <w:sz w:val="24"/>
              </w:rPr>
              <w:t>&gt;95%</w:t>
            </w:r>
          </w:p>
        </w:tc>
      </w:tr>
    </w:tbl>
    <w:p>
      <w:pPr>
        <w:pStyle w:val="5"/>
        <w:spacing w:before="93"/>
      </w:pPr>
    </w:p>
    <w:tbl>
      <w:tblPr>
        <w:tblStyle w:val="15"/>
        <w:tblpPr w:leftFromText="180" w:rightFromText="180" w:vertAnchor="text" w:horzAnchor="page" w:tblpX="1281" w:tblpY="952"/>
        <w:tblOverlap w:val="never"/>
        <w:tblW w:w="9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09"/>
        <w:gridCol w:w="358"/>
        <w:gridCol w:w="1055"/>
        <w:gridCol w:w="1705"/>
        <w:gridCol w:w="1843"/>
        <w:gridCol w:w="252"/>
        <w:gridCol w:w="624"/>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575" w:type="dxa"/>
            <w:gridSpan w:val="9"/>
            <w:shd w:val="clear" w:color="auto" w:fill="auto"/>
            <w:vAlign w:val="center"/>
          </w:tcPr>
          <w:p>
            <w:pPr>
              <w:widowControl/>
              <w:jc w:val="center"/>
              <w:textAlignment w:val="center"/>
              <w:rPr>
                <w:rFonts w:ascii="黑体" w:hAnsi="黑体" w:eastAsia="黑体" w:cs="黑体"/>
                <w:sz w:val="44"/>
                <w:szCs w:val="44"/>
              </w:rPr>
            </w:pPr>
            <w:r>
              <w:rPr>
                <w:rFonts w:hint="eastAsia" w:ascii="黑体" w:hAnsi="黑体" w:eastAsia="黑体" w:cs="黑体"/>
                <w:sz w:val="44"/>
                <w:szCs w:val="44"/>
              </w:rPr>
              <w:t>2021年部门预算项目绩效目标自评表（二）</w:t>
            </w:r>
          </w:p>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广元市就业和社会保障公共服务信息系统电费</w:t>
            </w:r>
            <w:r>
              <w:rPr>
                <w:rFonts w:hint="eastAsia" w:ascii="仿宋_GB2312" w:hAnsi="仿宋_GB2312" w:eastAsia="仿宋_GB2312" w:cs="仿宋_GB2312"/>
                <w:sz w:val="32"/>
                <w:szCs w:val="32"/>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1810"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主管部门及代码</w:t>
            </w:r>
          </w:p>
        </w:tc>
        <w:tc>
          <w:tcPr>
            <w:tcW w:w="3118" w:type="dxa"/>
            <w:gridSpan w:val="3"/>
            <w:shd w:val="clear" w:color="auto" w:fill="auto"/>
            <w:vAlign w:val="center"/>
          </w:tcPr>
          <w:p>
            <w:pPr>
              <w:widowControl/>
              <w:spacing w:line="32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342-广元市人力资源和社会保障局</w:t>
            </w:r>
          </w:p>
        </w:tc>
        <w:tc>
          <w:tcPr>
            <w:tcW w:w="2095"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实施单位</w:t>
            </w:r>
          </w:p>
        </w:tc>
        <w:tc>
          <w:tcPr>
            <w:tcW w:w="2552"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广元市人力资源和社会保障局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项目预算</w:t>
            </w:r>
          </w:p>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执行情况</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（万元）</w:t>
            </w: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预算数：</w:t>
            </w:r>
          </w:p>
        </w:tc>
        <w:tc>
          <w:tcPr>
            <w:tcW w:w="1705"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40</w:t>
            </w:r>
          </w:p>
        </w:tc>
        <w:tc>
          <w:tcPr>
            <w:tcW w:w="2095"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 xml:space="preserve"> 执行数：</w:t>
            </w:r>
          </w:p>
        </w:tc>
        <w:tc>
          <w:tcPr>
            <w:tcW w:w="2552"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rPr>
            </w:pP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1705"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40</w:t>
            </w:r>
          </w:p>
        </w:tc>
        <w:tc>
          <w:tcPr>
            <w:tcW w:w="2095"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2552" w:type="dxa"/>
            <w:gridSpan w:val="2"/>
            <w:shd w:val="clear" w:color="auto" w:fill="auto"/>
            <w:vAlign w:val="center"/>
          </w:tcPr>
          <w:p>
            <w:pPr>
              <w:widowControl/>
              <w:spacing w:line="320" w:lineRule="exact"/>
              <w:ind w:firstLine="960" w:firstLineChars="4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rPr>
            </w:pP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1705"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0</w:t>
            </w:r>
          </w:p>
        </w:tc>
        <w:tc>
          <w:tcPr>
            <w:tcW w:w="2719"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1928"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1101" w:type="dxa"/>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年度总体目标</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完成情况</w:t>
            </w:r>
          </w:p>
        </w:tc>
        <w:tc>
          <w:tcPr>
            <w:tcW w:w="3827" w:type="dxa"/>
            <w:gridSpan w:val="4"/>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预期目标</w:t>
            </w:r>
          </w:p>
        </w:tc>
        <w:tc>
          <w:tcPr>
            <w:tcW w:w="4647" w:type="dxa"/>
            <w:gridSpan w:val="4"/>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101" w:type="dxa"/>
            <w:vMerge w:val="continue"/>
            <w:shd w:val="clear" w:color="auto" w:fill="auto"/>
            <w:vAlign w:val="center"/>
          </w:tcPr>
          <w:p>
            <w:pPr>
              <w:spacing w:line="320" w:lineRule="exact"/>
              <w:jc w:val="center"/>
              <w:rPr>
                <w:rFonts w:cs="宋体" w:asciiTheme="minorEastAsia" w:hAnsiTheme="minorEastAsia" w:eastAsiaTheme="minorEastAsia"/>
                <w:sz w:val="24"/>
              </w:rPr>
            </w:pPr>
          </w:p>
        </w:tc>
        <w:tc>
          <w:tcPr>
            <w:tcW w:w="3827" w:type="dxa"/>
            <w:gridSpan w:val="4"/>
            <w:shd w:val="clear" w:color="auto" w:fill="auto"/>
          </w:tcPr>
          <w:p>
            <w:pPr>
              <w:widowControl/>
              <w:spacing w:line="320" w:lineRule="exact"/>
              <w:jc w:val="left"/>
              <w:textAlignment w:val="top"/>
              <w:rPr>
                <w:rFonts w:cs="宋体" w:asciiTheme="minorEastAsia" w:hAnsiTheme="minorEastAsia" w:eastAsiaTheme="minorEastAsia"/>
                <w:sz w:val="24"/>
              </w:rPr>
            </w:pPr>
            <w:r>
              <w:rPr>
                <w:rFonts w:hint="eastAsia" w:cs="宋体" w:asciiTheme="minorEastAsia" w:hAnsiTheme="minorEastAsia" w:eastAsiaTheme="minorEastAsia"/>
                <w:kern w:val="0"/>
                <w:sz w:val="24"/>
              </w:rPr>
              <w:t>确保我市就业和社会保障公共服务信息系统安全稳定运行及就业和社会保障业务正常开展的供电。</w:t>
            </w:r>
          </w:p>
        </w:tc>
        <w:tc>
          <w:tcPr>
            <w:tcW w:w="4647" w:type="dxa"/>
            <w:gridSpan w:val="4"/>
            <w:shd w:val="clear" w:color="auto" w:fill="auto"/>
          </w:tcPr>
          <w:p>
            <w:pPr>
              <w:widowControl/>
              <w:spacing w:line="320" w:lineRule="exact"/>
              <w:jc w:val="center"/>
              <w:textAlignment w:val="top"/>
              <w:rPr>
                <w:rFonts w:cs="宋体" w:asciiTheme="minorEastAsia" w:hAnsiTheme="minorEastAsia" w:eastAsiaTheme="minorEastAsia"/>
                <w:sz w:val="24"/>
              </w:rPr>
            </w:pPr>
          </w:p>
          <w:p>
            <w:pPr>
              <w:widowControl/>
              <w:spacing w:line="320" w:lineRule="exact"/>
              <w:textAlignment w:val="top"/>
              <w:rPr>
                <w:rFonts w:cs="宋体" w:asciiTheme="minorEastAsia" w:hAnsiTheme="minorEastAsia" w:eastAsiaTheme="minorEastAsia"/>
                <w:sz w:val="24"/>
              </w:rPr>
            </w:pPr>
            <w:r>
              <w:rPr>
                <w:rFonts w:hint="eastAsia" w:cs="宋体" w:asciiTheme="minorEastAsia" w:hAnsiTheme="minorEastAsia" w:eastAsiaTheme="minorEastAsia"/>
                <w:sz w:val="24"/>
              </w:rPr>
              <w:t>已完成预期目标。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101" w:type="dxa"/>
            <w:vMerge w:val="restart"/>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年度绩效指标完成情况</w:t>
            </w:r>
          </w:p>
        </w:tc>
        <w:tc>
          <w:tcPr>
            <w:tcW w:w="1067"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一级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055"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二级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705"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三级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843" w:type="dxa"/>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预期指标值</w:t>
            </w:r>
          </w:p>
        </w:tc>
        <w:tc>
          <w:tcPr>
            <w:tcW w:w="2804" w:type="dxa"/>
            <w:gridSpan w:val="3"/>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067" w:type="dxa"/>
            <w:gridSpan w:val="2"/>
            <w:vMerge w:val="restart"/>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完成</w:t>
            </w:r>
          </w:p>
          <w:p>
            <w:pPr>
              <w:widowControl/>
              <w:spacing w:line="320" w:lineRule="exact"/>
              <w:jc w:val="center"/>
              <w:textAlignment w:val="bottom"/>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055" w:type="dxa"/>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数量指标</w:t>
            </w:r>
          </w:p>
        </w:tc>
        <w:tc>
          <w:tcPr>
            <w:tcW w:w="1705" w:type="dxa"/>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中心机房供电</w:t>
            </w:r>
          </w:p>
        </w:tc>
        <w:tc>
          <w:tcPr>
            <w:tcW w:w="1843" w:type="dxa"/>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100万度/年</w:t>
            </w:r>
          </w:p>
        </w:tc>
        <w:tc>
          <w:tcPr>
            <w:tcW w:w="2804" w:type="dxa"/>
            <w:gridSpan w:val="3"/>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100万度/年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067"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055" w:type="dxa"/>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质量指标</w:t>
            </w:r>
          </w:p>
        </w:tc>
        <w:tc>
          <w:tcPr>
            <w:tcW w:w="1705" w:type="dxa"/>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中心机房供电</w:t>
            </w:r>
          </w:p>
        </w:tc>
        <w:tc>
          <w:tcPr>
            <w:tcW w:w="1843" w:type="dxa"/>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100%</w:t>
            </w:r>
          </w:p>
        </w:tc>
        <w:tc>
          <w:tcPr>
            <w:tcW w:w="2804" w:type="dxa"/>
            <w:gridSpan w:val="3"/>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067"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055" w:type="dxa"/>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时效指标</w:t>
            </w:r>
          </w:p>
        </w:tc>
        <w:tc>
          <w:tcPr>
            <w:tcW w:w="1705" w:type="dxa"/>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完成时间</w:t>
            </w:r>
          </w:p>
        </w:tc>
        <w:tc>
          <w:tcPr>
            <w:tcW w:w="1843" w:type="dxa"/>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2021年12月前</w:t>
            </w:r>
          </w:p>
        </w:tc>
        <w:tc>
          <w:tcPr>
            <w:tcW w:w="2804" w:type="dxa"/>
            <w:gridSpan w:val="3"/>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2021年12月前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067" w:type="dxa"/>
            <w:gridSpan w:val="2"/>
            <w:vMerge w:val="continue"/>
            <w:shd w:val="clear" w:color="auto" w:fill="auto"/>
            <w:vAlign w:val="bottom"/>
          </w:tcPr>
          <w:p>
            <w:pPr>
              <w:spacing w:line="320" w:lineRule="exact"/>
              <w:jc w:val="center"/>
              <w:rPr>
                <w:rFonts w:cs="仿宋_GB2312" w:asciiTheme="minorEastAsia" w:hAnsiTheme="minorEastAsia" w:eastAsiaTheme="minorEastAsia"/>
                <w:sz w:val="24"/>
              </w:rPr>
            </w:pPr>
          </w:p>
        </w:tc>
        <w:tc>
          <w:tcPr>
            <w:tcW w:w="1055" w:type="dxa"/>
            <w:shd w:val="clear" w:color="auto" w:fill="auto"/>
            <w:vAlign w:val="bottom"/>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成本指标</w:t>
            </w:r>
          </w:p>
        </w:tc>
        <w:tc>
          <w:tcPr>
            <w:tcW w:w="1705" w:type="dxa"/>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电费电价</w:t>
            </w:r>
          </w:p>
        </w:tc>
        <w:tc>
          <w:tcPr>
            <w:tcW w:w="1843" w:type="dxa"/>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0.6元/度</w:t>
            </w:r>
          </w:p>
        </w:tc>
        <w:tc>
          <w:tcPr>
            <w:tcW w:w="2804" w:type="dxa"/>
            <w:gridSpan w:val="3"/>
            <w:shd w:val="clear" w:color="auto" w:fill="auto"/>
            <w:vAlign w:val="center"/>
          </w:tcPr>
          <w:p>
            <w:pPr>
              <w:widowControl/>
              <w:jc w:val="center"/>
              <w:textAlignment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0.6元/度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067" w:type="dxa"/>
            <w:gridSpan w:val="2"/>
            <w:shd w:val="clear" w:color="auto" w:fill="auto"/>
            <w:vAlign w:val="center"/>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效益指标</w:t>
            </w:r>
          </w:p>
        </w:tc>
        <w:tc>
          <w:tcPr>
            <w:tcW w:w="1055" w:type="dxa"/>
            <w:shd w:val="clear" w:color="auto" w:fill="auto"/>
            <w:vAlign w:val="center"/>
          </w:tcPr>
          <w:p>
            <w:pPr>
              <w:widowControl/>
              <w:jc w:val="center"/>
              <w:textAlignment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社会效益指标</w:t>
            </w:r>
          </w:p>
        </w:tc>
        <w:tc>
          <w:tcPr>
            <w:tcW w:w="1705" w:type="dxa"/>
            <w:shd w:val="clear" w:color="auto" w:fill="auto"/>
            <w:vAlign w:val="center"/>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保障社会保险系统供电</w:t>
            </w:r>
          </w:p>
        </w:tc>
        <w:tc>
          <w:tcPr>
            <w:tcW w:w="1843" w:type="dxa"/>
            <w:shd w:val="clear" w:color="auto" w:fill="auto"/>
            <w:vAlign w:val="center"/>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持续保障社会保险系统供电</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067" w:type="dxa"/>
            <w:gridSpan w:val="2"/>
            <w:shd w:val="clear" w:color="auto" w:fill="auto"/>
            <w:vAlign w:val="bottom"/>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满意度</w:t>
            </w:r>
          </w:p>
          <w:p>
            <w:pPr>
              <w:spacing w:line="320" w:lineRule="exact"/>
              <w:jc w:val="center"/>
              <w:rPr>
                <w:rFonts w:cs="仿宋_GB2312" w:asciiTheme="minorEastAsia" w:hAnsiTheme="minorEastAsia" w:eastAsiaTheme="minorEastAsia"/>
                <w:sz w:val="24"/>
              </w:rPr>
            </w:pPr>
            <w:r>
              <w:rPr>
                <w:rFonts w:hint="eastAsia" w:cs="宋体" w:asciiTheme="minorEastAsia" w:hAnsiTheme="minorEastAsia" w:eastAsiaTheme="minorEastAsia"/>
                <w:color w:val="000000"/>
                <w:kern w:val="0"/>
                <w:sz w:val="24"/>
              </w:rPr>
              <w:t>指标</w:t>
            </w:r>
          </w:p>
        </w:tc>
        <w:tc>
          <w:tcPr>
            <w:tcW w:w="1055" w:type="dxa"/>
            <w:shd w:val="clear" w:color="auto" w:fill="auto"/>
            <w:vAlign w:val="bottom"/>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满意度</w:t>
            </w:r>
          </w:p>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指标</w:t>
            </w:r>
          </w:p>
        </w:tc>
        <w:tc>
          <w:tcPr>
            <w:tcW w:w="1705" w:type="dxa"/>
            <w:shd w:val="clear" w:color="auto" w:fill="auto"/>
            <w:vAlign w:val="center"/>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服务满意度</w:t>
            </w:r>
          </w:p>
        </w:tc>
        <w:tc>
          <w:tcPr>
            <w:tcW w:w="1843" w:type="dxa"/>
            <w:shd w:val="clear" w:color="auto" w:fill="auto"/>
            <w:vAlign w:val="center"/>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100%</w:t>
            </w:r>
          </w:p>
        </w:tc>
        <w:tc>
          <w:tcPr>
            <w:tcW w:w="2804" w:type="dxa"/>
            <w:gridSpan w:val="3"/>
            <w:shd w:val="clear" w:color="auto" w:fill="auto"/>
            <w:vAlign w:val="center"/>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100%</w:t>
            </w:r>
          </w:p>
        </w:tc>
      </w:tr>
    </w:tbl>
    <w:p>
      <w:pPr>
        <w:pStyle w:val="5"/>
        <w:spacing w:before="93"/>
      </w:pPr>
    </w:p>
    <w:tbl>
      <w:tblPr>
        <w:tblStyle w:val="15"/>
        <w:tblpPr w:leftFromText="180" w:rightFromText="180" w:vertAnchor="text" w:horzAnchor="page" w:tblpX="1317" w:tblpY="1577"/>
        <w:tblOverlap w:val="never"/>
        <w:tblW w:w="9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09"/>
        <w:gridCol w:w="141"/>
        <w:gridCol w:w="1272"/>
        <w:gridCol w:w="2533"/>
        <w:gridCol w:w="1267"/>
        <w:gridCol w:w="358"/>
        <w:gridCol w:w="266"/>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575" w:type="dxa"/>
            <w:gridSpan w:val="9"/>
            <w:shd w:val="clear" w:color="auto" w:fill="auto"/>
            <w:vAlign w:val="center"/>
          </w:tcPr>
          <w:p>
            <w:pPr>
              <w:widowControl/>
              <w:jc w:val="center"/>
              <w:textAlignment w:val="center"/>
              <w:rPr>
                <w:rFonts w:ascii="黑体" w:hAnsi="黑体" w:eastAsia="黑体" w:cs="黑体"/>
                <w:sz w:val="44"/>
                <w:szCs w:val="44"/>
              </w:rPr>
            </w:pPr>
            <w:r>
              <w:rPr>
                <w:rFonts w:hint="eastAsia" w:ascii="黑体" w:hAnsi="黑体" w:eastAsia="黑体" w:cs="黑体"/>
                <w:sz w:val="44"/>
                <w:szCs w:val="44"/>
              </w:rPr>
              <w:t>2021年部门预算项目绩效目标自评表（三）</w:t>
            </w:r>
          </w:p>
          <w:p>
            <w:pPr>
              <w:widowControl/>
              <w:jc w:val="center"/>
              <w:textAlignment w:val="center"/>
              <w:rPr>
                <w:rFonts w:eastAsia="方正仿宋简体"/>
              </w:rPr>
            </w:pPr>
            <w:r>
              <w:rPr>
                <w:rFonts w:hint="eastAsia" w:ascii="仿宋_GB2312" w:hAnsi="仿宋_GB2312" w:eastAsia="仿宋_GB2312" w:cs="仿宋_GB2312"/>
                <w:sz w:val="32"/>
                <w:szCs w:val="32"/>
                <w:lang w:val="zh-CN"/>
              </w:rPr>
              <w:t>（依法行政经费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1810"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主管部门及代码</w:t>
            </w:r>
          </w:p>
        </w:tc>
        <w:tc>
          <w:tcPr>
            <w:tcW w:w="3946" w:type="dxa"/>
            <w:gridSpan w:val="3"/>
            <w:shd w:val="clear" w:color="auto" w:fill="auto"/>
            <w:vAlign w:val="center"/>
          </w:tcPr>
          <w:p>
            <w:pPr>
              <w:widowControl/>
              <w:spacing w:line="32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342-广元市人力资源和社会保障局</w:t>
            </w:r>
          </w:p>
        </w:tc>
        <w:tc>
          <w:tcPr>
            <w:tcW w:w="1267"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实施单位</w:t>
            </w:r>
          </w:p>
        </w:tc>
        <w:tc>
          <w:tcPr>
            <w:tcW w:w="2552"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广元市人力资源和社会保障局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项目预算</w:t>
            </w:r>
          </w:p>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执行情况</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（万元）</w:t>
            </w: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预算数：</w:t>
            </w:r>
          </w:p>
        </w:tc>
        <w:tc>
          <w:tcPr>
            <w:tcW w:w="2533"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267" w:type="dxa"/>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 xml:space="preserve"> 执行数：</w:t>
            </w:r>
          </w:p>
        </w:tc>
        <w:tc>
          <w:tcPr>
            <w:tcW w:w="2552" w:type="dxa"/>
            <w:gridSpan w:val="3"/>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rPr>
            </w:pP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2533"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267" w:type="dxa"/>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2552" w:type="dxa"/>
            <w:gridSpan w:val="3"/>
            <w:shd w:val="clear" w:color="auto" w:fill="auto"/>
            <w:vAlign w:val="center"/>
          </w:tcPr>
          <w:p>
            <w:pPr>
              <w:widowControl/>
              <w:spacing w:line="320" w:lineRule="exact"/>
              <w:ind w:firstLine="960" w:firstLineChars="4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rPr>
            </w:pP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2533" w:type="dxa"/>
            <w:shd w:val="clear" w:color="auto" w:fill="auto"/>
            <w:vAlign w:val="center"/>
          </w:tcPr>
          <w:p>
            <w:pPr>
              <w:widowControl/>
              <w:spacing w:line="320" w:lineRule="exact"/>
              <w:jc w:val="left"/>
              <w:textAlignment w:val="center"/>
              <w:rPr>
                <w:rFonts w:cs="宋体" w:asciiTheme="minorEastAsia" w:hAnsiTheme="minorEastAsia" w:eastAsiaTheme="minorEastAsia"/>
                <w:sz w:val="24"/>
              </w:rPr>
            </w:pPr>
          </w:p>
        </w:tc>
        <w:tc>
          <w:tcPr>
            <w:tcW w:w="1891"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1928"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1101" w:type="dxa"/>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年度总体目标</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完成情况</w:t>
            </w:r>
          </w:p>
        </w:tc>
        <w:tc>
          <w:tcPr>
            <w:tcW w:w="4655" w:type="dxa"/>
            <w:gridSpan w:val="4"/>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预期目标</w:t>
            </w:r>
          </w:p>
        </w:tc>
        <w:tc>
          <w:tcPr>
            <w:tcW w:w="3819" w:type="dxa"/>
            <w:gridSpan w:val="4"/>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101" w:type="dxa"/>
            <w:vMerge w:val="continue"/>
            <w:shd w:val="clear" w:color="auto" w:fill="auto"/>
            <w:vAlign w:val="center"/>
          </w:tcPr>
          <w:p>
            <w:pPr>
              <w:spacing w:line="320" w:lineRule="exact"/>
              <w:jc w:val="center"/>
              <w:rPr>
                <w:rFonts w:cs="宋体" w:asciiTheme="minorEastAsia" w:hAnsiTheme="minorEastAsia" w:eastAsiaTheme="minorEastAsia"/>
                <w:sz w:val="24"/>
              </w:rPr>
            </w:pPr>
          </w:p>
        </w:tc>
        <w:tc>
          <w:tcPr>
            <w:tcW w:w="4655" w:type="dxa"/>
            <w:gridSpan w:val="4"/>
            <w:shd w:val="clear" w:color="auto" w:fill="auto"/>
          </w:tcPr>
          <w:p>
            <w:pPr>
              <w:widowControl/>
              <w:spacing w:line="320" w:lineRule="exact"/>
              <w:jc w:val="left"/>
              <w:textAlignment w:val="top"/>
              <w:rPr>
                <w:rFonts w:hint="eastAsia" w:cs="宋体" w:asciiTheme="minorEastAsia" w:hAnsiTheme="minorEastAsia" w:eastAsiaTheme="minorEastAsia"/>
                <w:kern w:val="0"/>
                <w:sz w:val="24"/>
              </w:rPr>
            </w:pPr>
          </w:p>
          <w:p>
            <w:pPr>
              <w:widowControl/>
              <w:spacing w:line="320" w:lineRule="exact"/>
              <w:jc w:val="left"/>
              <w:textAlignment w:val="top"/>
              <w:rPr>
                <w:rFonts w:cs="宋体" w:asciiTheme="minorEastAsia" w:hAnsiTheme="minorEastAsia" w:eastAsiaTheme="minorEastAsia"/>
                <w:sz w:val="24"/>
              </w:rPr>
            </w:pPr>
            <w:r>
              <w:rPr>
                <w:rFonts w:hint="eastAsia" w:cs="宋体" w:asciiTheme="minorEastAsia" w:hAnsiTheme="minorEastAsia" w:eastAsiaTheme="minorEastAsia"/>
                <w:kern w:val="0"/>
                <w:sz w:val="24"/>
              </w:rPr>
              <w:t>做好2021年行政复议和行政应诉工作。</w:t>
            </w:r>
          </w:p>
        </w:tc>
        <w:tc>
          <w:tcPr>
            <w:tcW w:w="3819" w:type="dxa"/>
            <w:gridSpan w:val="4"/>
            <w:shd w:val="clear" w:color="auto" w:fill="auto"/>
          </w:tcPr>
          <w:p>
            <w:pPr>
              <w:widowControl/>
              <w:spacing w:line="320" w:lineRule="exact"/>
              <w:jc w:val="center"/>
              <w:textAlignment w:val="top"/>
              <w:rPr>
                <w:rFonts w:cs="宋体" w:asciiTheme="minorEastAsia" w:hAnsiTheme="minorEastAsia" w:eastAsiaTheme="minorEastAsia"/>
                <w:sz w:val="24"/>
              </w:rPr>
            </w:pPr>
          </w:p>
          <w:p>
            <w:pPr>
              <w:widowControl/>
              <w:spacing w:line="320" w:lineRule="exact"/>
              <w:textAlignment w:val="top"/>
              <w:rPr>
                <w:rFonts w:cs="宋体" w:asciiTheme="minorEastAsia" w:hAnsiTheme="minorEastAsia" w:eastAsiaTheme="minorEastAsia"/>
                <w:sz w:val="24"/>
              </w:rPr>
            </w:pPr>
            <w:r>
              <w:rPr>
                <w:rFonts w:hint="eastAsia" w:cs="宋体" w:asciiTheme="minorEastAsia" w:hAnsiTheme="minorEastAsia" w:eastAsiaTheme="minorEastAsia"/>
                <w:sz w:val="24"/>
              </w:rPr>
              <w:t>已完成预期目标。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101" w:type="dxa"/>
            <w:vMerge w:val="restart"/>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p>
          <w:p>
            <w:pPr>
              <w:pStyle w:val="5"/>
              <w:spacing w:before="93"/>
              <w:rPr>
                <w:rFonts w:asciiTheme="minorEastAsia" w:hAnsiTheme="minorEastAsia" w:eastAsiaTheme="minorEastAsia"/>
                <w:sz w:val="24"/>
              </w:rPr>
            </w:pPr>
          </w:p>
          <w:p>
            <w:pPr>
              <w:pStyle w:val="5"/>
              <w:spacing w:before="93"/>
              <w:rPr>
                <w:rFonts w:asciiTheme="minorEastAsia" w:hAnsiTheme="minorEastAsia" w:eastAsiaTheme="minorEastAsia"/>
                <w:sz w:val="24"/>
              </w:rPr>
            </w:pPr>
          </w:p>
          <w:p>
            <w:pPr>
              <w:pStyle w:val="5"/>
              <w:spacing w:before="93"/>
              <w:rPr>
                <w:rFonts w:asciiTheme="minorEastAsia" w:hAnsiTheme="minorEastAsia" w:eastAsiaTheme="minorEastAsia"/>
                <w:sz w:val="24"/>
              </w:rPr>
            </w:pPr>
          </w:p>
          <w:p>
            <w:pPr>
              <w:pStyle w:val="5"/>
              <w:spacing w:before="93"/>
              <w:rPr>
                <w:rFonts w:asciiTheme="minorEastAsia" w:hAnsiTheme="minorEastAsia" w:eastAsiaTheme="minorEastAsia"/>
                <w:sz w:val="24"/>
              </w:rPr>
            </w:pP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年度绩效指标完成情况</w:t>
            </w:r>
          </w:p>
        </w:tc>
        <w:tc>
          <w:tcPr>
            <w:tcW w:w="850"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一级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272"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二级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2533"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三级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625"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预期指标值</w:t>
            </w:r>
          </w:p>
        </w:tc>
        <w:tc>
          <w:tcPr>
            <w:tcW w:w="2194"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restart"/>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项目完成指标</w:t>
            </w: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数量指标</w:t>
            </w:r>
          </w:p>
        </w:tc>
        <w:tc>
          <w:tcPr>
            <w:tcW w:w="2533" w:type="dxa"/>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聘请法律顾问团队</w:t>
            </w:r>
          </w:p>
        </w:tc>
        <w:tc>
          <w:tcPr>
            <w:tcW w:w="1625"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1个</w:t>
            </w:r>
          </w:p>
        </w:tc>
        <w:tc>
          <w:tcPr>
            <w:tcW w:w="2194"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数量指标</w:t>
            </w:r>
          </w:p>
        </w:tc>
        <w:tc>
          <w:tcPr>
            <w:tcW w:w="2533" w:type="dxa"/>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行政复议和行政应诉案件</w:t>
            </w:r>
          </w:p>
        </w:tc>
        <w:tc>
          <w:tcPr>
            <w:tcW w:w="1625" w:type="dxa"/>
            <w:gridSpan w:val="2"/>
            <w:shd w:val="clear" w:color="auto" w:fill="auto"/>
            <w:vAlign w:val="center"/>
          </w:tcPr>
          <w:p>
            <w:pPr>
              <w:rPr>
                <w:rFonts w:cs="宋体" w:asciiTheme="minorEastAsia" w:hAnsiTheme="minorEastAsia" w:eastAsiaTheme="minorEastAsia"/>
                <w:color w:val="000000"/>
                <w:sz w:val="24"/>
              </w:rPr>
            </w:pPr>
            <w:r>
              <w:rPr>
                <w:rStyle w:val="34"/>
                <w:rFonts w:hint="default" w:asciiTheme="minorEastAsia" w:hAnsiTheme="minorEastAsia" w:eastAsiaTheme="minorEastAsia"/>
              </w:rPr>
              <w:t>≧</w:t>
            </w:r>
            <w:r>
              <w:rPr>
                <w:rStyle w:val="35"/>
                <w:rFonts w:hint="default" w:asciiTheme="minorEastAsia" w:hAnsiTheme="minorEastAsia" w:eastAsiaTheme="minorEastAsia"/>
                <w:sz w:val="24"/>
                <w:szCs w:val="24"/>
              </w:rPr>
              <w:t>100件</w:t>
            </w:r>
          </w:p>
        </w:tc>
        <w:tc>
          <w:tcPr>
            <w:tcW w:w="2194" w:type="dxa"/>
            <w:gridSpan w:val="2"/>
            <w:shd w:val="clear" w:color="auto" w:fill="auto"/>
            <w:vAlign w:val="center"/>
          </w:tcPr>
          <w:p>
            <w:pPr>
              <w:rPr>
                <w:rFonts w:cs="宋体" w:asciiTheme="minorEastAsia" w:hAnsiTheme="minorEastAsia" w:eastAsiaTheme="minorEastAsia"/>
                <w:color w:val="000000"/>
                <w:sz w:val="24"/>
              </w:rPr>
            </w:pPr>
            <w:r>
              <w:rPr>
                <w:rStyle w:val="34"/>
                <w:rFonts w:hint="default" w:asciiTheme="minorEastAsia" w:hAnsiTheme="minorEastAsia" w:eastAsiaTheme="minorEastAsia"/>
              </w:rPr>
              <w:t>68</w:t>
            </w:r>
            <w:r>
              <w:rPr>
                <w:rStyle w:val="35"/>
                <w:rFonts w:hint="default" w:asciiTheme="minorEastAsia" w:hAnsiTheme="minorEastAsia" w:eastAsiaTheme="minorEastAsia"/>
                <w:sz w:val="24"/>
                <w:szCs w:val="24"/>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质量指标</w:t>
            </w:r>
          </w:p>
        </w:tc>
        <w:tc>
          <w:tcPr>
            <w:tcW w:w="2533" w:type="dxa"/>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依法行政工作规范率</w:t>
            </w:r>
          </w:p>
        </w:tc>
        <w:tc>
          <w:tcPr>
            <w:tcW w:w="1625"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≧90%</w:t>
            </w:r>
          </w:p>
        </w:tc>
        <w:tc>
          <w:tcPr>
            <w:tcW w:w="2194"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时效指标</w:t>
            </w:r>
          </w:p>
        </w:tc>
        <w:tc>
          <w:tcPr>
            <w:tcW w:w="2533" w:type="dxa"/>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完成时间</w:t>
            </w:r>
          </w:p>
        </w:tc>
        <w:tc>
          <w:tcPr>
            <w:tcW w:w="1625"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2021年12月底前</w:t>
            </w:r>
          </w:p>
        </w:tc>
        <w:tc>
          <w:tcPr>
            <w:tcW w:w="2194"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2021年12月底前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成本指标</w:t>
            </w:r>
          </w:p>
        </w:tc>
        <w:tc>
          <w:tcPr>
            <w:tcW w:w="2533" w:type="dxa"/>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聘请法律顾问团队</w:t>
            </w:r>
          </w:p>
        </w:tc>
        <w:tc>
          <w:tcPr>
            <w:tcW w:w="1625"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4万/个</w:t>
            </w:r>
          </w:p>
        </w:tc>
        <w:tc>
          <w:tcPr>
            <w:tcW w:w="2194"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4万/个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成本指标</w:t>
            </w:r>
          </w:p>
        </w:tc>
        <w:tc>
          <w:tcPr>
            <w:tcW w:w="2533" w:type="dxa"/>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开展行政复议和行政应诉工作相关调查差旅费、租车费及材料印制费用等</w:t>
            </w:r>
          </w:p>
        </w:tc>
        <w:tc>
          <w:tcPr>
            <w:tcW w:w="1625"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400元/件</w:t>
            </w:r>
          </w:p>
        </w:tc>
        <w:tc>
          <w:tcPr>
            <w:tcW w:w="2194"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600元/件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restart"/>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效益指标</w:t>
            </w: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社会效益指标</w:t>
            </w:r>
          </w:p>
        </w:tc>
        <w:tc>
          <w:tcPr>
            <w:tcW w:w="2533" w:type="dxa"/>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对工作促进作用</w:t>
            </w:r>
          </w:p>
        </w:tc>
        <w:tc>
          <w:tcPr>
            <w:tcW w:w="1625"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依法行政</w:t>
            </w:r>
          </w:p>
        </w:tc>
        <w:tc>
          <w:tcPr>
            <w:tcW w:w="2194"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依法行政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可持续影响指标</w:t>
            </w:r>
          </w:p>
        </w:tc>
        <w:tc>
          <w:tcPr>
            <w:tcW w:w="2533" w:type="dxa"/>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对法治人社建设作用</w:t>
            </w:r>
          </w:p>
        </w:tc>
        <w:tc>
          <w:tcPr>
            <w:tcW w:w="1625"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深入推进人社依法行政工作</w:t>
            </w:r>
          </w:p>
        </w:tc>
        <w:tc>
          <w:tcPr>
            <w:tcW w:w="2194" w:type="dxa"/>
            <w:gridSpan w:val="2"/>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深入推进人社依法行政工作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满意度指标</w:t>
            </w: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满意度指标</w:t>
            </w:r>
          </w:p>
        </w:tc>
        <w:tc>
          <w:tcPr>
            <w:tcW w:w="2533" w:type="dxa"/>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依法行政工作满意度</w:t>
            </w:r>
          </w:p>
        </w:tc>
        <w:tc>
          <w:tcPr>
            <w:tcW w:w="1625" w:type="dxa"/>
            <w:gridSpan w:val="2"/>
            <w:shd w:val="clear" w:color="auto" w:fill="auto"/>
            <w:vAlign w:val="center"/>
          </w:tcPr>
          <w:p>
            <w:pPr>
              <w:rPr>
                <w:rFonts w:cs="宋体" w:asciiTheme="minorEastAsia" w:hAnsiTheme="minorEastAsia" w:eastAsiaTheme="minorEastAsia"/>
                <w:color w:val="000000"/>
                <w:sz w:val="24"/>
              </w:rPr>
            </w:pPr>
            <w:r>
              <w:rPr>
                <w:rStyle w:val="34"/>
                <w:rFonts w:hint="default" w:asciiTheme="minorEastAsia" w:hAnsiTheme="minorEastAsia" w:eastAsiaTheme="minorEastAsia"/>
              </w:rPr>
              <w:t>≧</w:t>
            </w:r>
            <w:r>
              <w:rPr>
                <w:rStyle w:val="35"/>
                <w:rFonts w:hint="default" w:asciiTheme="minorEastAsia" w:hAnsiTheme="minorEastAsia" w:eastAsiaTheme="minorEastAsia"/>
                <w:sz w:val="24"/>
                <w:szCs w:val="24"/>
              </w:rPr>
              <w:t>80%</w:t>
            </w:r>
          </w:p>
        </w:tc>
        <w:tc>
          <w:tcPr>
            <w:tcW w:w="2194" w:type="dxa"/>
            <w:gridSpan w:val="2"/>
            <w:shd w:val="clear" w:color="auto" w:fill="auto"/>
            <w:vAlign w:val="center"/>
          </w:tcPr>
          <w:p>
            <w:pPr>
              <w:rPr>
                <w:rFonts w:cs="宋体" w:asciiTheme="minorEastAsia" w:hAnsiTheme="minorEastAsia" w:eastAsiaTheme="minorEastAsia"/>
                <w:color w:val="000000"/>
                <w:sz w:val="24"/>
              </w:rPr>
            </w:pPr>
            <w:r>
              <w:rPr>
                <w:rStyle w:val="34"/>
                <w:rFonts w:hint="default" w:asciiTheme="minorEastAsia" w:hAnsiTheme="minorEastAsia" w:eastAsiaTheme="minorEastAsia"/>
              </w:rPr>
              <w:t>≧</w:t>
            </w:r>
            <w:r>
              <w:rPr>
                <w:rStyle w:val="35"/>
                <w:rFonts w:hint="default" w:asciiTheme="minorEastAsia" w:hAnsiTheme="minorEastAsia" w:eastAsiaTheme="minorEastAsia"/>
                <w:sz w:val="24"/>
                <w:szCs w:val="24"/>
              </w:rPr>
              <w:t>80%</w:t>
            </w:r>
          </w:p>
        </w:tc>
      </w:tr>
    </w:tbl>
    <w:p>
      <w:pPr>
        <w:adjustRightInd w:val="0"/>
        <w:snapToGrid w:val="0"/>
        <w:spacing w:line="580" w:lineRule="exact"/>
        <w:rPr>
          <w:rFonts w:ascii="仿宋_GB2312" w:hAnsi="仿宋_GB2312" w:eastAsia="仿宋_GB2312" w:cs="仿宋_GB2312"/>
          <w:sz w:val="32"/>
          <w:szCs w:val="32"/>
        </w:rPr>
      </w:pPr>
    </w:p>
    <w:tbl>
      <w:tblPr>
        <w:tblStyle w:val="15"/>
        <w:tblpPr w:leftFromText="180" w:rightFromText="180" w:vertAnchor="text" w:horzAnchor="page" w:tblpX="1317" w:tblpY="1577"/>
        <w:tblOverlap w:val="never"/>
        <w:tblW w:w="9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09"/>
        <w:gridCol w:w="141"/>
        <w:gridCol w:w="1272"/>
        <w:gridCol w:w="2272"/>
        <w:gridCol w:w="1528"/>
        <w:gridCol w:w="315"/>
        <w:gridCol w:w="43"/>
        <w:gridCol w:w="266"/>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575" w:type="dxa"/>
            <w:gridSpan w:val="10"/>
            <w:shd w:val="clear" w:color="auto" w:fill="auto"/>
            <w:vAlign w:val="center"/>
          </w:tcPr>
          <w:p>
            <w:pPr>
              <w:widowControl/>
              <w:jc w:val="center"/>
              <w:textAlignment w:val="center"/>
              <w:rPr>
                <w:rFonts w:ascii="黑体" w:hAnsi="黑体" w:eastAsia="黑体" w:cs="黑体"/>
                <w:sz w:val="44"/>
                <w:szCs w:val="44"/>
              </w:rPr>
            </w:pPr>
            <w:r>
              <w:rPr>
                <w:rFonts w:hint="eastAsia" w:ascii="黑体" w:hAnsi="黑体" w:eastAsia="黑体" w:cs="黑体"/>
                <w:sz w:val="44"/>
                <w:szCs w:val="44"/>
              </w:rPr>
              <w:t>2021年部门预算项目绩效目标自评表（四）</w:t>
            </w:r>
          </w:p>
          <w:p>
            <w:pPr>
              <w:widowControl/>
              <w:jc w:val="center"/>
              <w:textAlignment w:val="center"/>
              <w:rPr>
                <w:rFonts w:eastAsia="方正仿宋简体"/>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w w:val="90"/>
                <w:sz w:val="32"/>
                <w:szCs w:val="32"/>
              </w:rPr>
              <w:t>技能大师工作室、技工院校教师职称、培训结构设立、变更工种、地址等评审经费项目</w:t>
            </w:r>
            <w:r>
              <w:rPr>
                <w:rFonts w:hint="eastAsia" w:ascii="仿宋_GB2312" w:hAnsi="仿宋_GB2312" w:eastAsia="仿宋_GB2312" w:cs="仿宋_GB2312"/>
                <w:sz w:val="32"/>
                <w:szCs w:val="32"/>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1810"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主管部门及代码</w:t>
            </w:r>
          </w:p>
        </w:tc>
        <w:tc>
          <w:tcPr>
            <w:tcW w:w="3685" w:type="dxa"/>
            <w:gridSpan w:val="3"/>
            <w:shd w:val="clear" w:color="auto" w:fill="auto"/>
            <w:vAlign w:val="center"/>
          </w:tcPr>
          <w:p>
            <w:pPr>
              <w:widowControl/>
              <w:spacing w:line="32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342-广元市人力资源和社会保障局</w:t>
            </w:r>
          </w:p>
        </w:tc>
        <w:tc>
          <w:tcPr>
            <w:tcW w:w="1528"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实施单位</w:t>
            </w:r>
          </w:p>
        </w:tc>
        <w:tc>
          <w:tcPr>
            <w:tcW w:w="2552" w:type="dxa"/>
            <w:gridSpan w:val="4"/>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广元市人力资源和社会保障局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项目预算</w:t>
            </w:r>
          </w:p>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执行情况</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（万元）</w:t>
            </w: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预算数：</w:t>
            </w:r>
          </w:p>
        </w:tc>
        <w:tc>
          <w:tcPr>
            <w:tcW w:w="2272"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528" w:type="dxa"/>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 xml:space="preserve"> 执行数：</w:t>
            </w:r>
          </w:p>
        </w:tc>
        <w:tc>
          <w:tcPr>
            <w:tcW w:w="2552" w:type="dxa"/>
            <w:gridSpan w:val="4"/>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rPr>
            </w:pP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2272" w:type="dxa"/>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528" w:type="dxa"/>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2552" w:type="dxa"/>
            <w:gridSpan w:val="4"/>
            <w:shd w:val="clear" w:color="auto" w:fill="auto"/>
            <w:vAlign w:val="center"/>
          </w:tcPr>
          <w:p>
            <w:pPr>
              <w:widowControl/>
              <w:spacing w:line="320" w:lineRule="exact"/>
              <w:ind w:firstLine="960" w:firstLineChars="4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rPr>
            </w:pP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2272" w:type="dxa"/>
            <w:shd w:val="clear" w:color="auto" w:fill="auto"/>
            <w:vAlign w:val="center"/>
          </w:tcPr>
          <w:p>
            <w:pPr>
              <w:widowControl/>
              <w:spacing w:line="320" w:lineRule="exact"/>
              <w:jc w:val="left"/>
              <w:textAlignment w:val="center"/>
              <w:rPr>
                <w:rFonts w:cs="宋体" w:asciiTheme="minorEastAsia" w:hAnsiTheme="minorEastAsia" w:eastAsiaTheme="minorEastAsia"/>
                <w:sz w:val="24"/>
              </w:rPr>
            </w:pPr>
          </w:p>
        </w:tc>
        <w:tc>
          <w:tcPr>
            <w:tcW w:w="2152" w:type="dxa"/>
            <w:gridSpan w:val="4"/>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1928"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1101" w:type="dxa"/>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年度总体目标</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完成情况</w:t>
            </w:r>
          </w:p>
        </w:tc>
        <w:tc>
          <w:tcPr>
            <w:tcW w:w="4394" w:type="dxa"/>
            <w:gridSpan w:val="4"/>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预期目标</w:t>
            </w:r>
          </w:p>
        </w:tc>
        <w:tc>
          <w:tcPr>
            <w:tcW w:w="4080" w:type="dxa"/>
            <w:gridSpan w:val="5"/>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101" w:type="dxa"/>
            <w:vMerge w:val="continue"/>
            <w:shd w:val="clear" w:color="auto" w:fill="auto"/>
            <w:vAlign w:val="center"/>
          </w:tcPr>
          <w:p>
            <w:pPr>
              <w:spacing w:line="320" w:lineRule="exact"/>
              <w:jc w:val="center"/>
              <w:rPr>
                <w:rFonts w:cs="宋体" w:asciiTheme="minorEastAsia" w:hAnsiTheme="minorEastAsia" w:eastAsiaTheme="minorEastAsia"/>
                <w:sz w:val="24"/>
              </w:rPr>
            </w:pPr>
          </w:p>
        </w:tc>
        <w:tc>
          <w:tcPr>
            <w:tcW w:w="4394" w:type="dxa"/>
            <w:gridSpan w:val="4"/>
            <w:shd w:val="clear" w:color="auto" w:fill="auto"/>
          </w:tcPr>
          <w:p>
            <w:pPr>
              <w:widowControl/>
              <w:spacing w:line="320" w:lineRule="exact"/>
              <w:jc w:val="left"/>
              <w:textAlignment w:val="top"/>
              <w:rPr>
                <w:rFonts w:cs="宋体" w:asciiTheme="minorEastAsia" w:hAnsiTheme="minorEastAsia" w:eastAsiaTheme="minorEastAsia"/>
                <w:sz w:val="24"/>
              </w:rPr>
            </w:pPr>
            <w:r>
              <w:rPr>
                <w:rFonts w:hint="eastAsia" w:cs="宋体" w:asciiTheme="minorEastAsia" w:hAnsiTheme="minorEastAsia" w:eastAsiaTheme="minorEastAsia"/>
                <w:kern w:val="0"/>
                <w:sz w:val="24"/>
              </w:rPr>
              <w:t>通过开展技能大师工作室评审、民办培训学校审批和技工学校教师专业技术职务评审工作，切实加强职业培训健康发展，促进劳动者技能成才，技能就业；强化专业技术人才队伍建设管理，规范专业技术职务评审工作。</w:t>
            </w:r>
          </w:p>
        </w:tc>
        <w:tc>
          <w:tcPr>
            <w:tcW w:w="4080" w:type="dxa"/>
            <w:gridSpan w:val="5"/>
            <w:shd w:val="clear" w:color="auto" w:fill="auto"/>
          </w:tcPr>
          <w:p>
            <w:pPr>
              <w:widowControl/>
              <w:spacing w:line="320" w:lineRule="exact"/>
              <w:jc w:val="center"/>
              <w:textAlignment w:val="top"/>
              <w:rPr>
                <w:rFonts w:cs="宋体" w:asciiTheme="minorEastAsia" w:hAnsiTheme="minorEastAsia" w:eastAsiaTheme="minorEastAsia"/>
                <w:sz w:val="24"/>
              </w:rPr>
            </w:pPr>
          </w:p>
          <w:p>
            <w:pPr>
              <w:widowControl/>
              <w:spacing w:line="320" w:lineRule="exact"/>
              <w:textAlignment w:val="top"/>
              <w:rPr>
                <w:rFonts w:cs="宋体" w:asciiTheme="minorEastAsia" w:hAnsiTheme="minorEastAsia" w:eastAsiaTheme="minorEastAsia"/>
                <w:sz w:val="24"/>
              </w:rPr>
            </w:pPr>
            <w:r>
              <w:rPr>
                <w:rFonts w:hint="eastAsia" w:cs="宋体" w:asciiTheme="minorEastAsia" w:hAnsiTheme="minorEastAsia" w:eastAsiaTheme="minorEastAsia"/>
                <w:sz w:val="24"/>
              </w:rPr>
              <w:t>已完成预期目标。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101" w:type="dxa"/>
            <w:vMerge w:val="restart"/>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p>
          <w:p>
            <w:pPr>
              <w:pStyle w:val="5"/>
              <w:spacing w:before="93"/>
              <w:rPr>
                <w:rFonts w:asciiTheme="minorEastAsia" w:hAnsiTheme="minorEastAsia" w:eastAsiaTheme="minorEastAsia"/>
                <w:sz w:val="24"/>
              </w:rPr>
            </w:pPr>
          </w:p>
          <w:p>
            <w:pPr>
              <w:pStyle w:val="5"/>
              <w:spacing w:before="93"/>
              <w:rPr>
                <w:rFonts w:asciiTheme="minorEastAsia" w:hAnsiTheme="minorEastAsia" w:eastAsiaTheme="minorEastAsia"/>
                <w:sz w:val="24"/>
              </w:rPr>
            </w:pPr>
          </w:p>
          <w:p>
            <w:pPr>
              <w:pStyle w:val="5"/>
              <w:spacing w:before="93"/>
              <w:rPr>
                <w:rFonts w:asciiTheme="minorEastAsia" w:hAnsiTheme="minorEastAsia" w:eastAsiaTheme="minorEastAsia"/>
                <w:sz w:val="24"/>
              </w:rPr>
            </w:pPr>
          </w:p>
          <w:p>
            <w:pPr>
              <w:pStyle w:val="5"/>
              <w:spacing w:before="93"/>
              <w:rPr>
                <w:rFonts w:asciiTheme="minorEastAsia" w:hAnsiTheme="minorEastAsia" w:eastAsiaTheme="minorEastAsia"/>
                <w:sz w:val="24"/>
              </w:rPr>
            </w:pP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年度绩效指标完成情况</w:t>
            </w:r>
          </w:p>
        </w:tc>
        <w:tc>
          <w:tcPr>
            <w:tcW w:w="850"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一级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272"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二级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2272"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三级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886" w:type="dxa"/>
            <w:gridSpan w:val="3"/>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预期指标值</w:t>
            </w:r>
          </w:p>
        </w:tc>
        <w:tc>
          <w:tcPr>
            <w:tcW w:w="2194"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restart"/>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项目完成指标</w:t>
            </w: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数量指标</w:t>
            </w:r>
          </w:p>
        </w:tc>
        <w:tc>
          <w:tcPr>
            <w:tcW w:w="2272" w:type="dxa"/>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技能大师工作室评审</w:t>
            </w:r>
          </w:p>
        </w:tc>
        <w:tc>
          <w:tcPr>
            <w:tcW w:w="1886" w:type="dxa"/>
            <w:gridSpan w:val="3"/>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聘请5名专家，每个县区1天</w:t>
            </w:r>
          </w:p>
        </w:tc>
        <w:tc>
          <w:tcPr>
            <w:tcW w:w="2194" w:type="dxa"/>
            <w:gridSpan w:val="2"/>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邀请5名专家开展第四批技能大师工作室评审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tcPr>
          <w:p>
            <w:r>
              <w:rPr>
                <w:rFonts w:hint="eastAsia" w:asciiTheme="minorEastAsia" w:hAnsiTheme="minorEastAsia" w:eastAsiaTheme="minorEastAsia"/>
                <w:color w:val="000000"/>
                <w:sz w:val="24"/>
              </w:rPr>
              <w:t>数量指标</w:t>
            </w:r>
          </w:p>
        </w:tc>
        <w:tc>
          <w:tcPr>
            <w:tcW w:w="2272" w:type="dxa"/>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技工学校教师专业技术职务评审工作专家评审</w:t>
            </w:r>
          </w:p>
        </w:tc>
        <w:tc>
          <w:tcPr>
            <w:tcW w:w="1886" w:type="dxa"/>
            <w:gridSpan w:val="3"/>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每个专业聘请3名评审专家，预计至少15个专业</w:t>
            </w:r>
          </w:p>
        </w:tc>
        <w:tc>
          <w:tcPr>
            <w:tcW w:w="2194" w:type="dxa"/>
            <w:gridSpan w:val="2"/>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共有22个专业老师申报职称评审，共聘请专家15名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tcPr>
          <w:p>
            <w:r>
              <w:rPr>
                <w:rFonts w:hint="eastAsia" w:asciiTheme="minorEastAsia" w:hAnsiTheme="minorEastAsia" w:eastAsiaTheme="minorEastAsia"/>
                <w:color w:val="000000"/>
                <w:sz w:val="24"/>
              </w:rPr>
              <w:t>数量指标</w:t>
            </w:r>
          </w:p>
        </w:tc>
        <w:tc>
          <w:tcPr>
            <w:tcW w:w="2272" w:type="dxa"/>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民办培训学校审批工作专家评审</w:t>
            </w:r>
          </w:p>
        </w:tc>
        <w:tc>
          <w:tcPr>
            <w:tcW w:w="1886" w:type="dxa"/>
            <w:gridSpan w:val="3"/>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每申请增加1个工种需要请3名专家，估计至少40个工种以上</w:t>
            </w:r>
          </w:p>
        </w:tc>
        <w:tc>
          <w:tcPr>
            <w:tcW w:w="2194" w:type="dxa"/>
            <w:gridSpan w:val="2"/>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增加114个工种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时效指标</w:t>
            </w:r>
          </w:p>
        </w:tc>
        <w:tc>
          <w:tcPr>
            <w:tcW w:w="2272" w:type="dxa"/>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完成时间</w:t>
            </w:r>
          </w:p>
        </w:tc>
        <w:tc>
          <w:tcPr>
            <w:tcW w:w="1886" w:type="dxa"/>
            <w:gridSpan w:val="3"/>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2021年12月底前</w:t>
            </w:r>
          </w:p>
        </w:tc>
        <w:tc>
          <w:tcPr>
            <w:tcW w:w="2194" w:type="dxa"/>
            <w:gridSpan w:val="2"/>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2021年12月底前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成本指标</w:t>
            </w:r>
          </w:p>
        </w:tc>
        <w:tc>
          <w:tcPr>
            <w:tcW w:w="2272" w:type="dxa"/>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技能大师工作室评审</w:t>
            </w:r>
          </w:p>
        </w:tc>
        <w:tc>
          <w:tcPr>
            <w:tcW w:w="1886" w:type="dxa"/>
            <w:gridSpan w:val="3"/>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1.75万元</w:t>
            </w:r>
          </w:p>
        </w:tc>
        <w:tc>
          <w:tcPr>
            <w:tcW w:w="2194" w:type="dxa"/>
            <w:gridSpan w:val="2"/>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1.75万元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成本指标</w:t>
            </w:r>
          </w:p>
        </w:tc>
        <w:tc>
          <w:tcPr>
            <w:tcW w:w="2272" w:type="dxa"/>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技工学校教师专业技术职务评审工作专家评审费</w:t>
            </w:r>
          </w:p>
        </w:tc>
        <w:tc>
          <w:tcPr>
            <w:tcW w:w="1886" w:type="dxa"/>
            <w:gridSpan w:val="3"/>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2万元</w:t>
            </w:r>
          </w:p>
        </w:tc>
        <w:tc>
          <w:tcPr>
            <w:tcW w:w="2194" w:type="dxa"/>
            <w:gridSpan w:val="2"/>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vAlign w:val="center"/>
          </w:tcPr>
          <w:p>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成本指标</w:t>
            </w:r>
          </w:p>
        </w:tc>
        <w:tc>
          <w:tcPr>
            <w:tcW w:w="2272" w:type="dxa"/>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民办培训学校审批工作专家评审费</w:t>
            </w:r>
          </w:p>
        </w:tc>
        <w:tc>
          <w:tcPr>
            <w:tcW w:w="1886" w:type="dxa"/>
            <w:gridSpan w:val="3"/>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6万元</w:t>
            </w:r>
          </w:p>
        </w:tc>
        <w:tc>
          <w:tcPr>
            <w:tcW w:w="2194" w:type="dxa"/>
            <w:gridSpan w:val="2"/>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restart"/>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效益指标</w:t>
            </w: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社会效益指标</w:t>
            </w:r>
          </w:p>
        </w:tc>
        <w:tc>
          <w:tcPr>
            <w:tcW w:w="2272" w:type="dxa"/>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办人民满意的技工教育，进一步推动职业能力提升培训</w:t>
            </w:r>
          </w:p>
        </w:tc>
        <w:tc>
          <w:tcPr>
            <w:tcW w:w="1843" w:type="dxa"/>
            <w:gridSpan w:val="2"/>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办人民满意的技工教育，进一步推动职业能力提升培训</w:t>
            </w:r>
          </w:p>
        </w:tc>
        <w:tc>
          <w:tcPr>
            <w:tcW w:w="2237" w:type="dxa"/>
            <w:gridSpan w:val="3"/>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进一步推动职业能力提升培训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可持续影响指标</w:t>
            </w:r>
          </w:p>
        </w:tc>
        <w:tc>
          <w:tcPr>
            <w:tcW w:w="2272" w:type="dxa"/>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提升劳动者职业技能水平</w:t>
            </w:r>
          </w:p>
        </w:tc>
        <w:tc>
          <w:tcPr>
            <w:tcW w:w="1843" w:type="dxa"/>
            <w:gridSpan w:val="2"/>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可持续</w:t>
            </w:r>
          </w:p>
        </w:tc>
        <w:tc>
          <w:tcPr>
            <w:tcW w:w="2237" w:type="dxa"/>
            <w:gridSpan w:val="3"/>
            <w:shd w:val="clear" w:color="auto" w:fill="auto"/>
            <w:vAlign w:val="center"/>
          </w:tcPr>
          <w:p>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可持续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restart"/>
            <w:shd w:val="clear" w:color="auto" w:fill="auto"/>
            <w:vAlign w:val="center"/>
          </w:tcPr>
          <w:p>
            <w:pPr>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满意度指标</w:t>
            </w:r>
          </w:p>
        </w:tc>
        <w:tc>
          <w:tcPr>
            <w:tcW w:w="1272" w:type="dxa"/>
            <w:vMerge w:val="restart"/>
            <w:shd w:val="clear" w:color="auto" w:fill="auto"/>
            <w:vAlign w:val="center"/>
          </w:tcPr>
          <w:p>
            <w:pPr>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满意度指标</w:t>
            </w:r>
          </w:p>
        </w:tc>
        <w:tc>
          <w:tcPr>
            <w:tcW w:w="2272" w:type="dxa"/>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服务对象满意度</w:t>
            </w:r>
          </w:p>
        </w:tc>
        <w:tc>
          <w:tcPr>
            <w:tcW w:w="1843" w:type="dxa"/>
            <w:gridSpan w:val="2"/>
            <w:shd w:val="clear" w:color="auto" w:fill="auto"/>
            <w:vAlign w:val="center"/>
          </w:tcPr>
          <w:p>
            <w:pPr>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100%</w:t>
            </w:r>
          </w:p>
        </w:tc>
        <w:tc>
          <w:tcPr>
            <w:tcW w:w="2237" w:type="dxa"/>
            <w:gridSpan w:val="3"/>
            <w:shd w:val="clear" w:color="auto" w:fill="auto"/>
            <w:vAlign w:val="center"/>
          </w:tcPr>
          <w:p>
            <w:pPr>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850"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2" w:type="dxa"/>
            <w:vMerge w:val="continue"/>
            <w:shd w:val="clear" w:color="auto" w:fill="auto"/>
            <w:vAlign w:val="center"/>
          </w:tcPr>
          <w:p>
            <w:pPr>
              <w:jc w:val="center"/>
              <w:rPr>
                <w:rFonts w:cs="宋体" w:asciiTheme="minorEastAsia" w:hAnsiTheme="minorEastAsia" w:eastAsiaTheme="minorEastAsia"/>
                <w:color w:val="000000"/>
                <w:sz w:val="24"/>
              </w:rPr>
            </w:pPr>
          </w:p>
        </w:tc>
        <w:tc>
          <w:tcPr>
            <w:tcW w:w="2272" w:type="dxa"/>
            <w:shd w:val="clear" w:color="auto" w:fill="auto"/>
            <w:vAlign w:val="center"/>
          </w:tcPr>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管理部门满意度</w:t>
            </w:r>
          </w:p>
        </w:tc>
        <w:tc>
          <w:tcPr>
            <w:tcW w:w="1843" w:type="dxa"/>
            <w:gridSpan w:val="2"/>
            <w:shd w:val="clear" w:color="auto" w:fill="auto"/>
            <w:vAlign w:val="center"/>
          </w:tcPr>
          <w:p>
            <w:pPr>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100%</w:t>
            </w:r>
          </w:p>
        </w:tc>
        <w:tc>
          <w:tcPr>
            <w:tcW w:w="2237" w:type="dxa"/>
            <w:gridSpan w:val="3"/>
            <w:shd w:val="clear" w:color="auto" w:fill="auto"/>
            <w:vAlign w:val="center"/>
          </w:tcPr>
          <w:p>
            <w:pPr>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100%</w:t>
            </w:r>
          </w:p>
        </w:tc>
      </w:tr>
    </w:tbl>
    <w:p>
      <w:pPr>
        <w:rPr>
          <w:rFonts w:ascii="仿宋_GB2312" w:hAnsi="仿宋_GB2312" w:eastAsia="仿宋_GB2312" w:cs="仿宋_GB2312"/>
          <w:sz w:val="32"/>
          <w:szCs w:val="32"/>
        </w:rPr>
      </w:pPr>
    </w:p>
    <w:tbl>
      <w:tblPr>
        <w:tblStyle w:val="15"/>
        <w:tblpPr w:leftFromText="180" w:rightFromText="180" w:vertAnchor="text" w:horzAnchor="page" w:tblpX="1317" w:tblpY="1577"/>
        <w:tblOverlap w:val="never"/>
        <w:tblW w:w="9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09"/>
        <w:gridCol w:w="425"/>
        <w:gridCol w:w="988"/>
        <w:gridCol w:w="287"/>
        <w:gridCol w:w="1701"/>
        <w:gridCol w:w="1812"/>
        <w:gridCol w:w="456"/>
        <w:gridCol w:w="168"/>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575" w:type="dxa"/>
            <w:gridSpan w:val="10"/>
            <w:shd w:val="clear" w:color="auto" w:fill="auto"/>
            <w:vAlign w:val="center"/>
          </w:tcPr>
          <w:p>
            <w:pPr>
              <w:widowControl/>
              <w:jc w:val="center"/>
              <w:textAlignment w:val="center"/>
              <w:rPr>
                <w:rFonts w:ascii="黑体" w:hAnsi="黑体" w:eastAsia="黑体" w:cs="黑体"/>
                <w:sz w:val="44"/>
                <w:szCs w:val="44"/>
              </w:rPr>
            </w:pPr>
            <w:r>
              <w:rPr>
                <w:rFonts w:hint="eastAsia" w:ascii="黑体" w:hAnsi="黑体" w:eastAsia="黑体" w:cs="黑体"/>
                <w:sz w:val="44"/>
                <w:szCs w:val="44"/>
              </w:rPr>
              <w:t>2021年部门预算项目绩效目标自评表（五）</w:t>
            </w:r>
          </w:p>
          <w:p>
            <w:pPr>
              <w:widowControl/>
              <w:jc w:val="center"/>
              <w:textAlignment w:val="center"/>
              <w:rPr>
                <w:rFonts w:eastAsia="方正仿宋简体"/>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w w:val="90"/>
                <w:sz w:val="32"/>
                <w:szCs w:val="32"/>
              </w:rPr>
              <w:t>市直机关事业单位人员公开选调及招聘考务经费项目</w:t>
            </w:r>
            <w:r>
              <w:rPr>
                <w:rFonts w:hint="eastAsia" w:ascii="仿宋_GB2312" w:hAnsi="仿宋_GB2312" w:eastAsia="仿宋_GB2312" w:cs="仿宋_GB2312"/>
                <w:sz w:val="32"/>
                <w:szCs w:val="32"/>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1810" w:type="dxa"/>
            <w:gridSpan w:val="2"/>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主管部门及代码</w:t>
            </w:r>
          </w:p>
        </w:tc>
        <w:tc>
          <w:tcPr>
            <w:tcW w:w="3401" w:type="dxa"/>
            <w:gridSpan w:val="4"/>
            <w:shd w:val="clear" w:color="auto" w:fill="auto"/>
            <w:vAlign w:val="center"/>
          </w:tcPr>
          <w:p>
            <w:pPr>
              <w:widowControl/>
              <w:spacing w:line="32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342-广元市人力资源和社会保障局</w:t>
            </w:r>
          </w:p>
        </w:tc>
        <w:tc>
          <w:tcPr>
            <w:tcW w:w="1812"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实施单位</w:t>
            </w:r>
          </w:p>
        </w:tc>
        <w:tc>
          <w:tcPr>
            <w:tcW w:w="2552"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广元市人力资源和社会保障局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项目预算</w:t>
            </w:r>
          </w:p>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执行情况</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（万元）</w:t>
            </w: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预算数：</w:t>
            </w:r>
          </w:p>
        </w:tc>
        <w:tc>
          <w:tcPr>
            <w:tcW w:w="1988" w:type="dxa"/>
            <w:gridSpan w:val="2"/>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12" w:type="dxa"/>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 xml:space="preserve"> 执行数：</w:t>
            </w:r>
          </w:p>
        </w:tc>
        <w:tc>
          <w:tcPr>
            <w:tcW w:w="2552" w:type="dxa"/>
            <w:gridSpan w:val="3"/>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rPr>
            </w:pP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1988" w:type="dxa"/>
            <w:gridSpan w:val="2"/>
            <w:shd w:val="clear" w:color="auto" w:fill="auto"/>
            <w:vAlign w:val="center"/>
          </w:tcPr>
          <w:p>
            <w:pPr>
              <w:widowControl/>
              <w:spacing w:line="320" w:lineRule="exact"/>
              <w:ind w:firstLine="480" w:firstLineChars="200"/>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12" w:type="dxa"/>
            <w:shd w:val="clear" w:color="auto" w:fill="auto"/>
            <w:vAlign w:val="center"/>
          </w:tcPr>
          <w:p>
            <w:pPr>
              <w:widowControl/>
              <w:spacing w:line="320" w:lineRule="exact"/>
              <w:jc w:val="left"/>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w:t>
            </w:r>
          </w:p>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财政拨款</w:t>
            </w:r>
          </w:p>
        </w:tc>
        <w:tc>
          <w:tcPr>
            <w:tcW w:w="2552" w:type="dxa"/>
            <w:gridSpan w:val="3"/>
            <w:shd w:val="clear" w:color="auto" w:fill="auto"/>
            <w:vAlign w:val="center"/>
          </w:tcPr>
          <w:p>
            <w:pPr>
              <w:widowControl/>
              <w:spacing w:line="320" w:lineRule="exact"/>
              <w:ind w:firstLine="960" w:firstLineChars="4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810" w:type="dxa"/>
            <w:gridSpan w:val="2"/>
            <w:vMerge w:val="continue"/>
            <w:shd w:val="clear" w:color="auto" w:fill="auto"/>
            <w:vAlign w:val="center"/>
          </w:tcPr>
          <w:p>
            <w:pPr>
              <w:spacing w:line="320" w:lineRule="exact"/>
              <w:jc w:val="center"/>
              <w:rPr>
                <w:rFonts w:cs="宋体" w:asciiTheme="minorEastAsia" w:hAnsiTheme="minorEastAsia" w:eastAsiaTheme="minorEastAsia"/>
                <w:sz w:val="24"/>
              </w:rPr>
            </w:pPr>
          </w:p>
        </w:tc>
        <w:tc>
          <w:tcPr>
            <w:tcW w:w="1413"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1988" w:type="dxa"/>
            <w:gridSpan w:val="2"/>
            <w:shd w:val="clear" w:color="auto" w:fill="auto"/>
            <w:vAlign w:val="center"/>
          </w:tcPr>
          <w:p>
            <w:pPr>
              <w:widowControl/>
              <w:spacing w:line="320" w:lineRule="exact"/>
              <w:jc w:val="left"/>
              <w:textAlignment w:val="center"/>
              <w:rPr>
                <w:rFonts w:cs="宋体" w:asciiTheme="minorEastAsia" w:hAnsiTheme="minorEastAsia" w:eastAsiaTheme="minorEastAsia"/>
                <w:sz w:val="24"/>
              </w:rPr>
            </w:pPr>
          </w:p>
        </w:tc>
        <w:tc>
          <w:tcPr>
            <w:tcW w:w="2436" w:type="dxa"/>
            <w:gridSpan w:val="3"/>
            <w:shd w:val="clear" w:color="auto" w:fill="auto"/>
            <w:vAlign w:val="center"/>
          </w:tcPr>
          <w:p>
            <w:pPr>
              <w:widowControl/>
              <w:spacing w:line="320" w:lineRule="exact"/>
              <w:jc w:val="left"/>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其他资金</w:t>
            </w:r>
          </w:p>
        </w:tc>
        <w:tc>
          <w:tcPr>
            <w:tcW w:w="1928" w:type="dxa"/>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1101" w:type="dxa"/>
            <w:vMerge w:val="restart"/>
            <w:shd w:val="clear" w:color="auto" w:fill="auto"/>
            <w:vAlign w:val="center"/>
          </w:tcPr>
          <w:p>
            <w:pPr>
              <w:widowControl/>
              <w:spacing w:line="320" w:lineRule="exact"/>
              <w:jc w:val="center"/>
              <w:textAlignment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年度总体目标</w:t>
            </w:r>
          </w:p>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完成情况</w:t>
            </w:r>
          </w:p>
        </w:tc>
        <w:tc>
          <w:tcPr>
            <w:tcW w:w="4110" w:type="dxa"/>
            <w:gridSpan w:val="5"/>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预期目标</w:t>
            </w:r>
          </w:p>
        </w:tc>
        <w:tc>
          <w:tcPr>
            <w:tcW w:w="4364" w:type="dxa"/>
            <w:gridSpan w:val="4"/>
            <w:shd w:val="clear" w:color="auto" w:fill="auto"/>
            <w:vAlign w:val="center"/>
          </w:tcPr>
          <w:p>
            <w:pPr>
              <w:widowControl/>
              <w:spacing w:line="32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kern w:val="0"/>
                <w:sz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101" w:type="dxa"/>
            <w:vMerge w:val="continue"/>
            <w:shd w:val="clear" w:color="auto" w:fill="auto"/>
            <w:vAlign w:val="center"/>
          </w:tcPr>
          <w:p>
            <w:pPr>
              <w:spacing w:line="320" w:lineRule="exact"/>
              <w:jc w:val="center"/>
              <w:rPr>
                <w:rFonts w:cs="宋体" w:asciiTheme="minorEastAsia" w:hAnsiTheme="minorEastAsia" w:eastAsiaTheme="minorEastAsia"/>
                <w:sz w:val="24"/>
              </w:rPr>
            </w:pPr>
          </w:p>
        </w:tc>
        <w:tc>
          <w:tcPr>
            <w:tcW w:w="4110" w:type="dxa"/>
            <w:gridSpan w:val="5"/>
            <w:shd w:val="clear" w:color="auto" w:fill="auto"/>
          </w:tcPr>
          <w:p>
            <w:pPr>
              <w:widowControl/>
              <w:spacing w:line="320" w:lineRule="exact"/>
              <w:jc w:val="left"/>
              <w:textAlignment w:val="top"/>
              <w:rPr>
                <w:rFonts w:cs="宋体" w:asciiTheme="minorEastAsia" w:hAnsiTheme="minorEastAsia" w:eastAsiaTheme="minorEastAsia"/>
                <w:sz w:val="24"/>
              </w:rPr>
            </w:pPr>
            <w:r>
              <w:rPr>
                <w:rFonts w:hint="eastAsia" w:cs="宋体" w:asciiTheme="minorEastAsia" w:hAnsiTheme="minorEastAsia" w:eastAsiaTheme="minorEastAsia"/>
                <w:sz w:val="24"/>
              </w:rPr>
              <w:t>在市委编办年度空编使用计划内，规范组织实施我市事业单位公开招聘、公开考调工作，确保事业单位工作人员补充到位。</w:t>
            </w:r>
          </w:p>
        </w:tc>
        <w:tc>
          <w:tcPr>
            <w:tcW w:w="4364" w:type="dxa"/>
            <w:gridSpan w:val="4"/>
            <w:shd w:val="clear" w:color="auto" w:fill="auto"/>
          </w:tcPr>
          <w:p>
            <w:pPr>
              <w:widowControl/>
              <w:spacing w:line="320" w:lineRule="exact"/>
              <w:jc w:val="center"/>
              <w:textAlignment w:val="top"/>
              <w:rPr>
                <w:rFonts w:cs="宋体" w:asciiTheme="minorEastAsia" w:hAnsiTheme="minorEastAsia" w:eastAsiaTheme="minorEastAsia"/>
                <w:sz w:val="24"/>
              </w:rPr>
            </w:pPr>
          </w:p>
          <w:p>
            <w:pPr>
              <w:widowControl/>
              <w:spacing w:line="320" w:lineRule="exact"/>
              <w:textAlignment w:val="top"/>
              <w:rPr>
                <w:rFonts w:cs="宋体" w:asciiTheme="minorEastAsia" w:hAnsiTheme="minorEastAsia" w:eastAsiaTheme="minorEastAsia"/>
                <w:sz w:val="24"/>
              </w:rPr>
            </w:pPr>
            <w:r>
              <w:rPr>
                <w:rFonts w:hint="eastAsia" w:cs="宋体" w:asciiTheme="minorEastAsia" w:hAnsiTheme="minorEastAsia" w:eastAsiaTheme="minorEastAsia"/>
                <w:sz w:val="24"/>
              </w:rPr>
              <w:t>已完成预期目标。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101" w:type="dxa"/>
            <w:vMerge w:val="restart"/>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p>
          <w:p>
            <w:pPr>
              <w:pStyle w:val="5"/>
              <w:spacing w:before="93"/>
              <w:rPr>
                <w:rFonts w:asciiTheme="minorEastAsia" w:hAnsiTheme="minorEastAsia" w:eastAsiaTheme="minorEastAsia"/>
                <w:sz w:val="24"/>
              </w:rPr>
            </w:pPr>
          </w:p>
          <w:p>
            <w:pPr>
              <w:pStyle w:val="5"/>
              <w:spacing w:before="93"/>
              <w:rPr>
                <w:rFonts w:asciiTheme="minorEastAsia" w:hAnsiTheme="minorEastAsia" w:eastAsiaTheme="minorEastAsia"/>
                <w:sz w:val="24"/>
              </w:rPr>
            </w:pPr>
          </w:p>
          <w:p>
            <w:pPr>
              <w:pStyle w:val="5"/>
              <w:spacing w:before="93"/>
              <w:rPr>
                <w:rFonts w:asciiTheme="minorEastAsia" w:hAnsiTheme="minorEastAsia" w:eastAsiaTheme="minorEastAsia"/>
                <w:sz w:val="24"/>
              </w:rPr>
            </w:pPr>
          </w:p>
          <w:p>
            <w:pPr>
              <w:pStyle w:val="5"/>
              <w:spacing w:before="93"/>
              <w:rPr>
                <w:rFonts w:asciiTheme="minorEastAsia" w:hAnsiTheme="minorEastAsia" w:eastAsiaTheme="minorEastAsia"/>
                <w:sz w:val="24"/>
              </w:rPr>
            </w:pP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年度绩效指标完成情况</w:t>
            </w:r>
          </w:p>
        </w:tc>
        <w:tc>
          <w:tcPr>
            <w:tcW w:w="1134"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一级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275"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二级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1701" w:type="dxa"/>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三级</w:t>
            </w:r>
          </w:p>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指标</w:t>
            </w:r>
          </w:p>
        </w:tc>
        <w:tc>
          <w:tcPr>
            <w:tcW w:w="2268"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预期指标值</w:t>
            </w:r>
          </w:p>
        </w:tc>
        <w:tc>
          <w:tcPr>
            <w:tcW w:w="2096" w:type="dxa"/>
            <w:gridSpan w:val="2"/>
            <w:shd w:val="clear" w:color="auto" w:fill="auto"/>
            <w:vAlign w:val="center"/>
          </w:tcPr>
          <w:p>
            <w:pPr>
              <w:widowControl/>
              <w:spacing w:line="320" w:lineRule="exact"/>
              <w:jc w:val="center"/>
              <w:textAlignment w:val="center"/>
              <w:rPr>
                <w:rFonts w:cs="仿宋_GB2312" w:asciiTheme="minorEastAsia" w:hAnsiTheme="minorEastAsia" w:eastAsiaTheme="minorEastAsia"/>
                <w:sz w:val="24"/>
              </w:rPr>
            </w:pPr>
            <w:r>
              <w:rPr>
                <w:rFonts w:hint="eastAsia" w:cs="仿宋_GB2312" w:asciiTheme="minorEastAsia" w:hAnsiTheme="minorEastAsia" w:eastAsiaTheme="minorEastAsia"/>
                <w:kern w:val="0"/>
                <w:sz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134" w:type="dxa"/>
            <w:gridSpan w:val="2"/>
            <w:vMerge w:val="restart"/>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项目完成指标</w:t>
            </w:r>
          </w:p>
        </w:tc>
        <w:tc>
          <w:tcPr>
            <w:tcW w:w="1275" w:type="dxa"/>
            <w:gridSpan w:val="2"/>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数量指标</w:t>
            </w:r>
          </w:p>
        </w:tc>
        <w:tc>
          <w:tcPr>
            <w:tcW w:w="1701" w:type="dxa"/>
            <w:shd w:val="clear" w:color="auto" w:fill="auto"/>
            <w:vAlign w:val="center"/>
          </w:tcPr>
          <w:p>
            <w:pPr>
              <w:rPr>
                <w:rFonts w:ascii="宋体" w:hAnsi="宋体" w:cs="宋体"/>
                <w:color w:val="000000"/>
                <w:sz w:val="22"/>
                <w:szCs w:val="22"/>
              </w:rPr>
            </w:pPr>
            <w:r>
              <w:rPr>
                <w:rFonts w:hint="eastAsia"/>
                <w:color w:val="000000"/>
                <w:sz w:val="22"/>
                <w:szCs w:val="22"/>
              </w:rPr>
              <w:t>1完成事业单位公开考调工作</w:t>
            </w:r>
          </w:p>
        </w:tc>
        <w:tc>
          <w:tcPr>
            <w:tcW w:w="2268" w:type="dxa"/>
            <w:gridSpan w:val="2"/>
            <w:shd w:val="clear" w:color="auto" w:fill="auto"/>
            <w:vAlign w:val="center"/>
          </w:tcPr>
          <w:p>
            <w:pPr>
              <w:rPr>
                <w:rFonts w:ascii="宋体" w:hAnsi="宋体" w:cs="宋体"/>
                <w:color w:val="000000"/>
                <w:sz w:val="22"/>
                <w:szCs w:val="22"/>
              </w:rPr>
            </w:pPr>
            <w:r>
              <w:rPr>
                <w:rFonts w:hint="eastAsia"/>
                <w:color w:val="000000"/>
                <w:sz w:val="22"/>
                <w:szCs w:val="22"/>
              </w:rPr>
              <w:t>根据事业单位申报及全市编制使用等综合确定，预计报名人数1万人。</w:t>
            </w:r>
          </w:p>
        </w:tc>
        <w:tc>
          <w:tcPr>
            <w:tcW w:w="2096" w:type="dxa"/>
            <w:gridSpan w:val="2"/>
            <w:shd w:val="clear" w:color="auto" w:fill="auto"/>
            <w:vAlign w:val="center"/>
          </w:tcPr>
          <w:p>
            <w:pPr>
              <w:rPr>
                <w:rFonts w:ascii="宋体" w:hAnsi="宋体" w:cs="宋体"/>
                <w:color w:val="000000"/>
                <w:sz w:val="22"/>
                <w:szCs w:val="22"/>
              </w:rPr>
            </w:pPr>
            <w:r>
              <w:rPr>
                <w:rFonts w:hint="eastAsia"/>
                <w:color w:val="000000"/>
                <w:sz w:val="22"/>
                <w:szCs w:val="22"/>
              </w:rPr>
              <w:t>根据市委编办年度空编使用计划，公开考调市直属事业单位工作人员共44名，其中管理岗位26名、专业技术岗位18名。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134"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5" w:type="dxa"/>
            <w:gridSpan w:val="2"/>
            <w:shd w:val="clear" w:color="auto" w:fill="auto"/>
          </w:tcPr>
          <w:p>
            <w:r>
              <w:rPr>
                <w:rFonts w:hint="eastAsia" w:asciiTheme="minorEastAsia" w:hAnsiTheme="minorEastAsia" w:eastAsiaTheme="minorEastAsia"/>
                <w:color w:val="000000"/>
                <w:sz w:val="24"/>
              </w:rPr>
              <w:t>数量指标</w:t>
            </w:r>
          </w:p>
        </w:tc>
        <w:tc>
          <w:tcPr>
            <w:tcW w:w="1701" w:type="dxa"/>
            <w:shd w:val="clear" w:color="auto" w:fill="auto"/>
            <w:vAlign w:val="center"/>
          </w:tcPr>
          <w:p>
            <w:pPr>
              <w:rPr>
                <w:rFonts w:ascii="宋体" w:hAnsi="宋体" w:cs="宋体"/>
                <w:color w:val="000000"/>
                <w:sz w:val="22"/>
                <w:szCs w:val="22"/>
              </w:rPr>
            </w:pPr>
            <w:r>
              <w:rPr>
                <w:rFonts w:hint="eastAsia"/>
                <w:color w:val="000000"/>
                <w:sz w:val="22"/>
                <w:szCs w:val="22"/>
              </w:rPr>
              <w:t>完成事业单位公开考调、公开考试、公开考核招聘等</w:t>
            </w:r>
          </w:p>
        </w:tc>
        <w:tc>
          <w:tcPr>
            <w:tcW w:w="2268" w:type="dxa"/>
            <w:gridSpan w:val="2"/>
            <w:shd w:val="clear" w:color="auto" w:fill="auto"/>
            <w:vAlign w:val="center"/>
          </w:tcPr>
          <w:p>
            <w:pPr>
              <w:rPr>
                <w:rFonts w:ascii="宋体" w:hAnsi="宋体" w:cs="宋体"/>
                <w:color w:val="000000"/>
                <w:sz w:val="22"/>
                <w:szCs w:val="22"/>
              </w:rPr>
            </w:pPr>
            <w:r>
              <w:rPr>
                <w:rFonts w:hint="eastAsia"/>
                <w:color w:val="000000"/>
                <w:sz w:val="22"/>
                <w:szCs w:val="22"/>
              </w:rPr>
              <w:t>根据事业单位申报及全市编制使用等综合确定，预计报名人数5万人。</w:t>
            </w:r>
          </w:p>
        </w:tc>
        <w:tc>
          <w:tcPr>
            <w:tcW w:w="2096" w:type="dxa"/>
            <w:gridSpan w:val="2"/>
            <w:shd w:val="clear" w:color="auto" w:fill="auto"/>
            <w:vAlign w:val="center"/>
          </w:tcPr>
          <w:p>
            <w:pPr>
              <w:rPr>
                <w:rFonts w:ascii="宋体" w:hAnsi="宋体" w:cs="宋体"/>
                <w:color w:val="000000"/>
                <w:sz w:val="22"/>
                <w:szCs w:val="22"/>
              </w:rPr>
            </w:pPr>
            <w:r>
              <w:rPr>
                <w:rFonts w:hint="eastAsia"/>
                <w:color w:val="000000"/>
                <w:sz w:val="22"/>
                <w:szCs w:val="22"/>
              </w:rPr>
              <w:t>根据市委编办年度空编使用计划，公开招聘事业单位工作人员共1803名。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134"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5" w:type="dxa"/>
            <w:gridSpan w:val="2"/>
            <w:shd w:val="clear" w:color="auto" w:fill="auto"/>
          </w:tcPr>
          <w:p>
            <w:pP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质量指标</w:t>
            </w:r>
          </w:p>
        </w:tc>
        <w:tc>
          <w:tcPr>
            <w:tcW w:w="1701" w:type="dxa"/>
            <w:shd w:val="clear" w:color="auto" w:fill="auto"/>
            <w:vAlign w:val="center"/>
          </w:tcPr>
          <w:p>
            <w:pPr>
              <w:rPr>
                <w:rFonts w:ascii="宋体" w:hAnsi="宋体" w:cs="宋体"/>
                <w:color w:val="000000"/>
                <w:sz w:val="22"/>
                <w:szCs w:val="22"/>
              </w:rPr>
            </w:pPr>
            <w:r>
              <w:rPr>
                <w:rFonts w:hint="eastAsia"/>
                <w:color w:val="000000"/>
                <w:sz w:val="22"/>
                <w:szCs w:val="22"/>
              </w:rPr>
              <w:t>工作完成率</w:t>
            </w:r>
          </w:p>
        </w:tc>
        <w:tc>
          <w:tcPr>
            <w:tcW w:w="2268" w:type="dxa"/>
            <w:gridSpan w:val="2"/>
            <w:shd w:val="clear" w:color="auto" w:fill="auto"/>
            <w:vAlign w:val="center"/>
          </w:tcPr>
          <w:p>
            <w:pPr>
              <w:rPr>
                <w:rFonts w:ascii="宋体" w:hAnsi="宋体" w:cs="宋体"/>
                <w:color w:val="000000"/>
                <w:sz w:val="22"/>
                <w:szCs w:val="22"/>
              </w:rPr>
            </w:pPr>
            <w:r>
              <w:rPr>
                <w:rFonts w:hint="eastAsia"/>
                <w:color w:val="000000"/>
                <w:sz w:val="22"/>
                <w:szCs w:val="22"/>
              </w:rPr>
              <w:t>≥100%</w:t>
            </w:r>
          </w:p>
        </w:tc>
        <w:tc>
          <w:tcPr>
            <w:tcW w:w="2096" w:type="dxa"/>
            <w:gridSpan w:val="2"/>
            <w:shd w:val="clear" w:color="auto" w:fill="auto"/>
            <w:vAlign w:val="center"/>
          </w:tcPr>
          <w:p>
            <w:pPr>
              <w:rPr>
                <w:rFonts w:ascii="宋体" w:hAnsi="宋体" w:cs="宋体"/>
                <w:color w:val="000000"/>
                <w:sz w:val="22"/>
                <w:szCs w:val="22"/>
              </w:rPr>
            </w:pPr>
            <w:r>
              <w:rPr>
                <w:rFonts w:hint="eastAsia"/>
                <w:color w:val="000000"/>
                <w:sz w:val="22"/>
                <w:szCs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134"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5" w:type="dxa"/>
            <w:gridSpan w:val="2"/>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时效指标</w:t>
            </w:r>
          </w:p>
        </w:tc>
        <w:tc>
          <w:tcPr>
            <w:tcW w:w="1701" w:type="dxa"/>
            <w:shd w:val="clear" w:color="auto" w:fill="auto"/>
            <w:vAlign w:val="center"/>
          </w:tcPr>
          <w:p>
            <w:pPr>
              <w:rPr>
                <w:rFonts w:ascii="宋体" w:hAnsi="宋体" w:cs="宋体"/>
                <w:color w:val="000000"/>
                <w:sz w:val="22"/>
                <w:szCs w:val="22"/>
              </w:rPr>
            </w:pPr>
            <w:r>
              <w:rPr>
                <w:rFonts w:hint="eastAsia"/>
                <w:color w:val="000000"/>
                <w:sz w:val="22"/>
                <w:szCs w:val="22"/>
              </w:rPr>
              <w:t>完成时间</w:t>
            </w:r>
          </w:p>
        </w:tc>
        <w:tc>
          <w:tcPr>
            <w:tcW w:w="2268" w:type="dxa"/>
            <w:gridSpan w:val="2"/>
            <w:shd w:val="clear" w:color="auto" w:fill="auto"/>
            <w:vAlign w:val="center"/>
          </w:tcPr>
          <w:p>
            <w:pPr>
              <w:rPr>
                <w:rFonts w:ascii="宋体" w:hAnsi="宋体" w:cs="宋体"/>
                <w:color w:val="000000"/>
                <w:sz w:val="22"/>
                <w:szCs w:val="22"/>
              </w:rPr>
            </w:pPr>
            <w:r>
              <w:rPr>
                <w:rFonts w:hint="eastAsia"/>
                <w:color w:val="000000"/>
                <w:sz w:val="22"/>
                <w:szCs w:val="22"/>
              </w:rPr>
              <w:t>2021年12月前</w:t>
            </w:r>
          </w:p>
        </w:tc>
        <w:tc>
          <w:tcPr>
            <w:tcW w:w="2096" w:type="dxa"/>
            <w:gridSpan w:val="2"/>
            <w:shd w:val="clear" w:color="auto" w:fill="auto"/>
            <w:vAlign w:val="center"/>
          </w:tcPr>
          <w:p>
            <w:pPr>
              <w:rPr>
                <w:rFonts w:ascii="宋体" w:hAnsi="宋体" w:cs="宋体"/>
                <w:color w:val="000000"/>
                <w:sz w:val="22"/>
                <w:szCs w:val="22"/>
              </w:rPr>
            </w:pPr>
            <w:r>
              <w:rPr>
                <w:rFonts w:hint="eastAsia"/>
                <w:color w:val="000000"/>
                <w:sz w:val="22"/>
                <w:szCs w:val="22"/>
              </w:rPr>
              <w:t>2021年12月前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134"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5" w:type="dxa"/>
            <w:gridSpan w:val="2"/>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成本指标</w:t>
            </w:r>
          </w:p>
        </w:tc>
        <w:tc>
          <w:tcPr>
            <w:tcW w:w="1701" w:type="dxa"/>
            <w:shd w:val="clear" w:color="auto" w:fill="auto"/>
            <w:vAlign w:val="center"/>
          </w:tcPr>
          <w:p>
            <w:pPr>
              <w:rPr>
                <w:rFonts w:ascii="宋体" w:hAnsi="宋体" w:cs="宋体"/>
                <w:color w:val="000000"/>
                <w:sz w:val="22"/>
                <w:szCs w:val="22"/>
              </w:rPr>
            </w:pPr>
            <w:r>
              <w:rPr>
                <w:rFonts w:hint="eastAsia"/>
                <w:color w:val="000000"/>
                <w:sz w:val="22"/>
                <w:szCs w:val="22"/>
              </w:rPr>
              <w:t>命题制卷考务工作经费</w:t>
            </w:r>
          </w:p>
        </w:tc>
        <w:tc>
          <w:tcPr>
            <w:tcW w:w="2268" w:type="dxa"/>
            <w:gridSpan w:val="2"/>
            <w:shd w:val="clear" w:color="auto" w:fill="auto"/>
            <w:vAlign w:val="center"/>
          </w:tcPr>
          <w:p>
            <w:pPr>
              <w:rPr>
                <w:rFonts w:ascii="宋体" w:hAnsi="宋体" w:cs="宋体"/>
                <w:color w:val="000000"/>
                <w:sz w:val="22"/>
                <w:szCs w:val="22"/>
              </w:rPr>
            </w:pPr>
            <w:r>
              <w:rPr>
                <w:rFonts w:hint="eastAsia"/>
                <w:color w:val="000000"/>
                <w:sz w:val="22"/>
                <w:szCs w:val="22"/>
              </w:rPr>
              <w:t>6万</w:t>
            </w:r>
          </w:p>
        </w:tc>
        <w:tc>
          <w:tcPr>
            <w:tcW w:w="2096" w:type="dxa"/>
            <w:gridSpan w:val="2"/>
            <w:shd w:val="clear" w:color="auto" w:fill="auto"/>
            <w:vAlign w:val="center"/>
          </w:tcPr>
          <w:p>
            <w:pPr>
              <w:rPr>
                <w:rFonts w:ascii="宋体" w:hAnsi="宋体" w:cs="宋体"/>
                <w:color w:val="000000"/>
                <w:sz w:val="22"/>
                <w:szCs w:val="22"/>
              </w:rPr>
            </w:pPr>
            <w:r>
              <w:rPr>
                <w:rFonts w:hint="eastAsia"/>
                <w:color w:val="000000"/>
                <w:sz w:val="22"/>
                <w:szCs w:val="22"/>
              </w:rPr>
              <w:t>6万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134" w:type="dxa"/>
            <w:gridSpan w:val="2"/>
            <w:vMerge w:val="continue"/>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p>
        </w:tc>
        <w:tc>
          <w:tcPr>
            <w:tcW w:w="1275" w:type="dxa"/>
            <w:gridSpan w:val="2"/>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成本指标</w:t>
            </w:r>
          </w:p>
        </w:tc>
        <w:tc>
          <w:tcPr>
            <w:tcW w:w="1701" w:type="dxa"/>
            <w:shd w:val="clear" w:color="auto" w:fill="auto"/>
            <w:vAlign w:val="center"/>
          </w:tcPr>
          <w:p>
            <w:pPr>
              <w:rPr>
                <w:rFonts w:ascii="宋体" w:hAnsi="宋体" w:cs="宋体"/>
                <w:color w:val="000000"/>
                <w:sz w:val="22"/>
                <w:szCs w:val="22"/>
              </w:rPr>
            </w:pPr>
            <w:r>
              <w:rPr>
                <w:rFonts w:hint="eastAsia"/>
                <w:color w:val="000000"/>
                <w:sz w:val="22"/>
                <w:szCs w:val="22"/>
              </w:rPr>
              <w:t>调研检查工作经费</w:t>
            </w:r>
          </w:p>
        </w:tc>
        <w:tc>
          <w:tcPr>
            <w:tcW w:w="2268" w:type="dxa"/>
            <w:gridSpan w:val="2"/>
            <w:shd w:val="clear" w:color="auto" w:fill="auto"/>
            <w:vAlign w:val="center"/>
          </w:tcPr>
          <w:p>
            <w:pPr>
              <w:rPr>
                <w:rFonts w:ascii="宋体" w:hAnsi="宋体" w:cs="宋体"/>
                <w:color w:val="000000"/>
                <w:sz w:val="22"/>
                <w:szCs w:val="22"/>
              </w:rPr>
            </w:pPr>
            <w:r>
              <w:rPr>
                <w:rFonts w:hint="eastAsia"/>
                <w:color w:val="000000"/>
                <w:sz w:val="22"/>
                <w:szCs w:val="22"/>
              </w:rPr>
              <w:t>1万</w:t>
            </w:r>
          </w:p>
        </w:tc>
        <w:tc>
          <w:tcPr>
            <w:tcW w:w="2096" w:type="dxa"/>
            <w:gridSpan w:val="2"/>
            <w:shd w:val="clear" w:color="auto" w:fill="auto"/>
            <w:vAlign w:val="center"/>
          </w:tcPr>
          <w:p>
            <w:pPr>
              <w:rPr>
                <w:rFonts w:ascii="宋体" w:hAnsi="宋体" w:cs="宋体"/>
                <w:color w:val="000000"/>
                <w:sz w:val="22"/>
                <w:szCs w:val="22"/>
              </w:rPr>
            </w:pPr>
            <w:r>
              <w:rPr>
                <w:rFonts w:hint="eastAsia"/>
                <w:color w:val="000000"/>
                <w:sz w:val="22"/>
                <w:szCs w:val="22"/>
              </w:rPr>
              <w:t>1万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134" w:type="dxa"/>
            <w:gridSpan w:val="2"/>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效益指标</w:t>
            </w:r>
          </w:p>
        </w:tc>
        <w:tc>
          <w:tcPr>
            <w:tcW w:w="1275" w:type="dxa"/>
            <w:gridSpan w:val="2"/>
            <w:shd w:val="clear" w:color="auto" w:fill="auto"/>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社会效益指标</w:t>
            </w:r>
          </w:p>
        </w:tc>
        <w:tc>
          <w:tcPr>
            <w:tcW w:w="1701" w:type="dxa"/>
            <w:shd w:val="clear" w:color="auto" w:fill="auto"/>
            <w:vAlign w:val="center"/>
          </w:tcPr>
          <w:p>
            <w:pPr>
              <w:rPr>
                <w:rFonts w:ascii="宋体" w:hAnsi="宋体" w:cs="宋体"/>
                <w:color w:val="000000"/>
                <w:sz w:val="22"/>
                <w:szCs w:val="22"/>
              </w:rPr>
            </w:pPr>
            <w:r>
              <w:rPr>
                <w:rFonts w:hint="eastAsia"/>
                <w:color w:val="000000"/>
                <w:sz w:val="22"/>
                <w:szCs w:val="22"/>
              </w:rPr>
              <w:t>对工作的促进作用</w:t>
            </w:r>
          </w:p>
        </w:tc>
        <w:tc>
          <w:tcPr>
            <w:tcW w:w="2268" w:type="dxa"/>
            <w:gridSpan w:val="2"/>
            <w:shd w:val="clear" w:color="auto" w:fill="auto"/>
            <w:vAlign w:val="center"/>
          </w:tcPr>
          <w:p>
            <w:pPr>
              <w:rPr>
                <w:rFonts w:ascii="宋体" w:hAnsi="宋体" w:cs="宋体"/>
                <w:color w:val="000000"/>
                <w:sz w:val="22"/>
                <w:szCs w:val="22"/>
              </w:rPr>
            </w:pPr>
            <w:r>
              <w:rPr>
                <w:rFonts w:hint="eastAsia"/>
                <w:color w:val="000000"/>
                <w:sz w:val="22"/>
                <w:szCs w:val="22"/>
              </w:rPr>
              <w:t>提高社会对事业单位招聘、考调工作的公信度。</w:t>
            </w:r>
          </w:p>
        </w:tc>
        <w:tc>
          <w:tcPr>
            <w:tcW w:w="2096" w:type="dxa"/>
            <w:gridSpan w:val="2"/>
            <w:shd w:val="clear" w:color="auto" w:fill="auto"/>
            <w:vAlign w:val="center"/>
          </w:tcPr>
          <w:p>
            <w:pPr>
              <w:rPr>
                <w:rFonts w:ascii="宋体" w:hAnsi="宋体" w:cs="宋体"/>
                <w:color w:val="000000"/>
                <w:sz w:val="22"/>
                <w:szCs w:val="22"/>
              </w:rPr>
            </w:pPr>
            <w:r>
              <w:rPr>
                <w:rFonts w:hint="eastAsia"/>
                <w:color w:val="000000"/>
                <w:sz w:val="22"/>
                <w:szCs w:val="22"/>
              </w:rPr>
              <w:t>有效保障我市事业单位公开招聘、公开考调工作的顺利运行，为提高高校毕业生就业率、缓解就业压力提供有力的支撑。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01" w:type="dxa"/>
            <w:vMerge w:val="continue"/>
            <w:shd w:val="clear" w:color="auto" w:fill="auto"/>
            <w:vAlign w:val="center"/>
          </w:tcPr>
          <w:p>
            <w:pPr>
              <w:spacing w:line="320" w:lineRule="exact"/>
              <w:jc w:val="center"/>
              <w:rPr>
                <w:rFonts w:cs="仿宋_GB2312" w:asciiTheme="minorEastAsia" w:hAnsiTheme="minorEastAsia" w:eastAsiaTheme="minorEastAsia"/>
                <w:sz w:val="24"/>
              </w:rPr>
            </w:pPr>
          </w:p>
        </w:tc>
        <w:tc>
          <w:tcPr>
            <w:tcW w:w="1134" w:type="dxa"/>
            <w:gridSpan w:val="2"/>
            <w:shd w:val="clear" w:color="auto" w:fill="auto"/>
            <w:vAlign w:val="center"/>
          </w:tcPr>
          <w:p>
            <w:pPr>
              <w:spacing w:line="320" w:lineRule="exact"/>
              <w:jc w:val="center"/>
              <w:textAlignment w:val="bottom"/>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满意度指标</w:t>
            </w:r>
          </w:p>
        </w:tc>
        <w:tc>
          <w:tcPr>
            <w:tcW w:w="1275" w:type="dxa"/>
            <w:gridSpan w:val="2"/>
            <w:shd w:val="clear" w:color="auto" w:fill="auto"/>
            <w:vAlign w:val="center"/>
          </w:tcPr>
          <w:p>
            <w:pPr>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满意度指标</w:t>
            </w:r>
          </w:p>
        </w:tc>
        <w:tc>
          <w:tcPr>
            <w:tcW w:w="1701" w:type="dxa"/>
            <w:shd w:val="clear" w:color="auto" w:fill="auto"/>
            <w:vAlign w:val="center"/>
          </w:tcPr>
          <w:p>
            <w:pPr>
              <w:rPr>
                <w:rFonts w:ascii="宋体" w:hAnsi="宋体" w:cs="宋体"/>
                <w:color w:val="000000"/>
                <w:sz w:val="22"/>
                <w:szCs w:val="22"/>
              </w:rPr>
            </w:pPr>
            <w:r>
              <w:rPr>
                <w:rFonts w:hint="eastAsia"/>
                <w:color w:val="000000"/>
                <w:sz w:val="22"/>
                <w:szCs w:val="22"/>
              </w:rPr>
              <w:t>事业单位、主管部门满意度</w:t>
            </w:r>
          </w:p>
        </w:tc>
        <w:tc>
          <w:tcPr>
            <w:tcW w:w="2268" w:type="dxa"/>
            <w:gridSpan w:val="2"/>
            <w:shd w:val="clear" w:color="auto" w:fill="auto"/>
            <w:vAlign w:val="center"/>
          </w:tcPr>
          <w:p>
            <w:pPr>
              <w:rPr>
                <w:rFonts w:ascii="宋体" w:hAnsi="宋体" w:cs="宋体"/>
                <w:color w:val="000000"/>
                <w:sz w:val="22"/>
                <w:szCs w:val="22"/>
              </w:rPr>
            </w:pPr>
            <w:r>
              <w:rPr>
                <w:rFonts w:hint="eastAsia"/>
                <w:color w:val="000000"/>
                <w:sz w:val="22"/>
                <w:szCs w:val="22"/>
              </w:rPr>
              <w:t>≥100%</w:t>
            </w:r>
          </w:p>
        </w:tc>
        <w:tc>
          <w:tcPr>
            <w:tcW w:w="2096" w:type="dxa"/>
            <w:gridSpan w:val="2"/>
            <w:shd w:val="clear" w:color="auto" w:fill="auto"/>
            <w:vAlign w:val="center"/>
          </w:tcPr>
          <w:p>
            <w:pPr>
              <w:rPr>
                <w:rFonts w:ascii="宋体" w:hAnsi="宋体" w:cs="宋体"/>
                <w:color w:val="000000"/>
                <w:sz w:val="22"/>
                <w:szCs w:val="22"/>
              </w:rPr>
            </w:pPr>
            <w:r>
              <w:rPr>
                <w:rFonts w:hint="eastAsia"/>
                <w:color w:val="000000"/>
                <w:sz w:val="22"/>
                <w:szCs w:val="22"/>
              </w:rPr>
              <w:t>全面完成我市2021年事业单位公开考调、招聘工作，及时补充各级事业单位人员。</w:t>
            </w:r>
          </w:p>
        </w:tc>
      </w:tr>
    </w:tbl>
    <w:p>
      <w:pPr>
        <w:rPr>
          <w:rFonts w:hint="eastAsia" w:ascii="仿宋_GB2312" w:hAnsi="仿宋_GB2312" w:eastAsia="仿宋_GB2312" w:cs="仿宋_GB2312"/>
          <w:sz w:val="32"/>
          <w:szCs w:val="32"/>
        </w:rPr>
      </w:pPr>
    </w:p>
    <w:p>
      <w:pPr>
        <w:pStyle w:val="5"/>
        <w:spacing w:before="93"/>
      </w:pPr>
    </w:p>
    <w:p>
      <w:pPr>
        <w:rPr>
          <w:rFonts w:ascii="黑体" w:hAnsi="黑体" w:eastAsia="黑体"/>
          <w:sz w:val="44"/>
          <w:szCs w:val="44"/>
        </w:rPr>
      </w:pPr>
    </w:p>
    <w:p>
      <w:pPr>
        <w:pStyle w:val="5"/>
        <w:spacing w:before="93"/>
      </w:pPr>
    </w:p>
    <w:p>
      <w:pPr>
        <w:rPr>
          <w:rFonts w:ascii="黑体" w:hAnsi="黑体" w:eastAsia="黑体"/>
          <w:sz w:val="44"/>
          <w:szCs w:val="44"/>
        </w:rPr>
      </w:pPr>
      <w:r>
        <w:rPr>
          <w:rFonts w:hint="eastAsia" w:ascii="黑体" w:hAnsi="黑体" w:eastAsia="黑体"/>
          <w:sz w:val="44"/>
          <w:szCs w:val="44"/>
        </w:rPr>
        <w:br w:type="page"/>
      </w:r>
    </w:p>
    <w:p>
      <w:pPr>
        <w:spacing w:line="600" w:lineRule="exact"/>
        <w:jc w:val="center"/>
        <w:outlineLvl w:val="0"/>
        <w:rPr>
          <w:rFonts w:ascii="仿宋" w:hAnsi="仿宋" w:eastAsia="仿宋"/>
        </w:rPr>
      </w:pPr>
      <w:bookmarkStart w:id="122" w:name="_Toc1179"/>
      <w:bookmarkStart w:id="123" w:name="_Toc7483"/>
      <w:r>
        <w:rPr>
          <w:rFonts w:hint="eastAsia" w:ascii="黑体" w:hAnsi="黑体" w:eastAsia="黑体"/>
          <w:sz w:val="44"/>
          <w:szCs w:val="44"/>
        </w:rPr>
        <w:t>第</w:t>
      </w:r>
      <w:r>
        <w:rPr>
          <w:rStyle w:val="28"/>
          <w:rFonts w:hint="eastAsia" w:ascii="黑体" w:hAnsi="黑体" w:eastAsia="黑体"/>
          <w:b w:val="0"/>
        </w:rPr>
        <w:t>五部分 附表</w:t>
      </w:r>
      <w:bookmarkEnd w:id="77"/>
      <w:bookmarkEnd w:id="81"/>
      <w:bookmarkEnd w:id="122"/>
      <w:bookmarkEnd w:id="123"/>
      <w:bookmarkStart w:id="124" w:name="_Toc15396619"/>
    </w:p>
    <w:p>
      <w:pPr>
        <w:pStyle w:val="3"/>
        <w:rPr>
          <w:rFonts w:hint="eastAsia" w:ascii="黑体" w:hAnsi="黑体" w:eastAsia="黑体" w:cs="黑体"/>
        </w:rPr>
      </w:pPr>
      <w:bookmarkStart w:id="125" w:name="_Toc23189"/>
      <w:r>
        <w:rPr>
          <w:rFonts w:hint="eastAsia" w:ascii="黑体" w:hAnsi="黑体" w:eastAsia="黑体" w:cs="黑体"/>
          <w:b w:val="0"/>
        </w:rPr>
        <w:t>一、收</w:t>
      </w:r>
      <w:r>
        <w:rPr>
          <w:rStyle w:val="29"/>
          <w:rFonts w:hint="eastAsia" w:ascii="黑体" w:hAnsi="黑体" w:eastAsia="黑体" w:cs="黑体"/>
          <w:b w:val="0"/>
          <w:bCs w:val="0"/>
        </w:rPr>
        <w:t>入支出决算总表</w:t>
      </w:r>
      <w:bookmarkEnd w:id="124"/>
      <w:bookmarkEnd w:id="125"/>
    </w:p>
    <w:p>
      <w:pPr>
        <w:pStyle w:val="3"/>
        <w:rPr>
          <w:rFonts w:hint="eastAsia" w:ascii="黑体" w:hAnsi="黑体" w:eastAsia="黑体" w:cs="黑体"/>
        </w:rPr>
      </w:pPr>
      <w:bookmarkStart w:id="126" w:name="_Toc22141"/>
      <w:bookmarkStart w:id="127" w:name="_Toc15396620"/>
      <w:r>
        <w:rPr>
          <w:rFonts w:hint="eastAsia" w:ascii="黑体" w:hAnsi="黑体" w:eastAsia="黑体" w:cs="黑体"/>
          <w:b w:val="0"/>
        </w:rPr>
        <w:t>二、收</w:t>
      </w:r>
      <w:r>
        <w:rPr>
          <w:rStyle w:val="29"/>
          <w:rFonts w:hint="eastAsia" w:ascii="黑体" w:hAnsi="黑体" w:eastAsia="黑体" w:cs="黑体"/>
          <w:b w:val="0"/>
          <w:bCs w:val="0"/>
        </w:rPr>
        <w:t>入决算表</w:t>
      </w:r>
      <w:bookmarkEnd w:id="126"/>
      <w:bookmarkEnd w:id="127"/>
    </w:p>
    <w:p>
      <w:pPr>
        <w:pStyle w:val="3"/>
        <w:rPr>
          <w:rFonts w:hint="eastAsia" w:ascii="黑体" w:hAnsi="黑体" w:eastAsia="黑体" w:cs="黑体"/>
        </w:rPr>
      </w:pPr>
      <w:bookmarkStart w:id="128" w:name="_Toc14607"/>
      <w:bookmarkStart w:id="129" w:name="_Toc15396621"/>
      <w:r>
        <w:rPr>
          <w:rStyle w:val="29"/>
          <w:rFonts w:hint="eastAsia" w:ascii="黑体" w:hAnsi="黑体" w:eastAsia="黑体" w:cs="黑体"/>
          <w:b w:val="0"/>
          <w:bCs w:val="0"/>
        </w:rPr>
        <w:t>三、</w:t>
      </w:r>
      <w:r>
        <w:rPr>
          <w:rFonts w:hint="eastAsia" w:ascii="黑体" w:hAnsi="黑体" w:eastAsia="黑体" w:cs="黑体"/>
          <w:b w:val="0"/>
        </w:rPr>
        <w:t>支</w:t>
      </w:r>
      <w:r>
        <w:rPr>
          <w:rStyle w:val="29"/>
          <w:rFonts w:hint="eastAsia" w:ascii="黑体" w:hAnsi="黑体" w:eastAsia="黑体" w:cs="黑体"/>
          <w:b w:val="0"/>
          <w:bCs w:val="0"/>
        </w:rPr>
        <w:t>出决算表</w:t>
      </w:r>
      <w:bookmarkEnd w:id="128"/>
      <w:bookmarkEnd w:id="129"/>
    </w:p>
    <w:p>
      <w:pPr>
        <w:pStyle w:val="3"/>
        <w:rPr>
          <w:rFonts w:hint="eastAsia" w:ascii="黑体" w:hAnsi="黑体" w:eastAsia="黑体" w:cs="黑体"/>
          <w:b w:val="0"/>
        </w:rPr>
      </w:pPr>
      <w:bookmarkStart w:id="130" w:name="_Toc30694"/>
      <w:bookmarkStart w:id="131" w:name="_Toc15396622"/>
      <w:r>
        <w:rPr>
          <w:rStyle w:val="29"/>
          <w:rFonts w:hint="eastAsia" w:ascii="黑体" w:hAnsi="黑体" w:eastAsia="黑体" w:cs="黑体"/>
          <w:b w:val="0"/>
          <w:bCs w:val="0"/>
        </w:rPr>
        <w:t>四、</w:t>
      </w:r>
      <w:r>
        <w:rPr>
          <w:rFonts w:hint="eastAsia" w:ascii="黑体" w:hAnsi="黑体" w:eastAsia="黑体" w:cs="黑体"/>
          <w:b w:val="0"/>
        </w:rPr>
        <w:t>财</w:t>
      </w:r>
      <w:r>
        <w:rPr>
          <w:rStyle w:val="29"/>
          <w:rFonts w:hint="eastAsia" w:ascii="黑体" w:hAnsi="黑体" w:eastAsia="黑体" w:cs="黑体"/>
          <w:b w:val="0"/>
          <w:bCs w:val="0"/>
        </w:rPr>
        <w:t>政拨款收入支出决算总表</w:t>
      </w:r>
      <w:bookmarkEnd w:id="130"/>
      <w:bookmarkEnd w:id="131"/>
    </w:p>
    <w:p>
      <w:pPr>
        <w:pStyle w:val="3"/>
        <w:rPr>
          <w:rStyle w:val="29"/>
          <w:rFonts w:hint="eastAsia" w:ascii="黑体" w:hAnsi="黑体" w:eastAsia="黑体" w:cs="黑体"/>
          <w:b w:val="0"/>
          <w:bCs w:val="0"/>
        </w:rPr>
      </w:pPr>
      <w:bookmarkStart w:id="132" w:name="_Toc2922"/>
      <w:bookmarkStart w:id="133" w:name="_Toc15396623"/>
      <w:r>
        <w:rPr>
          <w:rStyle w:val="29"/>
          <w:rFonts w:hint="eastAsia" w:ascii="黑体" w:hAnsi="黑体" w:eastAsia="黑体" w:cs="黑体"/>
          <w:b w:val="0"/>
          <w:bCs w:val="0"/>
        </w:rPr>
        <w:t>五、</w:t>
      </w:r>
      <w:r>
        <w:rPr>
          <w:rFonts w:hint="eastAsia" w:ascii="黑体" w:hAnsi="黑体" w:eastAsia="黑体" w:cs="黑体"/>
          <w:b w:val="0"/>
        </w:rPr>
        <w:t>财</w:t>
      </w:r>
      <w:r>
        <w:rPr>
          <w:rStyle w:val="29"/>
          <w:rFonts w:hint="eastAsia" w:ascii="黑体" w:hAnsi="黑体" w:eastAsia="黑体" w:cs="黑体"/>
          <w:b w:val="0"/>
          <w:bCs w:val="0"/>
        </w:rPr>
        <w:t>政拨款支出决算明细表</w:t>
      </w:r>
      <w:bookmarkEnd w:id="132"/>
      <w:bookmarkEnd w:id="133"/>
      <w:bookmarkStart w:id="134" w:name="_Toc15396624"/>
    </w:p>
    <w:p>
      <w:pPr>
        <w:pStyle w:val="3"/>
        <w:rPr>
          <w:rFonts w:hint="eastAsia" w:ascii="黑体" w:hAnsi="黑体" w:eastAsia="黑体" w:cs="黑体"/>
        </w:rPr>
      </w:pPr>
      <w:bookmarkStart w:id="135" w:name="_Toc5558"/>
      <w:r>
        <w:rPr>
          <w:rStyle w:val="29"/>
          <w:rFonts w:hint="eastAsia" w:ascii="黑体" w:hAnsi="黑体" w:eastAsia="黑体" w:cs="黑体"/>
          <w:b w:val="0"/>
          <w:bCs w:val="0"/>
        </w:rPr>
        <w:t>六、</w:t>
      </w:r>
      <w:r>
        <w:rPr>
          <w:rFonts w:hint="eastAsia" w:ascii="黑体" w:hAnsi="黑体" w:eastAsia="黑体" w:cs="黑体"/>
          <w:b w:val="0"/>
        </w:rPr>
        <w:t>一</w:t>
      </w:r>
      <w:r>
        <w:rPr>
          <w:rStyle w:val="29"/>
          <w:rFonts w:hint="eastAsia" w:ascii="黑体" w:hAnsi="黑体" w:eastAsia="黑体" w:cs="黑体"/>
          <w:b w:val="0"/>
          <w:bCs w:val="0"/>
        </w:rPr>
        <w:t>般公共预算财政拨款支出决算表</w:t>
      </w:r>
      <w:bookmarkEnd w:id="134"/>
      <w:bookmarkEnd w:id="135"/>
    </w:p>
    <w:p>
      <w:pPr>
        <w:pStyle w:val="3"/>
        <w:rPr>
          <w:rFonts w:hint="eastAsia" w:ascii="黑体" w:hAnsi="黑体" w:eastAsia="黑体" w:cs="黑体"/>
        </w:rPr>
      </w:pPr>
      <w:bookmarkStart w:id="136" w:name="_Toc15396625"/>
      <w:bookmarkStart w:id="137" w:name="_Toc18813"/>
      <w:r>
        <w:rPr>
          <w:rStyle w:val="29"/>
          <w:rFonts w:hint="eastAsia" w:ascii="黑体" w:hAnsi="黑体" w:eastAsia="黑体" w:cs="黑体"/>
          <w:b w:val="0"/>
          <w:bCs w:val="0"/>
        </w:rPr>
        <w:t>七、</w:t>
      </w:r>
      <w:r>
        <w:rPr>
          <w:rFonts w:hint="eastAsia" w:ascii="黑体" w:hAnsi="黑体" w:eastAsia="黑体" w:cs="黑体"/>
          <w:b w:val="0"/>
        </w:rPr>
        <w:t>一</w:t>
      </w:r>
      <w:r>
        <w:rPr>
          <w:rStyle w:val="29"/>
          <w:rFonts w:hint="eastAsia" w:ascii="黑体" w:hAnsi="黑体" w:eastAsia="黑体" w:cs="黑体"/>
          <w:b w:val="0"/>
          <w:bCs w:val="0"/>
        </w:rPr>
        <w:t>般公共预算财政拨款支出决算明细表</w:t>
      </w:r>
      <w:bookmarkEnd w:id="136"/>
      <w:bookmarkEnd w:id="137"/>
    </w:p>
    <w:p>
      <w:pPr>
        <w:pStyle w:val="3"/>
        <w:rPr>
          <w:rFonts w:hint="eastAsia" w:ascii="黑体" w:hAnsi="黑体" w:eastAsia="黑体" w:cs="黑体"/>
        </w:rPr>
      </w:pPr>
      <w:bookmarkStart w:id="138" w:name="_Toc4756"/>
      <w:bookmarkStart w:id="139" w:name="_Toc15396626"/>
      <w:r>
        <w:rPr>
          <w:rStyle w:val="29"/>
          <w:rFonts w:hint="eastAsia" w:ascii="黑体" w:hAnsi="黑体" w:eastAsia="黑体" w:cs="黑体"/>
          <w:b w:val="0"/>
          <w:bCs w:val="0"/>
        </w:rPr>
        <w:t>八、</w:t>
      </w:r>
      <w:r>
        <w:rPr>
          <w:rFonts w:hint="eastAsia" w:ascii="黑体" w:hAnsi="黑体" w:eastAsia="黑体" w:cs="黑体"/>
          <w:b w:val="0"/>
        </w:rPr>
        <w:t>一</w:t>
      </w:r>
      <w:r>
        <w:rPr>
          <w:rStyle w:val="29"/>
          <w:rFonts w:hint="eastAsia" w:ascii="黑体" w:hAnsi="黑体" w:eastAsia="黑体" w:cs="黑体"/>
          <w:b w:val="0"/>
          <w:bCs w:val="0"/>
        </w:rPr>
        <w:t>般公共预算财政拨款基本支出决算表</w:t>
      </w:r>
      <w:bookmarkEnd w:id="138"/>
      <w:bookmarkEnd w:id="139"/>
    </w:p>
    <w:p>
      <w:pPr>
        <w:pStyle w:val="3"/>
        <w:rPr>
          <w:rFonts w:hint="eastAsia" w:ascii="黑体" w:hAnsi="黑体" w:eastAsia="黑体" w:cs="黑体"/>
        </w:rPr>
      </w:pPr>
      <w:bookmarkStart w:id="140" w:name="_Toc15396627"/>
      <w:bookmarkStart w:id="141" w:name="_Toc13500"/>
      <w:r>
        <w:rPr>
          <w:rStyle w:val="29"/>
          <w:rFonts w:hint="eastAsia" w:ascii="黑体" w:hAnsi="黑体" w:eastAsia="黑体" w:cs="黑体"/>
          <w:b w:val="0"/>
          <w:bCs w:val="0"/>
        </w:rPr>
        <w:t>九、</w:t>
      </w:r>
      <w:r>
        <w:rPr>
          <w:rFonts w:hint="eastAsia" w:ascii="黑体" w:hAnsi="黑体" w:eastAsia="黑体" w:cs="黑体"/>
          <w:b w:val="0"/>
        </w:rPr>
        <w:t>一</w:t>
      </w:r>
      <w:r>
        <w:rPr>
          <w:rStyle w:val="29"/>
          <w:rFonts w:hint="eastAsia" w:ascii="黑体" w:hAnsi="黑体" w:eastAsia="黑体" w:cs="黑体"/>
          <w:b w:val="0"/>
          <w:bCs w:val="0"/>
        </w:rPr>
        <w:t>般公共预算财政拨款项目支出决算表</w:t>
      </w:r>
      <w:bookmarkEnd w:id="140"/>
      <w:bookmarkEnd w:id="141"/>
    </w:p>
    <w:p>
      <w:pPr>
        <w:pStyle w:val="3"/>
        <w:rPr>
          <w:rFonts w:hint="eastAsia" w:ascii="黑体" w:hAnsi="黑体" w:eastAsia="黑体" w:cs="黑体"/>
        </w:rPr>
      </w:pPr>
      <w:bookmarkStart w:id="142" w:name="_Toc15396628"/>
      <w:bookmarkStart w:id="143" w:name="_Toc5607"/>
      <w:r>
        <w:rPr>
          <w:rStyle w:val="29"/>
          <w:rFonts w:hint="eastAsia" w:ascii="黑体" w:hAnsi="黑体" w:eastAsia="黑体" w:cs="黑体"/>
          <w:b w:val="0"/>
          <w:bCs w:val="0"/>
        </w:rPr>
        <w:t>十、</w:t>
      </w:r>
      <w:r>
        <w:rPr>
          <w:rFonts w:hint="eastAsia" w:ascii="黑体" w:hAnsi="黑体" w:eastAsia="黑体" w:cs="黑体"/>
          <w:b w:val="0"/>
        </w:rPr>
        <w:t>一</w:t>
      </w:r>
      <w:r>
        <w:rPr>
          <w:rStyle w:val="29"/>
          <w:rFonts w:hint="eastAsia" w:ascii="黑体" w:hAnsi="黑体" w:eastAsia="黑体" w:cs="黑体"/>
          <w:b w:val="0"/>
          <w:bCs w:val="0"/>
        </w:rPr>
        <w:t>般公共预算财政拨款“三公”经费支出决算表</w:t>
      </w:r>
      <w:bookmarkEnd w:id="142"/>
      <w:bookmarkEnd w:id="143"/>
    </w:p>
    <w:p>
      <w:pPr>
        <w:pStyle w:val="3"/>
        <w:rPr>
          <w:rFonts w:hint="eastAsia" w:ascii="黑体" w:hAnsi="黑体" w:eastAsia="黑体" w:cs="黑体"/>
        </w:rPr>
      </w:pPr>
      <w:bookmarkStart w:id="144" w:name="_Toc15396629"/>
      <w:bookmarkStart w:id="145" w:name="_Toc7089"/>
      <w:r>
        <w:rPr>
          <w:rStyle w:val="29"/>
          <w:rFonts w:hint="eastAsia" w:ascii="黑体" w:hAnsi="黑体" w:eastAsia="黑体" w:cs="黑体"/>
          <w:b w:val="0"/>
          <w:bCs w:val="0"/>
        </w:rPr>
        <w:t>十一、</w:t>
      </w:r>
      <w:r>
        <w:rPr>
          <w:rFonts w:hint="eastAsia" w:ascii="黑体" w:hAnsi="黑体" w:eastAsia="黑体" w:cs="黑体"/>
          <w:b w:val="0"/>
        </w:rPr>
        <w:t>政</w:t>
      </w:r>
      <w:r>
        <w:rPr>
          <w:rStyle w:val="29"/>
          <w:rFonts w:hint="eastAsia" w:ascii="黑体" w:hAnsi="黑体" w:eastAsia="黑体" w:cs="黑体"/>
          <w:b w:val="0"/>
          <w:bCs w:val="0"/>
        </w:rPr>
        <w:t>府性基金预算财政拨款收入支出决算表</w:t>
      </w:r>
      <w:bookmarkEnd w:id="144"/>
      <w:bookmarkEnd w:id="145"/>
    </w:p>
    <w:p>
      <w:pPr>
        <w:pStyle w:val="3"/>
        <w:rPr>
          <w:rFonts w:hint="eastAsia" w:ascii="黑体" w:hAnsi="黑体" w:eastAsia="黑体" w:cs="黑体"/>
        </w:rPr>
      </w:pPr>
      <w:bookmarkStart w:id="146" w:name="_Toc19942"/>
      <w:bookmarkStart w:id="147" w:name="_Toc15396630"/>
      <w:r>
        <w:rPr>
          <w:rStyle w:val="29"/>
          <w:rFonts w:hint="eastAsia" w:ascii="黑体" w:hAnsi="黑体" w:eastAsia="黑体" w:cs="黑体"/>
          <w:b w:val="0"/>
          <w:bCs w:val="0"/>
        </w:rPr>
        <w:t>十二、</w:t>
      </w:r>
      <w:r>
        <w:rPr>
          <w:rFonts w:hint="eastAsia" w:ascii="黑体" w:hAnsi="黑体" w:eastAsia="黑体" w:cs="黑体"/>
          <w:b w:val="0"/>
        </w:rPr>
        <w:t>政</w:t>
      </w:r>
      <w:r>
        <w:rPr>
          <w:rStyle w:val="29"/>
          <w:rFonts w:hint="eastAsia" w:ascii="黑体" w:hAnsi="黑体" w:eastAsia="黑体" w:cs="黑体"/>
          <w:b w:val="0"/>
          <w:bCs w:val="0"/>
        </w:rPr>
        <w:t>府性基金预算财政拨款“三公”经费支出决算表</w:t>
      </w:r>
      <w:bookmarkEnd w:id="146"/>
      <w:bookmarkEnd w:id="147"/>
    </w:p>
    <w:p>
      <w:pPr>
        <w:pStyle w:val="3"/>
        <w:rPr>
          <w:rStyle w:val="29"/>
          <w:rFonts w:hint="eastAsia" w:ascii="黑体" w:hAnsi="黑体" w:eastAsia="黑体" w:cs="黑体"/>
          <w:b w:val="0"/>
          <w:bCs w:val="0"/>
        </w:rPr>
      </w:pPr>
      <w:bookmarkStart w:id="148" w:name="_Toc28218"/>
      <w:bookmarkStart w:id="149" w:name="_Toc15396631"/>
      <w:r>
        <w:rPr>
          <w:rStyle w:val="29"/>
          <w:rFonts w:hint="eastAsia" w:ascii="黑体" w:hAnsi="黑体" w:eastAsia="黑体" w:cs="黑体"/>
          <w:b w:val="0"/>
          <w:bCs w:val="0"/>
        </w:rPr>
        <w:t>十三、</w:t>
      </w:r>
      <w:r>
        <w:rPr>
          <w:rFonts w:hint="eastAsia" w:ascii="黑体" w:hAnsi="黑体" w:eastAsia="黑体" w:cs="黑体"/>
          <w:b w:val="0"/>
        </w:rPr>
        <w:t>国</w:t>
      </w:r>
      <w:r>
        <w:rPr>
          <w:rStyle w:val="29"/>
          <w:rFonts w:hint="eastAsia" w:ascii="黑体" w:hAnsi="黑体" w:eastAsia="黑体" w:cs="黑体"/>
          <w:b w:val="0"/>
          <w:bCs w:val="0"/>
        </w:rPr>
        <w:t>有资本经营预算财政拨款收入支出决算表</w:t>
      </w:r>
      <w:bookmarkEnd w:id="148"/>
      <w:bookmarkEnd w:id="149"/>
    </w:p>
    <w:p>
      <w:pPr>
        <w:rPr>
          <w:rFonts w:hint="eastAsia" w:ascii="黑体" w:hAnsi="黑体" w:eastAsia="黑体" w:cs="黑体"/>
        </w:rPr>
      </w:pPr>
      <w:bookmarkStart w:id="150" w:name="_Toc9048"/>
      <w:r>
        <w:rPr>
          <w:rStyle w:val="29"/>
          <w:rFonts w:hint="eastAsia" w:ascii="黑体" w:hAnsi="黑体" w:eastAsia="黑体" w:cs="黑体"/>
          <w:b w:val="0"/>
          <w:bCs w:val="0"/>
        </w:rPr>
        <w:t>十四、国有资本经营预算财政拨款支出决算表</w:t>
      </w:r>
      <w:bookmarkEnd w:id="150"/>
    </w:p>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Arial"/>
    <w:panose1 w:val="02010609030101010101"/>
    <w:charset w:val="86"/>
    <w:family w:val="modern"/>
    <w:pitch w:val="default"/>
    <w:sig w:usb0="00000000" w:usb1="00000000" w:usb2="00000000" w:usb3="00000000" w:csb0="00040000" w:csb1="00000000"/>
  </w:font>
  <w:font w:name="仿宋">
    <w:altName w:val="Arial"/>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w:panose1 w:val="03000509000000000000"/>
    <w:charset w:val="86"/>
    <w:family w:val="script"/>
    <w:pitch w:val="default"/>
    <w:sig w:usb0="00000000" w:usb1="00000000" w:usb2="00000000" w:usb3="00000000" w:csb0="00040000" w:csb1="00000000"/>
  </w:font>
  <w:font w:name="楷体_GB2312">
    <w:altName w:val="汉仪楷体KW"/>
    <w:panose1 w:val="00000000000000000000"/>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黑体_GBK">
    <w:altName w:val="汉仪中黑KW"/>
    <w:panose1 w:val="00000000000000000000"/>
    <w:charset w:val="86"/>
    <w:family w:val="auto"/>
    <w:pitch w:val="default"/>
    <w:sig w:usb0="00000000" w:usb1="00000000" w:usb2="00000000" w:usb3="00000000" w:csb0="00040000" w:csb1="00000000"/>
  </w:font>
  <w:font w:name="方正仿宋简体">
    <w:altName w:val="Arial"/>
    <w:panose1 w:val="02010601030101010101"/>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方正仿宋_GBK">
    <w:altName w:val="Arial"/>
    <w:panose1 w:val="00000000000000000000"/>
    <w:charset w:val="00"/>
    <w:family w:val="auto"/>
    <w:pitch w:val="default"/>
    <w:sig w:usb0="00000000" w:usb1="00000000" w:usb2="00000000" w:usb3="00000000" w:csb0="00000000" w:csb1="00000000"/>
  </w:font>
  <w:font w:name="方正小标宋_GBK">
    <w:altName w:val="Arial"/>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sz w:val="18"/>
      </w:rPr>
      <w:pict>
        <v:shape id="_x0000_s2053" o:spid="_x0000_s205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sdt>
                <w:sdtPr>
                  <w:id w:val="417081237"/>
                  <w:docPartObj>
                    <w:docPartGallery w:val="autotext"/>
                  </w:docPartObj>
                </w:sdtPr>
                <w:sdtContent>
                  <w:p>
                    <w:pPr>
                      <w:pStyle w:val="9"/>
                      <w:jc w:val="center"/>
                    </w:pPr>
                    <w:r>
                      <w:fldChar w:fldCharType="begin"/>
                    </w:r>
                    <w:r>
                      <w:instrText xml:space="preserve"> PAGE   \* MERGEFORMAT </w:instrText>
                    </w:r>
                    <w:r>
                      <w:fldChar w:fldCharType="separate"/>
                    </w:r>
                    <w:r>
                      <w:rPr>
                        <w:lang w:val="zh-CN"/>
                      </w:rPr>
                      <w:t>6</w:t>
                    </w:r>
                    <w:r>
                      <w:rPr>
                        <w:lang w:val="zh-CN"/>
                      </w:rPr>
                      <w:fldChar w:fldCharType="end"/>
                    </w:r>
                  </w:p>
                </w:sdtContent>
              </w:sdt>
              <w:p/>
            </w:txbxContent>
          </v:textbox>
        </v:shape>
      </w:pic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54" o:spid="_x0000_s2054"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E63AE855"/>
    <w:multiLevelType w:val="singleLevel"/>
    <w:tmpl w:val="E63AE855"/>
    <w:lvl w:ilvl="0" w:tentative="0">
      <w:start w:val="2"/>
      <w:numFmt w:val="chineseCounting"/>
      <w:suff w:val="nothing"/>
      <w:lvlText w:val="（%1）"/>
      <w:lvlJc w:val="left"/>
      <w:rPr>
        <w:rFonts w:hint="eastAsia"/>
      </w:rPr>
    </w:lvl>
  </w:abstractNum>
  <w:abstractNum w:abstractNumId="3">
    <w:nsid w:val="E75DB0F4"/>
    <w:multiLevelType w:val="singleLevel"/>
    <w:tmpl w:val="E75DB0F4"/>
    <w:lvl w:ilvl="0" w:tentative="0">
      <w:start w:val="2"/>
      <w:numFmt w:val="chineseCounting"/>
      <w:suff w:val="nothing"/>
      <w:lvlText w:val="（%1）"/>
      <w:lvlJc w:val="left"/>
      <w:rPr>
        <w:rFonts w:hint="eastAsia"/>
      </w:rPr>
    </w:lvl>
  </w:abstractNum>
  <w:abstractNum w:abstractNumId="4">
    <w:nsid w:val="FF5AAFA1"/>
    <w:multiLevelType w:val="singleLevel"/>
    <w:tmpl w:val="FF5AAFA1"/>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3B9A1C0"/>
    <w:multiLevelType w:val="singleLevel"/>
    <w:tmpl w:val="23B9A1C0"/>
    <w:lvl w:ilvl="0" w:tentative="0">
      <w:start w:val="1"/>
      <w:numFmt w:val="chineseCounting"/>
      <w:suff w:val="nothing"/>
      <w:lvlText w:val="%1、"/>
      <w:lvlJc w:val="left"/>
      <w:rPr>
        <w:rFonts w:hint="eastAsia"/>
      </w:rPr>
    </w:lvl>
  </w:abstractNum>
  <w:abstractNum w:abstractNumId="7">
    <w:nsid w:val="25CF72BA"/>
    <w:multiLevelType w:val="singleLevel"/>
    <w:tmpl w:val="25CF72BA"/>
    <w:lvl w:ilvl="0" w:tentative="0">
      <w:start w:val="2"/>
      <w:numFmt w:val="chineseCounting"/>
      <w:suff w:val="nothing"/>
      <w:lvlText w:val="（%1）"/>
      <w:lvlJc w:val="left"/>
      <w:rPr>
        <w:rFonts w:hint="eastAsia"/>
      </w:rPr>
    </w:lvl>
  </w:abstractNum>
  <w:num w:numId="1">
    <w:abstractNumId w:val="6"/>
  </w:num>
  <w:num w:numId="2">
    <w:abstractNumId w:val="5"/>
  </w:num>
  <w:num w:numId="3">
    <w:abstractNumId w:val="0"/>
  </w:num>
  <w:num w:numId="4">
    <w:abstractNumId w:val="1"/>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ZjODE3Y2RjYmYxOTA5MjMwNGM5NjQ4OTIyZjY2ZmIifQ=="/>
  </w:docVars>
  <w:rsids>
    <w:rsidRoot w:val="00F1361C"/>
    <w:rsid w:val="000222C6"/>
    <w:rsid w:val="0002549F"/>
    <w:rsid w:val="000468DB"/>
    <w:rsid w:val="0006487A"/>
    <w:rsid w:val="00065F8F"/>
    <w:rsid w:val="00070A43"/>
    <w:rsid w:val="00070EFA"/>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5E57"/>
    <w:rsid w:val="001123D3"/>
    <w:rsid w:val="00114E9B"/>
    <w:rsid w:val="00142216"/>
    <w:rsid w:val="00144D6A"/>
    <w:rsid w:val="0014729F"/>
    <w:rsid w:val="00157BAB"/>
    <w:rsid w:val="001639DC"/>
    <w:rsid w:val="001654D1"/>
    <w:rsid w:val="00174518"/>
    <w:rsid w:val="0018106D"/>
    <w:rsid w:val="001877A7"/>
    <w:rsid w:val="00191536"/>
    <w:rsid w:val="00196687"/>
    <w:rsid w:val="001A622D"/>
    <w:rsid w:val="001C0962"/>
    <w:rsid w:val="001D7531"/>
    <w:rsid w:val="001E737D"/>
    <w:rsid w:val="001F0592"/>
    <w:rsid w:val="001F7506"/>
    <w:rsid w:val="002006CD"/>
    <w:rsid w:val="00202561"/>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5B81"/>
    <w:rsid w:val="002D6D05"/>
    <w:rsid w:val="002F1818"/>
    <w:rsid w:val="002F567B"/>
    <w:rsid w:val="00303F39"/>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5E4C"/>
    <w:rsid w:val="005664BB"/>
    <w:rsid w:val="00566FFA"/>
    <w:rsid w:val="0057481D"/>
    <w:rsid w:val="0058486E"/>
    <w:rsid w:val="00585B33"/>
    <w:rsid w:val="0059014D"/>
    <w:rsid w:val="005B2EC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5FFF"/>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25141"/>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197C"/>
    <w:rsid w:val="00C42709"/>
    <w:rsid w:val="00C533CC"/>
    <w:rsid w:val="00C5751C"/>
    <w:rsid w:val="00C61BFC"/>
    <w:rsid w:val="00C62B85"/>
    <w:rsid w:val="00C65438"/>
    <w:rsid w:val="00C87FD8"/>
    <w:rsid w:val="00C91381"/>
    <w:rsid w:val="00C91CBB"/>
    <w:rsid w:val="00CA613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5A37"/>
    <w:rsid w:val="00E07ACF"/>
    <w:rsid w:val="00E331A1"/>
    <w:rsid w:val="00E33202"/>
    <w:rsid w:val="00E336A9"/>
    <w:rsid w:val="00E429D7"/>
    <w:rsid w:val="00E472B1"/>
    <w:rsid w:val="00E50624"/>
    <w:rsid w:val="00E568DF"/>
    <w:rsid w:val="00E64269"/>
    <w:rsid w:val="00E82267"/>
    <w:rsid w:val="00E853CE"/>
    <w:rsid w:val="00E867B6"/>
    <w:rsid w:val="00E9125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2B25"/>
    <w:rsid w:val="00F97B62"/>
    <w:rsid w:val="00FA23E8"/>
    <w:rsid w:val="00FD3CC1"/>
    <w:rsid w:val="00FF1E02"/>
    <w:rsid w:val="00FF30B4"/>
    <w:rsid w:val="01675347"/>
    <w:rsid w:val="017165B7"/>
    <w:rsid w:val="01A73D87"/>
    <w:rsid w:val="01D376F7"/>
    <w:rsid w:val="01EF13BD"/>
    <w:rsid w:val="01FB40D3"/>
    <w:rsid w:val="020B72F5"/>
    <w:rsid w:val="02E80AFB"/>
    <w:rsid w:val="031968B6"/>
    <w:rsid w:val="038A6875"/>
    <w:rsid w:val="03BE185C"/>
    <w:rsid w:val="042756B3"/>
    <w:rsid w:val="049F54B6"/>
    <w:rsid w:val="04A46CA4"/>
    <w:rsid w:val="051C2AE0"/>
    <w:rsid w:val="053A36EE"/>
    <w:rsid w:val="056F72B2"/>
    <w:rsid w:val="05C70E9C"/>
    <w:rsid w:val="06017ED3"/>
    <w:rsid w:val="064B0B9D"/>
    <w:rsid w:val="067D155B"/>
    <w:rsid w:val="06EA3F9F"/>
    <w:rsid w:val="071A3E11"/>
    <w:rsid w:val="076A0618"/>
    <w:rsid w:val="07DD160C"/>
    <w:rsid w:val="08B82D1E"/>
    <w:rsid w:val="09CE7B0B"/>
    <w:rsid w:val="09F0637B"/>
    <w:rsid w:val="0A14667A"/>
    <w:rsid w:val="0A2032A3"/>
    <w:rsid w:val="0A20501F"/>
    <w:rsid w:val="0A2106A1"/>
    <w:rsid w:val="0AA01CBB"/>
    <w:rsid w:val="0B095AB3"/>
    <w:rsid w:val="0B1E5E53"/>
    <w:rsid w:val="0B29066A"/>
    <w:rsid w:val="0B3C196A"/>
    <w:rsid w:val="0B8619D2"/>
    <w:rsid w:val="0B8A37D8"/>
    <w:rsid w:val="0BA23811"/>
    <w:rsid w:val="0C3152C1"/>
    <w:rsid w:val="0C566AD6"/>
    <w:rsid w:val="0D0C4D99"/>
    <w:rsid w:val="0D1269F1"/>
    <w:rsid w:val="0D2D5E3B"/>
    <w:rsid w:val="0D757D3F"/>
    <w:rsid w:val="0DCF4D92"/>
    <w:rsid w:val="0E9F2380"/>
    <w:rsid w:val="0F041C0C"/>
    <w:rsid w:val="0F1F4EFA"/>
    <w:rsid w:val="0F334EAC"/>
    <w:rsid w:val="105E051F"/>
    <w:rsid w:val="10971ED4"/>
    <w:rsid w:val="109776BD"/>
    <w:rsid w:val="10C055FF"/>
    <w:rsid w:val="10D03BA9"/>
    <w:rsid w:val="10D80401"/>
    <w:rsid w:val="10F42D61"/>
    <w:rsid w:val="11037784"/>
    <w:rsid w:val="118107EC"/>
    <w:rsid w:val="11DB2F79"/>
    <w:rsid w:val="11DD6519"/>
    <w:rsid w:val="11FF65C0"/>
    <w:rsid w:val="12241424"/>
    <w:rsid w:val="12331667"/>
    <w:rsid w:val="1283614B"/>
    <w:rsid w:val="135E74BD"/>
    <w:rsid w:val="13B642FE"/>
    <w:rsid w:val="13EB044B"/>
    <w:rsid w:val="144679D1"/>
    <w:rsid w:val="14867759"/>
    <w:rsid w:val="15543DCE"/>
    <w:rsid w:val="1574621E"/>
    <w:rsid w:val="15FF1F8C"/>
    <w:rsid w:val="16902346"/>
    <w:rsid w:val="16BB723D"/>
    <w:rsid w:val="172C1315"/>
    <w:rsid w:val="17CF598E"/>
    <w:rsid w:val="18015F3F"/>
    <w:rsid w:val="184F2709"/>
    <w:rsid w:val="18794E5C"/>
    <w:rsid w:val="18C33802"/>
    <w:rsid w:val="19722A75"/>
    <w:rsid w:val="19DB686C"/>
    <w:rsid w:val="19DC4392"/>
    <w:rsid w:val="1A02228D"/>
    <w:rsid w:val="1A7E4486"/>
    <w:rsid w:val="1A7E62A7"/>
    <w:rsid w:val="1AB31597"/>
    <w:rsid w:val="1ABF7F3C"/>
    <w:rsid w:val="1B551411"/>
    <w:rsid w:val="1B6151AA"/>
    <w:rsid w:val="1B943177"/>
    <w:rsid w:val="1BE8440E"/>
    <w:rsid w:val="1C0057C6"/>
    <w:rsid w:val="1C093B64"/>
    <w:rsid w:val="1C181AC9"/>
    <w:rsid w:val="1C746CCC"/>
    <w:rsid w:val="1CA05AEF"/>
    <w:rsid w:val="1CC676E4"/>
    <w:rsid w:val="1D155CEE"/>
    <w:rsid w:val="1D664516"/>
    <w:rsid w:val="1D6D7E6D"/>
    <w:rsid w:val="1D750D86"/>
    <w:rsid w:val="1D7B60A6"/>
    <w:rsid w:val="1E380731"/>
    <w:rsid w:val="1E405250"/>
    <w:rsid w:val="1ECB1627"/>
    <w:rsid w:val="1EE95587"/>
    <w:rsid w:val="1F2303ED"/>
    <w:rsid w:val="1F422EEA"/>
    <w:rsid w:val="1F533C43"/>
    <w:rsid w:val="1F980D5B"/>
    <w:rsid w:val="1FEF4E1F"/>
    <w:rsid w:val="20354F75"/>
    <w:rsid w:val="20F57F95"/>
    <w:rsid w:val="211F1C85"/>
    <w:rsid w:val="21951EA0"/>
    <w:rsid w:val="22A44D4F"/>
    <w:rsid w:val="22AC349C"/>
    <w:rsid w:val="22B20D45"/>
    <w:rsid w:val="22FE2E67"/>
    <w:rsid w:val="2302130E"/>
    <w:rsid w:val="23201794"/>
    <w:rsid w:val="23B51EDC"/>
    <w:rsid w:val="23EC0578"/>
    <w:rsid w:val="240371BF"/>
    <w:rsid w:val="244178FB"/>
    <w:rsid w:val="24B215EA"/>
    <w:rsid w:val="25714529"/>
    <w:rsid w:val="25783F7E"/>
    <w:rsid w:val="25C741E6"/>
    <w:rsid w:val="25F523B1"/>
    <w:rsid w:val="25FD07F9"/>
    <w:rsid w:val="26233A75"/>
    <w:rsid w:val="263E203F"/>
    <w:rsid w:val="26492DAF"/>
    <w:rsid w:val="26BE27D8"/>
    <w:rsid w:val="274858F1"/>
    <w:rsid w:val="27533EE6"/>
    <w:rsid w:val="27765E26"/>
    <w:rsid w:val="27842671"/>
    <w:rsid w:val="27E16DDC"/>
    <w:rsid w:val="282D1E6D"/>
    <w:rsid w:val="2858552C"/>
    <w:rsid w:val="28700AC7"/>
    <w:rsid w:val="287F04F0"/>
    <w:rsid w:val="29581C87"/>
    <w:rsid w:val="297F3900"/>
    <w:rsid w:val="29854F0E"/>
    <w:rsid w:val="298C1931"/>
    <w:rsid w:val="29BD7D3C"/>
    <w:rsid w:val="29F80C46"/>
    <w:rsid w:val="29FD04D3"/>
    <w:rsid w:val="2A0C7F45"/>
    <w:rsid w:val="2A3158BD"/>
    <w:rsid w:val="2AB52686"/>
    <w:rsid w:val="2ABE7A3E"/>
    <w:rsid w:val="2B33475A"/>
    <w:rsid w:val="2B397896"/>
    <w:rsid w:val="2B732DA8"/>
    <w:rsid w:val="2BFB0EC9"/>
    <w:rsid w:val="2C9C2577"/>
    <w:rsid w:val="2C9F7BCD"/>
    <w:rsid w:val="2D0D0315"/>
    <w:rsid w:val="2D212671"/>
    <w:rsid w:val="2D2F71A3"/>
    <w:rsid w:val="2D7C01FC"/>
    <w:rsid w:val="2DCF25AB"/>
    <w:rsid w:val="2E953036"/>
    <w:rsid w:val="2ED14997"/>
    <w:rsid w:val="2EDF1EEC"/>
    <w:rsid w:val="2EFA178C"/>
    <w:rsid w:val="2F620E0B"/>
    <w:rsid w:val="2F915084"/>
    <w:rsid w:val="30240DD2"/>
    <w:rsid w:val="30550CCF"/>
    <w:rsid w:val="30B46D73"/>
    <w:rsid w:val="31146F10"/>
    <w:rsid w:val="311B0741"/>
    <w:rsid w:val="316D17B6"/>
    <w:rsid w:val="319F7F4E"/>
    <w:rsid w:val="31ED74BA"/>
    <w:rsid w:val="320B5D82"/>
    <w:rsid w:val="322E2306"/>
    <w:rsid w:val="326D3AC1"/>
    <w:rsid w:val="334C07D0"/>
    <w:rsid w:val="33AA1331"/>
    <w:rsid w:val="345F4913"/>
    <w:rsid w:val="346A65AA"/>
    <w:rsid w:val="34DF500B"/>
    <w:rsid w:val="358636D8"/>
    <w:rsid w:val="35A83A34"/>
    <w:rsid w:val="36572E74"/>
    <w:rsid w:val="368A369C"/>
    <w:rsid w:val="36EC3A0F"/>
    <w:rsid w:val="36FD5C1C"/>
    <w:rsid w:val="373D24BC"/>
    <w:rsid w:val="37CB215C"/>
    <w:rsid w:val="385E6E10"/>
    <w:rsid w:val="38BB5D8F"/>
    <w:rsid w:val="39243934"/>
    <w:rsid w:val="398268AC"/>
    <w:rsid w:val="399D57E9"/>
    <w:rsid w:val="39AE70AB"/>
    <w:rsid w:val="39B174BE"/>
    <w:rsid w:val="39C173D5"/>
    <w:rsid w:val="39CB625E"/>
    <w:rsid w:val="39EE124D"/>
    <w:rsid w:val="3A0C141E"/>
    <w:rsid w:val="3B622E89"/>
    <w:rsid w:val="3B89229C"/>
    <w:rsid w:val="3BD50F16"/>
    <w:rsid w:val="3C0C0783"/>
    <w:rsid w:val="3C664263"/>
    <w:rsid w:val="3C9600BD"/>
    <w:rsid w:val="3CAF5690"/>
    <w:rsid w:val="3CDE3FF9"/>
    <w:rsid w:val="3CEB6517"/>
    <w:rsid w:val="3D1870EB"/>
    <w:rsid w:val="3D3879AE"/>
    <w:rsid w:val="3D6A2EE3"/>
    <w:rsid w:val="3DA70D32"/>
    <w:rsid w:val="3DA725CA"/>
    <w:rsid w:val="3DFD6502"/>
    <w:rsid w:val="3F2721CB"/>
    <w:rsid w:val="3F4E4F22"/>
    <w:rsid w:val="3F6F51DD"/>
    <w:rsid w:val="3F795B0E"/>
    <w:rsid w:val="3F9F3A96"/>
    <w:rsid w:val="3FD62CE5"/>
    <w:rsid w:val="40062F43"/>
    <w:rsid w:val="40350D30"/>
    <w:rsid w:val="40364CA5"/>
    <w:rsid w:val="403A1C8F"/>
    <w:rsid w:val="40552625"/>
    <w:rsid w:val="407C4498"/>
    <w:rsid w:val="409D366B"/>
    <w:rsid w:val="40AB1398"/>
    <w:rsid w:val="40F0234E"/>
    <w:rsid w:val="417E3DFD"/>
    <w:rsid w:val="41A226F7"/>
    <w:rsid w:val="42156510"/>
    <w:rsid w:val="422160C2"/>
    <w:rsid w:val="426052B1"/>
    <w:rsid w:val="42B7589F"/>
    <w:rsid w:val="42D75573"/>
    <w:rsid w:val="435D7EA6"/>
    <w:rsid w:val="43D23F8D"/>
    <w:rsid w:val="43D272E4"/>
    <w:rsid w:val="43F4344F"/>
    <w:rsid w:val="441535F0"/>
    <w:rsid w:val="444A7FC7"/>
    <w:rsid w:val="44654CD5"/>
    <w:rsid w:val="4474739F"/>
    <w:rsid w:val="44821F03"/>
    <w:rsid w:val="44D80DF4"/>
    <w:rsid w:val="45187F71"/>
    <w:rsid w:val="45240818"/>
    <w:rsid w:val="45AC635D"/>
    <w:rsid w:val="463F1DAD"/>
    <w:rsid w:val="46431172"/>
    <w:rsid w:val="467F664E"/>
    <w:rsid w:val="469D7B41"/>
    <w:rsid w:val="46AB5D8D"/>
    <w:rsid w:val="46AD35E7"/>
    <w:rsid w:val="46AE75A8"/>
    <w:rsid w:val="470C4275"/>
    <w:rsid w:val="47186111"/>
    <w:rsid w:val="475C24EB"/>
    <w:rsid w:val="478D2F9B"/>
    <w:rsid w:val="47CD6DB6"/>
    <w:rsid w:val="487D5BC7"/>
    <w:rsid w:val="490948F4"/>
    <w:rsid w:val="493556E9"/>
    <w:rsid w:val="493C27E9"/>
    <w:rsid w:val="496F39ED"/>
    <w:rsid w:val="49B04D70"/>
    <w:rsid w:val="49B36DD7"/>
    <w:rsid w:val="49F03145"/>
    <w:rsid w:val="49FE1F7F"/>
    <w:rsid w:val="49FF41D3"/>
    <w:rsid w:val="4A185DC8"/>
    <w:rsid w:val="4A834233"/>
    <w:rsid w:val="4AE72A13"/>
    <w:rsid w:val="4B8478C2"/>
    <w:rsid w:val="4BE068DB"/>
    <w:rsid w:val="4BE941BF"/>
    <w:rsid w:val="4BF6002B"/>
    <w:rsid w:val="4C26756B"/>
    <w:rsid w:val="4C3512DC"/>
    <w:rsid w:val="4C7C718B"/>
    <w:rsid w:val="4D586F74"/>
    <w:rsid w:val="4D771B03"/>
    <w:rsid w:val="4DCB03CA"/>
    <w:rsid w:val="4E1E2F1E"/>
    <w:rsid w:val="4E6F6FA8"/>
    <w:rsid w:val="4EC54E1A"/>
    <w:rsid w:val="4ECE2238"/>
    <w:rsid w:val="4EEB10E2"/>
    <w:rsid w:val="4F251D5C"/>
    <w:rsid w:val="4F4977F9"/>
    <w:rsid w:val="4F9B479A"/>
    <w:rsid w:val="4FB414C0"/>
    <w:rsid w:val="500C1105"/>
    <w:rsid w:val="50454464"/>
    <w:rsid w:val="507E220B"/>
    <w:rsid w:val="50A13664"/>
    <w:rsid w:val="50D6330E"/>
    <w:rsid w:val="50E45D0C"/>
    <w:rsid w:val="50FB4F07"/>
    <w:rsid w:val="515C5C04"/>
    <w:rsid w:val="51890380"/>
    <w:rsid w:val="51DB4B86"/>
    <w:rsid w:val="51F24E50"/>
    <w:rsid w:val="52483D98"/>
    <w:rsid w:val="52691F60"/>
    <w:rsid w:val="52DE64AA"/>
    <w:rsid w:val="52E351D4"/>
    <w:rsid w:val="52EA4E4F"/>
    <w:rsid w:val="530A54F1"/>
    <w:rsid w:val="53807425"/>
    <w:rsid w:val="538D4749"/>
    <w:rsid w:val="540609FD"/>
    <w:rsid w:val="54ED4041"/>
    <w:rsid w:val="551255C6"/>
    <w:rsid w:val="55333C3E"/>
    <w:rsid w:val="561F12B3"/>
    <w:rsid w:val="566B274A"/>
    <w:rsid w:val="56C25E2A"/>
    <w:rsid w:val="56EE5F13"/>
    <w:rsid w:val="572F6D92"/>
    <w:rsid w:val="573B036F"/>
    <w:rsid w:val="57547BA2"/>
    <w:rsid w:val="576C677A"/>
    <w:rsid w:val="57CA16F3"/>
    <w:rsid w:val="583B614D"/>
    <w:rsid w:val="58D02D39"/>
    <w:rsid w:val="58FD357F"/>
    <w:rsid w:val="594172FB"/>
    <w:rsid w:val="59615CF1"/>
    <w:rsid w:val="596F1C4E"/>
    <w:rsid w:val="59BC1C5B"/>
    <w:rsid w:val="5A5B2AD6"/>
    <w:rsid w:val="5B6B4F9B"/>
    <w:rsid w:val="5BA83AF9"/>
    <w:rsid w:val="5BB71F8E"/>
    <w:rsid w:val="5C0E211D"/>
    <w:rsid w:val="5C1271C4"/>
    <w:rsid w:val="5C6519EA"/>
    <w:rsid w:val="5CD36CE9"/>
    <w:rsid w:val="5D167CB7"/>
    <w:rsid w:val="5D7A3273"/>
    <w:rsid w:val="5D973C24"/>
    <w:rsid w:val="5DB239C4"/>
    <w:rsid w:val="5E5D5598"/>
    <w:rsid w:val="5E6F08FE"/>
    <w:rsid w:val="5E78682F"/>
    <w:rsid w:val="5EDA2A8E"/>
    <w:rsid w:val="5EF36AB3"/>
    <w:rsid w:val="5F182D44"/>
    <w:rsid w:val="5F366DC5"/>
    <w:rsid w:val="5F9E6F48"/>
    <w:rsid w:val="5FD4310E"/>
    <w:rsid w:val="5FEB7FCE"/>
    <w:rsid w:val="60123C37"/>
    <w:rsid w:val="603B3946"/>
    <w:rsid w:val="60D43F9D"/>
    <w:rsid w:val="61D83523"/>
    <w:rsid w:val="622F287E"/>
    <w:rsid w:val="62CC631F"/>
    <w:rsid w:val="630A6E47"/>
    <w:rsid w:val="6333639E"/>
    <w:rsid w:val="6372325E"/>
    <w:rsid w:val="637311F2"/>
    <w:rsid w:val="64313187"/>
    <w:rsid w:val="64526CF8"/>
    <w:rsid w:val="64CA39A1"/>
    <w:rsid w:val="64FE1F1E"/>
    <w:rsid w:val="65360604"/>
    <w:rsid w:val="6562371F"/>
    <w:rsid w:val="6575626B"/>
    <w:rsid w:val="658D4445"/>
    <w:rsid w:val="65CB0B10"/>
    <w:rsid w:val="661E05A7"/>
    <w:rsid w:val="668F5FE1"/>
    <w:rsid w:val="66A85976"/>
    <w:rsid w:val="66B24AFA"/>
    <w:rsid w:val="66CA0DC7"/>
    <w:rsid w:val="66D27D71"/>
    <w:rsid w:val="676953BD"/>
    <w:rsid w:val="679C1417"/>
    <w:rsid w:val="67AB0BF9"/>
    <w:rsid w:val="67E27BEE"/>
    <w:rsid w:val="68024591"/>
    <w:rsid w:val="681C38A5"/>
    <w:rsid w:val="6861124B"/>
    <w:rsid w:val="686F5878"/>
    <w:rsid w:val="68BD35CA"/>
    <w:rsid w:val="68DC4DE2"/>
    <w:rsid w:val="692C3D8E"/>
    <w:rsid w:val="693D5B23"/>
    <w:rsid w:val="69513A22"/>
    <w:rsid w:val="69C42446"/>
    <w:rsid w:val="6A0C68D1"/>
    <w:rsid w:val="6A244C92"/>
    <w:rsid w:val="6AAD4C88"/>
    <w:rsid w:val="6AF03B85"/>
    <w:rsid w:val="6C0344CC"/>
    <w:rsid w:val="6C0E1756"/>
    <w:rsid w:val="6C2B055A"/>
    <w:rsid w:val="6C4A05C8"/>
    <w:rsid w:val="6C4B6300"/>
    <w:rsid w:val="6C8E6020"/>
    <w:rsid w:val="6CDF3526"/>
    <w:rsid w:val="6D8617C0"/>
    <w:rsid w:val="6DB63E53"/>
    <w:rsid w:val="6E162B44"/>
    <w:rsid w:val="6E573888"/>
    <w:rsid w:val="6E575C64"/>
    <w:rsid w:val="6E6D6BF9"/>
    <w:rsid w:val="6EA57C83"/>
    <w:rsid w:val="6EDF73DA"/>
    <w:rsid w:val="6EF07839"/>
    <w:rsid w:val="6F3D6577"/>
    <w:rsid w:val="6F4A1393"/>
    <w:rsid w:val="6F4B0F13"/>
    <w:rsid w:val="6F5D7D7F"/>
    <w:rsid w:val="6FAD59C7"/>
    <w:rsid w:val="70205514"/>
    <w:rsid w:val="702A0CA0"/>
    <w:rsid w:val="708E22F4"/>
    <w:rsid w:val="70B52AE8"/>
    <w:rsid w:val="711F61B4"/>
    <w:rsid w:val="714A696E"/>
    <w:rsid w:val="715D70BF"/>
    <w:rsid w:val="717D674A"/>
    <w:rsid w:val="71BC1C54"/>
    <w:rsid w:val="725B74A5"/>
    <w:rsid w:val="72734D90"/>
    <w:rsid w:val="72AE3C93"/>
    <w:rsid w:val="72B305E9"/>
    <w:rsid w:val="72B55021"/>
    <w:rsid w:val="72D93E0F"/>
    <w:rsid w:val="730E5122"/>
    <w:rsid w:val="73533411"/>
    <w:rsid w:val="735C01EE"/>
    <w:rsid w:val="737806BA"/>
    <w:rsid w:val="73803858"/>
    <w:rsid w:val="73A14B3F"/>
    <w:rsid w:val="73A155A6"/>
    <w:rsid w:val="73C765AC"/>
    <w:rsid w:val="73FE5F31"/>
    <w:rsid w:val="74701AFD"/>
    <w:rsid w:val="749938F4"/>
    <w:rsid w:val="74A72014"/>
    <w:rsid w:val="74CE4179"/>
    <w:rsid w:val="75066964"/>
    <w:rsid w:val="75224E28"/>
    <w:rsid w:val="76091299"/>
    <w:rsid w:val="76391AC6"/>
    <w:rsid w:val="76A333E3"/>
    <w:rsid w:val="76C21ABB"/>
    <w:rsid w:val="76EB62E1"/>
    <w:rsid w:val="77E617D9"/>
    <w:rsid w:val="78033604"/>
    <w:rsid w:val="78332EEC"/>
    <w:rsid w:val="784361C6"/>
    <w:rsid w:val="787F686D"/>
    <w:rsid w:val="789254BD"/>
    <w:rsid w:val="78F87A16"/>
    <w:rsid w:val="794747D7"/>
    <w:rsid w:val="79725A1A"/>
    <w:rsid w:val="79E7B28D"/>
    <w:rsid w:val="79FC3536"/>
    <w:rsid w:val="7A18469E"/>
    <w:rsid w:val="7A2C1C7D"/>
    <w:rsid w:val="7A7A05ED"/>
    <w:rsid w:val="7B2A4408"/>
    <w:rsid w:val="7C775BAB"/>
    <w:rsid w:val="7C89243E"/>
    <w:rsid w:val="7D31279F"/>
    <w:rsid w:val="7D751CB9"/>
    <w:rsid w:val="7D8950E1"/>
    <w:rsid w:val="7DD02D0F"/>
    <w:rsid w:val="7E092F4D"/>
    <w:rsid w:val="7E0B3D48"/>
    <w:rsid w:val="7E154BC6"/>
    <w:rsid w:val="7E3F02D2"/>
    <w:rsid w:val="7F3C6183"/>
    <w:rsid w:val="7F673200"/>
    <w:rsid w:val="7F9F20EE"/>
    <w:rsid w:val="7FBB354B"/>
    <w:rsid w:val="7FC44AF6"/>
    <w:rsid w:val="7FCB7C32"/>
    <w:rsid w:val="7FD05F0C"/>
    <w:rsid w:val="9E3A10E2"/>
    <w:rsid w:val="F2E1F9D4"/>
    <w:rsid w:val="F7880819"/>
    <w:rsid w:val="FAFAE2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8"/>
        <o:r id="V:Rule3" type="connector" idref="#_x0000_s1031"/>
        <o:r id="V:Rule4" type="connector" idref="#_x0000_s1033"/>
        <o:r id="V:Rule5" type="connector" idref="#_x0000_s103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qFormat/>
    <w:uiPriority w:val="0"/>
    <w:pPr>
      <w:snapToGrid w:val="0"/>
      <w:jc w:val="left"/>
    </w:pPr>
    <w:rPr>
      <w:sz w:val="18"/>
      <w:szCs w:val="1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6"/>
    <w:qFormat/>
    <w:uiPriority w:val="99"/>
    <w:pPr>
      <w:ind w:firstLine="420" w:firstLineChars="200"/>
    </w:pPr>
    <w:rPr>
      <w:rFonts w:ascii="Calibri" w:hAnsi="Calibri"/>
      <w:szCs w:val="22"/>
    </w:rPr>
  </w:style>
  <w:style w:type="character" w:styleId="17">
    <w:name w:val="Strong"/>
    <w:basedOn w:val="16"/>
    <w:qFormat/>
    <w:uiPriority w:val="99"/>
    <w:rPr>
      <w:b/>
    </w:rPr>
  </w:style>
  <w:style w:type="character" w:styleId="18">
    <w:name w:val="page number"/>
    <w:basedOn w:val="16"/>
    <w:qFormat/>
    <w:uiPriority w:val="0"/>
  </w:style>
  <w:style w:type="character" w:styleId="19">
    <w:name w:val="Hyperlink"/>
    <w:basedOn w:val="16"/>
    <w:unhideWhenUsed/>
    <w:qFormat/>
    <w:uiPriority w:val="99"/>
    <w:rPr>
      <w:color w:val="0000FF" w:themeColor="hyperlink"/>
      <w:u w:val="single"/>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font21"/>
    <w:basedOn w:val="16"/>
    <w:qFormat/>
    <w:uiPriority w:val="0"/>
    <w:rPr>
      <w:rFonts w:hint="eastAsia" w:ascii="宋体" w:hAnsi="宋体" w:eastAsia="宋体" w:cs="宋体"/>
      <w:color w:val="000000"/>
      <w:sz w:val="24"/>
      <w:szCs w:val="24"/>
      <w:u w:val="none"/>
    </w:rPr>
  </w:style>
  <w:style w:type="character" w:customStyle="1" w:styleId="35">
    <w:name w:val="font31"/>
    <w:basedOn w:val="16"/>
    <w:qFormat/>
    <w:uiPriority w:val="0"/>
    <w:rPr>
      <w:rFonts w:hint="eastAsia" w:ascii="宋体" w:hAnsi="宋体" w:eastAsia="宋体"/>
      <w:color w:val="000000"/>
      <w:sz w:val="22"/>
      <w:szCs w:val="22"/>
      <w:u w:val="none"/>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86738351254"/>
          <c:y val="0.113609645651983"/>
          <c:w val="0.812071878359699"/>
          <c:h val="0.753774509803922"/>
        </c:manualLayout>
      </c:layout>
      <c:barChart>
        <c:barDir val="col"/>
        <c:grouping val="clustered"/>
        <c:varyColors val="0"/>
        <c:ser>
          <c:idx val="0"/>
          <c:order val="0"/>
          <c:spPr>
            <a:solidFill>
              <a:schemeClr val="accent1"/>
            </a:solidFill>
            <a:ln>
              <a:noFill/>
            </a:ln>
            <a:effectLst/>
          </c:spPr>
          <c:invertIfNegative val="0"/>
          <c:dLbls>
            <c:delete val="1"/>
          </c:dLbls>
          <c:cat>
            <c:strRef>
              <c:f>[工作簿1]Sheet1!$G$5:$G$6</c:f>
              <c:strCache>
                <c:ptCount val="2"/>
                <c:pt idx="0">
                  <c:v>2020年</c:v>
                </c:pt>
                <c:pt idx="1">
                  <c:v>2021年</c:v>
                </c:pt>
              </c:strCache>
            </c:strRef>
          </c:cat>
          <c:val>
            <c:numRef>
              <c:f>[工作簿1]Sheet1!$H$5:$H$6</c:f>
              <c:numCache>
                <c:formatCode>General</c:formatCode>
                <c:ptCount val="2"/>
                <c:pt idx="0">
                  <c:v>2623.18</c:v>
                </c:pt>
                <c:pt idx="1">
                  <c:v>2953.96</c:v>
                </c:pt>
              </c:numCache>
            </c:numRef>
          </c:val>
        </c:ser>
        <c:dLbls>
          <c:showLegendKey val="0"/>
          <c:showVal val="0"/>
          <c:showCatName val="0"/>
          <c:showSerName val="0"/>
          <c:showPercent val="0"/>
          <c:showBubbleSize val="0"/>
        </c:dLbls>
        <c:gapWidth val="219"/>
        <c:overlap val="-27"/>
        <c:axId val="265865472"/>
        <c:axId val="267323264"/>
      </c:barChart>
      <c:catAx>
        <c:axId val="26586547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323264"/>
        <c:crosses val="autoZero"/>
        <c:auto val="1"/>
        <c:lblAlgn val="ctr"/>
        <c:lblOffset val="100"/>
        <c:noMultiLvlLbl val="0"/>
      </c:catAx>
      <c:valAx>
        <c:axId val="2673232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865472"/>
        <c:crosses val="autoZero"/>
        <c:crossBetween val="between"/>
      </c:valAx>
      <c:spPr>
        <a:noFill/>
        <a:ln>
          <a:noFill/>
        </a:ln>
        <a:effectLst/>
      </c:spPr>
    </c:plotArea>
    <c:plotVisOnly val="1"/>
    <c:dispBlanksAs val="gap"/>
    <c:showDLblsOverMax val="0"/>
  </c:chart>
  <c:spPr>
    <a:noFill/>
    <a:ln w="9525" cap="flat" cmpd="sng" algn="ctr">
      <a:solidFill>
        <a:schemeClr val="bg1">
          <a:lumMod val="10000"/>
        </a:schemeClr>
      </a:solidFill>
      <a:prstDash val="solid"/>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ysClr val="windowText" lastClr="000000"/>
                </a:solidFill>
              </a:rPr>
              <a:t>本年收入合计</a:t>
            </a:r>
            <a:endParaRPr>
              <a:solidFill>
                <a:sysClr val="windowText" lastClr="000000"/>
              </a:solidFill>
            </a:endParaRPr>
          </a:p>
        </c:rich>
      </c:tx>
      <c:layout>
        <c:manualLayout>
          <c:xMode val="edge"/>
          <c:yMode val="edge"/>
          <c:x val="0.381805555555556"/>
          <c:y val="0.0347222222222222"/>
        </c:manualLayout>
      </c:layout>
      <c:overlay val="0"/>
      <c:spPr>
        <a:noFill/>
        <a:ln>
          <a:noFill/>
        </a:ln>
        <a:effectLst/>
      </c:spPr>
    </c:title>
    <c:autoTitleDeleted val="0"/>
    <c:plotArea>
      <c:layout/>
      <c:pieChart>
        <c:varyColors val="1"/>
        <c:ser>
          <c:idx val="0"/>
          <c:order val="0"/>
          <c:tx>
            <c:strRef>
              <c:f>[工作簿1]Sheet1!$F$91</c:f>
              <c:strCache>
                <c:ptCount val="1"/>
                <c:pt idx="0">
                  <c:v>一般公共预算财政拨款收入</c:v>
                </c:pt>
              </c:strCache>
            </c:strRef>
          </c:tx>
          <c:explosion val="0"/>
          <c:dPt>
            <c:idx val="0"/>
            <c:bubble3D val="0"/>
            <c:explosion val="1"/>
            <c:spPr>
              <a:solidFill>
                <a:schemeClr val="accent1"/>
              </a:solidFill>
              <a:ln w="19050">
                <a:solidFill>
                  <a:schemeClr val="lt1"/>
                </a:solidFill>
              </a:ln>
              <a:effectLst/>
            </c:spPr>
          </c:dPt>
          <c:dLbls>
            <c:delete val="1"/>
          </c:dLbls>
          <c:val>
            <c:numRef>
              <c:f>[工作簿1]Sheet1!$G$91</c:f>
              <c:numCache>
                <c:formatCode>General</c:formatCode>
                <c:ptCount val="1"/>
                <c:pt idx="0">
                  <c:v>2547.98</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spPr>
    <a:no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534005037783"/>
          <c:y val="0.221859221859222"/>
          <c:w val="0.400503778337531"/>
          <c:h val="0.708345708345708"/>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[工作簿1]Sheet1!$F$129:$F$130</c:f>
              <c:strCache>
                <c:ptCount val="2"/>
                <c:pt idx="0">
                  <c:v>基本支出</c:v>
                </c:pt>
                <c:pt idx="1">
                  <c:v>项目支出</c:v>
                </c:pt>
              </c:strCache>
            </c:strRef>
          </c:cat>
          <c:val>
            <c:numRef>
              <c:f>[工作簿1]Sheet1!$G$129:$G$130</c:f>
              <c:numCache>
                <c:formatCode>General</c:formatCode>
                <c:ptCount val="2"/>
                <c:pt idx="0">
                  <c:v>1624.49</c:v>
                </c:pt>
                <c:pt idx="1">
                  <c:v>685.01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13853904282116"/>
          <c:y val="0.40080190080190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no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[工作簿1]Sheet1!$E$10:$E$11</c:f>
              <c:strCache>
                <c:ptCount val="2"/>
                <c:pt idx="0">
                  <c:v>2020年</c:v>
                </c:pt>
                <c:pt idx="1">
                  <c:v>2021年</c:v>
                </c:pt>
              </c:strCache>
            </c:strRef>
          </c:cat>
          <c:val>
            <c:numRef>
              <c:f>[工作簿1]Sheet1!$F$10:$F$11</c:f>
              <c:numCache>
                <c:formatCode>General</c:formatCode>
                <c:ptCount val="2"/>
                <c:pt idx="0">
                  <c:v>2622.78</c:v>
                </c:pt>
                <c:pt idx="1">
                  <c:v>2953.57</c:v>
                </c:pt>
              </c:numCache>
            </c:numRef>
          </c:val>
        </c:ser>
        <c:dLbls>
          <c:showLegendKey val="0"/>
          <c:showVal val="0"/>
          <c:showCatName val="0"/>
          <c:showSerName val="0"/>
          <c:showPercent val="0"/>
          <c:showBubbleSize val="0"/>
        </c:dLbls>
        <c:gapWidth val="219"/>
        <c:overlap val="-27"/>
        <c:axId val="344066688"/>
        <c:axId val="344080768"/>
      </c:barChart>
      <c:catAx>
        <c:axId val="3440666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4080768"/>
        <c:crosses val="autoZero"/>
        <c:auto val="1"/>
        <c:lblAlgn val="ctr"/>
        <c:lblOffset val="100"/>
        <c:noMultiLvlLbl val="0"/>
      </c:catAx>
      <c:valAx>
        <c:axId val="3440807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4066688"/>
        <c:crosses val="autoZero"/>
        <c:crossBetween val="between"/>
      </c:valAx>
      <c:spPr>
        <a:noFill/>
        <a:ln>
          <a:noFill/>
        </a:ln>
        <a:effectLst/>
      </c:spPr>
    </c:plotArea>
    <c:plotVisOnly val="1"/>
    <c:dispBlanksAs val="gap"/>
    <c:showDLblsOverMax val="0"/>
  </c:chart>
  <c:spPr>
    <a:no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3426324380472"/>
          <c:y val="0.0584004602991945"/>
          <c:w val="0.873927882475145"/>
          <c:h val="0.797583429228999"/>
        </c:manualLayout>
      </c:layout>
      <c:barChart>
        <c:barDir val="col"/>
        <c:grouping val="clustered"/>
        <c:varyColors val="0"/>
        <c:ser>
          <c:idx val="0"/>
          <c:order val="0"/>
          <c:spPr>
            <a:solidFill>
              <a:schemeClr val="accent1"/>
            </a:solidFill>
            <a:ln>
              <a:noFill/>
            </a:ln>
            <a:effectLst/>
          </c:spPr>
          <c:invertIfNegative val="0"/>
          <c:dLbls>
            <c:delete val="1"/>
          </c:dLbls>
          <c:cat>
            <c:strRef>
              <c:f>[工作簿1]Sheet1!$E$10:$E$11</c:f>
              <c:strCache>
                <c:ptCount val="2"/>
                <c:pt idx="0">
                  <c:v>2020年</c:v>
                </c:pt>
                <c:pt idx="1">
                  <c:v>2021年</c:v>
                </c:pt>
              </c:strCache>
            </c:strRef>
          </c:cat>
          <c:val>
            <c:numRef>
              <c:f>[工作簿1]Sheet1!$F$10:$F$11</c:f>
              <c:numCache>
                <c:formatCode>General</c:formatCode>
                <c:ptCount val="2"/>
                <c:pt idx="0">
                  <c:v>2217.41</c:v>
                </c:pt>
                <c:pt idx="1">
                  <c:v>2307.17</c:v>
                </c:pt>
              </c:numCache>
            </c:numRef>
          </c:val>
        </c:ser>
        <c:dLbls>
          <c:showLegendKey val="0"/>
          <c:showVal val="0"/>
          <c:showCatName val="0"/>
          <c:showSerName val="0"/>
          <c:showPercent val="0"/>
          <c:showBubbleSize val="0"/>
        </c:dLbls>
        <c:gapWidth val="219"/>
        <c:overlap val="-27"/>
        <c:axId val="344108416"/>
        <c:axId val="344118400"/>
      </c:barChart>
      <c:catAx>
        <c:axId val="3441084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4118400"/>
        <c:crosses val="autoZero"/>
        <c:auto val="1"/>
        <c:lblAlgn val="ctr"/>
        <c:lblOffset val="100"/>
        <c:noMultiLvlLbl val="0"/>
      </c:catAx>
      <c:valAx>
        <c:axId val="3441184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4108416"/>
        <c:crosses val="autoZero"/>
        <c:crossBetween val="between"/>
      </c:valAx>
      <c:spPr>
        <a:noFill/>
        <a:ln>
          <a:noFill/>
        </a:ln>
        <a:effectLst/>
      </c:spPr>
    </c:plotArea>
    <c:plotVisOnly val="1"/>
    <c:dispBlanksAs val="gap"/>
    <c:showDLblsOverMax val="0"/>
  </c:chart>
  <c:spPr>
    <a:no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[工作簿1]Sheet1!$F$4:$F$7</c:f>
              <c:strCache>
                <c:ptCount val="4"/>
                <c:pt idx="0">
                  <c:v>社会保障和就业（类）支出</c:v>
                </c:pt>
                <c:pt idx="1">
                  <c:v>一般公共服务（类）支出</c:v>
                </c:pt>
                <c:pt idx="2">
                  <c:v>卫生健康支出</c:v>
                </c:pt>
                <c:pt idx="3">
                  <c:v>住房保障支出</c:v>
                </c:pt>
              </c:strCache>
            </c:strRef>
          </c:cat>
          <c:val>
            <c:numRef>
              <c:f>[工作簿1]Sheet1!$G$4:$G$7</c:f>
              <c:numCache>
                <c:formatCode>General</c:formatCode>
                <c:ptCount val="4"/>
                <c:pt idx="0">
                  <c:v>2129.39</c:v>
                </c:pt>
                <c:pt idx="1">
                  <c:v>16.8</c:v>
                </c:pt>
                <c:pt idx="2">
                  <c:v>48.16</c:v>
                </c:pt>
                <c:pt idx="3">
                  <c:v>114.82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79819392975752"/>
          <c:y val="0.61129476584022"/>
          <c:w val="0.332272990167727"/>
          <c:h val="0.3391184573002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[工作簿1]Sheet1!$K$11:$K$12</c:f>
              <c:strCache>
                <c:ptCount val="2"/>
                <c:pt idx="0">
                  <c:v>公务用车购置及运行维护费</c:v>
                </c:pt>
                <c:pt idx="1">
                  <c:v>公务接待费</c:v>
                </c:pt>
              </c:strCache>
            </c:strRef>
          </c:cat>
          <c:val>
            <c:numRef>
              <c:f>[工作簿1]Sheet1!$L$11:$L$12</c:f>
              <c:numCache>
                <c:formatCode>General</c:formatCode>
                <c:ptCount val="2"/>
                <c:pt idx="0">
                  <c:v>5.79</c:v>
                </c:pt>
                <c:pt idx="1">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0.2107</cdr:x>
      <cdr:y>0.494</cdr:y>
    </cdr:from>
    <cdr:to>
      <cdr:x>0.49106</cdr:x>
      <cdr:y>0.59322</cdr:y>
    </cdr:to>
    <cdr:sp>
      <cdr:nvSpPr>
        <cdr:cNvPr id="2" name="矩形 1"/>
        <cdr:cNvSpPr/>
      </cdr:nvSpPr>
      <cdr:spPr xmlns:a="http://schemas.openxmlformats.org/drawingml/2006/main">
        <a:xfrm xmlns:a="http://schemas.openxmlformats.org/drawingml/2006/main">
          <a:off x="832732" y="1157209"/>
          <a:ext cx="1108036" cy="232407"/>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r>
            <a:rPr lang="en-US" altLang="zh-CN" sz="900"/>
            <a:t>2623.18</a:t>
          </a:r>
          <a:r>
            <a:rPr lang="zh-CN" altLang="en-US" sz="900"/>
            <a:t>万元</a:t>
          </a:r>
          <a:endParaRPr lang="zh-CN" altLang="en-US" sz="900"/>
        </a:p>
      </cdr:txBody>
    </cdr:sp>
  </cdr:relSizeAnchor>
  <cdr:relSizeAnchor xmlns:cdr="http://schemas.openxmlformats.org/drawingml/2006/chartDrawing">
    <cdr:from>
      <cdr:x>0.62635</cdr:x>
      <cdr:y>0.06547</cdr:y>
    </cdr:from>
    <cdr:to>
      <cdr:x>0.85108</cdr:x>
      <cdr:y>0.15994</cdr:y>
    </cdr:to>
    <cdr:sp>
      <cdr:nvSpPr>
        <cdr:cNvPr id="3" name="矩形 2"/>
        <cdr:cNvSpPr/>
      </cdr:nvSpPr>
      <cdr:spPr xmlns:a="http://schemas.openxmlformats.org/drawingml/2006/main">
        <a:xfrm xmlns:a="http://schemas.openxmlformats.org/drawingml/2006/main">
          <a:off x="2475484" y="153366"/>
          <a:ext cx="888192" cy="221296"/>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r>
            <a:rPr lang="en-US" altLang="zh-CN" sz="900"/>
            <a:t>2953.96</a:t>
          </a:r>
          <a:r>
            <a:rPr lang="zh-CN" altLang="en-US" sz="900"/>
            <a:t>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0.71298</cdr:x>
      <cdr:y>0.39008</cdr:y>
    </cdr:from>
    <cdr:to>
      <cdr:x>0.98685</cdr:x>
      <cdr:y>0.68857</cdr:y>
    </cdr:to>
    <cdr:sp>
      <cdr:nvSpPr>
        <cdr:cNvPr id="2" name="矩形 1"/>
        <cdr:cNvSpPr/>
      </cdr:nvSpPr>
      <cdr:spPr xmlns:a="http://schemas.openxmlformats.org/drawingml/2006/main">
        <a:xfrm xmlns:a="http://schemas.openxmlformats.org/drawingml/2006/main">
          <a:off x="2479675" y="784225"/>
          <a:ext cx="952500" cy="60007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r>
            <a:rPr lang="en-US" altLang="zh-CN" sz="900"/>
            <a:t>5.79</a:t>
          </a:r>
          <a:r>
            <a:rPr lang="zh-CN" altLang="en-US" sz="900"/>
            <a:t>万元，</a:t>
          </a:r>
          <a:endParaRPr lang="zh-CN" altLang="en-US" sz="900"/>
        </a:p>
        <a:p>
          <a:r>
            <a:rPr lang="zh-CN" altLang="en-US" sz="900"/>
            <a:t>占</a:t>
          </a:r>
          <a:r>
            <a:rPr lang="en-US" altLang="zh-CN" sz="900"/>
            <a:t>59.14%</a:t>
          </a:r>
          <a:endParaRPr lang="en-US" altLang="zh-CN" sz="900"/>
        </a:p>
      </cdr:txBody>
    </cdr:sp>
  </cdr:relSizeAnchor>
  <cdr:relSizeAnchor xmlns:cdr="http://schemas.openxmlformats.org/drawingml/2006/chartDrawing">
    <cdr:from>
      <cdr:x>0.08034</cdr:x>
      <cdr:y>0.19615</cdr:y>
    </cdr:from>
    <cdr:to>
      <cdr:x>0.31842</cdr:x>
      <cdr:y>0.4422</cdr:y>
    </cdr:to>
    <cdr:sp>
      <cdr:nvSpPr>
        <cdr:cNvPr id="3" name="矩形 2"/>
        <cdr:cNvSpPr/>
      </cdr:nvSpPr>
      <cdr:spPr xmlns:a="http://schemas.openxmlformats.org/drawingml/2006/main">
        <a:xfrm xmlns:a="http://schemas.openxmlformats.org/drawingml/2006/main">
          <a:off x="279400" y="394335"/>
          <a:ext cx="828040" cy="49466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r>
            <a:rPr lang="en-US" altLang="zh-CN" sz="900"/>
            <a:t>4</a:t>
          </a:r>
          <a:r>
            <a:rPr lang="zh-CN" altLang="en-US" sz="900"/>
            <a:t>万元，</a:t>
          </a:r>
          <a:endParaRPr lang="zh-CN" altLang="en-US" sz="900"/>
        </a:p>
        <a:p>
          <a:r>
            <a:rPr lang="zh-CN" altLang="en-US" sz="900"/>
            <a:t>占</a:t>
          </a:r>
          <a:r>
            <a:rPr lang="en-US" altLang="zh-CN" sz="900"/>
            <a:t>40.86%</a:t>
          </a:r>
          <a:endParaRPr lang="en-US" altLang="zh-CN" sz="900"/>
        </a:p>
      </cdr:txBody>
    </cdr:sp>
  </cdr:relSizeAnchor>
  <cdr:relSizeAnchor xmlns:cdr="http://schemas.openxmlformats.org/drawingml/2006/chartDrawing">
    <cdr:from>
      <cdr:x>0.61986</cdr:x>
      <cdr:y>0.39482</cdr:y>
    </cdr:from>
    <cdr:to>
      <cdr:x>0.71572</cdr:x>
      <cdr:y>0.45167</cdr:y>
    </cdr:to>
    <cdr:cxnSp>
      <cdr:nvCxnSpPr>
        <cdr:cNvPr id="4" name="直接箭头连接符 3"/>
        <cdr:cNvCxnSpPr/>
      </cdr:nvCxnSpPr>
      <cdr:spPr xmlns:a="http://schemas.openxmlformats.org/drawingml/2006/main">
        <a:xfrm xmlns:a="http://schemas.openxmlformats.org/drawingml/2006/main" flipH="1" flipV="1">
          <a:off x="2155825" y="793750"/>
          <a:ext cx="333375" cy="114300"/>
        </a:xfrm>
        <a:prstGeom xmlns:a="http://schemas.openxmlformats.org/drawingml/2006/main" prst="straightConnector1">
          <a:avLst/>
        </a:prstGeom>
        <a:l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textRotate="1"/>
    <customShpInfo spid="_x0000_s2054" textRotate="1"/>
    <customShpInfo spid="_x0000_s1026"/>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44</Pages>
  <Words>17104</Words>
  <Characters>18160</Characters>
  <Lines>136</Lines>
  <Paragraphs>38</Paragraphs>
  <TotalTime>28</TotalTime>
  <ScaleCrop>false</ScaleCrop>
  <LinksUpToDate>false</LinksUpToDate>
  <CharactersWithSpaces>18341</CharactersWithSpaces>
  <Application>WPS Office WWO_wpscloud_20230720202225-4baa9b4cf6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YY</cp:lastModifiedBy>
  <cp:lastPrinted>2022-08-06T10:23:00Z</cp:lastPrinted>
  <dcterms:modified xsi:type="dcterms:W3CDTF">2023-07-21T14:56:37Z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18C4299B72334D3095585539B3212D20</vt:lpwstr>
  </property>
</Properties>
</file>