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78441"/>
      <w:bookmarkStart w:id="1" w:name="_Toc15396475"/>
      <w:bookmarkStart w:id="2" w:name="_Toc15396597"/>
      <w:bookmarkStart w:id="3" w:name="_Toc15377425"/>
      <w:bookmarkStart w:id="4" w:name="_Toc15306267"/>
      <w:bookmarkStart w:id="5" w:name="_Toc15377193"/>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bookmarkEnd w:id="0"/>
    <w:bookmarkEnd w:id="1"/>
    <w:bookmarkEnd w:id="2"/>
    <w:bookmarkEnd w:id="3"/>
    <w:bookmarkEnd w:id="4"/>
    <w:bookmarkEnd w:id="5"/>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78442"/>
      <w:bookmarkStart w:id="7" w:name="_Toc15377194"/>
      <w:bookmarkStart w:id="8" w:name="_Toc15377426"/>
      <w:bookmarkStart w:id="9" w:name="_Toc15396598"/>
      <w:bookmarkStart w:id="10" w:name="_Toc15396476"/>
      <w:bookmarkStart w:id="11" w:name="_Toc15306268"/>
      <w:r>
        <w:rPr>
          <w:rFonts w:hint="eastAsia" w:ascii="方正小标宋简体" w:hAnsi="方正小标宋简体" w:eastAsia="方正小标宋简体" w:cs="方正小标宋简体"/>
          <w:color w:val="auto"/>
          <w:sz w:val="72"/>
          <w:szCs w:val="72"/>
          <w:highlight w:val="none"/>
          <w:lang w:eastAsia="zh-CN"/>
        </w:rPr>
        <w:t>中共广元市委老干部局</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年度部门决算</w:t>
      </w:r>
      <w:bookmarkEnd w:id="6"/>
      <w:bookmarkEnd w:id="7"/>
      <w:bookmarkEnd w:id="8"/>
      <w:bookmarkEnd w:id="9"/>
      <w:bookmarkEnd w:id="10"/>
      <w:bookmarkEnd w:id="11"/>
      <w:r>
        <w:rPr>
          <w:rFonts w:hint="eastAsia" w:ascii="方正小标宋简体" w:hAnsi="方正小标宋简体" w:eastAsia="方正小标宋简体" w:cs="方正小标宋简体"/>
          <w:color w:val="auto"/>
          <w:sz w:val="72"/>
          <w:szCs w:val="72"/>
          <w:highlight w:val="none"/>
          <w:lang w:eastAsia="zh-CN"/>
        </w:rPr>
        <w:t>公开</w:t>
      </w:r>
    </w:p>
    <w:p>
      <w:pPr>
        <w:widowControl/>
        <w:jc w:val="center"/>
        <w:rPr>
          <w:rFonts w:ascii="黑体" w:hAnsi="黑体" w:eastAsia="黑体" w:cs="宋体"/>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1"/>
        <w:rPr>
          <w:rFonts w:hint="eastAsia"/>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27</w:t>
      </w:r>
      <w:r>
        <w:rPr>
          <w:rFonts w:hint="eastAsia"/>
          <w:color w:val="auto"/>
          <w:highlight w:val="none"/>
        </w:rPr>
        <w:t>日</w:t>
      </w:r>
    </w:p>
    <w:p>
      <w:pPr>
        <w:pStyle w:val="11"/>
        <w:adjustRightInd w:val="0"/>
        <w:snapToGrid w:val="0"/>
        <w:spacing w:before="0" w:line="440" w:lineRule="exact"/>
        <w:jc w:val="left"/>
        <w:rPr>
          <w:rFonts w:hint="default" w:eastAsia="仿宋" w:cs="宋体"/>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color w:val="auto"/>
          <w:sz w:val="24"/>
          <w:highlight w:val="none"/>
          <w:lang w:val="en-US" w:eastAsia="zh-CN"/>
        </w:rPr>
        <w:t>...........................................4</w:t>
      </w:r>
    </w:p>
    <w:p>
      <w:pPr>
        <w:pStyle w:val="12"/>
        <w:adjustRightInd w:val="0"/>
        <w:snapToGrid w:val="0"/>
        <w:spacing w:line="440" w:lineRule="exact"/>
        <w:jc w:val="left"/>
        <w:rPr>
          <w:rFonts w:hint="default" w:ascii="仿宋" w:hAnsi="仿宋" w:eastAsia="宋体"/>
          <w:color w:val="auto"/>
          <w:sz w:val="24"/>
          <w:highlight w:val="none"/>
          <w:lang w:val="en-US" w:eastAsia="zh-CN"/>
        </w:rPr>
      </w:pPr>
      <w:r>
        <w:rPr>
          <w:rFonts w:hint="eastAsia"/>
          <w:color w:val="auto"/>
          <w:sz w:val="24"/>
          <w:highlight w:val="none"/>
        </w:rPr>
        <w:t>一、基本职能及主要工作</w:t>
      </w:r>
      <w:r>
        <w:rPr>
          <w:rFonts w:hint="eastAsia"/>
          <w:color w:val="auto"/>
          <w:sz w:val="24"/>
          <w:highlight w:val="none"/>
          <w:lang w:val="en-US" w:eastAsia="zh-CN"/>
        </w:rPr>
        <w:t>.....................................................................4</w:t>
      </w:r>
    </w:p>
    <w:p>
      <w:pPr>
        <w:pStyle w:val="12"/>
        <w:adjustRightInd w:val="0"/>
        <w:snapToGrid w:val="0"/>
        <w:spacing w:line="440" w:lineRule="exact"/>
        <w:jc w:val="left"/>
        <w:rPr>
          <w:rFonts w:hint="default" w:ascii="仿宋" w:hAnsi="仿宋" w:eastAsia="宋体" w:cs="宋体"/>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.........................................................................................9</w:t>
      </w:r>
    </w:p>
    <w:p>
      <w:pPr>
        <w:pStyle w:val="11"/>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rPr>
        <w:t>部门决算情况说明</w:t>
      </w:r>
      <w:r>
        <w:rPr>
          <w:rFonts w:hint="eastAsia"/>
          <w:color w:val="auto"/>
          <w:sz w:val="24"/>
          <w:highlight w:val="none"/>
          <w:lang w:val="en-US" w:eastAsia="zh-CN"/>
        </w:rPr>
        <w:t>..........................10</w:t>
      </w:r>
    </w:p>
    <w:p>
      <w:pPr>
        <w:pStyle w:val="12"/>
        <w:adjustRightInd w:val="0"/>
        <w:snapToGrid w:val="0"/>
        <w:spacing w:line="440" w:lineRule="exact"/>
        <w:jc w:val="left"/>
        <w:rPr>
          <w:rFonts w:hint="default" w:ascii="仿宋" w:hAnsi="仿宋" w:eastAsia="宋体" w:cs="宋体"/>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........................................................10</w:t>
      </w:r>
    </w:p>
    <w:p>
      <w:pPr>
        <w:pStyle w:val="12"/>
        <w:adjustRightInd w:val="0"/>
        <w:snapToGrid w:val="0"/>
        <w:spacing w:line="440" w:lineRule="exact"/>
        <w:jc w:val="left"/>
        <w:rPr>
          <w:rFonts w:hint="eastAsia"/>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........................................................................10</w:t>
      </w:r>
    </w:p>
    <w:p>
      <w:pPr>
        <w:pStyle w:val="12"/>
        <w:adjustRightInd w:val="0"/>
        <w:snapToGrid w:val="0"/>
        <w:spacing w:line="440" w:lineRule="exact"/>
        <w:jc w:val="left"/>
        <w:rPr>
          <w:rFonts w:hint="default" w:ascii="仿宋" w:hAnsi="仿宋" w:eastAsia="宋体" w:cs="宋体"/>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........................................................................11</w:t>
      </w:r>
    </w:p>
    <w:p>
      <w:pPr>
        <w:pStyle w:val="12"/>
        <w:adjustRightInd w:val="0"/>
        <w:snapToGrid w:val="0"/>
        <w:spacing w:line="440" w:lineRule="exact"/>
        <w:jc w:val="left"/>
        <w:rPr>
          <w:rFonts w:hint="default" w:ascii="仿宋" w:hAnsi="仿宋" w:eastAsia="宋体" w:cs="宋体"/>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........................................11</w:t>
      </w:r>
    </w:p>
    <w:p>
      <w:pPr>
        <w:pStyle w:val="12"/>
        <w:adjustRightInd w:val="0"/>
        <w:snapToGrid w:val="0"/>
        <w:spacing w:line="440" w:lineRule="exact"/>
        <w:jc w:val="left"/>
        <w:rPr>
          <w:rFonts w:hint="default" w:ascii="仿宋" w:hAnsi="仿宋" w:eastAsia="宋体" w:cs="宋体"/>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................................12</w:t>
      </w:r>
    </w:p>
    <w:p>
      <w:pPr>
        <w:pStyle w:val="12"/>
        <w:adjustRightInd w:val="0"/>
        <w:snapToGrid w:val="0"/>
        <w:spacing w:line="440" w:lineRule="exact"/>
        <w:jc w:val="left"/>
        <w:rPr>
          <w:rFonts w:hint="default" w:ascii="仿宋" w:hAnsi="仿宋" w:eastAsia="宋体" w:cs="宋体"/>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........................14</w:t>
      </w:r>
    </w:p>
    <w:p>
      <w:pPr>
        <w:pStyle w:val="12"/>
        <w:adjustRightInd w:val="0"/>
        <w:snapToGrid w:val="0"/>
        <w:spacing w:line="440" w:lineRule="exact"/>
        <w:jc w:val="left"/>
        <w:rPr>
          <w:rFonts w:hint="default" w:ascii="仿宋" w:hAnsi="仿宋" w:eastAsia="宋体" w:cs="宋体"/>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val="en-US" w:eastAsia="zh-CN"/>
        </w:rPr>
        <w:t>..................................14</w:t>
      </w:r>
    </w:p>
    <w:p>
      <w:pPr>
        <w:pStyle w:val="12"/>
        <w:adjustRightInd w:val="0"/>
        <w:snapToGrid w:val="0"/>
        <w:spacing w:line="440" w:lineRule="exact"/>
        <w:jc w:val="left"/>
        <w:rPr>
          <w:rFonts w:hint="default" w:ascii="仿宋" w:hAnsi="仿宋" w:eastAsia="宋体" w:cs="宋体"/>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............................................16</w:t>
      </w:r>
    </w:p>
    <w:p>
      <w:pPr>
        <w:pStyle w:val="12"/>
        <w:adjustRightInd w:val="0"/>
        <w:snapToGrid w:val="0"/>
        <w:spacing w:line="440" w:lineRule="exact"/>
        <w:ind w:left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eastAsia="宋体" w:cs="宋体"/>
          <w:color w:val="auto"/>
          <w:sz w:val="24"/>
          <w:highlight w:val="none"/>
          <w:lang w:val="en-US" w:eastAsia="zh-CN"/>
        </w:rPr>
        <w:t>....................16</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宋体" w:cs="宋体"/>
          <w:color w:val="auto"/>
          <w:sz w:val="24"/>
          <w:highlight w:val="none"/>
          <w:lang w:val="en-US" w:eastAsia="zh-CN"/>
        </w:rPr>
      </w:pPr>
      <w:r>
        <w:rPr>
          <w:rStyle w:val="17"/>
          <w:rFonts w:hint="eastAsia" w:ascii="宋体" w:hAnsi="宋体" w:eastAsia="宋体" w:cs="宋体"/>
          <w:color w:val="auto"/>
          <w:sz w:val="24"/>
          <w:highlight w:val="none"/>
          <w:u w:val="none"/>
          <w:lang w:eastAsia="zh-CN"/>
        </w:rPr>
        <w:t>十</w:t>
      </w:r>
      <w:r>
        <w:rPr>
          <w:rStyle w:val="17"/>
          <w:rFonts w:hint="eastAsia" w:ascii="宋体" w:hAnsi="宋体" w:eastAsia="宋体" w:cs="宋体"/>
          <w:color w:val="auto"/>
          <w:sz w:val="24"/>
          <w:highlight w:val="none"/>
          <w:u w:val="none"/>
        </w:rPr>
        <w:t>、</w:t>
      </w:r>
      <w:r>
        <w:rPr>
          <w:rFonts w:hint="eastAsia" w:ascii="宋体" w:hAnsi="宋体" w:eastAsia="宋体" w:cs="宋体"/>
          <w:color w:val="auto"/>
          <w:sz w:val="24"/>
          <w:highlight w:val="none"/>
          <w:lang w:val="en-US" w:eastAsia="zh-CN"/>
        </w:rPr>
        <w:t>预算绩效管理情况</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...................................16</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eastAsia="宋体"/>
          <w:lang w:val="en-US" w:eastAsia="zh-CN"/>
        </w:rPr>
      </w:pPr>
      <w:r>
        <w:rPr>
          <w:rFonts w:hint="eastAsia" w:ascii="宋体" w:hAnsi="宋体" w:eastAsia="宋体" w:cs="宋体"/>
          <w:color w:val="auto"/>
          <w:sz w:val="24"/>
          <w:highlight w:val="none"/>
          <w:lang w:val="en-US" w:eastAsia="zh-CN"/>
        </w:rPr>
        <w:t>十一、</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lang w:val="en-US" w:eastAsia="zh-CN"/>
        </w:rPr>
        <w:t>............................17</w:t>
      </w:r>
    </w:p>
    <w:p>
      <w:pPr>
        <w:pStyle w:val="11"/>
        <w:adjustRightInd w:val="0"/>
        <w:snapToGrid w:val="0"/>
        <w:spacing w:before="0" w:line="440" w:lineRule="exact"/>
        <w:jc w:val="left"/>
        <w:rPr>
          <w:rFonts w:hint="default" w:eastAsia="仿宋" w:cs="宋体"/>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...........................................18</w:t>
      </w:r>
    </w:p>
    <w:p>
      <w:pPr>
        <w:pStyle w:val="11"/>
        <w:adjustRightInd w:val="0"/>
        <w:snapToGrid w:val="0"/>
        <w:spacing w:before="0" w:line="440" w:lineRule="exact"/>
        <w:jc w:val="left"/>
        <w:rPr>
          <w:rFonts w:hint="default" w:eastAsia="仿宋" w:cs="宋体"/>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...............................................20</w:t>
      </w:r>
    </w:p>
    <w:p>
      <w:pPr>
        <w:pStyle w:val="11"/>
        <w:adjustRightInd w:val="0"/>
        <w:snapToGrid w:val="0"/>
        <w:spacing w:before="0" w:line="440" w:lineRule="exact"/>
        <w:jc w:val="left"/>
        <w:rPr>
          <w:rFonts w:hint="default" w:eastAsia="仿宋" w:cs="宋体"/>
          <w:color w:val="auto"/>
          <w:sz w:val="24"/>
          <w:szCs w:val="24"/>
          <w:highlight w:val="none"/>
          <w:lang w:val="en-US" w:eastAsia="zh-CN"/>
        </w:rPr>
      </w:pPr>
      <w:bookmarkStart w:id="12" w:name="_Toc15396599"/>
      <w:bookmarkStart w:id="13" w:name="_Toc15377196"/>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...............................................49</w:t>
      </w:r>
    </w:p>
    <w:p>
      <w:pPr>
        <w:pStyle w:val="12"/>
        <w:adjustRightInd w:val="0"/>
        <w:snapToGrid w:val="0"/>
        <w:spacing w:line="440" w:lineRule="exact"/>
        <w:jc w:val="left"/>
        <w:rPr>
          <w:rFonts w:hint="default" w:ascii="仿宋" w:hAnsi="仿宋" w:eastAsia="宋体" w:cs="宋体"/>
          <w:color w:val="auto"/>
          <w:sz w:val="24"/>
          <w:highlight w:val="none"/>
          <w:lang w:val="en-US" w:eastAsia="zh-CN"/>
        </w:rPr>
      </w:pPr>
      <w:r>
        <w:rPr>
          <w:rFonts w:hint="eastAsia" w:ascii="仿宋" w:hAnsi="仿宋" w:eastAsia="仿宋"/>
          <w:color w:val="auto"/>
          <w:sz w:val="24"/>
          <w:highlight w:val="none"/>
        </w:rPr>
        <w:t>一、</w:t>
      </w:r>
      <w:r>
        <w:rPr>
          <w:rFonts w:hint="eastAsia"/>
          <w:color w:val="auto"/>
          <w:sz w:val="24"/>
          <w:highlight w:val="none"/>
        </w:rPr>
        <w:t>收入支出决算总表</w:t>
      </w:r>
      <w:r>
        <w:rPr>
          <w:rFonts w:hint="eastAsia"/>
          <w:color w:val="auto"/>
          <w:sz w:val="24"/>
          <w:highlight w:val="none"/>
          <w:lang w:val="en-US" w:eastAsia="zh-CN"/>
        </w:rPr>
        <w:t>.........................................................................49</w:t>
      </w:r>
    </w:p>
    <w:p>
      <w:pPr>
        <w:pStyle w:val="12"/>
        <w:adjustRightInd w:val="0"/>
        <w:snapToGrid w:val="0"/>
        <w:spacing w:line="4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二、收入决算表</w:t>
      </w:r>
      <w:r>
        <w:rPr>
          <w:rFonts w:hint="eastAsia" w:ascii="宋体" w:hAnsi="宋体" w:eastAsia="宋体" w:cs="宋体"/>
          <w:color w:val="auto"/>
          <w:sz w:val="24"/>
          <w:highlight w:val="none"/>
          <w:lang w:val="en-US" w:eastAsia="zh-CN"/>
        </w:rPr>
        <w:t>...........................................49</w:t>
      </w:r>
    </w:p>
    <w:p>
      <w:pPr>
        <w:pStyle w:val="12"/>
        <w:adjustRightInd w:val="0"/>
        <w:snapToGrid w:val="0"/>
        <w:spacing w:line="4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三、支出决算表</w:t>
      </w:r>
      <w:r>
        <w:rPr>
          <w:rFonts w:hint="eastAsia" w:ascii="宋体" w:hAnsi="宋体" w:eastAsia="宋体" w:cs="宋体"/>
          <w:color w:val="auto"/>
          <w:sz w:val="24"/>
          <w:highlight w:val="none"/>
          <w:lang w:val="en-US" w:eastAsia="zh-CN"/>
        </w:rPr>
        <w:t>...........................................49</w:t>
      </w:r>
    </w:p>
    <w:p>
      <w:pPr>
        <w:pStyle w:val="12"/>
        <w:adjustRightInd w:val="0"/>
        <w:snapToGrid w:val="0"/>
        <w:spacing w:line="4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四、财政拨款收入支出决算总表</w:t>
      </w:r>
      <w:r>
        <w:rPr>
          <w:rFonts w:hint="eastAsia" w:ascii="宋体" w:hAnsi="宋体" w:eastAsia="宋体" w:cs="宋体"/>
          <w:color w:val="auto"/>
          <w:sz w:val="24"/>
          <w:highlight w:val="none"/>
          <w:lang w:val="en-US" w:eastAsia="zh-CN"/>
        </w:rPr>
        <w:t>.............................49</w:t>
      </w:r>
    </w:p>
    <w:p>
      <w:pPr>
        <w:pStyle w:val="12"/>
        <w:adjustRightInd w:val="0"/>
        <w:snapToGrid w:val="0"/>
        <w:spacing w:line="4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五、财政拨款支出决算明细表</w:t>
      </w:r>
      <w:r>
        <w:rPr>
          <w:rFonts w:hint="eastAsia" w:ascii="宋体" w:hAnsi="宋体" w:eastAsia="宋体" w:cs="宋体"/>
          <w:color w:val="auto"/>
          <w:sz w:val="24"/>
          <w:highlight w:val="none"/>
          <w:lang w:val="en-US" w:eastAsia="zh-CN"/>
        </w:rPr>
        <w:t>...............................49</w:t>
      </w:r>
    </w:p>
    <w:p>
      <w:pPr>
        <w:pStyle w:val="12"/>
        <w:adjustRightInd w:val="0"/>
        <w:snapToGrid w:val="0"/>
        <w:spacing w:line="4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六、一般公共预算财政拨款支出决算表</w:t>
      </w:r>
      <w:r>
        <w:rPr>
          <w:rFonts w:hint="eastAsia" w:ascii="宋体" w:hAnsi="宋体" w:eastAsia="宋体" w:cs="宋体"/>
          <w:color w:val="auto"/>
          <w:sz w:val="24"/>
          <w:highlight w:val="none"/>
          <w:lang w:val="en-US" w:eastAsia="zh-CN"/>
        </w:rPr>
        <w:t>.......................49</w:t>
      </w:r>
    </w:p>
    <w:p>
      <w:pPr>
        <w:pStyle w:val="12"/>
        <w:adjustRightInd w:val="0"/>
        <w:snapToGrid w:val="0"/>
        <w:spacing w:line="4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七、一般公共预算财政拨款支出决算明细表</w:t>
      </w:r>
      <w:r>
        <w:rPr>
          <w:rFonts w:hint="eastAsia" w:ascii="宋体" w:hAnsi="宋体" w:eastAsia="宋体" w:cs="宋体"/>
          <w:color w:val="auto"/>
          <w:sz w:val="24"/>
          <w:highlight w:val="none"/>
          <w:lang w:val="en-US" w:eastAsia="zh-CN"/>
        </w:rPr>
        <w:t>...................49</w:t>
      </w:r>
    </w:p>
    <w:p>
      <w:pPr>
        <w:pStyle w:val="12"/>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八、一般公共预算财政拨款基本支出决算表</w:t>
      </w:r>
      <w:r>
        <w:rPr>
          <w:rFonts w:hint="eastAsia" w:ascii="宋体" w:hAnsi="宋体" w:eastAsia="宋体" w:cs="宋体"/>
          <w:color w:val="auto"/>
          <w:sz w:val="24"/>
          <w:highlight w:val="none"/>
          <w:lang w:val="en-US" w:eastAsia="zh-CN"/>
        </w:rPr>
        <w:t>...................49</w:t>
      </w:r>
    </w:p>
    <w:p>
      <w:pPr>
        <w:pStyle w:val="12"/>
        <w:adjustRightInd w:val="0"/>
        <w:snapToGrid w:val="0"/>
        <w:spacing w:line="4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九、一般公共预算财政拨款项目支出决算表</w:t>
      </w:r>
      <w:r>
        <w:rPr>
          <w:rFonts w:hint="eastAsia" w:ascii="宋体" w:hAnsi="宋体" w:eastAsia="宋体" w:cs="宋体"/>
          <w:color w:val="auto"/>
          <w:sz w:val="24"/>
          <w:highlight w:val="none"/>
          <w:lang w:val="en-US" w:eastAsia="zh-CN"/>
        </w:rPr>
        <w:t>...................49</w:t>
      </w:r>
    </w:p>
    <w:p>
      <w:pPr>
        <w:pStyle w:val="12"/>
        <w:adjustRightInd w:val="0"/>
        <w:snapToGrid w:val="0"/>
        <w:spacing w:line="44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十、一般公共预算财政拨款“三公”经费支出决算表</w:t>
      </w:r>
      <w:r>
        <w:rPr>
          <w:rFonts w:hint="eastAsia" w:ascii="宋体" w:hAnsi="宋体" w:eastAsia="宋体" w:cs="宋体"/>
          <w:color w:val="auto"/>
          <w:sz w:val="24"/>
          <w:highlight w:val="none"/>
          <w:lang w:val="en-US" w:eastAsia="zh-CN"/>
        </w:rPr>
        <w:t>...........49</w:t>
      </w:r>
    </w:p>
    <w:p>
      <w:pPr>
        <w:pStyle w:val="12"/>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十一、政府性基金预算财政拨款收入支出决算表</w:t>
      </w:r>
      <w:r>
        <w:rPr>
          <w:rFonts w:hint="eastAsia" w:ascii="宋体" w:hAnsi="宋体" w:eastAsia="宋体" w:cs="宋体"/>
          <w:color w:val="auto"/>
          <w:sz w:val="24"/>
          <w:highlight w:val="none"/>
          <w:lang w:val="en-US" w:eastAsia="zh-CN"/>
        </w:rPr>
        <w:t>...............49</w:t>
      </w:r>
    </w:p>
    <w:p>
      <w:pPr>
        <w:pStyle w:val="12"/>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十二、政府性基金预算财政拨款“三公”经费支出决算表</w:t>
      </w:r>
      <w:r>
        <w:rPr>
          <w:rFonts w:hint="eastAsia" w:ascii="宋体" w:hAnsi="宋体" w:eastAsia="宋体" w:cs="宋体"/>
          <w:color w:val="auto"/>
          <w:sz w:val="24"/>
          <w:highlight w:val="none"/>
          <w:lang w:val="en-US" w:eastAsia="zh-CN"/>
        </w:rPr>
        <w:t>.......49</w:t>
      </w:r>
    </w:p>
    <w:p>
      <w:pPr>
        <w:pStyle w:val="12"/>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十三、国有资本经营预算</w:t>
      </w:r>
      <w:r>
        <w:rPr>
          <w:rFonts w:hint="eastAsia" w:ascii="宋体" w:hAnsi="宋体" w:eastAsia="宋体" w:cs="宋体"/>
          <w:color w:val="auto"/>
          <w:sz w:val="24"/>
          <w:highlight w:val="none"/>
          <w:lang w:eastAsia="zh-CN"/>
        </w:rPr>
        <w:t>财政拨款收入</w:t>
      </w:r>
      <w:r>
        <w:rPr>
          <w:rFonts w:hint="eastAsia" w:ascii="宋体" w:hAnsi="宋体" w:eastAsia="宋体" w:cs="宋体"/>
          <w:color w:val="auto"/>
          <w:sz w:val="24"/>
          <w:highlight w:val="none"/>
        </w:rPr>
        <w:t>支出决算表</w:t>
      </w:r>
      <w:r>
        <w:rPr>
          <w:rFonts w:hint="eastAsia" w:ascii="宋体" w:hAnsi="宋体" w:eastAsia="宋体" w:cs="宋体"/>
          <w:color w:val="auto"/>
          <w:sz w:val="24"/>
          <w:highlight w:val="none"/>
          <w:lang w:val="en-US" w:eastAsia="zh-CN"/>
        </w:rPr>
        <w:t>.............49</w:t>
      </w:r>
    </w:p>
    <w:p>
      <w:pPr>
        <w:pStyle w:val="12"/>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十四、国有资本经营预算财政拨款支出决算表.................49</w:t>
      </w:r>
    </w:p>
    <w:p>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pPr>
        <w:pStyle w:val="3"/>
        <w:pageBreakBefore w:val="0"/>
        <w:kinsoku/>
        <w:wordWrap/>
        <w:overflowPunct/>
        <w:topLinePunct w:val="0"/>
        <w:autoSpaceDE/>
        <w:autoSpaceDN/>
        <w:bidi w:val="0"/>
        <w:spacing w:before="0" w:after="0" w:line="576" w:lineRule="exact"/>
        <w:jc w:val="center"/>
        <w:textAlignment w:val="auto"/>
        <w:rPr>
          <w:rStyle w:val="28"/>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28"/>
          <w:rFonts w:hint="eastAsia" w:ascii="黑体" w:hAnsi="黑体" w:eastAsia="黑体"/>
          <w:b w:val="0"/>
          <w:bCs w:val="0"/>
          <w:color w:val="auto"/>
          <w:highlight w:val="none"/>
        </w:rPr>
        <w:t>部门概况</w:t>
      </w:r>
      <w:bookmarkEnd w:id="12"/>
      <w:bookmarkEnd w:id="13"/>
    </w:p>
    <w:p>
      <w:pPr>
        <w:pageBreakBefore w:val="0"/>
        <w:widowControl/>
        <w:kinsoku/>
        <w:wordWrap/>
        <w:overflowPunct/>
        <w:topLinePunct w:val="0"/>
        <w:autoSpaceDE/>
        <w:autoSpaceDN/>
        <w:bidi w:val="0"/>
        <w:spacing w:line="576" w:lineRule="exact"/>
        <w:jc w:val="left"/>
        <w:textAlignment w:val="auto"/>
        <w:rPr>
          <w:rFonts w:ascii="黑体" w:eastAsia="黑体"/>
          <w:color w:val="auto"/>
          <w:sz w:val="32"/>
          <w:szCs w:val="32"/>
          <w:highlight w:val="none"/>
        </w:rPr>
      </w:pPr>
    </w:p>
    <w:p>
      <w:pPr>
        <w:pStyle w:val="4"/>
        <w:pageBreakBefore w:val="0"/>
        <w:kinsoku/>
        <w:wordWrap/>
        <w:overflowPunct/>
        <w:topLinePunct w:val="0"/>
        <w:autoSpaceDE/>
        <w:autoSpaceDN/>
        <w:bidi w:val="0"/>
        <w:spacing w:before="0" w:after="0" w:line="576" w:lineRule="exact"/>
        <w:textAlignment w:val="auto"/>
        <w:rPr>
          <w:rStyle w:val="29"/>
          <w:rFonts w:ascii="仿宋" w:hAnsi="仿宋" w:eastAsia="仿宋"/>
          <w:b w:val="0"/>
          <w:bCs w:val="0"/>
          <w:color w:val="auto"/>
          <w:highlight w:val="none"/>
        </w:rPr>
      </w:pPr>
      <w:bookmarkStart w:id="14" w:name="_Toc15396600"/>
      <w:bookmarkStart w:id="15" w:name="_Toc15377197"/>
      <w:r>
        <w:rPr>
          <w:rFonts w:hint="eastAsia" w:ascii="黑体" w:hAnsi="黑体" w:eastAsia="黑体"/>
          <w:b w:val="0"/>
          <w:color w:val="auto"/>
          <w:highlight w:val="none"/>
        </w:rPr>
        <w:t>一、基</w:t>
      </w:r>
      <w:r>
        <w:rPr>
          <w:rStyle w:val="29"/>
          <w:rFonts w:hint="eastAsia" w:ascii="黑体" w:hAnsi="黑体" w:eastAsia="黑体"/>
          <w:b w:val="0"/>
          <w:bCs w:val="0"/>
          <w:color w:val="auto"/>
          <w:highlight w:val="none"/>
        </w:rPr>
        <w:t>本职能及主要工作</w:t>
      </w:r>
      <w:bookmarkEnd w:id="14"/>
      <w:bookmarkEnd w:id="15"/>
    </w:p>
    <w:p>
      <w:pPr>
        <w:pStyle w:val="2"/>
        <w:pageBreakBefore w:val="0"/>
        <w:kinsoku/>
        <w:wordWrap/>
        <w:overflowPunct/>
        <w:topLinePunct w:val="0"/>
        <w:autoSpaceDE/>
        <w:autoSpaceDN/>
        <w:bidi w:val="0"/>
        <w:adjustRightInd w:val="0"/>
        <w:snapToGrid w:val="0"/>
        <w:spacing w:line="576" w:lineRule="exact"/>
        <w:ind w:firstLine="672" w:firstLineChars="210"/>
        <w:textAlignment w:val="auto"/>
        <w:outlineLvl w:val="2"/>
        <w:rPr>
          <w:rFonts w:hint="eastAsia" w:ascii="楷体_GB2312" w:hAnsi="楷体_GB2312" w:eastAsia="楷体_GB2312" w:cs="楷体_GB2312"/>
          <w:bCs/>
          <w:color w:val="auto"/>
          <w:sz w:val="32"/>
          <w:szCs w:val="32"/>
          <w:highlight w:val="none"/>
        </w:rPr>
      </w:pPr>
      <w:bookmarkStart w:id="16" w:name="_Toc15377198"/>
      <w:bookmarkStart w:id="17" w:name="_Toc15378445"/>
      <w:r>
        <w:rPr>
          <w:rFonts w:hint="eastAsia" w:ascii="楷体_GB2312" w:hAnsi="楷体_GB2312" w:eastAsia="楷体_GB2312" w:cs="楷体_GB2312"/>
          <w:bCs/>
          <w:color w:val="auto"/>
          <w:sz w:val="32"/>
          <w:szCs w:val="32"/>
          <w:highlight w:val="none"/>
        </w:rPr>
        <w:t>（一）主要职能</w:t>
      </w:r>
      <w:bookmarkEnd w:id="16"/>
      <w:bookmarkEnd w:id="17"/>
    </w:p>
    <w:p>
      <w:pPr>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bookmarkStart w:id="18" w:name="_Toc15377199"/>
      <w:bookmarkStart w:id="19" w:name="_Toc15378446"/>
      <w:r>
        <w:rPr>
          <w:rFonts w:hint="eastAsia" w:ascii="仿宋_GB2312" w:hAnsi="Times New Roman" w:eastAsia="仿宋_GB2312" w:cs="仿宋_GB2312"/>
          <w:i w:val="0"/>
          <w:caps w:val="0"/>
          <w:color w:val="333333"/>
          <w:spacing w:val="0"/>
          <w:kern w:val="0"/>
          <w:sz w:val="32"/>
          <w:szCs w:val="32"/>
          <w:shd w:val="clear" w:color="auto" w:fill="FFFFFF"/>
          <w:lang w:val="en-US" w:eastAsia="zh-CN"/>
        </w:rPr>
        <w:t>1.贯彻党中央、国务院</w:t>
      </w:r>
      <w:r>
        <w:rPr>
          <w:rFonts w:hint="eastAsia" w:hAnsi="Times New Roman" w:cs="仿宋_GB2312"/>
          <w:i w:val="0"/>
          <w:caps w:val="0"/>
          <w:color w:val="333333"/>
          <w:spacing w:val="0"/>
          <w:kern w:val="0"/>
          <w:sz w:val="32"/>
          <w:szCs w:val="32"/>
          <w:shd w:val="clear" w:color="auto" w:fill="FFFFFF"/>
          <w:lang w:val="en-US" w:eastAsia="zh-CN"/>
        </w:rPr>
        <w:t>和</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省委、省政府关于老干部工作的方针政策和市委、市政府有关部署要求，负责全市老干部工作宏观管理，指导、协调、督促和检查全市老干部工作；调查研究老干部工作相关政策的意见，报市委市政府决策；向上级报告全市老干部工作情况，提出意见和建议。</w:t>
      </w:r>
    </w:p>
    <w:p>
      <w:pPr>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2.指导全市老干部工作机构加强离退休干部政治建设、思想建设和党组织建设工作。</w:t>
      </w:r>
    </w:p>
    <w:p>
      <w:pPr>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3.指导全市老干部工作机构发挥离退休干部优势和作用，积极组织开展为党</w:t>
      </w:r>
      <w:r>
        <w:rPr>
          <w:rFonts w:hint="eastAsia" w:hAnsi="Times New Roman" w:cs="仿宋_GB2312"/>
          <w:i w:val="0"/>
          <w:caps w:val="0"/>
          <w:color w:val="333333"/>
          <w:spacing w:val="0"/>
          <w:kern w:val="0"/>
          <w:sz w:val="32"/>
          <w:szCs w:val="32"/>
          <w:shd w:val="clear" w:color="auto" w:fill="FFFFFF"/>
          <w:lang w:val="en-US" w:eastAsia="zh-CN"/>
        </w:rPr>
        <w:t>和</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人民事业增添正能量活动。</w:t>
      </w:r>
    </w:p>
    <w:p>
      <w:pPr>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4.督促、检查各级各部门落实离退休干部政治待遇、生活待遇，指导协调解决离退休干部及离休干部无工作遗属特殊困难问题；组织安排重大节日慰问、座谈等工作，指导协调做好地厅级离退休干部参观考察、健康休养和老干部生病住院看望慰问工作；指导协调做好全市老干部保健工作；协调处理市级老干部治丧有关工作；协调异地安置离休干部有关事宜。</w:t>
      </w:r>
    </w:p>
    <w:p>
      <w:pPr>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5.指导和加强全市离退休干部活动阵地、学习阵地规范化建设。</w:t>
      </w:r>
    </w:p>
    <w:p>
      <w:pPr>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6.做好离休干部、建国初期参加革命工作人员和厅级退休干部等服务管理工作；调研了解、协调解决县级退休干部工作的有关问题。</w:t>
      </w:r>
    </w:p>
    <w:p>
      <w:pPr>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7.加强离退休干部信息化建设。</w:t>
      </w:r>
    </w:p>
    <w:p>
      <w:pPr>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8.做好离退休干部来信来访工作。</w:t>
      </w:r>
    </w:p>
    <w:p>
      <w:pPr>
        <w:pageBreakBefore w:val="0"/>
        <w:kinsoku/>
        <w:wordWrap/>
        <w:overflowPunct/>
        <w:topLinePunct w:val="0"/>
        <w:autoSpaceDE/>
        <w:autoSpaceDN/>
        <w:bidi w:val="0"/>
        <w:spacing w:line="576" w:lineRule="exact"/>
        <w:ind w:firstLine="640" w:firstLineChars="200"/>
        <w:textAlignment w:val="auto"/>
        <w:rPr>
          <w:rFonts w:hint="default"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9.做好新时代关心下一代工作。</w:t>
      </w:r>
    </w:p>
    <w:p>
      <w:pPr>
        <w:pageBreakBefore w:val="0"/>
        <w:kinsoku/>
        <w:wordWrap/>
        <w:overflowPunct/>
        <w:topLinePunct w:val="0"/>
        <w:autoSpaceDE/>
        <w:autoSpaceDN/>
        <w:bidi w:val="0"/>
        <w:spacing w:line="576" w:lineRule="exact"/>
        <w:ind w:firstLine="640" w:firstLineChars="200"/>
        <w:textAlignment w:val="auto"/>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10.完成市委交办的其他工作任务。</w:t>
      </w:r>
    </w:p>
    <w:p>
      <w:pPr>
        <w:pStyle w:val="2"/>
        <w:pageBreakBefore w:val="0"/>
        <w:kinsoku/>
        <w:wordWrap/>
        <w:overflowPunct/>
        <w:topLinePunct w:val="0"/>
        <w:autoSpaceDE/>
        <w:autoSpaceDN/>
        <w:bidi w:val="0"/>
        <w:adjustRightInd w:val="0"/>
        <w:snapToGrid w:val="0"/>
        <w:spacing w:line="576" w:lineRule="exact"/>
        <w:ind w:firstLine="672" w:firstLineChars="210"/>
        <w:textAlignment w:val="auto"/>
        <w:outlineLvl w:val="2"/>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Cs/>
          <w:color w:val="auto"/>
          <w:sz w:val="32"/>
          <w:szCs w:val="32"/>
          <w:highlight w:val="none"/>
        </w:rPr>
        <w:t>（二）20</w:t>
      </w:r>
      <w:r>
        <w:rPr>
          <w:rFonts w:hint="eastAsia" w:ascii="楷体_GB2312" w:hAnsi="楷体_GB2312" w:eastAsia="楷体_GB2312" w:cs="楷体_GB2312"/>
          <w:bCs/>
          <w:color w:val="auto"/>
          <w:sz w:val="32"/>
          <w:szCs w:val="32"/>
          <w:highlight w:val="none"/>
          <w:lang w:val="en-US" w:eastAsia="zh-CN"/>
        </w:rPr>
        <w:t>21</w:t>
      </w:r>
      <w:r>
        <w:rPr>
          <w:rFonts w:hint="eastAsia" w:ascii="楷体_GB2312" w:hAnsi="楷体_GB2312" w:eastAsia="楷体_GB2312" w:cs="楷体_GB2312"/>
          <w:bCs/>
          <w:color w:val="auto"/>
          <w:sz w:val="32"/>
          <w:szCs w:val="32"/>
          <w:highlight w:val="none"/>
        </w:rPr>
        <w:t>年重点工作完成情况</w:t>
      </w:r>
      <w:bookmarkEnd w:id="18"/>
      <w:bookmarkEnd w:id="19"/>
      <w:bookmarkStart w:id="20" w:name="_Toc15377200"/>
      <w:bookmarkStart w:id="21" w:name="_Toc1539660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市委老干部局</w:t>
      </w:r>
      <w:r>
        <w:rPr>
          <w:rFonts w:hint="eastAsia" w:ascii="仿宋_GB2312" w:hAnsi="仿宋_GB2312" w:eastAsia="仿宋_GB2312" w:cs="仿宋_GB2312"/>
          <w:sz w:val="32"/>
          <w:szCs w:val="32"/>
        </w:rPr>
        <w:t>坚持以习近平新时代中国特色社会主义思想为指导，认真贯彻中央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市委重大决策部署，</w:t>
      </w:r>
      <w:r>
        <w:rPr>
          <w:rFonts w:hint="eastAsia" w:ascii="仿宋_GB2312" w:hAnsi="仿宋_GB2312" w:eastAsia="仿宋_GB2312" w:cs="仿宋_GB2312"/>
          <w:sz w:val="32"/>
          <w:szCs w:val="32"/>
          <w:lang w:eastAsia="zh-CN"/>
        </w:rPr>
        <w:t>坚决落实全国全省老干部局长会议精神，</w:t>
      </w:r>
      <w:r>
        <w:rPr>
          <w:rFonts w:hint="eastAsia" w:ascii="仿宋_GB2312" w:hAnsi="仿宋_GB2312" w:eastAsia="仿宋_GB2312" w:cs="仿宋_GB2312"/>
          <w:sz w:val="32"/>
          <w:szCs w:val="32"/>
        </w:rPr>
        <w:t>以庆祝中国共产党成立100周年为</w:t>
      </w:r>
      <w:r>
        <w:rPr>
          <w:rFonts w:hint="eastAsia" w:ascii="仿宋_GB2312" w:hAnsi="仿宋_GB2312" w:eastAsia="仿宋_GB2312" w:cs="仿宋_GB2312"/>
          <w:sz w:val="32"/>
          <w:szCs w:val="32"/>
          <w:lang w:eastAsia="zh-CN"/>
        </w:rPr>
        <w:t>主线</w:t>
      </w:r>
      <w:r>
        <w:rPr>
          <w:rFonts w:hint="eastAsia" w:ascii="仿宋_GB2312" w:hAnsi="仿宋_GB2312" w:eastAsia="仿宋_GB2312" w:cs="仿宋_GB2312"/>
          <w:sz w:val="32"/>
          <w:szCs w:val="32"/>
        </w:rPr>
        <w:t>，以“老干部服务质量提升年”</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为抓手，</w:t>
      </w:r>
      <w:r>
        <w:rPr>
          <w:rFonts w:hint="eastAsia" w:ascii="仿宋_GB2312" w:hAnsi="仿宋_GB2312" w:eastAsia="仿宋_GB2312" w:cs="仿宋_GB2312"/>
          <w:sz w:val="32"/>
          <w:szCs w:val="32"/>
          <w:lang w:eastAsia="zh-CN"/>
        </w:rPr>
        <w:t>推动全市老干部工作实现新发展、迈上新台阶。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sz w:val="32"/>
          <w:szCs w:val="32"/>
          <w:lang w:eastAsia="zh-CN"/>
        </w:rPr>
        <w:t>坚持强化离退休干部思想政治建设。</w:t>
      </w:r>
      <w:r>
        <w:rPr>
          <w:rFonts w:hint="eastAsia" w:ascii="仿宋_GB2312" w:hAnsi="仿宋_GB2312" w:eastAsia="仿宋_GB2312" w:cs="仿宋_GB2312"/>
          <w:sz w:val="32"/>
          <w:szCs w:val="32"/>
          <w:lang w:val="en-US" w:eastAsia="zh-CN"/>
        </w:rPr>
        <w:t>一是</w:t>
      </w:r>
      <w:r>
        <w:rPr>
          <w:rFonts w:hint="eastAsia" w:ascii="仿宋_GB2312" w:hAnsi="仿宋_GB2312" w:eastAsia="仿宋_GB2312" w:cs="仿宋_GB2312"/>
          <w:sz w:val="32"/>
          <w:szCs w:val="32"/>
          <w:lang w:eastAsia="zh-CN"/>
        </w:rPr>
        <w:t>抓实政治建设筑牢政治忠诚。</w:t>
      </w:r>
      <w:r>
        <w:rPr>
          <w:rFonts w:hint="eastAsia" w:ascii="仿宋_GB2312" w:hAnsi="仿宋_GB2312" w:eastAsia="仿宋_GB2312" w:cs="仿宋_GB2312"/>
          <w:sz w:val="32"/>
          <w:szCs w:val="32"/>
          <w:lang w:val="en-US" w:eastAsia="zh-CN"/>
        </w:rPr>
        <w:t>市委老干部局举办4场在广厅级老领导专题报告会，组织参观考察活动4次，牵头</w:t>
      </w:r>
      <w:r>
        <w:rPr>
          <w:rFonts w:hint="eastAsia" w:ascii="仿宋_GB2312" w:hAnsi="仿宋_GB2312" w:eastAsia="仿宋_GB2312" w:cs="仿宋_GB2312"/>
          <w:sz w:val="32"/>
          <w:szCs w:val="32"/>
          <w:lang w:eastAsia="zh-CN"/>
        </w:rPr>
        <w:t>开展</w:t>
      </w:r>
      <w:r>
        <w:rPr>
          <w:rFonts w:hint="eastAsia" w:ascii="仿宋_GB2312" w:hAnsi="仿宋_GB2312" w:eastAsia="仿宋_GB2312" w:cs="仿宋_GB2312"/>
          <w:sz w:val="32"/>
          <w:szCs w:val="32"/>
          <w:lang w:val="en-US" w:eastAsia="zh-CN"/>
        </w:rPr>
        <w:t>“我看建党百年新成就”专题调研189场次，向老同志征求对市委重要文件的意见建议6次，开展</w:t>
      </w:r>
      <w:r>
        <w:rPr>
          <w:rFonts w:hint="eastAsia" w:ascii="仿宋_GB2312" w:hAnsi="仿宋_GB2312" w:eastAsia="仿宋_GB2312" w:cs="仿宋_GB2312"/>
          <w:sz w:val="32"/>
          <w:szCs w:val="32"/>
        </w:rPr>
        <w:t>为老同志送学、荐学1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lang w:val="en-US" w:eastAsia="zh-CN"/>
        </w:rPr>
        <w:t>余人次。二是</w:t>
      </w:r>
      <w:r>
        <w:rPr>
          <w:rFonts w:hint="eastAsia" w:ascii="仿宋_GB2312" w:hAnsi="仿宋_GB2312" w:eastAsia="仿宋_GB2312" w:cs="仿宋_GB2312"/>
          <w:sz w:val="32"/>
          <w:szCs w:val="32"/>
          <w:lang w:eastAsia="zh-CN"/>
        </w:rPr>
        <w:t>抓好理论学习强化思想武装。</w:t>
      </w:r>
      <w:r>
        <w:rPr>
          <w:rFonts w:hint="eastAsia" w:ascii="仿宋_GB2312" w:hAnsi="仿宋_GB2312" w:eastAsia="仿宋_GB2312" w:cs="仿宋_GB2312"/>
          <w:sz w:val="32"/>
          <w:szCs w:val="32"/>
          <w:lang w:val="en-US" w:eastAsia="zh-CN"/>
        </w:rPr>
        <w:t>通过“线上线下”、培训宣传等多种形式，组织老干部深学热议习近平总书记“七一”重要讲话、党的十九届六中全会及省委十一届九次、十次全会、市第八次党代会精神。</w:t>
      </w:r>
      <w:r>
        <w:rPr>
          <w:rFonts w:hint="eastAsia" w:ascii="仿宋_GB2312" w:hAnsi="仿宋_GB2312" w:eastAsia="仿宋_GB2312" w:cs="仿宋_GB2312"/>
          <w:sz w:val="32"/>
          <w:szCs w:val="32"/>
        </w:rPr>
        <w:t>把“老党员老干部党史学习教育”纳入全市党史学习教育一体推进，开</w:t>
      </w:r>
      <w:r>
        <w:rPr>
          <w:rFonts w:hint="eastAsia" w:ascii="仿宋_GB2312" w:hAnsi="仿宋_GB2312" w:eastAsia="仿宋_GB2312" w:cs="仿宋_GB2312"/>
          <w:sz w:val="32"/>
          <w:szCs w:val="32"/>
          <w:lang w:val="en-US" w:eastAsia="zh-CN"/>
        </w:rPr>
        <w:t>展专题学习2000余场次，收集分享心得体会920余篇。三是</w:t>
      </w:r>
      <w:r>
        <w:rPr>
          <w:rFonts w:hint="eastAsia" w:ascii="仿宋_GB2312" w:hAnsi="仿宋_GB2312" w:eastAsia="仿宋_GB2312" w:cs="仿宋_GB2312"/>
          <w:sz w:val="32"/>
          <w:szCs w:val="32"/>
          <w:lang w:eastAsia="zh-CN"/>
        </w:rPr>
        <w:t>抓优组织建设夯实基层基础。全市新建离退休干部党组织</w:t>
      </w:r>
      <w:r>
        <w:rPr>
          <w:rFonts w:hint="eastAsia" w:ascii="仿宋_GB2312" w:hAnsi="仿宋_GB2312" w:eastAsia="仿宋_GB2312" w:cs="仿宋_GB2312"/>
          <w:sz w:val="32"/>
          <w:szCs w:val="32"/>
          <w:lang w:val="en-US" w:eastAsia="zh-CN"/>
        </w:rPr>
        <w:t>102个，探索建立功能型离退休干部党组织、企业退休干部职工党组织15个。</w:t>
      </w:r>
      <w:r>
        <w:rPr>
          <w:rFonts w:hint="eastAsia" w:ascii="仿宋_GB2312" w:hAnsi="仿宋_GB2312" w:eastAsia="仿宋_GB2312" w:cs="仿宋_GB2312"/>
          <w:sz w:val="32"/>
          <w:szCs w:val="32"/>
          <w:lang w:eastAsia="zh-CN"/>
        </w:rPr>
        <w:t>市委老干部局</w:t>
      </w:r>
      <w:r>
        <w:rPr>
          <w:rFonts w:hint="eastAsia" w:ascii="仿宋_GB2312" w:hAnsi="仿宋_GB2312" w:eastAsia="仿宋_GB2312" w:cs="仿宋_GB2312"/>
          <w:sz w:val="32"/>
          <w:szCs w:val="32"/>
          <w:lang w:val="en-US" w:eastAsia="zh-CN"/>
        </w:rPr>
        <w:t>修订完善《市离退休干部党组织建设</w:t>
      </w:r>
      <w:r>
        <w:rPr>
          <w:rFonts w:hint="eastAsia" w:ascii="仿宋_GB2312" w:hAnsi="仿宋_GB2312" w:eastAsia="仿宋_GB2312" w:cs="仿宋_GB2312"/>
          <w:sz w:val="32"/>
          <w:szCs w:val="32"/>
          <w:lang w:eastAsia="zh-CN"/>
        </w:rPr>
        <w:t>标准（试行）》，</w:t>
      </w:r>
      <w:r>
        <w:rPr>
          <w:rFonts w:hint="eastAsia" w:ascii="仿宋_GB2312" w:hAnsi="仿宋_GB2312" w:eastAsia="仿宋_GB2312" w:cs="仿宋_GB2312"/>
          <w:sz w:val="32"/>
          <w:szCs w:val="32"/>
        </w:rPr>
        <w:t>创建市级示范点41个。加强活动</w:t>
      </w:r>
      <w:r>
        <w:rPr>
          <w:rFonts w:hint="eastAsia" w:ascii="仿宋_GB2312" w:hAnsi="仿宋_GB2312" w:eastAsia="仿宋_GB2312" w:cs="仿宋_GB2312"/>
          <w:sz w:val="32"/>
          <w:szCs w:val="32"/>
          <w:lang w:eastAsia="zh-CN"/>
        </w:rPr>
        <w:t>阵地</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离退休干部党组织工作经费、工作补贴</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离退休干部活动经费</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lang w:val="en-US" w:eastAsia="zh-CN"/>
        </w:rPr>
        <w:t>先后举办离退休干部党务工作者示范培训班、离退休干部党建工作现场推进会，轮训工作骨干150余人次。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方正黑体_GBK" w:hAnsi="方正黑体_GBK" w:eastAsia="方正黑体_GBK" w:cs="方正黑体_GBK"/>
          <w:sz w:val="32"/>
          <w:szCs w:val="32"/>
          <w:lang w:eastAsia="zh-CN"/>
        </w:rPr>
        <w:t>积极发挥老干部优势和作用。</w:t>
      </w:r>
      <w:r>
        <w:rPr>
          <w:rFonts w:hint="eastAsia" w:ascii="仿宋_GB2312" w:hAnsi="仿宋_GB2312" w:eastAsia="仿宋_GB2312" w:cs="仿宋_GB2312"/>
          <w:sz w:val="32"/>
          <w:szCs w:val="32"/>
          <w:lang w:val="en-US" w:eastAsia="zh-CN"/>
        </w:rPr>
        <w:t>一是实施“助力现代化广元建设”工程。主动融入成渝地区双城经济圈建设，市委老干部局与重庆市南川区委老干部局签署了合作协议，</w:t>
      </w:r>
      <w:r>
        <w:rPr>
          <w:rFonts w:hint="eastAsia" w:ascii="仿宋_GB2312" w:hAnsi="仿宋_GB2312" w:eastAsia="仿宋_GB2312" w:cs="仿宋_GB2312"/>
          <w:sz w:val="32"/>
          <w:szCs w:val="32"/>
          <w:lang w:eastAsia="zh-CN"/>
        </w:rPr>
        <w:t>全市老干部工作部门</w:t>
      </w:r>
      <w:r>
        <w:rPr>
          <w:rFonts w:hint="eastAsia" w:ascii="仿宋_GB2312" w:hAnsi="仿宋_GB2312" w:eastAsia="仿宋_GB2312" w:cs="仿宋_GB2312"/>
          <w:sz w:val="32"/>
          <w:szCs w:val="32"/>
        </w:rPr>
        <w:t>开展老干部专题调研23次，形成专题调研报告11篇，为各级党委政府提出意见建议46条。</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lang w:val="en-US" w:eastAsia="zh-CN"/>
        </w:rPr>
        <w:t>开展党史学习教育“六个一百”行动。组建百名老干部“学党史、守初心、传薪火”宣讲团，开展党史学习教育主题宣讲80余场次。开展“传承红色基因·致敬光荣历史”百名离休干部生平事迹采编活动，编印《澎湃记忆——广元市离休干部奋斗故事选编》2000余册。实施“百名老干部进百村助振兴”行动，精准指导“一村一品”特色产业培育。举办百名老干部“百年奋斗路·启航新征程”书画创展活动，精选100幅书画作品进行展出。开展百名老党员老干部“向党说句心里话”活动，整理发布100名老党员感言祝福。开展百名党支部书记提能培训，持续提升基层离退休干部党组织抓党建的能力水平。三是开展“我为城乡基层治理出份力”活动助力全市治理体系建设。全市820余名老干部老党员担任社区网格员、小区党组织书记、党建指导员、小区楼（栋）长。壮大“广元银晖”志愿服务队至52支，开展疫情防控、普法宣传、文明劝导等志愿服务活动270场次。在社区党群服务中心、小区院落打造“正能量工作室”112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方正黑体_GBK" w:hAnsi="方正黑体_GBK" w:eastAsia="方正黑体_GBK" w:cs="方正黑体_GBK"/>
          <w:sz w:val="32"/>
          <w:szCs w:val="32"/>
          <w:lang w:val="en-US" w:eastAsia="zh-CN"/>
        </w:rPr>
        <w:t>精准精细做好老干部服务管理工作。</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突出医疗服务。开辟离退休干部就医“绿色通道”，在全市6家三甲医院、14家二甲医院，享受挂号、就诊、检查、住院等优先服务。做实“家庭医生签约服务”，市城区320余名离退休干部与常住地所在的医院、社区卫生服务中心等签约，全科医生上门问诊。协调市县区两级医疗机构开通老干部接种疫苗“快速通道”，确保全市符合接种条件的老干部接种率达到100%。</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突出纾难解困。市委老干部局会同团市委、市民政局等相关部门开展志愿服务120余场次，定期为独居、生活不能自理等老干部提供饮食起居照顾、心理疏导等贴心服务。市县区两级全面建立离退休干部特殊困难帮扶机制，去年以来帮扶特殊困难老干部230人，解决离退休干部大病救助等实际困难80余件次。</w:t>
      </w:r>
      <w:r>
        <w:rPr>
          <w:rFonts w:hint="eastAsia" w:ascii="仿宋_GB2312" w:hAnsi="仿宋_GB2312" w:eastAsia="仿宋_GB2312" w:cs="仿宋_GB2312"/>
          <w:sz w:val="32"/>
          <w:szCs w:val="32"/>
          <w:lang w:eastAsia="zh-CN"/>
        </w:rPr>
        <w:t>三是强化制度建设</w:t>
      </w:r>
      <w:r>
        <w:rPr>
          <w:rFonts w:hint="eastAsia" w:ascii="仿宋_GB2312" w:hAnsi="仿宋_GB2312" w:eastAsia="仿宋_GB2312" w:cs="仿宋_GB2312"/>
          <w:sz w:val="32"/>
          <w:szCs w:val="32"/>
        </w:rPr>
        <w:t>。市委办印发《关于做好市厅级离退休干部生病住院期间看望慰问和逝世后治丧有关工作的通知》，进一步规范了老干部生病住院看望慰问、丧葬事宜工作流程。市财政全额预算保障,落实了地方生活补助、离退休干部党建工作、开展正能量活动等10余个专项经费。</w:t>
      </w:r>
      <w:r>
        <w:rPr>
          <w:rFonts w:hint="eastAsia" w:ascii="仿宋_GB2312" w:hAnsi="仿宋_GB2312" w:eastAsia="仿宋_GB2312" w:cs="仿宋_GB2312"/>
          <w:sz w:val="32"/>
          <w:szCs w:val="32"/>
          <w:lang w:eastAsia="zh-CN"/>
        </w:rPr>
        <w:t>四是加强阵地建设</w:t>
      </w:r>
      <w:r>
        <w:rPr>
          <w:rFonts w:hint="eastAsia" w:ascii="仿宋_GB2312" w:hAnsi="仿宋_GB2312" w:eastAsia="仿宋_GB2312" w:cs="仿宋_GB2312"/>
          <w:sz w:val="32"/>
          <w:szCs w:val="32"/>
        </w:rPr>
        <w:t>。全面加强老干部活动阵地建设，市老干部活动中心累计投入资金29万元用于功能升级、项目优化，更好地满足了老干部的学习活动需求；苍溪县统筹调配2500㎡旧办公楼，升级打造为全新的县老干部活动中心；剑阁县统筹建立“一站式”教育基地和“郭兴利工作室”等阵地，为离退休干部发挥优势作用搭建了平台；利州区采取与街道、社区、小区共建共享的方式，有效解决活动阵地覆盖不全的问题。</w:t>
      </w:r>
      <w:r>
        <w:rPr>
          <w:rFonts w:hint="eastAsia" w:ascii="仿宋_GB2312" w:hAnsi="仿宋_GB2312" w:eastAsia="仿宋_GB2312" w:cs="仿宋_GB2312"/>
          <w:sz w:val="32"/>
          <w:szCs w:val="32"/>
          <w:lang w:eastAsia="zh-CN"/>
        </w:rPr>
        <w:t>五是加强</w:t>
      </w:r>
      <w:r>
        <w:rPr>
          <w:rFonts w:hint="eastAsia" w:ascii="仿宋_GB2312" w:hAnsi="仿宋_GB2312" w:eastAsia="仿宋_GB2312" w:cs="仿宋_GB2312"/>
          <w:sz w:val="32"/>
          <w:szCs w:val="32"/>
        </w:rPr>
        <w:t>信息化建设。全面实施“云工程”，市委老干部局、青川县委老干部局举办“畅享e时代·老干部大讲堂”互动式教学，帮助老同志学习互联网信息化相关知识。全市老干部系统用好“共产党员”“离退休干部工作”“天府晚霞”“广元老干部”微信公众号等平台，常态化开展线上学习。积极探索通过“天呈智慧医疗大数据平台”，为老干部开展线上健康服务管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黑体_GBK" w:hAnsi="方正黑体_GBK" w:eastAsia="方正黑体_GBK" w:cs="方正黑体_GBK"/>
          <w:b/>
          <w:bCs/>
          <w:i w:val="0"/>
          <w:caps w:val="0"/>
          <w:color w:val="333333"/>
          <w:spacing w:val="0"/>
          <w:kern w:val="0"/>
          <w:sz w:val="32"/>
          <w:szCs w:val="32"/>
          <w:shd w:val="clear" w:color="auto" w:fill="FFFFFF"/>
          <w:lang w:val="en-US" w:eastAsia="zh-CN"/>
        </w:rPr>
      </w:pPr>
      <w:r>
        <w:rPr>
          <w:rFonts w:hint="eastAsia" w:ascii="方正黑体_GBK" w:hAnsi="方正黑体_GBK" w:eastAsia="方正黑体_GBK" w:cs="方正黑体_GBK"/>
          <w:sz w:val="32"/>
          <w:szCs w:val="32"/>
          <w:lang w:val="en-US" w:eastAsia="zh-CN"/>
        </w:rPr>
        <w:t>坚持抓好老干部工作部门自身建设。</w:t>
      </w:r>
      <w:r>
        <w:rPr>
          <w:rFonts w:hint="eastAsia" w:ascii="仿宋_GB2312" w:hAnsi="仿宋_GB2312" w:eastAsia="仿宋_GB2312" w:cs="仿宋_GB2312"/>
          <w:sz w:val="32"/>
          <w:szCs w:val="32"/>
          <w:lang w:eastAsia="zh-CN"/>
        </w:rPr>
        <w:t>一是创新实施干部“五会”提能工程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设置“周五学习日”，组织开展学习</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40余场次。</w:t>
      </w:r>
      <w:r>
        <w:rPr>
          <w:rFonts w:hint="eastAsia" w:ascii="仿宋_GB2312" w:hAnsi="仿宋_GB2312" w:eastAsia="仿宋_GB2312" w:cs="仿宋_GB2312"/>
          <w:sz w:val="32"/>
          <w:szCs w:val="32"/>
          <w:lang w:eastAsia="zh-CN"/>
        </w:rPr>
        <w:t>搭建“</w:t>
      </w:r>
      <w:r>
        <w:rPr>
          <w:rFonts w:hint="eastAsia" w:ascii="仿宋_GB2312" w:hAnsi="仿宋_GB2312" w:eastAsia="仿宋_GB2312" w:cs="仿宋_GB2312"/>
          <w:sz w:val="32"/>
          <w:szCs w:val="32"/>
        </w:rPr>
        <w:t>我是主讲人”平台，</w:t>
      </w:r>
      <w:r>
        <w:rPr>
          <w:rFonts w:hint="eastAsia" w:ascii="仿宋_GB2312" w:hAnsi="仿宋_GB2312" w:eastAsia="仿宋_GB2312" w:cs="仿宋_GB2312"/>
          <w:sz w:val="32"/>
          <w:szCs w:val="32"/>
          <w:lang w:eastAsia="zh-CN"/>
        </w:rPr>
        <w:t>推选</w:t>
      </w:r>
      <w:r>
        <w:rPr>
          <w:rFonts w:hint="eastAsia" w:ascii="仿宋_GB2312" w:hAnsi="仿宋_GB2312" w:eastAsia="仿宋_GB2312" w:cs="仿宋_GB2312"/>
          <w:sz w:val="32"/>
          <w:szCs w:val="32"/>
          <w:lang w:val="en-US" w:eastAsia="zh-CN"/>
        </w:rPr>
        <w:t>17名机关干部</w:t>
      </w:r>
      <w:r>
        <w:rPr>
          <w:rFonts w:hint="eastAsia" w:ascii="仿宋_GB2312" w:hAnsi="仿宋_GB2312" w:eastAsia="仿宋_GB2312" w:cs="仿宋_GB2312"/>
          <w:sz w:val="32"/>
          <w:szCs w:val="32"/>
          <w:lang w:eastAsia="zh-CN"/>
        </w:rPr>
        <w:t>上</w:t>
      </w:r>
      <w:r>
        <w:rPr>
          <w:rFonts w:hint="eastAsia" w:ascii="仿宋_GB2312" w:hAnsi="仿宋_GB2312" w:eastAsia="仿宋_GB2312" w:cs="仿宋_GB2312"/>
          <w:sz w:val="32"/>
          <w:szCs w:val="32"/>
          <w:lang w:val="en-US" w:eastAsia="zh-CN"/>
        </w:rPr>
        <w:t>台主讲</w:t>
      </w:r>
      <w:r>
        <w:rPr>
          <w:rFonts w:hint="eastAsia" w:ascii="仿宋_GB2312" w:hAnsi="仿宋_GB2312" w:eastAsia="仿宋_GB2312" w:cs="仿宋_GB2312"/>
          <w:sz w:val="32"/>
          <w:szCs w:val="32"/>
          <w:lang w:eastAsia="zh-CN"/>
        </w:rPr>
        <w:t>，督促</w:t>
      </w:r>
      <w:r>
        <w:rPr>
          <w:rFonts w:hint="eastAsia" w:ascii="仿宋_GB2312" w:hAnsi="仿宋_GB2312" w:eastAsia="仿宋_GB2312" w:cs="仿宋_GB2312"/>
          <w:sz w:val="32"/>
          <w:szCs w:val="32"/>
          <w:lang w:val="en-US" w:eastAsia="zh-CN"/>
        </w:rPr>
        <w:t>年轻干部每周撰写1篇文稿</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平时考核，</w:t>
      </w:r>
      <w:r>
        <w:rPr>
          <w:rFonts w:hint="eastAsia" w:ascii="仿宋_GB2312" w:hAnsi="仿宋_GB2312" w:eastAsia="仿宋_GB2312" w:cs="仿宋_GB2312"/>
          <w:sz w:val="32"/>
          <w:szCs w:val="32"/>
          <w:lang w:eastAsia="zh-CN"/>
        </w:rPr>
        <w:t>每季度评选</w:t>
      </w:r>
      <w:r>
        <w:rPr>
          <w:rFonts w:hint="eastAsia" w:ascii="仿宋_GB2312" w:hAnsi="仿宋_GB2312" w:eastAsia="仿宋_GB2312" w:cs="仿宋_GB2312"/>
          <w:sz w:val="32"/>
          <w:szCs w:val="32"/>
        </w:rPr>
        <w:t>“学习之星”“服务之星”“红旗科室”。</w:t>
      </w:r>
      <w:r>
        <w:rPr>
          <w:rFonts w:hint="eastAsia" w:ascii="仿宋_GB2312" w:hAnsi="仿宋_GB2312" w:eastAsia="仿宋_GB2312" w:cs="仿宋_GB2312"/>
          <w:sz w:val="32"/>
          <w:szCs w:val="32"/>
          <w:lang w:eastAsia="zh-CN"/>
        </w:rPr>
        <w:t>二是注重一线培养使用干部。市县区委老干部局累计</w:t>
      </w:r>
      <w:r>
        <w:rPr>
          <w:rFonts w:hint="eastAsia" w:ascii="仿宋_GB2312" w:hAnsi="仿宋_GB2312" w:eastAsia="仿宋_GB2312" w:cs="仿宋_GB2312"/>
          <w:sz w:val="32"/>
          <w:szCs w:val="32"/>
          <w:lang w:val="en-US" w:eastAsia="zh-CN"/>
        </w:rPr>
        <w:t>派出500余人次</w:t>
      </w:r>
      <w:r>
        <w:rPr>
          <w:rFonts w:hint="eastAsia" w:ascii="仿宋_GB2312" w:hAnsi="仿宋_GB2312" w:eastAsia="仿宋_GB2312" w:cs="仿宋_GB2312"/>
          <w:sz w:val="32"/>
          <w:szCs w:val="32"/>
          <w:lang w:eastAsia="zh-CN"/>
        </w:rPr>
        <w:t>下沉农村社区一线参与创卫迎复审、疫情防控和驻村帮扶等工作。苍溪县委组织部副部长、老干部局局长罗映辉同志被推荐为全国先进老干部工作者。在服务换届选举、党史学习教育等重点工作，市县区委老干部局对年轻干部压担子、给任务，有力提升了年轻干部组织协调、统筹谋划、办文办会的能力水平。</w:t>
      </w:r>
      <w:r>
        <w:rPr>
          <w:rFonts w:hint="eastAsia" w:ascii="仿宋_GB2312" w:hAnsi="仿宋_GB2312" w:eastAsia="仿宋_GB2312" w:cs="仿宋_GB2312"/>
          <w:sz w:val="32"/>
          <w:szCs w:val="32"/>
          <w:lang w:val="en-US" w:eastAsia="zh-CN"/>
        </w:rPr>
        <w:t>三是</w:t>
      </w:r>
      <w:r>
        <w:rPr>
          <w:rFonts w:hint="eastAsia" w:ascii="仿宋_GB2312" w:hAnsi="仿宋_GB2312" w:eastAsia="仿宋_GB2312" w:cs="仿宋_GB2312"/>
          <w:sz w:val="32"/>
          <w:szCs w:val="32"/>
          <w:lang w:eastAsia="zh-CN"/>
        </w:rPr>
        <w:t>深入开展纪律作风整顿。</w:t>
      </w:r>
      <w:r>
        <w:rPr>
          <w:rFonts w:hint="eastAsia" w:ascii="仿宋_GB2312" w:hAnsi="仿宋_GB2312" w:eastAsia="仿宋_GB2312" w:cs="仿宋_GB2312"/>
          <w:sz w:val="32"/>
          <w:szCs w:val="32"/>
          <w:lang w:val="en-US" w:eastAsia="zh-CN"/>
        </w:rPr>
        <w:t>对照干部纪律作风12个方面问题，自查</w:t>
      </w:r>
      <w:r>
        <w:rPr>
          <w:rFonts w:hint="eastAsia" w:ascii="仿宋_GB2312" w:hAnsi="仿宋_GB2312" w:eastAsia="仿宋_GB2312" w:cs="仿宋_GB2312"/>
          <w:sz w:val="32"/>
          <w:szCs w:val="32"/>
          <w:lang w:eastAsia="zh-CN"/>
        </w:rPr>
        <w:t>领导班子和个人问题</w:t>
      </w:r>
      <w:r>
        <w:rPr>
          <w:rFonts w:hint="eastAsia" w:ascii="仿宋_GB2312" w:hAnsi="仿宋_GB2312" w:eastAsia="仿宋_GB2312" w:cs="仿宋_GB2312"/>
          <w:sz w:val="32"/>
          <w:szCs w:val="32"/>
          <w:lang w:val="en-US" w:eastAsia="zh-CN"/>
        </w:rPr>
        <w:t>建立整改台账，现已全部整改销号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实行“月清理、季督查、半年通报问责”专项督查</w:t>
      </w:r>
      <w:r>
        <w:rPr>
          <w:rFonts w:hint="eastAsia" w:ascii="仿宋_GB2312" w:hAnsi="仿宋_GB2312" w:eastAsia="仿宋_GB2312" w:cs="仿宋_GB2312"/>
          <w:sz w:val="32"/>
          <w:szCs w:val="32"/>
          <w:lang w:eastAsia="zh-CN"/>
        </w:rPr>
        <w:t>，重点整治</w:t>
      </w:r>
      <w:r>
        <w:rPr>
          <w:rFonts w:hint="eastAsia" w:ascii="仿宋_GB2312" w:hAnsi="仿宋_GB2312" w:eastAsia="仿宋_GB2312" w:cs="仿宋_GB2312"/>
          <w:sz w:val="32"/>
          <w:szCs w:val="32"/>
          <w:lang w:val="en-US" w:eastAsia="zh-CN"/>
        </w:rPr>
        <w:t>“小马虎”，推动工作落地落实。</w:t>
      </w:r>
    </w:p>
    <w:p>
      <w:pPr>
        <w:pageBreakBefore w:val="0"/>
        <w:kinsoku/>
        <w:wordWrap/>
        <w:overflowPunct/>
        <w:topLinePunct w:val="0"/>
        <w:autoSpaceDE/>
        <w:autoSpaceDN/>
        <w:bidi w:val="0"/>
        <w:spacing w:line="576" w:lineRule="exact"/>
        <w:ind w:firstLine="640" w:firstLineChars="200"/>
        <w:textAlignment w:val="auto"/>
        <w:rPr>
          <w:rFonts w:hint="eastAsia" w:ascii="方正黑体_GBK" w:hAnsi="方正黑体_GBK" w:eastAsia="方正黑体_GBK" w:cs="方正黑体_GBK"/>
          <w:i w:val="0"/>
          <w:caps w:val="0"/>
          <w:color w:val="333333"/>
          <w:spacing w:val="0"/>
          <w:kern w:val="0"/>
          <w:sz w:val="32"/>
          <w:szCs w:val="32"/>
          <w:shd w:val="clear" w:color="auto" w:fill="FFFFFF"/>
          <w:lang w:val="en-US" w:eastAsia="zh-CN"/>
        </w:rPr>
      </w:pPr>
      <w:r>
        <w:rPr>
          <w:rFonts w:hint="eastAsia" w:ascii="方正黑体_GBK" w:hAnsi="方正黑体_GBK" w:eastAsia="方正黑体_GBK" w:cs="方正黑体_GBK"/>
          <w:i w:val="0"/>
          <w:caps w:val="0"/>
          <w:color w:val="333333"/>
          <w:spacing w:val="0"/>
          <w:kern w:val="0"/>
          <w:sz w:val="32"/>
          <w:szCs w:val="32"/>
          <w:shd w:val="clear" w:color="auto" w:fill="FFFFFF"/>
          <w:lang w:val="en-US" w:eastAsia="zh-CN"/>
        </w:rPr>
        <w:t>二、</w:t>
      </w:r>
      <w:r>
        <w:rPr>
          <w:rFonts w:hint="eastAsia" w:ascii="黑体" w:hAnsi="黑体" w:eastAsia="黑体" w:cs="黑体"/>
          <w:i w:val="0"/>
          <w:caps w:val="0"/>
          <w:color w:val="333333"/>
          <w:spacing w:val="0"/>
          <w:kern w:val="0"/>
          <w:sz w:val="32"/>
          <w:szCs w:val="32"/>
          <w:shd w:val="clear" w:color="auto" w:fill="FFFFFF"/>
          <w:lang w:val="en-US" w:eastAsia="zh-CN"/>
        </w:rPr>
        <w:t>机构设置</w:t>
      </w:r>
      <w:bookmarkEnd w:id="20"/>
      <w:bookmarkEnd w:id="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市委老干部局是市委主管全市离退休干部工作的职能机构，归口市委组织部管理，现有在职人员2</w:t>
      </w: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人，退休人员23人，合计5</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人，内设办公室、安置科、保健科3个职能科（室），下属1个正科级参公事业单位（广元市老干部休养所）、1个正科级事业单位（广元市老干部活动中心）以及1个挂靠参公事业单位（关心下一代工作委员会)均未独立核算。</w:t>
      </w:r>
    </w:p>
    <w:p>
      <w:pPr>
        <w:pStyle w:val="2"/>
      </w:pPr>
    </w:p>
    <w:p>
      <w:pPr>
        <w:rPr>
          <w:rFonts w:hint="eastAsia" w:ascii="黑体" w:hAnsi="黑体" w:eastAsia="黑体"/>
          <w:b w:val="0"/>
          <w:bCs/>
          <w:color w:val="auto"/>
          <w:highlight w:val="none"/>
        </w:rPr>
      </w:pPr>
      <w:bookmarkStart w:id="22" w:name="_Toc15377204"/>
      <w:bookmarkStart w:id="23" w:name="_Toc15396602"/>
      <w:r>
        <w:rPr>
          <w:rFonts w:hint="eastAsia" w:ascii="黑体" w:hAnsi="黑体" w:eastAsia="黑体"/>
          <w:b w:val="0"/>
          <w:bCs/>
          <w:color w:val="auto"/>
          <w:highlight w:val="none"/>
        </w:rPr>
        <w:br w:type="page"/>
      </w:r>
    </w:p>
    <w:p>
      <w:pPr>
        <w:pStyle w:val="3"/>
        <w:pageBreakBefore w:val="0"/>
        <w:widowControl w:val="0"/>
        <w:kinsoku/>
        <w:wordWrap/>
        <w:overflowPunct/>
        <w:topLinePunct w:val="0"/>
        <w:autoSpaceDE/>
        <w:autoSpaceDN/>
        <w:bidi w:val="0"/>
        <w:adjustRightInd/>
        <w:snapToGrid/>
        <w:spacing w:before="0" w:after="0" w:line="600" w:lineRule="exact"/>
        <w:ind w:right="440"/>
        <w:jc w:val="center"/>
        <w:textAlignment w:val="auto"/>
        <w:rPr>
          <w:rStyle w:val="28"/>
          <w:rFonts w:ascii="黑体" w:hAnsi="黑体" w:eastAsia="黑体"/>
          <w:b w:val="0"/>
          <w:bCs/>
          <w:color w:val="auto"/>
          <w:highlight w:val="none"/>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8"/>
          <w:rFonts w:hint="eastAsia" w:ascii="黑体" w:hAnsi="黑体" w:eastAsia="黑体"/>
          <w:b w:val="0"/>
          <w:bCs/>
          <w:color w:val="auto"/>
          <w:highlight w:val="none"/>
        </w:rPr>
        <w:t>部门决算情况说明</w:t>
      </w:r>
      <w:bookmarkEnd w:id="22"/>
      <w:bookmarkEnd w:id="23"/>
    </w:p>
    <w:p>
      <w:pPr>
        <w:pageBreakBefore w:val="0"/>
        <w:widowControl w:val="0"/>
        <w:kinsoku/>
        <w:wordWrap/>
        <w:overflowPunct/>
        <w:topLinePunct w:val="0"/>
        <w:autoSpaceDE/>
        <w:autoSpaceDN/>
        <w:bidi w:val="0"/>
        <w:adjustRightInd/>
        <w:snapToGrid/>
        <w:spacing w:line="600" w:lineRule="exact"/>
        <w:textAlignment w:val="auto"/>
        <w:rPr>
          <w:color w:val="auto"/>
          <w:highlight w:val="none"/>
        </w:rPr>
      </w:pPr>
    </w:p>
    <w:p>
      <w:pPr>
        <w:pStyle w:val="27"/>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outlineLvl w:val="1"/>
        <w:rPr>
          <w:rStyle w:val="29"/>
          <w:rFonts w:ascii="黑体" w:hAnsi="黑体" w:eastAsia="黑体"/>
          <w:b w:val="0"/>
          <w:color w:val="auto"/>
          <w:highlight w:val="none"/>
        </w:rPr>
      </w:pPr>
      <w:bookmarkStart w:id="24" w:name="_Toc15377205"/>
      <w:bookmarkStart w:id="25" w:name="_Toc15396603"/>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入支出决算总体情况说明</w:t>
      </w:r>
      <w:bookmarkEnd w:id="24"/>
      <w:bookmarkEnd w:id="25"/>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815.15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131.9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人员增加费用增加。</w:t>
      </w:r>
    </w:p>
    <w:p>
      <w:pPr>
        <w:pageBreakBefore w:val="0"/>
        <w:widowControl w:val="0"/>
        <w:kinsoku/>
        <w:wordWrap/>
        <w:overflowPunct/>
        <w:topLinePunct w:val="0"/>
        <w:autoSpaceDE/>
        <w:autoSpaceDN/>
        <w:bidi w:val="0"/>
        <w:adjustRightInd/>
        <w:snapToGrid/>
        <w:spacing w:line="600" w:lineRule="exact"/>
        <w:textAlignment w:val="auto"/>
        <w:rPr>
          <w:rFonts w:ascii="仿宋_GB2312" w:eastAsia="仿宋_GB2312"/>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19"/>
        <w:ind w:left="0" w:leftChars="0" w:firstLine="0" w:firstLineChars="0"/>
        <w:jc w:val="center"/>
      </w:pPr>
      <w:r>
        <w:drawing>
          <wp:inline distT="0" distB="0" distL="114300" distR="114300">
            <wp:extent cx="3371850" cy="2105025"/>
            <wp:effectExtent l="0" t="0" r="0" b="0"/>
            <wp:docPr id="102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7"/>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Chars="0"/>
        <w:textAlignment w:val="auto"/>
        <w:outlineLvl w:val="1"/>
        <w:rPr>
          <w:rStyle w:val="29"/>
          <w:rFonts w:ascii="黑体" w:hAnsi="黑体" w:eastAsia="黑体"/>
          <w:b w:val="0"/>
          <w:color w:val="auto"/>
          <w:highlight w:val="none"/>
        </w:rPr>
      </w:pPr>
      <w:bookmarkStart w:id="26" w:name="_Toc15396604"/>
      <w:bookmarkStart w:id="27" w:name="_Toc15377206"/>
      <w:r>
        <w:rPr>
          <w:rFonts w:hint="eastAsia" w:ascii="黑体" w:hAnsi="黑体" w:eastAsia="黑体"/>
          <w:color w:val="auto"/>
          <w:sz w:val="32"/>
          <w:szCs w:val="32"/>
          <w:highlight w:val="none"/>
        </w:rPr>
        <w:t>收</w:t>
      </w:r>
      <w:r>
        <w:rPr>
          <w:rStyle w:val="29"/>
          <w:rFonts w:hint="eastAsia" w:ascii="黑体" w:hAnsi="黑体" w:eastAsia="黑体"/>
          <w:b w:val="0"/>
          <w:color w:val="auto"/>
          <w:highlight w:val="none"/>
        </w:rPr>
        <w:t>入决算情况说明</w:t>
      </w:r>
      <w:bookmarkEnd w:id="26"/>
      <w:bookmarkEnd w:id="2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eastAsia="zh-CN"/>
        </w:rPr>
        <w:t>803.14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eastAsia="zh-CN"/>
        </w:rPr>
        <w:t>803.14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无其它收入。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（图2：收入决算结构图）（饼状图）</w:t>
      </w:r>
    </w:p>
    <w:p>
      <w:pPr>
        <w:jc w:val="center"/>
        <w:rPr>
          <w:rFonts w:ascii="仿宋_GB2312" w:eastAsia="仿宋_GB2312"/>
          <w:color w:val="auto"/>
          <w:sz w:val="32"/>
          <w:szCs w:val="32"/>
          <w:highlight w:val="none"/>
        </w:rPr>
      </w:pPr>
      <w:r>
        <w:rPr>
          <w:bdr w:val="single" w:color="auto" w:sz="4" w:space="0"/>
        </w:rPr>
        <w:drawing>
          <wp:inline distT="0" distB="0" distL="114300" distR="114300">
            <wp:extent cx="2667000" cy="2018665"/>
            <wp:effectExtent l="0" t="0" r="0" b="0"/>
            <wp:docPr id="102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numPr>
          <w:ilvl w:val="0"/>
          <w:numId w:val="1"/>
        </w:numPr>
        <w:spacing w:line="600" w:lineRule="exact"/>
        <w:ind w:firstLineChars="0"/>
        <w:outlineLvl w:val="1"/>
        <w:rPr>
          <w:rStyle w:val="29"/>
          <w:rFonts w:ascii="黑体" w:hAnsi="黑体" w:eastAsia="黑体"/>
          <w:b w:val="0"/>
          <w:color w:val="auto"/>
          <w:highlight w:val="none"/>
        </w:rPr>
      </w:pPr>
      <w:bookmarkStart w:id="28" w:name="_Toc15396605"/>
      <w:bookmarkStart w:id="29" w:name="_Toc15377207"/>
      <w:r>
        <w:rPr>
          <w:rFonts w:hint="eastAsia" w:ascii="黑体" w:hAnsi="黑体" w:eastAsia="黑体"/>
          <w:color w:val="auto"/>
          <w:sz w:val="32"/>
          <w:szCs w:val="32"/>
          <w:highlight w:val="none"/>
        </w:rPr>
        <w:t>支</w:t>
      </w:r>
      <w:r>
        <w:rPr>
          <w:rStyle w:val="29"/>
          <w:rFonts w:hint="eastAsia" w:ascii="黑体" w:hAnsi="黑体" w:eastAsia="黑体"/>
          <w:b w:val="0"/>
          <w:color w:val="auto"/>
          <w:highlight w:val="none"/>
        </w:rPr>
        <w:t>出决算情况说明</w:t>
      </w:r>
      <w:bookmarkEnd w:id="28"/>
      <w:bookmarkEnd w:id="29"/>
    </w:p>
    <w:p>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eastAsia="zh-CN"/>
        </w:rPr>
        <w:t>815.13</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eastAsia="zh-CN"/>
        </w:rPr>
        <w:t>563.88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69</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eastAsia="zh-CN"/>
        </w:rPr>
        <w:t>251.25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31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outlineLvl w:val="1"/>
      </w:pPr>
      <w:r>
        <w:rPr>
          <w:rFonts w:hint="eastAsia" w:ascii="仿宋" w:hAnsi="仿宋" w:eastAsia="仿宋"/>
          <w:color w:val="auto"/>
          <w:sz w:val="32"/>
          <w:szCs w:val="32"/>
          <w:highlight w:val="none"/>
        </w:rPr>
        <w:t>（图3：支出决算结构图）（饼状图）</w:t>
      </w:r>
    </w:p>
    <w:p>
      <w:pPr>
        <w:pStyle w:val="19"/>
        <w:ind w:left="0" w:leftChars="0" w:firstLine="0" w:firstLineChars="0"/>
        <w:jc w:val="center"/>
      </w:pPr>
      <w:r>
        <w:drawing>
          <wp:inline distT="0" distB="0" distL="114300" distR="114300">
            <wp:extent cx="2667000" cy="1714500"/>
            <wp:effectExtent l="0" t="0" r="0" b="0"/>
            <wp:docPr id="1031"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9"/>
          <w:rFonts w:ascii="黑体" w:hAnsi="黑体" w:eastAsia="黑体"/>
          <w:b w:val="0"/>
          <w:color w:val="auto"/>
          <w:highlight w:val="none"/>
        </w:rPr>
      </w:pPr>
      <w:bookmarkStart w:id="30" w:name="_Toc15377208"/>
      <w:bookmarkStart w:id="31" w:name="_Toc15396606"/>
      <w:r>
        <w:rPr>
          <w:rFonts w:hint="eastAsia" w:ascii="黑体" w:hAnsi="黑体" w:eastAsia="黑体"/>
          <w:color w:val="auto"/>
          <w:sz w:val="32"/>
          <w:szCs w:val="32"/>
          <w:highlight w:val="none"/>
        </w:rPr>
        <w:t>四、财</w:t>
      </w:r>
      <w:r>
        <w:rPr>
          <w:rStyle w:val="29"/>
          <w:rFonts w:hint="eastAsia" w:ascii="黑体" w:hAnsi="黑体" w:eastAsia="黑体"/>
          <w:b w:val="0"/>
          <w:color w:val="auto"/>
          <w:highlight w:val="none"/>
        </w:rPr>
        <w:t>政拨款收入支出决算总体情况说明</w:t>
      </w:r>
      <w:bookmarkEnd w:id="30"/>
      <w:bookmarkEnd w:id="31"/>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eastAsia="zh-CN"/>
        </w:rPr>
        <w:t>815.1</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132.19</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人员增加费用增加。</w:t>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pStyle w:val="19"/>
        <w:rPr>
          <w:rFonts w:ascii="仿宋" w:hAnsi="仿宋" w:eastAsia="仿宋"/>
          <w:b/>
          <w:color w:val="auto"/>
          <w:sz w:val="32"/>
          <w:szCs w:val="32"/>
          <w:highlight w:val="none"/>
        </w:rPr>
      </w:pPr>
    </w:p>
    <w:p>
      <w:pPr>
        <w:pStyle w:val="19"/>
        <w:ind w:left="0" w:leftChars="0" w:firstLine="0" w:firstLineChars="0"/>
        <w:jc w:val="center"/>
      </w:pPr>
      <w:r>
        <w:rPr>
          <w:rFonts w:hint="eastAsia"/>
        </w:rPr>
        <w:drawing>
          <wp:inline distT="0" distB="0" distL="114300" distR="114300">
            <wp:extent cx="4084320" cy="2543810"/>
            <wp:effectExtent l="0" t="0" r="0" b="0"/>
            <wp:docPr id="1033"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9"/>
          <w:rFonts w:ascii="黑体" w:hAnsi="黑体" w:eastAsia="黑体"/>
          <w:b w:val="0"/>
          <w:color w:val="auto"/>
          <w:highlight w:val="none"/>
        </w:rPr>
      </w:pPr>
      <w:bookmarkStart w:id="32" w:name="_Toc15396607"/>
      <w:bookmarkStart w:id="33"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般公共预算财政拨款支出决算情况说明</w:t>
      </w:r>
      <w:bookmarkEnd w:id="32"/>
      <w:bookmarkEnd w:id="33"/>
    </w:p>
    <w:p>
      <w:pPr>
        <w:spacing w:line="600" w:lineRule="exact"/>
        <w:ind w:firstLine="643" w:firstLineChars="200"/>
        <w:outlineLvl w:val="2"/>
        <w:rPr>
          <w:rFonts w:ascii="仿宋" w:hAnsi="仿宋" w:eastAsia="仿宋"/>
          <w:b/>
          <w:color w:val="auto"/>
          <w:sz w:val="32"/>
          <w:szCs w:val="32"/>
          <w:highlight w:val="none"/>
        </w:rPr>
      </w:pPr>
      <w:bookmarkStart w:id="34" w:name="_Toc15377210"/>
      <w:r>
        <w:rPr>
          <w:rFonts w:hint="eastAsia" w:ascii="仿宋" w:hAnsi="仿宋" w:eastAsia="仿宋"/>
          <w:b/>
          <w:color w:val="auto"/>
          <w:sz w:val="32"/>
          <w:szCs w:val="32"/>
          <w:highlight w:val="none"/>
        </w:rPr>
        <w:t>（一）一般公共预算财政拨款支出决算总体情况</w:t>
      </w:r>
      <w:bookmarkEnd w:id="34"/>
    </w:p>
    <w:p>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815.13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144.18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人员增加费用增加。</w:t>
      </w:r>
    </w:p>
    <w:p>
      <w:pPr>
        <w:spacing w:line="600" w:lineRule="exact"/>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spacing w:line="600" w:lineRule="exact"/>
        <w:ind w:firstLine="640" w:firstLineChars="200"/>
        <w:rPr>
          <w:rFonts w:ascii="仿宋" w:hAnsi="仿宋" w:eastAsia="仿宋"/>
          <w:color w:val="auto"/>
          <w:sz w:val="32"/>
          <w:szCs w:val="32"/>
          <w:highlight w:val="none"/>
        </w:rPr>
      </w:pPr>
    </w:p>
    <w:p>
      <w:pPr>
        <w:jc w:val="center"/>
      </w:pPr>
      <w:r>
        <w:drawing>
          <wp:inline distT="0" distB="0" distL="114300" distR="114300">
            <wp:extent cx="2667000" cy="1961515"/>
            <wp:effectExtent l="0" t="0" r="0" b="0"/>
            <wp:docPr id="1035"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35" w:name="_Toc15377211"/>
      <w:r>
        <w:rPr>
          <w:rFonts w:hint="eastAsia" w:ascii="仿宋" w:hAnsi="仿宋" w:eastAsia="仿宋"/>
          <w:b/>
          <w:color w:val="auto"/>
          <w:sz w:val="32"/>
          <w:szCs w:val="32"/>
          <w:highlight w:val="none"/>
        </w:rPr>
        <w:t>（二）一般公共预算财政拨款支出决算结构情况</w:t>
      </w:r>
      <w:bookmarkEnd w:id="35"/>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815.13</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000000"/>
          <w:sz w:val="32"/>
          <w:szCs w:val="32"/>
        </w:rPr>
        <w:t>社会保障和就业</w:t>
      </w:r>
      <w:r>
        <w:rPr>
          <w:rFonts w:hint="eastAsia" w:ascii="仿宋" w:hAnsi="仿宋" w:eastAsia="仿宋"/>
          <w:b/>
          <w:color w:val="000000"/>
          <w:sz w:val="32"/>
          <w:szCs w:val="32"/>
          <w:lang w:eastAsia="zh-CN"/>
        </w:rPr>
        <w:t>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lang w:val="en-US" w:eastAsia="zh-CN"/>
        </w:rPr>
        <w:t>772.43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94.76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15.14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1.86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27.57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3.38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jc w:val="center"/>
      </w:pPr>
      <w:r>
        <w:drawing>
          <wp:inline distT="0" distB="0" distL="114300" distR="114300">
            <wp:extent cx="2667000" cy="2095500"/>
            <wp:effectExtent l="0" t="0" r="0" b="0"/>
            <wp:docPr id="1037"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36" w:name="_Toc15377212"/>
      <w:r>
        <w:rPr>
          <w:rFonts w:hint="eastAsia" w:ascii="仿宋" w:hAnsi="仿宋" w:eastAsia="仿宋"/>
          <w:b/>
          <w:color w:val="auto"/>
          <w:sz w:val="32"/>
          <w:szCs w:val="32"/>
          <w:highlight w:val="none"/>
        </w:rPr>
        <w:t>（三）一般公共预算财政拨款支出决算具体情况</w:t>
      </w:r>
      <w:bookmarkEnd w:id="36"/>
    </w:p>
    <w:p>
      <w:pPr>
        <w:spacing w:line="600" w:lineRule="exact"/>
        <w:ind w:firstLine="643" w:firstLineChars="200"/>
        <w:outlineLvl w:val="2"/>
        <w:rPr>
          <w:rFonts w:ascii="仿宋" w:hAnsi="仿宋" w:eastAsia="仿宋"/>
          <w:color w:val="auto"/>
          <w:sz w:val="32"/>
          <w:szCs w:val="32"/>
          <w:highlight w:val="none"/>
        </w:rPr>
      </w:pPr>
      <w:bookmarkStart w:id="37" w:name="_Toc15377444"/>
      <w:bookmarkStart w:id="38" w:name="_Toc15378460"/>
      <w:bookmarkStart w:id="39"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815.13万元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100</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。其中：</w:t>
      </w:r>
      <w:bookmarkEnd w:id="37"/>
      <w:bookmarkEnd w:id="38"/>
      <w:bookmarkEnd w:id="39"/>
    </w:p>
    <w:p>
      <w:pPr>
        <w:spacing w:line="600" w:lineRule="exact"/>
        <w:ind w:firstLine="643" w:firstLineChars="200"/>
        <w:rPr>
          <w:rFonts w:ascii="仿宋" w:hAnsi="仿宋" w:eastAsia="仿宋"/>
          <w:b/>
          <w:color w:val="auto"/>
          <w:sz w:val="32"/>
          <w:szCs w:val="32"/>
          <w:highlight w:val="none"/>
        </w:rPr>
      </w:pPr>
      <w:r>
        <w:rPr>
          <w:rStyle w:val="16"/>
          <w:rFonts w:ascii="仿宋" w:hAnsi="仿宋" w:eastAsia="仿宋"/>
          <w:bCs/>
          <w:color w:val="auto"/>
          <w:sz w:val="32"/>
          <w:szCs w:val="32"/>
          <w:highlight w:val="none"/>
        </w:rPr>
        <w:t>1.</w:t>
      </w:r>
      <w:r>
        <w:rPr>
          <w:rFonts w:hint="eastAsia" w:ascii="仿宋" w:hAnsi="仿宋" w:eastAsia="仿宋"/>
          <w:b/>
          <w:color w:val="000000"/>
          <w:sz w:val="32"/>
          <w:szCs w:val="32"/>
        </w:rPr>
        <w:t>社会保障和就业</w:t>
      </w:r>
      <w:r>
        <w:rPr>
          <w:rFonts w:hint="eastAsia" w:ascii="仿宋" w:hAnsi="仿宋" w:eastAsia="仿宋"/>
          <w:b/>
          <w:color w:val="000000"/>
          <w:sz w:val="32"/>
          <w:szCs w:val="32"/>
          <w:lang w:eastAsia="zh-CN"/>
        </w:rPr>
        <w:t>支出</w:t>
      </w:r>
      <w:r>
        <w:rPr>
          <w:rStyle w:val="16"/>
          <w:rFonts w:hint="eastAsia" w:ascii="仿宋" w:hAnsi="仿宋" w:eastAsia="仿宋"/>
          <w:bCs/>
          <w:color w:val="auto"/>
          <w:sz w:val="32"/>
          <w:szCs w:val="32"/>
          <w:highlight w:val="none"/>
        </w:rPr>
        <w:t>（类） 行政事业单位养老支出（款）离退休人员管理机构（项）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737.19</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，与预算数持平。</w:t>
      </w:r>
    </w:p>
    <w:p>
      <w:pPr>
        <w:spacing w:line="600" w:lineRule="exact"/>
        <w:ind w:firstLine="643" w:firstLineChars="200"/>
        <w:rPr>
          <w:rStyle w:val="16"/>
          <w:rFonts w:hint="eastAsia" w:ascii="仿宋" w:hAnsi="仿宋" w:eastAsia="仿宋"/>
          <w:b w:val="0"/>
          <w:bCs/>
          <w:color w:val="auto"/>
          <w:sz w:val="32"/>
          <w:szCs w:val="32"/>
          <w:highlight w:val="none"/>
        </w:rPr>
      </w:pPr>
      <w:r>
        <w:rPr>
          <w:rStyle w:val="16"/>
          <w:rFonts w:ascii="仿宋" w:hAnsi="仿宋" w:eastAsia="仿宋"/>
          <w:bCs/>
          <w:color w:val="auto"/>
          <w:sz w:val="32"/>
          <w:szCs w:val="32"/>
          <w:highlight w:val="none"/>
        </w:rPr>
        <w:t>2.</w:t>
      </w:r>
      <w:r>
        <w:rPr>
          <w:rFonts w:hint="eastAsia" w:ascii="仿宋" w:hAnsi="仿宋" w:eastAsia="仿宋"/>
          <w:b/>
          <w:color w:val="000000"/>
          <w:sz w:val="32"/>
          <w:szCs w:val="32"/>
        </w:rPr>
        <w:t>社会保障和就业</w:t>
      </w:r>
      <w:r>
        <w:rPr>
          <w:rFonts w:hint="eastAsia" w:ascii="仿宋" w:hAnsi="仿宋" w:eastAsia="仿宋"/>
          <w:b/>
          <w:color w:val="000000"/>
          <w:sz w:val="32"/>
          <w:szCs w:val="32"/>
          <w:lang w:eastAsia="zh-CN"/>
        </w:rPr>
        <w:t>支出</w:t>
      </w:r>
      <w:r>
        <w:rPr>
          <w:rStyle w:val="16"/>
          <w:rFonts w:hint="eastAsia" w:ascii="仿宋" w:hAnsi="仿宋" w:eastAsia="仿宋"/>
          <w:bCs/>
          <w:color w:val="auto"/>
          <w:sz w:val="32"/>
          <w:szCs w:val="32"/>
          <w:highlight w:val="none"/>
        </w:rPr>
        <w:t>（类） 行政事业单位养老支出（款）  机关事业单位基本养老保险缴费支出（项）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29.58</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，与预算数持平。</w:t>
      </w:r>
    </w:p>
    <w:p>
      <w:pPr>
        <w:spacing w:line="600" w:lineRule="exact"/>
        <w:ind w:firstLine="643" w:firstLineChars="200"/>
        <w:rPr>
          <w:rStyle w:val="16"/>
          <w:rFonts w:hint="eastAsia" w:ascii="仿宋" w:hAnsi="仿宋" w:eastAsia="仿宋"/>
          <w:b w:val="0"/>
          <w:bCs/>
          <w:color w:val="auto"/>
          <w:sz w:val="32"/>
          <w:szCs w:val="32"/>
          <w:highlight w:val="none"/>
        </w:rPr>
      </w:pPr>
      <w:r>
        <w:rPr>
          <w:rStyle w:val="16"/>
          <w:rFonts w:ascii="仿宋" w:hAnsi="仿宋" w:eastAsia="仿宋"/>
          <w:bCs/>
          <w:color w:val="auto"/>
          <w:sz w:val="32"/>
          <w:szCs w:val="32"/>
          <w:highlight w:val="none"/>
        </w:rPr>
        <w:t>3.</w:t>
      </w:r>
      <w:r>
        <w:rPr>
          <w:rFonts w:hint="eastAsia" w:ascii="仿宋" w:hAnsi="仿宋" w:eastAsia="仿宋"/>
          <w:b/>
          <w:color w:val="000000"/>
          <w:sz w:val="32"/>
          <w:szCs w:val="32"/>
        </w:rPr>
        <w:t>社会保障和就业</w:t>
      </w:r>
      <w:r>
        <w:rPr>
          <w:rFonts w:hint="eastAsia" w:ascii="仿宋" w:hAnsi="仿宋" w:eastAsia="仿宋"/>
          <w:b/>
          <w:color w:val="000000"/>
          <w:sz w:val="32"/>
          <w:szCs w:val="32"/>
          <w:lang w:eastAsia="zh-CN"/>
        </w:rPr>
        <w:t>支出</w:t>
      </w:r>
      <w:r>
        <w:rPr>
          <w:rStyle w:val="16"/>
          <w:rFonts w:hint="eastAsia" w:ascii="仿宋" w:hAnsi="仿宋" w:eastAsia="仿宋"/>
          <w:bCs/>
          <w:color w:val="auto"/>
          <w:sz w:val="32"/>
          <w:szCs w:val="32"/>
          <w:highlight w:val="none"/>
        </w:rPr>
        <w:t>（类） 行政事业单位养老支出（款）  机关事业单位职业年金缴费支出（项）</w:t>
      </w:r>
      <w:r>
        <w:rPr>
          <w:rStyle w:val="16"/>
          <w:rFonts w:ascii="仿宋" w:hAnsi="仿宋" w:eastAsia="仿宋"/>
          <w:bCs/>
          <w:color w:val="auto"/>
          <w:sz w:val="32"/>
          <w:szCs w:val="32"/>
          <w:highlight w:val="none"/>
        </w:rPr>
        <w:t>:</w:t>
      </w:r>
      <w:r>
        <w:rPr>
          <w:rStyle w:val="16"/>
          <w:rFonts w:ascii="仿宋" w:hAnsi="仿宋" w:eastAsia="仿宋"/>
          <w:b w:val="0"/>
          <w:bCs/>
          <w:color w:val="auto"/>
          <w:sz w:val="32"/>
          <w:szCs w:val="32"/>
          <w:highlight w:val="none"/>
        </w:rPr>
        <w:t xml:space="preserve"> </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5.66</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hint="eastAsia" w:ascii="仿宋" w:hAnsi="仿宋" w:eastAsia="仿宋"/>
          <w:b w:val="0"/>
          <w:bCs/>
          <w:color w:val="auto"/>
          <w:sz w:val="32"/>
          <w:szCs w:val="32"/>
          <w:highlight w:val="none"/>
        </w:rPr>
        <w:t>%，与预算数持平。</w:t>
      </w:r>
    </w:p>
    <w:p>
      <w:pPr>
        <w:spacing w:line="600" w:lineRule="exact"/>
        <w:ind w:firstLine="643"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4</w:t>
      </w:r>
      <w:r>
        <w:rPr>
          <w:rStyle w:val="16"/>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（类）行政事业单位医疗（款） 行政单位医疗（项）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15.14</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，与预算数持平。</w:t>
      </w:r>
    </w:p>
    <w:p>
      <w:pPr>
        <w:spacing w:line="600" w:lineRule="exact"/>
        <w:ind w:firstLine="643" w:firstLineChars="200"/>
        <w:rPr>
          <w:rFonts w:ascii="仿宋" w:hAnsi="仿宋" w:eastAsia="仿宋"/>
          <w:b/>
          <w:color w:val="auto"/>
          <w:sz w:val="32"/>
          <w:szCs w:val="32"/>
          <w:highlight w:val="none"/>
        </w:rPr>
      </w:pPr>
      <w:r>
        <w:rPr>
          <w:rStyle w:val="16"/>
          <w:rFonts w:hint="eastAsia" w:ascii="仿宋_GB2312" w:hAnsi="仿宋" w:eastAsia="仿宋_GB2312"/>
          <w:b/>
          <w:bCs w:val="0"/>
          <w:color w:val="000000"/>
          <w:sz w:val="32"/>
          <w:szCs w:val="32"/>
        </w:rPr>
        <w:t>5.</w:t>
      </w:r>
      <w:r>
        <w:rPr>
          <w:rFonts w:hint="eastAsia" w:ascii="仿宋_GB2312" w:hAnsi="仿宋" w:eastAsia="仿宋_GB2312"/>
          <w:b/>
          <w:bCs w:val="0"/>
          <w:color w:val="000000"/>
          <w:sz w:val="32"/>
          <w:szCs w:val="32"/>
        </w:rPr>
        <w:t>住房保障支出</w:t>
      </w:r>
      <w:r>
        <w:rPr>
          <w:rStyle w:val="16"/>
          <w:rFonts w:hint="eastAsia" w:ascii="仿宋_GB2312" w:hAnsi="仿宋" w:eastAsia="仿宋_GB2312"/>
          <w:b/>
          <w:bCs w:val="0"/>
          <w:color w:val="000000"/>
          <w:sz w:val="32"/>
          <w:szCs w:val="32"/>
        </w:rPr>
        <w:t>（类）住房改革支出（款）住房公积金（项）</w:t>
      </w:r>
      <w:r>
        <w:rPr>
          <w:rStyle w:val="16"/>
          <w:rFonts w:hint="eastAsia" w:ascii="仿宋_GB2312" w:hAnsi="仿宋" w:eastAsia="仿宋_GB2312"/>
          <w:b w:val="0"/>
          <w:bCs/>
          <w:color w:val="000000"/>
          <w:sz w:val="32"/>
          <w:szCs w:val="32"/>
        </w:rPr>
        <w:t>:支出决算为</w:t>
      </w:r>
      <w:r>
        <w:rPr>
          <w:rStyle w:val="16"/>
          <w:rFonts w:hint="eastAsia" w:ascii="仿宋_GB2312" w:hAnsi="仿宋" w:eastAsia="仿宋_GB2312"/>
          <w:b w:val="0"/>
          <w:bCs/>
          <w:color w:val="000000"/>
          <w:sz w:val="32"/>
          <w:szCs w:val="32"/>
          <w:lang w:val="en-US" w:eastAsia="zh-CN"/>
        </w:rPr>
        <w:t>27.57</w:t>
      </w:r>
      <w:r>
        <w:rPr>
          <w:rStyle w:val="16"/>
          <w:rFonts w:hint="eastAsia" w:ascii="仿宋_GB2312" w:hAnsi="仿宋" w:eastAsia="仿宋_GB2312"/>
          <w:b w:val="0"/>
          <w:bCs/>
          <w:color w:val="000000"/>
          <w:sz w:val="32"/>
          <w:szCs w:val="32"/>
        </w:rPr>
        <w:t>万元，完成预算100</w:t>
      </w:r>
      <w:r>
        <w:rPr>
          <w:rStyle w:val="16"/>
          <w:rFonts w:hint="eastAsia" w:ascii="仿宋" w:hAnsi="仿宋" w:eastAsia="仿宋"/>
          <w:b w:val="0"/>
          <w:bCs/>
          <w:color w:val="auto"/>
          <w:sz w:val="32"/>
          <w:szCs w:val="32"/>
          <w:highlight w:val="none"/>
        </w:rPr>
        <w:t>%，与预算数持平。</w:t>
      </w:r>
    </w:p>
    <w:p>
      <w:pPr>
        <w:tabs>
          <w:tab w:val="right" w:pos="8306"/>
        </w:tabs>
        <w:spacing w:line="600" w:lineRule="exact"/>
        <w:ind w:firstLine="640"/>
        <w:outlineLvl w:val="1"/>
        <w:rPr>
          <w:rStyle w:val="29"/>
          <w:color w:val="auto"/>
          <w:highlight w:val="none"/>
        </w:rPr>
      </w:pPr>
      <w:bookmarkStart w:id="40" w:name="_Toc15377214"/>
      <w:bookmarkStart w:id="41"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9"/>
          <w:rFonts w:hint="eastAsia" w:ascii="黑体" w:hAnsi="黑体" w:eastAsia="黑体"/>
          <w:b w:val="0"/>
          <w:color w:val="auto"/>
          <w:highlight w:val="none"/>
        </w:rPr>
        <w:t>般公共预算财政拨款基本支出决算情况说明</w:t>
      </w:r>
      <w:bookmarkEnd w:id="40"/>
      <w:bookmarkEnd w:id="41"/>
      <w:r>
        <w:rPr>
          <w:rStyle w:val="29"/>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563.88</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441.31</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万元，主要包括：基本工资、津贴补贴、奖金、伙食补助费、绩效工资、机关事业单位基本养老保险缴费、职业年金缴费、其他社会保障缴费、其他工资福利支出、生活补助、</w:t>
      </w:r>
      <w:r>
        <w:rPr>
          <w:rFonts w:hint="eastAsia" w:ascii="仿宋" w:hAnsi="仿宋" w:eastAsia="仿宋"/>
          <w:color w:val="auto"/>
          <w:sz w:val="32"/>
          <w:szCs w:val="32"/>
          <w:highlight w:val="none"/>
          <w:lang w:eastAsia="zh-CN"/>
        </w:rPr>
        <w:t>救济费、</w:t>
      </w:r>
      <w:r>
        <w:rPr>
          <w:rFonts w:hint="eastAsia" w:ascii="仿宋" w:hAnsi="仿宋" w:eastAsia="仿宋"/>
          <w:color w:val="auto"/>
          <w:sz w:val="32"/>
          <w:szCs w:val="32"/>
          <w:highlight w:val="none"/>
        </w:rPr>
        <w:t>奖励金、住房公积金、其他对个人和家庭的补助支出等。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122.57</w:t>
      </w:r>
      <w:r>
        <w:rPr>
          <w:rFonts w:hint="eastAsia" w:ascii="仿宋" w:hAnsi="仿宋" w:eastAsia="仿宋"/>
          <w:color w:val="auto"/>
          <w:sz w:val="32"/>
          <w:szCs w:val="32"/>
          <w:highlight w:val="none"/>
        </w:rPr>
        <w:t>万元，主要包括：办公费、印刷费、手续费、水费、电费、邮电费、物业管理费、差旅费、维修（护）费、会议费、培训费、公务接待费、劳务费、工会经费、福利费、</w:t>
      </w:r>
      <w:r>
        <w:rPr>
          <w:rFonts w:hint="eastAsia" w:ascii="仿宋" w:hAnsi="仿宋" w:eastAsia="仿宋"/>
          <w:color w:val="auto"/>
          <w:sz w:val="32"/>
          <w:szCs w:val="32"/>
          <w:highlight w:val="none"/>
          <w:lang w:eastAsia="zh-CN"/>
        </w:rPr>
        <w:t>公务用车购置费、</w:t>
      </w:r>
      <w:r>
        <w:rPr>
          <w:rFonts w:hint="eastAsia" w:ascii="仿宋" w:hAnsi="仿宋" w:eastAsia="仿宋"/>
          <w:color w:val="auto"/>
          <w:sz w:val="32"/>
          <w:szCs w:val="32"/>
          <w:highlight w:val="none"/>
        </w:rPr>
        <w:t>公务用车运行维护费、其他交通费、其他商品和服务支出等。</w:t>
      </w:r>
    </w:p>
    <w:p>
      <w:pPr>
        <w:spacing w:line="600" w:lineRule="exact"/>
        <w:ind w:firstLine="640"/>
        <w:outlineLvl w:val="1"/>
        <w:rPr>
          <w:rStyle w:val="29"/>
          <w:rFonts w:hint="eastAsia" w:ascii="黑体" w:hAnsi="黑体" w:eastAsia="黑体"/>
          <w:b w:val="0"/>
          <w:color w:val="auto"/>
          <w:highlight w:val="none"/>
          <w:lang w:eastAsia="zh-CN"/>
        </w:rPr>
      </w:pPr>
      <w:bookmarkStart w:id="42" w:name="_Toc15396609"/>
      <w:bookmarkStart w:id="43" w:name="_Toc15377215"/>
      <w:r>
        <w:rPr>
          <w:rFonts w:hint="eastAsia" w:ascii="黑体" w:eastAsia="黑体"/>
          <w:color w:val="auto"/>
          <w:sz w:val="32"/>
          <w:szCs w:val="32"/>
          <w:highlight w:val="none"/>
        </w:rPr>
        <w:t>七、</w:t>
      </w:r>
      <w:r>
        <w:rPr>
          <w:rStyle w:val="29"/>
          <w:rFonts w:hint="eastAsia" w:ascii="黑体" w:hAnsi="黑体" w:eastAsia="黑体"/>
          <w:color w:val="auto"/>
          <w:highlight w:val="none"/>
        </w:rPr>
        <w:t>“</w:t>
      </w:r>
      <w:r>
        <w:rPr>
          <w:rStyle w:val="29"/>
          <w:rFonts w:hint="eastAsia" w:ascii="黑体" w:hAnsi="黑体" w:eastAsia="黑体"/>
          <w:b w:val="0"/>
          <w:color w:val="auto"/>
          <w:highlight w:val="none"/>
        </w:rPr>
        <w:t>三公”经费财政拨款支出决算情况说</w:t>
      </w:r>
      <w:bookmarkEnd w:id="42"/>
      <w:bookmarkEnd w:id="43"/>
      <w:r>
        <w:rPr>
          <w:rStyle w:val="29"/>
          <w:rFonts w:hint="eastAsia" w:ascii="黑体" w:hAnsi="黑体" w:eastAsia="黑体"/>
          <w:b w:val="0"/>
          <w:color w:val="auto"/>
          <w:highlight w:val="none"/>
          <w:lang w:eastAsia="zh-CN"/>
        </w:rPr>
        <w:t>明</w:t>
      </w:r>
    </w:p>
    <w:p>
      <w:pPr>
        <w:spacing w:line="600" w:lineRule="exact"/>
        <w:ind w:firstLine="640"/>
        <w:outlineLvl w:val="2"/>
        <w:rPr>
          <w:rFonts w:ascii="仿宋" w:hAnsi="仿宋" w:eastAsia="仿宋"/>
          <w:b/>
          <w:color w:val="auto"/>
          <w:sz w:val="32"/>
          <w:szCs w:val="32"/>
          <w:highlight w:val="none"/>
        </w:rPr>
      </w:pPr>
      <w:bookmarkStart w:id="44" w:name="_Toc15377216"/>
      <w:r>
        <w:rPr>
          <w:rFonts w:hint="eastAsia" w:ascii="仿宋" w:hAnsi="仿宋" w:eastAsia="仿宋"/>
          <w:b/>
          <w:color w:val="auto"/>
          <w:sz w:val="32"/>
          <w:szCs w:val="32"/>
          <w:highlight w:val="none"/>
        </w:rPr>
        <w:t>（一）“三公”经费财政拨款支出决算总体情况说明</w:t>
      </w:r>
      <w:bookmarkEnd w:id="44"/>
    </w:p>
    <w:p>
      <w:pPr>
        <w:spacing w:line="600" w:lineRule="exact"/>
        <w:ind w:firstLine="640"/>
        <w:rPr>
          <w:rFonts w:ascii="仿宋" w:hAnsi="仿宋" w:eastAsia="仿宋"/>
          <w:b/>
          <w:color w:val="00B0F0"/>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31.15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hint="eastAsia" w:ascii="仿宋" w:hAnsi="仿宋" w:eastAsia="仿宋"/>
          <w:color w:val="auto"/>
          <w:sz w:val="32"/>
          <w:szCs w:val="32"/>
          <w:highlight w:val="none"/>
        </w:rPr>
        <w:t>%，与预算数持平。</w:t>
      </w:r>
    </w:p>
    <w:p>
      <w:pPr>
        <w:spacing w:line="600" w:lineRule="exact"/>
        <w:ind w:firstLine="640"/>
        <w:outlineLvl w:val="2"/>
        <w:rPr>
          <w:rFonts w:ascii="仿宋" w:hAnsi="仿宋" w:eastAsia="仿宋"/>
          <w:b/>
          <w:color w:val="auto"/>
          <w:sz w:val="32"/>
          <w:szCs w:val="32"/>
          <w:highlight w:val="none"/>
        </w:rPr>
      </w:pPr>
      <w:bookmarkStart w:id="45" w:name="_Toc15377217"/>
      <w:r>
        <w:rPr>
          <w:rFonts w:hint="eastAsia" w:ascii="仿宋" w:hAnsi="仿宋" w:eastAsia="仿宋"/>
          <w:b/>
          <w:color w:val="auto"/>
          <w:sz w:val="32"/>
          <w:szCs w:val="32"/>
          <w:highlight w:val="none"/>
        </w:rPr>
        <w:t>（二）“三公”经费财政拨款支出决算具体情况说明</w:t>
      </w:r>
      <w:bookmarkEnd w:id="45"/>
    </w:p>
    <w:p>
      <w:pPr>
        <w:spacing w:line="600" w:lineRule="exact"/>
        <w:ind w:firstLine="640"/>
        <w:rPr>
          <w:rFonts w:hint="eastAsia"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w:t>
      </w:r>
      <w:r>
        <w:rPr>
          <w:rFonts w:hint="eastAsia" w:ascii="仿宋" w:hAnsi="仿宋" w:eastAsia="仿宋"/>
          <w:color w:val="auto"/>
          <w:sz w:val="32"/>
          <w:szCs w:val="32"/>
          <w:highlight w:val="none"/>
          <w:lang w:val="en-US" w:eastAsia="zh-CN"/>
        </w:rPr>
        <w:t>因公出国</w:t>
      </w:r>
      <w:r>
        <w:rPr>
          <w:rFonts w:hint="eastAsia" w:ascii="仿宋" w:hAnsi="仿宋" w:eastAsia="仿宋"/>
          <w:color w:val="auto"/>
          <w:sz w:val="32"/>
          <w:szCs w:val="32"/>
          <w:highlight w:val="none"/>
        </w:rPr>
        <w:t>（境）</w:t>
      </w:r>
      <w:r>
        <w:rPr>
          <w:rFonts w:hint="eastAsia" w:ascii="仿宋" w:hAnsi="仿宋" w:eastAsia="仿宋"/>
          <w:color w:val="auto"/>
          <w:sz w:val="32"/>
          <w:szCs w:val="32"/>
          <w:highlight w:val="none"/>
          <w:lang w:val="en-US" w:eastAsia="zh-CN"/>
        </w:rPr>
        <w:t>经费支出0万元，</w:t>
      </w:r>
      <w:r>
        <w:rPr>
          <w:rFonts w:hint="eastAsia" w:ascii="仿宋_GB2312" w:eastAsia="仿宋_GB2312"/>
          <w:color w:val="auto"/>
          <w:sz w:val="32"/>
          <w:szCs w:val="32"/>
          <w:highlight w:val="none"/>
          <w:lang w:val="en-US" w:eastAsia="zh-CN"/>
        </w:rPr>
        <w:t>占0%</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30.19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97</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r>
        <w:drawing>
          <wp:anchor distT="0" distB="0" distL="114300" distR="114300" simplePos="0" relativeHeight="251659264" behindDoc="0" locked="0" layoutInCell="1" allowOverlap="1">
            <wp:simplePos x="0" y="0"/>
            <wp:positionH relativeFrom="column">
              <wp:posOffset>1537970</wp:posOffset>
            </wp:positionH>
            <wp:positionV relativeFrom="paragraph">
              <wp:posOffset>74930</wp:posOffset>
            </wp:positionV>
            <wp:extent cx="1895475" cy="2124075"/>
            <wp:effectExtent l="0" t="0" r="0" b="0"/>
            <wp:wrapSquare wrapText="bothSides"/>
            <wp:docPr id="1039" name="Image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19"/>
      </w:pPr>
    </w:p>
    <w:p/>
    <w:p>
      <w:pPr>
        <w:pStyle w:val="19"/>
      </w:pPr>
    </w:p>
    <w:p/>
    <w:p>
      <w:pPr>
        <w:pStyle w:val="19"/>
      </w:pPr>
    </w:p>
    <w:p/>
    <w:p>
      <w:pPr>
        <w:pStyle w:val="19"/>
      </w:pPr>
    </w:p>
    <w:p/>
    <w:p>
      <w:pPr>
        <w:spacing w:line="600" w:lineRule="exact"/>
        <w:ind w:firstLine="640"/>
        <w:rPr>
          <w:rFonts w:hint="eastAsia" w:ascii="仿宋_GB2312" w:eastAsia="仿宋_GB2312"/>
          <w:color w:val="auto"/>
          <w:sz w:val="32"/>
          <w:szCs w:val="32"/>
          <w:highlight w:val="none"/>
          <w:lang w:eastAsia="zh-CN"/>
        </w:rPr>
      </w:pPr>
      <w:r>
        <w:rPr>
          <w:rFonts w:ascii="仿宋_GB2312" w:eastAsia="仿宋_GB2312"/>
          <w:b/>
          <w:color w:val="auto"/>
          <w:sz w:val="32"/>
          <w:szCs w:val="32"/>
          <w:highlight w:val="none"/>
        </w:rPr>
        <w:t>1.</w:t>
      </w:r>
      <w:r>
        <w:rPr>
          <w:rFonts w:hint="eastAsia" w:ascii="仿宋_GB2312" w:eastAsia="仿宋_GB2312"/>
          <w:b/>
          <w:bCs w:val="0"/>
          <w:color w:val="auto"/>
          <w:sz w:val="32"/>
          <w:szCs w:val="32"/>
          <w:highlight w:val="none"/>
        </w:rPr>
        <w:t>因公出国（</w:t>
      </w:r>
      <w:r>
        <w:rPr>
          <w:rFonts w:hint="eastAsia" w:ascii="仿宋_GB2312" w:eastAsia="仿宋_GB2312"/>
          <w:b/>
          <w:color w:val="auto"/>
          <w:sz w:val="32"/>
          <w:szCs w:val="32"/>
          <w:highlight w:val="none"/>
        </w:rPr>
        <w:t>境）经费支出</w:t>
      </w:r>
      <w:r>
        <w:rPr>
          <w:rFonts w:hint="eastAsia" w:ascii="仿宋_GB2312" w:eastAsia="仿宋_GB2312"/>
          <w:color w:val="auto"/>
          <w:sz w:val="32"/>
          <w:szCs w:val="32"/>
          <w:highlight w:val="none"/>
          <w:lang w:val="en-US" w:eastAsia="zh-CN"/>
        </w:rPr>
        <w:t>0万元，年初未安排预算</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因公出国（境）支出决算较2020年无变化。</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30.19</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21.75</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257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老干部服务用车购置车辆一台</w:t>
      </w:r>
      <w:r>
        <w:rPr>
          <w:rFonts w:hint="eastAsia" w:ascii="仿宋_GB2312" w:eastAsia="仿宋_GB2312"/>
          <w:color w:val="auto"/>
          <w:sz w:val="32"/>
          <w:szCs w:val="32"/>
          <w:highlight w:val="none"/>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17.98</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17.98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主要用于</w:t>
      </w:r>
      <w:r>
        <w:rPr>
          <w:rFonts w:hint="eastAsia" w:ascii="仿宋_GB2312" w:eastAsia="仿宋_GB2312"/>
          <w:color w:val="auto"/>
          <w:sz w:val="32"/>
          <w:szCs w:val="32"/>
          <w:highlight w:val="none"/>
          <w:lang w:eastAsia="zh-CN"/>
        </w:rPr>
        <w:t>老干部服务</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12.21</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老干部服务</w:t>
      </w:r>
      <w:r>
        <w:rPr>
          <w:rFonts w:hint="eastAsia" w:ascii="仿宋_GB2312" w:eastAsia="仿宋_GB2312"/>
          <w:color w:val="auto"/>
          <w:sz w:val="32"/>
          <w:szCs w:val="32"/>
          <w:highlight w:val="none"/>
        </w:rPr>
        <w:t>等所需的公务用车燃料费、维修费、过路过桥费、保险费等支出。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0.97</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0.99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51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坚持历行节约原则</w:t>
      </w:r>
      <w:r>
        <w:rPr>
          <w:rFonts w:hint="eastAsia" w:ascii="仿宋_GB2312" w:eastAsia="仿宋_GB2312"/>
          <w:color w:val="auto"/>
          <w:sz w:val="32"/>
          <w:szCs w:val="32"/>
          <w:highlight w:val="none"/>
        </w:rPr>
        <w:t>。其中：</w:t>
      </w:r>
    </w:p>
    <w:p>
      <w:pPr>
        <w:spacing w:line="600" w:lineRule="exact"/>
        <w:ind w:firstLine="640"/>
        <w:rPr>
          <w:rFonts w:ascii="仿宋" w:hAnsi="仿宋" w:eastAsia="仿宋"/>
          <w:color w:val="000000"/>
          <w:sz w:val="32"/>
          <w:szCs w:val="32"/>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0.97</w:t>
      </w:r>
      <w:r>
        <w:rPr>
          <w:rFonts w:hint="eastAsia" w:ascii="仿宋_GB2312" w:eastAsia="仿宋_GB2312"/>
          <w:color w:val="auto"/>
          <w:sz w:val="32"/>
          <w:szCs w:val="32"/>
          <w:highlight w:val="none"/>
        </w:rPr>
        <w:t>万元，主要用于开展业务活动开支用餐费等。国内公务接待</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85</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0.97</w:t>
      </w:r>
      <w:r>
        <w:rPr>
          <w:rFonts w:hint="eastAsia" w:ascii="仿宋_GB2312" w:eastAsia="仿宋_GB2312"/>
          <w:color w:val="auto"/>
          <w:sz w:val="32"/>
          <w:szCs w:val="32"/>
          <w:highlight w:val="none"/>
        </w:rPr>
        <w:t>万元，具体内容包括：</w:t>
      </w:r>
      <w:r>
        <w:rPr>
          <w:rFonts w:hint="eastAsia" w:ascii="仿宋" w:hAnsi="仿宋" w:eastAsia="仿宋"/>
          <w:color w:val="000000"/>
          <w:sz w:val="32"/>
          <w:szCs w:val="32"/>
          <w:lang w:eastAsia="zh-CN"/>
        </w:rPr>
        <w:t>省委老干部局指导工作</w:t>
      </w:r>
      <w:r>
        <w:rPr>
          <w:rFonts w:hint="eastAsia" w:ascii="仿宋" w:hAnsi="仿宋" w:eastAsia="仿宋"/>
          <w:color w:val="000000"/>
          <w:sz w:val="32"/>
          <w:szCs w:val="32"/>
          <w:lang w:val="en-US" w:eastAsia="zh-CN"/>
        </w:rPr>
        <w:t>1450元、县区老干部局业务培训3500元、县区老干部半年总结（上下年各一次）4750元。</w:t>
      </w:r>
    </w:p>
    <w:p>
      <w:pPr>
        <w:spacing w:line="600" w:lineRule="exact"/>
        <w:ind w:firstLine="643" w:firstLineChars="200"/>
        <w:rPr>
          <w:rFonts w:hint="default" w:ascii="仿宋_GB2312" w:eastAsia="仿宋_GB2312"/>
          <w:color w:val="auto"/>
          <w:sz w:val="32"/>
          <w:szCs w:val="32"/>
          <w:highlight w:val="none"/>
          <w:lang w:val="en-US"/>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val="en-US" w:eastAsia="zh-CN"/>
        </w:rPr>
        <w:t>年初未安排预算</w:t>
      </w:r>
      <w:r>
        <w:rPr>
          <w:rFonts w:hint="eastAsia" w:ascii="仿宋" w:hAnsi="仿宋" w:eastAsia="仿宋"/>
          <w:color w:val="000000"/>
          <w:sz w:val="32"/>
          <w:szCs w:val="32"/>
          <w:lang w:val="en-US" w:eastAsia="zh-CN"/>
        </w:rPr>
        <w:t>。</w:t>
      </w:r>
    </w:p>
    <w:p>
      <w:pPr>
        <w:spacing w:line="600" w:lineRule="exact"/>
        <w:ind w:firstLine="640"/>
        <w:outlineLvl w:val="1"/>
        <w:rPr>
          <w:rStyle w:val="29"/>
          <w:rFonts w:ascii="黑体" w:hAnsi="黑体" w:eastAsia="黑体"/>
          <w:color w:val="auto"/>
          <w:highlight w:val="none"/>
        </w:rPr>
      </w:pPr>
      <w:bookmarkStart w:id="46" w:name="_Toc15396610"/>
      <w:bookmarkStart w:id="47" w:name="_Toc15377218"/>
      <w:r>
        <w:rPr>
          <w:rFonts w:hint="eastAsia" w:ascii="黑体" w:eastAsia="黑体"/>
          <w:color w:val="auto"/>
          <w:sz w:val="32"/>
          <w:szCs w:val="32"/>
          <w:highlight w:val="none"/>
        </w:rPr>
        <w:t>八、</w:t>
      </w:r>
      <w:r>
        <w:rPr>
          <w:rStyle w:val="29"/>
          <w:rFonts w:hint="eastAsia" w:ascii="黑体" w:hAnsi="黑体" w:eastAsia="黑体"/>
          <w:b w:val="0"/>
          <w:color w:val="auto"/>
          <w:highlight w:val="none"/>
        </w:rPr>
        <w:t>政府性基金预算支出决算情况说明</w:t>
      </w:r>
      <w:bookmarkEnd w:id="46"/>
      <w:bookmarkEnd w:id="47"/>
    </w:p>
    <w:p>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9"/>
          <w:rFonts w:ascii="黑体" w:hAnsi="黑体" w:eastAsia="黑体"/>
          <w:b w:val="0"/>
          <w:color w:val="auto"/>
          <w:highlight w:val="none"/>
        </w:rPr>
      </w:pPr>
      <w:bookmarkStart w:id="48" w:name="_Toc15377219"/>
      <w:bookmarkStart w:id="49" w:name="_Toc15396611"/>
      <w:r>
        <w:rPr>
          <w:rStyle w:val="29"/>
          <w:rFonts w:hint="eastAsia" w:ascii="黑体" w:hAnsi="黑体" w:eastAsia="黑体"/>
          <w:b w:val="0"/>
          <w:color w:val="auto"/>
          <w:highlight w:val="none"/>
        </w:rPr>
        <w:t>国有资本经营预算支出决算情况说明</w:t>
      </w:r>
      <w:bookmarkEnd w:id="48"/>
      <w:bookmarkEnd w:id="49"/>
    </w:p>
    <w:p>
      <w:pPr>
        <w:spacing w:line="600" w:lineRule="exact"/>
        <w:ind w:firstLine="640"/>
        <w:rPr>
          <w:rFonts w:hint="eastAsia"/>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50" w:name="_Toc15377221"/>
      <w:bookmarkStart w:id="51" w:name="_Toc15396612"/>
    </w:p>
    <w:p>
      <w:pPr>
        <w:numPr>
          <w:ilvl w:val="0"/>
          <w:numId w:val="2"/>
        </w:numPr>
        <w:spacing w:line="600" w:lineRule="exact"/>
        <w:ind w:firstLine="640"/>
        <w:outlineLvl w:val="1"/>
        <w:rPr>
          <w:rStyle w:val="29"/>
          <w:rFonts w:hint="eastAsia" w:ascii="黑体" w:hAnsi="黑体" w:eastAsia="黑体"/>
          <w:b w:val="0"/>
          <w:color w:val="auto"/>
          <w:highlight w:val="none"/>
        </w:rPr>
      </w:pPr>
      <w:r>
        <w:rPr>
          <w:rStyle w:val="29"/>
          <w:rFonts w:hint="eastAsia" w:ascii="黑体" w:hAnsi="黑体" w:eastAsia="黑体"/>
          <w:b w:val="0"/>
          <w:color w:val="auto"/>
          <w:highlight w:val="none"/>
          <w:lang w:val="en-US" w:eastAsia="zh-CN"/>
        </w:rPr>
        <w:t>预算绩效管理情况</w:t>
      </w:r>
    </w:p>
    <w:p>
      <w:pPr>
        <w:numPr>
          <w:ilvl w:val="0"/>
          <w:numId w:val="0"/>
        </w:numPr>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仿宋_GB2312" w:hAnsi="仿宋_GB2312" w:eastAsia="仿宋_GB2312" w:cs="仿宋_GB2312"/>
          <w:color w:val="auto"/>
          <w:sz w:val="32"/>
          <w:szCs w:val="32"/>
          <w:highlight w:val="none"/>
          <w:lang w:val="en-US" w:eastAsia="zh-CN"/>
        </w:rPr>
        <w:t>离退休干部走访慰问等经费</w:t>
      </w:r>
      <w:r>
        <w:rPr>
          <w:rFonts w:hint="eastAsia" w:ascii="仿宋_GB2312" w:hAnsi="仿宋_GB2312" w:eastAsia="仿宋_GB2312" w:cs="仿宋_GB2312"/>
          <w:color w:val="auto"/>
          <w:sz w:val="32"/>
          <w:szCs w:val="32"/>
          <w:highlight w:val="none"/>
        </w:rPr>
        <w:t>项目（项目名称）</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7个项目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00B0F0"/>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本部门对20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年部门整体开展绩效自评，《202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中共广元市委老干部局</w:t>
      </w:r>
      <w:r>
        <w:rPr>
          <w:rFonts w:hint="eastAsia" w:ascii="仿宋_GB2312" w:hAnsi="仿宋_GB2312" w:eastAsia="仿宋_GB2312" w:cs="仿宋_GB2312"/>
          <w:color w:val="auto"/>
          <w:sz w:val="32"/>
          <w:szCs w:val="32"/>
          <w:highlight w:val="none"/>
        </w:rPr>
        <w:t>部门整体绩效评价报告》见附件（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p>
    <w:p>
      <w:pPr>
        <w:numPr>
          <w:ilvl w:val="0"/>
          <w:numId w:val="2"/>
        </w:numPr>
        <w:spacing w:line="600" w:lineRule="exact"/>
        <w:ind w:firstLine="640"/>
        <w:outlineLvl w:val="1"/>
        <w:rPr>
          <w:rStyle w:val="29"/>
          <w:rFonts w:hint="eastAsia" w:ascii="黑体" w:hAnsi="黑体" w:eastAsia="黑体"/>
          <w:b w:val="0"/>
          <w:color w:val="auto"/>
          <w:highlight w:val="none"/>
        </w:rPr>
      </w:pPr>
      <w:r>
        <w:rPr>
          <w:rStyle w:val="29"/>
          <w:rFonts w:hint="eastAsia" w:ascii="黑体" w:hAnsi="黑体" w:eastAsia="黑体"/>
          <w:b w:val="0"/>
          <w:color w:val="auto"/>
          <w:highlight w:val="none"/>
        </w:rPr>
        <w:t>其他重要事项的情况说明</w:t>
      </w:r>
      <w:bookmarkEnd w:id="50"/>
      <w:bookmarkEnd w:id="51"/>
    </w:p>
    <w:p>
      <w:pPr>
        <w:spacing w:line="600" w:lineRule="exact"/>
        <w:ind w:firstLine="643" w:firstLineChars="200"/>
        <w:outlineLvl w:val="2"/>
        <w:rPr>
          <w:rFonts w:ascii="仿宋" w:hAnsi="仿宋" w:eastAsia="仿宋"/>
          <w:color w:val="auto"/>
          <w:sz w:val="32"/>
          <w:szCs w:val="32"/>
          <w:highlight w:val="none"/>
        </w:rPr>
      </w:pPr>
      <w:bookmarkStart w:id="52" w:name="_Toc15377222"/>
      <w:r>
        <w:rPr>
          <w:rFonts w:hint="eastAsia" w:ascii="仿宋" w:hAnsi="仿宋" w:eastAsia="仿宋"/>
          <w:b/>
          <w:color w:val="auto"/>
          <w:sz w:val="32"/>
          <w:szCs w:val="32"/>
          <w:highlight w:val="none"/>
        </w:rPr>
        <w:t>（一）机关运行经费支出情况</w:t>
      </w:r>
      <w:bookmarkEnd w:id="52"/>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我局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122.57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20年增加35.84万元，增长41%。主</w:t>
      </w:r>
      <w:r>
        <w:rPr>
          <w:rFonts w:hint="eastAsia" w:ascii="仿宋_GB2312" w:eastAsia="仿宋_GB2312"/>
          <w:color w:val="auto"/>
          <w:sz w:val="32"/>
          <w:szCs w:val="32"/>
          <w:highlight w:val="none"/>
        </w:rPr>
        <w:t>要原因是</w:t>
      </w:r>
      <w:r>
        <w:rPr>
          <w:rFonts w:hint="eastAsia" w:ascii="仿宋" w:hAnsi="仿宋" w:eastAsia="仿宋" w:cs="Times New Roman"/>
          <w:color w:val="000000"/>
          <w:sz w:val="32"/>
          <w:szCs w:val="32"/>
          <w:lang w:eastAsia="zh-CN"/>
        </w:rPr>
        <w:t>人员增加费用增加。</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3" w:name="_Toc15377223"/>
      <w:r>
        <w:rPr>
          <w:rFonts w:hint="eastAsia" w:ascii="仿宋" w:hAnsi="仿宋" w:eastAsia="仿宋"/>
          <w:b/>
          <w:color w:val="auto"/>
          <w:sz w:val="32"/>
          <w:szCs w:val="32"/>
          <w:highlight w:val="none"/>
        </w:rPr>
        <w:t>（二）政府采购支出情况</w:t>
      </w:r>
      <w:bookmarkEnd w:id="53"/>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我局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4" w:name="_Toc15377224"/>
      <w:r>
        <w:rPr>
          <w:rFonts w:hint="eastAsia" w:ascii="仿宋" w:hAnsi="仿宋" w:eastAsia="仿宋"/>
          <w:b/>
          <w:color w:val="auto"/>
          <w:sz w:val="32"/>
          <w:szCs w:val="32"/>
          <w:highlight w:val="none"/>
        </w:rPr>
        <w:t>（三）国有资产占有使用情况</w:t>
      </w:r>
      <w:bookmarkEnd w:id="54"/>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我局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eastAsia="zh-CN"/>
        </w:rPr>
        <w:t>老干部服务。</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widowControl/>
        <w:jc w:val="left"/>
        <w:rPr>
          <w:rFonts w:ascii="仿宋_GB2312" w:eastAsia="仿宋_GB2312"/>
          <w:b/>
          <w:color w:val="auto"/>
          <w:sz w:val="32"/>
          <w:szCs w:val="32"/>
          <w:highlight w:val="none"/>
        </w:rPr>
      </w:pPr>
    </w:p>
    <w:p>
      <w:r>
        <w:br w:type="page"/>
      </w:r>
    </w:p>
    <w:p>
      <w:pPr>
        <w:keepNext w:val="0"/>
        <w:keepLines w:val="0"/>
        <w:pageBreakBefore w:val="0"/>
        <w:widowControl w:val="0"/>
        <w:numPr>
          <w:ilvl w:val="0"/>
          <w:numId w:val="0"/>
        </w:numPr>
        <w:kinsoku/>
        <w:wordWrap/>
        <w:overflowPunct/>
        <w:topLinePunct w:val="0"/>
        <w:bidi w:val="0"/>
        <w:snapToGrid/>
        <w:spacing w:line="600" w:lineRule="exact"/>
        <w:jc w:val="center"/>
        <w:textAlignment w:val="auto"/>
        <w:outlineLvl w:val="0"/>
        <w:rPr>
          <w:rStyle w:val="28"/>
          <w:rFonts w:ascii="黑体" w:hAnsi="黑体" w:eastAsia="黑体"/>
          <w:b w:val="0"/>
          <w:color w:val="auto"/>
          <w:highlight w:val="none"/>
        </w:rPr>
      </w:pPr>
      <w:bookmarkStart w:id="55" w:name="_Toc15377225"/>
      <w:bookmarkStart w:id="56" w:name="_Toc15396613"/>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8"/>
          <w:rFonts w:hint="eastAsia" w:ascii="黑体" w:hAnsi="黑体" w:eastAsia="黑体"/>
          <w:b w:val="0"/>
          <w:color w:val="auto"/>
          <w:highlight w:val="none"/>
        </w:rPr>
        <w:t>词解释</w:t>
      </w:r>
      <w:bookmarkEnd w:id="55"/>
      <w:bookmarkEnd w:id="56"/>
    </w:p>
    <w:p>
      <w:pPr>
        <w:keepNext w:val="0"/>
        <w:keepLines w:val="0"/>
        <w:pageBreakBefore w:val="0"/>
        <w:widowControl w:val="0"/>
        <w:kinsoku/>
        <w:wordWrap/>
        <w:overflowPunct/>
        <w:topLinePunct w:val="0"/>
        <w:bidi w:val="0"/>
        <w:snapToGrid/>
        <w:spacing w:line="600" w:lineRule="exact"/>
        <w:jc w:val="left"/>
        <w:textAlignment w:val="auto"/>
        <w:rPr>
          <w:rFonts w:ascii="宋体"/>
          <w:b/>
          <w:color w:val="auto"/>
          <w:sz w:val="44"/>
          <w:szCs w:val="44"/>
          <w:highlight w:val="none"/>
        </w:rPr>
      </w:pPr>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社会保障和就业（类）行政事业单位养老支出（款）  离退休人员管理机构（项）：指</w:t>
      </w:r>
      <w:r>
        <w:rPr>
          <w:rFonts w:hint="eastAsia" w:ascii="仿宋_GB2312" w:hAnsi="Times New Roman" w:eastAsia="仿宋_GB2312" w:cs="Times New Roman"/>
          <w:color w:val="auto"/>
          <w:sz w:val="32"/>
          <w:szCs w:val="32"/>
        </w:rPr>
        <w:t>本部门支付机关运行经费</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社会保障和就业（类）行政事业单位养老支出（款）  机关事业单位基本养老保险缴费支出（项）：指</w:t>
      </w:r>
      <w:r>
        <w:rPr>
          <w:rFonts w:hint="eastAsia" w:ascii="仿宋_GB2312" w:eastAsia="仿宋_GB2312"/>
          <w:color w:val="auto"/>
          <w:sz w:val="32"/>
          <w:szCs w:val="32"/>
          <w:highlight w:val="none"/>
          <w:lang w:eastAsia="zh-CN"/>
        </w:rPr>
        <w:t>本</w:t>
      </w:r>
      <w:r>
        <w:rPr>
          <w:rFonts w:hint="eastAsia" w:ascii="仿宋_GB2312" w:hAnsi="Times New Roman" w:eastAsia="仿宋_GB2312" w:cs="Times New Roman"/>
          <w:color w:val="auto"/>
          <w:sz w:val="32"/>
          <w:szCs w:val="32"/>
        </w:rPr>
        <w:t>部门支付职工</w:t>
      </w:r>
      <w:r>
        <w:rPr>
          <w:rFonts w:hint="eastAsia" w:ascii="仿宋_GB2312" w:eastAsia="仿宋_GB2312"/>
          <w:color w:val="auto"/>
          <w:sz w:val="32"/>
          <w:szCs w:val="32"/>
          <w:highlight w:val="none"/>
        </w:rPr>
        <w:t>基本养老保险缴费。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社会保障和就业（类）行政事业单位养老支出（款）  机关事业单位职业年金缴费支出（项）：指</w:t>
      </w:r>
      <w:r>
        <w:rPr>
          <w:rFonts w:hint="eastAsia" w:ascii="仿宋_GB2312" w:eastAsia="仿宋_GB2312"/>
          <w:color w:val="auto"/>
          <w:sz w:val="32"/>
          <w:szCs w:val="32"/>
          <w:highlight w:val="none"/>
          <w:lang w:eastAsia="zh-CN"/>
        </w:rPr>
        <w:t>本</w:t>
      </w:r>
      <w:r>
        <w:rPr>
          <w:rFonts w:hint="eastAsia" w:ascii="仿宋_GB2312" w:hAnsi="Times New Roman" w:eastAsia="仿宋_GB2312" w:cs="Times New Roman"/>
          <w:color w:val="auto"/>
          <w:sz w:val="32"/>
          <w:szCs w:val="32"/>
        </w:rPr>
        <w:t>部门支付职工</w:t>
      </w:r>
      <w:r>
        <w:rPr>
          <w:rFonts w:hint="eastAsia" w:ascii="仿宋_GB2312" w:eastAsia="仿宋_GB2312"/>
          <w:color w:val="auto"/>
          <w:sz w:val="32"/>
          <w:szCs w:val="32"/>
          <w:highlight w:val="none"/>
        </w:rPr>
        <w:t>职业年金缴费。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医疗卫生与计划生育（类）行政事业单位医疗（款）  行政单位医疗（项）：指</w:t>
      </w:r>
      <w:r>
        <w:rPr>
          <w:rFonts w:hint="eastAsia" w:ascii="仿宋_GB2312" w:eastAsia="仿宋_GB2312"/>
          <w:color w:val="auto"/>
          <w:sz w:val="32"/>
          <w:szCs w:val="32"/>
          <w:highlight w:val="none"/>
          <w:lang w:eastAsia="zh-CN"/>
        </w:rPr>
        <w:t>本</w:t>
      </w:r>
      <w:r>
        <w:rPr>
          <w:rFonts w:hint="eastAsia" w:ascii="仿宋_GB2312" w:hAnsi="Times New Roman" w:eastAsia="仿宋_GB2312" w:cs="Times New Roman"/>
          <w:color w:val="auto"/>
          <w:sz w:val="32"/>
          <w:szCs w:val="32"/>
        </w:rPr>
        <w:t>部门支付职工基本医疗保险费、生育保险费、工伤保险费</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住房保障（类）住房改革支出（款）  住房公积金（项）：指</w:t>
      </w:r>
      <w:r>
        <w:rPr>
          <w:rFonts w:hint="eastAsia" w:ascii="仿宋_GB2312" w:hAnsi="Times New Roman" w:eastAsia="仿宋_GB2312" w:cs="Times New Roman"/>
          <w:color w:val="auto"/>
          <w:sz w:val="32"/>
          <w:szCs w:val="32"/>
        </w:rPr>
        <w:t>本部门支付职工住房公积金</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Style w:val="28"/>
          <w:rFonts w:hint="eastAsia" w:ascii="黑体" w:hAnsi="黑体" w:eastAsia="黑体"/>
          <w:b w:val="0"/>
          <w:color w:val="auto"/>
          <w:highlight w:val="none"/>
          <w:lang w:eastAsia="zh-CN"/>
        </w:rPr>
      </w:pPr>
      <w:bookmarkStart w:id="57" w:name="_Toc15377226"/>
      <w:r>
        <w:rPr>
          <w:rFonts w:ascii="宋体"/>
          <w:b/>
          <w:color w:val="auto"/>
          <w:sz w:val="44"/>
          <w:szCs w:val="44"/>
          <w:highlight w:val="none"/>
        </w:rPr>
        <w:br w:type="page"/>
      </w:r>
      <w:bookmarkStart w:id="58" w:name="_Toc15396614"/>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四部分</w:t>
      </w:r>
      <w:r>
        <w:rPr>
          <w:rStyle w:val="28"/>
          <w:rFonts w:hint="eastAsia" w:ascii="黑体" w:hAnsi="黑体" w:eastAsia="黑体"/>
          <w:b w:val="0"/>
          <w:color w:val="FF0000"/>
          <w:sz w:val="36"/>
          <w:szCs w:val="36"/>
          <w:highlight w:val="none"/>
        </w:rPr>
        <w:t xml:space="preserve"> </w:t>
      </w:r>
      <w:bookmarkEnd w:id="58"/>
    </w:p>
    <w:p>
      <w:pPr>
        <w:keepNext w:val="0"/>
        <w:keepLines w:val="0"/>
        <w:pageBreakBefore w:val="0"/>
        <w:kinsoku/>
        <w:wordWrap/>
        <w:overflowPunct/>
        <w:topLinePunct w:val="0"/>
        <w:autoSpaceDE/>
        <w:autoSpaceDN/>
        <w:bidi w:val="0"/>
        <w:spacing w:line="572" w:lineRule="exact"/>
        <w:jc w:val="left"/>
        <w:textAlignment w:val="auto"/>
        <w:outlineLvl w:val="0"/>
        <w:rPr>
          <w:rFonts w:ascii="方正小标宋简体" w:hAnsi="方正小标宋简体" w:eastAsia="方正小标宋简体" w:cs="方正小标宋简体"/>
          <w:color w:val="auto"/>
          <w:sz w:val="44"/>
          <w:szCs w:val="44"/>
          <w:highlight w:val="none"/>
        </w:rPr>
      </w:pPr>
      <w:r>
        <w:rPr>
          <w:rFonts w:hint="eastAsia" w:ascii="黑体" w:hAnsi="黑体" w:eastAsia="黑体" w:cs="黑体"/>
          <w:color w:val="auto"/>
          <w:sz w:val="32"/>
          <w:szCs w:val="32"/>
          <w:highlight w:val="none"/>
        </w:rPr>
        <w:t>附件</w:t>
      </w:r>
    </w:p>
    <w:p>
      <w:pPr>
        <w:keepNext w:val="0"/>
        <w:keepLines w:val="0"/>
        <w:pageBreakBefore w:val="0"/>
        <w:kinsoku/>
        <w:wordWrap/>
        <w:overflowPunct/>
        <w:topLinePunct w:val="0"/>
        <w:autoSpaceDE/>
        <w:autoSpaceDN/>
        <w:bidi w:val="0"/>
        <w:spacing w:line="572" w:lineRule="exact"/>
        <w:jc w:val="center"/>
        <w:textAlignment w:val="auto"/>
        <w:rPr>
          <w:rFonts w:hint="eastAsia" w:ascii="方正小标宋简体" w:hAnsi="宋体" w:eastAsia="方正小标宋简体"/>
          <w:color w:val="auto"/>
          <w:kern w:val="0"/>
          <w:sz w:val="40"/>
          <w:szCs w:val="44"/>
          <w:highlight w:val="none"/>
          <w:lang w:eastAsia="zh-CN"/>
        </w:rPr>
      </w:pPr>
      <w:r>
        <w:rPr>
          <w:rFonts w:hint="eastAsia" w:ascii="方正小标宋简体" w:hAnsi="宋体" w:eastAsia="方正小标宋简体"/>
          <w:color w:val="auto"/>
          <w:kern w:val="0"/>
          <w:sz w:val="40"/>
          <w:szCs w:val="44"/>
          <w:highlight w:val="none"/>
        </w:rPr>
        <w:t>202</w:t>
      </w:r>
      <w:r>
        <w:rPr>
          <w:rFonts w:hint="eastAsia" w:ascii="方正小标宋简体" w:hAnsi="宋体" w:eastAsia="方正小标宋简体"/>
          <w:color w:val="auto"/>
          <w:kern w:val="0"/>
          <w:sz w:val="40"/>
          <w:szCs w:val="44"/>
          <w:highlight w:val="none"/>
          <w:lang w:val="en-US" w:eastAsia="zh-CN"/>
        </w:rPr>
        <w:t>1</w:t>
      </w:r>
      <w:r>
        <w:rPr>
          <w:rFonts w:hint="eastAsia" w:ascii="方正小标宋简体" w:hAnsi="宋体" w:eastAsia="方正小标宋简体"/>
          <w:color w:val="auto"/>
          <w:kern w:val="0"/>
          <w:sz w:val="40"/>
          <w:szCs w:val="44"/>
          <w:highlight w:val="none"/>
        </w:rPr>
        <w:t>年</w:t>
      </w:r>
      <w:r>
        <w:rPr>
          <w:rFonts w:hint="eastAsia" w:ascii="方正小标宋简体" w:hAnsi="宋体" w:eastAsia="方正小标宋简体"/>
          <w:color w:val="auto"/>
          <w:kern w:val="0"/>
          <w:sz w:val="40"/>
          <w:szCs w:val="44"/>
          <w:highlight w:val="none"/>
          <w:lang w:eastAsia="zh-CN"/>
        </w:rPr>
        <w:t>中共广元市委老干部局</w:t>
      </w:r>
    </w:p>
    <w:p>
      <w:pPr>
        <w:keepNext w:val="0"/>
        <w:keepLines w:val="0"/>
        <w:pageBreakBefore w:val="0"/>
        <w:kinsoku/>
        <w:wordWrap/>
        <w:overflowPunct/>
        <w:topLinePunct w:val="0"/>
        <w:autoSpaceDE/>
        <w:autoSpaceDN/>
        <w:bidi w:val="0"/>
        <w:spacing w:line="572" w:lineRule="exact"/>
        <w:jc w:val="center"/>
        <w:textAlignment w:val="auto"/>
        <w:rPr>
          <w:rFonts w:ascii="方正小标宋简体" w:hAnsi="宋体" w:eastAsia="方正小标宋简体"/>
          <w:color w:val="auto"/>
          <w:kern w:val="0"/>
          <w:sz w:val="40"/>
          <w:szCs w:val="44"/>
          <w:highlight w:val="none"/>
          <w:lang w:val="zh-CN"/>
        </w:rPr>
      </w:pPr>
      <w:r>
        <w:rPr>
          <w:rFonts w:hint="eastAsia" w:ascii="方正小标宋简体" w:hAnsi="宋体" w:eastAsia="方正小标宋简体"/>
          <w:color w:val="auto"/>
          <w:kern w:val="0"/>
          <w:sz w:val="40"/>
          <w:szCs w:val="44"/>
          <w:highlight w:val="none"/>
        </w:rPr>
        <w:t>部门整体绩效评价报告</w:t>
      </w:r>
    </w:p>
    <w:p>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rPr>
          <w:rFonts w:ascii="黑体" w:hAnsi="宋体" w:eastAsia="黑体" w:cs="宋体"/>
          <w:color w:val="auto"/>
          <w:kern w:val="0"/>
          <w:sz w:val="24"/>
          <w:szCs w:val="32"/>
          <w:highlight w:val="none"/>
          <w:shd w:val="clear" w:color="auto" w:fill="FFFFFF"/>
        </w:rPr>
      </w:pP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rPr>
        <w:t>一、</w:t>
      </w:r>
      <w:r>
        <w:rPr>
          <w:rFonts w:hint="eastAsia" w:ascii="黑体" w:hAnsi="宋体" w:eastAsia="黑体" w:cs="宋体"/>
          <w:color w:val="auto"/>
          <w:kern w:val="0"/>
          <w:sz w:val="32"/>
          <w:szCs w:val="32"/>
          <w:highlight w:val="none"/>
          <w:shd w:val="clear" w:color="auto" w:fill="FFFFFF"/>
          <w:lang w:val="zh-CN"/>
        </w:rPr>
        <w:t>部门概况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（一）机构组成</w:t>
      </w:r>
    </w:p>
    <w:p>
      <w:pPr>
        <w:keepNext w:val="0"/>
        <w:keepLines w:val="0"/>
        <w:widowControl w:val="0"/>
        <w:suppressLineNumbers w:val="0"/>
        <w:spacing w:before="0" w:beforeAutospacing="0" w:after="0" w:afterAutospacing="0"/>
        <w:ind w:left="0" w:right="0" w:firstLine="525" w:firstLineChars="250"/>
        <w:jc w:val="both"/>
        <w:rPr>
          <w:rFonts w:hint="eastAsia" w:ascii="仿宋_GB2312" w:eastAsia="仿宋_GB2312" w:cs="仿宋_GB2312"/>
          <w:sz w:val="32"/>
          <w:szCs w:val="32"/>
          <w:lang w:val="en-US"/>
        </w:rPr>
      </w:pPr>
      <w:r>
        <w:rPr>
          <w:rFonts w:hint="eastAsia"/>
          <w:lang w:val="en-US" w:eastAsia="zh-CN"/>
        </w:rPr>
        <w:t xml:space="preserve"> </w:t>
      </w:r>
      <w:r>
        <w:rPr>
          <w:rFonts w:hint="eastAsia" w:ascii="仿宋_GB2312" w:hAnsi="Times New Roman" w:eastAsia="仿宋_GB2312" w:cs="仿宋_GB2312"/>
          <w:kern w:val="2"/>
          <w:sz w:val="32"/>
          <w:szCs w:val="32"/>
          <w:lang w:val="en-US" w:eastAsia="zh-CN"/>
        </w:rPr>
        <w:t>市委老干部局是市委主管全市离退休干部工作的职能机构，归口市委组织部管理，内设办公室、安置科、保健科3个职能科（室），下属1个正科级参公事业单位（广元市老干部休养所）和1个正科级事业单位（广元市老干部活动中心）</w:t>
      </w:r>
      <w:r>
        <w:rPr>
          <w:rFonts w:hint="eastAsia" w:ascii="仿宋_GB2312" w:eastAsia="仿宋_GB2312" w:cs="仿宋_GB2312"/>
          <w:kern w:val="2"/>
          <w:sz w:val="32"/>
          <w:szCs w:val="32"/>
          <w:lang w:val="en-US" w:eastAsia="zh-CN"/>
        </w:rPr>
        <w:t>以及1个挂靠参公事业单位（关心下一代工作委员会)均</w:t>
      </w:r>
      <w:r>
        <w:rPr>
          <w:rFonts w:hint="eastAsia" w:ascii="仿宋_GB2312" w:hAnsi="Times New Roman" w:eastAsia="仿宋_GB2312" w:cs="仿宋_GB2312"/>
          <w:kern w:val="2"/>
          <w:sz w:val="32"/>
          <w:szCs w:val="32"/>
          <w:lang w:val="en-US" w:eastAsia="zh-CN"/>
        </w:rPr>
        <w:t>未独立核算。</w:t>
      </w:r>
    </w:p>
    <w:p>
      <w:pPr>
        <w:keepNext w:val="0"/>
        <w:keepLines w:val="0"/>
        <w:pageBreakBefore w:val="0"/>
        <w:widowControl/>
        <w:numPr>
          <w:ilvl w:val="0"/>
          <w:numId w:val="3"/>
        </w:numPr>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机构职能</w:t>
      </w:r>
    </w:p>
    <w:p>
      <w:pPr>
        <w:spacing w:line="576" w:lineRule="exact"/>
        <w:ind w:firstLine="42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lang w:val="en-US" w:eastAsia="zh-CN"/>
        </w:rPr>
        <w:t xml:space="preserve">  </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1.贯彻党中央、国务院</w:t>
      </w:r>
      <w:r>
        <w:rPr>
          <w:rFonts w:hint="eastAsia" w:hAnsi="Times New Roman" w:cs="仿宋_GB2312"/>
          <w:i w:val="0"/>
          <w:caps w:val="0"/>
          <w:color w:val="333333"/>
          <w:spacing w:val="0"/>
          <w:kern w:val="0"/>
          <w:sz w:val="32"/>
          <w:szCs w:val="32"/>
          <w:shd w:val="clear" w:color="auto" w:fill="FFFFFF"/>
          <w:lang w:val="en-US" w:eastAsia="zh-CN"/>
        </w:rPr>
        <w:t>和</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省委、省政府关于老干部工作的方针政策和市委、市政府有关部署要求，负责全市老干部工作宏观管理，指导、协调、督促和检查全市老干部工作；调查研究老干部工作相关政策的意见，报市委市政府决策；向上级报告全市老干部工作情况，提出意见和建议。</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2.指导全市老干部工作机构加强离退休干部政治建设、思想建设和党组织建设工作。</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3.指导全市老干部工作机构发挥离退休干部优势和作用，积极组织开展为党</w:t>
      </w:r>
      <w:r>
        <w:rPr>
          <w:rFonts w:hint="eastAsia" w:hAnsi="Times New Roman" w:cs="仿宋_GB2312"/>
          <w:i w:val="0"/>
          <w:caps w:val="0"/>
          <w:color w:val="333333"/>
          <w:spacing w:val="0"/>
          <w:kern w:val="0"/>
          <w:sz w:val="32"/>
          <w:szCs w:val="32"/>
          <w:shd w:val="clear" w:color="auto" w:fill="FFFFFF"/>
          <w:lang w:val="en-US" w:eastAsia="zh-CN"/>
        </w:rPr>
        <w:t>和</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人民事业增添正能量活动。</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4.督促、检查各级各部门落实离退休干部政治待遇、生活待遇，指导协调解决离退休干部及离休干部无工作遗属特殊困难问题；组织安排重大节日慰问、座谈等工作，指导协调做好地厅级离退休干部参观考察、健康休养和老干部生病住院看望慰问工作；指导协调做好全市老干部保健工作；协调处理市级老干部治丧有关工作；协调异地安置离休干部有关事宜。</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5.指导和加强全市离退休干部活动阵地、学习阵地规范化建设。</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6.做好离休干部、建国初期参加革命工作人员和厅级退休干部等服务管理工作；调研了解、协调解决县级退休干部工作的有关问题。</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7.加强离退休干部信息化建设。</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8.做好离退休干部来信来访工作。</w:t>
      </w:r>
    </w:p>
    <w:p>
      <w:pPr>
        <w:spacing w:line="576" w:lineRule="exact"/>
        <w:ind w:firstLine="640" w:firstLineChars="200"/>
        <w:rPr>
          <w:rFonts w:hint="default"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9.做好新时代关心下一代工作。</w:t>
      </w:r>
    </w:p>
    <w:p>
      <w:pPr>
        <w:spacing w:line="576" w:lineRule="exact"/>
        <w:ind w:firstLine="640" w:firstLineChars="200"/>
        <w:rPr>
          <w:rFonts w:hint="default" w:ascii="仿宋_GB2312" w:hAnsi="Times New Roman" w:eastAsia="仿宋_GB2312" w:cs="仿宋_GB2312"/>
          <w:i w:val="0"/>
          <w:caps w:val="0"/>
          <w:color w:val="333333"/>
          <w:spacing w:val="0"/>
          <w:kern w:val="0"/>
          <w:sz w:val="32"/>
          <w:szCs w:val="32"/>
          <w:shd w:val="clear" w:color="auto" w:fill="FFFFFF"/>
          <w:lang w:val="en-US"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10.完成市委交办的其他工作任务。</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zh-CN" w:eastAsia="zh-CN"/>
        </w:rPr>
      </w:pPr>
      <w:r>
        <w:rPr>
          <w:rFonts w:hint="eastAsia" w:ascii="仿宋_GB2312" w:eastAsia="仿宋_GB2312" w:cs="仿宋_GB2312"/>
          <w:i w:val="0"/>
          <w:caps w:val="0"/>
          <w:color w:val="333333"/>
          <w:spacing w:val="0"/>
          <w:kern w:val="0"/>
          <w:sz w:val="32"/>
          <w:szCs w:val="32"/>
          <w:shd w:val="clear" w:color="auto" w:fill="FFFFFF"/>
          <w:lang w:val="zh-CN" w:eastAsia="zh-CN"/>
        </w:rPr>
        <w:t>（三）</w:t>
      </w:r>
      <w:r>
        <w:rPr>
          <w:rFonts w:hint="eastAsia" w:ascii="仿宋_GB2312" w:hAnsi="Times New Roman" w:eastAsia="仿宋_GB2312" w:cs="仿宋_GB2312"/>
          <w:i w:val="0"/>
          <w:caps w:val="0"/>
          <w:color w:val="333333"/>
          <w:spacing w:val="0"/>
          <w:kern w:val="0"/>
          <w:sz w:val="32"/>
          <w:szCs w:val="32"/>
          <w:shd w:val="clear" w:color="auto" w:fill="FFFFFF"/>
          <w:lang w:val="zh-CN" w:eastAsia="zh-CN"/>
        </w:rPr>
        <w:t>人员概况</w:t>
      </w:r>
    </w:p>
    <w:p>
      <w:pPr>
        <w:spacing w:line="576" w:lineRule="exact"/>
        <w:ind w:firstLine="640" w:firstLineChars="200"/>
        <w:rPr>
          <w:rFonts w:hint="eastAsia" w:ascii="仿宋_GB2312" w:hAnsi="Times New Roman" w:eastAsia="仿宋_GB2312" w:cs="仿宋_GB2312"/>
          <w:i w:val="0"/>
          <w:caps w:val="0"/>
          <w:color w:val="333333"/>
          <w:spacing w:val="0"/>
          <w:kern w:val="0"/>
          <w:sz w:val="32"/>
          <w:szCs w:val="32"/>
          <w:shd w:val="clear" w:color="auto" w:fill="FFFFFF"/>
          <w:lang w:val="zh-CN" w:eastAsia="zh-CN"/>
        </w:rPr>
      </w:pPr>
      <w:r>
        <w:rPr>
          <w:rFonts w:hint="eastAsia" w:ascii="仿宋_GB2312" w:hAnsi="Times New Roman" w:eastAsia="仿宋_GB2312" w:cs="仿宋_GB2312"/>
          <w:i w:val="0"/>
          <w:caps w:val="0"/>
          <w:color w:val="333333"/>
          <w:spacing w:val="0"/>
          <w:kern w:val="0"/>
          <w:sz w:val="32"/>
          <w:szCs w:val="32"/>
          <w:shd w:val="clear" w:color="auto" w:fill="FFFFFF"/>
          <w:lang w:val="en-US" w:eastAsia="zh-CN"/>
        </w:rPr>
        <w:t>市委老干部局总编制3</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2</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个，其中行政（参公）编制</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22</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个，全额事业编制</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8</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个，机关工勤编制2个。在职人员总数2</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8</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人，其中行政（参公）人员</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19</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人，全额事业人员</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6</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人，工勤人员3人；退休人员23人；合计5</w:t>
      </w:r>
      <w:r>
        <w:rPr>
          <w:rFonts w:hint="default" w:ascii="仿宋_GB2312" w:hAnsi="Times New Roman" w:eastAsia="仿宋_GB2312" w:cs="仿宋_GB2312"/>
          <w:i w:val="0"/>
          <w:caps w:val="0"/>
          <w:color w:val="333333"/>
          <w:spacing w:val="0"/>
          <w:kern w:val="0"/>
          <w:sz w:val="32"/>
          <w:szCs w:val="32"/>
          <w:shd w:val="clear" w:color="auto" w:fill="FFFFFF"/>
          <w:lang w:val="en-US" w:eastAsia="zh-CN"/>
        </w:rPr>
        <w:t>1</w:t>
      </w:r>
      <w:r>
        <w:rPr>
          <w:rFonts w:hint="eastAsia" w:ascii="仿宋_GB2312" w:hAnsi="Times New Roman" w:eastAsia="仿宋_GB2312" w:cs="仿宋_GB2312"/>
          <w:i w:val="0"/>
          <w:caps w:val="0"/>
          <w:color w:val="333333"/>
          <w:spacing w:val="0"/>
          <w:kern w:val="0"/>
          <w:sz w:val="32"/>
          <w:szCs w:val="32"/>
          <w:shd w:val="clear" w:color="auto" w:fill="FFFFFF"/>
          <w:lang w:val="en-US" w:eastAsia="zh-CN"/>
        </w:rPr>
        <w:t>人。</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（一）部门财政资金收入情况</w:t>
      </w:r>
    </w:p>
    <w:p>
      <w:pPr>
        <w:adjustRightInd w:val="0"/>
        <w:snapToGrid w:val="0"/>
        <w:spacing w:line="560" w:lineRule="exact"/>
        <w:ind w:firstLine="420" w:firstLineChars="200"/>
        <w:rPr>
          <w:rFonts w:hint="eastAsia" w:ascii="仿宋" w:hAnsi="仿宋" w:eastAsia="仿宋"/>
          <w:color w:val="auto"/>
          <w:sz w:val="32"/>
          <w:szCs w:val="32"/>
          <w:highlight w:val="none"/>
          <w:lang w:val="zh-CN"/>
        </w:rPr>
      </w:pPr>
      <w:r>
        <w:rPr>
          <w:rFonts w:hint="eastAsia"/>
          <w:lang w:val="en-US" w:eastAsia="zh-CN"/>
        </w:rPr>
        <w:t xml:space="preserve"> </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eastAsia="zh-CN"/>
        </w:rPr>
        <w:t>803.14</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eastAsia="zh-CN"/>
        </w:rPr>
        <w:t>803.14</w:t>
      </w:r>
      <w:r>
        <w:rPr>
          <w:rFonts w:hint="eastAsia" w:ascii="仿宋" w:hAnsi="仿宋" w:eastAsia="仿宋"/>
          <w:color w:val="auto"/>
          <w:sz w:val="32"/>
          <w:szCs w:val="32"/>
          <w:highlight w:val="none"/>
        </w:rPr>
        <w:t>万元，上年结转</w:t>
      </w:r>
      <w:r>
        <w:rPr>
          <w:rFonts w:hint="eastAsia" w:ascii="仿宋" w:hAnsi="仿宋" w:eastAsia="仿宋"/>
          <w:color w:val="auto"/>
          <w:sz w:val="32"/>
          <w:szCs w:val="32"/>
          <w:highlight w:val="none"/>
          <w:lang w:val="en-US" w:eastAsia="zh-CN"/>
        </w:rPr>
        <w:t>12.01</w:t>
      </w:r>
      <w:r>
        <w:rPr>
          <w:rFonts w:hint="eastAsia" w:ascii="仿宋" w:hAnsi="仿宋" w:eastAsia="仿宋"/>
          <w:color w:val="auto"/>
          <w:sz w:val="32"/>
          <w:szCs w:val="32"/>
          <w:highlight w:val="none"/>
        </w:rPr>
        <w:t>万元。</w:t>
      </w:r>
    </w:p>
    <w:p>
      <w:pPr>
        <w:keepNext w:val="0"/>
        <w:keepLines w:val="0"/>
        <w:pageBreakBefore w:val="0"/>
        <w:widowControl/>
        <w:numPr>
          <w:ilvl w:val="0"/>
          <w:numId w:val="4"/>
        </w:numPr>
        <w:kinsoku/>
        <w:wordWrap/>
        <w:overflowPunct/>
        <w:topLinePunct w:val="0"/>
        <w:autoSpaceDE/>
        <w:autoSpaceDN/>
        <w:bidi w:val="0"/>
        <w:adjustRightInd w:val="0"/>
        <w:snapToGrid w:val="0"/>
        <w:spacing w:line="572" w:lineRule="exact"/>
        <w:ind w:firstLine="640" w:firstLineChars="200"/>
        <w:contextualSpacing/>
        <w:jc w:val="left"/>
        <w:textAlignment w:val="auto"/>
        <w:rPr>
          <w:rFonts w:ascii="仿宋" w:hAnsi="仿宋" w:eastAsia="仿宋"/>
          <w:color w:val="auto"/>
          <w:sz w:val="32"/>
          <w:szCs w:val="32"/>
          <w:highlight w:val="none"/>
        </w:rPr>
      </w:pPr>
      <w:r>
        <w:rPr>
          <w:rFonts w:hint="eastAsia" w:ascii="仿宋_GB2312" w:hAnsi="宋体" w:eastAsia="仿宋_GB2312" w:cs="宋体"/>
          <w:color w:val="auto"/>
          <w:kern w:val="0"/>
          <w:sz w:val="32"/>
          <w:szCs w:val="32"/>
          <w:highlight w:val="none"/>
          <w:shd w:val="clear" w:color="auto" w:fill="FFFFFF"/>
          <w:lang w:val="zh-CN"/>
        </w:rPr>
        <w:t>部门财政资金支出情况</w:t>
      </w:r>
    </w:p>
    <w:p>
      <w:pPr>
        <w:adjustRightInd w:val="0"/>
        <w:snapToGrid w:val="0"/>
        <w:spacing w:line="56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eastAsia="zh-CN"/>
        </w:rPr>
        <w:t>815.13</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eastAsia="zh-CN"/>
        </w:rPr>
        <w:t>563.88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69</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eastAsia="zh-CN"/>
        </w:rPr>
        <w:t>251.25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eastAsia="zh-CN"/>
        </w:rPr>
        <w:t>31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numPr>
          <w:numId w:val="0"/>
        </w:numPr>
        <w:kinsoku/>
        <w:wordWrap/>
        <w:overflowPunct/>
        <w:topLinePunct w:val="0"/>
        <w:autoSpaceDE/>
        <w:autoSpaceDN/>
        <w:bidi w:val="0"/>
        <w:adjustRightInd w:val="0"/>
        <w:snapToGrid w:val="0"/>
        <w:spacing w:line="572" w:lineRule="exact"/>
        <w:ind w:firstLine="640" w:firstLineChars="200"/>
        <w:contextualSpacing/>
        <w:jc w:val="left"/>
        <w:textAlignment w:val="auto"/>
        <w:rPr>
          <w:rFonts w:hint="eastAsia" w:ascii="黑体" w:hAnsi="宋体" w:eastAsia="黑体" w:cs="宋体"/>
          <w:color w:val="auto"/>
          <w:kern w:val="0"/>
          <w:sz w:val="32"/>
          <w:szCs w:val="32"/>
          <w:highlight w:val="none"/>
          <w:u w:val="none"/>
          <w:shd w:val="clear" w:color="auto" w:fill="FFFFFF"/>
        </w:rPr>
      </w:pPr>
      <w:r>
        <w:rPr>
          <w:rFonts w:hint="eastAsia" w:ascii="黑体" w:hAnsi="宋体" w:eastAsia="黑体" w:cs="宋体"/>
          <w:color w:val="auto"/>
          <w:kern w:val="0"/>
          <w:sz w:val="32"/>
          <w:szCs w:val="32"/>
          <w:highlight w:val="none"/>
          <w:u w:val="none"/>
          <w:shd w:val="clear" w:color="auto" w:fill="FFFFFF"/>
          <w:lang w:eastAsia="zh-CN"/>
        </w:rPr>
        <w:t>三、</w:t>
      </w:r>
      <w:r>
        <w:rPr>
          <w:rFonts w:hint="eastAsia" w:ascii="黑体" w:hAnsi="宋体" w:eastAsia="黑体" w:cs="宋体"/>
          <w:color w:val="auto"/>
          <w:kern w:val="0"/>
          <w:sz w:val="32"/>
          <w:szCs w:val="32"/>
          <w:highlight w:val="none"/>
          <w:u w:val="none"/>
          <w:shd w:val="clear" w:color="auto" w:fill="FFFFFF"/>
        </w:rPr>
        <w:t>部门整体预算绩效管理情况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ind w:firstLine="640" w:firstLineChars="200"/>
        <w:contextualSpacing/>
        <w:jc w:val="left"/>
        <w:textAlignment w:val="auto"/>
        <w:rPr>
          <w:rFonts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（一）部门预算项目绩效管理</w:t>
      </w:r>
      <w:bookmarkStart w:id="73" w:name="_GoBack"/>
      <w:bookmarkEnd w:id="73"/>
    </w:p>
    <w:p>
      <w:pPr>
        <w:adjustRightInd w:val="0"/>
        <w:snapToGrid w:val="0"/>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根据预算绩效管理要求，对</w:t>
      </w:r>
      <w:r>
        <w:rPr>
          <w:rFonts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年部门整体支出开展绩效自评，从评价情况来看，本单位在年初预算编制阶段，组织对</w:t>
      </w:r>
      <w:r>
        <w:rPr>
          <w:rFonts w:hint="eastAsia" w:ascii="仿宋" w:hAnsi="仿宋" w:eastAsia="仿宋"/>
          <w:color w:val="000000"/>
          <w:sz w:val="32"/>
          <w:szCs w:val="32"/>
          <w:lang w:eastAsia="zh-CN"/>
        </w:rPr>
        <w:t>离退休干部健康休养等</w:t>
      </w:r>
      <w:r>
        <w:rPr>
          <w:rFonts w:hint="eastAsia" w:ascii="仿宋" w:hAnsi="仿宋" w:eastAsia="仿宋"/>
          <w:color w:val="000000"/>
          <w:sz w:val="32"/>
          <w:szCs w:val="32"/>
          <w:lang w:val="en-US" w:eastAsia="zh-CN"/>
        </w:rPr>
        <w:t>7个</w:t>
      </w:r>
      <w:r>
        <w:rPr>
          <w:rFonts w:hint="eastAsia" w:ascii="仿宋" w:hAnsi="仿宋" w:eastAsia="仿宋"/>
          <w:color w:val="000000"/>
          <w:sz w:val="32"/>
          <w:szCs w:val="32"/>
        </w:rPr>
        <w:t>项目开展了预算事前绩效评估，</w:t>
      </w:r>
      <w:r>
        <w:rPr>
          <w:rFonts w:hint="eastAsia" w:ascii="仿宋" w:hAnsi="仿宋" w:eastAsia="仿宋"/>
          <w:color w:val="000000"/>
          <w:sz w:val="32"/>
          <w:szCs w:val="32"/>
          <w:lang w:eastAsia="zh-CN"/>
        </w:rPr>
        <w:t>在预算编制中，完善预算编制基础工作，提高预算编制的规范化和科学性，确保了部门预算编制真实、准确、完整。客观公正反映部门整体支出。预算执行进度基本平稳，部门预算项目年终预算率达100%。绩效目标实际实现程度与预期目标的偏离度较小。</w:t>
      </w:r>
    </w:p>
    <w:p>
      <w:pPr>
        <w:adjustRightInd w:val="0"/>
        <w:snapToGrid w:val="0"/>
        <w:spacing w:line="56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审计、财政检查结果未反映上一年度部门预算管理不合规问题。</w:t>
      </w:r>
    </w:p>
    <w:p>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rPr>
          <w:rFonts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（二）结果应用情况</w:t>
      </w:r>
    </w:p>
    <w:p>
      <w:pPr>
        <w:spacing w:line="580" w:lineRule="exact"/>
        <w:ind w:firstLine="640" w:firstLineChars="200"/>
        <w:rPr>
          <w:rFonts w:hint="eastAsia" w:ascii="仿宋_GB2312" w:hAnsi="宋体" w:eastAsia="仿宋_GB2312" w:cs="宋体"/>
          <w:color w:val="auto"/>
          <w:kern w:val="0"/>
          <w:sz w:val="32"/>
          <w:szCs w:val="32"/>
          <w:highlight w:val="none"/>
          <w:shd w:val="clear" w:color="auto" w:fill="FFFFFF"/>
          <w:lang w:val="zh-CN"/>
        </w:rPr>
      </w:pPr>
      <w:r>
        <w:rPr>
          <w:rFonts w:hint="eastAsia" w:ascii="仿宋" w:hAnsi="仿宋" w:eastAsia="仿宋"/>
          <w:color w:val="000000"/>
          <w:sz w:val="32"/>
          <w:szCs w:val="32"/>
        </w:rPr>
        <w:t>预算支出整体情况良好，在保障日常运行的同时也履行了职能职责。我局严格预算执行，将政府过紧日子作为预算绩效管理重要工作。通过预算编制、绩效监控、绩效评价，严格支出管理，控制一般性支出。</w:t>
      </w:r>
      <w:r>
        <w:rPr>
          <w:rFonts w:hint="eastAsia" w:ascii="仿宋" w:hAnsi="仿宋" w:eastAsia="仿宋"/>
          <w:color w:val="000000"/>
          <w:sz w:val="32"/>
          <w:szCs w:val="32"/>
          <w:lang w:eastAsia="zh-CN"/>
        </w:rPr>
        <w:t>按照年初工作安排客观设置目标绩效项目，全面公开项目绩效自评工作，适时把握动态调整。</w:t>
      </w:r>
    </w:p>
    <w:p>
      <w:pPr>
        <w:widowControl/>
        <w:numPr>
          <w:ilvl w:val="0"/>
          <w:numId w:val="5"/>
        </w:numPr>
        <w:adjustRightInd w:val="0"/>
        <w:snapToGrid w:val="0"/>
        <w:spacing w:line="580" w:lineRule="exact"/>
        <w:ind w:firstLine="640" w:firstLineChars="200"/>
        <w:contextualSpacing/>
        <w:jc w:val="left"/>
        <w:rPr>
          <w:rFonts w:hint="eastAsia" w:ascii="仿宋_GB2312" w:hAnsi="宋体" w:eastAsia="仿宋_GB2312" w:cs="宋体"/>
          <w:color w:val="auto"/>
          <w:kern w:val="0"/>
          <w:sz w:val="32"/>
          <w:szCs w:val="32"/>
          <w:highlight w:val="none"/>
          <w:u w:val="none"/>
          <w:shd w:val="clear" w:color="auto" w:fill="FFFFFF"/>
          <w:lang w:val="zh-CN"/>
        </w:rPr>
      </w:pPr>
      <w:r>
        <w:rPr>
          <w:rFonts w:hint="eastAsia" w:ascii="仿宋_GB2312" w:hAnsi="宋体" w:eastAsia="仿宋_GB2312" w:cs="宋体"/>
          <w:color w:val="auto"/>
          <w:kern w:val="0"/>
          <w:sz w:val="32"/>
          <w:szCs w:val="32"/>
          <w:highlight w:val="none"/>
          <w:u w:val="none"/>
          <w:shd w:val="clear" w:color="auto" w:fill="FFFFFF"/>
          <w:lang w:val="zh-CN"/>
        </w:rPr>
        <w:t>自评质量</w:t>
      </w:r>
    </w:p>
    <w:p>
      <w:pPr>
        <w:widowControl/>
        <w:adjustRightInd w:val="0"/>
        <w:snapToGrid w:val="0"/>
        <w:spacing w:line="576" w:lineRule="exact"/>
        <w:ind w:firstLine="640" w:firstLineChars="200"/>
        <w:contextualSpacing/>
        <w:jc w:val="left"/>
        <w:rPr>
          <w:rFonts w:ascii="仿宋_GB2312" w:hAnsi="宋体" w:cs="宋体"/>
          <w:color w:val="000000"/>
          <w:kern w:val="0"/>
          <w:szCs w:val="32"/>
          <w:shd w:val="clear" w:color="auto" w:fill="FFFFFF"/>
        </w:rPr>
      </w:pPr>
      <w:r>
        <w:rPr>
          <w:rFonts w:hint="eastAsia" w:ascii="仿宋" w:hAnsi="仿宋" w:eastAsia="仿宋"/>
          <w:color w:val="000000"/>
          <w:sz w:val="32"/>
          <w:szCs w:val="32"/>
          <w:lang w:val="en-US" w:eastAsia="zh-CN"/>
        </w:rPr>
        <w:t>按照整体支出绩效评价指标体系标准，本单位2022年部门整体支出自评得分96.56分。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（一）评价结论</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 w:hAnsi="仿宋" w:eastAsia="仿宋"/>
          <w:color w:val="000000"/>
          <w:sz w:val="32"/>
          <w:szCs w:val="32"/>
          <w:lang w:val="zh-CN" w:eastAsia="zh-CN"/>
        </w:rPr>
      </w:pPr>
      <w:r>
        <w:rPr>
          <w:rFonts w:hint="eastAsia" w:ascii="仿宋" w:hAnsi="仿宋" w:eastAsia="仿宋"/>
          <w:color w:val="000000"/>
          <w:sz w:val="32"/>
          <w:szCs w:val="32"/>
          <w:lang w:val="zh-CN" w:eastAsia="zh-CN"/>
        </w:rPr>
        <w:t>本绩效评价完成后，绩效自评结果将在政务公开网站上进行信息公开，接受社会监督。</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（二）存在问题</w:t>
      </w:r>
    </w:p>
    <w:p>
      <w:pPr>
        <w:spacing w:line="580" w:lineRule="exact"/>
        <w:ind w:firstLine="640" w:firstLineChars="200"/>
        <w:rPr>
          <w:rFonts w:hint="eastAsia" w:ascii="仿宋" w:hAnsi="仿宋" w:eastAsia="仿宋"/>
          <w:color w:val="000000"/>
          <w:sz w:val="32"/>
          <w:szCs w:val="32"/>
          <w:lang w:val="zh-CN" w:eastAsia="zh-CN"/>
        </w:rPr>
      </w:pPr>
      <w:r>
        <w:rPr>
          <w:rFonts w:hint="eastAsia" w:ascii="仿宋" w:hAnsi="仿宋" w:eastAsia="仿宋"/>
          <w:color w:val="000000"/>
          <w:sz w:val="32"/>
          <w:szCs w:val="32"/>
          <w:lang w:val="en-US" w:eastAsia="zh-CN"/>
        </w:rPr>
        <w:t>目前仍然存在全面预算绩效管理意识不强，部门预算编制前瞻性和科学性不够，项目完成数量、完成成本与预期存在差距。</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宋体" w:eastAsia="仿宋_GB2312" w:cs="宋体"/>
          <w:color w:val="auto"/>
          <w:kern w:val="0"/>
          <w:sz w:val="32"/>
          <w:szCs w:val="32"/>
          <w:highlight w:val="none"/>
          <w:shd w:val="clear" w:color="auto" w:fill="FFFFFF"/>
          <w:lang w:val="zh-CN"/>
        </w:rPr>
      </w:pPr>
      <w:r>
        <w:rPr>
          <w:rFonts w:hint="eastAsia" w:ascii="仿宋_GB2312" w:hAnsi="宋体" w:eastAsia="仿宋_GB2312" w:cs="宋体"/>
          <w:color w:val="auto"/>
          <w:kern w:val="0"/>
          <w:sz w:val="32"/>
          <w:szCs w:val="32"/>
          <w:highlight w:val="none"/>
          <w:shd w:val="clear" w:color="auto" w:fill="FFFFFF"/>
          <w:lang w:val="zh-CN"/>
        </w:rPr>
        <w:t>（三）改进建议</w:t>
      </w:r>
    </w:p>
    <w:p>
      <w:pPr>
        <w:spacing w:line="58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我局将在设定量化细化绩效目标时，科学合理设置绩效指标年度指标值，项目预算执行中及时、有效，绩效目标可以得到较好实现，使绩效管理水平不断提高，真正发挥绩效管理作用。</w:t>
      </w:r>
    </w:p>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p>
      <w:pPr>
        <w:pStyle w:val="2"/>
        <w:rPr>
          <w:rFonts w:hint="eastAsia" w:ascii="方正黑体_GBK" w:hAnsi="方正黑体_GBK" w:eastAsia="方正黑体_GBK" w:cs="方正黑体_GBK"/>
          <w:color w:val="auto"/>
          <w:highlight w:val="none"/>
          <w:lang w:val="zh-CN"/>
        </w:rPr>
      </w:pPr>
      <w:r>
        <w:rPr>
          <w:rFonts w:hint="eastAsia" w:ascii="方正黑体_GBK" w:hAnsi="方正黑体_GBK" w:eastAsia="方正黑体_GBK" w:cs="方正黑体_GBK"/>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中共广元市委老干部局</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w:t>
      </w:r>
    </w:p>
    <w:p>
      <w:pPr>
        <w:keepNext w:val="0"/>
        <w:keepLines w:val="0"/>
        <w:pageBreakBefore w:val="0"/>
        <w:widowControl w:val="0"/>
        <w:kinsoku/>
        <w:wordWrap/>
        <w:overflowPunct/>
        <w:topLinePunct w:val="0"/>
        <w:autoSpaceDE/>
        <w:autoSpaceDN/>
        <w:bidi w:val="0"/>
        <w:spacing w:line="600" w:lineRule="exact"/>
        <w:jc w:val="center"/>
        <w:textAlignment w:val="auto"/>
        <w:rPr>
          <w:rFonts w:ascii="宋体" w:hAnsi="宋体" w:eastAsia="宋体"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（离退休干部走访慰问经费）</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s="Times New Roman"/>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spacing w:line="576" w:lineRule="exact"/>
        <w:ind w:firstLine="640" w:firstLineChars="200"/>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rPr>
        <w:t>认真贯彻落实党中央、国务院、省委、省政府关于老干部工作的方针政策和市委、市政府有关部署，负责全市老干部</w:t>
      </w:r>
      <w:r>
        <w:rPr>
          <w:rFonts w:hint="eastAsia" w:ascii="仿宋_GB2312" w:hAnsi="宋体" w:eastAsia="仿宋_GB2312" w:cs="Times New Roman"/>
          <w:color w:val="auto"/>
          <w:sz w:val="32"/>
          <w:szCs w:val="32"/>
          <w:highlight w:val="none"/>
          <w:lang w:val="zh-CN" w:eastAsia="zh-CN"/>
        </w:rPr>
        <w:t>服务管理工作，</w:t>
      </w:r>
      <w:r>
        <w:rPr>
          <w:rFonts w:hint="eastAsia" w:ascii="仿宋_GB2312" w:hAnsi="宋体" w:eastAsia="仿宋_GB2312" w:cs="Times New Roman"/>
          <w:color w:val="auto"/>
          <w:sz w:val="32"/>
          <w:szCs w:val="32"/>
          <w:highlight w:val="none"/>
          <w:lang w:val="zh-CN"/>
        </w:rPr>
        <w:t>落实离退休干部政治待遇、生活待遇，组织安排重大节日慰问等工作。</w:t>
      </w:r>
    </w:p>
    <w:p>
      <w:pPr>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w:t>
      </w:r>
      <w:r>
        <w:rPr>
          <w:rFonts w:hint="eastAsia"/>
          <w:lang w:val="en-US" w:eastAsia="zh-CN"/>
        </w:rPr>
        <w:t xml:space="preserve">  </w:t>
      </w:r>
      <w:r>
        <w:rPr>
          <w:rFonts w:hint="eastAsia" w:ascii="仿宋_GB2312" w:hAnsi="宋体" w:eastAsia="仿宋_GB2312" w:cs="Times New Roman"/>
          <w:color w:val="auto"/>
          <w:sz w:val="32"/>
          <w:szCs w:val="32"/>
          <w:highlight w:val="none"/>
          <w:lang w:val="zh-CN"/>
        </w:rPr>
        <w:t>中办发〔2016〕3号、川委办〔2016〕22号、广委办〔2016〕78号。“健全和落实走访慰问制度，全面推行党政领导联系老干部制度，在重要纪念日、重大庆典和老年节、元旦春节期间集中走访慰问，在离退休干部生病住院、家庭出现重大变故时及时关心看望”、“继续做好易地安置离休干部服务管理工作，坚持每年走访慰问”。</w:t>
      </w:r>
    </w:p>
    <w:p>
      <w:pPr>
        <w:numPr>
          <w:ilvl w:val="0"/>
          <w:numId w:val="0"/>
        </w:numPr>
        <w:spacing w:beforeLines="0"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资金分配的原则及考虑因素。</w:t>
      </w:r>
      <w:r>
        <w:rPr>
          <w:rFonts w:hint="eastAsia" w:hAnsi="宋体" w:cs="Times New Roman"/>
          <w:color w:val="auto"/>
          <w:kern w:val="2"/>
          <w:sz w:val="32"/>
          <w:szCs w:val="32"/>
          <w:highlight w:val="none"/>
          <w:lang w:val="zh-CN" w:eastAsia="zh-CN" w:bidi="ar-SA"/>
        </w:rPr>
        <w:t>全年</w:t>
      </w:r>
      <w:r>
        <w:rPr>
          <w:rFonts w:hint="eastAsia" w:ascii="仿宋_GB2312" w:hAnsi="宋体" w:eastAsia="仿宋_GB2312" w:cs="Times New Roman"/>
          <w:color w:val="auto"/>
          <w:kern w:val="2"/>
          <w:sz w:val="32"/>
          <w:szCs w:val="32"/>
          <w:highlight w:val="none"/>
          <w:lang w:val="zh-CN" w:eastAsia="zh-CN" w:bidi="ar-SA"/>
        </w:rPr>
        <w:t>走访慰问离退休干部322人，其中，离休干部76人、厅级老领导老干部109人（其中，在北京等7个省市易地安置和异地居住离退休干部12人）、建国初期参加革命工作人员96人，离休干部遗孀29人，走访慰问活动常态化制度化开展。做好老干部服务工作，确保离退休干部工作到位，保障服务离退休干部需求。</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走访慰问离退休干部697人，走访慰问活动常态化制度化开展。做好老干部精准服务工作，确保离退休干部工作到位，保障服务离退休干部需求。</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pStyle w:val="34"/>
        <w:keepNext w:val="0"/>
        <w:keepLines w:val="0"/>
        <w:pageBreakBefore w:val="0"/>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我局</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制定部门绩效目标时</w:t>
      </w:r>
      <w:r>
        <w:rPr>
          <w:rFonts w:hint="eastAsia" w:ascii="方正仿宋_GBK" w:hAnsi="方正仿宋_GBK" w:eastAsia="方正仿宋_GBK" w:cs="方正仿宋_GBK"/>
          <w:sz w:val="32"/>
          <w:szCs w:val="32"/>
        </w:rPr>
        <w:t>结合工作实际，</w:t>
      </w:r>
      <w:r>
        <w:rPr>
          <w:rFonts w:hint="eastAsia" w:ascii="方正仿宋_GBK" w:hAnsi="方正仿宋_GBK" w:eastAsia="方正仿宋_GBK" w:cs="方正仿宋_GBK"/>
          <w:sz w:val="32"/>
          <w:szCs w:val="32"/>
          <w:lang w:eastAsia="zh-CN"/>
        </w:rPr>
        <w:t>确保了目标完成的</w:t>
      </w:r>
      <w:r>
        <w:rPr>
          <w:rFonts w:hint="eastAsia" w:ascii="方正仿宋_GBK" w:hAnsi="方正仿宋_GBK" w:eastAsia="方正仿宋_GBK" w:cs="方正仿宋_GBK"/>
          <w:sz w:val="32"/>
          <w:szCs w:val="32"/>
        </w:rPr>
        <w:t>科学</w:t>
      </w:r>
      <w:r>
        <w:rPr>
          <w:rFonts w:hint="eastAsia" w:ascii="方正仿宋_GBK" w:hAnsi="方正仿宋_GBK" w:eastAsia="方正仿宋_GBK" w:cs="方正仿宋_GBK"/>
          <w:sz w:val="32"/>
          <w:szCs w:val="32"/>
          <w:lang w:eastAsia="zh-CN"/>
        </w:rPr>
        <w:t>合理性和可执行性。</w:t>
      </w:r>
      <w:r>
        <w:rPr>
          <w:rFonts w:hint="eastAsia" w:ascii="方正仿宋_GBK" w:hAnsi="方正仿宋_GBK" w:eastAsia="方正仿宋_GBK" w:cs="方正仿宋_GBK"/>
          <w:sz w:val="32"/>
          <w:szCs w:val="32"/>
        </w:rPr>
        <w:t>一是要素完整。对当年</w:t>
      </w:r>
      <w:r>
        <w:rPr>
          <w:rFonts w:hint="eastAsia" w:ascii="方正仿宋_GBK" w:hAnsi="方正仿宋_GBK" w:eastAsia="方正仿宋_GBK" w:cs="方正仿宋_GBK"/>
          <w:sz w:val="32"/>
          <w:szCs w:val="32"/>
          <w:lang w:eastAsia="zh-CN"/>
        </w:rPr>
        <w:t>经费</w:t>
      </w:r>
      <w:r>
        <w:rPr>
          <w:rFonts w:hint="eastAsia" w:ascii="方正仿宋_GBK" w:hAnsi="方正仿宋_GBK" w:eastAsia="方正仿宋_GBK" w:cs="方正仿宋_GBK"/>
          <w:sz w:val="32"/>
          <w:szCs w:val="32"/>
        </w:rPr>
        <w:t>员</w:t>
      </w:r>
      <w:r>
        <w:rPr>
          <w:rFonts w:hint="eastAsia" w:ascii="方正仿宋_GBK" w:hAnsi="方正仿宋_GBK" w:eastAsia="方正仿宋_GBK" w:cs="方正仿宋_GBK"/>
          <w:sz w:val="32"/>
          <w:szCs w:val="32"/>
          <w:lang w:eastAsia="zh-CN"/>
        </w:rPr>
        <w:t>变化</w:t>
      </w:r>
      <w:r>
        <w:rPr>
          <w:rFonts w:hint="eastAsia" w:ascii="方正仿宋_GBK" w:hAnsi="方正仿宋_GBK" w:eastAsia="方正仿宋_GBK" w:cs="方正仿宋_GBK"/>
          <w:sz w:val="32"/>
          <w:szCs w:val="32"/>
        </w:rPr>
        <w:t>和工作</w:t>
      </w:r>
      <w:r>
        <w:rPr>
          <w:rFonts w:hint="eastAsia" w:ascii="方正仿宋_GBK" w:hAnsi="方正仿宋_GBK" w:eastAsia="方正仿宋_GBK" w:cs="方正仿宋_GBK"/>
          <w:sz w:val="32"/>
          <w:szCs w:val="32"/>
          <w:lang w:eastAsia="zh-CN"/>
        </w:rPr>
        <w:t>运行方向</w:t>
      </w:r>
      <w:r>
        <w:rPr>
          <w:rFonts w:hint="eastAsia" w:ascii="方正仿宋_GBK" w:hAnsi="方正仿宋_GBK" w:eastAsia="方正仿宋_GBK" w:cs="方正仿宋_GBK"/>
          <w:sz w:val="32"/>
          <w:szCs w:val="32"/>
        </w:rPr>
        <w:t>进行科学预测，提出单位综合年度目标。项目经费</w:t>
      </w:r>
      <w:r>
        <w:rPr>
          <w:rFonts w:hint="eastAsia" w:ascii="方正仿宋_GBK" w:hAnsi="方正仿宋_GBK" w:eastAsia="方正仿宋_GBK" w:cs="方正仿宋_GBK"/>
          <w:sz w:val="32"/>
          <w:szCs w:val="32"/>
          <w:lang w:eastAsia="zh-CN"/>
        </w:rPr>
        <w:t>绩效目标制定</w:t>
      </w:r>
      <w:r>
        <w:rPr>
          <w:rFonts w:hint="eastAsia" w:ascii="方正仿宋_GBK" w:hAnsi="方正仿宋_GBK" w:eastAsia="方正仿宋_GBK" w:cs="方正仿宋_GBK"/>
          <w:sz w:val="32"/>
          <w:szCs w:val="32"/>
        </w:rPr>
        <w:t>上，</w:t>
      </w:r>
      <w:r>
        <w:rPr>
          <w:rFonts w:hint="eastAsia" w:ascii="方正仿宋_GBK" w:hAnsi="方正仿宋_GBK" w:eastAsia="方正仿宋_GBK" w:cs="方正仿宋_GBK"/>
          <w:sz w:val="32"/>
          <w:szCs w:val="32"/>
          <w:lang w:eastAsia="zh-CN"/>
        </w:rPr>
        <w:t>由各业务科室（或部门）</w:t>
      </w:r>
      <w:r>
        <w:rPr>
          <w:rFonts w:hint="eastAsia" w:ascii="方正仿宋_GBK" w:hAnsi="方正仿宋_GBK" w:eastAsia="方正仿宋_GBK" w:cs="方正仿宋_GBK"/>
          <w:sz w:val="32"/>
          <w:szCs w:val="32"/>
        </w:rPr>
        <w:t>分管领导牵头，部室</w:t>
      </w:r>
      <w:r>
        <w:rPr>
          <w:rFonts w:hint="eastAsia" w:ascii="方正仿宋_GBK" w:hAnsi="方正仿宋_GBK" w:eastAsia="方正仿宋_GBK" w:cs="方正仿宋_GBK"/>
          <w:sz w:val="32"/>
          <w:szCs w:val="32"/>
          <w:lang w:eastAsia="zh-CN"/>
        </w:rPr>
        <w:t>同志全体参与</w:t>
      </w:r>
      <w:r>
        <w:rPr>
          <w:rFonts w:hint="eastAsia" w:ascii="方正仿宋_GBK" w:hAnsi="方正仿宋_GBK" w:eastAsia="方正仿宋_GBK" w:cs="方正仿宋_GBK"/>
          <w:sz w:val="32"/>
          <w:szCs w:val="32"/>
        </w:rPr>
        <w:t>研究当年重点工作任务，提出经费预算</w:t>
      </w:r>
      <w:r>
        <w:rPr>
          <w:rFonts w:hint="eastAsia" w:ascii="方正仿宋_GBK" w:hAnsi="方正仿宋_GBK" w:eastAsia="方正仿宋_GBK" w:cs="方正仿宋_GBK"/>
          <w:sz w:val="32"/>
          <w:szCs w:val="32"/>
          <w:lang w:eastAsia="zh-CN"/>
        </w:rPr>
        <w:t>方案和具体</w:t>
      </w:r>
      <w:r>
        <w:rPr>
          <w:rFonts w:hint="eastAsia" w:ascii="方正仿宋_GBK" w:hAnsi="方正仿宋_GBK" w:eastAsia="方正仿宋_GBK" w:cs="方正仿宋_GBK"/>
          <w:sz w:val="32"/>
          <w:szCs w:val="32"/>
        </w:rPr>
        <w:t>项目任务。二是</w:t>
      </w:r>
      <w:r>
        <w:rPr>
          <w:rFonts w:hint="eastAsia" w:ascii="方正仿宋_GBK" w:hAnsi="方正仿宋_GBK" w:eastAsia="方正仿宋_GBK" w:cs="方正仿宋_GBK"/>
          <w:sz w:val="32"/>
          <w:szCs w:val="32"/>
          <w:lang w:eastAsia="zh-CN"/>
        </w:rPr>
        <w:t>确定相关项目指标具体或大体额度。</w:t>
      </w:r>
      <w:r>
        <w:rPr>
          <w:rFonts w:hint="eastAsia" w:ascii="方正仿宋_GBK" w:hAnsi="方正仿宋_GBK" w:eastAsia="方正仿宋_GBK" w:cs="方正仿宋_GBK"/>
          <w:sz w:val="32"/>
          <w:szCs w:val="32"/>
        </w:rPr>
        <w:t>对可量化的指标必须进行量化分析测算，不能量化的采用定性方式测算经费。三是做到集体</w:t>
      </w:r>
      <w:r>
        <w:rPr>
          <w:rFonts w:hint="eastAsia" w:ascii="方正仿宋_GBK" w:hAnsi="方正仿宋_GBK" w:eastAsia="方正仿宋_GBK" w:cs="方正仿宋_GBK"/>
          <w:sz w:val="32"/>
          <w:szCs w:val="32"/>
          <w:lang w:eastAsia="zh-CN"/>
        </w:rPr>
        <w:t>研究科学</w:t>
      </w:r>
      <w:r>
        <w:rPr>
          <w:rFonts w:hint="eastAsia" w:ascii="方正仿宋_GBK" w:hAnsi="方正仿宋_GBK" w:eastAsia="方正仿宋_GBK" w:cs="方正仿宋_GBK"/>
          <w:sz w:val="32"/>
          <w:szCs w:val="32"/>
        </w:rPr>
        <w:t>决策。办公室</w:t>
      </w:r>
      <w:r>
        <w:rPr>
          <w:rFonts w:hint="eastAsia" w:ascii="方正仿宋_GBK" w:hAnsi="方正仿宋_GBK" w:eastAsia="方正仿宋_GBK" w:cs="方正仿宋_GBK"/>
          <w:sz w:val="32"/>
          <w:szCs w:val="32"/>
          <w:lang w:eastAsia="zh-CN"/>
        </w:rPr>
        <w:t>（财务）综合牵头，协调各科室或单位</w:t>
      </w:r>
      <w:r>
        <w:rPr>
          <w:rFonts w:hint="eastAsia" w:ascii="方正仿宋_GBK" w:hAnsi="方正仿宋_GBK" w:eastAsia="方正仿宋_GBK" w:cs="方正仿宋_GBK"/>
          <w:sz w:val="32"/>
          <w:szCs w:val="32"/>
        </w:rPr>
        <w:t>提出经费预算和部门绩效目标</w:t>
      </w:r>
      <w:r>
        <w:rPr>
          <w:rFonts w:hint="eastAsia" w:ascii="方正仿宋_GBK" w:hAnsi="方正仿宋_GBK" w:eastAsia="方正仿宋_GBK" w:cs="方正仿宋_GBK"/>
          <w:sz w:val="32"/>
          <w:szCs w:val="32"/>
          <w:lang w:eastAsia="zh-CN"/>
        </w:rPr>
        <w:t>方案</w:t>
      </w:r>
      <w:r>
        <w:rPr>
          <w:rFonts w:hint="eastAsia" w:ascii="方正仿宋_GBK" w:hAnsi="方正仿宋_GBK" w:eastAsia="方正仿宋_GBK" w:cs="方正仿宋_GBK"/>
          <w:sz w:val="32"/>
          <w:szCs w:val="32"/>
        </w:rPr>
        <w:t>后，提交</w:t>
      </w:r>
      <w:r>
        <w:rPr>
          <w:rFonts w:hint="eastAsia" w:ascii="方正仿宋_GBK" w:hAnsi="方正仿宋_GBK" w:eastAsia="方正仿宋_GBK" w:cs="方正仿宋_GBK"/>
          <w:sz w:val="32"/>
          <w:szCs w:val="32"/>
          <w:lang w:eastAsia="zh-CN"/>
        </w:rPr>
        <w:t>局务会议</w:t>
      </w:r>
      <w:r>
        <w:rPr>
          <w:rFonts w:hint="eastAsia" w:ascii="方正仿宋_GBK" w:hAnsi="方正仿宋_GBK" w:eastAsia="方正仿宋_GBK" w:cs="方正仿宋_GBK"/>
          <w:sz w:val="32"/>
          <w:szCs w:val="32"/>
        </w:rPr>
        <w:t>研究审定。</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2"/>
        <w:numPr>
          <w:ilvl w:val="0"/>
          <w:numId w:val="0"/>
        </w:numPr>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2021年</w:t>
      </w:r>
      <w:r>
        <w:rPr>
          <w:rFonts w:hint="eastAsia" w:ascii="仿宋_GB2312" w:hAnsi="宋体" w:eastAsia="仿宋_GB2312" w:cs="Times New Roman"/>
          <w:color w:val="auto"/>
          <w:kern w:val="2"/>
          <w:sz w:val="32"/>
          <w:szCs w:val="32"/>
          <w:highlight w:val="none"/>
          <w:lang w:val="zh-CN" w:eastAsia="zh-CN" w:bidi="ar-SA"/>
        </w:rPr>
        <w:t>离退休干部走访慰问经费全年预算</w:t>
      </w:r>
      <w:r>
        <w:rPr>
          <w:rFonts w:hint="eastAsia" w:ascii="仿宋_GB2312" w:hAnsi="宋体" w:eastAsia="仿宋_GB2312" w:cs="Times New Roman"/>
          <w:color w:val="auto"/>
          <w:kern w:val="2"/>
          <w:sz w:val="32"/>
          <w:szCs w:val="32"/>
          <w:highlight w:val="none"/>
          <w:lang w:val="en-US" w:eastAsia="zh-CN" w:bidi="ar-SA"/>
        </w:rPr>
        <w:t>18万元，</w:t>
      </w:r>
      <w:r>
        <w:rPr>
          <w:rFonts w:hint="eastAsia" w:hAnsi="宋体" w:cs="Times New Roman"/>
          <w:color w:val="auto"/>
          <w:kern w:val="2"/>
          <w:sz w:val="32"/>
          <w:szCs w:val="32"/>
          <w:highlight w:val="none"/>
          <w:lang w:val="en-US" w:eastAsia="zh-CN" w:bidi="ar-SA"/>
        </w:rPr>
        <w:t>资</w:t>
      </w:r>
      <w:r>
        <w:rPr>
          <w:rFonts w:hint="eastAsia" w:ascii="仿宋_GB2312" w:hAnsi="宋体" w:eastAsia="仿宋_GB2312" w:cs="Times New Roman"/>
          <w:color w:val="auto"/>
          <w:kern w:val="2"/>
          <w:sz w:val="32"/>
          <w:szCs w:val="32"/>
          <w:highlight w:val="none"/>
          <w:lang w:val="en-US" w:eastAsia="zh-CN" w:bidi="ar-SA"/>
        </w:rPr>
        <w:t>金及时批复到位，其</w:t>
      </w:r>
      <w:r>
        <w:rPr>
          <w:rFonts w:hint="eastAsia" w:ascii="仿宋_GB2312" w:hAnsi="宋体" w:eastAsia="仿宋_GB2312" w:cs="Times New Roman"/>
          <w:color w:val="auto"/>
          <w:kern w:val="2"/>
          <w:sz w:val="32"/>
          <w:szCs w:val="32"/>
          <w:highlight w:val="none"/>
          <w:lang w:val="zh-CN" w:eastAsia="zh-CN" w:bidi="ar-SA"/>
        </w:rPr>
        <w:t>符合资金管理办法等相关规定。</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1．资金计划及到位。</w:t>
      </w:r>
      <w:r>
        <w:rPr>
          <w:rFonts w:hint="eastAsia" w:ascii="仿宋_GB2312" w:hAnsi="宋体" w:eastAsia="仿宋_GB2312" w:cs="Times New Roman"/>
          <w:color w:val="auto"/>
          <w:sz w:val="32"/>
          <w:szCs w:val="32"/>
          <w:highlight w:val="none"/>
          <w:lang w:val="zh-CN"/>
        </w:rPr>
        <w:t>截止2021年12月，所有计划资金全部到位，共计</w:t>
      </w:r>
      <w:r>
        <w:rPr>
          <w:rFonts w:hint="eastAsia" w:ascii="仿宋_GB2312" w:hAnsi="宋体" w:eastAsia="仿宋_GB2312" w:cs="Times New Roman"/>
          <w:color w:val="auto"/>
          <w:sz w:val="32"/>
          <w:szCs w:val="32"/>
          <w:highlight w:val="none"/>
          <w:lang w:val="en-US" w:eastAsia="zh-CN"/>
        </w:rPr>
        <w:t>18</w:t>
      </w:r>
      <w:r>
        <w:rPr>
          <w:rFonts w:hint="eastAsia" w:ascii="仿宋_GB2312" w:hAnsi="宋体" w:eastAsia="仿宋_GB2312" w:cs="Times New Roman"/>
          <w:color w:val="auto"/>
          <w:sz w:val="32"/>
          <w:szCs w:val="32"/>
          <w:highlight w:val="none"/>
          <w:lang w:val="zh-CN"/>
        </w:rPr>
        <w:t>万元。</w:t>
      </w:r>
    </w:p>
    <w:p>
      <w:pPr>
        <w:adjustRightInd w:val="0"/>
        <w:snapToGrid w:val="0"/>
        <w:spacing w:line="576" w:lineRule="exact"/>
        <w:ind w:firstLine="720"/>
        <w:rPr>
          <w:rFonts w:hint="eastAsia" w:ascii="仿宋_GB2312" w:hAnsi="宋体" w:eastAsia="仿宋_GB2312" w:cs="Times New Roman"/>
          <w:b/>
          <w:bCs/>
          <w:color w:val="auto"/>
          <w:sz w:val="32"/>
          <w:szCs w:val="32"/>
          <w:highlight w:val="none"/>
          <w:lang w:val="zh-CN"/>
        </w:rPr>
      </w:pPr>
      <w:r>
        <w:rPr>
          <w:rFonts w:hint="eastAsia" w:ascii="楷体_GB2312" w:hAnsi="宋体" w:eastAsia="楷体_GB2312" w:cs="Times New Roman"/>
          <w:color w:val="auto"/>
          <w:sz w:val="32"/>
          <w:szCs w:val="32"/>
          <w:highlight w:val="none"/>
          <w:lang w:val="zh-CN"/>
        </w:rPr>
        <w:t>2</w:t>
      </w:r>
      <w:r>
        <w:rPr>
          <w:rFonts w:hint="eastAsia" w:ascii="楷体_GB2312" w:hAnsi="宋体" w:eastAsia="楷体_GB2312" w:cs="Times New Roman"/>
          <w:color w:val="auto"/>
          <w:sz w:val="32"/>
          <w:szCs w:val="32"/>
          <w:highlight w:val="none"/>
          <w:lang w:val="en-US" w:eastAsia="zh-CN"/>
        </w:rPr>
        <w:t>.</w:t>
      </w:r>
      <w:r>
        <w:rPr>
          <w:rFonts w:hint="eastAsia" w:ascii="楷体_GB2312" w:hAnsi="宋体" w:eastAsia="楷体_GB2312" w:cs="Times New Roman"/>
          <w:color w:val="auto"/>
          <w:sz w:val="32"/>
          <w:szCs w:val="32"/>
          <w:highlight w:val="none"/>
          <w:lang w:val="zh-CN"/>
        </w:rPr>
        <w:t>资金使用。</w:t>
      </w:r>
      <w:r>
        <w:rPr>
          <w:rFonts w:hint="eastAsia" w:ascii="仿宋_GB2312" w:hAnsi="宋体" w:eastAsia="仿宋_GB2312" w:cs="Times New Roman"/>
          <w:color w:val="auto"/>
          <w:sz w:val="32"/>
          <w:szCs w:val="32"/>
          <w:highlight w:val="none"/>
          <w:lang w:val="zh-CN"/>
        </w:rPr>
        <w:t>截止2021年12月，</w:t>
      </w:r>
      <w:r>
        <w:rPr>
          <w:rFonts w:hint="eastAsia" w:ascii="仿宋_GB2312" w:hAnsi="宋体" w:eastAsia="仿宋_GB2312" w:cs="Times New Roman"/>
          <w:color w:val="auto"/>
          <w:sz w:val="32"/>
          <w:szCs w:val="32"/>
          <w:highlight w:val="none"/>
          <w:lang w:val="zh-CN" w:eastAsia="zh-CN"/>
        </w:rPr>
        <w:t>离退休干部走访慰问经费</w:t>
      </w:r>
      <w:r>
        <w:rPr>
          <w:rFonts w:hint="eastAsia" w:ascii="仿宋_GB2312" w:hAnsi="宋体" w:eastAsia="仿宋_GB2312" w:cs="Times New Roman"/>
          <w:color w:val="auto"/>
          <w:sz w:val="32"/>
          <w:szCs w:val="32"/>
          <w:highlight w:val="none"/>
          <w:lang w:val="zh-CN"/>
        </w:rPr>
        <w:t>实际支出</w:t>
      </w:r>
      <w:r>
        <w:rPr>
          <w:rFonts w:hint="eastAsia" w:ascii="仿宋_GB2312" w:hAnsi="宋体" w:eastAsia="仿宋_GB2312" w:cs="Times New Roman"/>
          <w:color w:val="auto"/>
          <w:sz w:val="32"/>
          <w:szCs w:val="32"/>
          <w:highlight w:val="none"/>
          <w:lang w:val="en-US" w:eastAsia="zh-CN"/>
        </w:rPr>
        <w:t>18</w:t>
      </w:r>
      <w:r>
        <w:rPr>
          <w:rFonts w:hint="eastAsia" w:ascii="仿宋_GB2312" w:hAnsi="宋体" w:eastAsia="仿宋_GB2312" w:cs="Times New Roman"/>
          <w:color w:val="auto"/>
          <w:sz w:val="32"/>
          <w:szCs w:val="32"/>
          <w:highlight w:val="none"/>
          <w:lang w:val="zh-CN"/>
        </w:rPr>
        <w:t>万元。支付依据合规合法，资金支付与预算相符。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我局严格按照《专项资金管理制度》和财政批复要求，在收到财政预算批复后，按项目进度支付，并主动接受财政、审计部门的监督检查。在资金使用过程中，加强专项资金使用的监督管理，确保专项资金支付依据合规合法，财务管理制度、会计核算规范，财务处理及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方正仿宋_GBK" w:hAnsi="方正仿宋_GBK" w:eastAsia="方正仿宋_GBK" w:cs="方正仿宋_GBK"/>
          <w:kern w:val="0"/>
          <w:sz w:val="32"/>
          <w:szCs w:val="32"/>
        </w:rPr>
        <w:t>在</w:t>
      </w:r>
      <w:r>
        <w:rPr>
          <w:rFonts w:hint="eastAsia" w:ascii="方正仿宋_GBK" w:hAnsi="方正仿宋_GBK" w:eastAsia="方正仿宋_GBK" w:cs="方正仿宋_GBK"/>
          <w:kern w:val="0"/>
          <w:sz w:val="32"/>
          <w:szCs w:val="32"/>
          <w:lang w:eastAsia="zh-CN"/>
        </w:rPr>
        <w:t>项目实施</w:t>
      </w:r>
      <w:r>
        <w:rPr>
          <w:rFonts w:hint="eastAsia" w:ascii="方正仿宋_GBK" w:hAnsi="方正仿宋_GBK" w:eastAsia="方正仿宋_GBK" w:cs="方正仿宋_GBK"/>
          <w:kern w:val="0"/>
          <w:sz w:val="32"/>
          <w:szCs w:val="32"/>
        </w:rPr>
        <w:t>绩效管理</w:t>
      </w:r>
      <w:r>
        <w:rPr>
          <w:rFonts w:hint="eastAsia" w:ascii="方正仿宋_GBK" w:hAnsi="方正仿宋_GBK" w:eastAsia="方正仿宋_GBK" w:cs="方正仿宋_GBK"/>
          <w:kern w:val="0"/>
          <w:sz w:val="32"/>
          <w:szCs w:val="32"/>
          <w:lang w:eastAsia="zh-CN"/>
        </w:rPr>
        <w:t>工作</w:t>
      </w:r>
      <w:r>
        <w:rPr>
          <w:rFonts w:hint="eastAsia" w:ascii="方正仿宋_GBK" w:hAnsi="方正仿宋_GBK" w:eastAsia="方正仿宋_GBK" w:cs="方正仿宋_GBK"/>
          <w:kern w:val="0"/>
          <w:sz w:val="32"/>
          <w:szCs w:val="32"/>
        </w:rPr>
        <w:t>中，提高预算编制的规范化和科学性，确保部门预算真实、准确、完整</w:t>
      </w:r>
      <w:r>
        <w:rPr>
          <w:rFonts w:hint="eastAsia" w:ascii="方正仿宋_GBK" w:hAnsi="方正仿宋_GBK" w:eastAsia="方正仿宋_GBK" w:cs="方正仿宋_GBK"/>
          <w:kern w:val="0"/>
          <w:sz w:val="32"/>
          <w:szCs w:val="32"/>
          <w:lang w:eastAsia="zh-CN"/>
        </w:rPr>
        <w:t>项目实施可行</w:t>
      </w:r>
      <w:r>
        <w:rPr>
          <w:rFonts w:hint="eastAsia" w:ascii="方正仿宋_GBK" w:hAnsi="方正仿宋_GBK" w:eastAsia="方正仿宋_GBK" w:cs="方正仿宋_GBK"/>
          <w:kern w:val="0"/>
          <w:sz w:val="32"/>
          <w:szCs w:val="32"/>
        </w:rPr>
        <w:t>。严格执行财政预决算管理</w:t>
      </w:r>
      <w:r>
        <w:rPr>
          <w:rFonts w:hint="eastAsia" w:ascii="方正仿宋_GBK" w:hAnsi="方正仿宋_GBK" w:eastAsia="方正仿宋_GBK" w:cs="方正仿宋_GBK"/>
          <w:kern w:val="0"/>
          <w:sz w:val="32"/>
          <w:szCs w:val="32"/>
          <w:lang w:eastAsia="zh-CN"/>
        </w:rPr>
        <w:t>，做到让市委、市政府放心，老干部满意。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在数量指标方面全年共组织走访慰问</w:t>
      </w:r>
      <w:r>
        <w:rPr>
          <w:rFonts w:hint="eastAsia" w:ascii="仿宋_GB2312" w:hAnsi="宋体" w:eastAsia="仿宋_GB2312" w:cs="Times New Roman"/>
          <w:color w:val="auto"/>
          <w:sz w:val="32"/>
          <w:szCs w:val="32"/>
          <w:highlight w:val="none"/>
          <w:lang w:val="en-US" w:eastAsia="zh-CN"/>
        </w:rPr>
        <w:t>322人，实现全覆盖。</w:t>
      </w:r>
      <w:r>
        <w:rPr>
          <w:rFonts w:hint="eastAsia" w:ascii="仿宋_GB2312" w:hAnsi="宋体" w:eastAsia="仿宋_GB2312" w:cs="Times New Roman"/>
          <w:color w:val="auto"/>
          <w:sz w:val="32"/>
          <w:szCs w:val="32"/>
          <w:highlight w:val="none"/>
          <w:lang w:val="zh-CN"/>
        </w:rPr>
        <w:t>在质量指标方面走访慰问率达</w:t>
      </w:r>
      <w:r>
        <w:rPr>
          <w:rFonts w:hint="eastAsia" w:ascii="仿宋_GB2312" w:hAnsi="宋体" w:eastAsia="仿宋_GB2312" w:cs="Times New Roman"/>
          <w:color w:val="auto"/>
          <w:sz w:val="32"/>
          <w:szCs w:val="32"/>
          <w:highlight w:val="none"/>
          <w:lang w:val="en-US" w:eastAsia="zh-CN"/>
        </w:rPr>
        <w:t>100%，</w:t>
      </w:r>
      <w:r>
        <w:rPr>
          <w:rFonts w:hint="eastAsia" w:ascii="仿宋_GB2312" w:hAnsi="宋体" w:eastAsia="仿宋_GB2312" w:cs="Times New Roman"/>
          <w:color w:val="auto"/>
          <w:sz w:val="32"/>
          <w:szCs w:val="32"/>
          <w:highlight w:val="none"/>
          <w:lang w:val="zh-CN"/>
        </w:rPr>
        <w:t>在时效指标方面截止12月31日前已全部完成计划目标。年末无结转资金，无违规记录。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从社会效益方面老干部队伍稳定，该项目具有可持续发展需要，服务老干部满意。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（一）存在的问题。</w:t>
      </w:r>
      <w:r>
        <w:rPr>
          <w:rFonts w:hint="eastAsia" w:ascii="仿宋" w:hAnsi="仿宋" w:eastAsia="仿宋"/>
          <w:color w:val="000000"/>
          <w:sz w:val="32"/>
          <w:szCs w:val="32"/>
          <w:lang w:val="zh-CN" w:eastAsia="zh-CN"/>
        </w:rPr>
        <w:t>部门</w:t>
      </w:r>
      <w:r>
        <w:rPr>
          <w:rFonts w:hint="eastAsia" w:ascii="仿宋" w:hAnsi="仿宋" w:eastAsia="仿宋"/>
          <w:color w:val="000000"/>
          <w:sz w:val="32"/>
          <w:szCs w:val="32"/>
          <w:lang w:val="en-US" w:eastAsia="zh-CN"/>
        </w:rPr>
        <w:t>预算编制的前瞻性和准确度有待进一步提高。</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color w:val="auto"/>
          <w:highlight w:val="none"/>
          <w:lang w:val="zh-CN"/>
        </w:rPr>
      </w:pPr>
      <w:r>
        <w:rPr>
          <w:rFonts w:hint="eastAsia" w:ascii="楷体_GB2312" w:hAnsi="宋体" w:eastAsia="楷体_GB2312" w:cs="Times New Roman"/>
          <w:b/>
          <w:color w:val="auto"/>
          <w:sz w:val="32"/>
          <w:szCs w:val="32"/>
          <w:highlight w:val="none"/>
          <w:lang w:val="zh-CN"/>
        </w:rPr>
        <w:t>（二）相关建议。</w:t>
      </w:r>
      <w:r>
        <w:rPr>
          <w:rFonts w:hint="eastAsia" w:ascii="仿宋_GB2312" w:hAnsi="宋体" w:eastAsia="仿宋_GB2312" w:cs="Times New Roman"/>
          <w:color w:val="auto"/>
          <w:kern w:val="2"/>
          <w:sz w:val="32"/>
          <w:szCs w:val="32"/>
          <w:highlight w:val="none"/>
          <w:lang w:val="zh-CN" w:eastAsia="zh-CN" w:bidi="ar-SA"/>
        </w:rPr>
        <w:t>在项目实施过程中，加强对项目的跟踪督促，及时解决项目在推进过程中遇到的困难和问题。</w:t>
      </w:r>
    </w:p>
    <w:tbl>
      <w:tblPr>
        <w:tblStyle w:val="14"/>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0"/>
        <w:gridCol w:w="1080"/>
        <w:gridCol w:w="1680"/>
        <w:gridCol w:w="1620"/>
        <w:gridCol w:w="1027"/>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0"/>
                <w:sz w:val="32"/>
                <w:szCs w:val="3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主管部门及代码</w:t>
            </w:r>
          </w:p>
        </w:tc>
        <w:tc>
          <w:tcPr>
            <w:tcW w:w="3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346301</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8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（万元）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 xml:space="preserve"> 预算数：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18</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55" w:hRule="atLeast"/>
        </w:trPr>
        <w:tc>
          <w:tcPr>
            <w:tcW w:w="2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18</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8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完成情况</w:t>
            </w: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预期目标</w:t>
            </w: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4380"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18"/>
                <w:szCs w:val="18"/>
                <w:highlight w:val="none"/>
                <w:u w:val="none"/>
              </w:rPr>
              <w:t>走访慰问离退休干部322人，其中，离休干部76人、厅级老领导老干部109人（其中，在北京等7个省市易地安置和异地居住离退休干部12人）、建国初期参加革命工作人员96人，离休干部遗孀29人，走访慰问活动常态化制度化开展。做好老干部服务工作，确保离退休干部工作到位，保障服务离退休干部需求。</w:t>
            </w:r>
          </w:p>
        </w:tc>
        <w:tc>
          <w:tcPr>
            <w:tcW w:w="3437"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18"/>
                <w:szCs w:val="18"/>
                <w:highlight w:val="none"/>
                <w:u w:val="none"/>
              </w:rPr>
              <w:t>走访慰问离退休干部322人，其中，离休干部76人、厅级老领导老干部109人（其中，在北京等7个省市易地安置和异地居住离退休干部12人）、建国初期参加革命工作人员96人，离休干部遗孀29人，走访慰问活动常态化制度化开展。做好老干部服务工作，确保离退休干部工作到位，保障服务离退休干部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76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年度绩效指标完成情况</w:t>
            </w:r>
          </w:p>
        </w:tc>
        <w:tc>
          <w:tcPr>
            <w:tcW w:w="10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60"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数量指标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指标1：省内外离退休干部走访慰问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全年走访慰问14省市</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全年走访慰问14省市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60"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质量指标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指标1：省内外离退休干部走访慰问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走访慰问100%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走访慰问100%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760"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时效指标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指标1：省内外离退休干部走访慰问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走访慰问全覆盖</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走访慰问全覆盖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60"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成本指标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指标1：省内外离退休干部走访慰问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飞机车船费用较高</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飞机车船费用较高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760"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社会效益  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指标1：省内外离退休干部走访慰问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老干部队伍稳定</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老干部队伍稳定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76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度指标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指标1：省内外离退休干部走访慰问</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满意度100%</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满意度100%</w:t>
            </w: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eastAsia="仿宋_GB2312" w:cs="宋体"/>
          <w:b w:val="0"/>
          <w:bCs w:val="0"/>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p>
      <w:pPr>
        <w:pStyle w:val="2"/>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中共广元市委老干部局</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专项预算项目支出绩效自评报告范本</w:t>
      </w:r>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ascii="宋体" w:hAnsi="宋体" w:eastAsia="宋体"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w:t>
      </w:r>
      <w:r>
        <w:rPr>
          <w:rFonts w:hint="eastAsia" w:ascii="仿宋_GB2312" w:hAnsi="仿宋_GB2312" w:eastAsia="仿宋_GB2312" w:cs="仿宋_GB2312"/>
          <w:i w:val="0"/>
          <w:color w:val="auto"/>
          <w:sz w:val="28"/>
          <w:szCs w:val="28"/>
          <w:highlight w:val="none"/>
          <w:u w:val="none"/>
        </w:rPr>
        <w:t>离退休干部健康休养</w:t>
      </w:r>
      <w:r>
        <w:rPr>
          <w:rFonts w:hint="eastAsia" w:ascii="仿宋_GB2312" w:hAnsi="仿宋_GB2312" w:eastAsia="仿宋_GB2312" w:cs="仿宋_GB2312"/>
          <w:i w:val="0"/>
          <w:color w:val="auto"/>
          <w:sz w:val="28"/>
          <w:szCs w:val="28"/>
          <w:highlight w:val="none"/>
          <w:u w:val="none"/>
          <w:lang w:eastAsia="zh-CN"/>
        </w:rPr>
        <w:t>经费</w:t>
      </w:r>
      <w:r>
        <w:rPr>
          <w:rFonts w:hint="eastAsia" w:ascii="仿宋_GB2312" w:hAnsi="宋体" w:eastAsia="仿宋_GB2312" w:cs="Times New Roman"/>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rPr>
        <w:t>认真贯彻落实党中央、国务院、省委、省政府关于老干部工作的方针政策和市委、市政府有关部署，负责全市老干部</w:t>
      </w:r>
      <w:r>
        <w:rPr>
          <w:rFonts w:hint="eastAsia" w:ascii="仿宋_GB2312" w:hAnsi="宋体" w:eastAsia="仿宋_GB2312" w:cs="Times New Roman"/>
          <w:color w:val="auto"/>
          <w:sz w:val="32"/>
          <w:szCs w:val="32"/>
          <w:highlight w:val="none"/>
          <w:lang w:val="zh-CN" w:eastAsia="zh-CN"/>
        </w:rPr>
        <w:t>服务管理工作，</w:t>
      </w:r>
      <w:r>
        <w:rPr>
          <w:rFonts w:hint="eastAsia" w:ascii="仿宋_GB2312" w:hAnsi="宋体" w:eastAsia="仿宋_GB2312" w:cs="Times New Roman"/>
          <w:color w:val="auto"/>
          <w:sz w:val="32"/>
          <w:szCs w:val="32"/>
          <w:highlight w:val="none"/>
          <w:lang w:val="zh-CN"/>
        </w:rPr>
        <w:t>落实离退休干部政治待遇、生活待遇，做好地厅级离退休干部健康休养等有关事宜。</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劳动人事部印发《关于离休干部健康休养的几项规定的通知》（劳人老〔1983〕17号），要求“根据老干部离休后‘基本政治待遇不变，生活待遇略为从优’的原则，每年对离休干部进行健康休养，一般可安排十五天至二十天”。中共广元市市委委办公室、广元市人民政府办公室印发《关于进一步加强和改进新时期离退休干部工作的实施意见》（广委办发〔2016〕78号）文件，要求“坚持和完善离退休干部健康休养制度，适当扩大参加健康休养范围，发挥好健康休养活动在保障离退休干部身心健康方面的效益和作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eastAsia="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w:t>
      </w:r>
      <w:r>
        <w:rPr>
          <w:rFonts w:hint="eastAsia" w:ascii="仿宋_GB2312" w:hAnsi="宋体" w:eastAsia="仿宋_GB2312" w:cs="Times New Roman"/>
          <w:color w:val="auto"/>
          <w:sz w:val="32"/>
          <w:szCs w:val="32"/>
          <w:highlight w:val="none"/>
          <w:lang w:val="zh-CN" w:eastAsia="zh-CN"/>
        </w:rPr>
        <w:t>每年统筹组织离退休干部开展健康休养一次，一般时间为7至10天，休养地点安排在本地区或本省范围内进行。目前休养对象共计185人，其中离休干部76人，厅级老领导109人。健康休养期间将组织离退休干部开展政治学习、参观考察、文娱健身、健康知识讲座等活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组织离退休干部开展健康休养，确保离退休干部基本政治待遇不变，生活待遇略为从优。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pStyle w:val="34"/>
        <w:keepNext w:val="0"/>
        <w:keepLines w:val="0"/>
        <w:pageBreakBefore w:val="0"/>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我局</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制定部门绩效目标时</w:t>
      </w:r>
      <w:r>
        <w:rPr>
          <w:rFonts w:hint="eastAsia" w:ascii="方正仿宋_GBK" w:hAnsi="方正仿宋_GBK" w:eastAsia="方正仿宋_GBK" w:cs="方正仿宋_GBK"/>
          <w:sz w:val="32"/>
          <w:szCs w:val="32"/>
        </w:rPr>
        <w:t>结合工作实际，</w:t>
      </w:r>
      <w:r>
        <w:rPr>
          <w:rFonts w:hint="eastAsia" w:ascii="方正仿宋_GBK" w:hAnsi="方正仿宋_GBK" w:eastAsia="方正仿宋_GBK" w:cs="方正仿宋_GBK"/>
          <w:sz w:val="32"/>
          <w:szCs w:val="32"/>
          <w:lang w:eastAsia="zh-CN"/>
        </w:rPr>
        <w:t>确保了目标完成的</w:t>
      </w:r>
      <w:r>
        <w:rPr>
          <w:rFonts w:hint="eastAsia" w:ascii="方正仿宋_GBK" w:hAnsi="方正仿宋_GBK" w:eastAsia="方正仿宋_GBK" w:cs="方正仿宋_GBK"/>
          <w:sz w:val="32"/>
          <w:szCs w:val="32"/>
        </w:rPr>
        <w:t>科学</w:t>
      </w:r>
      <w:r>
        <w:rPr>
          <w:rFonts w:hint="eastAsia" w:ascii="方正仿宋_GBK" w:hAnsi="方正仿宋_GBK" w:eastAsia="方正仿宋_GBK" w:cs="方正仿宋_GBK"/>
          <w:sz w:val="32"/>
          <w:szCs w:val="32"/>
          <w:lang w:eastAsia="zh-CN"/>
        </w:rPr>
        <w:t>合理性和可执行性。一是要素完整。对当年经费变化和工作运行方向进行科学预测，提出单位综合年度目标。项目经费绩效目标制定上，由各业务科室（或部门）分管领导牵头，部室同志全体参与研究当年重点工作任务，提出经费预算方案和具体项目任务。二是确定相关项目指标具体或大体额度。对可量化的指标必须进行量化分析测算，不能量化的采用定性方式测算经费。三是做到集体研究科学决策。办公室（财务）综合牵头，协调各科室或单位提出经费预算和部门绩效目标方案后，提交局务会议研究</w:t>
      </w:r>
      <w:r>
        <w:rPr>
          <w:rFonts w:hint="eastAsia" w:ascii="方正仿宋_GBK" w:hAnsi="方正仿宋_GBK" w:eastAsia="方正仿宋_GBK" w:cs="方正仿宋_GBK"/>
          <w:kern w:val="0"/>
          <w:sz w:val="32"/>
          <w:szCs w:val="32"/>
        </w:rPr>
        <w:t>审定。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2"/>
        <w:numPr>
          <w:ilvl w:val="0"/>
          <w:numId w:val="0"/>
        </w:numPr>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2021年</w:t>
      </w:r>
      <w:r>
        <w:rPr>
          <w:rFonts w:hint="eastAsia" w:ascii="仿宋_GB2312" w:hAnsi="宋体" w:eastAsia="仿宋_GB2312" w:cs="Times New Roman"/>
          <w:color w:val="auto"/>
          <w:kern w:val="2"/>
          <w:sz w:val="32"/>
          <w:szCs w:val="32"/>
          <w:highlight w:val="none"/>
          <w:lang w:val="zh-CN" w:eastAsia="zh-CN" w:bidi="ar-SA"/>
        </w:rPr>
        <w:t>离退休干部</w:t>
      </w:r>
      <w:r>
        <w:rPr>
          <w:rFonts w:hint="eastAsia" w:hAnsi="宋体" w:cs="Times New Roman"/>
          <w:color w:val="auto"/>
          <w:kern w:val="2"/>
          <w:sz w:val="32"/>
          <w:szCs w:val="32"/>
          <w:highlight w:val="none"/>
          <w:lang w:val="zh-CN" w:eastAsia="zh-CN" w:bidi="ar-SA"/>
        </w:rPr>
        <w:t>健康休养</w:t>
      </w:r>
      <w:r>
        <w:rPr>
          <w:rFonts w:hint="eastAsia" w:ascii="仿宋_GB2312" w:hAnsi="宋体" w:eastAsia="仿宋_GB2312" w:cs="Times New Roman"/>
          <w:color w:val="auto"/>
          <w:kern w:val="2"/>
          <w:sz w:val="32"/>
          <w:szCs w:val="32"/>
          <w:highlight w:val="none"/>
          <w:lang w:val="zh-CN" w:eastAsia="zh-CN" w:bidi="ar-SA"/>
        </w:rPr>
        <w:t>经费全年预算</w:t>
      </w:r>
      <w:r>
        <w:rPr>
          <w:rFonts w:hint="eastAsia" w:hAnsi="宋体" w:cs="Times New Roman"/>
          <w:color w:val="auto"/>
          <w:kern w:val="2"/>
          <w:sz w:val="32"/>
          <w:szCs w:val="32"/>
          <w:highlight w:val="none"/>
          <w:lang w:val="en-US" w:eastAsia="zh-CN" w:bidi="ar-SA"/>
        </w:rPr>
        <w:t>22.5</w:t>
      </w:r>
      <w:r>
        <w:rPr>
          <w:rFonts w:hint="eastAsia" w:ascii="仿宋_GB2312" w:hAnsi="宋体" w:eastAsia="仿宋_GB2312" w:cs="Times New Roman"/>
          <w:color w:val="auto"/>
          <w:kern w:val="2"/>
          <w:sz w:val="32"/>
          <w:szCs w:val="32"/>
          <w:highlight w:val="none"/>
          <w:lang w:val="en-US" w:eastAsia="zh-CN" w:bidi="ar-SA"/>
        </w:rPr>
        <w:t>万元，</w:t>
      </w:r>
      <w:r>
        <w:rPr>
          <w:rFonts w:hint="eastAsia" w:hAnsi="宋体" w:cs="Times New Roman"/>
          <w:color w:val="auto"/>
          <w:kern w:val="2"/>
          <w:sz w:val="32"/>
          <w:szCs w:val="32"/>
          <w:highlight w:val="none"/>
          <w:lang w:val="en-US" w:eastAsia="zh-CN" w:bidi="ar-SA"/>
        </w:rPr>
        <w:t>资</w:t>
      </w:r>
      <w:r>
        <w:rPr>
          <w:rFonts w:hint="eastAsia" w:ascii="仿宋_GB2312" w:hAnsi="宋体" w:eastAsia="仿宋_GB2312" w:cs="Times New Roman"/>
          <w:color w:val="auto"/>
          <w:kern w:val="2"/>
          <w:sz w:val="32"/>
          <w:szCs w:val="32"/>
          <w:highlight w:val="none"/>
          <w:lang w:val="en-US" w:eastAsia="zh-CN" w:bidi="ar-SA"/>
        </w:rPr>
        <w:t>金及时批复到位，其</w:t>
      </w:r>
      <w:r>
        <w:rPr>
          <w:rFonts w:hint="eastAsia" w:ascii="仿宋_GB2312" w:hAnsi="宋体" w:eastAsia="仿宋_GB2312" w:cs="Times New Roman"/>
          <w:color w:val="auto"/>
          <w:kern w:val="2"/>
          <w:sz w:val="32"/>
          <w:szCs w:val="32"/>
          <w:highlight w:val="none"/>
          <w:lang w:val="zh-CN" w:eastAsia="zh-CN" w:bidi="ar-SA"/>
        </w:rPr>
        <w:t>符合资金管理办法等相关规定。</w:t>
      </w:r>
    </w:p>
    <w:p>
      <w:pPr>
        <w:keepNext w:val="0"/>
        <w:keepLines w:val="0"/>
        <w:pageBreakBefore w:val="0"/>
        <w:numPr>
          <w:ilvl w:val="-1"/>
          <w:numId w:val="0"/>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firstLine="320" w:firstLineChars="100"/>
        <w:textAlignment w:val="auto"/>
        <w:rPr>
          <w:rFonts w:hint="eastAsia" w:ascii="仿宋_GB2312" w:hAnsi="宋体" w:eastAsia="仿宋_GB2312" w:cs="Times New Roman"/>
          <w:color w:val="auto"/>
          <w:sz w:val="32"/>
          <w:szCs w:val="32"/>
          <w:highlight w:val="none"/>
          <w:lang w:val="en-US" w:eastAsia="zh-CN"/>
        </w:rPr>
      </w:pPr>
      <w:r>
        <w:rPr>
          <w:rFonts w:hint="eastAsia" w:ascii="楷体_GB2312" w:hAnsi="宋体" w:eastAsia="楷体_GB2312" w:cs="Times New Roman"/>
          <w:color w:val="auto"/>
          <w:sz w:val="32"/>
          <w:szCs w:val="32"/>
          <w:highlight w:val="none"/>
          <w:lang w:val="zh-CN"/>
        </w:rPr>
        <w:t>1．资金计划及到位。</w:t>
      </w:r>
      <w:r>
        <w:rPr>
          <w:rFonts w:hint="eastAsia" w:ascii="仿宋_GB2312" w:hAnsi="宋体" w:eastAsia="仿宋_GB2312" w:cs="Times New Roman"/>
          <w:color w:val="auto"/>
          <w:sz w:val="32"/>
          <w:szCs w:val="32"/>
          <w:highlight w:val="none"/>
          <w:lang w:val="zh-CN"/>
        </w:rPr>
        <w:t>截止2021年12月，所有计划资金全部到位，共计</w:t>
      </w:r>
      <w:r>
        <w:rPr>
          <w:rFonts w:hint="eastAsia" w:ascii="仿宋_GB2312" w:hAnsi="宋体" w:eastAsia="仿宋_GB2312" w:cs="Times New Roman"/>
          <w:color w:val="auto"/>
          <w:sz w:val="32"/>
          <w:szCs w:val="32"/>
          <w:highlight w:val="none"/>
          <w:lang w:val="en-US" w:eastAsia="zh-CN"/>
        </w:rPr>
        <w:t>22.5</w:t>
      </w:r>
      <w:r>
        <w:rPr>
          <w:rFonts w:hint="eastAsia" w:ascii="仿宋_GB2312" w:hAnsi="宋体" w:eastAsia="仿宋_GB2312" w:cs="Times New Roman"/>
          <w:color w:val="auto"/>
          <w:sz w:val="32"/>
          <w:szCs w:val="32"/>
          <w:highlight w:val="none"/>
          <w:lang w:val="zh-CN"/>
        </w:rPr>
        <w:t>万元。</w:t>
      </w:r>
      <w:r>
        <w:rPr>
          <w:rFonts w:hint="eastAsia" w:ascii="仿宋_GB2312" w:hAnsi="宋体" w:eastAsia="仿宋_GB2312" w:cs="Times New Roman"/>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2．资金使用。</w:t>
      </w:r>
      <w:r>
        <w:rPr>
          <w:rFonts w:hint="eastAsia" w:ascii="仿宋_GB2312" w:hAnsi="宋体" w:eastAsia="仿宋_GB2312" w:cs="Times New Roman"/>
          <w:color w:val="auto"/>
          <w:sz w:val="32"/>
          <w:szCs w:val="32"/>
          <w:highlight w:val="none"/>
          <w:lang w:val="zh-CN"/>
        </w:rPr>
        <w:t>截止2021年12月，</w:t>
      </w:r>
      <w:r>
        <w:rPr>
          <w:rFonts w:hint="eastAsia" w:ascii="仿宋_GB2312" w:hAnsi="宋体" w:eastAsia="仿宋_GB2312" w:cs="Times New Roman"/>
          <w:color w:val="auto"/>
          <w:sz w:val="32"/>
          <w:szCs w:val="32"/>
          <w:highlight w:val="none"/>
          <w:lang w:val="zh-CN" w:eastAsia="zh-CN"/>
        </w:rPr>
        <w:t>离退休干部健康休养经费</w:t>
      </w:r>
      <w:r>
        <w:rPr>
          <w:rFonts w:hint="eastAsia" w:ascii="仿宋_GB2312" w:hAnsi="宋体" w:eastAsia="仿宋_GB2312" w:cs="Times New Roman"/>
          <w:color w:val="auto"/>
          <w:sz w:val="32"/>
          <w:szCs w:val="32"/>
          <w:highlight w:val="none"/>
          <w:lang w:val="zh-CN"/>
        </w:rPr>
        <w:t>实际支出</w:t>
      </w:r>
      <w:r>
        <w:rPr>
          <w:rFonts w:hint="eastAsia" w:ascii="仿宋_GB2312" w:hAnsi="宋体" w:eastAsia="仿宋_GB2312" w:cs="Times New Roman"/>
          <w:color w:val="auto"/>
          <w:sz w:val="32"/>
          <w:szCs w:val="32"/>
          <w:highlight w:val="none"/>
          <w:lang w:val="en-US" w:eastAsia="zh-CN"/>
        </w:rPr>
        <w:t>22.5</w:t>
      </w:r>
      <w:r>
        <w:rPr>
          <w:rFonts w:hint="eastAsia" w:ascii="仿宋_GB2312" w:hAnsi="宋体" w:eastAsia="仿宋_GB2312" w:cs="Times New Roman"/>
          <w:color w:val="auto"/>
          <w:sz w:val="32"/>
          <w:szCs w:val="32"/>
          <w:highlight w:val="none"/>
          <w:lang w:val="zh-CN"/>
        </w:rPr>
        <w:t>万元。支付依据合规合法，资金支付与预算相符。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我局严格按照《专项资金管理制度》和财政批复要求，在收到财政预算批复后，按项目进度支付，并主动接受财政、审计部门的监督检查。在资金使用过程中，加强专项资金使用的监督管理，确保专项资金支付依据合规合法，财务管理制度、会计核算规范，财务处理及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方正仿宋_GBK" w:hAnsi="方正仿宋_GBK" w:eastAsia="方正仿宋_GBK" w:cs="方正仿宋_GBK"/>
          <w:kern w:val="0"/>
          <w:sz w:val="32"/>
          <w:szCs w:val="32"/>
        </w:rPr>
        <w:t>在</w:t>
      </w:r>
      <w:r>
        <w:rPr>
          <w:rFonts w:hint="eastAsia" w:ascii="方正仿宋_GBK" w:hAnsi="方正仿宋_GBK" w:eastAsia="方正仿宋_GBK" w:cs="方正仿宋_GBK"/>
          <w:kern w:val="0"/>
          <w:sz w:val="32"/>
          <w:szCs w:val="32"/>
          <w:lang w:eastAsia="zh-CN"/>
        </w:rPr>
        <w:t>项目实施</w:t>
      </w:r>
      <w:r>
        <w:rPr>
          <w:rFonts w:hint="eastAsia" w:ascii="方正仿宋_GBK" w:hAnsi="方正仿宋_GBK" w:eastAsia="方正仿宋_GBK" w:cs="方正仿宋_GBK"/>
          <w:kern w:val="0"/>
          <w:sz w:val="32"/>
          <w:szCs w:val="32"/>
        </w:rPr>
        <w:t>绩效管理</w:t>
      </w:r>
      <w:r>
        <w:rPr>
          <w:rFonts w:hint="eastAsia" w:ascii="方正仿宋_GBK" w:hAnsi="方正仿宋_GBK" w:eastAsia="方正仿宋_GBK" w:cs="方正仿宋_GBK"/>
          <w:kern w:val="0"/>
          <w:sz w:val="32"/>
          <w:szCs w:val="32"/>
          <w:lang w:eastAsia="zh-CN"/>
        </w:rPr>
        <w:t>工作</w:t>
      </w:r>
      <w:r>
        <w:rPr>
          <w:rFonts w:hint="eastAsia" w:ascii="方正仿宋_GBK" w:hAnsi="方正仿宋_GBK" w:eastAsia="方正仿宋_GBK" w:cs="方正仿宋_GBK"/>
          <w:kern w:val="0"/>
          <w:sz w:val="32"/>
          <w:szCs w:val="32"/>
        </w:rPr>
        <w:t>中，提高预算编制的规范化和科学性，确保部门预算真实、准确、完整</w:t>
      </w:r>
      <w:r>
        <w:rPr>
          <w:rFonts w:hint="eastAsia" w:ascii="方正仿宋_GBK" w:hAnsi="方正仿宋_GBK" w:eastAsia="方正仿宋_GBK" w:cs="方正仿宋_GBK"/>
          <w:kern w:val="0"/>
          <w:sz w:val="32"/>
          <w:szCs w:val="32"/>
          <w:lang w:eastAsia="zh-CN"/>
        </w:rPr>
        <w:t>项目实施可行</w:t>
      </w:r>
      <w:r>
        <w:rPr>
          <w:rFonts w:hint="eastAsia" w:ascii="方正仿宋_GBK" w:hAnsi="方正仿宋_GBK" w:eastAsia="方正仿宋_GBK" w:cs="方正仿宋_GBK"/>
          <w:kern w:val="0"/>
          <w:sz w:val="32"/>
          <w:szCs w:val="32"/>
        </w:rPr>
        <w:t>。严格执行财政预决算管理</w:t>
      </w:r>
      <w:r>
        <w:rPr>
          <w:rFonts w:hint="eastAsia" w:ascii="方正仿宋_GBK" w:hAnsi="方正仿宋_GBK" w:eastAsia="方正仿宋_GBK" w:cs="方正仿宋_GBK"/>
          <w:kern w:val="0"/>
          <w:sz w:val="32"/>
          <w:szCs w:val="32"/>
          <w:lang w:eastAsia="zh-CN"/>
        </w:rPr>
        <w:t>，做到让市委、市政府放心，老干部满意。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在数量指标方面全年共组织健康休养</w:t>
      </w:r>
      <w:r>
        <w:rPr>
          <w:rFonts w:hint="eastAsia" w:ascii="仿宋_GB2312" w:hAnsi="宋体" w:eastAsia="仿宋_GB2312" w:cs="Times New Roman"/>
          <w:color w:val="auto"/>
          <w:sz w:val="32"/>
          <w:szCs w:val="32"/>
          <w:highlight w:val="none"/>
          <w:lang w:val="en-US" w:eastAsia="zh-CN"/>
        </w:rPr>
        <w:t>2次185人。</w:t>
      </w:r>
      <w:r>
        <w:rPr>
          <w:rFonts w:hint="eastAsia" w:ascii="仿宋_GB2312" w:hAnsi="宋体" w:eastAsia="仿宋_GB2312" w:cs="Times New Roman"/>
          <w:color w:val="auto"/>
          <w:sz w:val="32"/>
          <w:szCs w:val="32"/>
          <w:highlight w:val="none"/>
          <w:lang w:val="zh-CN"/>
        </w:rPr>
        <w:t>在时效指标方面截止12月31日前已全部完成计划目标。年末无结转资金，无违规记录。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从社会效益方面老干部队伍稳定，该项目具有可持续发展需要，服务老干部满意。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（一）存在的问题。</w:t>
      </w:r>
      <w:r>
        <w:rPr>
          <w:rFonts w:hint="eastAsia" w:ascii="仿宋" w:hAnsi="仿宋" w:eastAsia="仿宋"/>
          <w:color w:val="000000"/>
          <w:sz w:val="32"/>
          <w:szCs w:val="32"/>
          <w:lang w:val="zh-CN" w:eastAsia="zh-CN"/>
        </w:rPr>
        <w:t>部门</w:t>
      </w:r>
      <w:r>
        <w:rPr>
          <w:rFonts w:hint="eastAsia" w:ascii="仿宋" w:hAnsi="仿宋" w:eastAsia="仿宋"/>
          <w:color w:val="000000"/>
          <w:sz w:val="32"/>
          <w:szCs w:val="32"/>
          <w:lang w:val="en-US" w:eastAsia="zh-CN"/>
        </w:rPr>
        <w:t>预算编制的前瞻性和准确度有待进一步提高。</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Style w:val="28"/>
          <w:rFonts w:ascii="黑体" w:hAnsi="黑体" w:eastAsia="黑体"/>
          <w:b w:val="0"/>
          <w:color w:val="auto"/>
          <w:highlight w:val="none"/>
        </w:rPr>
      </w:pPr>
      <w:r>
        <w:rPr>
          <w:rFonts w:hint="eastAsia" w:ascii="楷体_GB2312" w:hAnsi="宋体" w:eastAsia="楷体_GB2312" w:cs="Times New Roman"/>
          <w:b/>
          <w:color w:val="auto"/>
          <w:sz w:val="32"/>
          <w:szCs w:val="32"/>
          <w:highlight w:val="none"/>
          <w:lang w:val="zh-CN"/>
        </w:rPr>
        <w:t>（二）相关建议。</w:t>
      </w:r>
      <w:r>
        <w:rPr>
          <w:rFonts w:hint="eastAsia" w:ascii="仿宋_GB2312" w:hAnsi="宋体" w:eastAsia="仿宋_GB2312" w:cs="Times New Roman"/>
          <w:color w:val="auto"/>
          <w:kern w:val="2"/>
          <w:sz w:val="32"/>
          <w:szCs w:val="32"/>
          <w:highlight w:val="none"/>
          <w:lang w:val="zh-CN" w:eastAsia="zh-CN" w:bidi="ar-SA"/>
        </w:rPr>
        <w:t>在项目实施过程中，加强对项目的跟踪督促，及时解决项目在推进过程中遇到的困难和问题。</w:t>
      </w:r>
    </w:p>
    <w:tbl>
      <w:tblPr>
        <w:tblStyle w:val="14"/>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kern w:val="0"/>
                <w:sz w:val="32"/>
                <w:szCs w:val="3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346301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righ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22.5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组织离退休干部开展健康休养，确保离退休干部基本政治待遇不变，生活待遇略为从优。</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组织离退休干部开展健康休养，确保离退休干部基本政治待遇不变，生活待遇略为从优。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指标1：离退休干部健康休养</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组织2次,健康休养185人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组织2次,健康休养185人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指标1：离退休干部健康休养</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安全出行、身心愉悦</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安全出行、身心愉悦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指标1：离退休干部健康休养</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体现市委市政府关怀，享受改革发展成果</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体现市委市政府关怀，享受改革发展成果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指标1：离退休干部健康休养</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老干部满意</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老干部满意</w:t>
            </w: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Style w:val="28"/>
          <w:rFonts w:ascii="黑体" w:hAnsi="黑体" w:eastAsia="黑体"/>
          <w:b w:val="0"/>
          <w:color w:val="auto"/>
          <w:highlight w:val="none"/>
        </w:rPr>
      </w:pPr>
    </w:p>
    <w:p>
      <w:pPr>
        <w:rPr>
          <w:rFonts w:hint="eastAsia" w:hAnsi="宋体" w:cs="宋体"/>
          <w:color w:val="auto"/>
          <w:kern w:val="0"/>
          <w:sz w:val="32"/>
          <w:szCs w:val="32"/>
          <w:highlight w:val="none"/>
          <w:shd w:val="clear" w:color="auto" w:fill="FFFFFF"/>
          <w:lang w:val="zh-CN"/>
        </w:rPr>
      </w:pPr>
      <w:bookmarkStart w:id="59" w:name="_Toc15396618"/>
      <w:r>
        <w:rPr>
          <w:rFonts w:hint="eastAsia" w:hAnsi="宋体" w:cs="宋体"/>
          <w:color w:val="auto"/>
          <w:kern w:val="0"/>
          <w:sz w:val="32"/>
          <w:szCs w:val="32"/>
          <w:highlight w:val="none"/>
          <w:shd w:val="clear" w:color="auto" w:fill="FFFFFF"/>
          <w:lang w:val="zh-CN"/>
        </w:rPr>
        <w:br w:type="page"/>
      </w:r>
    </w:p>
    <w:p>
      <w:pPr>
        <w:pStyle w:val="2"/>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中共广元市委老干部局</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专项预算项目支出绩效自评报告范本</w:t>
      </w:r>
    </w:p>
    <w:p>
      <w:pPr>
        <w:keepNext w:val="0"/>
        <w:keepLines w:val="0"/>
        <w:pageBreakBefore w:val="0"/>
        <w:widowControl w:val="0"/>
        <w:kinsoku/>
        <w:wordWrap/>
        <w:overflowPunct/>
        <w:topLinePunct w:val="0"/>
        <w:autoSpaceDE/>
        <w:autoSpaceDN/>
        <w:bidi w:val="0"/>
        <w:spacing w:line="600" w:lineRule="exact"/>
        <w:jc w:val="center"/>
        <w:textAlignment w:val="auto"/>
        <w:rPr>
          <w:rFonts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（老干部活动中心及老干部休养所运行经费）</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rPr>
        <w:t>认真贯彻落实党中央、国务院、省委、省政府关于老干部工作的方针政策和市委、市政府有关部署，完成市老干部活动中心和老干部休养所日常活动开展。离退休干部活动阵地规范化运行、作用充分发挥。</w:t>
      </w:r>
    </w:p>
    <w:p>
      <w:pPr>
        <w:adjustRightInd w:val="0"/>
        <w:snapToGrid w:val="0"/>
        <w:spacing w:line="600" w:lineRule="exact"/>
        <w:ind w:firstLine="720" w:firstLineChars="0"/>
        <w:rPr>
          <w:lang w:val="zh-CN"/>
        </w:rPr>
      </w:pPr>
      <w:r>
        <w:rPr>
          <w:rFonts w:hint="eastAsia" w:ascii="仿宋_GB2312" w:hAnsi="宋体" w:eastAsia="仿宋_GB2312" w:cs="Times New Roman"/>
          <w:color w:val="auto"/>
          <w:sz w:val="32"/>
          <w:szCs w:val="32"/>
          <w:highlight w:val="none"/>
          <w:lang w:val="zh-CN"/>
        </w:rPr>
        <w:t>2．项目立项、资金申报的依据。中办发〔2016〕3号、川委办〔2016〕22号、广委办〔2016〕78号、川老发〔2012〕8号。“党委、政府要加大支持力度，强化活动阵地运行管理经费财政投入保障”、“鼓励整合老干部活动中心（馆、室）、老干部（老年）大学等资源开办离退休干部党校”、“要根据离退休干部队伍不断变化的实际，建立完善阵地建设的投入保障机制，做到阵地建设与本地经济社会发展水平相适应。老干部活动中心正常运行所需经费，要列入财政和单位预算，保证老干部学习活动的需要”。</w:t>
      </w:r>
    </w:p>
    <w:p>
      <w:pPr>
        <w:numPr>
          <w:ilvl w:val="0"/>
          <w:numId w:val="0"/>
        </w:numPr>
        <w:adjustRightInd w:val="0"/>
        <w:snapToGrid w:val="0"/>
        <w:spacing w:line="600"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sz w:val="32"/>
          <w:szCs w:val="32"/>
          <w:highlight w:val="none"/>
          <w:lang w:val="zh-CN"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w:t>
      </w:r>
      <w:r>
        <w:rPr>
          <w:rFonts w:hint="eastAsia" w:ascii="仿宋_GB2312" w:hAnsi="宋体" w:eastAsia="仿宋_GB2312" w:cs="Times New Roman"/>
          <w:color w:val="auto"/>
          <w:kern w:val="2"/>
          <w:sz w:val="32"/>
          <w:szCs w:val="32"/>
          <w:highlight w:val="none"/>
          <w:lang w:val="zh-CN" w:eastAsia="zh-CN" w:bidi="ar-SA"/>
        </w:rPr>
        <w:t>市老干部活动中心现有面积5520平方米，2013年投入使用，日均接待老干部220余人次。维持老干部日常活动的开展，针对退休干部逐年增多的实际情况，为切实加强老干部教育管理</w:t>
      </w:r>
      <w:r>
        <w:rPr>
          <w:rFonts w:hint="eastAsia" w:ascii="仿宋_GB2312" w:hAnsi="宋体" w:eastAsia="仿宋_GB2312" w:cs="Times New Roman"/>
          <w:color w:val="auto"/>
          <w:sz w:val="32"/>
          <w:szCs w:val="32"/>
          <w:highlight w:val="none"/>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做好老干部精准服务工作，确保离退休干部工作到位，保障服务离退休干部需求。</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pStyle w:val="34"/>
        <w:keepNext w:val="0"/>
        <w:keepLines w:val="0"/>
        <w:pageBreakBefore w:val="0"/>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我局</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制定部门绩效目标时</w:t>
      </w:r>
      <w:r>
        <w:rPr>
          <w:rFonts w:hint="eastAsia" w:ascii="方正仿宋_GBK" w:hAnsi="方正仿宋_GBK" w:eastAsia="方正仿宋_GBK" w:cs="方正仿宋_GBK"/>
          <w:sz w:val="32"/>
          <w:szCs w:val="32"/>
        </w:rPr>
        <w:t>结合工作实际，</w:t>
      </w:r>
      <w:r>
        <w:rPr>
          <w:rFonts w:hint="eastAsia" w:ascii="方正仿宋_GBK" w:hAnsi="方正仿宋_GBK" w:eastAsia="方正仿宋_GBK" w:cs="方正仿宋_GBK"/>
          <w:sz w:val="32"/>
          <w:szCs w:val="32"/>
          <w:lang w:eastAsia="zh-CN"/>
        </w:rPr>
        <w:t>确保了目标完成的</w:t>
      </w:r>
      <w:r>
        <w:rPr>
          <w:rFonts w:hint="eastAsia" w:ascii="方正仿宋_GBK" w:hAnsi="方正仿宋_GBK" w:eastAsia="方正仿宋_GBK" w:cs="方正仿宋_GBK"/>
          <w:sz w:val="32"/>
          <w:szCs w:val="32"/>
        </w:rPr>
        <w:t>科学</w:t>
      </w:r>
      <w:r>
        <w:rPr>
          <w:rFonts w:hint="eastAsia" w:ascii="方正仿宋_GBK" w:hAnsi="方正仿宋_GBK" w:eastAsia="方正仿宋_GBK" w:cs="方正仿宋_GBK"/>
          <w:sz w:val="32"/>
          <w:szCs w:val="32"/>
          <w:lang w:eastAsia="zh-CN"/>
        </w:rPr>
        <w:t>合理性和可执行性。一是要素完整。对当年经费变化和工作运行方向进行科学预测，提出单位综合年度目标。项目经费绩效目标制定上，由各业务科室（或部门）分管领导牵头，部室同志全体参与研究当年重点工作任务，提出经费预算方案和具体项目任务。二是确定相关项目指标具体或大体额度。对可量化的指标必须进行量化分析测算，不能量化的采用定性方式测算经费。三是做到集体研究科学决策。办公室（财务）综合牵头，协调各科室或单位提出经费预算和部门绩效目标方案后，提交局务会议研究</w:t>
      </w:r>
      <w:r>
        <w:rPr>
          <w:rFonts w:hint="eastAsia" w:ascii="方正仿宋_GBK" w:hAnsi="方正仿宋_GBK" w:eastAsia="方正仿宋_GBK" w:cs="方正仿宋_GBK"/>
          <w:kern w:val="0"/>
          <w:sz w:val="32"/>
          <w:szCs w:val="32"/>
        </w:rPr>
        <w:t>审定。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2"/>
        <w:numPr>
          <w:ilvl w:val="0"/>
          <w:numId w:val="0"/>
        </w:numPr>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2021年</w:t>
      </w:r>
      <w:r>
        <w:rPr>
          <w:rFonts w:hint="eastAsia" w:ascii="仿宋_GB2312" w:hAnsi="宋体" w:eastAsia="仿宋_GB2312" w:cs="Times New Roman"/>
          <w:color w:val="auto"/>
          <w:kern w:val="2"/>
          <w:sz w:val="32"/>
          <w:szCs w:val="32"/>
          <w:highlight w:val="none"/>
          <w:lang w:val="zh-CN" w:eastAsia="zh-CN" w:bidi="ar-SA"/>
        </w:rPr>
        <w:t>老干部活动中心及老干部休养所运行经费全年预算</w:t>
      </w:r>
      <w:r>
        <w:rPr>
          <w:rFonts w:hint="eastAsia" w:hAnsi="宋体" w:cs="Times New Roman"/>
          <w:color w:val="auto"/>
          <w:kern w:val="2"/>
          <w:sz w:val="32"/>
          <w:szCs w:val="32"/>
          <w:highlight w:val="none"/>
          <w:lang w:val="en-US" w:eastAsia="zh-CN" w:bidi="ar-SA"/>
        </w:rPr>
        <w:t>61.16</w:t>
      </w:r>
      <w:r>
        <w:rPr>
          <w:rFonts w:hint="eastAsia" w:ascii="仿宋_GB2312" w:hAnsi="宋体" w:eastAsia="仿宋_GB2312" w:cs="Times New Roman"/>
          <w:color w:val="auto"/>
          <w:kern w:val="2"/>
          <w:sz w:val="32"/>
          <w:szCs w:val="32"/>
          <w:highlight w:val="none"/>
          <w:lang w:val="en-US" w:eastAsia="zh-CN" w:bidi="ar-SA"/>
        </w:rPr>
        <w:t>万元，</w:t>
      </w:r>
      <w:r>
        <w:rPr>
          <w:rFonts w:hint="eastAsia" w:hAnsi="宋体" w:cs="Times New Roman"/>
          <w:color w:val="auto"/>
          <w:kern w:val="2"/>
          <w:sz w:val="32"/>
          <w:szCs w:val="32"/>
          <w:highlight w:val="none"/>
          <w:lang w:val="en-US" w:eastAsia="zh-CN" w:bidi="ar-SA"/>
        </w:rPr>
        <w:t>资</w:t>
      </w:r>
      <w:r>
        <w:rPr>
          <w:rFonts w:hint="eastAsia" w:ascii="仿宋_GB2312" w:hAnsi="宋体" w:eastAsia="仿宋_GB2312" w:cs="Times New Roman"/>
          <w:color w:val="auto"/>
          <w:kern w:val="2"/>
          <w:sz w:val="32"/>
          <w:szCs w:val="32"/>
          <w:highlight w:val="none"/>
          <w:lang w:val="en-US" w:eastAsia="zh-CN" w:bidi="ar-SA"/>
        </w:rPr>
        <w:t>金及时批复到位，其</w:t>
      </w:r>
      <w:r>
        <w:rPr>
          <w:rFonts w:hint="eastAsia" w:ascii="仿宋_GB2312" w:hAnsi="宋体" w:eastAsia="仿宋_GB2312" w:cs="Times New Roman"/>
          <w:color w:val="auto"/>
          <w:kern w:val="2"/>
          <w:sz w:val="32"/>
          <w:szCs w:val="32"/>
          <w:highlight w:val="none"/>
          <w:lang w:val="zh-CN" w:eastAsia="zh-CN" w:bidi="ar-SA"/>
        </w:rPr>
        <w:t>符合资金管理办法等相关规定。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en-US" w:eastAsia="zh-CN"/>
        </w:rPr>
        <w:t>1.</w:t>
      </w:r>
      <w:r>
        <w:rPr>
          <w:rFonts w:hint="eastAsia" w:ascii="楷体_GB2312" w:hAnsi="宋体" w:eastAsia="楷体_GB2312" w:cs="Times New Roman"/>
          <w:color w:val="auto"/>
          <w:sz w:val="32"/>
          <w:szCs w:val="32"/>
          <w:highlight w:val="none"/>
          <w:lang w:val="zh-CN"/>
        </w:rPr>
        <w:t>资金计划及到位。</w:t>
      </w:r>
      <w:r>
        <w:rPr>
          <w:rFonts w:hint="eastAsia" w:ascii="仿宋_GB2312" w:hAnsi="宋体" w:eastAsia="仿宋_GB2312" w:cs="Times New Roman"/>
          <w:color w:val="auto"/>
          <w:sz w:val="32"/>
          <w:szCs w:val="32"/>
          <w:highlight w:val="none"/>
          <w:lang w:val="zh-CN"/>
        </w:rPr>
        <w:t>截止2021年12月，所有计划资金全部到位，共计</w:t>
      </w:r>
      <w:r>
        <w:rPr>
          <w:rFonts w:hint="eastAsia" w:ascii="仿宋_GB2312" w:hAnsi="宋体" w:eastAsia="仿宋_GB2312" w:cs="Times New Roman"/>
          <w:color w:val="auto"/>
          <w:sz w:val="32"/>
          <w:szCs w:val="32"/>
          <w:highlight w:val="none"/>
          <w:lang w:val="en-US" w:eastAsia="zh-CN"/>
        </w:rPr>
        <w:t>61.16</w:t>
      </w:r>
      <w:r>
        <w:rPr>
          <w:rFonts w:hint="eastAsia" w:ascii="仿宋_GB2312" w:hAnsi="宋体" w:eastAsia="仿宋_GB2312" w:cs="Times New Roman"/>
          <w:color w:val="auto"/>
          <w:sz w:val="32"/>
          <w:szCs w:val="32"/>
          <w:highlight w:val="none"/>
          <w:lang w:val="zh-CN"/>
        </w:rPr>
        <w:t>万元。</w:t>
      </w:r>
    </w:p>
    <w:p>
      <w:pPr>
        <w:adjustRightInd w:val="0"/>
        <w:snapToGrid w:val="0"/>
        <w:spacing w:line="576" w:lineRule="exact"/>
        <w:ind w:firstLine="720"/>
        <w:rPr>
          <w:rFonts w:hint="eastAsia" w:ascii="仿宋_GB2312" w:hAnsi="宋体" w:eastAsia="仿宋_GB2312" w:cs="Times New Roman"/>
          <w:b/>
          <w:bCs/>
          <w:color w:val="auto"/>
          <w:sz w:val="32"/>
          <w:szCs w:val="32"/>
          <w:highlight w:val="none"/>
          <w:lang w:val="zh-CN"/>
        </w:rPr>
      </w:pPr>
      <w:r>
        <w:rPr>
          <w:rFonts w:hint="eastAsia" w:ascii="楷体_GB2312" w:hAnsi="宋体" w:eastAsia="楷体_GB2312" w:cs="Times New Roman"/>
          <w:color w:val="auto"/>
          <w:sz w:val="32"/>
          <w:szCs w:val="32"/>
          <w:highlight w:val="none"/>
          <w:lang w:val="en-US" w:eastAsia="zh-CN"/>
        </w:rPr>
        <w:t>2.</w:t>
      </w:r>
      <w:r>
        <w:rPr>
          <w:rFonts w:hint="eastAsia" w:ascii="楷体_GB2312" w:hAnsi="宋体" w:eastAsia="楷体_GB2312" w:cs="Times New Roman"/>
          <w:color w:val="auto"/>
          <w:sz w:val="32"/>
          <w:szCs w:val="32"/>
          <w:highlight w:val="none"/>
          <w:lang w:val="zh-CN"/>
        </w:rPr>
        <w:t>资金使用。</w:t>
      </w:r>
      <w:r>
        <w:rPr>
          <w:rFonts w:hint="eastAsia" w:ascii="仿宋_GB2312" w:hAnsi="宋体" w:eastAsia="仿宋_GB2312" w:cs="Times New Roman"/>
          <w:color w:val="auto"/>
          <w:sz w:val="32"/>
          <w:szCs w:val="32"/>
          <w:highlight w:val="none"/>
          <w:lang w:val="zh-CN"/>
        </w:rPr>
        <w:t>截止2021年12月</w:t>
      </w:r>
      <w:r>
        <w:rPr>
          <w:rFonts w:hint="eastAsia" w:ascii="仿宋_GB2312" w:hAnsi="宋体" w:eastAsia="仿宋_GB2312" w:cs="Times New Roman"/>
          <w:color w:val="auto"/>
          <w:kern w:val="2"/>
          <w:sz w:val="32"/>
          <w:szCs w:val="32"/>
          <w:highlight w:val="none"/>
          <w:lang w:val="zh-CN" w:eastAsia="zh-CN" w:bidi="ar-SA"/>
        </w:rPr>
        <w:t>老干部活动中心及老干部休养所运行经费</w:t>
      </w:r>
      <w:r>
        <w:rPr>
          <w:rFonts w:hint="eastAsia" w:ascii="仿宋_GB2312" w:hAnsi="宋体" w:eastAsia="仿宋_GB2312" w:cs="Times New Roman"/>
          <w:color w:val="auto"/>
          <w:sz w:val="32"/>
          <w:szCs w:val="32"/>
          <w:highlight w:val="none"/>
          <w:lang w:val="zh-CN"/>
        </w:rPr>
        <w:t>实际支出</w:t>
      </w:r>
      <w:r>
        <w:rPr>
          <w:rFonts w:hint="eastAsia" w:ascii="仿宋_GB2312" w:hAnsi="宋体" w:eastAsia="仿宋_GB2312" w:cs="Times New Roman"/>
          <w:color w:val="auto"/>
          <w:sz w:val="32"/>
          <w:szCs w:val="32"/>
          <w:highlight w:val="none"/>
          <w:lang w:val="en-US" w:eastAsia="zh-CN"/>
        </w:rPr>
        <w:t>61.16</w:t>
      </w:r>
      <w:r>
        <w:rPr>
          <w:rFonts w:hint="eastAsia" w:ascii="仿宋_GB2312" w:hAnsi="宋体" w:eastAsia="仿宋_GB2312" w:cs="Times New Roman"/>
          <w:color w:val="auto"/>
          <w:sz w:val="32"/>
          <w:szCs w:val="32"/>
          <w:highlight w:val="none"/>
          <w:lang w:val="zh-CN"/>
        </w:rPr>
        <w:t>万元。支付依据合规合法，资金支付与预算相符。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我局严格按照《专项资金管理制度》和财政批复要求，在收到财政预算批复后，按项目进度支付，并主动接受财政、审计部门的监督检查。在资金使用过程中，加强专项资金使用的监督管理，确保专项资金支付依据合规合法，财务管理制度、会计核算规范，财务处理及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方正仿宋_GBK" w:hAnsi="方正仿宋_GBK" w:eastAsia="方正仿宋_GBK" w:cs="方正仿宋_GBK"/>
          <w:kern w:val="0"/>
          <w:sz w:val="32"/>
          <w:szCs w:val="32"/>
        </w:rPr>
        <w:t>在</w:t>
      </w:r>
      <w:r>
        <w:rPr>
          <w:rFonts w:hint="eastAsia" w:ascii="方正仿宋_GBK" w:hAnsi="方正仿宋_GBK" w:eastAsia="方正仿宋_GBK" w:cs="方正仿宋_GBK"/>
          <w:kern w:val="0"/>
          <w:sz w:val="32"/>
          <w:szCs w:val="32"/>
          <w:lang w:eastAsia="zh-CN"/>
        </w:rPr>
        <w:t>项目实施</w:t>
      </w:r>
      <w:r>
        <w:rPr>
          <w:rFonts w:hint="eastAsia" w:ascii="方正仿宋_GBK" w:hAnsi="方正仿宋_GBK" w:eastAsia="方正仿宋_GBK" w:cs="方正仿宋_GBK"/>
          <w:kern w:val="0"/>
          <w:sz w:val="32"/>
          <w:szCs w:val="32"/>
        </w:rPr>
        <w:t>绩效管理</w:t>
      </w:r>
      <w:r>
        <w:rPr>
          <w:rFonts w:hint="eastAsia" w:ascii="方正仿宋_GBK" w:hAnsi="方正仿宋_GBK" w:eastAsia="方正仿宋_GBK" w:cs="方正仿宋_GBK"/>
          <w:kern w:val="0"/>
          <w:sz w:val="32"/>
          <w:szCs w:val="32"/>
          <w:lang w:eastAsia="zh-CN"/>
        </w:rPr>
        <w:t>工作</w:t>
      </w:r>
      <w:r>
        <w:rPr>
          <w:rFonts w:hint="eastAsia" w:ascii="方正仿宋_GBK" w:hAnsi="方正仿宋_GBK" w:eastAsia="方正仿宋_GBK" w:cs="方正仿宋_GBK"/>
          <w:kern w:val="0"/>
          <w:sz w:val="32"/>
          <w:szCs w:val="32"/>
        </w:rPr>
        <w:t>中，提高预算编制的规范化和科学性，确保部门预算真实、准确、完整</w:t>
      </w:r>
      <w:r>
        <w:rPr>
          <w:rFonts w:hint="eastAsia" w:ascii="方正仿宋_GBK" w:hAnsi="方正仿宋_GBK" w:eastAsia="方正仿宋_GBK" w:cs="方正仿宋_GBK"/>
          <w:kern w:val="0"/>
          <w:sz w:val="32"/>
          <w:szCs w:val="32"/>
          <w:lang w:eastAsia="zh-CN"/>
        </w:rPr>
        <w:t>项目实施可行</w:t>
      </w:r>
      <w:r>
        <w:rPr>
          <w:rFonts w:hint="eastAsia" w:ascii="方正仿宋_GBK" w:hAnsi="方正仿宋_GBK" w:eastAsia="方正仿宋_GBK" w:cs="方正仿宋_GBK"/>
          <w:kern w:val="0"/>
          <w:sz w:val="32"/>
          <w:szCs w:val="32"/>
        </w:rPr>
        <w:t>。严格执行财政预决算管理</w:t>
      </w:r>
      <w:r>
        <w:rPr>
          <w:rFonts w:hint="eastAsia" w:ascii="方正仿宋_GBK" w:hAnsi="方正仿宋_GBK" w:eastAsia="方正仿宋_GBK" w:cs="方正仿宋_GBK"/>
          <w:kern w:val="0"/>
          <w:sz w:val="32"/>
          <w:szCs w:val="32"/>
          <w:lang w:eastAsia="zh-CN"/>
        </w:rPr>
        <w:t>，做到让市委、市政府放心，老干部满意。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在数量指标方面</w:t>
      </w:r>
      <w:r>
        <w:rPr>
          <w:rFonts w:hint="eastAsia" w:ascii="仿宋_GB2312" w:hAnsi="宋体" w:eastAsia="仿宋_GB2312" w:cs="Times New Roman"/>
          <w:color w:val="auto"/>
          <w:kern w:val="2"/>
          <w:sz w:val="32"/>
          <w:szCs w:val="32"/>
          <w:highlight w:val="none"/>
          <w:lang w:val="zh-CN" w:eastAsia="zh-CN" w:bidi="ar-SA"/>
        </w:rPr>
        <w:t>日均接待老干部220余人次</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lang w:val="zh-CN"/>
        </w:rPr>
        <w:t>在质量指标方面市老干部活动中心和干休所活动常态化开展</w:t>
      </w:r>
      <w:r>
        <w:rPr>
          <w:rFonts w:hint="eastAsia" w:ascii="仿宋_GB2312" w:hAnsi="宋体" w:eastAsia="仿宋_GB2312" w:cs="Times New Roman"/>
          <w:color w:val="auto"/>
          <w:sz w:val="32"/>
          <w:szCs w:val="32"/>
          <w:highlight w:val="none"/>
          <w:lang w:val="en-US" w:eastAsia="zh-CN"/>
        </w:rPr>
        <w:t>，</w:t>
      </w:r>
      <w:r>
        <w:rPr>
          <w:rFonts w:hint="eastAsia" w:ascii="仿宋_GB2312" w:hAnsi="宋体" w:eastAsia="仿宋_GB2312" w:cs="Times New Roman"/>
          <w:color w:val="auto"/>
          <w:sz w:val="32"/>
          <w:szCs w:val="32"/>
          <w:highlight w:val="none"/>
          <w:lang w:val="zh-CN"/>
        </w:rPr>
        <w:t>在时效指标方面截止12月31日前已全部完成计划目标。年末无结转资金，无违规记录。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从社会效益方面市老干部活动中心和干休所功能充分发挥，老干部凝聚力、向心力增强，该项目具有可持续发展需要，服务老干部满意。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（一）存在的问题。</w:t>
      </w:r>
      <w:r>
        <w:rPr>
          <w:rFonts w:hint="eastAsia" w:ascii="仿宋" w:hAnsi="仿宋" w:eastAsia="仿宋"/>
          <w:color w:val="000000"/>
          <w:sz w:val="32"/>
          <w:szCs w:val="32"/>
          <w:lang w:val="zh-CN" w:eastAsia="zh-CN"/>
        </w:rPr>
        <w:t>部门</w:t>
      </w:r>
      <w:r>
        <w:rPr>
          <w:rFonts w:hint="eastAsia" w:ascii="仿宋" w:hAnsi="仿宋" w:eastAsia="仿宋"/>
          <w:color w:val="000000"/>
          <w:sz w:val="32"/>
          <w:szCs w:val="32"/>
          <w:lang w:val="en-US" w:eastAsia="zh-CN"/>
        </w:rPr>
        <w:t>预算编制的前瞻性和准确度有待进一步提高。</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lang w:val="zh-CN"/>
        </w:rPr>
        <w:t>（二）相关建议。</w:t>
      </w:r>
      <w:r>
        <w:rPr>
          <w:rFonts w:hint="eastAsia" w:ascii="仿宋_GB2312" w:hAnsi="宋体" w:eastAsia="仿宋_GB2312" w:cs="Times New Roman"/>
          <w:color w:val="auto"/>
          <w:kern w:val="2"/>
          <w:sz w:val="32"/>
          <w:szCs w:val="32"/>
          <w:highlight w:val="none"/>
          <w:lang w:val="zh-CN" w:eastAsia="zh-CN" w:bidi="ar-SA"/>
        </w:rPr>
        <w:t>在项目实施过程中，加强对项目的跟踪督促，及时解决项目在推进过程中遇到的困难和问题。</w:t>
      </w:r>
    </w:p>
    <w:p>
      <w:pPr>
        <w:pStyle w:val="2"/>
        <w:rPr>
          <w:rFonts w:hint="eastAsia" w:ascii="仿宋_GB2312" w:hAnsi="宋体" w:eastAsia="仿宋_GB2312" w:cs="Times New Roman"/>
          <w:color w:val="auto"/>
          <w:kern w:val="2"/>
          <w:sz w:val="32"/>
          <w:szCs w:val="32"/>
          <w:highlight w:val="none"/>
          <w:lang w:val="zh-CN" w:eastAsia="zh-CN" w:bidi="ar-SA"/>
        </w:rPr>
      </w:pPr>
    </w:p>
    <w:p>
      <w:pPr>
        <w:keepNext w:val="0"/>
        <w:keepLines w:val="0"/>
        <w:pageBreakBefore w:val="0"/>
        <w:widowControl/>
        <w:kinsoku/>
        <w:wordWrap/>
        <w:overflowPunct/>
        <w:topLinePunct w:val="0"/>
        <w:autoSpaceDE/>
        <w:autoSpaceDN/>
        <w:bidi w:val="0"/>
        <w:adjustRightInd w:val="0"/>
        <w:snapToGrid w:val="0"/>
        <w:spacing w:afterAutospacing="0" w:line="580" w:lineRule="exact"/>
        <w:contextualSpacing/>
        <w:jc w:val="left"/>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宋体"/>
          <w:b w:val="0"/>
          <w:bCs w:val="0"/>
          <w:color w:val="auto"/>
          <w:kern w:val="0"/>
          <w:sz w:val="32"/>
          <w:szCs w:val="32"/>
          <w:highlight w:val="none"/>
          <w:shd w:val="clear" w:color="auto" w:fill="FFFFFF"/>
          <w:lang w:val="zh-CN"/>
        </w:rPr>
        <w:t>附表：</w:t>
      </w:r>
    </w:p>
    <w:tbl>
      <w:tblPr>
        <w:tblStyle w:val="14"/>
        <w:tblW w:w="9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346301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61.16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61.16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61.16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61.16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jc w:val="center"/>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完成市老干部活动中心和老干部休养所日常活动开展。离退休干部活动阵地规范化运行、作用充分发挥。</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完成市老干部活动中心和老干部休养所日常活动开展。离退休干部活动阵地规范化运行、作用充分发挥。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指标1：活动中心和干休所有序运行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市老干部活动中心和干休所活动常态化开展</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市老干部活动中心和干休所活动常态化开展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指标1：活动中心和干休所有序运行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市老干部活动中心和干休所功能充分发挥，老干部凝聚力、向心力增强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市老干部活动中心和干休所功能充分发挥，老干部凝聚力、向心力增强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指标1：活动中心和干休所有序运行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老干部满意</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老干部满意</w:t>
            </w:r>
          </w:p>
        </w:tc>
      </w:tr>
    </w:tbl>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p>
      <w:pPr>
        <w:pStyle w:val="2"/>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中共广元市委老干部局</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专项预算项目支出绩效自评报告范本</w:t>
      </w:r>
    </w:p>
    <w:p>
      <w:pPr>
        <w:keepNext w:val="0"/>
        <w:keepLines w:val="0"/>
        <w:pageBreakBefore w:val="0"/>
        <w:widowControl w:val="0"/>
        <w:kinsoku/>
        <w:wordWrap/>
        <w:overflowPunct/>
        <w:topLinePunct w:val="0"/>
        <w:autoSpaceDE/>
        <w:autoSpaceDN/>
        <w:bidi w:val="0"/>
        <w:spacing w:line="600" w:lineRule="exact"/>
        <w:jc w:val="center"/>
        <w:textAlignment w:val="auto"/>
        <w:rPr>
          <w:rFonts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（离退休干部</w:t>
      </w:r>
      <w:r>
        <w:rPr>
          <w:rFonts w:hint="eastAsia" w:hAnsi="宋体" w:cs="Times New Roman"/>
          <w:color w:val="auto"/>
          <w:kern w:val="2"/>
          <w:sz w:val="32"/>
          <w:szCs w:val="32"/>
          <w:highlight w:val="none"/>
          <w:lang w:val="zh-CN" w:eastAsia="zh-CN" w:bidi="ar-SA"/>
        </w:rPr>
        <w:t>调研参观考察</w:t>
      </w:r>
      <w:r>
        <w:rPr>
          <w:rFonts w:hint="eastAsia" w:ascii="仿宋_GB2312" w:hAnsi="宋体" w:eastAsia="仿宋_GB2312" w:cs="Times New Roman"/>
          <w:color w:val="auto"/>
          <w:kern w:val="2"/>
          <w:sz w:val="32"/>
          <w:szCs w:val="32"/>
          <w:highlight w:val="none"/>
          <w:lang w:val="zh-CN" w:eastAsia="zh-CN" w:bidi="ar-SA"/>
        </w:rPr>
        <w:t>经费）</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cs="Times New Roman"/>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rPr>
        <w:t>认真贯彻落实党中央、国务院、省委、省政府关于老干部工作的方针政策和市委、市政府有关部署，负责全市老干部</w:t>
      </w:r>
      <w:r>
        <w:rPr>
          <w:rFonts w:hint="eastAsia" w:ascii="仿宋_GB2312" w:hAnsi="宋体" w:eastAsia="仿宋_GB2312" w:cs="Times New Roman"/>
          <w:color w:val="auto"/>
          <w:sz w:val="32"/>
          <w:szCs w:val="32"/>
          <w:highlight w:val="none"/>
          <w:lang w:val="zh-CN" w:eastAsia="zh-CN"/>
        </w:rPr>
        <w:t>服务管理工作，</w:t>
      </w:r>
      <w:r>
        <w:rPr>
          <w:rFonts w:hint="eastAsia" w:ascii="仿宋_GB2312" w:hAnsi="宋体" w:eastAsia="仿宋_GB2312" w:cs="Times New Roman"/>
          <w:color w:val="auto"/>
          <w:sz w:val="32"/>
          <w:szCs w:val="32"/>
          <w:highlight w:val="none"/>
          <w:lang w:val="zh-CN"/>
        </w:rPr>
        <w:t>落实离退休干部政治待遇、生活待遇，指导、协调解决离退休干部及离休干部无工作遗属特殊困难问题；组织安排重大节日慰问、座谈等工作，指导、协调做好地厅级离退休干部参观考察等。</w:t>
      </w:r>
    </w:p>
    <w:p>
      <w:pPr>
        <w:adjustRightInd w:val="0"/>
        <w:snapToGrid w:val="0"/>
        <w:spacing w:line="600" w:lineRule="exact"/>
        <w:ind w:firstLine="640" w:firstLineChars="200"/>
        <w:rPr>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中办发〔2016〕3号、川委办〔2016〕22号、广委办〔2016〕78号、广委办函〔2014〕38号。“坚持季度通报情况与就近就地参观学习相结合，完善和落实阅读文件、参加重要会议和重大活动等制度”、“市委、市政府每季度召开一次工作情况通报（座谈）会，向离退休干部集中通报（座谈）工作情况”、“根据实际情况需要，可一并组织离退休干部到相关市级部门或县区现场参观考察。”</w:t>
      </w:r>
    </w:p>
    <w:p>
      <w:pPr>
        <w:adjustRightInd w:val="0"/>
        <w:snapToGrid w:val="0"/>
        <w:spacing w:line="600" w:lineRule="exact"/>
        <w:ind w:firstLine="640" w:firstLineChars="200"/>
        <w:rPr>
          <w:rFonts w:hint="eastAsia"/>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定期组织离退休干部参观考察经济社会发展是落实离退休干部政治待遇的一项重要政策规定。市委市政府明确规定，每季度召开1次全市工作情况通报（座谈）会，每年统筹组织市级老领导和厅级离退休干部109人到县区和周边市县参观考察4次，省外参观考察1次，并征集意见建议，向市委市政府报送专题报告。</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组织厅级离退休干部到县区和周边市县参观考察4次，省外参观考察1次，充分体现市委市政府对厅级离退休干部政治上的关怀。</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pStyle w:val="34"/>
        <w:keepNext w:val="0"/>
        <w:keepLines w:val="0"/>
        <w:pageBreakBefore w:val="0"/>
        <w:kinsoku/>
        <w:wordWrap/>
        <w:overflowPunct/>
        <w:topLinePunct w:val="0"/>
        <w:autoSpaceDE/>
        <w:autoSpaceDN/>
        <w:bidi w:val="0"/>
        <w:spacing w:line="576"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我局</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制定部门绩效目标时</w:t>
      </w:r>
      <w:r>
        <w:rPr>
          <w:rFonts w:hint="eastAsia" w:ascii="方正仿宋_GBK" w:hAnsi="方正仿宋_GBK" w:eastAsia="方正仿宋_GBK" w:cs="方正仿宋_GBK"/>
          <w:sz w:val="32"/>
          <w:szCs w:val="32"/>
        </w:rPr>
        <w:t>结合工作实际，</w:t>
      </w:r>
      <w:r>
        <w:rPr>
          <w:rFonts w:hint="eastAsia" w:ascii="方正仿宋_GBK" w:hAnsi="方正仿宋_GBK" w:eastAsia="方正仿宋_GBK" w:cs="方正仿宋_GBK"/>
          <w:sz w:val="32"/>
          <w:szCs w:val="32"/>
          <w:lang w:eastAsia="zh-CN"/>
        </w:rPr>
        <w:t>确保了目标完成的</w:t>
      </w:r>
      <w:r>
        <w:rPr>
          <w:rFonts w:hint="eastAsia" w:ascii="方正仿宋_GBK" w:hAnsi="方正仿宋_GBK" w:eastAsia="方正仿宋_GBK" w:cs="方正仿宋_GBK"/>
          <w:sz w:val="32"/>
          <w:szCs w:val="32"/>
        </w:rPr>
        <w:t>科学</w:t>
      </w:r>
      <w:r>
        <w:rPr>
          <w:rFonts w:hint="eastAsia" w:ascii="方正仿宋_GBK" w:hAnsi="方正仿宋_GBK" w:eastAsia="方正仿宋_GBK" w:cs="方正仿宋_GBK"/>
          <w:sz w:val="32"/>
          <w:szCs w:val="32"/>
          <w:lang w:eastAsia="zh-CN"/>
        </w:rPr>
        <w:t>合理性和可执行性。一是要素完整。对当年经费变化和工作运行方向进行科学预测，提出单位综合年度目标。项目经费绩效目标制定上，由各业务科室（或部门）分管领导牵头，部室同志全体参与研究当年重点工作任务，提出经费预算方案和具体项目任务。二是确定相关项目指标具体或大体额度。对可量化的指标必须进行量化分析测算，不能量化的采用定性方式测算经费。三是做到集体研究科学决策。办公室（财务）综合牵头，协调各科室或单位提出经费预算和部门绩效目标方案后，提交局务会议研究</w:t>
      </w:r>
      <w:r>
        <w:rPr>
          <w:rFonts w:hint="eastAsia" w:ascii="方正仿宋_GBK" w:hAnsi="方正仿宋_GBK" w:eastAsia="方正仿宋_GBK" w:cs="方正仿宋_GBK"/>
          <w:kern w:val="0"/>
          <w:sz w:val="32"/>
          <w:szCs w:val="32"/>
        </w:rPr>
        <w:t>审定。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2"/>
        <w:numPr>
          <w:ilvl w:val="0"/>
          <w:numId w:val="0"/>
        </w:numPr>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2021年</w:t>
      </w:r>
      <w:r>
        <w:rPr>
          <w:rFonts w:hint="eastAsia" w:ascii="仿宋_GB2312" w:hAnsi="宋体" w:eastAsia="仿宋_GB2312" w:cs="Times New Roman"/>
          <w:color w:val="auto"/>
          <w:kern w:val="2"/>
          <w:sz w:val="32"/>
          <w:szCs w:val="32"/>
          <w:highlight w:val="none"/>
          <w:lang w:val="zh-CN" w:eastAsia="zh-CN" w:bidi="ar-SA"/>
        </w:rPr>
        <w:t>离退休干部</w:t>
      </w:r>
      <w:r>
        <w:rPr>
          <w:rFonts w:hint="eastAsia" w:hAnsi="宋体" w:cs="Times New Roman"/>
          <w:color w:val="auto"/>
          <w:kern w:val="2"/>
          <w:sz w:val="32"/>
          <w:szCs w:val="32"/>
          <w:highlight w:val="none"/>
          <w:lang w:val="zh-CN" w:eastAsia="zh-CN" w:bidi="ar-SA"/>
        </w:rPr>
        <w:t>调研参观考察</w:t>
      </w:r>
      <w:r>
        <w:rPr>
          <w:rFonts w:hint="eastAsia" w:ascii="仿宋_GB2312" w:hAnsi="宋体" w:eastAsia="仿宋_GB2312" w:cs="Times New Roman"/>
          <w:color w:val="auto"/>
          <w:kern w:val="2"/>
          <w:sz w:val="32"/>
          <w:szCs w:val="32"/>
          <w:highlight w:val="none"/>
          <w:lang w:val="zh-CN" w:eastAsia="zh-CN" w:bidi="ar-SA"/>
        </w:rPr>
        <w:t>经费全年预算</w:t>
      </w:r>
      <w:r>
        <w:rPr>
          <w:rFonts w:hint="eastAsia" w:hAnsi="宋体" w:cs="Times New Roman"/>
          <w:color w:val="auto"/>
          <w:kern w:val="2"/>
          <w:sz w:val="32"/>
          <w:szCs w:val="32"/>
          <w:highlight w:val="none"/>
          <w:lang w:val="en-US" w:eastAsia="zh-CN" w:bidi="ar-SA"/>
        </w:rPr>
        <w:t>22</w:t>
      </w:r>
      <w:r>
        <w:rPr>
          <w:rFonts w:hint="eastAsia" w:ascii="仿宋_GB2312" w:hAnsi="宋体" w:eastAsia="仿宋_GB2312" w:cs="Times New Roman"/>
          <w:color w:val="auto"/>
          <w:kern w:val="2"/>
          <w:sz w:val="32"/>
          <w:szCs w:val="32"/>
          <w:highlight w:val="none"/>
          <w:lang w:val="en-US" w:eastAsia="zh-CN" w:bidi="ar-SA"/>
        </w:rPr>
        <w:t>万元，</w:t>
      </w:r>
      <w:r>
        <w:rPr>
          <w:rFonts w:hint="eastAsia" w:hAnsi="宋体" w:cs="Times New Roman"/>
          <w:color w:val="auto"/>
          <w:kern w:val="2"/>
          <w:sz w:val="32"/>
          <w:szCs w:val="32"/>
          <w:highlight w:val="none"/>
          <w:lang w:val="en-US" w:eastAsia="zh-CN" w:bidi="ar-SA"/>
        </w:rPr>
        <w:t>资</w:t>
      </w:r>
      <w:r>
        <w:rPr>
          <w:rFonts w:hint="eastAsia" w:ascii="仿宋_GB2312" w:hAnsi="宋体" w:eastAsia="仿宋_GB2312" w:cs="Times New Roman"/>
          <w:color w:val="auto"/>
          <w:kern w:val="2"/>
          <w:sz w:val="32"/>
          <w:szCs w:val="32"/>
          <w:highlight w:val="none"/>
          <w:lang w:val="en-US" w:eastAsia="zh-CN" w:bidi="ar-SA"/>
        </w:rPr>
        <w:t>金及时批复到位，其</w:t>
      </w:r>
      <w:r>
        <w:rPr>
          <w:rFonts w:hint="eastAsia" w:ascii="仿宋_GB2312" w:hAnsi="宋体" w:eastAsia="仿宋_GB2312" w:cs="Times New Roman"/>
          <w:color w:val="auto"/>
          <w:kern w:val="2"/>
          <w:sz w:val="32"/>
          <w:szCs w:val="32"/>
          <w:highlight w:val="none"/>
          <w:lang w:val="zh-CN" w:eastAsia="zh-CN" w:bidi="ar-SA"/>
        </w:rPr>
        <w:t>符合资金管理办法等相关规定。</w:t>
      </w:r>
    </w:p>
    <w:p>
      <w:pPr>
        <w:keepNext w:val="0"/>
        <w:keepLines w:val="0"/>
        <w:pageBreakBefore w:val="0"/>
        <w:numPr>
          <w:ilvl w:val="-1"/>
          <w:numId w:val="0"/>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Chars="200" w:firstLine="320" w:firstLineChars="10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1．资金计划及到位。</w:t>
      </w:r>
      <w:r>
        <w:rPr>
          <w:rFonts w:hint="eastAsia" w:ascii="仿宋_GB2312" w:hAnsi="宋体" w:eastAsia="仿宋_GB2312" w:cs="Times New Roman"/>
          <w:color w:val="auto"/>
          <w:sz w:val="32"/>
          <w:szCs w:val="32"/>
          <w:highlight w:val="none"/>
          <w:lang w:val="zh-CN"/>
        </w:rPr>
        <w:t>截止2021年12月，所有计划资金全部到位，共计</w:t>
      </w:r>
      <w:r>
        <w:rPr>
          <w:rFonts w:hint="eastAsia" w:ascii="仿宋_GB2312" w:hAnsi="宋体" w:eastAsia="仿宋_GB2312" w:cs="Times New Roman"/>
          <w:color w:val="auto"/>
          <w:sz w:val="32"/>
          <w:szCs w:val="32"/>
          <w:highlight w:val="none"/>
          <w:lang w:val="en-US" w:eastAsia="zh-CN"/>
        </w:rPr>
        <w:t>22</w:t>
      </w:r>
      <w:r>
        <w:rPr>
          <w:rFonts w:hint="eastAsia" w:ascii="仿宋_GB2312" w:hAnsi="宋体" w:eastAsia="仿宋_GB2312" w:cs="Times New Roman"/>
          <w:color w:val="auto"/>
          <w:sz w:val="32"/>
          <w:szCs w:val="32"/>
          <w:highlight w:val="none"/>
          <w:lang w:val="zh-CN"/>
        </w:rPr>
        <w:t>万元。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2．资金使用。</w:t>
      </w:r>
      <w:r>
        <w:rPr>
          <w:rFonts w:hint="eastAsia" w:ascii="仿宋_GB2312" w:hAnsi="宋体" w:eastAsia="仿宋_GB2312" w:cs="Times New Roman"/>
          <w:color w:val="auto"/>
          <w:sz w:val="32"/>
          <w:szCs w:val="32"/>
          <w:highlight w:val="none"/>
          <w:lang w:val="zh-CN"/>
        </w:rPr>
        <w:t>截止2021年12月，</w:t>
      </w:r>
      <w:r>
        <w:rPr>
          <w:rFonts w:hint="eastAsia" w:ascii="仿宋_GB2312" w:hAnsi="宋体" w:eastAsia="仿宋_GB2312" w:cs="Times New Roman"/>
          <w:color w:val="auto"/>
          <w:sz w:val="32"/>
          <w:szCs w:val="32"/>
          <w:highlight w:val="none"/>
          <w:lang w:val="zh-CN" w:eastAsia="zh-CN"/>
        </w:rPr>
        <w:t>离退休干部</w:t>
      </w:r>
      <w:r>
        <w:rPr>
          <w:rFonts w:hint="eastAsia" w:hAnsi="宋体" w:cs="Times New Roman"/>
          <w:color w:val="auto"/>
          <w:kern w:val="2"/>
          <w:sz w:val="32"/>
          <w:szCs w:val="32"/>
          <w:highlight w:val="none"/>
          <w:lang w:val="zh-CN" w:eastAsia="zh-CN" w:bidi="ar-SA"/>
        </w:rPr>
        <w:t>调研参观考察</w:t>
      </w:r>
      <w:r>
        <w:rPr>
          <w:rFonts w:hint="eastAsia" w:ascii="仿宋_GB2312" w:hAnsi="宋体" w:eastAsia="仿宋_GB2312" w:cs="Times New Roman"/>
          <w:color w:val="auto"/>
          <w:sz w:val="32"/>
          <w:szCs w:val="32"/>
          <w:highlight w:val="none"/>
          <w:lang w:val="zh-CN" w:eastAsia="zh-CN"/>
        </w:rPr>
        <w:t>经费</w:t>
      </w:r>
      <w:r>
        <w:rPr>
          <w:rFonts w:hint="eastAsia" w:ascii="仿宋_GB2312" w:hAnsi="宋体" w:eastAsia="仿宋_GB2312" w:cs="Times New Roman"/>
          <w:color w:val="auto"/>
          <w:sz w:val="32"/>
          <w:szCs w:val="32"/>
          <w:highlight w:val="none"/>
          <w:lang w:val="zh-CN"/>
        </w:rPr>
        <w:t>实际支出</w:t>
      </w:r>
      <w:r>
        <w:rPr>
          <w:rFonts w:hint="eastAsia" w:ascii="仿宋_GB2312" w:hAnsi="宋体" w:eastAsia="仿宋_GB2312" w:cs="Times New Roman"/>
          <w:color w:val="auto"/>
          <w:sz w:val="32"/>
          <w:szCs w:val="32"/>
          <w:highlight w:val="none"/>
          <w:lang w:val="en-US" w:eastAsia="zh-CN"/>
        </w:rPr>
        <w:t>22</w:t>
      </w:r>
      <w:r>
        <w:rPr>
          <w:rFonts w:hint="eastAsia" w:ascii="仿宋_GB2312" w:hAnsi="宋体" w:eastAsia="仿宋_GB2312" w:cs="Times New Roman"/>
          <w:color w:val="auto"/>
          <w:sz w:val="32"/>
          <w:szCs w:val="32"/>
          <w:highlight w:val="none"/>
          <w:lang w:val="zh-CN"/>
        </w:rPr>
        <w:t>万元。支付依据合规合法，资金支付与预算相符。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我局严格按照《专项资金管理制度》和财政批复要求，在收到财政预算批复后，按项目进度支付，并主动接受财政、审计部门的监督检查。在资金使用过程中，加强专项资金使用的监督管理，确保专项资金支付依据合规合法，财务管理制度、会计核算规范，财务处理及时。</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方正仿宋_GBK" w:hAnsi="方正仿宋_GBK" w:eastAsia="方正仿宋_GBK" w:cs="方正仿宋_GBK"/>
          <w:kern w:val="0"/>
          <w:sz w:val="32"/>
          <w:szCs w:val="32"/>
        </w:rPr>
        <w:t>在</w:t>
      </w:r>
      <w:r>
        <w:rPr>
          <w:rFonts w:hint="eastAsia" w:ascii="方正仿宋_GBK" w:hAnsi="方正仿宋_GBK" w:eastAsia="方正仿宋_GBK" w:cs="方正仿宋_GBK"/>
          <w:kern w:val="0"/>
          <w:sz w:val="32"/>
          <w:szCs w:val="32"/>
          <w:lang w:eastAsia="zh-CN"/>
        </w:rPr>
        <w:t>项目实施</w:t>
      </w:r>
      <w:r>
        <w:rPr>
          <w:rFonts w:hint="eastAsia" w:ascii="方正仿宋_GBK" w:hAnsi="方正仿宋_GBK" w:eastAsia="方正仿宋_GBK" w:cs="方正仿宋_GBK"/>
          <w:kern w:val="0"/>
          <w:sz w:val="32"/>
          <w:szCs w:val="32"/>
        </w:rPr>
        <w:t>绩效管理</w:t>
      </w:r>
      <w:r>
        <w:rPr>
          <w:rFonts w:hint="eastAsia" w:ascii="方正仿宋_GBK" w:hAnsi="方正仿宋_GBK" w:eastAsia="方正仿宋_GBK" w:cs="方正仿宋_GBK"/>
          <w:kern w:val="0"/>
          <w:sz w:val="32"/>
          <w:szCs w:val="32"/>
          <w:lang w:eastAsia="zh-CN"/>
        </w:rPr>
        <w:t>工作</w:t>
      </w:r>
      <w:r>
        <w:rPr>
          <w:rFonts w:hint="eastAsia" w:ascii="方正仿宋_GBK" w:hAnsi="方正仿宋_GBK" w:eastAsia="方正仿宋_GBK" w:cs="方正仿宋_GBK"/>
          <w:kern w:val="0"/>
          <w:sz w:val="32"/>
          <w:szCs w:val="32"/>
        </w:rPr>
        <w:t>中，提高预算编制的规范化和科学性，确保部门预算真实、准确、完整</w:t>
      </w:r>
      <w:r>
        <w:rPr>
          <w:rFonts w:hint="eastAsia" w:ascii="方正仿宋_GBK" w:hAnsi="方正仿宋_GBK" w:eastAsia="方正仿宋_GBK" w:cs="方正仿宋_GBK"/>
          <w:kern w:val="0"/>
          <w:sz w:val="32"/>
          <w:szCs w:val="32"/>
          <w:lang w:eastAsia="zh-CN"/>
        </w:rPr>
        <w:t>项目实施可行</w:t>
      </w:r>
      <w:r>
        <w:rPr>
          <w:rFonts w:hint="eastAsia" w:ascii="方正仿宋_GBK" w:hAnsi="方正仿宋_GBK" w:eastAsia="方正仿宋_GBK" w:cs="方正仿宋_GBK"/>
          <w:kern w:val="0"/>
          <w:sz w:val="32"/>
          <w:szCs w:val="32"/>
        </w:rPr>
        <w:t>。严格执行财政预决算管理</w:t>
      </w:r>
      <w:r>
        <w:rPr>
          <w:rFonts w:hint="eastAsia" w:ascii="方正仿宋_GBK" w:hAnsi="方正仿宋_GBK" w:eastAsia="方正仿宋_GBK" w:cs="方正仿宋_GBK"/>
          <w:kern w:val="0"/>
          <w:sz w:val="32"/>
          <w:szCs w:val="32"/>
          <w:lang w:eastAsia="zh-CN"/>
        </w:rPr>
        <w:t>，做到让市委、市政府放心，老干部满意。</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在数量指标方面全年共组织参观调研省内</w:t>
      </w:r>
      <w:r>
        <w:rPr>
          <w:rFonts w:hint="eastAsia" w:ascii="仿宋_GB2312" w:hAnsi="宋体" w:eastAsia="仿宋_GB2312" w:cs="Times New Roman"/>
          <w:color w:val="auto"/>
          <w:sz w:val="32"/>
          <w:szCs w:val="32"/>
          <w:highlight w:val="none"/>
          <w:lang w:val="en-US" w:eastAsia="zh-CN"/>
        </w:rPr>
        <w:t>4次省外次，全覆盖。</w:t>
      </w:r>
      <w:r>
        <w:rPr>
          <w:rFonts w:hint="eastAsia" w:ascii="仿宋_GB2312" w:hAnsi="宋体" w:eastAsia="仿宋_GB2312" w:cs="Times New Roman"/>
          <w:color w:val="auto"/>
          <w:sz w:val="32"/>
          <w:szCs w:val="32"/>
          <w:highlight w:val="none"/>
          <w:lang w:val="zh-CN"/>
        </w:rPr>
        <w:t>在时效指标方面截止12月31日前已全部完成计划目标。年末无结转资金，无违规记录。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从社会效益方面组织老领导体会新发展新变化，积极建言献策，该项目具有可持续发展需要，服务老干部满意。</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textAlignment w:val="auto"/>
        <w:rPr>
          <w:rFonts w:hint="eastAsia"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（一）存在的问题。</w:t>
      </w:r>
      <w:r>
        <w:rPr>
          <w:rFonts w:hint="eastAsia" w:ascii="仿宋" w:hAnsi="仿宋" w:eastAsia="仿宋"/>
          <w:color w:val="000000"/>
          <w:sz w:val="32"/>
          <w:szCs w:val="32"/>
          <w:lang w:val="zh-CN" w:eastAsia="zh-CN"/>
        </w:rPr>
        <w:t>部门</w:t>
      </w:r>
      <w:r>
        <w:rPr>
          <w:rFonts w:hint="eastAsia" w:ascii="仿宋" w:hAnsi="仿宋" w:eastAsia="仿宋"/>
          <w:color w:val="000000"/>
          <w:sz w:val="32"/>
          <w:szCs w:val="32"/>
          <w:lang w:val="en-US" w:eastAsia="zh-CN"/>
        </w:rPr>
        <w:t>预算编制的前瞻性和准确度有待进一步提高。</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3" w:firstLineChars="200"/>
        <w:textAlignment w:val="auto"/>
        <w:rPr>
          <w:rFonts w:hint="eastAsia"/>
          <w:color w:val="auto"/>
          <w:highlight w:val="none"/>
          <w:lang w:val="zh-CN"/>
        </w:rPr>
      </w:pPr>
      <w:r>
        <w:rPr>
          <w:rFonts w:hint="eastAsia" w:ascii="楷体_GB2312" w:hAnsi="宋体" w:eastAsia="楷体_GB2312" w:cs="Times New Roman"/>
          <w:b/>
          <w:color w:val="auto"/>
          <w:sz w:val="32"/>
          <w:szCs w:val="32"/>
          <w:highlight w:val="none"/>
          <w:lang w:val="zh-CN"/>
        </w:rPr>
        <w:t>（二）相关建议。</w:t>
      </w:r>
      <w:r>
        <w:rPr>
          <w:rFonts w:hint="eastAsia" w:ascii="仿宋_GB2312" w:hAnsi="宋体" w:eastAsia="仿宋_GB2312" w:cs="Times New Roman"/>
          <w:color w:val="auto"/>
          <w:kern w:val="2"/>
          <w:sz w:val="32"/>
          <w:szCs w:val="32"/>
          <w:highlight w:val="none"/>
          <w:lang w:val="zh-CN" w:eastAsia="zh-CN" w:bidi="ar-SA"/>
        </w:rPr>
        <w:t>在项目实施过程中，加强对项目的跟踪督促，及时解决项目在推进过程中遇到的困难和问题。</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cs="Times New Roman"/>
          <w:color w:val="auto"/>
          <w:sz w:val="32"/>
          <w:szCs w:val="32"/>
          <w:highlight w:val="none"/>
        </w:rPr>
      </w:pPr>
    </w:p>
    <w:tbl>
      <w:tblPr>
        <w:tblStyle w:val="14"/>
        <w:tblW w:w="9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427"/>
        <w:gridCol w:w="2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jc w:val="center"/>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346301</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实施单位</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22</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 xml:space="preserve"> 执行数：</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righ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22</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jc w:val="center"/>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组织厅级离退休干部到县区和周边市县参观考察4次，省外参观考察1次，充分体现市委市政府对厅级离退休干部政治上的关怀。</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组织厅级离退休干部到县区和周边市县参观考察4次，省外参观考察1次，充分体现市委市政府对厅级离退休干部政治上的关怀。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预期指标值</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指标1：离退休干部参观考察</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组织到市级部门和周边市县4次,省外考察1次</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组织到市级部门和周边市县4次,省外考察1次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指标1：离退休干部参观考察</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安全出行、每季度完成1次</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安全出行、每季度完成1次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指标1：离退休干部参观考察</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组织老领导体会新发展新变化，积极建言献策</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组织老领导体会新发展新变化，积极建言献策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指标1：离退休干部参观考察</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老干部满意</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老干部满意</w:t>
            </w:r>
          </w:p>
        </w:tc>
      </w:tr>
    </w:tbl>
    <w:p>
      <w:pPr>
        <w:pStyle w:val="19"/>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p>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p>
      <w:pPr>
        <w:pStyle w:val="2"/>
        <w:keepNext w:val="0"/>
        <w:keepLines w:val="0"/>
        <w:pageBreakBefore w:val="0"/>
        <w:suppressLineNumbers w:val="0"/>
        <w:kinsoku/>
        <w:wordWrap/>
        <w:overflowPunct/>
        <w:topLinePunct w:val="0"/>
        <w:autoSpaceDE/>
        <w:autoSpaceDN/>
        <w:bidi w:val="0"/>
        <w:spacing w:beforeAutospacing="0" w:after="0" w:afterAutospacing="0" w:line="576" w:lineRule="exact"/>
        <w:ind w:left="0" w:right="0"/>
        <w:textAlignment w:val="auto"/>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suppressLineNumbers w:val="0"/>
        <w:kinsoku/>
        <w:wordWrap/>
        <w:overflowPunct/>
        <w:topLinePunct w:val="0"/>
        <w:autoSpaceDE/>
        <w:autoSpaceDN/>
        <w:bidi w:val="0"/>
        <w:spacing w:beforeAutospacing="0" w:after="0" w:afterAutospacing="0" w:line="576" w:lineRule="exact"/>
        <w:ind w:left="0" w:right="0"/>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中共广元市委老干部局</w:t>
      </w:r>
    </w:p>
    <w:p>
      <w:pPr>
        <w:keepNext w:val="0"/>
        <w:keepLines w:val="0"/>
        <w:pageBreakBefore w:val="0"/>
        <w:widowControl w:val="0"/>
        <w:suppressLineNumbers w:val="0"/>
        <w:kinsoku/>
        <w:wordWrap/>
        <w:overflowPunct/>
        <w:topLinePunct w:val="0"/>
        <w:autoSpaceDE/>
        <w:autoSpaceDN/>
        <w:bidi w:val="0"/>
        <w:spacing w:beforeAutospacing="0" w:after="0" w:afterAutospacing="0" w:line="576" w:lineRule="exact"/>
        <w:ind w:left="0" w:right="0"/>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2022年</w:t>
      </w:r>
      <w:r>
        <w:rPr>
          <w:rFonts w:hint="eastAsia" w:ascii="方正小标宋简体" w:hAnsi="方正小标宋简体" w:eastAsia="方正小标宋简体" w:cs="方正小标宋简体"/>
          <w:color w:val="auto"/>
          <w:kern w:val="2"/>
          <w:sz w:val="40"/>
          <w:szCs w:val="40"/>
          <w:highlight w:val="none"/>
          <w:lang w:val="zh-CN" w:eastAsia="zh-CN" w:bidi="ar-SA"/>
        </w:rPr>
        <w:t>专项预算项目支出绩效自评报告范本</w:t>
      </w:r>
    </w:p>
    <w:p>
      <w:pPr>
        <w:keepNext w:val="0"/>
        <w:keepLines w:val="0"/>
        <w:pageBreakBefore w:val="0"/>
        <w:widowControl w:val="0"/>
        <w:suppressLineNumbers w:val="0"/>
        <w:kinsoku/>
        <w:wordWrap/>
        <w:overflowPunct/>
        <w:topLinePunct w:val="0"/>
        <w:autoSpaceDE/>
        <w:autoSpaceDN/>
        <w:bidi w:val="0"/>
        <w:spacing w:beforeAutospacing="0" w:after="0" w:afterAutospacing="0" w:line="576" w:lineRule="exact"/>
        <w:ind w:right="0"/>
        <w:jc w:val="center"/>
        <w:textAlignment w:val="auto"/>
        <w:rPr>
          <w:rFonts w:ascii="宋体" w:hAnsi="宋体" w:eastAsia="宋体"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（离退休干部党建经费）</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黑体" w:hAnsi="宋体" w:eastAsia="黑体" w:cs="Times New Roman"/>
          <w:color w:val="auto"/>
          <w:sz w:val="32"/>
          <w:szCs w:val="32"/>
          <w:highlight w:val="none"/>
        </w:rPr>
      </w:pP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widowControl/>
        <w:suppressLineNumbers w:val="0"/>
        <w:kinsoku/>
        <w:wordWrap/>
        <w:overflowPunct/>
        <w:topLinePunct w:val="0"/>
        <w:autoSpaceDE/>
        <w:autoSpaceDN/>
        <w:bidi w:val="0"/>
        <w:spacing w:beforeAutospacing="0" w:after="0" w:afterAutospacing="0" w:line="576" w:lineRule="exact"/>
        <w:ind w:left="0" w:right="0" w:firstLine="640" w:firstLineChars="200"/>
        <w:textAlignment w:val="auto"/>
        <w:rPr>
          <w:rFonts w:hint="eastAsia" w:ascii="仿宋_GB2312" w:hAnsi="宋体" w:eastAsia="仿宋_GB2312" w:cs="Calibri"/>
          <w:color w:val="000000"/>
          <w:kern w:val="0"/>
          <w:sz w:val="44"/>
          <w:szCs w:val="44"/>
        </w:rPr>
      </w:pPr>
      <w:r>
        <w:rPr>
          <w:rFonts w:hint="eastAsia" w:ascii="仿宋_GB2312" w:hAnsi="宋体" w:eastAsia="仿宋_GB2312" w:cs="Times New Roman"/>
          <w:color w:val="auto"/>
          <w:sz w:val="32"/>
          <w:szCs w:val="32"/>
          <w:highlight w:val="none"/>
          <w:lang w:val="en-US" w:eastAsia="zh-CN"/>
        </w:rPr>
        <w:t>1.</w:t>
      </w:r>
      <w:r>
        <w:rPr>
          <w:rFonts w:hint="eastAsia" w:ascii="仿宋_GB2312" w:hAnsi="宋体" w:eastAsia="仿宋_GB2312" w:cs="Times New Roman"/>
          <w:color w:val="auto"/>
          <w:sz w:val="32"/>
          <w:szCs w:val="32"/>
          <w:highlight w:val="none"/>
          <w:lang w:val="zh-CN"/>
        </w:rPr>
        <w:t>认真贯彻落实党中央、国务院、省委、省政府关于老干部工作的方针政策和市委、市政府有关部署，负责全市老干部</w:t>
      </w:r>
      <w:r>
        <w:rPr>
          <w:rFonts w:hint="eastAsia" w:ascii="仿宋_GB2312" w:hAnsi="宋体" w:eastAsia="仿宋_GB2312" w:cs="Times New Roman"/>
          <w:color w:val="auto"/>
          <w:sz w:val="32"/>
          <w:szCs w:val="32"/>
          <w:highlight w:val="none"/>
          <w:lang w:val="zh-CN" w:eastAsia="zh-CN"/>
        </w:rPr>
        <w:t>服务管理工作，</w:t>
      </w:r>
      <w:r>
        <w:rPr>
          <w:rFonts w:hint="eastAsia" w:ascii="仿宋_GB2312" w:eastAsia="仿宋_GB2312"/>
          <w:sz w:val="32"/>
          <w:szCs w:val="32"/>
        </w:rPr>
        <w:t>指导和加强全市离退休干部活动阵地、学习阵地规范化建设。</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576" w:lineRule="exact"/>
        <w:ind w:left="0" w:right="0" w:firstLine="720" w:firstLineChars="0"/>
        <w:textAlignment w:val="auto"/>
        <w:rPr>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w:t>
      </w:r>
      <w:r>
        <w:rPr>
          <w:rFonts w:hint="eastAsia" w:ascii="仿宋_GB2312" w:eastAsia="仿宋_GB2312"/>
          <w:sz w:val="32"/>
          <w:szCs w:val="32"/>
        </w:rPr>
        <w:t xml:space="preserve">《中国共产党支部工作条例（试行）》、中办发〔2016〕3号、川委办〔2016〕22号、广委办〔2016〕78号、广委〔2017〕61号、广编发〔2018〕3号、广组发〔2018〕4号。“进一步规范和加强离退休干部党建工作机构建设，在老干部工作部门建立离退休干部党委（工委），负责指导、督促、检查离退休干部党建工作”、“落实离退休干部党组织工作经费保障机制，由财政预算保障离退休干部党建工作专项经费。” </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楷体_GB2312" w:hAnsi="宋体" w:eastAsia="楷体_GB2312" w:cs="Times New Roman"/>
          <w:b/>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加强离退休干部党支部规范化标准化建设作出重要部署，要求把离退休干部党支部建设成组织老同志、凝聚老同志、教育老同志的坚强堡垒。2021年，将进一步推进离退休干部党支部标准化建设。实现离退休干部党组织覆盖和党的工作覆盖达到“两个100%”，全面实现规范化标准化。</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指导、督促、检查全市离退休干部党支部标准化规范化建设，全面实施离退休干部党支部提升工程，着力提升支部建设质量，实现离退休干部党组织覆盖和党的工作覆盖达到“两个100%”，推进离退休干部党组织全面进步全面过硬。</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pStyle w:val="34"/>
        <w:keepNext w:val="0"/>
        <w:keepLines w:val="0"/>
        <w:pageBreakBefore w:val="0"/>
        <w:suppressLineNumbers w:val="0"/>
        <w:kinsoku/>
        <w:wordWrap/>
        <w:overflowPunct/>
        <w:topLinePunct w:val="0"/>
        <w:autoSpaceDE/>
        <w:autoSpaceDN/>
        <w:bidi w:val="0"/>
        <w:spacing w:beforeAutospacing="0" w:after="0" w:afterAutospacing="0" w:line="576" w:lineRule="exact"/>
        <w:ind w:left="0" w:right="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000000"/>
          <w:kern w:val="0"/>
          <w:sz w:val="32"/>
          <w:szCs w:val="32"/>
          <w:shd w:val="clear" w:color="auto" w:fill="FFFFFF"/>
          <w:lang w:val="en-US" w:eastAsia="zh-CN"/>
        </w:rPr>
        <w:t>我局</w:t>
      </w:r>
      <w:r>
        <w:rPr>
          <w:rFonts w:hint="eastAsia" w:ascii="方正仿宋_GBK" w:hAnsi="方正仿宋_GBK" w:eastAsia="方正仿宋_GBK" w:cs="方正仿宋_GBK"/>
          <w:sz w:val="32"/>
          <w:szCs w:val="32"/>
        </w:rPr>
        <w:t>在</w:t>
      </w:r>
      <w:r>
        <w:rPr>
          <w:rFonts w:hint="eastAsia" w:ascii="方正仿宋_GBK" w:hAnsi="方正仿宋_GBK" w:eastAsia="方正仿宋_GBK" w:cs="方正仿宋_GBK"/>
          <w:sz w:val="32"/>
          <w:szCs w:val="32"/>
          <w:lang w:eastAsia="zh-CN"/>
        </w:rPr>
        <w:t>制定部门绩效目标时</w:t>
      </w:r>
      <w:r>
        <w:rPr>
          <w:rFonts w:hint="eastAsia" w:ascii="方正仿宋_GBK" w:hAnsi="方正仿宋_GBK" w:eastAsia="方正仿宋_GBK" w:cs="方正仿宋_GBK"/>
          <w:sz w:val="32"/>
          <w:szCs w:val="32"/>
        </w:rPr>
        <w:t>结合工作实际，</w:t>
      </w:r>
      <w:r>
        <w:rPr>
          <w:rFonts w:hint="eastAsia" w:ascii="方正仿宋_GBK" w:hAnsi="方正仿宋_GBK" w:eastAsia="方正仿宋_GBK" w:cs="方正仿宋_GBK"/>
          <w:sz w:val="32"/>
          <w:szCs w:val="32"/>
          <w:lang w:eastAsia="zh-CN"/>
        </w:rPr>
        <w:t>确保了目标完成的</w:t>
      </w:r>
      <w:r>
        <w:rPr>
          <w:rFonts w:hint="eastAsia" w:ascii="方正仿宋_GBK" w:hAnsi="方正仿宋_GBK" w:eastAsia="方正仿宋_GBK" w:cs="方正仿宋_GBK"/>
          <w:sz w:val="32"/>
          <w:szCs w:val="32"/>
        </w:rPr>
        <w:t>科学</w:t>
      </w:r>
      <w:r>
        <w:rPr>
          <w:rFonts w:hint="eastAsia" w:ascii="方正仿宋_GBK" w:hAnsi="方正仿宋_GBK" w:eastAsia="方正仿宋_GBK" w:cs="方正仿宋_GBK"/>
          <w:sz w:val="32"/>
          <w:szCs w:val="32"/>
          <w:lang w:eastAsia="zh-CN"/>
        </w:rPr>
        <w:t>合理性和可执行性。一是要素完整。对当年经费变化和工作运行方向进行科学预测，提出单位综合年度目标。项目经费绩效目标制定上，由各业务科室（或部门）分管领导牵头，部室同志全体参与研究当年重点工作任务，提出经费预算方案和具体项目任务。二是确定相关项目指标具体或大体额度。对可量化的指标必须进行量化分析测算，不能量化的采用定性方式测算经费。三是做到集体研究科学决策。办公室（财务）综合牵头，协调各科室或单位提出经费预算和部门绩效目标方案后，提交局务会议研究</w:t>
      </w:r>
      <w:r>
        <w:rPr>
          <w:rFonts w:hint="eastAsia" w:ascii="方正仿宋_GBK" w:hAnsi="方正仿宋_GBK" w:eastAsia="方正仿宋_GBK" w:cs="方正仿宋_GBK"/>
          <w:kern w:val="0"/>
          <w:sz w:val="32"/>
          <w:szCs w:val="32"/>
        </w:rPr>
        <w:t>审定。</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2"/>
        <w:keepNext w:val="0"/>
        <w:keepLines w:val="0"/>
        <w:pageBreakBefore w:val="0"/>
        <w:numPr>
          <w:ilvl w:val="0"/>
          <w:numId w:val="0"/>
        </w:numPr>
        <w:suppressLineNumbers w:val="0"/>
        <w:kinsoku/>
        <w:wordWrap/>
        <w:overflowPunct/>
        <w:topLinePunct w:val="0"/>
        <w:autoSpaceDE/>
        <w:autoSpaceDN/>
        <w:bidi w:val="0"/>
        <w:spacing w:beforeAutospacing="0" w:after="0" w:afterAutospacing="0" w:line="576" w:lineRule="exact"/>
        <w:ind w:left="0" w:right="0"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2021年</w:t>
      </w:r>
      <w:r>
        <w:rPr>
          <w:rFonts w:hint="eastAsia" w:ascii="仿宋_GB2312" w:hAnsi="宋体" w:eastAsia="仿宋_GB2312" w:cs="Times New Roman"/>
          <w:color w:val="auto"/>
          <w:kern w:val="2"/>
          <w:sz w:val="32"/>
          <w:szCs w:val="32"/>
          <w:highlight w:val="none"/>
          <w:lang w:val="zh-CN" w:eastAsia="zh-CN" w:bidi="ar-SA"/>
        </w:rPr>
        <w:t>离退休干部</w:t>
      </w:r>
      <w:r>
        <w:rPr>
          <w:rFonts w:hint="eastAsia" w:hAnsi="宋体" w:cs="Times New Roman"/>
          <w:color w:val="auto"/>
          <w:kern w:val="2"/>
          <w:sz w:val="32"/>
          <w:szCs w:val="32"/>
          <w:highlight w:val="none"/>
          <w:lang w:val="zh-CN" w:eastAsia="zh-CN" w:bidi="ar-SA"/>
        </w:rPr>
        <w:t>党建</w:t>
      </w:r>
      <w:r>
        <w:rPr>
          <w:rFonts w:hint="eastAsia" w:ascii="仿宋_GB2312" w:hAnsi="宋体" w:eastAsia="仿宋_GB2312" w:cs="Times New Roman"/>
          <w:color w:val="auto"/>
          <w:kern w:val="2"/>
          <w:sz w:val="32"/>
          <w:szCs w:val="32"/>
          <w:highlight w:val="none"/>
          <w:lang w:val="zh-CN" w:eastAsia="zh-CN" w:bidi="ar-SA"/>
        </w:rPr>
        <w:t>经费全年预算</w:t>
      </w:r>
      <w:r>
        <w:rPr>
          <w:rFonts w:hint="eastAsia" w:hAnsi="宋体" w:cs="Times New Roman"/>
          <w:color w:val="auto"/>
          <w:kern w:val="2"/>
          <w:sz w:val="32"/>
          <w:szCs w:val="32"/>
          <w:highlight w:val="none"/>
          <w:lang w:val="en-US" w:eastAsia="zh-CN" w:bidi="ar-SA"/>
        </w:rPr>
        <w:t>9</w:t>
      </w:r>
      <w:r>
        <w:rPr>
          <w:rFonts w:hint="eastAsia" w:ascii="仿宋_GB2312" w:hAnsi="宋体" w:eastAsia="仿宋_GB2312" w:cs="Times New Roman"/>
          <w:color w:val="auto"/>
          <w:kern w:val="2"/>
          <w:sz w:val="32"/>
          <w:szCs w:val="32"/>
          <w:highlight w:val="none"/>
          <w:lang w:val="en-US" w:eastAsia="zh-CN" w:bidi="ar-SA"/>
        </w:rPr>
        <w:t>万元，</w:t>
      </w:r>
      <w:r>
        <w:rPr>
          <w:rFonts w:hint="eastAsia" w:hAnsi="宋体" w:cs="Times New Roman"/>
          <w:color w:val="auto"/>
          <w:kern w:val="2"/>
          <w:sz w:val="32"/>
          <w:szCs w:val="32"/>
          <w:highlight w:val="none"/>
          <w:lang w:val="en-US" w:eastAsia="zh-CN" w:bidi="ar-SA"/>
        </w:rPr>
        <w:t>资</w:t>
      </w:r>
      <w:r>
        <w:rPr>
          <w:rFonts w:hint="eastAsia" w:ascii="仿宋_GB2312" w:hAnsi="宋体" w:eastAsia="仿宋_GB2312" w:cs="Times New Roman"/>
          <w:color w:val="auto"/>
          <w:kern w:val="2"/>
          <w:sz w:val="32"/>
          <w:szCs w:val="32"/>
          <w:highlight w:val="none"/>
          <w:lang w:val="en-US" w:eastAsia="zh-CN" w:bidi="ar-SA"/>
        </w:rPr>
        <w:t>金及时批复到位，其</w:t>
      </w:r>
      <w:r>
        <w:rPr>
          <w:rFonts w:hint="eastAsia" w:ascii="仿宋_GB2312" w:hAnsi="宋体" w:eastAsia="仿宋_GB2312" w:cs="Times New Roman"/>
          <w:color w:val="auto"/>
          <w:kern w:val="2"/>
          <w:sz w:val="32"/>
          <w:szCs w:val="32"/>
          <w:highlight w:val="none"/>
          <w:lang w:val="zh-CN" w:eastAsia="zh-CN" w:bidi="ar-SA"/>
        </w:rPr>
        <w:t>符合资金管理办法等相关规定。</w:t>
      </w:r>
    </w:p>
    <w:p>
      <w:pPr>
        <w:keepNext w:val="0"/>
        <w:keepLines w:val="0"/>
        <w:pageBreakBefore w:val="0"/>
        <w:numPr>
          <w:ilvl w:val="0"/>
          <w:numId w:val="6"/>
        </w:numPr>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资金计划、到位及使用情况</w:t>
      </w:r>
    </w:p>
    <w:p>
      <w:pPr>
        <w:keepNext w:val="0"/>
        <w:keepLines w:val="0"/>
        <w:pageBreakBefore w:val="0"/>
        <w:numPr>
          <w:ilvl w:val="0"/>
          <w:numId w:val="0"/>
        </w:numPr>
        <w:suppressLineNumbers w:val="0"/>
        <w:kinsoku/>
        <w:wordWrap/>
        <w:overflowPunct/>
        <w:topLinePunct w:val="0"/>
        <w:autoSpaceDE/>
        <w:autoSpaceDN/>
        <w:bidi w:val="0"/>
        <w:adjustRightInd w:val="0"/>
        <w:snapToGrid w:val="0"/>
        <w:spacing w:beforeAutospacing="0" w:after="0" w:afterAutospacing="0" w:line="576" w:lineRule="exact"/>
        <w:ind w:right="0" w:rightChars="0" w:firstLine="640"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1．资金计划及到位。</w:t>
      </w:r>
      <w:r>
        <w:rPr>
          <w:rFonts w:hint="eastAsia" w:ascii="仿宋_GB2312" w:hAnsi="宋体" w:eastAsia="仿宋_GB2312" w:cs="Times New Roman"/>
          <w:color w:val="auto"/>
          <w:sz w:val="32"/>
          <w:szCs w:val="32"/>
          <w:highlight w:val="none"/>
          <w:lang w:val="zh-CN"/>
        </w:rPr>
        <w:t>截止2021年12月，所有计划资金全部到位，共计</w:t>
      </w:r>
      <w:r>
        <w:rPr>
          <w:rFonts w:hint="eastAsia" w:ascii="仿宋_GB2312" w:hAnsi="宋体" w:eastAsia="仿宋_GB2312" w:cs="Times New Roman"/>
          <w:color w:val="auto"/>
          <w:sz w:val="32"/>
          <w:szCs w:val="32"/>
          <w:highlight w:val="none"/>
          <w:lang w:val="en-US" w:eastAsia="zh-CN"/>
        </w:rPr>
        <w:t>9</w:t>
      </w:r>
      <w:r>
        <w:rPr>
          <w:rFonts w:hint="eastAsia" w:ascii="仿宋_GB2312" w:hAnsi="宋体" w:eastAsia="仿宋_GB2312" w:cs="Times New Roman"/>
          <w:color w:val="auto"/>
          <w:sz w:val="32"/>
          <w:szCs w:val="32"/>
          <w:highlight w:val="none"/>
          <w:lang w:val="zh-CN"/>
        </w:rPr>
        <w:t>万元。</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right="0"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2．资金使用。</w:t>
      </w:r>
      <w:r>
        <w:rPr>
          <w:rFonts w:hint="eastAsia" w:ascii="仿宋_GB2312" w:hAnsi="宋体" w:eastAsia="仿宋_GB2312" w:cs="Times New Roman"/>
          <w:color w:val="auto"/>
          <w:sz w:val="32"/>
          <w:szCs w:val="32"/>
          <w:highlight w:val="none"/>
          <w:lang w:val="zh-CN"/>
        </w:rPr>
        <w:t>截止2021年12月，</w:t>
      </w:r>
      <w:r>
        <w:rPr>
          <w:rFonts w:hint="eastAsia" w:ascii="仿宋_GB2312" w:hAnsi="宋体" w:eastAsia="仿宋_GB2312" w:cs="Times New Roman"/>
          <w:color w:val="auto"/>
          <w:sz w:val="32"/>
          <w:szCs w:val="32"/>
          <w:highlight w:val="none"/>
          <w:lang w:val="zh-CN" w:eastAsia="zh-CN"/>
        </w:rPr>
        <w:t>离退休干部党建经费</w:t>
      </w:r>
      <w:r>
        <w:rPr>
          <w:rFonts w:hint="eastAsia" w:ascii="仿宋_GB2312" w:hAnsi="宋体" w:eastAsia="仿宋_GB2312" w:cs="Times New Roman"/>
          <w:color w:val="auto"/>
          <w:sz w:val="32"/>
          <w:szCs w:val="32"/>
          <w:highlight w:val="none"/>
          <w:lang w:val="zh-CN"/>
        </w:rPr>
        <w:t>实际支出</w:t>
      </w:r>
      <w:r>
        <w:rPr>
          <w:rFonts w:hint="eastAsia" w:ascii="仿宋_GB2312" w:hAnsi="宋体" w:eastAsia="仿宋_GB2312" w:cs="Times New Roman"/>
          <w:color w:val="auto"/>
          <w:sz w:val="32"/>
          <w:szCs w:val="32"/>
          <w:highlight w:val="none"/>
          <w:lang w:val="en-US" w:eastAsia="zh-CN"/>
        </w:rPr>
        <w:t>9</w:t>
      </w:r>
      <w:r>
        <w:rPr>
          <w:rFonts w:hint="eastAsia" w:ascii="仿宋_GB2312" w:hAnsi="宋体" w:eastAsia="仿宋_GB2312" w:cs="Times New Roman"/>
          <w:color w:val="auto"/>
          <w:sz w:val="32"/>
          <w:szCs w:val="32"/>
          <w:highlight w:val="none"/>
          <w:lang w:val="zh-CN"/>
        </w:rPr>
        <w:t>万元。支付依据合规合法，资金支付与预算相符。</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我局严格按照《专项资金管理制度》和财政批复要求，在收到财政预算批复后，按项目进度支付，并主动接受财政、审计部门的监督检查。在资金使用过程中，加强专项资金使用的监督管理，确保专项资金支付依据合规合法，财务管理制度、会计核算规范，财务处理及时。</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仿宋_GB2312" w:hAnsi="宋体" w:eastAsia="仿宋_GB2312" w:cs="Times New Roman"/>
          <w:color w:val="auto"/>
          <w:sz w:val="32"/>
          <w:szCs w:val="32"/>
          <w:highlight w:val="none"/>
          <w:lang w:val="zh-CN"/>
        </w:rPr>
      </w:pPr>
      <w:r>
        <w:rPr>
          <w:rFonts w:hint="eastAsia" w:ascii="方正仿宋_GBK" w:hAnsi="方正仿宋_GBK" w:eastAsia="方正仿宋_GBK" w:cs="方正仿宋_GBK"/>
          <w:kern w:val="0"/>
          <w:sz w:val="32"/>
          <w:szCs w:val="32"/>
        </w:rPr>
        <w:t>在</w:t>
      </w:r>
      <w:r>
        <w:rPr>
          <w:rFonts w:hint="eastAsia" w:ascii="方正仿宋_GBK" w:hAnsi="方正仿宋_GBK" w:eastAsia="方正仿宋_GBK" w:cs="方正仿宋_GBK"/>
          <w:kern w:val="0"/>
          <w:sz w:val="32"/>
          <w:szCs w:val="32"/>
          <w:lang w:eastAsia="zh-CN"/>
        </w:rPr>
        <w:t>项目实施</w:t>
      </w:r>
      <w:r>
        <w:rPr>
          <w:rFonts w:hint="eastAsia" w:ascii="方正仿宋_GBK" w:hAnsi="方正仿宋_GBK" w:eastAsia="方正仿宋_GBK" w:cs="方正仿宋_GBK"/>
          <w:kern w:val="0"/>
          <w:sz w:val="32"/>
          <w:szCs w:val="32"/>
        </w:rPr>
        <w:t>绩效管理</w:t>
      </w:r>
      <w:r>
        <w:rPr>
          <w:rFonts w:hint="eastAsia" w:ascii="方正仿宋_GBK" w:hAnsi="方正仿宋_GBK" w:eastAsia="方正仿宋_GBK" w:cs="方正仿宋_GBK"/>
          <w:kern w:val="0"/>
          <w:sz w:val="32"/>
          <w:szCs w:val="32"/>
          <w:lang w:eastAsia="zh-CN"/>
        </w:rPr>
        <w:t>工作</w:t>
      </w:r>
      <w:r>
        <w:rPr>
          <w:rFonts w:hint="eastAsia" w:ascii="方正仿宋_GBK" w:hAnsi="方正仿宋_GBK" w:eastAsia="方正仿宋_GBK" w:cs="方正仿宋_GBK"/>
          <w:kern w:val="0"/>
          <w:sz w:val="32"/>
          <w:szCs w:val="32"/>
        </w:rPr>
        <w:t>中，提高预算编制的规范化和科学性，确保部门预算真实、准确、完整</w:t>
      </w:r>
      <w:r>
        <w:rPr>
          <w:rFonts w:hint="eastAsia" w:ascii="方正仿宋_GBK" w:hAnsi="方正仿宋_GBK" w:eastAsia="方正仿宋_GBK" w:cs="方正仿宋_GBK"/>
          <w:kern w:val="0"/>
          <w:sz w:val="32"/>
          <w:szCs w:val="32"/>
          <w:lang w:eastAsia="zh-CN"/>
        </w:rPr>
        <w:t>项目实施可行</w:t>
      </w:r>
      <w:r>
        <w:rPr>
          <w:rFonts w:hint="eastAsia" w:ascii="方正仿宋_GBK" w:hAnsi="方正仿宋_GBK" w:eastAsia="方正仿宋_GBK" w:cs="方正仿宋_GBK"/>
          <w:kern w:val="0"/>
          <w:sz w:val="32"/>
          <w:szCs w:val="32"/>
        </w:rPr>
        <w:t>。严格执行财政预决算管理</w:t>
      </w:r>
      <w:r>
        <w:rPr>
          <w:rFonts w:hint="eastAsia" w:ascii="方正仿宋_GBK" w:hAnsi="方正仿宋_GBK" w:eastAsia="方正仿宋_GBK" w:cs="方正仿宋_GBK"/>
          <w:kern w:val="0"/>
          <w:sz w:val="32"/>
          <w:szCs w:val="32"/>
          <w:lang w:eastAsia="zh-CN"/>
        </w:rPr>
        <w:t>，做到让市委、市政府放心，老干部满意。</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在数量指标方面全年达到</w:t>
      </w:r>
      <w:r>
        <w:rPr>
          <w:rFonts w:hint="eastAsia" w:ascii="仿宋_GB2312" w:hAnsi="宋体" w:eastAsia="仿宋_GB2312" w:cs="Times New Roman"/>
          <w:color w:val="auto"/>
          <w:sz w:val="32"/>
          <w:szCs w:val="32"/>
          <w:highlight w:val="none"/>
          <w:lang w:val="en-US" w:eastAsia="zh-CN"/>
        </w:rPr>
        <w:t>2个全覆盖。</w:t>
      </w:r>
      <w:r>
        <w:rPr>
          <w:rFonts w:hint="eastAsia" w:ascii="仿宋_GB2312" w:hAnsi="宋体" w:eastAsia="仿宋_GB2312" w:cs="Times New Roman"/>
          <w:color w:val="auto"/>
          <w:sz w:val="32"/>
          <w:szCs w:val="32"/>
          <w:highlight w:val="none"/>
          <w:lang w:val="zh-CN"/>
        </w:rPr>
        <w:t>在质量指标方面覆盖率达</w:t>
      </w:r>
      <w:r>
        <w:rPr>
          <w:rFonts w:hint="eastAsia" w:ascii="仿宋_GB2312" w:hAnsi="宋体" w:eastAsia="仿宋_GB2312" w:cs="Times New Roman"/>
          <w:color w:val="auto"/>
          <w:sz w:val="32"/>
          <w:szCs w:val="32"/>
          <w:highlight w:val="none"/>
          <w:lang w:val="en-US" w:eastAsia="zh-CN"/>
        </w:rPr>
        <w:t>100%，</w:t>
      </w:r>
      <w:r>
        <w:rPr>
          <w:rFonts w:hint="eastAsia" w:ascii="仿宋_GB2312" w:hAnsi="宋体" w:eastAsia="仿宋_GB2312" w:cs="Times New Roman"/>
          <w:color w:val="auto"/>
          <w:sz w:val="32"/>
          <w:szCs w:val="32"/>
          <w:highlight w:val="none"/>
          <w:lang w:val="zh-CN"/>
        </w:rPr>
        <w:t>在时效指标方面截止12月31日前已全部完成计划目标。年末无结转资金，无违规记录。</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从社会效益方面全面进步、全面过硬，该项目具有可持续发展需要，标准化服务满意度达100%。</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仿宋" w:hAnsi="仿宋" w:eastAsia="仿宋"/>
          <w:color w:val="000000"/>
          <w:sz w:val="32"/>
          <w:szCs w:val="32"/>
          <w:lang w:val="en-US" w:eastAsia="zh-CN"/>
        </w:rPr>
      </w:pPr>
      <w:r>
        <w:rPr>
          <w:rFonts w:hint="eastAsia" w:ascii="楷体_GB2312" w:hAnsi="宋体" w:eastAsia="楷体_GB2312" w:cs="Times New Roman"/>
          <w:b/>
          <w:color w:val="auto"/>
          <w:sz w:val="32"/>
          <w:szCs w:val="32"/>
          <w:highlight w:val="none"/>
          <w:lang w:val="zh-CN"/>
        </w:rPr>
        <w:t>（一）存在的问题。</w:t>
      </w:r>
      <w:r>
        <w:rPr>
          <w:rFonts w:hint="eastAsia" w:ascii="仿宋" w:hAnsi="仿宋" w:eastAsia="仿宋"/>
          <w:color w:val="000000"/>
          <w:sz w:val="32"/>
          <w:szCs w:val="32"/>
          <w:lang w:val="zh-CN" w:eastAsia="zh-CN"/>
        </w:rPr>
        <w:t>部门</w:t>
      </w:r>
      <w:r>
        <w:rPr>
          <w:rFonts w:hint="eastAsia" w:ascii="仿宋" w:hAnsi="仿宋" w:eastAsia="仿宋"/>
          <w:color w:val="000000"/>
          <w:sz w:val="32"/>
          <w:szCs w:val="32"/>
          <w:lang w:val="en-US" w:eastAsia="zh-CN"/>
        </w:rPr>
        <w:t>预算编制的前瞻性和准确度有待进一步提高。</w:t>
      </w:r>
    </w:p>
    <w:p>
      <w:pPr>
        <w:keepNext w:val="0"/>
        <w:keepLines w:val="0"/>
        <w:pageBreakBefore w:val="0"/>
        <w:suppressLineNumbers w:val="0"/>
        <w:kinsoku/>
        <w:wordWrap/>
        <w:overflowPunct/>
        <w:topLinePunct w:val="0"/>
        <w:autoSpaceDE/>
        <w:autoSpaceDN/>
        <w:bidi w:val="0"/>
        <w:adjustRightInd w:val="0"/>
        <w:snapToGrid w:val="0"/>
        <w:spacing w:beforeAutospacing="0" w:after="0" w:afterAutospacing="0" w:line="576" w:lineRule="exact"/>
        <w:ind w:left="0" w:right="0" w:firstLine="72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lang w:val="zh-CN"/>
        </w:rPr>
        <w:t>（二）相关建议。</w:t>
      </w:r>
      <w:r>
        <w:rPr>
          <w:rFonts w:hint="eastAsia" w:ascii="仿宋_GB2312" w:hAnsi="宋体" w:eastAsia="仿宋_GB2312" w:cs="Times New Roman"/>
          <w:color w:val="auto"/>
          <w:kern w:val="2"/>
          <w:sz w:val="32"/>
          <w:szCs w:val="32"/>
          <w:highlight w:val="none"/>
          <w:lang w:val="zh-CN" w:eastAsia="zh-CN" w:bidi="ar-SA"/>
        </w:rPr>
        <w:t>在项目实施过程中，加强对项目的跟踪督促，及时解决项目在推进过程中遇到的困难和问题。</w:t>
      </w:r>
    </w:p>
    <w:p>
      <w:pPr>
        <w:pStyle w:val="2"/>
        <w:rPr>
          <w:rFonts w:hint="eastAsia"/>
        </w:rPr>
      </w:pPr>
    </w:p>
    <w:tbl>
      <w:tblPr>
        <w:tblStyle w:val="14"/>
        <w:tblW w:w="95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427"/>
        <w:gridCol w:w="22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346301</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实施单位</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cs="宋体"/>
                <w:i w:val="0"/>
                <w:color w:val="auto"/>
                <w:sz w:val="24"/>
                <w:szCs w:val="24"/>
                <w:highlight w:val="none"/>
                <w:u w:val="none"/>
                <w:lang w:eastAsia="zh-CN"/>
              </w:rPr>
              <w:t>市委老干部局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jc w:val="center"/>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项目预算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执行情况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执行数：</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财政拨款</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cs="宋体"/>
                <w:i w:val="0"/>
                <w:color w:val="auto"/>
                <w:sz w:val="24"/>
                <w:szCs w:val="24"/>
                <w:highlight w:val="none"/>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其他资金</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年度总体目标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jc w:val="center"/>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宋体" w:hAnsi="宋体" w:eastAsia="宋体" w:cs="宋体"/>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指导、督促、检查全市离退休干部党支部标准化规范化建设，全面实施离退休干部党支部提升工程，着力提升支部建设质量，实现离退休干部党组织覆盖和党的工作覆盖达到“两个100%”，推进离退休干部党组织全面进步全面过硬。</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top"/>
              <w:rPr>
                <w:rFonts w:hint="eastAsia" w:ascii="宋体" w:hAnsi="宋体" w:eastAsia="宋体" w:cs="宋体"/>
                <w:i w:val="0"/>
                <w:color w:val="auto"/>
                <w:sz w:val="24"/>
                <w:szCs w:val="24"/>
                <w:highlight w:val="none"/>
                <w:u w:val="none"/>
              </w:rPr>
            </w:pPr>
            <w:r>
              <w:rPr>
                <w:rFonts w:hint="eastAsia" w:ascii="宋体" w:hAnsi="宋体" w:eastAsia="宋体" w:cs="宋体"/>
                <w:i w:val="0"/>
                <w:color w:val="auto"/>
                <w:sz w:val="24"/>
                <w:szCs w:val="24"/>
                <w:highlight w:val="none"/>
                <w:u w:val="none"/>
              </w:rPr>
              <w:t>指导、督促、检查全市离退休干部党支部标准化规范化建设，全面实施离退休干部党支部提升工程，着力提升支部建设质量，实现离退休干部党组织覆盖和党的工作覆盖达到“两个100%”，推进离退休干部党组织全面进步全面过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一级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二级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三级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预期指标值</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指标1：离退休干部党支部标准化建设</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两个覆盖率达到100%</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两个覆盖率达到100%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指标1：离退休干部党支部标准化建设</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全面进步、全面过硬</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全面进步、全面过硬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rPr>
                <w:rFonts w:hint="eastAsia" w:ascii="仿宋_GB2312" w:hAnsi="仿宋_GB2312" w:eastAsia="仿宋_GB2312" w:cs="仿宋_GB2312"/>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kern w:val="0"/>
                <w:sz w:val="28"/>
                <w:szCs w:val="28"/>
                <w:highlight w:val="none"/>
                <w:u w:val="none"/>
                <w:lang w:val="en-US" w:eastAsia="zh-CN"/>
              </w:rPr>
            </w:pPr>
            <w:r>
              <w:rPr>
                <w:rFonts w:hint="eastAsia" w:ascii="仿宋_GB2312" w:hAnsi="仿宋_GB2312" w:eastAsia="仿宋_GB2312" w:cs="仿宋_GB2312"/>
                <w:i w:val="0"/>
                <w:color w:val="auto"/>
                <w:kern w:val="0"/>
                <w:sz w:val="28"/>
                <w:szCs w:val="28"/>
                <w:highlight w:val="none"/>
                <w:u w:val="none"/>
                <w:lang w:val="en-US" w:eastAsia="zh-CN"/>
              </w:rPr>
              <w:t>满意度</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指标1：离退休干部党支部标准化建设</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bottom"/>
              <w:rPr>
                <w:rFonts w:hint="eastAsia" w:ascii="仿宋_GB2312" w:hAnsi="仿宋_GB2312" w:eastAsia="仿宋_GB2312" w:cs="仿宋_GB2312"/>
                <w:i w:val="0"/>
                <w:color w:val="auto"/>
                <w:sz w:val="28"/>
                <w:szCs w:val="28"/>
                <w:highlight w:val="none"/>
                <w:u w:val="none"/>
              </w:rPr>
            </w:pPr>
            <w:r>
              <w:rPr>
                <w:rFonts w:hint="eastAsia"/>
              </w:rPr>
              <w:t>标准化规范化建设达100%</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sz w:val="28"/>
                <w:szCs w:val="28"/>
                <w:highlight w:val="none"/>
                <w:u w:val="none"/>
              </w:rPr>
              <w:t>标准化规范化建设达100%</w:t>
            </w:r>
          </w:p>
        </w:tc>
      </w:tr>
    </w:tbl>
    <w:p>
      <w:pPr>
        <w:spacing w:line="600" w:lineRule="exact"/>
        <w:jc w:val="center"/>
        <w:outlineLvl w:val="0"/>
        <w:rPr>
          <w:rFonts w:hint="eastAsia" w:ascii="黑体" w:hAnsi="黑体" w:eastAsia="黑体"/>
          <w:color w:val="auto"/>
          <w:sz w:val="44"/>
          <w:szCs w:val="44"/>
          <w:highlight w:val="none"/>
        </w:rPr>
      </w:pPr>
    </w:p>
    <w:p>
      <w:pPr>
        <w:pStyle w:val="18"/>
        <w:rPr>
          <w:rFonts w:hint="eastAsia" w:ascii="黑体" w:hAnsi="黑体" w:eastAsia="黑体"/>
          <w:color w:val="auto"/>
          <w:sz w:val="44"/>
          <w:szCs w:val="44"/>
          <w:highlight w:val="none"/>
        </w:rPr>
      </w:pPr>
    </w:p>
    <w:p>
      <w:pPr>
        <w:pStyle w:val="18"/>
        <w:rPr>
          <w:rFonts w:hint="eastAsia" w:ascii="黑体" w:hAnsi="黑体" w:eastAsia="黑体"/>
          <w:color w:val="auto"/>
          <w:sz w:val="44"/>
          <w:szCs w:val="44"/>
          <w:highlight w:val="none"/>
        </w:rPr>
      </w:pPr>
    </w:p>
    <w:p>
      <w:pPr>
        <w:pStyle w:val="18"/>
        <w:rPr>
          <w:rFonts w:hint="eastAsia" w:ascii="黑体" w:hAnsi="黑体" w:eastAsia="黑体"/>
          <w:color w:val="auto"/>
          <w:sz w:val="44"/>
          <w:szCs w:val="44"/>
          <w:highlight w:val="none"/>
        </w:rPr>
      </w:pPr>
    </w:p>
    <w:p>
      <w:pPr>
        <w:pStyle w:val="18"/>
        <w:rPr>
          <w:rFonts w:hint="eastAsia" w:ascii="黑体" w:hAnsi="黑体" w:eastAsia="黑体"/>
          <w:color w:val="auto"/>
          <w:sz w:val="44"/>
          <w:szCs w:val="44"/>
          <w:highlight w:val="none"/>
        </w:rPr>
      </w:pPr>
    </w:p>
    <w:p>
      <w:pPr>
        <w:rPr>
          <w:rFonts w:hint="eastAsia" w:ascii="黑体" w:hAnsi="黑体" w:eastAsia="黑体"/>
          <w:color w:val="auto"/>
          <w:sz w:val="44"/>
          <w:szCs w:val="44"/>
          <w:highlight w:val="none"/>
        </w:rPr>
      </w:pPr>
      <w:r>
        <w:rPr>
          <w:rFonts w:hint="eastAsia" w:ascii="黑体" w:hAnsi="黑体" w:eastAsia="黑体"/>
          <w:color w:val="auto"/>
          <w:sz w:val="44"/>
          <w:szCs w:val="44"/>
          <w:highlight w:val="none"/>
        </w:rPr>
        <w:br w:type="page"/>
      </w:r>
    </w:p>
    <w:bookmarkEnd w:id="57"/>
    <w:bookmarkEnd w:id="59"/>
    <w:p>
      <w:pPr>
        <w:pageBreakBefore w:val="0"/>
        <w:widowControl w:val="0"/>
        <w:kinsoku/>
        <w:wordWrap/>
        <w:overflowPunct/>
        <w:topLinePunct w:val="0"/>
        <w:autoSpaceDE/>
        <w:autoSpaceDN/>
        <w:bidi w:val="0"/>
        <w:adjustRightInd/>
        <w:snapToGrid/>
        <w:spacing w:line="600" w:lineRule="exact"/>
        <w:jc w:val="center"/>
        <w:textAlignment w:val="auto"/>
        <w:outlineLvl w:val="0"/>
        <w:rPr>
          <w:rStyle w:val="28"/>
          <w:rFonts w:hint="eastAsia" w:ascii="黑体" w:hAnsi="黑体" w:eastAsia="黑体"/>
          <w:b w:val="0"/>
          <w:color w:val="auto"/>
          <w:highlight w:val="none"/>
        </w:rPr>
      </w:pPr>
      <w:bookmarkStart w:id="60" w:name="_Toc15396619"/>
      <w:r>
        <w:rPr>
          <w:rFonts w:hint="eastAsia" w:ascii="黑体" w:hAnsi="黑体" w:eastAsia="黑体"/>
          <w:color w:val="auto"/>
          <w:sz w:val="44"/>
          <w:szCs w:val="44"/>
          <w:highlight w:val="none"/>
        </w:rPr>
        <w:t>第</w:t>
      </w:r>
      <w:r>
        <w:rPr>
          <w:rStyle w:val="28"/>
          <w:rFonts w:hint="eastAsia" w:ascii="黑体" w:hAnsi="黑体" w:eastAsia="黑体"/>
          <w:b w:val="0"/>
          <w:color w:val="auto"/>
          <w:highlight w:val="none"/>
        </w:rPr>
        <w:t>五部分 附表</w:t>
      </w:r>
    </w:p>
    <w:p>
      <w:pPr>
        <w:pageBreakBefore w:val="0"/>
        <w:widowControl w:val="0"/>
        <w:kinsoku/>
        <w:wordWrap/>
        <w:overflowPunct/>
        <w:topLinePunct w:val="0"/>
        <w:autoSpaceDE/>
        <w:autoSpaceDN/>
        <w:bidi w:val="0"/>
        <w:adjustRightInd/>
        <w:snapToGrid/>
        <w:spacing w:line="600" w:lineRule="exact"/>
        <w:jc w:val="both"/>
        <w:textAlignment w:val="auto"/>
        <w:outlineLvl w:val="0"/>
        <w:rPr>
          <w:rStyle w:val="28"/>
          <w:rFonts w:hint="eastAsia" w:ascii="黑体" w:hAnsi="黑体" w:eastAsia="黑体"/>
          <w:b w:val="0"/>
          <w:color w:val="auto"/>
          <w:highlight w:val="none"/>
        </w:rPr>
      </w:pPr>
    </w:p>
    <w:p>
      <w:pPr>
        <w:pStyle w:val="4"/>
        <w:pageBreakBefore w:val="0"/>
        <w:widowControl w:val="0"/>
        <w:kinsoku/>
        <w:wordWrap/>
        <w:overflowPunct/>
        <w:topLinePunct w:val="0"/>
        <w:autoSpaceDE/>
        <w:autoSpaceDN/>
        <w:bidi w:val="0"/>
        <w:adjustRightInd/>
        <w:snapToGrid/>
        <w:spacing w:before="0" w:after="0" w:line="576" w:lineRule="exact"/>
        <w:jc w:val="both"/>
        <w:textAlignment w:val="auto"/>
        <w:outlineLvl w:val="0"/>
        <w:rPr>
          <w:rStyle w:val="29"/>
          <w:rFonts w:hint="eastAsia" w:ascii="仿宋_GB2312" w:hAnsi="仿宋_GB2312" w:eastAsia="仿宋_GB2312" w:cs="仿宋_GB2312"/>
          <w:b w:val="0"/>
          <w:bCs w:val="0"/>
          <w:color w:val="auto"/>
          <w:highlight w:val="none"/>
        </w:rPr>
      </w:pPr>
      <w:r>
        <w:rPr>
          <w:rStyle w:val="29"/>
          <w:rFonts w:hint="eastAsia" w:ascii="仿宋_GB2312" w:hAnsi="仿宋_GB2312" w:eastAsia="仿宋_GB2312" w:cs="仿宋_GB2312"/>
          <w:b w:val="0"/>
          <w:bCs w:val="0"/>
          <w:color w:val="auto"/>
          <w:highlight w:val="none"/>
        </w:rPr>
        <w:t>一、收入支出决算总表</w:t>
      </w:r>
      <w:bookmarkEnd w:id="60"/>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9"/>
          <w:rFonts w:hint="eastAsia" w:ascii="仿宋_GB2312" w:hAnsi="仿宋_GB2312" w:eastAsia="仿宋_GB2312" w:cs="仿宋_GB2312"/>
          <w:b w:val="0"/>
          <w:bCs w:val="0"/>
          <w:color w:val="auto"/>
          <w:highlight w:val="none"/>
        </w:rPr>
      </w:pPr>
      <w:bookmarkStart w:id="61" w:name="_Toc15396620"/>
      <w:r>
        <w:rPr>
          <w:rStyle w:val="29"/>
          <w:rFonts w:hint="eastAsia" w:ascii="仿宋_GB2312" w:hAnsi="仿宋_GB2312" w:eastAsia="仿宋_GB2312" w:cs="仿宋_GB2312"/>
          <w:b w:val="0"/>
          <w:bCs w:val="0"/>
          <w:color w:val="auto"/>
          <w:highlight w:val="none"/>
        </w:rPr>
        <w:t>二、收入决算表</w:t>
      </w:r>
      <w:bookmarkEnd w:id="61"/>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9"/>
          <w:rFonts w:hint="eastAsia" w:ascii="仿宋_GB2312" w:hAnsi="仿宋_GB2312" w:eastAsia="仿宋_GB2312" w:cs="仿宋_GB2312"/>
          <w:b w:val="0"/>
          <w:bCs w:val="0"/>
          <w:color w:val="auto"/>
          <w:highlight w:val="none"/>
        </w:rPr>
      </w:pPr>
      <w:bookmarkStart w:id="62" w:name="_Toc15396621"/>
      <w:r>
        <w:rPr>
          <w:rStyle w:val="29"/>
          <w:rFonts w:hint="eastAsia" w:ascii="仿宋_GB2312" w:hAnsi="仿宋_GB2312" w:eastAsia="仿宋_GB2312" w:cs="仿宋_GB2312"/>
          <w:b w:val="0"/>
          <w:bCs w:val="0"/>
          <w:color w:val="auto"/>
          <w:highlight w:val="none"/>
        </w:rPr>
        <w:t>三、支出决算表</w:t>
      </w:r>
      <w:bookmarkEnd w:id="62"/>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9"/>
          <w:rFonts w:hint="eastAsia" w:ascii="仿宋_GB2312" w:hAnsi="仿宋_GB2312" w:eastAsia="仿宋_GB2312" w:cs="仿宋_GB2312"/>
          <w:b w:val="0"/>
          <w:bCs w:val="0"/>
          <w:color w:val="auto"/>
          <w:highlight w:val="none"/>
        </w:rPr>
      </w:pPr>
      <w:bookmarkStart w:id="63" w:name="_Toc15396622"/>
      <w:r>
        <w:rPr>
          <w:rStyle w:val="29"/>
          <w:rFonts w:hint="eastAsia" w:ascii="仿宋_GB2312" w:hAnsi="仿宋_GB2312" w:eastAsia="仿宋_GB2312" w:cs="仿宋_GB2312"/>
          <w:b w:val="0"/>
          <w:bCs w:val="0"/>
          <w:color w:val="auto"/>
          <w:highlight w:val="none"/>
        </w:rPr>
        <w:t>四、财政拨款收入支出决算总表</w:t>
      </w:r>
      <w:bookmarkEnd w:id="63"/>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9"/>
          <w:rFonts w:hint="eastAsia" w:ascii="仿宋_GB2312" w:hAnsi="仿宋_GB2312" w:eastAsia="仿宋_GB2312" w:cs="仿宋_GB2312"/>
          <w:b w:val="0"/>
          <w:bCs w:val="0"/>
          <w:color w:val="auto"/>
          <w:highlight w:val="none"/>
        </w:rPr>
      </w:pPr>
      <w:bookmarkStart w:id="64" w:name="_Toc15396623"/>
      <w:r>
        <w:rPr>
          <w:rStyle w:val="29"/>
          <w:rFonts w:hint="eastAsia" w:ascii="仿宋_GB2312" w:hAnsi="仿宋_GB2312" w:eastAsia="仿宋_GB2312" w:cs="仿宋_GB2312"/>
          <w:b w:val="0"/>
          <w:bCs w:val="0"/>
          <w:color w:val="auto"/>
          <w:highlight w:val="none"/>
        </w:rPr>
        <w:t>五、财政拨款支出决算明细表</w:t>
      </w:r>
      <w:bookmarkEnd w:id="64"/>
      <w:bookmarkStart w:id="65" w:name="_Toc15396624"/>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9"/>
          <w:rFonts w:hint="eastAsia" w:ascii="仿宋_GB2312" w:hAnsi="仿宋_GB2312" w:eastAsia="仿宋_GB2312" w:cs="仿宋_GB2312"/>
          <w:b w:val="0"/>
          <w:bCs w:val="0"/>
          <w:color w:val="auto"/>
          <w:highlight w:val="none"/>
        </w:rPr>
      </w:pPr>
      <w:r>
        <w:rPr>
          <w:rStyle w:val="29"/>
          <w:rFonts w:hint="eastAsia" w:ascii="仿宋_GB2312" w:hAnsi="仿宋_GB2312" w:eastAsia="仿宋_GB2312" w:cs="仿宋_GB2312"/>
          <w:b w:val="0"/>
          <w:bCs w:val="0"/>
          <w:color w:val="auto"/>
          <w:highlight w:val="none"/>
        </w:rPr>
        <w:t>六、一般公共预算财政拨款支出决算表</w:t>
      </w:r>
      <w:bookmarkEnd w:id="65"/>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9"/>
          <w:rFonts w:hint="eastAsia" w:ascii="仿宋_GB2312" w:hAnsi="仿宋_GB2312" w:eastAsia="仿宋_GB2312" w:cs="仿宋_GB2312"/>
          <w:b w:val="0"/>
          <w:bCs w:val="0"/>
          <w:color w:val="auto"/>
          <w:highlight w:val="none"/>
        </w:rPr>
      </w:pPr>
      <w:bookmarkStart w:id="66" w:name="_Toc15396625"/>
      <w:r>
        <w:rPr>
          <w:rStyle w:val="29"/>
          <w:rFonts w:hint="eastAsia" w:ascii="仿宋_GB2312" w:hAnsi="仿宋_GB2312" w:eastAsia="仿宋_GB2312" w:cs="仿宋_GB2312"/>
          <w:b w:val="0"/>
          <w:bCs w:val="0"/>
          <w:color w:val="auto"/>
          <w:highlight w:val="none"/>
        </w:rPr>
        <w:t>七、一般公共预算财政拨款支出决算明细表</w:t>
      </w:r>
      <w:bookmarkEnd w:id="66"/>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9"/>
          <w:rFonts w:hint="eastAsia" w:ascii="仿宋_GB2312" w:hAnsi="仿宋_GB2312" w:eastAsia="仿宋_GB2312" w:cs="仿宋_GB2312"/>
          <w:b w:val="0"/>
          <w:bCs w:val="0"/>
          <w:color w:val="auto"/>
          <w:highlight w:val="none"/>
        </w:rPr>
      </w:pPr>
      <w:bookmarkStart w:id="67" w:name="_Toc15396626"/>
      <w:r>
        <w:rPr>
          <w:rStyle w:val="29"/>
          <w:rFonts w:hint="eastAsia" w:ascii="仿宋_GB2312" w:hAnsi="仿宋_GB2312" w:eastAsia="仿宋_GB2312" w:cs="仿宋_GB2312"/>
          <w:b w:val="0"/>
          <w:bCs w:val="0"/>
          <w:color w:val="auto"/>
          <w:highlight w:val="none"/>
        </w:rPr>
        <w:t>八、一般公共预算财政拨款基本支出决算表</w:t>
      </w:r>
      <w:bookmarkEnd w:id="67"/>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9"/>
          <w:rFonts w:hint="eastAsia" w:ascii="仿宋_GB2312" w:hAnsi="仿宋_GB2312" w:eastAsia="仿宋_GB2312" w:cs="仿宋_GB2312"/>
          <w:b w:val="0"/>
          <w:bCs w:val="0"/>
          <w:color w:val="auto"/>
          <w:highlight w:val="none"/>
        </w:rPr>
      </w:pPr>
      <w:bookmarkStart w:id="68" w:name="_Toc15396627"/>
      <w:r>
        <w:rPr>
          <w:rStyle w:val="29"/>
          <w:rFonts w:hint="eastAsia" w:ascii="仿宋_GB2312" w:hAnsi="仿宋_GB2312" w:eastAsia="仿宋_GB2312" w:cs="仿宋_GB2312"/>
          <w:b w:val="0"/>
          <w:bCs w:val="0"/>
          <w:color w:val="auto"/>
          <w:highlight w:val="none"/>
        </w:rPr>
        <w:t>九、一般公共预算财政拨款项目支出决算表</w:t>
      </w:r>
      <w:bookmarkEnd w:id="68"/>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9"/>
          <w:rFonts w:hint="eastAsia" w:ascii="仿宋_GB2312" w:hAnsi="仿宋_GB2312" w:eastAsia="仿宋_GB2312" w:cs="仿宋_GB2312"/>
          <w:b w:val="0"/>
          <w:bCs w:val="0"/>
          <w:color w:val="auto"/>
          <w:highlight w:val="none"/>
        </w:rPr>
      </w:pPr>
      <w:bookmarkStart w:id="69" w:name="_Toc15396628"/>
      <w:r>
        <w:rPr>
          <w:rStyle w:val="29"/>
          <w:rFonts w:hint="eastAsia" w:ascii="仿宋_GB2312" w:hAnsi="仿宋_GB2312" w:eastAsia="仿宋_GB2312" w:cs="仿宋_GB2312"/>
          <w:b w:val="0"/>
          <w:bCs w:val="0"/>
          <w:color w:val="auto"/>
          <w:highlight w:val="none"/>
        </w:rPr>
        <w:t>十、一般公共预算财政拨款“三公”经费支出决算表</w:t>
      </w:r>
      <w:bookmarkEnd w:id="69"/>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9"/>
          <w:rFonts w:hint="eastAsia" w:ascii="仿宋_GB2312" w:hAnsi="仿宋_GB2312" w:eastAsia="仿宋_GB2312" w:cs="仿宋_GB2312"/>
          <w:b w:val="0"/>
          <w:bCs w:val="0"/>
          <w:color w:val="auto"/>
          <w:highlight w:val="none"/>
        </w:rPr>
      </w:pPr>
      <w:bookmarkStart w:id="70" w:name="_Toc15396629"/>
      <w:r>
        <w:rPr>
          <w:rStyle w:val="29"/>
          <w:rFonts w:hint="eastAsia" w:ascii="仿宋_GB2312" w:hAnsi="仿宋_GB2312" w:eastAsia="仿宋_GB2312" w:cs="仿宋_GB2312"/>
          <w:b w:val="0"/>
          <w:bCs w:val="0"/>
          <w:color w:val="auto"/>
          <w:highlight w:val="none"/>
        </w:rPr>
        <w:t>十一、政府性基金预算财政拨款收入支出决算表</w:t>
      </w:r>
      <w:bookmarkEnd w:id="70"/>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9"/>
          <w:rFonts w:hint="eastAsia" w:ascii="仿宋_GB2312" w:hAnsi="仿宋_GB2312" w:eastAsia="仿宋_GB2312" w:cs="仿宋_GB2312"/>
          <w:b w:val="0"/>
          <w:bCs w:val="0"/>
          <w:color w:val="auto"/>
          <w:highlight w:val="none"/>
        </w:rPr>
      </w:pPr>
      <w:bookmarkStart w:id="71" w:name="_Toc15396630"/>
      <w:r>
        <w:rPr>
          <w:rStyle w:val="29"/>
          <w:rFonts w:hint="eastAsia" w:ascii="仿宋_GB2312" w:hAnsi="仿宋_GB2312" w:eastAsia="仿宋_GB2312" w:cs="仿宋_GB2312"/>
          <w:b w:val="0"/>
          <w:bCs w:val="0"/>
          <w:color w:val="auto"/>
          <w:highlight w:val="none"/>
        </w:rPr>
        <w:t>十二、政府性基金预算财政拨款“三公”经费支出决算表</w:t>
      </w:r>
      <w:bookmarkEnd w:id="71"/>
    </w:p>
    <w:p>
      <w:pPr>
        <w:pStyle w:val="4"/>
        <w:pageBreakBefore w:val="0"/>
        <w:widowControl w:val="0"/>
        <w:kinsoku/>
        <w:wordWrap/>
        <w:overflowPunct/>
        <w:topLinePunct w:val="0"/>
        <w:autoSpaceDE/>
        <w:autoSpaceDN/>
        <w:bidi w:val="0"/>
        <w:adjustRightInd/>
        <w:snapToGrid/>
        <w:spacing w:before="0" w:after="0" w:line="576" w:lineRule="exact"/>
        <w:textAlignment w:val="auto"/>
        <w:rPr>
          <w:rStyle w:val="29"/>
          <w:rFonts w:hint="eastAsia" w:ascii="仿宋_GB2312" w:hAnsi="仿宋_GB2312" w:eastAsia="仿宋_GB2312" w:cs="仿宋_GB2312"/>
          <w:b w:val="0"/>
          <w:bCs w:val="0"/>
          <w:color w:val="auto"/>
          <w:highlight w:val="none"/>
        </w:rPr>
      </w:pPr>
      <w:bookmarkStart w:id="72" w:name="_Toc15396631"/>
      <w:r>
        <w:rPr>
          <w:rStyle w:val="29"/>
          <w:rFonts w:hint="eastAsia" w:ascii="仿宋_GB2312" w:hAnsi="仿宋_GB2312" w:eastAsia="仿宋_GB2312" w:cs="仿宋_GB2312"/>
          <w:b w:val="0"/>
          <w:bCs w:val="0"/>
          <w:color w:val="auto"/>
          <w:highlight w:val="none"/>
        </w:rPr>
        <w:t>十三、国有资本经营预算</w:t>
      </w:r>
      <w:r>
        <w:rPr>
          <w:rStyle w:val="29"/>
          <w:rFonts w:hint="eastAsia" w:ascii="仿宋_GB2312" w:hAnsi="仿宋_GB2312" w:eastAsia="仿宋_GB2312" w:cs="仿宋_GB2312"/>
          <w:b w:val="0"/>
          <w:bCs w:val="0"/>
          <w:color w:val="auto"/>
          <w:highlight w:val="none"/>
          <w:lang w:eastAsia="zh-CN"/>
        </w:rPr>
        <w:t>财政拨款收入</w:t>
      </w:r>
      <w:r>
        <w:rPr>
          <w:rStyle w:val="29"/>
          <w:rFonts w:hint="eastAsia" w:ascii="仿宋_GB2312" w:hAnsi="仿宋_GB2312" w:eastAsia="仿宋_GB2312" w:cs="仿宋_GB2312"/>
          <w:b w:val="0"/>
          <w:bCs w:val="0"/>
          <w:color w:val="auto"/>
          <w:highlight w:val="none"/>
        </w:rPr>
        <w:t>支出决算表</w:t>
      </w:r>
      <w:bookmarkEnd w:id="72"/>
    </w:p>
    <w:p>
      <w:pPr>
        <w:pStyle w:val="4"/>
        <w:pageBreakBefore w:val="0"/>
        <w:widowControl w:val="0"/>
        <w:kinsoku/>
        <w:wordWrap/>
        <w:overflowPunct/>
        <w:topLinePunct w:val="0"/>
        <w:autoSpaceDE/>
        <w:autoSpaceDN/>
        <w:bidi w:val="0"/>
        <w:adjustRightInd/>
        <w:snapToGrid/>
        <w:spacing w:line="576" w:lineRule="exact"/>
        <w:textAlignment w:val="auto"/>
        <w:rPr>
          <w:rStyle w:val="29"/>
          <w:rFonts w:hint="eastAsia" w:ascii="仿宋_GB2312" w:hAnsi="仿宋_GB2312" w:eastAsia="仿宋_GB2312" w:cs="仿宋_GB2312"/>
          <w:b w:val="0"/>
          <w:bCs w:val="0"/>
          <w:color w:val="auto"/>
          <w:highlight w:val="none"/>
          <w:lang w:eastAsia="zh-CN"/>
        </w:rPr>
      </w:pPr>
      <w:r>
        <w:rPr>
          <w:rStyle w:val="29"/>
          <w:rFonts w:hint="eastAsia" w:ascii="仿宋_GB2312" w:hAnsi="仿宋_GB2312" w:eastAsia="仿宋_GB2312" w:cs="仿宋_GB2312"/>
          <w:b w:val="0"/>
          <w:bCs w:val="0"/>
          <w:color w:val="auto"/>
          <w:highlight w:val="none"/>
          <w:lang w:eastAsia="zh-CN"/>
        </w:rPr>
        <w:t>十四、国有资本经营预算财政拨款支出决算表</w:t>
      </w:r>
    </w:p>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8</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9"/>
      <w:numFmt w:val="chineseCounting"/>
      <w:suff w:val="nothing"/>
      <w:lvlText w:val="%1、"/>
      <w:lvlJc w:val="left"/>
      <w:rPr>
        <w:rFonts w:hint="eastAsia"/>
      </w:rPr>
    </w:lvl>
  </w:abstractNum>
  <w:abstractNum w:abstractNumId="2">
    <w:nsid w:val="00000002"/>
    <w:multiLevelType w:val="singleLevel"/>
    <w:tmpl w:val="00000002"/>
    <w:lvl w:ilvl="0" w:tentative="0">
      <w:start w:val="2"/>
      <w:numFmt w:val="chineseCounting"/>
      <w:suff w:val="nothing"/>
      <w:lvlText w:val="（%1）"/>
      <w:lvlJc w:val="left"/>
      <w:rPr>
        <w:rFonts w:hint="eastAsia"/>
      </w:rPr>
    </w:lvl>
  </w:abstractNum>
  <w:abstractNum w:abstractNumId="3">
    <w:nsid w:val="00000003"/>
    <w:multiLevelType w:val="multilevel"/>
    <w:tmpl w:val="00000003"/>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00000004"/>
    <w:multiLevelType w:val="singleLevel"/>
    <w:tmpl w:val="00000004"/>
    <w:lvl w:ilvl="0" w:tentative="0">
      <w:start w:val="3"/>
      <w:numFmt w:val="chineseCounting"/>
      <w:suff w:val="nothing"/>
      <w:lvlText w:val="（%1）"/>
      <w:lvlJc w:val="left"/>
      <w:rPr>
        <w:rFonts w:hint="eastAsia"/>
      </w:rPr>
    </w:lvl>
  </w:abstractNum>
  <w:abstractNum w:abstractNumId="5">
    <w:nsid w:val="00000005"/>
    <w:multiLevelType w:val="singleLevel"/>
    <w:tmpl w:val="00000005"/>
    <w:lvl w:ilvl="0" w:tentative="0">
      <w:start w:val="2"/>
      <w:numFmt w:val="chineseCounting"/>
      <w:suff w:val="nothing"/>
      <w:lvlText w:val="（%1）"/>
      <w:lvlJc w:val="left"/>
      <w:rPr>
        <w:rFonts w:hint="eastAsia"/>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YTFiNjg2ZjE3NGY5M2E0M2ZjZTNhOGUzNTJjNzcifQ=="/>
  </w:docVars>
  <w:rsids>
    <w:rsidRoot w:val="00000000"/>
    <w:rsid w:val="0EAF2BD2"/>
    <w:rsid w:val="0EB84C8D"/>
    <w:rsid w:val="20C90F32"/>
    <w:rsid w:val="321C75CA"/>
    <w:rsid w:val="3A9B66F4"/>
    <w:rsid w:val="42176292"/>
    <w:rsid w:val="4DB32852"/>
    <w:rsid w:val="595D7344"/>
    <w:rsid w:val="6131633F"/>
    <w:rsid w:val="79B7167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
    <w:pPr>
      <w:keepNext/>
      <w:keepLines/>
      <w:spacing w:before="260" w:after="260" w:line="416" w:lineRule="auto"/>
      <w:outlineLvl w:val="1"/>
    </w:pPr>
    <w:rPr>
      <w:rFonts w:ascii="Cambria" w:hAnsi="Cambria" w:eastAsia="宋体" w:cs="宋体"/>
      <w:b/>
      <w:bCs/>
      <w:sz w:val="32"/>
      <w:szCs w:val="32"/>
    </w:rPr>
  </w:style>
  <w:style w:type="paragraph" w:styleId="5">
    <w:name w:val="heading 3"/>
    <w:basedOn w:val="1"/>
    <w:next w:val="1"/>
    <w:link w:val="32"/>
    <w:qFormat/>
    <w:uiPriority w:val="9"/>
    <w:pPr>
      <w:keepNext/>
      <w:keepLines/>
      <w:spacing w:before="260" w:after="260" w:line="416" w:lineRule="auto"/>
      <w:outlineLvl w:val="2"/>
    </w:pPr>
    <w:rPr>
      <w:b/>
      <w:bCs/>
      <w:sz w:val="32"/>
      <w:szCs w:val="32"/>
    </w:rPr>
  </w:style>
  <w:style w:type="character" w:default="1" w:styleId="15">
    <w:name w:val="Default Paragraph Font"/>
    <w:qFormat/>
    <w:uiPriority w:val="1"/>
  </w:style>
  <w:style w:type="table" w:default="1" w:styleId="14">
    <w:name w:val="Normal Table"/>
    <w:qFormat/>
    <w:uiPriority w:val="99"/>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420" w:leftChars="200"/>
    </w:pPr>
  </w:style>
  <w:style w:type="paragraph" w:styleId="7">
    <w:name w:val="toc 3"/>
    <w:basedOn w:val="1"/>
    <w:next w:val="1"/>
    <w:qFormat/>
    <w:uiPriority w:val="39"/>
    <w:pPr>
      <w:tabs>
        <w:tab w:val="right" w:leader="dot" w:pos="8296"/>
      </w:tabs>
      <w:ind w:left="840" w:leftChars="400"/>
    </w:pPr>
  </w:style>
  <w:style w:type="paragraph" w:styleId="8">
    <w:name w:val="Balloon Text"/>
    <w:basedOn w:val="1"/>
    <w:link w:val="31"/>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qFormat/>
    <w:uiPriority w:val="39"/>
    <w:pPr>
      <w:tabs>
        <w:tab w:val="right" w:leader="dot" w:pos="8296"/>
      </w:tabs>
      <w:ind w:left="420" w:leftChars="200"/>
    </w:pPr>
  </w:style>
  <w:style w:type="paragraph" w:styleId="13">
    <w:name w:val="Body Text First Indent 2"/>
    <w:basedOn w:val="6"/>
    <w:qFormat/>
    <w:uiPriority w:val="0"/>
    <w:pPr>
      <w:spacing w:before="100" w:beforeAutospacing="1"/>
      <w:ind w:left="0" w:firstLine="420" w:firstLineChars="200"/>
    </w:pPr>
  </w:style>
  <w:style w:type="character" w:styleId="16">
    <w:name w:val="Strong"/>
    <w:basedOn w:val="15"/>
    <w:qFormat/>
    <w:uiPriority w:val="99"/>
    <w:rPr>
      <w:b/>
    </w:rPr>
  </w:style>
  <w:style w:type="character" w:styleId="17">
    <w:name w:val="Hyperlink"/>
    <w:basedOn w:val="15"/>
    <w:qFormat/>
    <w:uiPriority w:val="99"/>
    <w:rPr>
      <w:color w:val="0000FF"/>
      <w:u w:val="single"/>
    </w:rPr>
  </w:style>
  <w:style w:type="paragraph" w:customStyle="1" w:styleId="18">
    <w:name w:val="BodyText"/>
    <w:basedOn w:val="1"/>
    <w:qFormat/>
    <w:uiPriority w:val="0"/>
    <w:pPr>
      <w:spacing w:line="700" w:lineRule="exact"/>
    </w:pPr>
    <w:rPr>
      <w:rFonts w:eastAsia="方正小标宋简体"/>
      <w:sz w:val="36"/>
    </w:rPr>
  </w:style>
  <w:style w:type="paragraph" w:customStyle="1" w:styleId="19">
    <w:name w:val="正文首行缩进 21"/>
    <w:basedOn w:val="1"/>
    <w:next w:val="1"/>
    <w:qFormat/>
    <w:uiPriority w:val="0"/>
    <w:pPr>
      <w:spacing w:line="600" w:lineRule="atLeast"/>
      <w:ind w:firstLine="420" w:firstLineChars="200"/>
    </w:pPr>
    <w:rPr>
      <w:rFonts w:eastAsia="宋体"/>
      <w:b/>
      <w:bCs/>
      <w:sz w:val="30"/>
      <w:szCs w:val="30"/>
    </w:rPr>
  </w:style>
  <w:style w:type="character" w:customStyle="1" w:styleId="20">
    <w:name w:val="Header Char_ee416beb-87c4-45dc-b067-b13e0dae028c"/>
    <w:basedOn w:val="15"/>
    <w:qFormat/>
    <w:uiPriority w:val="99"/>
    <w:rPr>
      <w:rFonts w:ascii="Times New Roman" w:hAnsi="Times New Roman"/>
      <w:sz w:val="18"/>
      <w:szCs w:val="18"/>
    </w:rPr>
  </w:style>
  <w:style w:type="character" w:customStyle="1" w:styleId="21">
    <w:name w:val="页眉 Char"/>
    <w:link w:val="10"/>
    <w:qFormat/>
    <w:uiPriority w:val="99"/>
    <w:rPr>
      <w:sz w:val="18"/>
    </w:rPr>
  </w:style>
  <w:style w:type="character" w:customStyle="1" w:styleId="22">
    <w:name w:val="Footer Char_4a565da2-d4da-4026-999a-04541dff7652"/>
    <w:basedOn w:val="15"/>
    <w:qFormat/>
    <w:uiPriority w:val="99"/>
    <w:rPr>
      <w:rFonts w:ascii="Times New Roman" w:hAnsi="Times New Roman"/>
      <w:sz w:val="18"/>
      <w:szCs w:val="18"/>
    </w:rPr>
  </w:style>
  <w:style w:type="character" w:customStyle="1" w:styleId="23">
    <w:name w:val="页脚 Char"/>
    <w:link w:val="9"/>
    <w:qFormat/>
    <w:uiPriority w:val="99"/>
    <w:rPr>
      <w:sz w:val="18"/>
    </w:rPr>
  </w:style>
  <w:style w:type="character" w:customStyle="1" w:styleId="24">
    <w:name w:val="Body Text Char"/>
    <w:basedOn w:val="15"/>
    <w:qFormat/>
    <w:uiPriority w:val="99"/>
    <w:rPr>
      <w:rFonts w:ascii="Times New Roman" w:hAnsi="Times New Roman"/>
      <w:szCs w:val="24"/>
    </w:rPr>
  </w:style>
  <w:style w:type="character" w:customStyle="1" w:styleId="25">
    <w:name w:val="正文文本 Char"/>
    <w:link w:val="2"/>
    <w:qFormat/>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5"/>
    <w:link w:val="3"/>
    <w:qFormat/>
    <w:uiPriority w:val="9"/>
    <w:rPr>
      <w:rFonts w:ascii="Times New Roman" w:hAnsi="Times New Roman"/>
      <w:b/>
      <w:bCs/>
      <w:kern w:val="44"/>
      <w:sz w:val="44"/>
      <w:szCs w:val="44"/>
    </w:rPr>
  </w:style>
  <w:style w:type="character" w:customStyle="1" w:styleId="29">
    <w:name w:val="标题 2 Char"/>
    <w:basedOn w:val="15"/>
    <w:link w:val="4"/>
    <w:qFormat/>
    <w:uiPriority w:val="9"/>
    <w:rPr>
      <w:rFonts w:ascii="Cambria" w:hAnsi="Cambria" w:eastAsia="宋体" w:cs="宋体"/>
      <w:b/>
      <w:bCs/>
      <w:kern w:val="2"/>
      <w:sz w:val="32"/>
      <w:szCs w:val="32"/>
    </w:rPr>
  </w:style>
  <w:style w:type="paragraph" w:customStyle="1" w:styleId="30">
    <w:name w:val="TOC 标题1"/>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31">
    <w:name w:val="批注框文本 Char"/>
    <w:basedOn w:val="15"/>
    <w:link w:val="8"/>
    <w:qFormat/>
    <w:uiPriority w:val="99"/>
    <w:rPr>
      <w:rFonts w:ascii="Times New Roman" w:hAnsi="Times New Roman"/>
      <w:kern w:val="2"/>
      <w:sz w:val="18"/>
      <w:szCs w:val="18"/>
    </w:rPr>
  </w:style>
  <w:style w:type="character" w:customStyle="1" w:styleId="32">
    <w:name w:val="标题 3 Char"/>
    <w:basedOn w:val="15"/>
    <w:link w:val="5"/>
    <w:qFormat/>
    <w:uiPriority w:val="9"/>
    <w:rPr>
      <w:rFonts w:ascii="Times New Roman" w:hAnsi="Times New Roman"/>
      <w:b/>
      <w:bCs/>
      <w:kern w:val="2"/>
      <w:sz w:val="32"/>
      <w:szCs w:val="32"/>
    </w:rPr>
  </w:style>
  <w:style w:type="paragraph" w:customStyle="1" w:styleId="33">
    <w:name w:val="TOC Heading_1a971366-c12f-4fc2-92a5-df02bdf0959a"/>
    <w:basedOn w:val="3"/>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paragraph" w:customStyle="1" w:styleId="34">
    <w:name w:val="样式 行距: 固定值 28.9 磅"/>
    <w:basedOn w:val="1"/>
    <w:qFormat/>
    <w:uiPriority w:val="0"/>
    <w:pPr>
      <w:spacing w:line="578" w:lineRule="exact"/>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2020年</c:v>
                </c:pt>
                <c:pt idx="1">
                  <c:v>2021年</c:v>
                </c:pt>
              </c:strCache>
            </c:strRef>
          </c:cat>
          <c:val>
            <c:numRef>
              <c:f>Sheet1!$B$2:$B$5</c:f>
              <c:numCache>
                <c:formatCode>General</c:formatCode>
                <c:ptCount val="4"/>
                <c:pt idx="0">
                  <c:v>683.25</c:v>
                </c:pt>
                <c:pt idx="1">
                  <c:v>815.15</c:v>
                </c:pt>
              </c:numCache>
            </c:numRef>
          </c:val>
        </c:ser>
        <c:ser>
          <c:idx val="1"/>
          <c:order val="1"/>
          <c:tx>
            <c:strRef>
              <c:f>Sheet1!$C$1</c:f>
              <c:strCache>
                <c:ptCount val="1"/>
                <c:pt idx="0">
                  <c:v>系列 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2020年</c:v>
                </c:pt>
                <c:pt idx="1">
                  <c:v>2021年</c:v>
                </c:pt>
              </c:strCache>
            </c:strRef>
          </c:cat>
          <c:val>
            <c:numRef>
              <c:f>Sheet1!$C$2:$C$5</c:f>
              <c:numCache>
                <c:formatCode>General</c:formatCode>
                <c:ptCount val="4"/>
              </c:numCache>
            </c:numRef>
          </c:val>
        </c:ser>
        <c:ser>
          <c:idx val="2"/>
          <c:order val="2"/>
          <c:tx>
            <c:strRef>
              <c:f>Sheet1!$D$1</c:f>
              <c:strCache>
                <c:ptCount val="1"/>
                <c:pt idx="0">
                  <c:v>列1</c:v>
                </c:pt>
              </c:strCache>
            </c:strRef>
          </c:tx>
          <c:invertIfNegative val="0"/>
          <c:dLbls>
            <c:delete val="1"/>
          </c:dLbls>
          <c:cat>
            <c:strRef>
              <c:f>Sheet1!$A$2:$A$5</c:f>
              <c:strCache>
                <c:ptCount val="2"/>
                <c:pt idx="0">
                  <c:v>2020年</c:v>
                </c:pt>
                <c:pt idx="1">
                  <c:v>2021年</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69263360"/>
        <c:axId val="69265280"/>
      </c:barChart>
      <c:catAx>
        <c:axId val="692633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9265280"/>
        <c:crosses val="autoZero"/>
        <c:auto val="1"/>
        <c:lblAlgn val="ctr"/>
        <c:lblOffset val="100"/>
        <c:noMultiLvlLbl val="0"/>
      </c:catAx>
      <c:valAx>
        <c:axId val="692652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9263360"/>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359533333333333"/>
          <c:y val="0.371867924528302"/>
          <c:w val="0.295219047619048"/>
          <c:h val="0.389911949685535"/>
        </c:manualLayout>
      </c:layout>
      <c:pieChart>
        <c:varyColors val="1"/>
        <c:ser>
          <c:idx val="0"/>
          <c:order val="0"/>
          <c:tx>
            <c:strRef>
              <c:f>Sheet1!$B$1</c:f>
              <c:strCache>
                <c:ptCount val="1"/>
                <c:pt idx="0">
                  <c:v>一般公共预算财政拨款收入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2"/>
                <c:pt idx="0">
                  <c:v>财政拨款收入</c:v>
                </c:pt>
                <c:pt idx="1">
                  <c:v>其它收入</c:v>
                </c:pt>
              </c:strCache>
            </c:strRef>
          </c:cat>
          <c:val>
            <c:numRef>
              <c:f>Sheet1!$B$2:$B$4</c:f>
              <c:numCache>
                <c:formatCode>General</c:formatCode>
                <c:ptCount val="3"/>
                <c:pt idx="0">
                  <c:v>803.14</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explosion val="0"/>
          <c:dPt>
            <c:idx val="0"/>
            <c:bubble3D val="0"/>
          </c:dPt>
          <c:dPt>
            <c:idx val="1"/>
            <c:bubble3D val="0"/>
          </c:dPt>
          <c:dPt>
            <c:idx val="2"/>
            <c:bubble3D val="0"/>
          </c:dPt>
          <c:dPt>
            <c:idx val="3"/>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69</a:t>
                    </a:r>
                    <a:r>
                      <a:t>%</a:t>
                    </a:r>
                  </a:p>
                </c:rich>
              </c:tx>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rPr lang="en-US" altLang="zh-CN"/>
                      <a:t>31</a:t>
                    </a:r>
                    <a:r>
                      <a:t>%</a:t>
                    </a:r>
                  </a:p>
                </c:rich>
              </c:tx>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2"/>
                <c:pt idx="0">
                  <c:v>基本支出</c:v>
                </c:pt>
                <c:pt idx="1">
                  <c:v>项目支出</c:v>
                </c:pt>
              </c:strCache>
            </c:strRef>
          </c:cat>
          <c:val>
            <c:numRef>
              <c:f>Sheet1!$B$2:$B$5</c:f>
              <c:numCache>
                <c:formatCode>0.00%</c:formatCode>
                <c:ptCount val="4"/>
                <c:pt idx="0">
                  <c:v>0.69</c:v>
                </c:pt>
                <c:pt idx="1">
                  <c:v>0.31</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02620437554866"/>
          <c:y val="0.0251909997318447"/>
          <c:w val="0.800625295062293"/>
          <c:h val="0.858087321128203"/>
        </c:manualLayout>
      </c:layout>
      <c:barChart>
        <c:barDir val="col"/>
        <c:grouping val="clustered"/>
        <c:varyColors val="0"/>
        <c:ser>
          <c:idx val="0"/>
          <c:order val="0"/>
          <c:tx>
            <c:strRef>
              <c:f>Sheet1!$B$1</c:f>
              <c:strCache>
                <c:ptCount val="1"/>
                <c:pt idx="0">
                  <c:v>系列 1</c:v>
                </c:pt>
              </c:strCache>
            </c:strRef>
          </c:tx>
          <c:invertIfNegative val="0"/>
          <c:dLbls>
            <c:delete val="1"/>
          </c:dLbls>
          <c:cat>
            <c:strRef>
              <c:f>Sheet1!$A$2:$A$5</c:f>
              <c:strCache>
                <c:ptCount val="2"/>
                <c:pt idx="0">
                  <c:v>2020年</c:v>
                </c:pt>
                <c:pt idx="1">
                  <c:v>2021年</c:v>
                </c:pt>
              </c:strCache>
            </c:strRef>
          </c:cat>
          <c:val>
            <c:numRef>
              <c:f>Sheet1!$B$2:$B$5</c:f>
              <c:numCache>
                <c:formatCode>General</c:formatCode>
                <c:ptCount val="4"/>
                <c:pt idx="0">
                  <c:v>682.96</c:v>
                </c:pt>
                <c:pt idx="1">
                  <c:v>815.15</c:v>
                </c:pt>
              </c:numCache>
            </c:numRef>
          </c:val>
        </c:ser>
        <c:ser>
          <c:idx val="1"/>
          <c:order val="1"/>
          <c:tx>
            <c:strRef>
              <c:f>Sheet1!$C$1</c:f>
              <c:strCache>
                <c:ptCount val="1"/>
                <c:pt idx="0">
                  <c:v>系列 2</c:v>
                </c:pt>
              </c:strCache>
            </c:strRef>
          </c:tx>
          <c:invertIfNegative val="0"/>
          <c:dLbls>
            <c:delete val="1"/>
          </c:dLbls>
          <c:cat>
            <c:strRef>
              <c:f>Sheet1!$A$2:$A$5</c:f>
              <c:strCache>
                <c:ptCount val="2"/>
                <c:pt idx="0">
                  <c:v>2020年</c:v>
                </c:pt>
                <c:pt idx="1">
                  <c:v>2021年</c:v>
                </c:pt>
              </c:strCache>
            </c:strRef>
          </c:cat>
          <c:val>
            <c:numRef>
              <c:f>Sheet1!$C$2:$C$5</c:f>
              <c:numCache>
                <c:formatCode>General</c:formatCode>
                <c:ptCount val="4"/>
              </c:numCache>
            </c:numRef>
          </c:val>
        </c:ser>
        <c:ser>
          <c:idx val="2"/>
          <c:order val="2"/>
          <c:tx>
            <c:strRef>
              <c:f>Sheet1!$D$1</c:f>
              <c:strCache>
                <c:ptCount val="1"/>
                <c:pt idx="0">
                  <c:v>系列 3</c:v>
                </c:pt>
              </c:strCache>
            </c:strRef>
          </c:tx>
          <c:invertIfNegative val="0"/>
          <c:dLbls>
            <c:delete val="1"/>
          </c:dLbls>
          <c:cat>
            <c:strRef>
              <c:f>Sheet1!$A$2:$A$5</c:f>
              <c:strCache>
                <c:ptCount val="2"/>
                <c:pt idx="0">
                  <c:v>2020年</c:v>
                </c:pt>
                <c:pt idx="1">
                  <c:v>2021年</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27652224"/>
        <c:axId val="127714816"/>
      </c:barChart>
      <c:catAx>
        <c:axId val="1276522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7714816"/>
        <c:crosses val="autoZero"/>
        <c:auto val="1"/>
        <c:lblAlgn val="ctr"/>
        <c:lblOffset val="100"/>
        <c:noMultiLvlLbl val="0"/>
      </c:catAx>
      <c:valAx>
        <c:axId val="1277148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765222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980127484065"/>
          <c:y val="0.139665672858853"/>
          <c:w val="0.778638920134984"/>
          <c:h val="0.712761511607166"/>
        </c:manualLayout>
      </c:layout>
      <c:barChart>
        <c:barDir val="col"/>
        <c:grouping val="clustered"/>
        <c:varyColors val="0"/>
        <c:ser>
          <c:idx val="0"/>
          <c:order val="0"/>
          <c:tx>
            <c:strRef>
              <c:f>Sheet1!$B$1</c:f>
              <c:strCache>
                <c:ptCount val="1"/>
                <c:pt idx="0">
                  <c:v>系列 1</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2"/>
                <c:pt idx="0">
                  <c:v>2020年</c:v>
                </c:pt>
                <c:pt idx="1">
                  <c:v>2021年</c:v>
                </c:pt>
              </c:strCache>
            </c:strRef>
          </c:cat>
          <c:val>
            <c:numRef>
              <c:f>Sheet1!$B$2:$B$5</c:f>
              <c:numCache>
                <c:formatCode>General</c:formatCode>
                <c:ptCount val="4"/>
                <c:pt idx="0">
                  <c:v>682.96</c:v>
                </c:pt>
                <c:pt idx="1">
                  <c:v>815.13</c:v>
                </c:pt>
              </c:numCache>
            </c:numRef>
          </c:val>
        </c:ser>
        <c:ser>
          <c:idx val="1"/>
          <c:order val="1"/>
          <c:tx>
            <c:strRef>
              <c:f>Sheet1!$C$1</c:f>
              <c:strCache>
                <c:ptCount val="1"/>
                <c:pt idx="0">
                  <c:v>列2</c:v>
                </c:pt>
              </c:strCache>
            </c:strRef>
          </c:tx>
          <c:invertIfNegative val="0"/>
          <c:dLbls>
            <c:delete val="1"/>
          </c:dLbls>
          <c:cat>
            <c:strRef>
              <c:f>Sheet1!$A$2:$A$5</c:f>
              <c:strCache>
                <c:ptCount val="2"/>
                <c:pt idx="0">
                  <c:v>2020年</c:v>
                </c:pt>
                <c:pt idx="1">
                  <c:v>2021年</c:v>
                </c:pt>
              </c:strCache>
            </c:strRef>
          </c:cat>
          <c:val>
            <c:numRef>
              <c:f>Sheet1!$C$2:$C$5</c:f>
              <c:numCache>
                <c:formatCode>General</c:formatCode>
                <c:ptCount val="4"/>
              </c:numCache>
            </c:numRef>
          </c:val>
        </c:ser>
        <c:ser>
          <c:idx val="2"/>
          <c:order val="2"/>
          <c:tx>
            <c:strRef>
              <c:f>Sheet1!$D$1</c:f>
              <c:strCache>
                <c:ptCount val="1"/>
                <c:pt idx="0">
                  <c:v>列1</c:v>
                </c:pt>
              </c:strCache>
            </c:strRef>
          </c:tx>
          <c:invertIfNegative val="0"/>
          <c:dLbls>
            <c:delete val="1"/>
          </c:dLbls>
          <c:cat>
            <c:strRef>
              <c:f>Sheet1!$A$2:$A$5</c:f>
              <c:strCache>
                <c:ptCount val="2"/>
                <c:pt idx="0">
                  <c:v>2020年</c:v>
                </c:pt>
                <c:pt idx="1">
                  <c:v>2021年</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31102976"/>
        <c:axId val="131178880"/>
      </c:barChart>
      <c:catAx>
        <c:axId val="131102976"/>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1178880"/>
        <c:crosses val="autoZero"/>
        <c:auto val="1"/>
        <c:lblAlgn val="ctr"/>
        <c:lblOffset val="100"/>
        <c:noMultiLvlLbl val="0"/>
      </c:catAx>
      <c:valAx>
        <c:axId val="131178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1102976"/>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一般公共预算财政拨款收入</c:v>
                </c:pt>
              </c:strCache>
            </c:strRef>
          </c:tx>
          <c:explosion val="0"/>
          <c:dPt>
            <c:idx val="0"/>
            <c:bubble3D val="0"/>
          </c:dPt>
          <c:dPt>
            <c:idx val="1"/>
            <c:bubble3D val="0"/>
          </c:dPt>
          <c:dPt>
            <c:idx val="2"/>
            <c:bubble3D val="0"/>
          </c:dPt>
          <c:dPt>
            <c:idx val="3"/>
            <c:bubble3D val="0"/>
          </c:dPt>
          <c:dLbls>
            <c:dLbl>
              <c:idx val="1"/>
              <c:layout>
                <c:manualLayout>
                  <c:x val="-0.147282339707537"/>
                  <c:y val="0.1108952517298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6809148856393"/>
                  <c:y val="-0.017432593653066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numRef>
              <c:f>Sheet1!$A$2:$A$5</c:f>
              <c:numCache>
                <c:formatCode>General</c:formatCode>
                <c:ptCount val="4"/>
                <c:pt idx="0">
                  <c:v>1</c:v>
                </c:pt>
                <c:pt idx="1">
                  <c:v>2</c:v>
                </c:pt>
                <c:pt idx="2">
                  <c:v>3</c:v>
                </c:pt>
              </c:numCache>
            </c:numRef>
          </c:cat>
          <c:val>
            <c:numRef>
              <c:f>Sheet1!$B$2:$B$5</c:f>
              <c:numCache>
                <c:formatCode>0.00%</c:formatCode>
                <c:ptCount val="4"/>
                <c:pt idx="0">
                  <c:v>0.9476</c:v>
                </c:pt>
                <c:pt idx="1">
                  <c:v>0.0186</c:v>
                </c:pt>
                <c:pt idx="2">
                  <c:v>0.0338</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公务用车</c:v>
                </c:pt>
                <c:pt idx="1">
                  <c:v>公务接待</c:v>
                </c:pt>
                <c:pt idx="2">
                  <c:v> </c:v>
                </c:pt>
                <c:pt idx="3">
                  <c:v> </c:v>
                </c:pt>
              </c:strCache>
            </c:strRef>
          </c:cat>
          <c:val>
            <c:numRef>
              <c:f>Sheet1!$B$2:$B$5</c:f>
              <c:numCache>
                <c:formatCode>General</c:formatCode>
                <c:ptCount val="4"/>
                <c:pt idx="0">
                  <c:v>30.19</c:v>
                </c:pt>
                <c:pt idx="1">
                  <c:v>0.97</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49</Pages>
  <Words>18064</Words>
  <Characters>20155</Characters>
  <Paragraphs>794</Paragraphs>
  <TotalTime>89</TotalTime>
  <ScaleCrop>false</ScaleCrop>
  <LinksUpToDate>false</LinksUpToDate>
  <CharactersWithSpaces>20220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和风细雨</cp:lastModifiedBy>
  <cp:lastPrinted>2022-08-09T09:11:00Z</cp:lastPrinted>
  <dcterms:modified xsi:type="dcterms:W3CDTF">2022-09-28T00:58:29Z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71EE4C5B63CC42F888BCD11980679D2B</vt:lpwstr>
  </property>
</Properties>
</file>