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72"/>
          <w:szCs w:val="72"/>
        </w:rPr>
      </w:pPr>
      <w:bookmarkStart w:id="0" w:name="_Toc15306267"/>
    </w:p>
    <w:p>
      <w:pPr>
        <w:spacing w:line="600" w:lineRule="exact"/>
        <w:jc w:val="center"/>
        <w:outlineLvl w:val="0"/>
        <w:rPr>
          <w:rFonts w:ascii="方正小标宋简体" w:eastAsia="方正小标宋简体"/>
          <w:sz w:val="72"/>
          <w:szCs w:val="72"/>
        </w:rPr>
      </w:pPr>
    </w:p>
    <w:p>
      <w:pPr>
        <w:spacing w:line="600" w:lineRule="exact"/>
        <w:jc w:val="both"/>
        <w:outlineLvl w:val="0"/>
        <w:rPr>
          <w:rFonts w:ascii="方正小标宋简体" w:eastAsia="方正小标宋简体"/>
          <w:sz w:val="72"/>
          <w:szCs w:val="72"/>
        </w:rPr>
      </w:pPr>
    </w:p>
    <w:p>
      <w:pPr>
        <w:adjustRightInd w:val="0"/>
        <w:snapToGrid w:val="0"/>
        <w:spacing w:line="360" w:lineRule="auto"/>
        <w:jc w:val="center"/>
        <w:outlineLvl w:val="0"/>
        <w:rPr>
          <w:rFonts w:ascii="方正小标宋简体" w:eastAsia="方正小标宋简体" w:cs="方正小标宋简体"/>
          <w:sz w:val="72"/>
          <w:szCs w:val="72"/>
        </w:rPr>
      </w:pPr>
      <w:bookmarkStart w:id="1" w:name="_Toc15396597"/>
      <w:bookmarkStart w:id="2" w:name="_Toc15396475"/>
      <w:bookmarkStart w:id="3" w:name="_Toc15378441"/>
      <w:bookmarkStart w:id="4" w:name="_Toc15377193"/>
      <w:bookmarkStart w:id="5" w:name="_Toc15377425"/>
      <w:r>
        <w:rPr>
          <w:rFonts w:hint="eastAsia" w:asci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hint="eastAsia" w:ascii="方正小标宋简体" w:eastAsia="方正小标宋简体" w:cs="方正小标宋简体"/>
          <w:sz w:val="72"/>
          <w:szCs w:val="72"/>
        </w:rPr>
      </w:pPr>
      <w:bookmarkStart w:id="6" w:name="_Toc15396598"/>
      <w:bookmarkStart w:id="7" w:name="_Toc15377194"/>
      <w:bookmarkStart w:id="8" w:name="_Toc15396476"/>
      <w:bookmarkStart w:id="9" w:name="_Toc15377426"/>
      <w:bookmarkStart w:id="10" w:name="_Toc15378442"/>
      <w:r>
        <w:rPr>
          <w:rFonts w:hint="eastAsia" w:ascii="方正小标宋简体" w:eastAsia="方正小标宋简体" w:cs="方正小标宋简体"/>
          <w:sz w:val="72"/>
          <w:szCs w:val="72"/>
        </w:rPr>
        <w:t>广元市</w:t>
      </w:r>
      <w:bookmarkEnd w:id="0"/>
      <w:bookmarkStart w:id="11" w:name="_Toc15306268"/>
      <w:r>
        <w:rPr>
          <w:rFonts w:hint="eastAsia" w:ascii="方正小标宋简体" w:eastAsia="方正小标宋简体" w:cs="方正小标宋简体"/>
          <w:sz w:val="72"/>
          <w:szCs w:val="72"/>
        </w:rPr>
        <w:t>退役军人事务局</w:t>
      </w:r>
    </w:p>
    <w:p>
      <w:pPr>
        <w:adjustRightInd w:val="0"/>
        <w:snapToGrid w:val="0"/>
        <w:spacing w:line="360" w:lineRule="auto"/>
        <w:jc w:val="center"/>
        <w:outlineLvl w:val="0"/>
        <w:rPr>
          <w:rFonts w:ascii="方正小标宋简体" w:eastAsia="方正小标宋简体" w:cs="方正小标宋简体"/>
          <w:sz w:val="72"/>
          <w:szCs w:val="72"/>
        </w:rPr>
      </w:pPr>
      <w:r>
        <w:rPr>
          <w:rFonts w:hint="eastAsia" w:asci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hint="eastAsia" w:ascii="黑体" w:eastAsia="黑体"/>
          <w:sz w:val="48"/>
          <w:szCs w:val="48"/>
        </w:rPr>
        <w:sectPr>
          <w:pgSz w:w="11906" w:h="16838"/>
          <w:pgMar w:top="2098" w:right="1474" w:bottom="1984" w:left="1587" w:header="851" w:footer="1134" w:gutter="0"/>
          <w:pgNumType w:fmt="numberInDash" w:start="39"/>
          <w:cols w:space="720" w:num="1"/>
          <w:rtlGutter w:val="1"/>
          <w:docGrid w:type="linesAndChars" w:linePitch="318" w:charSpace="0"/>
        </w:sectPr>
      </w:pPr>
    </w:p>
    <w:p>
      <w:pPr>
        <w:widowControl/>
        <w:jc w:val="center"/>
        <w:rPr>
          <w:rFonts w:ascii="黑体" w:eastAsia="黑体"/>
          <w:sz w:val="44"/>
          <w:szCs w:val="44"/>
        </w:rPr>
      </w:pPr>
      <w:r>
        <w:rPr>
          <w:rFonts w:hint="eastAsia" w:ascii="黑体" w:eastAsia="黑体"/>
          <w:sz w:val="44"/>
          <w:szCs w:val="44"/>
        </w:rPr>
        <w:t>目</w:t>
      </w:r>
      <w:r>
        <w:rPr>
          <w:rFonts w:hint="eastAsia" w:ascii="黑体" w:eastAsia="黑体"/>
          <w:sz w:val="44"/>
          <w:szCs w:val="44"/>
          <w:lang w:val="en-US" w:eastAsia="zh-CN"/>
        </w:rPr>
        <w:t xml:space="preserve">  </w:t>
      </w:r>
      <w:r>
        <w:rPr>
          <w:rFonts w:hint="eastAsia" w:ascii="黑体" w:eastAsia="黑体"/>
          <w:sz w:val="44"/>
          <w:szCs w:val="44"/>
        </w:rPr>
        <w:t>录</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黑体" w:eastAsia="黑体" w:cs="Arial"/>
          <w:sz w:val="28"/>
          <w:szCs w:val="28"/>
        </w:rPr>
      </w:pPr>
    </w:p>
    <w:p>
      <w:pPr>
        <w:pStyle w:val="10"/>
        <w:rPr>
          <w:rFonts w:hint="eastAsia" w:ascii="楷体_GB2312" w:eastAsia="楷体_GB2312" w:cs="楷体_GB2312"/>
        </w:rPr>
      </w:pPr>
      <w:r>
        <w:rPr>
          <w:rFonts w:hint="eastAsia" w:ascii="楷体_GB2312" w:eastAsia="楷体_GB2312" w:cs="楷体_GB2312"/>
        </w:rPr>
        <w:t>公开时间：2022年10月</w:t>
      </w:r>
      <w:r>
        <w:rPr>
          <w:rFonts w:hint="eastAsia" w:ascii="楷体_GB2312" w:eastAsia="楷体_GB2312" w:cs="楷体_GB2312"/>
          <w:lang w:val="en-US" w:eastAsia="zh-CN"/>
        </w:rPr>
        <w:t>14</w:t>
      </w:r>
      <w:r>
        <w:rPr>
          <w:rFonts w:hint="eastAsia" w:ascii="楷体_GB2312" w:eastAsia="楷体_GB2312" w:cs="楷体_GB2312"/>
        </w:rPr>
        <w:t>日</w:t>
      </w:r>
    </w:p>
    <w:p/>
    <w:p>
      <w:pPr>
        <w:pStyle w:val="1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黑体" w:eastAsia="黑体" w:cs="黑体"/>
          <w:sz w:val="32"/>
          <w:szCs w:val="32"/>
          <w:lang w:val="en-US" w:eastAsia="zh-CN"/>
        </w:rPr>
      </w:pPr>
      <w:r>
        <w:rPr>
          <w:rFonts w:hint="eastAsia" w:ascii="黑体" w:eastAsia="黑体" w:cs="黑体"/>
          <w:sz w:val="32"/>
          <w:szCs w:val="32"/>
        </w:rPr>
        <w:t>第一部分 单位概况</w:t>
      </w:r>
      <w:r>
        <w:rPr>
          <w:rFonts w:hint="eastAsia" w:ascii="黑体" w:eastAsia="黑体" w:cs="黑体"/>
          <w:sz w:val="32"/>
          <w:szCs w:val="32"/>
          <w:lang w:val="en-US" w:eastAsia="zh-CN"/>
        </w:rPr>
        <w:t>.....................................1</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一、职能简介</w:t>
      </w:r>
      <w:r>
        <w:rPr>
          <w:rFonts w:hint="eastAsia" w:ascii="仿宋_GB2312" w:eastAsia="仿宋_GB2312" w:cs="仿宋_GB2312"/>
          <w:sz w:val="32"/>
          <w:szCs w:val="32"/>
          <w:lang w:val="en-US" w:eastAsia="zh-CN"/>
        </w:rPr>
        <w:t>........................................1</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二、2021年重点工作完成情况</w:t>
      </w:r>
      <w:r>
        <w:rPr>
          <w:rFonts w:hint="eastAsia" w:ascii="仿宋_GB2312" w:eastAsia="仿宋_GB2312" w:cs="仿宋_GB2312"/>
          <w:sz w:val="32"/>
          <w:szCs w:val="32"/>
          <w:lang w:val="en-US" w:eastAsia="zh-CN"/>
        </w:rPr>
        <w:t>..........................1</w:t>
      </w:r>
    </w:p>
    <w:p>
      <w:pPr>
        <w:pStyle w:val="1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黑体" w:eastAsia="黑体" w:cs="黑体"/>
          <w:sz w:val="32"/>
          <w:szCs w:val="32"/>
          <w:lang w:val="en-US" w:eastAsia="zh-CN"/>
        </w:rPr>
      </w:pPr>
      <w:r>
        <w:rPr>
          <w:rFonts w:hint="eastAsia" w:ascii="黑体" w:eastAsia="黑体" w:cs="黑体"/>
          <w:sz w:val="32"/>
          <w:szCs w:val="32"/>
        </w:rPr>
        <w:t>第二部分 2021年度单位决算情况说明</w:t>
      </w:r>
      <w:r>
        <w:rPr>
          <w:rFonts w:hint="eastAsia" w:ascii="黑体" w:eastAsia="黑体" w:cs="黑体"/>
          <w:sz w:val="32"/>
          <w:szCs w:val="32"/>
          <w:lang w:val="en-US" w:eastAsia="zh-CN"/>
        </w:rPr>
        <w:t>.....................3</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一、收入支出决算总体情况说明</w:t>
      </w:r>
      <w:r>
        <w:rPr>
          <w:rFonts w:hint="eastAsia" w:ascii="仿宋_GB2312" w:eastAsia="仿宋_GB2312" w:cs="仿宋_GB2312"/>
          <w:sz w:val="32"/>
          <w:szCs w:val="32"/>
          <w:lang w:val="en-US" w:eastAsia="zh-CN"/>
        </w:rPr>
        <w:t>........................3</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二、收入决算情况说明</w:t>
      </w:r>
      <w:r>
        <w:rPr>
          <w:rFonts w:hint="eastAsia" w:ascii="仿宋_GB2312" w:eastAsia="仿宋_GB2312" w:cs="仿宋_GB2312"/>
          <w:sz w:val="32"/>
          <w:szCs w:val="32"/>
          <w:lang w:val="en-US" w:eastAsia="zh-CN"/>
        </w:rPr>
        <w:t>................................3</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三、支出决算情况说明</w:t>
      </w:r>
      <w:r>
        <w:rPr>
          <w:rFonts w:hint="eastAsia" w:ascii="仿宋_GB2312" w:eastAsia="仿宋_GB2312" w:cs="仿宋_GB2312"/>
          <w:sz w:val="32"/>
          <w:szCs w:val="32"/>
          <w:lang w:val="en-US" w:eastAsia="zh-CN"/>
        </w:rPr>
        <w:t>................................4</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四、财政拨款收入支出决算总体情况说明</w:t>
      </w:r>
      <w:r>
        <w:rPr>
          <w:rFonts w:hint="eastAsia" w:ascii="仿宋_GB2312" w:eastAsia="仿宋_GB2312" w:cs="仿宋_GB2312"/>
          <w:sz w:val="32"/>
          <w:szCs w:val="32"/>
          <w:lang w:val="en-US" w:eastAsia="zh-CN"/>
        </w:rPr>
        <w:t>................4</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五、一般公共预算财政拨款支出决算情况说明</w:t>
      </w:r>
      <w:r>
        <w:rPr>
          <w:rFonts w:hint="eastAsia" w:ascii="仿宋_GB2312" w:eastAsia="仿宋_GB2312" w:cs="仿宋_GB2312"/>
          <w:sz w:val="32"/>
          <w:szCs w:val="32"/>
          <w:lang w:val="en-US" w:eastAsia="zh-CN"/>
        </w:rPr>
        <w:t>............5</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六、一般公共预算财政拨款基本支出决算情况说明</w:t>
      </w:r>
      <w:r>
        <w:rPr>
          <w:rFonts w:hint="eastAsia" w:ascii="仿宋_GB2312" w:eastAsia="仿宋_GB2312" w:cs="仿宋_GB2312"/>
          <w:sz w:val="32"/>
          <w:szCs w:val="32"/>
          <w:lang w:val="en-US" w:eastAsia="zh-CN"/>
        </w:rPr>
        <w:t>........8</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七、“三公”经费财政拨款支出决算情况说明</w:t>
      </w:r>
      <w:r>
        <w:rPr>
          <w:rFonts w:hint="eastAsia" w:ascii="仿宋_GB2312" w:eastAsia="仿宋_GB2312" w:cs="仿宋_GB2312"/>
          <w:sz w:val="32"/>
          <w:szCs w:val="32"/>
          <w:lang w:val="en-US" w:eastAsia="zh-CN"/>
        </w:rPr>
        <w:t>............9</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八、政府性基金预算支出决算情况说明</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九、国有资本经营预算支出决算情况说明</w:t>
      </w:r>
      <w:r>
        <w:rPr>
          <w:rFonts w:hint="eastAsia" w:ascii="仿宋_GB2312" w:eastAsia="仿宋_GB2312" w:cs="仿宋_GB2312"/>
          <w:sz w:val="32"/>
          <w:szCs w:val="32"/>
          <w:lang w:val="en-US" w:eastAsia="zh-CN"/>
        </w:rPr>
        <w:t>...............10</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十、预算绩效管理情况</w:t>
      </w:r>
      <w:r>
        <w:rPr>
          <w:rFonts w:hint="eastAsia" w:ascii="仿宋_GB2312" w:eastAsia="仿宋_GB2312" w:cs="仿宋_GB2312"/>
          <w:sz w:val="32"/>
          <w:szCs w:val="32"/>
          <w:lang w:val="en-US" w:eastAsia="zh-CN"/>
        </w:rPr>
        <w:t>...............................11</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十一、其他重要事项的情况说明</w:t>
      </w:r>
      <w:r>
        <w:rPr>
          <w:rFonts w:hint="eastAsia" w:ascii="仿宋_GB2312" w:eastAsia="仿宋_GB2312" w:cs="仿宋_GB2312"/>
          <w:sz w:val="32"/>
          <w:szCs w:val="32"/>
          <w:lang w:val="en-US" w:eastAsia="zh-CN"/>
        </w:rPr>
        <w:t>.......................11</w:t>
      </w:r>
    </w:p>
    <w:p>
      <w:pPr>
        <w:pStyle w:val="1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黑体" w:eastAsia="黑体" w:cs="黑体"/>
          <w:sz w:val="32"/>
          <w:szCs w:val="32"/>
          <w:lang w:val="en-US" w:eastAsia="zh-CN"/>
        </w:rPr>
      </w:pPr>
      <w:r>
        <w:rPr>
          <w:rFonts w:hint="eastAsia" w:ascii="黑体" w:eastAsia="黑体" w:cs="黑体"/>
          <w:sz w:val="32"/>
          <w:szCs w:val="32"/>
        </w:rPr>
        <w:t>第三部分 名词解释</w:t>
      </w:r>
      <w:r>
        <w:rPr>
          <w:rFonts w:hint="eastAsia" w:ascii="黑体" w:eastAsia="黑体" w:cs="黑体"/>
          <w:sz w:val="32"/>
          <w:szCs w:val="32"/>
          <w:lang w:val="en-US" w:eastAsia="zh-CN"/>
        </w:rPr>
        <w:t>....................................12</w:t>
      </w:r>
    </w:p>
    <w:p>
      <w:pPr>
        <w:pStyle w:val="1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黑体" w:eastAsia="黑体" w:cs="黑体"/>
          <w:sz w:val="32"/>
          <w:szCs w:val="32"/>
          <w:lang w:val="en-US" w:eastAsia="zh-CN"/>
        </w:rPr>
      </w:pPr>
      <w:r>
        <w:rPr>
          <w:rFonts w:hint="eastAsia" w:ascii="黑体" w:eastAsia="黑体" w:cs="黑体"/>
          <w:sz w:val="32"/>
          <w:szCs w:val="32"/>
        </w:rPr>
        <w:t>第四部分 附</w:t>
      </w:r>
      <w:r>
        <w:rPr>
          <w:rFonts w:hint="eastAsia" w:ascii="黑体" w:eastAsia="黑体" w:cs="黑体"/>
          <w:sz w:val="32"/>
          <w:szCs w:val="32"/>
          <w:lang w:val="en-US" w:eastAsia="zh-CN"/>
        </w:rPr>
        <w:t xml:space="preserve">  </w:t>
      </w:r>
      <w:r>
        <w:rPr>
          <w:rFonts w:hint="eastAsia" w:ascii="黑体" w:eastAsia="黑体" w:cs="黑体"/>
          <w:sz w:val="32"/>
          <w:szCs w:val="32"/>
        </w:rPr>
        <w:t>件</w:t>
      </w:r>
      <w:r>
        <w:rPr>
          <w:rFonts w:hint="eastAsia" w:ascii="黑体" w:eastAsia="黑体" w:cs="黑体"/>
          <w:sz w:val="32"/>
          <w:szCs w:val="32"/>
          <w:lang w:val="en-US" w:eastAsia="zh-CN"/>
        </w:rPr>
        <w:t>......................................15</w:t>
      </w:r>
    </w:p>
    <w:p>
      <w:pPr>
        <w:pStyle w:val="1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黑体" w:eastAsia="黑体" w:cs="黑体"/>
          <w:sz w:val="32"/>
          <w:szCs w:val="32"/>
        </w:rPr>
        <w:sectPr>
          <w:footerReference r:id="rId3" w:type="default"/>
          <w:pgSz w:w="11906" w:h="16838"/>
          <w:pgMar w:top="2098" w:right="1474" w:bottom="1984" w:left="1587" w:header="851" w:footer="1134" w:gutter="0"/>
          <w:pgNumType w:fmt="numberInDash" w:start="1"/>
          <w:cols w:space="720" w:num="1"/>
          <w:rtlGutter w:val="1"/>
          <w:docGrid w:type="linesAndChars" w:linePitch="318" w:charSpace="0"/>
        </w:sectPr>
      </w:pPr>
    </w:p>
    <w:p>
      <w:pPr>
        <w:pStyle w:val="1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黑体" w:eastAsia="黑体" w:cs="黑体"/>
          <w:sz w:val="32"/>
          <w:szCs w:val="32"/>
          <w:lang w:val="en-US" w:eastAsia="zh-CN"/>
        </w:rPr>
      </w:pPr>
      <w:r>
        <w:rPr>
          <w:rFonts w:hint="eastAsia" w:ascii="黑体" w:eastAsia="黑体" w:cs="黑体"/>
          <w:sz w:val="32"/>
          <w:szCs w:val="32"/>
        </w:rPr>
        <w:t>第五部分 附</w:t>
      </w:r>
      <w:r>
        <w:rPr>
          <w:rFonts w:hint="eastAsia" w:ascii="黑体" w:eastAsia="黑体" w:cs="黑体"/>
          <w:sz w:val="32"/>
          <w:szCs w:val="32"/>
          <w:lang w:val="en-US" w:eastAsia="zh-CN"/>
        </w:rPr>
        <w:t xml:space="preserve">  </w:t>
      </w:r>
      <w:r>
        <w:rPr>
          <w:rFonts w:hint="eastAsia" w:ascii="黑体" w:eastAsia="黑体" w:cs="黑体"/>
          <w:sz w:val="32"/>
          <w:szCs w:val="32"/>
        </w:rPr>
        <w:t>表</w:t>
      </w:r>
      <w:r>
        <w:rPr>
          <w:rFonts w:hint="eastAsia" w:ascii="黑体" w:eastAsia="黑体" w:cs="黑体"/>
          <w:sz w:val="32"/>
          <w:szCs w:val="32"/>
          <w:lang w:val="en-US" w:eastAsia="zh-CN"/>
        </w:rPr>
        <w:t>...............</w:t>
      </w:r>
      <w:bookmarkStart w:id="67" w:name="_GoBack"/>
      <w:bookmarkEnd w:id="67"/>
      <w:r>
        <w:rPr>
          <w:rFonts w:hint="eastAsia" w:ascii="黑体" w:eastAsia="黑体" w:cs="黑体"/>
          <w:sz w:val="32"/>
          <w:szCs w:val="32"/>
          <w:lang w:val="en-US" w:eastAsia="zh-CN"/>
        </w:rPr>
        <w:t>......................45</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一、收入支出决算总表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二、收入决算表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三、支出决算表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四、财政拨款收入支出决算总表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五、财政拨款支出决算明细表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六、一般公共预算财政拨款支出决算表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七、一般公共预算财政拨款支出决算明细表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八、一般公共预算财政拨款基本支出决算表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九、一般公共预算财政拨款项目支出决算表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十、一般公共预算财政拨款“三公”经费支出决算表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十一、政府性基金预算财政拨款收入支出决算表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十二、政府性基金预算财政拨款“三公”经费支出决算表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十三、国有资本经营预算财政拨款收入支出决算表</w:t>
      </w:r>
    </w:p>
    <w:p>
      <w:pPr>
        <w:pStyle w:val="12"/>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十四、国有资本经营预算财政拨款支出决算表</w:t>
      </w:r>
    </w:p>
    <w:p>
      <w:pPr>
        <w:pStyle w:val="3"/>
        <w:keepNext/>
        <w:keepLines/>
        <w:pageBreakBefore w:val="0"/>
        <w:widowControl w:val="0"/>
        <w:kinsoku/>
        <w:wordWrap/>
        <w:overflowPunct/>
        <w:topLinePunct w:val="0"/>
        <w:autoSpaceDE/>
        <w:autoSpaceDN/>
        <w:bidi w:val="0"/>
        <w:spacing w:line="600" w:lineRule="exact"/>
        <w:ind w:firstLine="640" w:firstLineChars="200"/>
        <w:jc w:val="center"/>
        <w:textAlignment w:val="auto"/>
        <w:rPr>
          <w:rFonts w:hint="eastAsia" w:ascii="仿宋_GB2312" w:eastAsia="仿宋_GB2312" w:cs="仿宋_GB2312"/>
          <w:b w:val="0"/>
          <w:sz w:val="32"/>
          <w:szCs w:val="32"/>
        </w:rPr>
        <w:sectPr>
          <w:footerReference r:id="rId4" w:type="default"/>
          <w:pgSz w:w="11906" w:h="16838"/>
          <w:pgMar w:top="2098" w:right="1474" w:bottom="1984" w:left="1587" w:header="851" w:footer="1134" w:gutter="0"/>
          <w:pgNumType w:fmt="numberInDash" w:start="1"/>
          <w:cols w:space="720" w:num="1"/>
          <w:rtlGutter w:val="1"/>
          <w:docGrid w:type="linesAndChars" w:linePitch="318" w:charSpace="0"/>
        </w:sectPr>
      </w:pPr>
      <w:bookmarkStart w:id="12" w:name="_Toc15396599"/>
      <w:bookmarkStart w:id="13" w:name="_Toc15377196"/>
    </w:p>
    <w:p>
      <w:pPr>
        <w:pStyle w:val="3"/>
        <w:spacing w:line="600" w:lineRule="exact"/>
        <w:ind w:firstLine="880" w:firstLineChars="200"/>
        <w:jc w:val="center"/>
        <w:rPr>
          <w:rStyle w:val="18"/>
          <w:rFonts w:ascii="黑体" w:eastAsia="黑体"/>
          <w:b w:val="0"/>
          <w:bCs w:val="0"/>
        </w:rPr>
      </w:pPr>
      <w:r>
        <w:rPr>
          <w:rFonts w:hint="eastAsia" w:ascii="黑体" w:eastAsia="黑体"/>
          <w:b w:val="0"/>
        </w:rPr>
        <w:t>第一部分 单位</w:t>
      </w:r>
      <w:r>
        <w:rPr>
          <w:rStyle w:val="18"/>
          <w:rFonts w:hint="eastAsia" w:ascii="黑体" w:eastAsia="黑体"/>
          <w:b w:val="0"/>
          <w:bCs w:val="0"/>
        </w:rPr>
        <w:t>概况</w:t>
      </w:r>
      <w:bookmarkEnd w:id="12"/>
      <w:bookmarkEnd w:id="13"/>
      <w:bookmarkStart w:id="14" w:name="_Toc15377197"/>
      <w:bookmarkStart w:id="15" w:name="_Toc15396600"/>
    </w:p>
    <w:p>
      <w:pPr>
        <w:pStyle w:val="3"/>
        <w:spacing w:before="0" w:after="0" w:line="600" w:lineRule="exact"/>
        <w:ind w:firstLine="640" w:firstLineChars="200"/>
        <w:jc w:val="left"/>
        <w:rPr>
          <w:rStyle w:val="19"/>
          <w:rFonts w:ascii="黑体" w:eastAsia="黑体"/>
          <w:b w:val="0"/>
          <w:bCs w:val="0"/>
        </w:rPr>
      </w:pPr>
      <w:r>
        <w:rPr>
          <w:rStyle w:val="19"/>
          <w:rFonts w:hint="eastAsia" w:ascii="黑体" w:eastAsia="黑体"/>
          <w:b w:val="0"/>
          <w:bCs w:val="0"/>
        </w:rPr>
        <w:t>一、职能简介</w:t>
      </w:r>
    </w:p>
    <w:p>
      <w:pPr>
        <w:pStyle w:val="3"/>
        <w:spacing w:before="0" w:after="0" w:line="600" w:lineRule="exact"/>
        <w:ind w:firstLine="640" w:firstLineChars="200"/>
        <w:jc w:val="left"/>
        <w:rPr>
          <w:rFonts w:hint="eastAsia" w:ascii="仿宋" w:eastAsia="仿宋" w:cs="Times New Roman"/>
          <w:b w:val="0"/>
          <w:bCs w:val="0"/>
          <w:kern w:val="2"/>
          <w:sz w:val="32"/>
          <w:szCs w:val="32"/>
          <w:lang w:val="en-US" w:eastAsia="zh-CN" w:bidi="ar-SA"/>
        </w:rPr>
      </w:pPr>
      <w:r>
        <w:rPr>
          <w:rFonts w:hint="eastAsia" w:ascii="仿宋" w:eastAsia="仿宋" w:cs="Times New Roman"/>
          <w:b w:val="0"/>
          <w:bCs w:val="0"/>
          <w:kern w:val="2"/>
          <w:sz w:val="32"/>
          <w:szCs w:val="32"/>
          <w:lang w:val="en-US" w:eastAsia="zh-CN" w:bidi="ar-SA"/>
        </w:rPr>
        <w:t>负责全市退役军人拥军优属、就业创业、移交安置、优待抚恤、就业创业、服务保障等事务工作，维护军人军属合法权益</w:t>
      </w:r>
      <w:r>
        <w:rPr>
          <w:rFonts w:ascii="仿宋" w:eastAsia="仿宋" w:cs="Times New Roman"/>
          <w:b w:val="0"/>
          <w:bCs w:val="0"/>
          <w:kern w:val="2"/>
          <w:sz w:val="32"/>
          <w:szCs w:val="32"/>
          <w:lang w:val="en-US" w:eastAsia="zh-CN" w:bidi="ar-SA"/>
        </w:rPr>
        <w:t>。</w:t>
      </w:r>
    </w:p>
    <w:p>
      <w:pPr>
        <w:spacing w:line="600" w:lineRule="exact"/>
        <w:ind w:firstLine="640" w:firstLineChars="200"/>
        <w:jc w:val="left"/>
        <w:rPr>
          <w:rStyle w:val="19"/>
          <w:rFonts w:ascii="黑体" w:eastAsia="黑体"/>
          <w:b w:val="0"/>
          <w:bCs w:val="0"/>
        </w:rPr>
      </w:pPr>
      <w:r>
        <w:rPr>
          <w:rStyle w:val="19"/>
          <w:rFonts w:hint="eastAsia" w:ascii="黑体" w:eastAsia="黑体"/>
          <w:b w:val="0"/>
          <w:bCs w:val="0"/>
        </w:rPr>
        <w:t>二、2021年重点工作</w:t>
      </w:r>
      <w:bookmarkEnd w:id="14"/>
      <w:bookmarkEnd w:id="15"/>
      <w:r>
        <w:rPr>
          <w:rStyle w:val="19"/>
          <w:rFonts w:hint="eastAsia" w:ascii="黑体" w:eastAsia="黑体"/>
          <w:b w:val="0"/>
          <w:bCs w:val="0"/>
        </w:rPr>
        <w:t>完成情况</w:t>
      </w:r>
    </w:p>
    <w:p>
      <w:pPr>
        <w:spacing w:line="600" w:lineRule="exact"/>
        <w:ind w:firstLine="640" w:firstLineChars="200"/>
        <w:jc w:val="left"/>
        <w:rPr>
          <w:rFonts w:hint="eastAsia" w:ascii="仿宋" w:eastAsia="仿宋" w:cs="Times New Roman"/>
          <w:b w:val="0"/>
          <w:bCs w:val="0"/>
          <w:kern w:val="2"/>
          <w:sz w:val="32"/>
          <w:szCs w:val="32"/>
          <w:lang w:val="en-US" w:eastAsia="zh-CN" w:bidi="ar-SA"/>
        </w:rPr>
      </w:pPr>
      <w:r>
        <w:rPr>
          <w:rFonts w:hint="eastAsia" w:ascii="仿宋" w:eastAsia="仿宋" w:cs="Times New Roman"/>
          <w:b w:val="0"/>
          <w:bCs w:val="0"/>
          <w:kern w:val="2"/>
          <w:sz w:val="32"/>
          <w:szCs w:val="32"/>
          <w:lang w:val="en-US" w:eastAsia="zh-CN" w:bidi="ar-SA"/>
        </w:rPr>
        <w:t>2021年，全市退役军人事务工作在市委、市政府的坚强领导下，坚持以推动全市退役军人工作高质量发展为指引，以贯彻执行《退役军人保障法》为主线，始终保持“闯”的精神、“创”的劲头、“干”的作风，统筹推进安置就业、拥军优抚、褒扬纪念、思想教育、权益维护、信访维稳等工作，取得了较好的成效。</w:t>
      </w:r>
    </w:p>
    <w:p>
      <w:pPr>
        <w:spacing w:line="560" w:lineRule="exact"/>
        <w:ind w:firstLine="640" w:firstLineChars="200"/>
        <w:jc w:val="left"/>
        <w:rPr>
          <w:rFonts w:hint="eastAsia" w:ascii="仿宋" w:eastAsia="仿宋" w:cs="Times New Roman"/>
          <w:b w:val="0"/>
          <w:bCs w:val="0"/>
          <w:kern w:val="2"/>
          <w:sz w:val="32"/>
          <w:szCs w:val="32"/>
          <w:lang w:val="en-US" w:eastAsia="zh-CN" w:bidi="ar-SA"/>
        </w:rPr>
      </w:pPr>
      <w:r>
        <w:rPr>
          <w:rFonts w:hint="eastAsia" w:ascii="仿宋" w:eastAsia="仿宋" w:cs="Times New Roman"/>
          <w:b w:val="0"/>
          <w:bCs w:val="0"/>
          <w:kern w:val="2"/>
          <w:sz w:val="32"/>
          <w:szCs w:val="32"/>
          <w:lang w:val="en-US" w:eastAsia="zh-CN" w:bidi="ar-SA"/>
        </w:rPr>
        <w:t>一、双拥创建成果持续巩固。在全省率先成立市烈士纪念设施保护中心和2个县（区）烈士纪念设施保护中心，开展县级及以下英雄烈士纪念设施项目整修工程。广元市烈士陵园烈士纪念设施改建项目等6个项目获退役军人事务部批复或确认，批复和确认数量居全省第一。开展“清明祭英烈”“9·30烈士纪念日”活动，全市累计5.5万余人参加纪念活动。</w:t>
      </w:r>
    </w:p>
    <w:p>
      <w:pPr>
        <w:spacing w:line="560" w:lineRule="exact"/>
        <w:ind w:firstLine="640" w:firstLineChars="200"/>
        <w:jc w:val="left"/>
        <w:rPr>
          <w:rFonts w:hint="eastAsia" w:ascii="仿宋" w:eastAsia="仿宋" w:cs="Times New Roman"/>
          <w:b w:val="0"/>
          <w:bCs w:val="0"/>
          <w:kern w:val="2"/>
          <w:sz w:val="32"/>
          <w:szCs w:val="32"/>
          <w:lang w:val="en-US" w:eastAsia="zh-CN" w:bidi="ar-SA"/>
        </w:rPr>
      </w:pPr>
      <w:r>
        <w:rPr>
          <w:rFonts w:hint="eastAsia" w:ascii="仿宋" w:eastAsia="仿宋" w:cs="Times New Roman"/>
          <w:b w:val="0"/>
          <w:bCs w:val="0"/>
          <w:kern w:val="2"/>
          <w:sz w:val="32"/>
          <w:szCs w:val="32"/>
          <w:lang w:val="en-US" w:eastAsia="zh-CN" w:bidi="ar-SA"/>
        </w:rPr>
        <w:t>二、安置就业工作扎实开展。完成全年退役军人接收安置任务。组织开展线上线下退役军人专场招聘会24场次，帮助913名退役军人实现就业。成功承办全省第一期由政府安排工作退役士兵（消防员）适应性培训示范班，开展自主就业退役士兵适应性培训801名，参训率100%。开展退役军人职业技能培训844人。参加全省第二届退役军人创业创新大赛，广元团队荣获三等奖。</w:t>
      </w:r>
    </w:p>
    <w:p>
      <w:pPr>
        <w:spacing w:line="600" w:lineRule="exact"/>
        <w:ind w:firstLine="640" w:firstLineChars="200"/>
        <w:rPr>
          <w:rFonts w:hint="eastAsia" w:ascii="仿宋" w:eastAsia="仿宋" w:cs="Times New Roman"/>
          <w:b w:val="0"/>
          <w:bCs w:val="0"/>
          <w:kern w:val="2"/>
          <w:sz w:val="32"/>
          <w:szCs w:val="32"/>
          <w:lang w:val="en-US" w:eastAsia="zh-CN" w:bidi="ar-SA"/>
        </w:rPr>
      </w:pPr>
      <w:r>
        <w:rPr>
          <w:rFonts w:hint="eastAsia" w:ascii="仿宋" w:eastAsia="仿宋" w:cs="Times New Roman"/>
          <w:b w:val="0"/>
          <w:bCs w:val="0"/>
          <w:kern w:val="2"/>
          <w:sz w:val="32"/>
          <w:szCs w:val="32"/>
          <w:lang w:val="en-US" w:eastAsia="zh-CN" w:bidi="ar-SA"/>
        </w:rPr>
        <w:t>（三）权益维护工作平稳有序。全面贯彻落实“法律政策落实年”活动，深入开展“法律七进”活动26场次。修订《广元市困难退役军人关爱帮扶专项基金实施细则》，共帮扶987人次。</w:t>
      </w:r>
    </w:p>
    <w:p>
      <w:pPr>
        <w:spacing w:line="600" w:lineRule="exact"/>
        <w:ind w:firstLine="640" w:firstLineChars="200"/>
        <w:rPr>
          <w:rFonts w:hint="eastAsia" w:ascii="仿宋" w:eastAsia="仿宋" w:cs="Times New Roman"/>
          <w:b w:val="0"/>
          <w:bCs w:val="0"/>
          <w:kern w:val="2"/>
          <w:sz w:val="32"/>
          <w:szCs w:val="32"/>
          <w:lang w:val="en-US" w:eastAsia="zh-CN" w:bidi="ar-SA"/>
        </w:rPr>
      </w:pPr>
      <w:r>
        <w:rPr>
          <w:rFonts w:hint="eastAsia" w:ascii="仿宋" w:eastAsia="仿宋" w:cs="Times New Roman"/>
          <w:b w:val="0"/>
          <w:bCs w:val="0"/>
          <w:kern w:val="2"/>
          <w:sz w:val="32"/>
          <w:szCs w:val="32"/>
          <w:lang w:val="en-US" w:eastAsia="zh-CN" w:bidi="ar-SA"/>
        </w:rPr>
        <w:t>（四）思想政治工作创新开展。成立“老英模党史宣讲团”，创新推进党史学习教育“七进”活动。开展老英模宣讲会72场次，覆盖1.4万余名群众。市光荣院、军休所、烈士陵园发挥红色阵地作用，共承接各级机关、学校、团体开展党史学习教育41场次，受众7000余人次。李化武同志典型事迹，先后3次被四川日报和四川新闻联播头条报道，3次被央视新闻《2021英雄的中国 因为有你》《100个瞬间，定格2021最有爱的模样》《致敬国家丰碑 全国红色故事讲解员大赛》集中报道。《这场&lt;长津湖&gt;为他一人放映！》上抖音热榜，累计阅读量超3亿次。</w:t>
      </w:r>
    </w:p>
    <w:p>
      <w:pPr>
        <w:spacing w:line="600" w:lineRule="exact"/>
        <w:ind w:firstLine="640" w:firstLineChars="200"/>
        <w:rPr>
          <w:rFonts w:hint="eastAsia" w:ascii="仿宋" w:eastAsia="仿宋" w:cs="Times New Roman"/>
          <w:b w:val="0"/>
          <w:bCs w:val="0"/>
          <w:kern w:val="2"/>
          <w:sz w:val="32"/>
          <w:szCs w:val="32"/>
          <w:lang w:val="en-US" w:eastAsia="zh-CN" w:bidi="ar-SA"/>
        </w:rPr>
      </w:pPr>
      <w:r>
        <w:rPr>
          <w:rFonts w:hint="eastAsia" w:ascii="仿宋" w:eastAsia="仿宋" w:cs="Times New Roman"/>
          <w:b w:val="0"/>
          <w:bCs w:val="0"/>
          <w:kern w:val="2"/>
          <w:sz w:val="32"/>
          <w:szCs w:val="32"/>
          <w:lang w:val="en-US" w:eastAsia="zh-CN" w:bidi="ar-SA"/>
        </w:rPr>
        <w:t>（五）服务保障能力进一步增强。召开全市退役军人“一体化”服务暨共建共享“服务超市”试点工作现场会。启动退役军人系统内控制度建设，开展全市退役军人系统办公室公文写作培训、财务培训。</w:t>
      </w:r>
    </w:p>
    <w:p>
      <w:pPr>
        <w:pStyle w:val="2"/>
        <w:rPr>
          <w:rFonts w:hint="eastAsia"/>
          <w:lang w:val="en-US" w:eastAsia="zh-CN"/>
        </w:rPr>
      </w:pPr>
    </w:p>
    <w:p>
      <w:pPr>
        <w:pStyle w:val="3"/>
        <w:spacing w:line="600" w:lineRule="exact"/>
        <w:jc w:val="center"/>
      </w:pPr>
      <w:bookmarkStart w:id="16" w:name="_Toc15377204"/>
      <w:bookmarkStart w:id="17" w:name="_Toc15396602"/>
      <w:r>
        <w:rPr>
          <w:rFonts w:hint="eastAsia" w:ascii="黑体" w:eastAsia="黑体"/>
          <w:b w:val="0"/>
        </w:rPr>
        <w:t>第二部分 2021年度单位决算情况说明</w:t>
      </w:r>
      <w:bookmarkEnd w:id="16"/>
      <w:bookmarkEnd w:id="17"/>
    </w:p>
    <w:p>
      <w:pPr>
        <w:pStyle w:val="24"/>
        <w:numPr>
          <w:ilvl w:val="0"/>
          <w:numId w:val="1"/>
        </w:numPr>
        <w:spacing w:line="600" w:lineRule="exact"/>
        <w:ind w:firstLineChars="0"/>
        <w:outlineLvl w:val="1"/>
        <w:rPr>
          <w:rStyle w:val="19"/>
          <w:rFonts w:ascii="黑体" w:eastAsia="黑体"/>
          <w:b w:val="0"/>
        </w:rPr>
      </w:pPr>
      <w:bookmarkStart w:id="18" w:name="_Toc15396603"/>
      <w:bookmarkStart w:id="19" w:name="_Toc15377205"/>
      <w:r>
        <w:rPr>
          <w:rFonts w:hint="eastAsia" w:ascii="黑体" w:eastAsia="黑体"/>
          <w:sz w:val="32"/>
          <w:szCs w:val="32"/>
        </w:rPr>
        <w:t>收</w:t>
      </w:r>
      <w:r>
        <w:rPr>
          <w:rStyle w:val="19"/>
          <w:rFonts w:hint="eastAsia" w:ascii="黑体" w:eastAsia="黑体"/>
          <w:b w:val="0"/>
        </w:rPr>
        <w:t>入支出决算总体情况说明</w:t>
      </w:r>
      <w:bookmarkEnd w:id="18"/>
      <w:bookmarkEnd w:id="19"/>
    </w:p>
    <w:p>
      <w:pPr>
        <w:spacing w:line="600" w:lineRule="exact"/>
        <w:ind w:firstLine="640" w:firstLineChars="200"/>
        <w:rPr>
          <w:rFonts w:hint="eastAsia" w:ascii="仿宋" w:eastAsia="仿宋"/>
          <w:sz w:val="32"/>
          <w:szCs w:val="32"/>
        </w:rPr>
      </w:pPr>
      <w:r>
        <w:rPr>
          <w:rFonts w:hint="eastAsia" w:ascii="仿宋" w:eastAsia="仿宋"/>
          <w:sz w:val="32"/>
          <w:szCs w:val="32"/>
        </w:rPr>
        <w:t>2021年度收、支总计</w:t>
      </w:r>
      <w:r>
        <w:rPr>
          <w:rFonts w:ascii="仿宋" w:eastAsia="仿宋"/>
          <w:sz w:val="32"/>
          <w:szCs w:val="32"/>
        </w:rPr>
        <w:t>2289.30</w:t>
      </w:r>
      <w:r>
        <w:rPr>
          <w:rFonts w:hint="eastAsia" w:ascii="仿宋" w:eastAsia="仿宋"/>
          <w:sz w:val="32"/>
          <w:szCs w:val="32"/>
        </w:rPr>
        <w:t>万元。与2020年相比，收、支总计3836.80万元减少</w:t>
      </w:r>
      <w:r>
        <w:rPr>
          <w:rFonts w:ascii="仿宋" w:eastAsia="仿宋"/>
          <w:sz w:val="32"/>
          <w:szCs w:val="32"/>
        </w:rPr>
        <w:t>1547.50</w:t>
      </w:r>
      <w:r>
        <w:rPr>
          <w:rFonts w:hint="eastAsia" w:ascii="仿宋" w:eastAsia="仿宋"/>
          <w:sz w:val="32"/>
          <w:szCs w:val="32"/>
        </w:rPr>
        <w:t>万元，下降</w:t>
      </w:r>
      <w:r>
        <w:rPr>
          <w:rFonts w:ascii="仿宋" w:eastAsia="仿宋"/>
          <w:sz w:val="32"/>
          <w:szCs w:val="32"/>
        </w:rPr>
        <w:t>40.33%</w:t>
      </w:r>
      <w:r>
        <w:rPr>
          <w:rFonts w:hint="eastAsia" w:ascii="仿宋" w:eastAsia="仿宋"/>
          <w:sz w:val="32"/>
          <w:szCs w:val="32"/>
        </w:rPr>
        <w:t>。主要变动原因是社保接续工作养老保险资金减少。</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4191000" cy="2480310"/>
            <wp:effectExtent l="0" t="0" r="0" b="381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3"/>
                    <a:stretch>
                      <a:fillRect/>
                    </a:stretch>
                  </pic:blipFill>
                  <pic:spPr>
                    <a:xfrm>
                      <a:off x="0" y="0"/>
                      <a:ext cx="4191000" cy="2480310"/>
                    </a:xfrm>
                    <a:prstGeom prst="rect">
                      <a:avLst/>
                    </a:prstGeom>
                    <a:noFill/>
                    <a:ln w="9525">
                      <a:noFill/>
                    </a:ln>
                  </pic:spPr>
                </pic:pic>
              </a:graphicData>
            </a:graphic>
          </wp:inline>
        </w:drawing>
      </w:r>
    </w:p>
    <w:p>
      <w:pPr>
        <w:spacing w:line="600" w:lineRule="exact"/>
        <w:ind w:firstLine="960" w:firstLineChars="300"/>
        <w:rPr>
          <w:rFonts w:ascii="仿宋" w:eastAsia="仿宋"/>
          <w:sz w:val="32"/>
          <w:szCs w:val="32"/>
        </w:rPr>
      </w:pPr>
      <w:r>
        <w:rPr>
          <w:rFonts w:hint="eastAsia" w:ascii="仿宋" w:eastAsia="仿宋"/>
          <w:sz w:val="32"/>
          <w:szCs w:val="32"/>
        </w:rPr>
        <w:t>（图</w:t>
      </w:r>
      <w:r>
        <w:rPr>
          <w:rFonts w:ascii="仿宋" w:eastAsia="仿宋"/>
          <w:sz w:val="32"/>
          <w:szCs w:val="32"/>
        </w:rPr>
        <w:t>1</w:t>
      </w:r>
      <w:r>
        <w:rPr>
          <w:rFonts w:hint="eastAsia" w:ascii="仿宋" w:eastAsia="仿宋"/>
          <w:sz w:val="32"/>
          <w:szCs w:val="32"/>
        </w:rPr>
        <w:t>：收、支决算总计变动情况图）（柱状图）</w:t>
      </w:r>
    </w:p>
    <w:p>
      <w:pPr>
        <w:pStyle w:val="24"/>
        <w:spacing w:line="600" w:lineRule="exact"/>
        <w:outlineLvl w:val="1"/>
        <w:rPr>
          <w:rStyle w:val="19"/>
          <w:rFonts w:ascii="黑体" w:eastAsia="黑体"/>
          <w:b w:val="0"/>
        </w:rPr>
      </w:pPr>
      <w:bookmarkStart w:id="20" w:name="_Toc15396604"/>
      <w:bookmarkStart w:id="21" w:name="_Toc15377206"/>
      <w:r>
        <w:rPr>
          <w:rFonts w:hint="eastAsia" w:ascii="黑体" w:eastAsia="黑体"/>
          <w:sz w:val="32"/>
          <w:szCs w:val="32"/>
        </w:rPr>
        <w:t>二、收</w:t>
      </w:r>
      <w:r>
        <w:rPr>
          <w:rStyle w:val="19"/>
          <w:rFonts w:hint="eastAsia" w:ascii="黑体" w:eastAsia="黑体"/>
          <w:b w:val="0"/>
        </w:rPr>
        <w:t>入决算情况说明</w:t>
      </w:r>
      <w:bookmarkEnd w:id="20"/>
      <w:bookmarkEnd w:id="21"/>
    </w:p>
    <w:p>
      <w:pPr>
        <w:spacing w:line="600" w:lineRule="exact"/>
        <w:ind w:firstLine="640" w:firstLineChars="200"/>
        <w:outlineLvl w:val="1"/>
        <w:rPr>
          <w:rFonts w:ascii="仿宋" w:eastAsia="仿宋"/>
          <w:sz w:val="32"/>
          <w:szCs w:val="32"/>
        </w:rPr>
      </w:pPr>
      <w:r>
        <w:rPr>
          <w:rFonts w:ascii="仿宋" w:eastAsia="仿宋"/>
          <w:sz w:val="32"/>
          <w:szCs w:val="32"/>
        </w:rPr>
        <w:t>20</w:t>
      </w:r>
      <w:r>
        <w:rPr>
          <w:rFonts w:hint="eastAsia" w:ascii="仿宋" w:eastAsia="仿宋"/>
          <w:sz w:val="32"/>
          <w:szCs w:val="32"/>
        </w:rPr>
        <w:t>21年本年收入合计1969.97万元，其中：一般公共预算财政拨款收入1841.79万元，占93.49</w:t>
      </w:r>
      <w:r>
        <w:rPr>
          <w:rFonts w:ascii="仿宋" w:eastAsia="仿宋"/>
          <w:sz w:val="32"/>
          <w:szCs w:val="32"/>
        </w:rPr>
        <w:t>%</w:t>
      </w:r>
      <w:r>
        <w:rPr>
          <w:rFonts w:hint="eastAsia" w:ascii="仿宋" w:eastAsia="仿宋"/>
          <w:sz w:val="32"/>
          <w:szCs w:val="32"/>
        </w:rPr>
        <w:t>；其他收入128.19万元，占6.51</w:t>
      </w:r>
      <w:r>
        <w:rPr>
          <w:rFonts w:ascii="仿宋" w:eastAsia="仿宋"/>
          <w:sz w:val="32"/>
          <w:szCs w:val="32"/>
        </w:rPr>
        <w:t>%</w:t>
      </w:r>
      <w:r>
        <w:rPr>
          <w:rFonts w:hint="eastAsia" w:ascii="仿宋" w:eastAsia="仿宋"/>
          <w:sz w:val="32"/>
          <w:szCs w:val="32"/>
        </w:rPr>
        <w:t>。</w:t>
      </w:r>
    </w:p>
    <w:p>
      <w:pPr>
        <w:keepNext w:val="0"/>
        <w:keepLines w:val="0"/>
        <w:widowControl/>
        <w:suppressLineNumbers w:val="0"/>
        <w:jc w:val="center"/>
      </w:pPr>
      <w:r>
        <w:rPr>
          <w:rFonts w:ascii="宋体" w:eastAsia="宋体" w:cs="宋体"/>
          <w:kern w:val="0"/>
          <w:sz w:val="24"/>
          <w:szCs w:val="24"/>
          <w:lang w:val="en-US" w:eastAsia="zh-CN"/>
        </w:rPr>
        <w:drawing>
          <wp:inline distT="0" distB="0" distL="114300" distR="114300">
            <wp:extent cx="3987800" cy="2524760"/>
            <wp:effectExtent l="0" t="0" r="29" b="7"/>
            <wp:docPr id="7"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IMG_256"/>
                    <pic:cNvPicPr>
                      <a:picLocks noChangeAspect="1"/>
                    </pic:cNvPicPr>
                  </pic:nvPicPr>
                  <pic:blipFill>
                    <a:blip r:embed="rId14"/>
                    <a:stretch>
                      <a:fillRect/>
                    </a:stretch>
                  </pic:blipFill>
                  <pic:spPr>
                    <a:xfrm>
                      <a:off x="0" y="0"/>
                      <a:ext cx="3987800" cy="2524760"/>
                    </a:xfrm>
                    <a:prstGeom prst="rect">
                      <a:avLst/>
                    </a:prstGeom>
                    <a:noFill/>
                    <a:ln w="9525" cap="flat" cmpd="sng">
                      <a:noFill/>
                      <a:prstDash val="solid"/>
                      <a:round/>
                    </a:ln>
                  </pic:spPr>
                </pic:pic>
              </a:graphicData>
            </a:graphic>
          </wp:inline>
        </w:drawing>
      </w:r>
    </w:p>
    <w:p>
      <w:pPr>
        <w:spacing w:line="600" w:lineRule="exact"/>
        <w:ind w:firstLine="1280" w:firstLineChars="400"/>
        <w:rPr>
          <w:rFonts w:ascii="仿宋" w:eastAsia="仿宋"/>
          <w:sz w:val="32"/>
          <w:szCs w:val="32"/>
        </w:rPr>
      </w:pPr>
      <w:r>
        <w:rPr>
          <w:rFonts w:hint="eastAsia" w:ascii="仿宋" w:eastAsia="仿宋"/>
          <w:sz w:val="32"/>
          <w:szCs w:val="32"/>
        </w:rPr>
        <w:t>（图2：收入决算结构图）（饼状图）</w:t>
      </w:r>
    </w:p>
    <w:p>
      <w:pPr>
        <w:pStyle w:val="24"/>
        <w:spacing w:line="600" w:lineRule="exact"/>
        <w:outlineLvl w:val="1"/>
        <w:rPr>
          <w:rStyle w:val="19"/>
          <w:rFonts w:ascii="黑体" w:eastAsia="黑体"/>
          <w:b w:val="0"/>
        </w:rPr>
      </w:pPr>
      <w:bookmarkStart w:id="22" w:name="_Toc15396605"/>
      <w:bookmarkStart w:id="23" w:name="_Toc15377207"/>
      <w:r>
        <w:rPr>
          <w:rFonts w:hint="eastAsia" w:ascii="黑体" w:eastAsia="黑体"/>
          <w:sz w:val="32"/>
          <w:szCs w:val="32"/>
        </w:rPr>
        <w:t>三、支</w:t>
      </w:r>
      <w:r>
        <w:rPr>
          <w:rStyle w:val="19"/>
          <w:rFonts w:hint="eastAsia" w:ascii="黑体" w:eastAsia="黑体"/>
          <w:b w:val="0"/>
        </w:rPr>
        <w:t>出决算情况说明</w:t>
      </w:r>
      <w:bookmarkEnd w:id="22"/>
      <w:bookmarkEnd w:id="23"/>
    </w:p>
    <w:p>
      <w:pPr>
        <w:spacing w:line="600" w:lineRule="exact"/>
        <w:ind w:firstLine="640" w:firstLineChars="200"/>
        <w:outlineLvl w:val="1"/>
        <w:rPr>
          <w:rFonts w:ascii="仿宋" w:eastAsia="仿宋"/>
          <w:sz w:val="32"/>
          <w:szCs w:val="32"/>
        </w:rPr>
      </w:pPr>
      <w:r>
        <w:rPr>
          <w:rFonts w:ascii="仿宋" w:eastAsia="仿宋"/>
          <w:sz w:val="32"/>
          <w:szCs w:val="32"/>
        </w:rPr>
        <w:t>20</w:t>
      </w:r>
      <w:r>
        <w:rPr>
          <w:rFonts w:hint="eastAsia" w:ascii="仿宋" w:eastAsia="仿宋"/>
          <w:sz w:val="32"/>
          <w:szCs w:val="32"/>
        </w:rPr>
        <w:t>21年本年支出合计1989.31万元，其中：基本支出331.67万元，占16.67</w:t>
      </w:r>
      <w:r>
        <w:rPr>
          <w:rFonts w:ascii="仿宋" w:eastAsia="仿宋"/>
          <w:sz w:val="32"/>
          <w:szCs w:val="32"/>
        </w:rPr>
        <w:t>%</w:t>
      </w:r>
      <w:r>
        <w:rPr>
          <w:rFonts w:hint="eastAsia" w:ascii="仿宋" w:eastAsia="仿宋"/>
          <w:sz w:val="32"/>
          <w:szCs w:val="32"/>
        </w:rPr>
        <w:t>；项目支出1657.63万元，占83.33</w:t>
      </w:r>
      <w:r>
        <w:rPr>
          <w:rFonts w:ascii="仿宋" w:eastAsia="仿宋"/>
          <w:sz w:val="32"/>
          <w:szCs w:val="32"/>
        </w:rPr>
        <w:t>%</w:t>
      </w:r>
      <w:r>
        <w:rPr>
          <w:rFonts w:hint="eastAsia" w:ascii="仿宋" w:eastAsia="仿宋"/>
          <w:sz w:val="32"/>
          <w:szCs w:val="32"/>
        </w:rPr>
        <w:t>。</w:t>
      </w:r>
    </w:p>
    <w:p>
      <w:pPr>
        <w:keepNext w:val="0"/>
        <w:keepLines w:val="0"/>
        <w:widowControl/>
        <w:suppressLineNumbers w:val="0"/>
        <w:jc w:val="center"/>
      </w:pPr>
      <w:r>
        <w:rPr>
          <w:rFonts w:ascii="宋体" w:eastAsia="宋体" w:cs="宋体"/>
          <w:kern w:val="0"/>
          <w:sz w:val="24"/>
          <w:szCs w:val="24"/>
          <w:lang w:val="en-US" w:eastAsia="zh-CN"/>
        </w:rPr>
        <w:drawing>
          <wp:inline distT="0" distB="0" distL="114300" distR="114300">
            <wp:extent cx="3918585" cy="2602230"/>
            <wp:effectExtent l="0" t="0" r="36" b="40"/>
            <wp:docPr id="10"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descr="IMG_256"/>
                    <pic:cNvPicPr>
                      <a:picLocks noChangeAspect="1"/>
                    </pic:cNvPicPr>
                  </pic:nvPicPr>
                  <pic:blipFill>
                    <a:blip r:embed="rId15"/>
                    <a:stretch>
                      <a:fillRect/>
                    </a:stretch>
                  </pic:blipFill>
                  <pic:spPr>
                    <a:xfrm>
                      <a:off x="0" y="0"/>
                      <a:ext cx="3918585" cy="2602230"/>
                    </a:xfrm>
                    <a:prstGeom prst="rect">
                      <a:avLst/>
                    </a:prstGeom>
                    <a:noFill/>
                    <a:ln w="9525" cap="flat" cmpd="sng">
                      <a:noFill/>
                      <a:prstDash val="solid"/>
                      <a:round/>
                    </a:ln>
                  </pic:spPr>
                </pic:pic>
              </a:graphicData>
            </a:graphic>
          </wp:inline>
        </w:drawing>
      </w:r>
    </w:p>
    <w:p>
      <w:pPr>
        <w:spacing w:line="600" w:lineRule="exact"/>
        <w:ind w:firstLine="1600" w:firstLineChars="500"/>
        <w:rPr>
          <w:rFonts w:ascii="仿宋_GB2312" w:eastAsia="仿宋_GB2312"/>
          <w:sz w:val="32"/>
          <w:szCs w:val="32"/>
        </w:rPr>
      </w:pPr>
      <w:r>
        <w:rPr>
          <w:rFonts w:hint="eastAsia" w:ascii="仿宋" w:eastAsia="仿宋"/>
          <w:sz w:val="32"/>
          <w:szCs w:val="32"/>
        </w:rPr>
        <w:t>（图3：支出决算结构图）（饼状图）</w:t>
      </w:r>
    </w:p>
    <w:p>
      <w:pPr>
        <w:spacing w:line="600" w:lineRule="exact"/>
        <w:ind w:firstLine="640" w:firstLineChars="200"/>
        <w:outlineLvl w:val="1"/>
        <w:rPr>
          <w:rStyle w:val="19"/>
          <w:rFonts w:ascii="黑体" w:eastAsia="黑体"/>
          <w:b w:val="0"/>
        </w:rPr>
      </w:pPr>
      <w:bookmarkStart w:id="24" w:name="_Toc15377208"/>
      <w:bookmarkStart w:id="25" w:name="_Toc15396606"/>
      <w:r>
        <w:rPr>
          <w:rFonts w:hint="eastAsia" w:ascii="黑体" w:eastAsia="黑体"/>
          <w:sz w:val="32"/>
          <w:szCs w:val="32"/>
        </w:rPr>
        <w:t>四、财</w:t>
      </w:r>
      <w:r>
        <w:rPr>
          <w:rStyle w:val="19"/>
          <w:rFonts w:hint="eastAsia" w:ascii="黑体" w:eastAsia="黑体"/>
          <w:b w:val="0"/>
        </w:rPr>
        <w:t>政拨款收入支出决算总体情况说明</w:t>
      </w:r>
      <w:bookmarkEnd w:id="24"/>
      <w:bookmarkEnd w:id="25"/>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21年财政拨款收、支总计</w:t>
      </w:r>
      <w:r>
        <w:rPr>
          <w:rFonts w:hint="eastAsia" w:ascii="仿宋" w:eastAsia="仿宋"/>
          <w:sz w:val="30"/>
          <w:szCs w:val="30"/>
        </w:rPr>
        <w:t>2006.66</w:t>
      </w:r>
      <w:r>
        <w:rPr>
          <w:rFonts w:hint="eastAsia" w:ascii="仿宋" w:eastAsia="仿宋"/>
          <w:sz w:val="32"/>
          <w:szCs w:val="32"/>
        </w:rPr>
        <w:t>万元。与</w:t>
      </w:r>
      <w:r>
        <w:rPr>
          <w:rFonts w:ascii="仿宋" w:eastAsia="仿宋"/>
          <w:sz w:val="32"/>
          <w:szCs w:val="32"/>
        </w:rPr>
        <w:t>20</w:t>
      </w:r>
      <w:r>
        <w:rPr>
          <w:rFonts w:hint="eastAsia" w:ascii="仿宋" w:eastAsia="仿宋"/>
          <w:sz w:val="32"/>
          <w:szCs w:val="32"/>
        </w:rPr>
        <w:t>20年相比，财政拨款收、支总计2979.69万元减少973.03万元，下降32.65</w:t>
      </w:r>
      <w:r>
        <w:rPr>
          <w:rFonts w:ascii="仿宋" w:eastAsia="仿宋"/>
          <w:sz w:val="32"/>
          <w:szCs w:val="32"/>
        </w:rPr>
        <w:t>%</w:t>
      </w:r>
      <w:r>
        <w:rPr>
          <w:rFonts w:hint="eastAsia" w:ascii="仿宋" w:eastAsia="仿宋"/>
          <w:sz w:val="32"/>
          <w:szCs w:val="32"/>
        </w:rPr>
        <w:t>。主要变动原因是社保接续工作养老保险资金减少。</w:t>
      </w:r>
    </w:p>
    <w:p>
      <w:pPr>
        <w:keepNext w:val="0"/>
        <w:keepLines w:val="0"/>
        <w:widowControl/>
        <w:suppressLineNumbers w:val="0"/>
        <w:jc w:val="center"/>
      </w:pPr>
      <w:r>
        <w:rPr>
          <w:rFonts w:ascii="宋体" w:eastAsia="宋体" w:cs="宋体"/>
          <w:kern w:val="0"/>
          <w:sz w:val="24"/>
          <w:szCs w:val="24"/>
          <w:lang w:val="en-US" w:eastAsia="zh-CN"/>
        </w:rPr>
        <w:drawing>
          <wp:inline distT="0" distB="0" distL="114300" distR="114300">
            <wp:extent cx="3752850" cy="2347595"/>
            <wp:effectExtent l="0" t="0" r="37" b="4"/>
            <wp:docPr id="13"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56"/>
                    <pic:cNvPicPr>
                      <a:picLocks noChangeAspect="1"/>
                    </pic:cNvPicPr>
                  </pic:nvPicPr>
                  <pic:blipFill>
                    <a:blip r:embed="rId16"/>
                    <a:stretch>
                      <a:fillRect/>
                    </a:stretch>
                  </pic:blipFill>
                  <pic:spPr>
                    <a:xfrm>
                      <a:off x="0" y="0"/>
                      <a:ext cx="3752850" cy="2347595"/>
                    </a:xfrm>
                    <a:prstGeom prst="rect">
                      <a:avLst/>
                    </a:prstGeom>
                    <a:noFill/>
                    <a:ln w="9525" cap="flat" cmpd="sng">
                      <a:noFill/>
                      <a:prstDash val="solid"/>
                      <a:round/>
                    </a:ln>
                  </pic:spPr>
                </pic:pic>
              </a:graphicData>
            </a:graphic>
          </wp:inline>
        </w:drawing>
      </w:r>
    </w:p>
    <w:p>
      <w:pPr>
        <w:spacing w:line="600" w:lineRule="exact"/>
        <w:ind w:firstLine="640" w:firstLineChars="200"/>
        <w:rPr>
          <w:rFonts w:ascii="仿宋" w:eastAsia="仿宋"/>
          <w:b/>
          <w:sz w:val="32"/>
          <w:szCs w:val="32"/>
        </w:rPr>
      </w:pPr>
      <w:r>
        <w:rPr>
          <w:rFonts w:hint="eastAsia" w:ascii="仿宋" w:eastAsia="仿宋"/>
          <w:sz w:val="32"/>
          <w:szCs w:val="32"/>
        </w:rPr>
        <w:t>（图4：财政拨款收、支决算总计变动情况）（柱状图）</w:t>
      </w:r>
    </w:p>
    <w:p>
      <w:pPr>
        <w:spacing w:line="600" w:lineRule="exact"/>
        <w:ind w:firstLine="640" w:firstLineChars="200"/>
        <w:outlineLvl w:val="1"/>
        <w:rPr>
          <w:rStyle w:val="19"/>
          <w:rFonts w:ascii="黑体" w:eastAsia="黑体"/>
          <w:b w:val="0"/>
        </w:rPr>
      </w:pPr>
      <w:bookmarkStart w:id="26" w:name="_Toc15377209"/>
      <w:bookmarkStart w:id="27" w:name="_Toc15396607"/>
      <w:r>
        <w:rPr>
          <w:rFonts w:hint="eastAsia" w:ascii="黑体" w:eastAsia="黑体"/>
          <w:sz w:val="32"/>
          <w:szCs w:val="32"/>
        </w:rPr>
        <w:t>五、</w:t>
      </w:r>
      <w:r>
        <w:rPr>
          <w:rFonts w:hint="eastAsia" w:ascii="黑体" w:eastAsia="黑体"/>
          <w:b/>
          <w:sz w:val="32"/>
          <w:szCs w:val="32"/>
        </w:rPr>
        <w:t>一</w:t>
      </w:r>
      <w:r>
        <w:rPr>
          <w:rStyle w:val="19"/>
          <w:rFonts w:hint="eastAsia" w:ascii="黑体" w:eastAsia="黑体"/>
          <w:b w:val="0"/>
        </w:rPr>
        <w:t>般公共预算财政拨款支出决算情况说明</w:t>
      </w:r>
      <w:bookmarkEnd w:id="26"/>
      <w:bookmarkEnd w:id="27"/>
    </w:p>
    <w:p>
      <w:pPr>
        <w:spacing w:line="600" w:lineRule="exact"/>
        <w:ind w:firstLine="640" w:firstLineChars="200"/>
        <w:outlineLvl w:val="2"/>
        <w:rPr>
          <w:rFonts w:ascii="仿宋" w:eastAsia="仿宋"/>
          <w:b/>
          <w:sz w:val="32"/>
          <w:szCs w:val="32"/>
        </w:rPr>
      </w:pPr>
      <w:bookmarkStart w:id="28" w:name="_Toc15377210"/>
      <w:r>
        <w:rPr>
          <w:rFonts w:hint="eastAsia" w:ascii="仿宋" w:eastAsia="仿宋"/>
          <w:b/>
          <w:sz w:val="32"/>
          <w:szCs w:val="32"/>
        </w:rPr>
        <w:t>（一）一般公共预算财政拨款支出决算总体情况</w:t>
      </w:r>
      <w:bookmarkEnd w:id="28"/>
    </w:p>
    <w:p>
      <w:pPr>
        <w:spacing w:line="60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21年一般公共预算财政拨款支出1848.95万元，占本年支出合计的92.99</w:t>
      </w:r>
      <w:r>
        <w:rPr>
          <w:rFonts w:ascii="仿宋" w:eastAsia="仿宋"/>
          <w:sz w:val="32"/>
          <w:szCs w:val="32"/>
        </w:rPr>
        <w:t>%</w:t>
      </w:r>
      <w:r>
        <w:rPr>
          <w:rFonts w:hint="eastAsia" w:ascii="仿宋" w:eastAsia="仿宋"/>
          <w:sz w:val="32"/>
          <w:szCs w:val="32"/>
        </w:rPr>
        <w:t>。与</w:t>
      </w:r>
      <w:r>
        <w:rPr>
          <w:rFonts w:ascii="仿宋" w:eastAsia="仿宋"/>
          <w:sz w:val="32"/>
          <w:szCs w:val="32"/>
        </w:rPr>
        <w:t>20</w:t>
      </w:r>
      <w:r>
        <w:rPr>
          <w:rFonts w:hint="eastAsia" w:ascii="仿宋" w:eastAsia="仿宋"/>
          <w:sz w:val="32"/>
          <w:szCs w:val="32"/>
        </w:rPr>
        <w:t>20年相比，一般公共预算财政拨款支出</w:t>
      </w:r>
      <w:r>
        <w:rPr>
          <w:rFonts w:hint="eastAsia" w:ascii="仿宋" w:eastAsia="仿宋"/>
          <w:color w:val="000000"/>
          <w:sz w:val="32"/>
          <w:szCs w:val="32"/>
        </w:rPr>
        <w:t>2809.81万元</w:t>
      </w:r>
      <w:r>
        <w:rPr>
          <w:rFonts w:hint="eastAsia" w:ascii="仿宋" w:eastAsia="仿宋"/>
          <w:sz w:val="32"/>
          <w:szCs w:val="32"/>
        </w:rPr>
        <w:t>减少960.86万元，下降34.19</w:t>
      </w:r>
      <w:r>
        <w:rPr>
          <w:rFonts w:ascii="仿宋" w:eastAsia="仿宋"/>
          <w:sz w:val="32"/>
          <w:szCs w:val="32"/>
        </w:rPr>
        <w:t>%</w:t>
      </w:r>
      <w:r>
        <w:rPr>
          <w:rFonts w:hint="eastAsia" w:ascii="仿宋" w:eastAsia="仿宋"/>
          <w:sz w:val="32"/>
          <w:szCs w:val="32"/>
        </w:rPr>
        <w:t>。主要变动原因是社保接续工作养老保险资金减少。</w:t>
      </w:r>
    </w:p>
    <w:p>
      <w:pPr>
        <w:keepNext w:val="0"/>
        <w:keepLines w:val="0"/>
        <w:widowControl/>
        <w:suppressLineNumbers w:val="0"/>
        <w:jc w:val="center"/>
        <w:rPr>
          <w:rFonts w:hint="eastAsia" w:ascii="仿宋" w:eastAsia="仿宋"/>
          <w:sz w:val="32"/>
          <w:szCs w:val="32"/>
        </w:rPr>
      </w:pPr>
      <w:r>
        <w:rPr>
          <w:rFonts w:ascii="宋体" w:eastAsia="宋体" w:cs="宋体"/>
          <w:kern w:val="0"/>
          <w:sz w:val="24"/>
          <w:szCs w:val="24"/>
          <w:lang w:val="en-US" w:eastAsia="zh-CN"/>
        </w:rPr>
        <w:drawing>
          <wp:inline distT="0" distB="0" distL="114300" distR="114300">
            <wp:extent cx="3583940" cy="2147570"/>
            <wp:effectExtent l="0" t="0" r="24" b="2"/>
            <wp:docPr id="16"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56"/>
                    <pic:cNvPicPr>
                      <a:picLocks noChangeAspect="1"/>
                    </pic:cNvPicPr>
                  </pic:nvPicPr>
                  <pic:blipFill>
                    <a:blip r:embed="rId17"/>
                    <a:stretch>
                      <a:fillRect/>
                    </a:stretch>
                  </pic:blipFill>
                  <pic:spPr>
                    <a:xfrm>
                      <a:off x="0" y="0"/>
                      <a:ext cx="3583940" cy="2147570"/>
                    </a:xfrm>
                    <a:prstGeom prst="rect">
                      <a:avLst/>
                    </a:prstGeom>
                    <a:noFill/>
                    <a:ln w="9525" cap="flat" cmpd="sng">
                      <a:noFill/>
                      <a:prstDash val="solid"/>
                      <a:round/>
                    </a:ln>
                  </pic:spPr>
                </pic:pic>
              </a:graphicData>
            </a:graphic>
          </wp:inline>
        </w:drawing>
      </w:r>
    </w:p>
    <w:p>
      <w:pPr>
        <w:spacing w:line="600" w:lineRule="exact"/>
        <w:ind w:firstLine="320" w:firstLineChars="100"/>
        <w:rPr>
          <w:rFonts w:ascii="仿宋" w:eastAsia="仿宋"/>
          <w:sz w:val="32"/>
          <w:szCs w:val="32"/>
        </w:rPr>
      </w:pPr>
      <w:r>
        <w:rPr>
          <w:rFonts w:hint="eastAsia" w:ascii="仿宋" w:eastAsia="仿宋"/>
          <w:sz w:val="32"/>
          <w:szCs w:val="32"/>
        </w:rPr>
        <w:t>（图5：一般公共预算财政拨款支出决算变动情况）（柱状图）</w:t>
      </w:r>
    </w:p>
    <w:p>
      <w:pPr>
        <w:spacing w:line="600" w:lineRule="exact"/>
        <w:ind w:firstLine="640" w:firstLineChars="200"/>
        <w:outlineLvl w:val="2"/>
        <w:rPr>
          <w:rFonts w:ascii="仿宋" w:eastAsia="仿宋"/>
          <w:b/>
          <w:sz w:val="32"/>
          <w:szCs w:val="32"/>
        </w:rPr>
      </w:pPr>
      <w:bookmarkStart w:id="29" w:name="_Toc15377211"/>
      <w:r>
        <w:rPr>
          <w:rFonts w:hint="eastAsia" w:ascii="仿宋" w:eastAsia="仿宋"/>
          <w:b/>
          <w:sz w:val="32"/>
          <w:szCs w:val="32"/>
        </w:rPr>
        <w:t>（二）一般公共预算财政拨款支出决算结构情况</w:t>
      </w:r>
      <w:bookmarkEnd w:id="29"/>
    </w:p>
    <w:p>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21年一般公共预算财政拨款支出1848.95万元，主要用于以下方面</w:t>
      </w:r>
      <w:r>
        <w:rPr>
          <w:rFonts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支出1814.70万元，占98.15</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卫生健康支出</w:t>
      </w:r>
      <w:r>
        <w:rPr>
          <w:rFonts w:hint="eastAsia" w:ascii="仿宋" w:eastAsia="仿宋"/>
          <w:sz w:val="32"/>
          <w:szCs w:val="32"/>
        </w:rPr>
        <w:t>10.09万元，占0.55</w:t>
      </w:r>
      <w:r>
        <w:rPr>
          <w:rFonts w:ascii="仿宋" w:eastAsia="仿宋"/>
          <w:sz w:val="32"/>
          <w:szCs w:val="32"/>
        </w:rPr>
        <w:t>%</w:t>
      </w:r>
      <w:r>
        <w:rPr>
          <w:rFonts w:hint="eastAsia" w:ascii="仿宋" w:eastAsia="仿宋"/>
          <w:sz w:val="32"/>
          <w:szCs w:val="32"/>
        </w:rPr>
        <w:t>；住房保障支出24.16万元，占1.30</w:t>
      </w:r>
      <w:r>
        <w:rPr>
          <w:rFonts w:ascii="仿宋" w:eastAsia="仿宋"/>
          <w:sz w:val="32"/>
          <w:szCs w:val="32"/>
        </w:rPr>
        <w:t>%</w:t>
      </w:r>
      <w:r>
        <w:rPr>
          <w:rFonts w:hint="eastAsia" w:ascii="仿宋" w:eastAsia="仿宋"/>
          <w:sz w:val="32"/>
          <w:szCs w:val="32"/>
        </w:rPr>
        <w:t>。</w:t>
      </w:r>
    </w:p>
    <w:p>
      <w:pPr>
        <w:spacing w:line="600" w:lineRule="exact"/>
        <w:ind w:firstLine="640"/>
        <w:rPr>
          <w:rFonts w:ascii="仿宋" w:eastAsia="仿宋"/>
          <w:sz w:val="32"/>
          <w:szCs w:val="32"/>
        </w:rPr>
      </w:pPr>
    </w:p>
    <w:p>
      <w:pPr>
        <w:keepNext w:val="0"/>
        <w:keepLines w:val="0"/>
        <w:widowControl/>
        <w:suppressLineNumbers w:val="0"/>
        <w:jc w:val="center"/>
      </w:pPr>
      <w:r>
        <w:rPr>
          <w:rFonts w:ascii="宋体" w:eastAsia="宋体" w:cs="宋体"/>
          <w:kern w:val="0"/>
          <w:sz w:val="24"/>
          <w:szCs w:val="24"/>
          <w:lang w:val="en-US" w:eastAsia="zh-CN"/>
        </w:rPr>
        <w:drawing>
          <wp:inline distT="0" distB="0" distL="114300" distR="114300">
            <wp:extent cx="3808730" cy="2125345"/>
            <wp:effectExtent l="0" t="0" r="27" b="31"/>
            <wp:docPr id="19"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IMG_256"/>
                    <pic:cNvPicPr>
                      <a:picLocks noChangeAspect="1"/>
                    </pic:cNvPicPr>
                  </pic:nvPicPr>
                  <pic:blipFill>
                    <a:blip r:embed="rId18"/>
                    <a:stretch>
                      <a:fillRect/>
                    </a:stretch>
                  </pic:blipFill>
                  <pic:spPr>
                    <a:xfrm>
                      <a:off x="0" y="0"/>
                      <a:ext cx="3808730" cy="2125345"/>
                    </a:xfrm>
                    <a:prstGeom prst="rect">
                      <a:avLst/>
                    </a:prstGeom>
                    <a:noFill/>
                    <a:ln w="9525" cap="flat" cmpd="sng">
                      <a:noFill/>
                      <a:prstDash val="solid"/>
                      <a:round/>
                    </a:ln>
                  </pic:spPr>
                </pic:pic>
              </a:graphicData>
            </a:graphic>
          </wp:inline>
        </w:drawing>
      </w:r>
    </w:p>
    <w:p>
      <w:pPr>
        <w:spacing w:line="600" w:lineRule="exact"/>
        <w:rPr>
          <w:rFonts w:ascii="仿宋" w:eastAsia="仿宋"/>
          <w:sz w:val="32"/>
          <w:szCs w:val="32"/>
        </w:rPr>
      </w:pPr>
      <w:r>
        <w:rPr>
          <w:rFonts w:hint="eastAsia" w:ascii="仿宋" w:eastAsia="仿宋"/>
          <w:sz w:val="32"/>
          <w:szCs w:val="32"/>
        </w:rPr>
        <w:t>（图6：一般公共预算财政拨款支出决算结构）（饼状图）</w:t>
      </w:r>
    </w:p>
    <w:p>
      <w:pPr>
        <w:spacing w:line="600" w:lineRule="exact"/>
        <w:ind w:firstLine="640" w:firstLineChars="200"/>
        <w:outlineLvl w:val="2"/>
        <w:rPr>
          <w:rFonts w:ascii="仿宋" w:eastAsia="仿宋"/>
          <w:b/>
          <w:sz w:val="32"/>
          <w:szCs w:val="32"/>
        </w:rPr>
      </w:pPr>
      <w:bookmarkStart w:id="30" w:name="_Toc15377212"/>
      <w:r>
        <w:rPr>
          <w:rFonts w:hint="eastAsia" w:ascii="仿宋" w:eastAsia="仿宋"/>
          <w:b/>
          <w:sz w:val="32"/>
          <w:szCs w:val="32"/>
        </w:rPr>
        <w:t>（三）一般公共预算财政拨款支出决算具体情况</w:t>
      </w:r>
      <w:bookmarkEnd w:id="30"/>
    </w:p>
    <w:p>
      <w:pPr>
        <w:spacing w:line="600" w:lineRule="exact"/>
        <w:ind w:firstLine="640" w:firstLineChars="200"/>
        <w:rPr>
          <w:rStyle w:val="16"/>
          <w:rFonts w:ascii="仿宋" w:eastAsia="仿宋"/>
          <w:bCs/>
          <w:sz w:val="32"/>
          <w:szCs w:val="32"/>
        </w:rPr>
      </w:pPr>
      <w:bookmarkStart w:id="31" w:name="_Toc15377213"/>
      <w:bookmarkStart w:id="32" w:name="_Toc15378460"/>
      <w:bookmarkStart w:id="33" w:name="_Toc15377444"/>
      <w:r>
        <w:rPr>
          <w:rFonts w:hint="eastAsia" w:ascii="仿宋" w:eastAsia="仿宋"/>
          <w:b/>
          <w:sz w:val="32"/>
          <w:szCs w:val="32"/>
        </w:rPr>
        <w:t>2021年一般公共预算支出决算数为1848.95</w:t>
      </w:r>
      <w:r>
        <w:rPr>
          <w:rFonts w:hint="eastAsia" w:ascii="仿宋" w:eastAsia="仿宋"/>
          <w:b/>
          <w:sz w:val="32"/>
          <w:szCs w:val="32"/>
          <w:lang w:val="en-US" w:eastAsia="zh-CN"/>
        </w:rPr>
        <w:t>万元</w:t>
      </w:r>
      <w:r>
        <w:rPr>
          <w:rFonts w:hint="eastAsia" w:ascii="仿宋" w:eastAsia="仿宋"/>
          <w:sz w:val="32"/>
          <w:szCs w:val="32"/>
        </w:rPr>
        <w:t>，</w:t>
      </w:r>
      <w:r>
        <w:rPr>
          <w:rStyle w:val="16"/>
          <w:rFonts w:hint="eastAsia" w:ascii="仿宋" w:eastAsia="仿宋"/>
          <w:bCs/>
          <w:sz w:val="32"/>
          <w:szCs w:val="32"/>
        </w:rPr>
        <w:t>完成预算92.14</w:t>
      </w:r>
      <w:r>
        <w:rPr>
          <w:rStyle w:val="16"/>
          <w:rFonts w:ascii="仿宋" w:eastAsia="仿宋"/>
          <w:bCs/>
          <w:sz w:val="32"/>
          <w:szCs w:val="32"/>
        </w:rPr>
        <w:t>%</w:t>
      </w:r>
      <w:r>
        <w:rPr>
          <w:rStyle w:val="16"/>
          <w:rFonts w:hint="eastAsia" w:ascii="仿宋" w:eastAsia="仿宋"/>
          <w:bCs/>
          <w:sz w:val="32"/>
          <w:szCs w:val="32"/>
        </w:rPr>
        <w:t>。其中：</w:t>
      </w:r>
      <w:bookmarkEnd w:id="31"/>
      <w:bookmarkEnd w:id="32"/>
      <w:bookmarkEnd w:id="33"/>
    </w:p>
    <w:p>
      <w:pPr>
        <w:spacing w:line="600" w:lineRule="exact"/>
        <w:ind w:firstLine="640" w:firstLineChars="200"/>
        <w:rPr>
          <w:rStyle w:val="16"/>
          <w:rFonts w:ascii="仿宋" w:eastAsia="仿宋"/>
          <w:b w:val="0"/>
          <w:bCs/>
          <w:color w:val="000000"/>
          <w:sz w:val="32"/>
          <w:szCs w:val="32"/>
        </w:rPr>
      </w:pPr>
      <w:r>
        <w:rPr>
          <w:rStyle w:val="16"/>
          <w:rFonts w:hint="eastAsia" w:ascii="仿宋" w:eastAsia="仿宋"/>
          <w:bCs/>
          <w:color w:val="000000"/>
          <w:sz w:val="32"/>
          <w:szCs w:val="32"/>
        </w:rPr>
        <w:t>1</w:t>
      </w:r>
      <w:r>
        <w:rPr>
          <w:rStyle w:val="16"/>
          <w:rFonts w:ascii="仿宋" w:eastAsia="仿宋"/>
          <w:bCs/>
          <w:color w:val="000000"/>
          <w:sz w:val="32"/>
          <w:szCs w:val="32"/>
        </w:rPr>
        <w:t>.</w:t>
      </w:r>
      <w:r>
        <w:rPr>
          <w:rStyle w:val="16"/>
          <w:rFonts w:hint="eastAsia" w:ascii="仿宋" w:eastAsia="仿宋"/>
          <w:bCs/>
          <w:color w:val="000000"/>
          <w:sz w:val="32"/>
          <w:szCs w:val="32"/>
        </w:rPr>
        <w:t>社会保障和就业（类）行政事业单位养老支出（款）机关事业单位基本养老保险缴费支出（项）</w:t>
      </w:r>
      <w:r>
        <w:rPr>
          <w:rStyle w:val="16"/>
          <w:rFonts w:ascii="仿宋" w:eastAsia="仿宋"/>
          <w:bCs/>
          <w:color w:val="000000"/>
          <w:sz w:val="32"/>
          <w:szCs w:val="32"/>
        </w:rPr>
        <w:t>:</w:t>
      </w:r>
      <w:r>
        <w:rPr>
          <w:rStyle w:val="16"/>
          <w:rFonts w:ascii="仿宋" w:eastAsia="仿宋"/>
          <w:b w:val="0"/>
          <w:bCs/>
          <w:color w:val="000000"/>
          <w:sz w:val="32"/>
          <w:szCs w:val="32"/>
        </w:rPr>
        <w:t xml:space="preserve"> </w:t>
      </w:r>
      <w:r>
        <w:rPr>
          <w:rStyle w:val="16"/>
          <w:rFonts w:hint="eastAsia" w:ascii="仿宋" w:eastAsia="仿宋"/>
          <w:b w:val="0"/>
          <w:bCs/>
          <w:color w:val="000000"/>
          <w:sz w:val="32"/>
          <w:szCs w:val="32"/>
        </w:rPr>
        <w:t>支出决算为19.98万元，完成预算100</w:t>
      </w:r>
      <w:r>
        <w:rPr>
          <w:rStyle w:val="16"/>
          <w:rFonts w:ascii="仿宋" w:eastAsia="仿宋"/>
          <w:b w:val="0"/>
          <w:bCs/>
          <w:color w:val="000000"/>
          <w:sz w:val="32"/>
          <w:szCs w:val="32"/>
        </w:rPr>
        <w:t>%</w:t>
      </w:r>
      <w:r>
        <w:rPr>
          <w:rStyle w:val="16"/>
          <w:rFonts w:hint="eastAsia" w:ascii="仿宋" w:eastAsia="仿宋"/>
          <w:b w:val="0"/>
          <w:bCs/>
          <w:color w:val="000000"/>
          <w:sz w:val="32"/>
          <w:szCs w:val="32"/>
        </w:rPr>
        <w:t>，决算数等于预算数。</w:t>
      </w:r>
    </w:p>
    <w:p>
      <w:pPr>
        <w:spacing w:line="600" w:lineRule="exact"/>
        <w:ind w:firstLine="640" w:firstLineChars="200"/>
        <w:rPr>
          <w:rStyle w:val="16"/>
          <w:rFonts w:ascii="仿宋" w:eastAsia="仿宋"/>
          <w:b w:val="0"/>
          <w:bCs/>
          <w:color w:val="000000"/>
          <w:sz w:val="32"/>
          <w:szCs w:val="32"/>
        </w:rPr>
      </w:pPr>
      <w:r>
        <w:rPr>
          <w:rStyle w:val="16"/>
          <w:rFonts w:hint="eastAsia" w:ascii="仿宋" w:eastAsia="仿宋"/>
          <w:bCs/>
          <w:color w:val="000000"/>
          <w:sz w:val="32"/>
          <w:szCs w:val="32"/>
        </w:rPr>
        <w:t>2. 社会保障和就业（类）抚恤（款）优抚事业单位支出（项）:</w:t>
      </w:r>
      <w:r>
        <w:rPr>
          <w:rStyle w:val="16"/>
          <w:rFonts w:hint="eastAsia" w:ascii="仿宋" w:eastAsia="仿宋"/>
          <w:b w:val="0"/>
          <w:bCs/>
          <w:color w:val="000000"/>
          <w:sz w:val="32"/>
          <w:szCs w:val="32"/>
        </w:rPr>
        <w:t>支出决算为23.37万元，完成预算99</w:t>
      </w:r>
      <w:r>
        <w:rPr>
          <w:rStyle w:val="16"/>
          <w:rFonts w:ascii="仿宋" w:eastAsia="仿宋"/>
          <w:b w:val="0"/>
          <w:bCs/>
          <w:color w:val="000000"/>
          <w:sz w:val="32"/>
          <w:szCs w:val="32"/>
        </w:rPr>
        <w:t>%</w:t>
      </w:r>
      <w:r>
        <w:rPr>
          <w:rStyle w:val="16"/>
          <w:rFonts w:hint="eastAsia" w:ascii="仿宋" w:eastAsia="仿宋"/>
          <w:b w:val="0"/>
          <w:bCs/>
          <w:color w:val="000000"/>
          <w:sz w:val="32"/>
          <w:szCs w:val="32"/>
        </w:rPr>
        <w:t>，决算数小于预算数，主要原因是项目资金未支付完。</w:t>
      </w:r>
    </w:p>
    <w:p>
      <w:pPr>
        <w:spacing w:line="600" w:lineRule="exact"/>
        <w:ind w:firstLine="640" w:firstLineChars="200"/>
        <w:rPr>
          <w:rStyle w:val="16"/>
          <w:rFonts w:ascii="仿宋" w:eastAsia="仿宋"/>
          <w:b w:val="0"/>
          <w:bCs/>
          <w:color w:val="000000"/>
          <w:sz w:val="32"/>
          <w:szCs w:val="32"/>
        </w:rPr>
      </w:pPr>
      <w:r>
        <w:rPr>
          <w:rStyle w:val="16"/>
          <w:rFonts w:hint="eastAsia" w:ascii="仿宋" w:eastAsia="仿宋" w:cs="Arial"/>
          <w:bCs/>
          <w:color w:val="000000"/>
          <w:sz w:val="32"/>
          <w:szCs w:val="32"/>
        </w:rPr>
        <w:t>3</w:t>
      </w:r>
      <w:r>
        <w:rPr>
          <w:rStyle w:val="16"/>
          <w:rFonts w:hint="eastAsia" w:ascii="仿宋" w:eastAsia="仿宋"/>
          <w:b w:val="0"/>
          <w:bCs/>
          <w:color w:val="000000"/>
          <w:sz w:val="32"/>
          <w:szCs w:val="32"/>
        </w:rPr>
        <w:t>.</w:t>
      </w:r>
      <w:r>
        <w:rPr>
          <w:rStyle w:val="16"/>
          <w:rFonts w:hint="eastAsia" w:ascii="仿宋" w:eastAsia="仿宋"/>
          <w:bCs/>
          <w:color w:val="000000"/>
          <w:sz w:val="32"/>
          <w:szCs w:val="32"/>
        </w:rPr>
        <w:t>社会保障和就业（类）抚恤（款）其他优抚支出 （项）</w:t>
      </w:r>
      <w:r>
        <w:rPr>
          <w:rStyle w:val="16"/>
          <w:rFonts w:ascii="仿宋" w:eastAsia="仿宋"/>
          <w:bCs/>
          <w:color w:val="000000"/>
          <w:sz w:val="32"/>
          <w:szCs w:val="32"/>
        </w:rPr>
        <w:t>:</w:t>
      </w:r>
      <w:r>
        <w:rPr>
          <w:rStyle w:val="16"/>
          <w:rFonts w:ascii="仿宋" w:eastAsia="仿宋"/>
          <w:b w:val="0"/>
          <w:bCs/>
          <w:color w:val="000000"/>
          <w:sz w:val="32"/>
          <w:szCs w:val="32"/>
        </w:rPr>
        <w:t xml:space="preserve"> </w:t>
      </w:r>
      <w:r>
        <w:rPr>
          <w:rStyle w:val="16"/>
          <w:rFonts w:hint="eastAsia" w:ascii="仿宋" w:eastAsia="仿宋"/>
          <w:b w:val="0"/>
          <w:bCs/>
          <w:color w:val="000000"/>
          <w:sz w:val="32"/>
          <w:szCs w:val="32"/>
        </w:rPr>
        <w:t>支出决算为19.09万元，完成预算99.88</w:t>
      </w:r>
      <w:r>
        <w:rPr>
          <w:rStyle w:val="16"/>
          <w:rFonts w:ascii="仿宋" w:eastAsia="仿宋"/>
          <w:b w:val="0"/>
          <w:bCs/>
          <w:color w:val="000000"/>
          <w:sz w:val="32"/>
          <w:szCs w:val="32"/>
        </w:rPr>
        <w:t>%</w:t>
      </w:r>
      <w:r>
        <w:rPr>
          <w:rStyle w:val="16"/>
          <w:rFonts w:hint="eastAsia" w:ascii="仿宋" w:eastAsia="仿宋"/>
          <w:b w:val="0"/>
          <w:bCs/>
          <w:color w:val="000000"/>
          <w:sz w:val="32"/>
          <w:szCs w:val="32"/>
        </w:rPr>
        <w:t>，决算数小于预算数，主要原因是项目支付完的剩余资金。</w:t>
      </w:r>
    </w:p>
    <w:p>
      <w:pPr>
        <w:spacing w:line="600" w:lineRule="exact"/>
        <w:ind w:firstLine="640" w:firstLineChars="200"/>
        <w:rPr>
          <w:rStyle w:val="16"/>
          <w:rFonts w:ascii="仿宋" w:eastAsia="仿宋"/>
          <w:b w:val="0"/>
          <w:bCs/>
          <w:color w:val="000000"/>
          <w:sz w:val="32"/>
          <w:szCs w:val="32"/>
        </w:rPr>
      </w:pPr>
      <w:r>
        <w:rPr>
          <w:rStyle w:val="16"/>
          <w:rFonts w:hint="eastAsia" w:ascii="仿宋" w:eastAsia="仿宋"/>
          <w:bCs/>
          <w:color w:val="000000"/>
          <w:sz w:val="32"/>
          <w:szCs w:val="32"/>
        </w:rPr>
        <w:t>4. 社会保障和就业（类）退役安置(款)军队移交政府离退休干部管理机构（项）</w:t>
      </w:r>
      <w:r>
        <w:rPr>
          <w:rStyle w:val="16"/>
          <w:rFonts w:ascii="仿宋" w:eastAsia="仿宋"/>
          <w:bCs/>
          <w:color w:val="000000"/>
          <w:sz w:val="32"/>
          <w:szCs w:val="32"/>
        </w:rPr>
        <w:t>:</w:t>
      </w:r>
      <w:r>
        <w:rPr>
          <w:rStyle w:val="16"/>
          <w:rFonts w:ascii="仿宋" w:eastAsia="仿宋"/>
          <w:b w:val="0"/>
          <w:bCs/>
          <w:color w:val="000000"/>
          <w:sz w:val="32"/>
          <w:szCs w:val="32"/>
        </w:rPr>
        <w:t xml:space="preserve"> </w:t>
      </w:r>
      <w:r>
        <w:rPr>
          <w:rStyle w:val="16"/>
          <w:rFonts w:hint="eastAsia" w:ascii="仿宋" w:eastAsia="仿宋"/>
          <w:b w:val="0"/>
          <w:bCs/>
          <w:color w:val="000000"/>
          <w:sz w:val="32"/>
          <w:szCs w:val="32"/>
        </w:rPr>
        <w:t>支出决算为10.70万元，完成预算46.38</w:t>
      </w:r>
      <w:r>
        <w:rPr>
          <w:rStyle w:val="16"/>
          <w:rFonts w:ascii="仿宋" w:eastAsia="仿宋"/>
          <w:b w:val="0"/>
          <w:bCs/>
          <w:color w:val="000000"/>
          <w:sz w:val="32"/>
          <w:szCs w:val="32"/>
        </w:rPr>
        <w:t>%</w:t>
      </w:r>
      <w:r>
        <w:rPr>
          <w:rStyle w:val="16"/>
          <w:rFonts w:hint="eastAsia" w:ascii="仿宋" w:eastAsia="仿宋"/>
          <w:b w:val="0"/>
          <w:bCs/>
          <w:color w:val="000000"/>
          <w:sz w:val="32"/>
          <w:szCs w:val="32"/>
        </w:rPr>
        <w:t>，决算数小于预算数，主要原因是关爱基金时间下拨较晚无法完成支付</w:t>
      </w:r>
      <w:r>
        <w:rPr>
          <w:rStyle w:val="16"/>
          <w:rFonts w:ascii="仿宋" w:eastAsia="仿宋"/>
          <w:b w:val="0"/>
          <w:bCs/>
          <w:color w:val="000000"/>
          <w:sz w:val="32"/>
          <w:szCs w:val="32"/>
        </w:rPr>
        <w:t>，军休管理机构经费待支付。</w:t>
      </w:r>
    </w:p>
    <w:p>
      <w:pPr>
        <w:spacing w:line="570" w:lineRule="exact"/>
        <w:ind w:firstLine="640" w:firstLineChars="200"/>
        <w:rPr>
          <w:rStyle w:val="16"/>
          <w:rFonts w:ascii="仿宋" w:eastAsia="仿宋"/>
          <w:b w:val="0"/>
          <w:bCs/>
          <w:color w:val="000000"/>
          <w:sz w:val="32"/>
          <w:szCs w:val="32"/>
        </w:rPr>
      </w:pPr>
      <w:r>
        <w:rPr>
          <w:rStyle w:val="16"/>
          <w:rFonts w:hint="eastAsia" w:ascii="仿宋" w:eastAsia="仿宋"/>
          <w:b w:val="0"/>
          <w:bCs/>
          <w:color w:val="000000"/>
          <w:sz w:val="32"/>
          <w:szCs w:val="32"/>
        </w:rPr>
        <w:t>5.</w:t>
      </w:r>
      <w:r>
        <w:rPr>
          <w:rStyle w:val="16"/>
          <w:rFonts w:hint="eastAsia" w:ascii="仿宋" w:eastAsia="仿宋"/>
          <w:bCs/>
          <w:color w:val="000000"/>
          <w:sz w:val="32"/>
          <w:szCs w:val="32"/>
        </w:rPr>
        <w:t>社会保障和就业（类）退役安置(款)</w:t>
      </w:r>
      <w:r>
        <w:rPr>
          <w:rStyle w:val="16"/>
          <w:rFonts w:hint="eastAsia" w:ascii="仿宋" w:eastAsia="仿宋" w:cs="Arial"/>
          <w:bCs/>
          <w:color w:val="000000"/>
          <w:sz w:val="32"/>
          <w:szCs w:val="32"/>
        </w:rPr>
        <w:t>军队转业干部安置（项）</w:t>
      </w:r>
      <w:r>
        <w:rPr>
          <w:rStyle w:val="16"/>
          <w:rFonts w:hint="eastAsia" w:ascii="仿宋" w:eastAsia="仿宋"/>
          <w:b w:val="0"/>
          <w:bCs/>
          <w:color w:val="000000"/>
          <w:sz w:val="32"/>
          <w:szCs w:val="32"/>
        </w:rPr>
        <w:t>：支出决算为59.42万元，完成预算58.09</w:t>
      </w:r>
      <w:r>
        <w:rPr>
          <w:rStyle w:val="16"/>
          <w:rFonts w:ascii="仿宋" w:eastAsia="仿宋"/>
          <w:b w:val="0"/>
          <w:bCs/>
          <w:color w:val="000000"/>
          <w:sz w:val="32"/>
          <w:szCs w:val="32"/>
        </w:rPr>
        <w:t>%</w:t>
      </w:r>
      <w:r>
        <w:rPr>
          <w:rStyle w:val="16"/>
          <w:rFonts w:hint="eastAsia" w:ascii="仿宋" w:eastAsia="仿宋"/>
          <w:b w:val="0"/>
          <w:bCs/>
          <w:color w:val="000000"/>
          <w:sz w:val="32"/>
          <w:szCs w:val="32"/>
        </w:rPr>
        <w:t>，决算数小于预算数。</w:t>
      </w:r>
      <w:r>
        <w:rPr>
          <w:rFonts w:hint="eastAsia" w:ascii="仿宋_GB2312" w:eastAsia="仿宋_GB2312" w:cs="仿宋_GB2312"/>
          <w:color w:val="000000"/>
          <w:sz w:val="32"/>
          <w:szCs w:val="32"/>
        </w:rPr>
        <w:t>决算数小于预算数，主要原因是军转干部行政经费未支付完结，资金待支付。</w:t>
      </w:r>
      <w:r>
        <w:rPr>
          <w:rStyle w:val="16"/>
          <w:rFonts w:hint="eastAsia" w:ascii="仿宋" w:eastAsia="仿宋"/>
          <w:b w:val="0"/>
          <w:bCs/>
          <w:color w:val="000000"/>
          <w:sz w:val="32"/>
          <w:szCs w:val="32"/>
        </w:rPr>
        <w:t xml:space="preserve">     </w:t>
      </w:r>
    </w:p>
    <w:p>
      <w:pPr>
        <w:spacing w:line="600" w:lineRule="exact"/>
        <w:ind w:firstLine="640" w:firstLineChars="200"/>
        <w:rPr>
          <w:rStyle w:val="16"/>
          <w:rFonts w:ascii="仿宋" w:eastAsia="仿宋"/>
          <w:b w:val="0"/>
          <w:bCs/>
          <w:color w:val="000000"/>
          <w:sz w:val="32"/>
          <w:szCs w:val="32"/>
        </w:rPr>
      </w:pPr>
      <w:r>
        <w:rPr>
          <w:rStyle w:val="16"/>
          <w:rFonts w:hint="eastAsia" w:ascii="仿宋" w:eastAsia="仿宋"/>
          <w:b w:val="0"/>
          <w:bCs/>
          <w:color w:val="000000"/>
          <w:sz w:val="32"/>
          <w:szCs w:val="32"/>
        </w:rPr>
        <w:t>6.</w:t>
      </w:r>
      <w:r>
        <w:rPr>
          <w:rStyle w:val="16"/>
          <w:rFonts w:hint="eastAsia" w:ascii="仿宋" w:eastAsia="仿宋"/>
          <w:bCs/>
          <w:color w:val="000000"/>
          <w:sz w:val="32"/>
          <w:szCs w:val="32"/>
        </w:rPr>
        <w:t>社会保障和就业（类）退役安置(款)</w:t>
      </w:r>
      <w:r>
        <w:rPr>
          <w:rStyle w:val="16"/>
          <w:rFonts w:hint="eastAsia" w:ascii="仿宋" w:eastAsia="仿宋" w:cs="Arial"/>
          <w:bCs/>
          <w:color w:val="000000"/>
          <w:sz w:val="32"/>
          <w:szCs w:val="32"/>
        </w:rPr>
        <w:t>其他退役安置支出（项）：</w:t>
      </w:r>
      <w:r>
        <w:rPr>
          <w:rStyle w:val="16"/>
          <w:rFonts w:hint="eastAsia" w:ascii="仿宋" w:eastAsia="仿宋"/>
          <w:b w:val="0"/>
          <w:bCs/>
          <w:color w:val="000000"/>
          <w:sz w:val="32"/>
          <w:szCs w:val="32"/>
        </w:rPr>
        <w:t>支出决算为3.78万元，完成预算100</w:t>
      </w:r>
      <w:r>
        <w:rPr>
          <w:rStyle w:val="16"/>
          <w:rFonts w:ascii="仿宋" w:eastAsia="仿宋"/>
          <w:b w:val="0"/>
          <w:bCs/>
          <w:color w:val="000000"/>
          <w:sz w:val="32"/>
          <w:szCs w:val="32"/>
        </w:rPr>
        <w:t>%</w:t>
      </w:r>
      <w:r>
        <w:rPr>
          <w:rStyle w:val="16"/>
          <w:rFonts w:hint="eastAsia" w:ascii="仿宋" w:eastAsia="仿宋"/>
          <w:b w:val="0"/>
          <w:bCs/>
          <w:color w:val="000000"/>
          <w:sz w:val="32"/>
          <w:szCs w:val="32"/>
        </w:rPr>
        <w:t>，决算数等于预算数。</w:t>
      </w:r>
    </w:p>
    <w:p>
      <w:pPr>
        <w:spacing w:line="600" w:lineRule="exact"/>
        <w:ind w:firstLine="640" w:firstLineChars="200"/>
        <w:rPr>
          <w:rStyle w:val="16"/>
          <w:rFonts w:ascii="仿宋" w:eastAsia="仿宋"/>
          <w:b w:val="0"/>
          <w:bCs/>
          <w:color w:val="000000"/>
          <w:sz w:val="32"/>
          <w:szCs w:val="32"/>
        </w:rPr>
      </w:pPr>
      <w:r>
        <w:rPr>
          <w:rStyle w:val="16"/>
          <w:rFonts w:hint="eastAsia" w:ascii="仿宋" w:eastAsia="仿宋"/>
          <w:b w:val="0"/>
          <w:bCs/>
          <w:color w:val="000000"/>
          <w:sz w:val="32"/>
          <w:szCs w:val="32"/>
        </w:rPr>
        <w:t>7</w:t>
      </w:r>
      <w:r>
        <w:rPr>
          <w:rStyle w:val="16"/>
          <w:rFonts w:hint="eastAsia" w:ascii="仿宋" w:eastAsia="仿宋"/>
          <w:bCs/>
          <w:color w:val="000000"/>
          <w:sz w:val="32"/>
          <w:szCs w:val="32"/>
        </w:rPr>
        <w:t>.社会保障和就业（类）退役军人管理事务(款)行政运行（项）：</w:t>
      </w:r>
      <w:r>
        <w:rPr>
          <w:rStyle w:val="16"/>
          <w:rFonts w:hint="eastAsia" w:ascii="仿宋" w:eastAsia="仿宋"/>
          <w:b w:val="0"/>
          <w:bCs/>
          <w:color w:val="000000"/>
          <w:sz w:val="32"/>
          <w:szCs w:val="32"/>
        </w:rPr>
        <w:t>支出决算为277.27万元，完成预算82.33</w:t>
      </w:r>
      <w:r>
        <w:rPr>
          <w:rStyle w:val="16"/>
          <w:rFonts w:ascii="仿宋" w:eastAsia="仿宋"/>
          <w:b w:val="0"/>
          <w:bCs/>
          <w:color w:val="000000"/>
          <w:sz w:val="32"/>
          <w:szCs w:val="32"/>
        </w:rPr>
        <w:t>%</w:t>
      </w:r>
      <w:r>
        <w:rPr>
          <w:rStyle w:val="16"/>
          <w:rFonts w:hint="eastAsia" w:ascii="仿宋" w:eastAsia="仿宋"/>
          <w:b w:val="0"/>
          <w:bCs/>
          <w:color w:val="000000"/>
          <w:sz w:val="32"/>
          <w:szCs w:val="32"/>
        </w:rPr>
        <w:t>，决算数小于预算数。主要原因是部分资金未完成支付。</w:t>
      </w:r>
    </w:p>
    <w:p>
      <w:pPr>
        <w:spacing w:line="600" w:lineRule="exact"/>
        <w:ind w:firstLine="640" w:firstLineChars="200"/>
        <w:rPr>
          <w:rStyle w:val="16"/>
          <w:rFonts w:ascii="仿宋" w:eastAsia="仿宋"/>
          <w:b w:val="0"/>
          <w:bCs/>
          <w:color w:val="000000"/>
          <w:sz w:val="32"/>
          <w:szCs w:val="32"/>
        </w:rPr>
      </w:pPr>
      <w:r>
        <w:rPr>
          <w:rStyle w:val="16"/>
          <w:rFonts w:hint="eastAsia" w:ascii="仿宋" w:eastAsia="仿宋"/>
          <w:b w:val="0"/>
          <w:bCs/>
          <w:color w:val="000000"/>
          <w:sz w:val="32"/>
          <w:szCs w:val="32"/>
        </w:rPr>
        <w:t>8.</w:t>
      </w:r>
      <w:r>
        <w:rPr>
          <w:rStyle w:val="16"/>
          <w:rFonts w:hint="eastAsia" w:ascii="仿宋" w:eastAsia="仿宋"/>
          <w:bCs/>
          <w:color w:val="000000"/>
          <w:sz w:val="32"/>
          <w:szCs w:val="32"/>
        </w:rPr>
        <w:t>社会保障和就业（类）退役军人管理事务(款)拥军优属（项）：</w:t>
      </w:r>
      <w:r>
        <w:rPr>
          <w:rStyle w:val="16"/>
          <w:rFonts w:hint="eastAsia" w:ascii="仿宋" w:eastAsia="仿宋"/>
          <w:b w:val="0"/>
          <w:bCs/>
          <w:color w:val="000000"/>
          <w:sz w:val="32"/>
          <w:szCs w:val="32"/>
        </w:rPr>
        <w:t>支出决算为0.65万元，完成预算100</w:t>
      </w:r>
      <w:r>
        <w:rPr>
          <w:rStyle w:val="16"/>
          <w:rFonts w:ascii="仿宋" w:eastAsia="仿宋"/>
          <w:b w:val="0"/>
          <w:bCs/>
          <w:color w:val="000000"/>
          <w:sz w:val="32"/>
          <w:szCs w:val="32"/>
        </w:rPr>
        <w:t>%</w:t>
      </w:r>
      <w:r>
        <w:rPr>
          <w:rStyle w:val="16"/>
          <w:rFonts w:hint="eastAsia" w:ascii="仿宋" w:eastAsia="仿宋"/>
          <w:b w:val="0"/>
          <w:bCs/>
          <w:color w:val="000000"/>
          <w:sz w:val="32"/>
          <w:szCs w:val="32"/>
        </w:rPr>
        <w:t>，决算数等于预算数。</w:t>
      </w:r>
    </w:p>
    <w:p>
      <w:pPr>
        <w:spacing w:line="600" w:lineRule="exact"/>
        <w:ind w:firstLine="640" w:firstLineChars="200"/>
        <w:rPr>
          <w:rStyle w:val="16"/>
          <w:rFonts w:ascii="仿宋" w:eastAsia="仿宋"/>
          <w:b w:val="0"/>
          <w:bCs/>
          <w:color w:val="000000"/>
          <w:sz w:val="32"/>
          <w:szCs w:val="32"/>
        </w:rPr>
      </w:pPr>
      <w:r>
        <w:rPr>
          <w:rStyle w:val="16"/>
          <w:rFonts w:hint="eastAsia" w:ascii="仿宋" w:eastAsia="仿宋"/>
          <w:b w:val="0"/>
          <w:bCs/>
          <w:color w:val="000000"/>
          <w:sz w:val="32"/>
          <w:szCs w:val="32"/>
        </w:rPr>
        <w:t>9.</w:t>
      </w:r>
      <w:r>
        <w:rPr>
          <w:rStyle w:val="16"/>
          <w:rFonts w:hint="eastAsia" w:ascii="仿宋" w:eastAsia="仿宋"/>
          <w:bCs/>
          <w:color w:val="000000"/>
          <w:sz w:val="32"/>
          <w:szCs w:val="32"/>
        </w:rPr>
        <w:t>社会保障和就业（类）退役军人管理事务(款)  其他退役军人事务管理支出（项）：</w:t>
      </w:r>
      <w:r>
        <w:rPr>
          <w:rStyle w:val="16"/>
          <w:rFonts w:hint="eastAsia" w:ascii="仿宋" w:eastAsia="仿宋"/>
          <w:b w:val="0"/>
          <w:bCs/>
          <w:color w:val="000000"/>
          <w:sz w:val="32"/>
          <w:szCs w:val="32"/>
        </w:rPr>
        <w:t>支出决算为1400.43万元，完成预算97.02</w:t>
      </w:r>
      <w:r>
        <w:rPr>
          <w:rStyle w:val="16"/>
          <w:rFonts w:ascii="仿宋" w:eastAsia="仿宋"/>
          <w:b w:val="0"/>
          <w:bCs/>
          <w:color w:val="000000"/>
          <w:sz w:val="32"/>
          <w:szCs w:val="32"/>
        </w:rPr>
        <w:t>%</w:t>
      </w:r>
      <w:r>
        <w:rPr>
          <w:rStyle w:val="16"/>
          <w:rFonts w:hint="eastAsia" w:ascii="仿宋" w:eastAsia="仿宋"/>
          <w:b w:val="0"/>
          <w:bCs/>
          <w:color w:val="000000"/>
          <w:sz w:val="32"/>
          <w:szCs w:val="32"/>
        </w:rPr>
        <w:t>，决算数小于预算数，主要原因是预拨2021年社保接续资金及部分项目工作未完结无法支付的资金。</w:t>
      </w:r>
    </w:p>
    <w:p>
      <w:pPr>
        <w:spacing w:line="600" w:lineRule="exact"/>
        <w:ind w:firstLine="640" w:firstLineChars="200"/>
        <w:rPr>
          <w:rStyle w:val="16"/>
          <w:rFonts w:ascii="仿宋" w:eastAsia="仿宋"/>
          <w:b w:val="0"/>
          <w:bCs/>
          <w:color w:val="000000"/>
          <w:sz w:val="32"/>
          <w:szCs w:val="32"/>
        </w:rPr>
      </w:pPr>
      <w:r>
        <w:rPr>
          <w:rStyle w:val="16"/>
          <w:rFonts w:hint="eastAsia" w:ascii="仿宋" w:eastAsia="仿宋"/>
          <w:bCs/>
          <w:color w:val="000000"/>
          <w:sz w:val="32"/>
          <w:szCs w:val="32"/>
        </w:rPr>
        <w:t>10.</w:t>
      </w:r>
      <w:r>
        <w:rPr>
          <w:rFonts w:hint="eastAsia" w:ascii="仿宋" w:eastAsia="仿宋"/>
          <w:b/>
          <w:bCs/>
          <w:color w:val="000000"/>
          <w:sz w:val="32"/>
          <w:szCs w:val="32"/>
        </w:rPr>
        <w:t>卫生健康</w:t>
      </w:r>
      <w:r>
        <w:rPr>
          <w:rStyle w:val="16"/>
          <w:rFonts w:hint="eastAsia" w:ascii="仿宋" w:eastAsia="仿宋"/>
          <w:bCs/>
          <w:color w:val="000000"/>
          <w:sz w:val="32"/>
          <w:szCs w:val="32"/>
        </w:rPr>
        <w:t>（类）行政事业单位医疗（款）行政单位医疗（项）</w:t>
      </w:r>
      <w:r>
        <w:rPr>
          <w:rStyle w:val="16"/>
          <w:rFonts w:ascii="仿宋" w:eastAsia="仿宋"/>
          <w:bCs/>
          <w:color w:val="000000"/>
          <w:sz w:val="32"/>
          <w:szCs w:val="32"/>
        </w:rPr>
        <w:t>:</w:t>
      </w:r>
      <w:r>
        <w:rPr>
          <w:rStyle w:val="16"/>
          <w:rFonts w:hint="eastAsia" w:ascii="仿宋" w:eastAsia="仿宋"/>
          <w:b w:val="0"/>
          <w:bCs/>
          <w:color w:val="000000"/>
          <w:sz w:val="32"/>
          <w:szCs w:val="32"/>
        </w:rPr>
        <w:t>支出决算为10.09万元，完成预算100</w:t>
      </w:r>
      <w:r>
        <w:rPr>
          <w:rStyle w:val="16"/>
          <w:rFonts w:ascii="仿宋" w:eastAsia="仿宋"/>
          <w:b w:val="0"/>
          <w:bCs/>
          <w:color w:val="000000"/>
          <w:sz w:val="32"/>
          <w:szCs w:val="32"/>
        </w:rPr>
        <w:t>%</w:t>
      </w:r>
      <w:r>
        <w:rPr>
          <w:rStyle w:val="16"/>
          <w:rFonts w:hint="eastAsia" w:ascii="仿宋" w:eastAsia="仿宋"/>
          <w:b w:val="0"/>
          <w:bCs/>
          <w:color w:val="000000"/>
          <w:sz w:val="32"/>
          <w:szCs w:val="32"/>
        </w:rPr>
        <w:t>，决算与预算数持平。</w:t>
      </w:r>
    </w:p>
    <w:p>
      <w:pPr>
        <w:spacing w:line="600" w:lineRule="exact"/>
        <w:ind w:firstLine="640" w:firstLineChars="200"/>
        <w:rPr>
          <w:rStyle w:val="16"/>
          <w:rFonts w:ascii="仿宋" w:eastAsia="仿宋"/>
          <w:b w:val="0"/>
          <w:bCs/>
          <w:color w:val="000000"/>
          <w:sz w:val="32"/>
          <w:szCs w:val="32"/>
        </w:rPr>
      </w:pPr>
      <w:r>
        <w:rPr>
          <w:rFonts w:hint="eastAsia" w:ascii="仿宋" w:eastAsia="仿宋"/>
          <w:b/>
          <w:bCs/>
          <w:color w:val="000000"/>
          <w:sz w:val="32"/>
          <w:szCs w:val="32"/>
        </w:rPr>
        <w:t>11.住房保障支出</w:t>
      </w:r>
      <w:r>
        <w:rPr>
          <w:rStyle w:val="16"/>
          <w:rFonts w:hint="eastAsia" w:ascii="仿宋" w:eastAsia="仿宋"/>
          <w:bCs/>
          <w:color w:val="000000"/>
          <w:sz w:val="32"/>
          <w:szCs w:val="32"/>
        </w:rPr>
        <w:t>（类）住房改革支出（款）住房公积金（项）</w:t>
      </w:r>
      <w:r>
        <w:rPr>
          <w:rStyle w:val="16"/>
          <w:rFonts w:ascii="仿宋" w:eastAsia="仿宋"/>
          <w:bCs/>
          <w:color w:val="000000"/>
          <w:sz w:val="32"/>
          <w:szCs w:val="32"/>
        </w:rPr>
        <w:t>:</w:t>
      </w:r>
      <w:r>
        <w:rPr>
          <w:rStyle w:val="16"/>
          <w:rFonts w:hint="eastAsia" w:ascii="仿宋" w:eastAsia="仿宋"/>
          <w:b w:val="0"/>
          <w:bCs/>
          <w:color w:val="000000"/>
          <w:sz w:val="32"/>
          <w:szCs w:val="32"/>
        </w:rPr>
        <w:t>支出决算为24.17万元，完成预算100</w:t>
      </w:r>
      <w:r>
        <w:rPr>
          <w:rStyle w:val="16"/>
          <w:rFonts w:ascii="仿宋" w:eastAsia="仿宋"/>
          <w:b w:val="0"/>
          <w:bCs/>
          <w:color w:val="000000"/>
          <w:sz w:val="32"/>
          <w:szCs w:val="32"/>
        </w:rPr>
        <w:t>%</w:t>
      </w:r>
      <w:r>
        <w:rPr>
          <w:rStyle w:val="16"/>
          <w:rFonts w:hint="eastAsia" w:ascii="仿宋" w:eastAsia="仿宋"/>
          <w:b w:val="0"/>
          <w:bCs/>
          <w:color w:val="000000"/>
          <w:sz w:val="32"/>
          <w:szCs w:val="32"/>
        </w:rPr>
        <w:t>，决算数与预算数持平。</w:t>
      </w:r>
    </w:p>
    <w:p>
      <w:pPr>
        <w:tabs>
          <w:tab w:val="right" w:pos="8306"/>
        </w:tabs>
        <w:spacing w:line="600" w:lineRule="exact"/>
        <w:ind w:firstLine="640"/>
        <w:outlineLvl w:val="1"/>
        <w:rPr>
          <w:rStyle w:val="19"/>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、一</w:t>
      </w:r>
      <w:r>
        <w:rPr>
          <w:rStyle w:val="19"/>
          <w:rFonts w:hint="eastAsia" w:ascii="黑体" w:eastAsia="黑体"/>
          <w:b w:val="0"/>
        </w:rPr>
        <w:t>般公共预算财政拨款基本支出决算情况说明</w:t>
      </w:r>
      <w:bookmarkEnd w:id="34"/>
      <w:bookmarkEnd w:id="35"/>
      <w:r>
        <w:rPr>
          <w:rStyle w:val="19"/>
          <w:rFonts w:ascii="黑体" w:eastAsia="黑体"/>
          <w:b w:val="0"/>
        </w:rPr>
        <w:tab/>
      </w:r>
    </w:p>
    <w:p>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21年一般公共预算财政拨款基本支出331.50万元，其中：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eastAsia="仿宋"/>
          <w:sz w:val="32"/>
          <w:szCs w:val="32"/>
          <w:lang w:eastAsia="zh-CN"/>
        </w:rPr>
      </w:pPr>
      <w:r>
        <w:rPr>
          <w:rFonts w:hint="eastAsia" w:ascii="仿宋" w:eastAsia="仿宋"/>
          <w:sz w:val="32"/>
          <w:szCs w:val="32"/>
        </w:rPr>
        <w:t>人员经费252.60万元，主要包括：基本工资、津贴补贴、奖金、机关事业单位基本养老保险缴费、职工基本医疗保险缴费、其他社会保障缴费、其他工资福利支出、住房公积金、对个人和家庭的补助支出等。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eastAsia="仿宋"/>
          <w:b/>
          <w:sz w:val="32"/>
          <w:szCs w:val="32"/>
          <w:highlight w:val="yellow"/>
          <w:lang w:val="en-US" w:eastAsia="zh-CN"/>
        </w:rPr>
      </w:pPr>
      <w:r>
        <w:rPr>
          <w:rFonts w:hint="eastAsia" w:ascii="仿宋" w:eastAsia="仿宋"/>
          <w:sz w:val="32"/>
          <w:szCs w:val="32"/>
          <w:lang w:val="en-US" w:eastAsia="zh-CN"/>
        </w:rPr>
        <w:t xml:space="preserve">    </w:t>
      </w:r>
      <w:r>
        <w:rPr>
          <w:rFonts w:hint="eastAsia" w:ascii="仿宋" w:eastAsia="仿宋"/>
          <w:sz w:val="32"/>
          <w:szCs w:val="32"/>
        </w:rPr>
        <w:t>公用经费78.90万元，主要包括：办公费、印刷费、咨询费、手续费、水费、电费、邮电费、物业管理费、差旅费、维修（护）费、租赁费、会议费、培训费、公务接待费、劳务费、委托业务费、工会经费、福利费、其他交通费、其他商品和服务支出等。</w:t>
      </w:r>
    </w:p>
    <w:p>
      <w:pPr>
        <w:spacing w:line="600" w:lineRule="exact"/>
        <w:ind w:firstLine="640"/>
        <w:outlineLvl w:val="1"/>
        <w:rPr>
          <w:rStyle w:val="19"/>
          <w:rFonts w:ascii="黑体" w:eastAsia="黑体"/>
          <w:b w:val="0"/>
        </w:rPr>
      </w:pPr>
      <w:bookmarkStart w:id="36" w:name="_Toc15377215"/>
      <w:bookmarkStart w:id="37" w:name="_Toc15396609"/>
      <w:r>
        <w:rPr>
          <w:rFonts w:hint="eastAsia" w:ascii="黑体" w:eastAsia="黑体"/>
          <w:sz w:val="32"/>
          <w:szCs w:val="32"/>
        </w:rPr>
        <w:t>七、</w:t>
      </w:r>
      <w:r>
        <w:rPr>
          <w:rStyle w:val="19"/>
          <w:rFonts w:hint="eastAsia" w:ascii="黑体" w:eastAsia="黑体"/>
        </w:rPr>
        <w:t>“</w:t>
      </w:r>
      <w:r>
        <w:rPr>
          <w:rStyle w:val="19"/>
          <w:rFonts w:hint="eastAsia" w:ascii="黑体" w:eastAsia="黑体"/>
          <w:b w:val="0"/>
        </w:rPr>
        <w:t>三公”经费财政拨款支出决算情况说明</w:t>
      </w:r>
      <w:bookmarkEnd w:id="36"/>
      <w:bookmarkEnd w:id="37"/>
    </w:p>
    <w:p>
      <w:pPr>
        <w:spacing w:line="600" w:lineRule="exact"/>
        <w:ind w:firstLine="640"/>
        <w:outlineLvl w:val="2"/>
        <w:rPr>
          <w:rFonts w:ascii="仿宋" w:eastAsia="仿宋"/>
          <w:b/>
          <w:sz w:val="32"/>
          <w:szCs w:val="32"/>
        </w:rPr>
      </w:pPr>
      <w:bookmarkStart w:id="38" w:name="_Toc15377216"/>
      <w:r>
        <w:rPr>
          <w:rFonts w:hint="eastAsia" w:ascii="仿宋" w:eastAsia="仿宋"/>
          <w:b/>
          <w:sz w:val="32"/>
          <w:szCs w:val="32"/>
        </w:rPr>
        <w:t>（一）“三公”经费财政拨款支出决算总体情况说明</w:t>
      </w:r>
      <w:bookmarkEnd w:id="38"/>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21年“三公”经费财政拨款支出决算为0.76万元，完成预算1.5万元的50.66</w:t>
      </w:r>
      <w:r>
        <w:rPr>
          <w:rFonts w:ascii="仿宋" w:eastAsia="仿宋"/>
          <w:sz w:val="32"/>
          <w:szCs w:val="32"/>
        </w:rPr>
        <w:t>%</w:t>
      </w:r>
      <w:r>
        <w:rPr>
          <w:rFonts w:hint="eastAsia" w:ascii="仿宋" w:eastAsia="仿宋"/>
          <w:sz w:val="32"/>
          <w:szCs w:val="32"/>
        </w:rPr>
        <w:t>，决算数小于预算数的主要原因是</w:t>
      </w:r>
      <w:r>
        <w:rPr>
          <w:rFonts w:hint="eastAsia" w:ascii="仿宋_GB2312" w:eastAsia="仿宋_GB2312"/>
          <w:sz w:val="32"/>
          <w:szCs w:val="32"/>
        </w:rPr>
        <w:t>转变作风、厉行节约、过紧日子“十三条措施”有关要求，严格控制接待标准，压缩接待规模</w:t>
      </w:r>
      <w:r>
        <w:rPr>
          <w:rFonts w:hint="eastAsia" w:ascii="仿宋" w:eastAsia="仿宋"/>
          <w:sz w:val="32"/>
          <w:szCs w:val="32"/>
        </w:rPr>
        <w:t>。</w:t>
      </w:r>
    </w:p>
    <w:p>
      <w:pPr>
        <w:spacing w:line="600" w:lineRule="exact"/>
        <w:ind w:firstLine="640"/>
        <w:outlineLvl w:val="2"/>
        <w:rPr>
          <w:rFonts w:ascii="仿宋" w:eastAsia="仿宋"/>
          <w:b/>
          <w:sz w:val="32"/>
          <w:szCs w:val="32"/>
        </w:rPr>
      </w:pPr>
      <w:bookmarkStart w:id="39" w:name="_Toc15377217"/>
      <w:r>
        <w:rPr>
          <w:rFonts w:hint="eastAsia" w:ascii="仿宋" w:eastAsia="仿宋"/>
          <w:b/>
          <w:sz w:val="32"/>
          <w:szCs w:val="32"/>
        </w:rPr>
        <w:t>（二）“三公”经费财政拨款支出决算具体情况说明</w:t>
      </w:r>
      <w:bookmarkEnd w:id="39"/>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21年“三公”经费财政拨款支出决算中，因公出国（境）费支出决算0万元，占0</w:t>
      </w:r>
      <w:r>
        <w:rPr>
          <w:rFonts w:ascii="仿宋" w:eastAsia="仿宋"/>
          <w:sz w:val="32"/>
          <w:szCs w:val="32"/>
        </w:rPr>
        <w:t>%</w:t>
      </w:r>
      <w:r>
        <w:rPr>
          <w:rFonts w:hint="eastAsia" w:ascii="仿宋" w:eastAsia="仿宋"/>
          <w:sz w:val="32"/>
          <w:szCs w:val="32"/>
        </w:rPr>
        <w:t>；公务用车购置及运行维护费支出决算0万元，占0</w:t>
      </w:r>
      <w:r>
        <w:rPr>
          <w:rFonts w:ascii="仿宋" w:eastAsia="仿宋"/>
          <w:sz w:val="32"/>
          <w:szCs w:val="32"/>
        </w:rPr>
        <w:t>%</w:t>
      </w:r>
      <w:r>
        <w:rPr>
          <w:rFonts w:hint="eastAsia" w:ascii="仿宋" w:eastAsia="仿宋"/>
          <w:sz w:val="32"/>
          <w:szCs w:val="32"/>
        </w:rPr>
        <w:t>；公务接待费支出决算0.76万元，占100</w:t>
      </w:r>
      <w:r>
        <w:rPr>
          <w:rFonts w:ascii="仿宋" w:eastAsia="仿宋"/>
          <w:sz w:val="32"/>
          <w:szCs w:val="32"/>
        </w:rPr>
        <w:t>%</w:t>
      </w:r>
      <w:r>
        <w:rPr>
          <w:rFonts w:hint="eastAsia" w:ascii="仿宋" w:eastAsia="仿宋"/>
          <w:sz w:val="32"/>
          <w:szCs w:val="32"/>
        </w:rPr>
        <w:t>。具体情况如下：</w:t>
      </w:r>
    </w:p>
    <w:p>
      <w:pPr>
        <w:keepNext w:val="0"/>
        <w:keepLines w:val="0"/>
        <w:widowControl/>
        <w:suppressLineNumbers w:val="0"/>
        <w:jc w:val="center"/>
        <w:rPr>
          <w:rFonts w:hint="eastAsia" w:ascii="仿宋" w:eastAsia="仿宋"/>
          <w:sz w:val="32"/>
          <w:szCs w:val="32"/>
        </w:rPr>
      </w:pPr>
      <w:r>
        <w:rPr>
          <w:rFonts w:ascii="宋体" w:eastAsia="宋体" w:cs="宋体"/>
          <w:kern w:val="0"/>
          <w:sz w:val="24"/>
          <w:szCs w:val="24"/>
          <w:lang w:val="en-US" w:eastAsia="zh-CN"/>
        </w:rPr>
        <w:drawing>
          <wp:inline distT="0" distB="0" distL="114300" distR="114300">
            <wp:extent cx="3370580" cy="2444115"/>
            <wp:effectExtent l="0" t="0" r="20" b="38"/>
            <wp:docPr id="22"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descr="IMG_256"/>
                    <pic:cNvPicPr>
                      <a:picLocks noChangeAspect="1"/>
                    </pic:cNvPicPr>
                  </pic:nvPicPr>
                  <pic:blipFill>
                    <a:blip r:embed="rId19"/>
                    <a:stretch>
                      <a:fillRect/>
                    </a:stretch>
                  </pic:blipFill>
                  <pic:spPr>
                    <a:xfrm>
                      <a:off x="0" y="0"/>
                      <a:ext cx="3370580" cy="2444115"/>
                    </a:xfrm>
                    <a:prstGeom prst="rect">
                      <a:avLst/>
                    </a:prstGeom>
                    <a:noFill/>
                    <a:ln w="9525" cap="flat" cmpd="sng">
                      <a:noFill/>
                      <a:prstDash val="solid"/>
                      <a:round/>
                    </a:ln>
                  </pic:spPr>
                </pic:pic>
              </a:graphicData>
            </a:graphic>
          </wp:inline>
        </w:drawing>
      </w:r>
    </w:p>
    <w:p>
      <w:pPr>
        <w:spacing w:line="600" w:lineRule="exact"/>
        <w:ind w:firstLine="640"/>
        <w:rPr>
          <w:rFonts w:ascii="仿宋" w:eastAsia="仿宋"/>
          <w:sz w:val="32"/>
          <w:szCs w:val="32"/>
        </w:rPr>
      </w:pPr>
      <w:r>
        <w:rPr>
          <w:rFonts w:hint="eastAsia" w:asci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6"/>
          <w:rFonts w:hint="eastAsia" w:ascii="仿宋" w:eastAsia="仿宋"/>
          <w:bCs/>
          <w:sz w:val="32"/>
          <w:szCs w:val="32"/>
        </w:rPr>
        <w:t>年初未安排预算，</w:t>
      </w:r>
      <w:r>
        <w:rPr>
          <w:rFonts w:hint="eastAsia" w:ascii="仿宋_GB2312" w:eastAsia="仿宋_GB2312" w:cs="仿宋_GB2312"/>
          <w:color w:val="000000"/>
          <w:sz w:val="32"/>
          <w:szCs w:val="32"/>
        </w:rPr>
        <w:t>因公出国出境支出决算数较2020年</w:t>
      </w:r>
      <w:r>
        <w:rPr>
          <w:rFonts w:hint="eastAsia" w:ascii="仿宋" w:eastAsia="仿宋"/>
          <w:color w:val="000000"/>
          <w:sz w:val="32"/>
          <w:szCs w:val="32"/>
        </w:rPr>
        <w:t>无变化。</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6"/>
          <w:rFonts w:hint="eastAsia" w:ascii="仿宋" w:eastAsia="仿宋"/>
          <w:bCs/>
          <w:sz w:val="32"/>
          <w:szCs w:val="32"/>
        </w:rPr>
        <w:t xml:space="preserve"> 年初未安排预算，</w:t>
      </w:r>
      <w:r>
        <w:rPr>
          <w:rFonts w:hint="eastAsia" w:ascii="仿宋" w:eastAsia="仿宋"/>
          <w:color w:val="000000"/>
          <w:sz w:val="32"/>
          <w:szCs w:val="32"/>
        </w:rPr>
        <w:t>主要原因是机关无公务车辆使用，</w:t>
      </w:r>
      <w:r>
        <w:rPr>
          <w:rFonts w:hint="eastAsia" w:ascii="仿宋_GB2312" w:eastAsia="仿宋_GB2312" w:cs="仿宋_GB2312"/>
          <w:color w:val="000000"/>
          <w:sz w:val="32"/>
          <w:szCs w:val="32"/>
        </w:rPr>
        <w:t>支出决算数较2020年</w:t>
      </w:r>
      <w:r>
        <w:rPr>
          <w:rFonts w:hint="eastAsia" w:ascii="仿宋" w:eastAsia="仿宋"/>
          <w:color w:val="000000"/>
          <w:sz w:val="32"/>
          <w:szCs w:val="32"/>
        </w:rPr>
        <w:t>无变化。</w:t>
      </w:r>
    </w:p>
    <w:p>
      <w:pPr>
        <w:spacing w:line="600" w:lineRule="exact"/>
        <w:ind w:firstLine="640"/>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0.76万元，</w:t>
      </w:r>
      <w:r>
        <w:rPr>
          <w:rStyle w:val="16"/>
          <w:rFonts w:hint="eastAsia" w:ascii="仿宋" w:eastAsia="仿宋"/>
          <w:b w:val="0"/>
          <w:bCs/>
          <w:sz w:val="32"/>
          <w:szCs w:val="32"/>
        </w:rPr>
        <w:t>完成预算50.66</w:t>
      </w:r>
      <w:r>
        <w:rPr>
          <w:rStyle w:val="16"/>
          <w:rFonts w:ascii="仿宋" w:eastAsia="仿宋"/>
          <w:b w:val="0"/>
          <w:bCs/>
          <w:sz w:val="32"/>
          <w:szCs w:val="32"/>
        </w:rPr>
        <w:t>%</w:t>
      </w:r>
      <w:r>
        <w:rPr>
          <w:rStyle w:val="16"/>
          <w:rFonts w:hint="eastAsia" w:asci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20年增加0.31万元，增长15.5</w:t>
      </w:r>
      <w:r>
        <w:rPr>
          <w:rFonts w:ascii="仿宋_GB2312" w:eastAsia="仿宋_GB2312"/>
          <w:sz w:val="32"/>
          <w:szCs w:val="32"/>
        </w:rPr>
        <w:t xml:space="preserve"> %</w:t>
      </w:r>
      <w:r>
        <w:rPr>
          <w:rFonts w:hint="eastAsia" w:ascii="仿宋_GB2312" w:eastAsia="仿宋_GB2312"/>
          <w:sz w:val="32"/>
          <w:szCs w:val="32"/>
        </w:rPr>
        <w:t>。主要原因是在</w:t>
      </w:r>
      <w:r>
        <w:rPr>
          <w:rFonts w:hint="eastAsia" w:ascii="仿宋_GB2312" w:eastAsia="仿宋_GB2312"/>
          <w:sz w:val="32"/>
          <w:szCs w:val="32"/>
          <w:lang w:val="en-US" w:eastAsia="zh-CN"/>
        </w:rPr>
        <w:t>20</w:t>
      </w:r>
      <w:r>
        <w:rPr>
          <w:rFonts w:hint="eastAsia" w:ascii="仿宋_GB2312" w:eastAsia="仿宋_GB2312"/>
          <w:sz w:val="32"/>
          <w:szCs w:val="32"/>
        </w:rPr>
        <w:t>20年受疫情影响未启动的工作在</w:t>
      </w:r>
      <w:r>
        <w:rPr>
          <w:rFonts w:hint="eastAsia" w:ascii="仿宋_GB2312" w:eastAsia="仿宋_GB2312"/>
          <w:sz w:val="32"/>
          <w:szCs w:val="32"/>
          <w:lang w:val="en-US" w:eastAsia="zh-CN"/>
        </w:rPr>
        <w:t>20</w:t>
      </w:r>
      <w:r>
        <w:rPr>
          <w:rFonts w:hint="eastAsia" w:ascii="仿宋_GB2312" w:eastAsia="仿宋_GB2312"/>
          <w:sz w:val="32"/>
          <w:szCs w:val="32"/>
        </w:rPr>
        <w:t>21年正常启动进行，上级及各地市州来广元的调研、检查工作及交流学习增多，接待费也就相应的增加。其中：</w:t>
      </w:r>
    </w:p>
    <w:p>
      <w:pPr>
        <w:spacing w:line="600" w:lineRule="exact"/>
        <w:ind w:firstLine="640"/>
        <w:rPr>
          <w:rFonts w:hint="eastAsia" w:ascii="仿宋" w:eastAsia="仿宋"/>
          <w:color w:val="000000"/>
          <w:sz w:val="32"/>
          <w:szCs w:val="32"/>
        </w:rPr>
      </w:pPr>
      <w:r>
        <w:rPr>
          <w:rFonts w:hint="eastAsia" w:ascii="仿宋" w:eastAsia="仿宋"/>
          <w:b/>
          <w:sz w:val="32"/>
          <w:szCs w:val="32"/>
        </w:rPr>
        <w:t>国内公务接待支出</w:t>
      </w:r>
      <w:r>
        <w:rPr>
          <w:rFonts w:hint="eastAsia" w:ascii="仿宋" w:eastAsia="仿宋"/>
          <w:sz w:val="32"/>
          <w:szCs w:val="32"/>
        </w:rPr>
        <w:t>0.76</w:t>
      </w:r>
      <w:r>
        <w:rPr>
          <w:rFonts w:hint="eastAsia" w:ascii="仿宋_GB2312" w:eastAsia="仿宋_GB2312"/>
          <w:sz w:val="32"/>
          <w:szCs w:val="32"/>
        </w:rPr>
        <w:t>万元，</w:t>
      </w:r>
      <w:r>
        <w:rPr>
          <w:rFonts w:hint="eastAsia" w:ascii="仿宋_GB2312" w:eastAsia="仿宋_GB2312" w:cs="仿宋_GB2312"/>
          <w:color w:val="000000"/>
          <w:sz w:val="30"/>
          <w:szCs w:val="30"/>
        </w:rPr>
        <w:t>主要用于执行公务、开展业务活动开支的餐费。具体内容包括：省内外系统来访考察接待餐费</w:t>
      </w:r>
      <w:r>
        <w:rPr>
          <w:rFonts w:hint="eastAsia" w:ascii="仿宋" w:eastAsia="仿宋"/>
          <w:color w:val="000000"/>
          <w:sz w:val="32"/>
          <w:szCs w:val="32"/>
        </w:rPr>
        <w:t>。国内公务接待10批次，80人次（不包括陪同人员），共计支出0.76万元，具体内容包括：退役军人事务部、厅级领导开展部分退役军人相关试点工作调研、省退役军人事务厅部分处室来广元调研，及县区退役军人事务局来广的接待。</w:t>
      </w:r>
    </w:p>
    <w:p>
      <w:pPr>
        <w:spacing w:line="600" w:lineRule="exact"/>
        <w:ind w:firstLine="640"/>
        <w:rPr>
          <w:rFonts w:hint="eastAsia" w:ascii="仿宋_GB2312" w:eastAsia="仿宋_GB2312"/>
          <w:sz w:val="32"/>
          <w:szCs w:val="32"/>
          <w:lang w:val="en-US" w:eastAsia="zh-CN"/>
        </w:rPr>
      </w:pPr>
      <w:r>
        <w:rPr>
          <w:rFonts w:hint="eastAsia" w:ascii="仿宋" w:eastAsia="仿宋"/>
          <w:b/>
          <w:sz w:val="32"/>
          <w:szCs w:val="32"/>
        </w:rPr>
        <w:t>外事接待支出</w:t>
      </w:r>
      <w:r>
        <w:rPr>
          <w:rFonts w:hint="eastAsia" w:ascii="仿宋" w:eastAsia="仿宋"/>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1"/>
        <w:rPr>
          <w:rStyle w:val="19"/>
          <w:rFonts w:ascii="黑体" w:eastAsia="黑体"/>
        </w:rPr>
      </w:pPr>
      <w:bookmarkStart w:id="40" w:name="_Toc15377218"/>
      <w:bookmarkStart w:id="41" w:name="_Toc15396610"/>
      <w:r>
        <w:rPr>
          <w:rFonts w:hint="eastAsia" w:ascii="黑体" w:eastAsia="黑体"/>
          <w:sz w:val="32"/>
          <w:szCs w:val="32"/>
        </w:rPr>
        <w:t>八、</w:t>
      </w:r>
      <w:r>
        <w:rPr>
          <w:rStyle w:val="19"/>
          <w:rFonts w:hint="eastAsia" w:ascii="黑体" w:eastAsia="黑体"/>
          <w:b w:val="0"/>
        </w:rPr>
        <w:t>政府性基金预算支出决算情况说明</w:t>
      </w:r>
      <w:bookmarkEnd w:id="40"/>
      <w:bookmarkEnd w:id="41"/>
    </w:p>
    <w:p>
      <w:pPr>
        <w:spacing w:line="600" w:lineRule="exact"/>
        <w:ind w:firstLine="640" w:firstLineChars="200"/>
      </w:pPr>
      <w:r>
        <w:rPr>
          <w:rFonts w:ascii="仿宋_GB2312" w:eastAsia="仿宋_GB2312"/>
          <w:sz w:val="32"/>
          <w:szCs w:val="32"/>
        </w:rPr>
        <w:t>20</w:t>
      </w:r>
      <w:r>
        <w:rPr>
          <w:rFonts w:hint="eastAsia" w:ascii="仿宋_GB2312" w:eastAsia="仿宋_GB2312"/>
          <w:sz w:val="32"/>
          <w:szCs w:val="32"/>
        </w:rPr>
        <w:t>21年政府性基金预算财政拨款支出0万元。</w:t>
      </w:r>
      <w:r>
        <w:rPr>
          <w:rFonts w:hint="eastAsia" w:ascii="仿宋" w:eastAsia="仿宋"/>
          <w:color w:val="000000"/>
          <w:sz w:val="32"/>
          <w:szCs w:val="32"/>
        </w:rPr>
        <w:t>未在政府性基金预算拨款安排“三公经费”支出。</w:t>
      </w:r>
    </w:p>
    <w:p>
      <w:pPr>
        <w:numPr>
          <w:ilvl w:val="0"/>
          <w:numId w:val="2"/>
        </w:numPr>
        <w:spacing w:line="600" w:lineRule="exact"/>
        <w:ind w:left="0" w:firstLine="640"/>
        <w:outlineLvl w:val="1"/>
        <w:rPr>
          <w:rStyle w:val="19"/>
          <w:rFonts w:ascii="黑体" w:eastAsia="黑体"/>
          <w:b w:val="0"/>
        </w:rPr>
      </w:pPr>
      <w:bookmarkStart w:id="42" w:name="_Toc15377219"/>
      <w:bookmarkStart w:id="43" w:name="_Toc15396611"/>
      <w:r>
        <w:rPr>
          <w:rStyle w:val="19"/>
          <w:rFonts w:hint="eastAsia" w:asci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left="0" w:firstLine="640"/>
        <w:outlineLvl w:val="1"/>
        <w:rPr>
          <w:rStyle w:val="19"/>
          <w:rFonts w:ascii="黑体" w:eastAsia="黑体"/>
          <w:b w:val="0"/>
        </w:rPr>
      </w:pPr>
      <w:bookmarkStart w:id="44" w:name="_Toc15377221"/>
      <w:bookmarkStart w:id="45" w:name="_Toc15396612"/>
      <w:r>
        <w:rPr>
          <w:rStyle w:val="19"/>
          <w:rFonts w:hint="eastAsia" w:ascii="黑体" w:eastAsia="黑体"/>
          <w:b w:val="0"/>
        </w:rPr>
        <w:t>预算绩效管理情况</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根据预算绩效管理要求，本单位在2021年度预算编制阶段，对</w:t>
      </w:r>
      <w:r>
        <w:rPr>
          <w:rFonts w:hint="eastAsia" w:ascii="仿宋_GB2312" w:eastAsia="仿宋_GB2312" w:cs="仿宋_GB2312"/>
          <w:sz w:val="32"/>
          <w:szCs w:val="32"/>
          <w:lang w:val="en-US" w:eastAsia="zh-CN"/>
        </w:rPr>
        <w:t>14</w:t>
      </w:r>
      <w:r>
        <w:rPr>
          <w:rFonts w:hint="eastAsia" w:ascii="仿宋_GB2312" w:eastAsia="仿宋_GB2312" w:cs="仿宋_GB2312"/>
          <w:sz w:val="32"/>
          <w:szCs w:val="32"/>
        </w:rPr>
        <w:t>个项目编制了绩效目标，预算执行过程中，选取</w:t>
      </w:r>
      <w:r>
        <w:rPr>
          <w:rFonts w:hint="eastAsia" w:ascii="仿宋_GB2312" w:eastAsia="仿宋_GB2312" w:cs="仿宋_GB2312"/>
          <w:sz w:val="32"/>
          <w:szCs w:val="32"/>
          <w:lang w:val="en-US" w:eastAsia="zh-CN"/>
        </w:rPr>
        <w:t>14</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个项目开展了绩效自评，2021年部门预算项目绩效目标自评表见附件（第四部分）。</w:t>
      </w:r>
    </w:p>
    <w:p>
      <w:pPr>
        <w:numPr>
          <w:ilvl w:val="0"/>
          <w:numId w:val="2"/>
        </w:numPr>
        <w:spacing w:line="600" w:lineRule="exact"/>
        <w:ind w:left="0" w:firstLine="640"/>
        <w:outlineLvl w:val="1"/>
        <w:rPr>
          <w:rStyle w:val="19"/>
          <w:rFonts w:ascii="黑体" w:eastAsia="黑体"/>
          <w:b w:val="0"/>
        </w:rPr>
      </w:pPr>
      <w:r>
        <w:rPr>
          <w:rStyle w:val="19"/>
          <w:rFonts w:hint="eastAsia" w:ascii="黑体" w:eastAsia="黑体"/>
          <w:b w:val="0"/>
        </w:rPr>
        <w:t>其他重要事项的情况说明</w:t>
      </w:r>
      <w:bookmarkEnd w:id="44"/>
      <w:bookmarkEnd w:id="45"/>
    </w:p>
    <w:p>
      <w:pPr>
        <w:spacing w:line="600" w:lineRule="exact"/>
        <w:ind w:firstLine="640" w:firstLineChars="200"/>
        <w:outlineLvl w:val="2"/>
        <w:rPr>
          <w:rFonts w:ascii="仿宋" w:eastAsia="仿宋"/>
          <w:sz w:val="32"/>
          <w:szCs w:val="32"/>
        </w:rPr>
      </w:pPr>
      <w:bookmarkStart w:id="46" w:name="_Toc15377222"/>
      <w:r>
        <w:rPr>
          <w:rFonts w:hint="eastAsia" w:ascii="仿宋" w:eastAsia="仿宋"/>
          <w:b/>
          <w:sz w:val="32"/>
          <w:szCs w:val="32"/>
        </w:rPr>
        <w:t>（一）机关运行经费支出情况</w:t>
      </w:r>
      <w:bookmarkEnd w:id="46"/>
    </w:p>
    <w:p>
      <w:pPr>
        <w:spacing w:line="600" w:lineRule="exact"/>
        <w:ind w:firstLine="640" w:firstLineChars="200"/>
        <w:rPr>
          <w:rFonts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广元市退役军人事务局</w:t>
      </w:r>
      <w:r>
        <w:rPr>
          <w:rFonts w:hint="eastAsia" w:ascii="仿宋_GB2312" w:eastAsia="仿宋_GB2312"/>
          <w:sz w:val="32"/>
          <w:szCs w:val="32"/>
        </w:rPr>
        <w:t>机关运行经费支出</w:t>
      </w:r>
      <w:r>
        <w:rPr>
          <w:rFonts w:hint="eastAsia" w:ascii="仿宋_GB2312" w:eastAsia="仿宋_GB2312"/>
          <w:sz w:val="32"/>
          <w:szCs w:val="32"/>
          <w:lang w:val="en-US" w:eastAsia="zh-CN"/>
        </w:rPr>
        <w:t>78.90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25.17</w:t>
      </w:r>
      <w:r>
        <w:rPr>
          <w:rFonts w:hint="eastAsia" w:ascii="仿宋_GB2312" w:eastAsia="仿宋_GB2312"/>
          <w:sz w:val="32"/>
          <w:szCs w:val="32"/>
        </w:rPr>
        <w:t>万元，增长</w:t>
      </w:r>
      <w:r>
        <w:rPr>
          <w:rFonts w:hint="eastAsia" w:ascii="仿宋_GB2312" w:eastAsia="仿宋_GB2312"/>
          <w:sz w:val="32"/>
          <w:szCs w:val="32"/>
          <w:lang w:val="en-US" w:eastAsia="zh-CN"/>
        </w:rPr>
        <w:t>46.85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21年在编人员比20年增加</w:t>
      </w:r>
      <w:r>
        <w:rPr>
          <w:rFonts w:ascii="仿宋_GB2312" w:eastAsia="仿宋_GB2312"/>
          <w:sz w:val="32"/>
          <w:szCs w:val="32"/>
          <w:lang w:val="en-US" w:eastAsia="zh-CN"/>
        </w:rPr>
        <w:t>，本年工作量增加。</w:t>
      </w:r>
    </w:p>
    <w:p>
      <w:pPr>
        <w:autoSpaceDE w:val="0"/>
        <w:autoSpaceDN w:val="0"/>
        <w:adjustRightInd w:val="0"/>
        <w:spacing w:line="600" w:lineRule="exact"/>
        <w:ind w:firstLine="640" w:firstLineChars="200"/>
        <w:jc w:val="left"/>
        <w:outlineLvl w:val="2"/>
        <w:rPr>
          <w:rFonts w:ascii="仿宋" w:eastAsia="仿宋"/>
          <w:b/>
          <w:sz w:val="32"/>
          <w:szCs w:val="32"/>
        </w:rPr>
      </w:pPr>
      <w:bookmarkStart w:id="47" w:name="_Toc15377223"/>
      <w:r>
        <w:rPr>
          <w:rFonts w:hint="eastAsia" w:asci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广元市退役军人事务局</w:t>
      </w:r>
      <w:r>
        <w:rPr>
          <w:rFonts w:hint="eastAsia" w:ascii="仿宋_GB2312" w:eastAsia="仿宋_GB2312"/>
          <w:sz w:val="32"/>
          <w:szCs w:val="32"/>
        </w:rPr>
        <w:t>政府采购支出总额</w:t>
      </w:r>
      <w:r>
        <w:rPr>
          <w:rFonts w:hint="eastAsia" w:ascii="仿宋_GB2312" w:eastAsia="仿宋_GB2312"/>
          <w:sz w:val="32"/>
          <w:szCs w:val="32"/>
          <w:lang w:val="en-US" w:eastAsia="zh-CN"/>
        </w:rPr>
        <w:t>9.2</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9.2</w:t>
      </w:r>
      <w:r>
        <w:rPr>
          <w:rFonts w:hint="eastAsia" w:ascii="仿宋_GB2312" w:eastAsia="仿宋_GB2312"/>
          <w:sz w:val="32"/>
          <w:szCs w:val="32"/>
        </w:rPr>
        <w:t>万元、</w:t>
      </w:r>
      <w:r>
        <w:rPr>
          <w:rFonts w:hint="eastAsia" w:ascii="仿宋" w:eastAsia="仿宋"/>
          <w:color w:val="000000"/>
          <w:sz w:val="32"/>
          <w:szCs w:val="32"/>
        </w:rPr>
        <w:t>全额用于政府采购货物支出</w:t>
      </w:r>
      <w:r>
        <w:rPr>
          <w:rFonts w:hint="eastAsia" w:ascii="仿宋_GB2312" w:eastAsia="仿宋_GB2312"/>
          <w:sz w:val="32"/>
          <w:szCs w:val="32"/>
        </w:rPr>
        <w:t>。授予中小企业合同金额</w:t>
      </w:r>
      <w:r>
        <w:rPr>
          <w:rFonts w:ascii="仿宋_GB2312" w:eastAsia="仿宋_GB2312"/>
          <w:sz w:val="32"/>
          <w:szCs w:val="32"/>
          <w:lang w:val="en-US" w:eastAsia="zh-CN"/>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lang w:val="en-US" w:eastAsia="zh-CN"/>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eastAsia="仿宋"/>
          <w:b/>
          <w:sz w:val="32"/>
          <w:szCs w:val="32"/>
        </w:rPr>
      </w:pPr>
      <w:bookmarkStart w:id="48" w:name="_Toc15377224"/>
      <w:r>
        <w:rPr>
          <w:rFonts w:hint="eastAsia" w:ascii="仿宋" w:eastAsia="仿宋"/>
          <w:b/>
          <w:sz w:val="32"/>
          <w:szCs w:val="32"/>
        </w:rPr>
        <w:t>（三）国有资产占有使用情况</w:t>
      </w:r>
      <w:bookmarkEnd w:id="48"/>
    </w:p>
    <w:p>
      <w:pPr>
        <w:keepNext w:val="0"/>
        <w:keepLines w:val="0"/>
        <w:pageBreakBefore w:val="0"/>
        <w:widowControl w:val="0"/>
        <w:kinsoku/>
        <w:wordWrap/>
        <w:overflowPunct/>
        <w:topLinePunct w:val="0"/>
        <w:autoSpaceDE w:val="0"/>
        <w:autoSpaceDN w:val="0"/>
        <w:bidi w:val="0"/>
        <w:adjustRightInd w:val="0"/>
        <w:snapToGrid/>
        <w:spacing w:beforeAutospacing="0" w:line="540" w:lineRule="exact"/>
        <w:ind w:firstLine="640" w:firstLineChars="200"/>
        <w:jc w:val="left"/>
        <w:textAlignment w:val="auto"/>
        <w:rPr>
          <w:rFonts w:hint="eastAsia" w:ascii="仿宋_GB2312" w:eastAsia="仿宋_GB2312"/>
          <w:color w:val="000000"/>
          <w:sz w:val="32"/>
          <w:szCs w:val="32"/>
          <w:lang w:eastAsia="zh-CN"/>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lang w:eastAsia="zh-CN"/>
        </w:rPr>
        <w:t>广元市退役军人事务局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。其中：单价50万元以上通用设备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台（套），单价100万元以上专用设备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台（套）。</w:t>
      </w:r>
    </w:p>
    <w:p>
      <w:pPr>
        <w:pStyle w:val="2"/>
        <w:spacing w:before="93" w:beforeLines="0"/>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left="0" w:firstLine="660" w:firstLineChars="150"/>
        <w:jc w:val="center"/>
        <w:outlineLvl w:val="0"/>
        <w:rPr>
          <w:rStyle w:val="18"/>
          <w:rFonts w:ascii="黑体" w:eastAsia="黑体"/>
          <w:b w:val="0"/>
        </w:rPr>
      </w:pPr>
      <w:bookmarkStart w:id="49" w:name="_Toc15377225"/>
      <w:bookmarkStart w:id="50" w:name="_Toc15396613"/>
      <w:r>
        <w:rPr>
          <w:rFonts w:hint="eastAsia" w:ascii="黑体" w:eastAsia="黑体"/>
          <w:sz w:val="44"/>
          <w:szCs w:val="44"/>
        </w:rPr>
        <w:t>名</w:t>
      </w:r>
      <w:r>
        <w:rPr>
          <w:rStyle w:val="18"/>
          <w:rFonts w:hint="eastAsia" w:ascii="黑体" w:eastAsia="黑体"/>
          <w:b w:val="0"/>
        </w:rPr>
        <w:t>词解释</w:t>
      </w:r>
      <w:bookmarkEnd w:id="49"/>
      <w:bookmarkEnd w:id="50"/>
    </w:p>
    <w:p>
      <w:pPr>
        <w:spacing w:line="600" w:lineRule="exact"/>
        <w:jc w:val="left"/>
        <w:rPr>
          <w:rFonts w:ascii="宋体"/>
          <w:b/>
          <w:sz w:val="44"/>
          <w:szCs w:val="44"/>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ascii="仿宋" w:eastAsia="仿宋" w:cs="仿宋"/>
          <w:b w:val="0"/>
          <w:bCs w:val="0"/>
          <w:sz w:val="30"/>
          <w:szCs w:val="30"/>
          <w:shd w:val="clear" w:color="auto" w:fill="FFFFFF"/>
        </w:rPr>
      </w:pPr>
      <w:r>
        <w:rPr>
          <w:rFonts w:hint="eastAsia" w:ascii="仿宋" w:eastAsia="仿宋" w:cs="仿宋"/>
          <w:b w:val="0"/>
          <w:bCs w:val="0"/>
          <w:sz w:val="30"/>
          <w:szCs w:val="30"/>
          <w:shd w:val="clear" w:color="auto" w:fill="FFFFFF"/>
        </w:rPr>
        <w:t>1.财政拨款收入：指单位从同级财政部门取得的财政预算资金。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00" w:firstLineChars="200"/>
        <w:textAlignment w:val="auto"/>
        <w:rPr>
          <w:rFonts w:hint="eastAsia" w:ascii="仿宋" w:eastAsia="仿宋" w:cs="仿宋"/>
          <w:b w:val="0"/>
          <w:bCs w:val="0"/>
          <w:sz w:val="30"/>
          <w:szCs w:val="30"/>
        </w:rPr>
      </w:pPr>
      <w:r>
        <w:rPr>
          <w:rFonts w:hint="eastAsia" w:ascii="仿宋" w:eastAsia="仿宋" w:cs="仿宋"/>
          <w:b w:val="0"/>
          <w:bCs w:val="0"/>
          <w:sz w:val="30"/>
          <w:szCs w:val="30"/>
          <w:shd w:val="clear" w:color="auto" w:fill="FFFFFF"/>
          <w:lang w:val="en-US" w:eastAsia="zh-CN"/>
        </w:rPr>
        <w:t>2</w:t>
      </w:r>
      <w:r>
        <w:rPr>
          <w:rFonts w:hint="eastAsia" w:ascii="仿宋" w:eastAsia="仿宋" w:cs="仿宋"/>
          <w:b w:val="0"/>
          <w:bCs w:val="0"/>
          <w:sz w:val="30"/>
          <w:szCs w:val="30"/>
          <w:shd w:val="clear" w:color="auto" w:fill="FFFFFF"/>
        </w:rPr>
        <w:t>.其他收入：指单位取得的除上述收入以外的各项收入。</w:t>
      </w:r>
      <w:r>
        <w:rPr>
          <w:rFonts w:hint="eastAsia" w:ascii="仿宋" w:eastAsia="仿宋" w:cs="仿宋"/>
          <w:b w:val="0"/>
          <w:bCs w:val="0"/>
          <w:color w:val="000000"/>
          <w:sz w:val="30"/>
          <w:szCs w:val="30"/>
          <w:shd w:val="clear" w:color="auto" w:fill="FFFFFF"/>
        </w:rPr>
        <w:t>主要是现金盘盈收入、按照规定纳入单位预算管理的科技成果转化收入、行政单位收回已核销的其他应收款、无法偿付的应付及预收款项、置换换出资产评估增值等。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00" w:firstLineChars="200"/>
        <w:textAlignment w:val="auto"/>
        <w:rPr>
          <w:rFonts w:hint="eastAsia" w:ascii="仿宋" w:eastAsia="仿宋" w:cs="仿宋"/>
          <w:b w:val="0"/>
          <w:bCs w:val="0"/>
          <w:sz w:val="30"/>
          <w:szCs w:val="30"/>
        </w:rPr>
      </w:pPr>
      <w:r>
        <w:rPr>
          <w:rFonts w:ascii="仿宋" w:eastAsia="仿宋" w:cs="仿宋"/>
          <w:b w:val="0"/>
          <w:bCs w:val="0"/>
          <w:sz w:val="30"/>
          <w:szCs w:val="30"/>
          <w:shd w:val="clear" w:color="auto" w:fill="FFFFFF"/>
          <w:lang w:val="en-US" w:eastAsia="zh-CN"/>
        </w:rPr>
        <w:t>3</w:t>
      </w:r>
      <w:r>
        <w:rPr>
          <w:rFonts w:hint="eastAsia" w:ascii="仿宋" w:eastAsia="仿宋" w:cs="仿宋"/>
          <w:b w:val="0"/>
          <w:bCs w:val="0"/>
          <w:sz w:val="30"/>
          <w:szCs w:val="30"/>
          <w:shd w:val="clear" w:color="auto" w:fill="FFFFFF"/>
        </w:rPr>
        <w:t>.年初结转和结余：指以前年度尚未完成、结转到本年按有关规定继续使用的资金。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00" w:firstLineChars="200"/>
        <w:textAlignment w:val="auto"/>
        <w:rPr>
          <w:rFonts w:hint="eastAsia" w:ascii="仿宋" w:eastAsia="仿宋" w:cs="仿宋"/>
          <w:b w:val="0"/>
          <w:bCs w:val="0"/>
          <w:sz w:val="30"/>
          <w:szCs w:val="30"/>
        </w:rPr>
      </w:pPr>
      <w:r>
        <w:rPr>
          <w:rFonts w:ascii="仿宋" w:eastAsia="仿宋" w:cs="仿宋"/>
          <w:b w:val="0"/>
          <w:bCs w:val="0"/>
          <w:sz w:val="30"/>
          <w:szCs w:val="30"/>
          <w:shd w:val="clear" w:color="auto" w:fill="FFFFFF"/>
          <w:lang w:val="en-US" w:eastAsia="zh-CN"/>
        </w:rPr>
        <w:t>4</w:t>
      </w:r>
      <w:r>
        <w:rPr>
          <w:rFonts w:hint="eastAsia" w:ascii="仿宋" w:eastAsia="仿宋" w:cs="仿宋"/>
          <w:b w:val="0"/>
          <w:bCs w:val="0"/>
          <w:sz w:val="30"/>
          <w:szCs w:val="30"/>
          <w:shd w:val="clear" w:color="auto" w:fill="FFFFFF"/>
        </w:rPr>
        <w:t>、年末结转和结余：指单位按有关规定结转到下年或以后年度继续使用的资金。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5</w:t>
      </w:r>
      <w:r>
        <w:rPr>
          <w:rFonts w:hint="eastAsia" w:ascii="仿宋" w:eastAsia="仿宋" w:cs="仿宋"/>
          <w:b w:val="0"/>
          <w:bCs w:val="0"/>
          <w:color w:val="000000"/>
          <w:kern w:val="0"/>
          <w:sz w:val="30"/>
          <w:szCs w:val="30"/>
          <w:shd w:val="clear" w:color="auto" w:fill="FFFFFF"/>
          <w:lang w:val="en-US" w:eastAsia="zh-CN"/>
        </w:rPr>
        <w:t>.社会保障和就业（类）行政事业单位离退休（款）机关事业单位基本养老保险缴费支出（项）:指机关事业单位实施养老制度由单位缴纳的基本养老保险费支出。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6</w:t>
      </w:r>
      <w:r>
        <w:rPr>
          <w:rFonts w:hint="eastAsia" w:ascii="仿宋" w:eastAsia="仿宋" w:cs="仿宋"/>
          <w:b w:val="0"/>
          <w:bCs w:val="0"/>
          <w:color w:val="000000"/>
          <w:kern w:val="0"/>
          <w:sz w:val="30"/>
          <w:szCs w:val="30"/>
          <w:shd w:val="clear" w:color="auto" w:fill="FFFFFF"/>
          <w:lang w:val="en-US" w:eastAsia="zh-CN"/>
        </w:rPr>
        <w:t>.社会保障和就业（类）行政事业单位离退休（款）机关事业单位职业年金缴费支出（项）：指机关事业单位实施养老保险制度由单位实际缴纳的职业年金支出。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300" w:firstLineChars="100"/>
        <w:jc w:val="left"/>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7</w:t>
      </w:r>
      <w:r>
        <w:rPr>
          <w:rFonts w:hint="eastAsia" w:ascii="仿宋" w:eastAsia="仿宋" w:cs="仿宋"/>
          <w:b w:val="0"/>
          <w:bCs w:val="0"/>
          <w:color w:val="000000"/>
          <w:kern w:val="0"/>
          <w:sz w:val="30"/>
          <w:szCs w:val="30"/>
          <w:shd w:val="clear" w:color="auto" w:fill="FFFFFF"/>
          <w:lang w:val="en-US" w:eastAsia="zh-CN"/>
        </w:rPr>
        <w:t>.社会保障和就业（类）抚恤（款）优抚事业单位支出（项）：指民政部门管理的优抚事业单位支出，对集体优抚事业单位的补助，对烈士纪念设施的维修改造和管理保护支出，以及全国重点军供站设施维修改造和设备更新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8</w:t>
      </w:r>
      <w:r>
        <w:rPr>
          <w:rFonts w:hint="eastAsia" w:ascii="仿宋" w:eastAsia="仿宋" w:cs="仿宋"/>
          <w:b w:val="0"/>
          <w:bCs w:val="0"/>
          <w:color w:val="000000"/>
          <w:kern w:val="0"/>
          <w:sz w:val="30"/>
          <w:szCs w:val="30"/>
          <w:shd w:val="clear" w:color="auto" w:fill="FFFFFF"/>
          <w:lang w:val="en-US" w:eastAsia="zh-CN"/>
        </w:rPr>
        <w:t>.社会保障和就业（类）抚恤（款）其他优抚支出（项）：指其他用于优抚方面的支出。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9</w:t>
      </w:r>
      <w:r>
        <w:rPr>
          <w:rFonts w:hint="eastAsia" w:ascii="仿宋" w:eastAsia="仿宋" w:cs="仿宋"/>
          <w:b w:val="0"/>
          <w:bCs w:val="0"/>
          <w:color w:val="000000"/>
          <w:kern w:val="0"/>
          <w:sz w:val="30"/>
          <w:szCs w:val="30"/>
          <w:shd w:val="clear" w:color="auto" w:fill="FFFFFF"/>
          <w:lang w:val="en-US" w:eastAsia="zh-CN"/>
        </w:rPr>
        <w:t>.社会保障和就业（类）退役安置（款）军队移交政府离退休干部管理机构（项）：指</w:t>
      </w:r>
      <w:r>
        <w:rPr>
          <w:rFonts w:ascii="仿宋" w:eastAsia="仿宋" w:cs="仿宋"/>
          <w:b w:val="0"/>
          <w:bCs w:val="0"/>
          <w:color w:val="000000"/>
          <w:kern w:val="0"/>
          <w:sz w:val="30"/>
          <w:szCs w:val="30"/>
          <w:shd w:val="clear" w:color="auto" w:fill="FFFFFF"/>
          <w:lang w:val="en-US" w:eastAsia="zh-CN"/>
        </w:rPr>
        <w:t>退役军人事务</w:t>
      </w:r>
      <w:r>
        <w:rPr>
          <w:rFonts w:hint="eastAsia" w:ascii="仿宋" w:eastAsia="仿宋" w:cs="仿宋"/>
          <w:b w:val="0"/>
          <w:bCs w:val="0"/>
          <w:color w:val="000000"/>
          <w:kern w:val="0"/>
          <w:sz w:val="30"/>
          <w:szCs w:val="30"/>
          <w:shd w:val="clear" w:color="auto" w:fill="FFFFFF"/>
          <w:lang w:val="en-US" w:eastAsia="zh-CN"/>
        </w:rPr>
        <w:t>部门管理的军队移交政府安置的离退休干部管理机构列入事业编制的人员经费、公用经费以及管理机构用房建设经费等支出。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10</w:t>
      </w:r>
      <w:r>
        <w:rPr>
          <w:rFonts w:hint="eastAsia" w:ascii="仿宋" w:eastAsia="仿宋" w:cs="仿宋"/>
          <w:b w:val="0"/>
          <w:bCs w:val="0"/>
          <w:color w:val="000000"/>
          <w:kern w:val="0"/>
          <w:sz w:val="30"/>
          <w:szCs w:val="30"/>
          <w:shd w:val="clear" w:color="auto" w:fill="FFFFFF"/>
          <w:lang w:val="en-US" w:eastAsia="zh-CN"/>
        </w:rPr>
        <w:t>.社会保障和就业（类）退役安置（款）</w:t>
      </w:r>
      <w:r>
        <w:rPr>
          <w:rFonts w:ascii="仿宋" w:eastAsia="仿宋" w:cs="仿宋"/>
          <w:b w:val="0"/>
          <w:bCs w:val="0"/>
          <w:color w:val="000000"/>
          <w:kern w:val="0"/>
          <w:sz w:val="30"/>
          <w:szCs w:val="30"/>
          <w:shd w:val="clear" w:color="auto" w:fill="FFFFFF"/>
          <w:lang w:val="en-US" w:eastAsia="zh-CN"/>
        </w:rPr>
        <w:t>军队转业干部安置</w:t>
      </w:r>
      <w:r>
        <w:rPr>
          <w:rFonts w:hint="eastAsia" w:ascii="仿宋" w:eastAsia="仿宋" w:cs="仿宋"/>
          <w:b w:val="0"/>
          <w:bCs w:val="0"/>
          <w:color w:val="000000"/>
          <w:kern w:val="0"/>
          <w:sz w:val="30"/>
          <w:szCs w:val="30"/>
          <w:shd w:val="clear" w:color="auto" w:fill="FFFFFF"/>
          <w:lang w:val="en-US" w:eastAsia="zh-CN"/>
        </w:rPr>
        <w:t>（项）:指</w:t>
      </w:r>
      <w:r>
        <w:rPr>
          <w:rFonts w:ascii="仿宋" w:eastAsia="仿宋" w:cs="仿宋"/>
          <w:b w:val="0"/>
          <w:bCs w:val="0"/>
          <w:color w:val="000000"/>
          <w:kern w:val="0"/>
          <w:sz w:val="30"/>
          <w:szCs w:val="30"/>
          <w:shd w:val="clear" w:color="auto" w:fill="FFFFFF"/>
          <w:lang w:val="en-US" w:eastAsia="zh-CN"/>
        </w:rPr>
        <w:t>军队转业干部安置、人员经费、自主择业退役军人等方面的</w:t>
      </w:r>
      <w:r>
        <w:rPr>
          <w:rFonts w:hint="eastAsia" w:ascii="仿宋" w:eastAsia="仿宋" w:cs="仿宋"/>
          <w:b w:val="0"/>
          <w:bCs w:val="0"/>
          <w:color w:val="000000"/>
          <w:kern w:val="0"/>
          <w:sz w:val="30"/>
          <w:szCs w:val="30"/>
          <w:shd w:val="clear" w:color="auto" w:fill="FFFFFF"/>
          <w:lang w:val="en-US" w:eastAsia="zh-CN"/>
        </w:rPr>
        <w:t>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00" w:firstLineChars="200"/>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11</w:t>
      </w:r>
      <w:r>
        <w:rPr>
          <w:rFonts w:hint="eastAsia" w:ascii="仿宋" w:eastAsia="仿宋" w:cs="仿宋"/>
          <w:b w:val="0"/>
          <w:bCs w:val="0"/>
          <w:color w:val="000000"/>
          <w:kern w:val="0"/>
          <w:sz w:val="30"/>
          <w:szCs w:val="30"/>
          <w:shd w:val="clear" w:color="auto" w:fill="FFFFFF"/>
        </w:rPr>
        <w:t>.社会保障和就业（类）退役安置（款）其他退役安置支出（项）:指除上述项目以外其他用于退役安置方面的支出。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76" w:lineRule="exact"/>
        <w:ind w:left="0" w:firstLine="600" w:firstLineChars="200"/>
        <w:jc w:val="left"/>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12</w:t>
      </w:r>
      <w:r>
        <w:rPr>
          <w:rFonts w:hint="eastAsia" w:ascii="仿宋" w:eastAsia="仿宋" w:cs="仿宋"/>
          <w:b w:val="0"/>
          <w:bCs w:val="0"/>
          <w:color w:val="000000"/>
          <w:kern w:val="0"/>
          <w:sz w:val="30"/>
          <w:szCs w:val="30"/>
          <w:shd w:val="clear" w:color="auto" w:fill="FFFFFF"/>
          <w:lang w:val="en-US" w:eastAsia="zh-CN"/>
        </w:rPr>
        <w:t>.社会保障和就业（类）退役军人管理事务（款）行政运行（项）:指行政单位（包括实行公务员管理的事业单位）的基本支出。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13</w:t>
      </w:r>
      <w:r>
        <w:rPr>
          <w:rFonts w:hint="eastAsia" w:ascii="仿宋" w:eastAsia="仿宋" w:cs="仿宋"/>
          <w:b w:val="0"/>
          <w:bCs w:val="0"/>
          <w:color w:val="000000"/>
          <w:kern w:val="0"/>
          <w:sz w:val="30"/>
          <w:szCs w:val="30"/>
          <w:shd w:val="clear" w:color="auto" w:fill="FFFFFF"/>
          <w:lang w:val="en-US" w:eastAsia="zh-CN"/>
        </w:rPr>
        <w:t>.社会保障和就业（类）退役军人管理事务（款）拥军优属（项）:指开展拥军优属活动的支出。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14</w:t>
      </w:r>
      <w:r>
        <w:rPr>
          <w:rFonts w:hint="eastAsia" w:ascii="仿宋" w:eastAsia="仿宋" w:cs="仿宋"/>
          <w:b w:val="0"/>
          <w:bCs w:val="0"/>
          <w:color w:val="000000"/>
          <w:kern w:val="0"/>
          <w:sz w:val="30"/>
          <w:szCs w:val="30"/>
          <w:shd w:val="clear" w:color="auto" w:fill="FFFFFF"/>
          <w:lang w:val="en-US" w:eastAsia="zh-CN"/>
        </w:rPr>
        <w:t>.社会保障和就业（类）退役军人管理事务（款）其他退役军人管理事务（项）:指其他用于退役军人事务管理方面的支出。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15</w:t>
      </w:r>
      <w:r>
        <w:rPr>
          <w:rFonts w:hint="eastAsia" w:ascii="仿宋" w:eastAsia="仿宋" w:cs="仿宋"/>
          <w:b w:val="0"/>
          <w:bCs w:val="0"/>
          <w:color w:val="000000"/>
          <w:kern w:val="0"/>
          <w:sz w:val="30"/>
          <w:szCs w:val="30"/>
          <w:shd w:val="clear" w:color="auto" w:fill="FFFFFF"/>
          <w:lang w:val="en-US" w:eastAsia="zh-CN"/>
        </w:rPr>
        <w:t>.卫生健康（类）行政事业单位医疗（款）行政单位医疗（项）:指财政部门安排的行政单位（包括实行公务员管理的事业单位）基本医疗保险缴费经费</w:t>
      </w:r>
      <w:r>
        <w:rPr>
          <w:rFonts w:ascii="仿宋" w:eastAsia="仿宋" w:cs="仿宋"/>
          <w:b w:val="0"/>
          <w:bCs w:val="0"/>
          <w:color w:val="000000"/>
          <w:kern w:val="0"/>
          <w:sz w:val="30"/>
          <w:szCs w:val="30"/>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0"/>
          <w:sz w:val="30"/>
          <w:szCs w:val="30"/>
          <w:shd w:val="clear" w:color="auto" w:fill="FFFFFF"/>
          <w:lang w:val="en-US" w:eastAsia="zh-CN"/>
        </w:rPr>
        <w:t>16</w:t>
      </w:r>
      <w:r>
        <w:rPr>
          <w:rFonts w:hint="eastAsia" w:ascii="仿宋" w:eastAsia="仿宋" w:cs="仿宋"/>
          <w:b w:val="0"/>
          <w:bCs w:val="0"/>
          <w:color w:val="000000"/>
          <w:kern w:val="0"/>
          <w:sz w:val="30"/>
          <w:szCs w:val="30"/>
          <w:shd w:val="clear" w:color="auto" w:fill="FFFFFF"/>
          <w:lang w:val="en-US" w:eastAsia="zh-CN"/>
        </w:rPr>
        <w:t>.住房保障（类）住房改革支出（款）住房公积金（项）: 指行政事业单位按人力资源和社会保障部、财政部规定的基本工资和津贴补贴以及规定比例为职工缴纳的住房公积金。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2"/>
          <w:sz w:val="30"/>
          <w:szCs w:val="30"/>
          <w:shd w:val="clear" w:color="auto" w:fill="FFFFFF"/>
          <w:lang w:val="en-US" w:eastAsia="zh-CN"/>
        </w:rPr>
        <w:t>17.</w:t>
      </w:r>
      <w:r>
        <w:rPr>
          <w:rFonts w:hint="eastAsia" w:ascii="仿宋" w:eastAsia="仿宋" w:cs="仿宋"/>
          <w:b w:val="0"/>
          <w:bCs w:val="0"/>
          <w:color w:val="000000"/>
          <w:kern w:val="2"/>
          <w:sz w:val="30"/>
          <w:szCs w:val="30"/>
          <w:shd w:val="clear" w:color="auto" w:fill="FFFFFF"/>
          <w:lang w:val="en-US" w:eastAsia="zh-CN"/>
        </w:rPr>
        <w:t>基本支出：指为保障机构正常运转、完成日常工作任务而发生的人员支出和公用支出。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00" w:firstLineChars="200"/>
        <w:jc w:val="left"/>
        <w:textAlignment w:val="auto"/>
        <w:rPr>
          <w:rFonts w:hint="eastAsia" w:ascii="仿宋" w:eastAsia="仿宋" w:cs="仿宋"/>
          <w:b w:val="0"/>
          <w:bCs w:val="0"/>
          <w:sz w:val="30"/>
          <w:szCs w:val="30"/>
        </w:rPr>
      </w:pPr>
      <w:r>
        <w:rPr>
          <w:rFonts w:ascii="仿宋" w:eastAsia="仿宋" w:cs="仿宋"/>
          <w:b w:val="0"/>
          <w:bCs w:val="0"/>
          <w:color w:val="000000"/>
          <w:kern w:val="2"/>
          <w:sz w:val="30"/>
          <w:szCs w:val="30"/>
          <w:shd w:val="clear" w:color="auto" w:fill="FFFFFF"/>
          <w:lang w:val="en-US" w:eastAsia="zh-CN"/>
        </w:rPr>
        <w:t>18</w:t>
      </w:r>
      <w:r>
        <w:rPr>
          <w:rFonts w:hint="eastAsia" w:ascii="仿宋" w:eastAsia="仿宋" w:cs="仿宋"/>
          <w:b w:val="0"/>
          <w:bCs w:val="0"/>
          <w:color w:val="000000"/>
          <w:kern w:val="2"/>
          <w:sz w:val="30"/>
          <w:szCs w:val="30"/>
          <w:shd w:val="clear" w:color="auto" w:fill="FFFFFF"/>
          <w:lang w:val="en-US" w:eastAsia="zh-CN"/>
        </w:rPr>
        <w:t>.项目支出：指在基本支出之外为完成特定行政任务和事业发展目标所发生的支出。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eastAsia" w:ascii="仿宋" w:eastAsia="仿宋" w:cs="仿宋"/>
          <w:b w:val="0"/>
          <w:bCs w:val="0"/>
          <w:sz w:val="30"/>
          <w:szCs w:val="30"/>
        </w:rPr>
      </w:pPr>
      <w:r>
        <w:rPr>
          <w:rFonts w:ascii="仿宋" w:eastAsia="仿宋" w:cs="仿宋"/>
          <w:b w:val="0"/>
          <w:bCs w:val="0"/>
          <w:sz w:val="30"/>
          <w:szCs w:val="30"/>
          <w:shd w:val="clear" w:color="auto" w:fill="FFFFFF"/>
          <w:lang w:val="en-US" w:eastAsia="zh-CN"/>
        </w:rPr>
        <w:t>19</w:t>
      </w:r>
      <w:r>
        <w:rPr>
          <w:rFonts w:hint="eastAsia" w:ascii="仿宋" w:eastAsia="仿宋" w:cs="仿宋"/>
          <w:b w:val="0"/>
          <w:bCs w:val="0"/>
          <w:sz w:val="30"/>
          <w:szCs w:val="30"/>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eastAsia" w:ascii="仿宋" w:eastAsia="仿宋" w:cs="仿宋"/>
          <w:sz w:val="30"/>
          <w:szCs w:val="30"/>
        </w:rPr>
      </w:pPr>
      <w:r>
        <w:rPr>
          <w:rFonts w:hint="eastAsia" w:ascii="仿宋" w:eastAsia="仿宋" w:cs="仿宋"/>
          <w:sz w:val="30"/>
          <w:szCs w:val="30"/>
          <w:shd w:val="clear" w:color="auto" w:fill="FFFFFF"/>
          <w:lang w:val="en-US" w:eastAsia="zh-CN"/>
        </w:rPr>
        <w:t>20</w:t>
      </w:r>
      <w:r>
        <w:rPr>
          <w:rFonts w:hint="eastAsia" w:ascii="仿宋" w:eastAsia="仿宋" w:cs="仿宋"/>
          <w:sz w:val="30"/>
          <w:szCs w:val="30"/>
          <w:shd w:val="clear" w:color="auto"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ind w:firstLine="880" w:firstLineChars="200"/>
        <w:jc w:val="both"/>
        <w:outlineLvl w:val="0"/>
        <w:rPr>
          <w:rFonts w:ascii="黑体" w:eastAsia="黑体"/>
          <w:sz w:val="44"/>
          <w:szCs w:val="44"/>
        </w:rPr>
      </w:pPr>
      <w:bookmarkStart w:id="51" w:name="_Toc15396614"/>
      <w:bookmarkStart w:id="52" w:name="_Toc15377226"/>
    </w:p>
    <w:p>
      <w:pPr>
        <w:spacing w:line="600" w:lineRule="exact"/>
        <w:ind w:firstLine="880" w:firstLineChars="200"/>
        <w:jc w:val="both"/>
        <w:outlineLvl w:val="0"/>
        <w:rPr>
          <w:rFonts w:ascii="黑体" w:eastAsia="黑体"/>
          <w:sz w:val="44"/>
          <w:szCs w:val="44"/>
        </w:rPr>
      </w:pPr>
    </w:p>
    <w:p>
      <w:pPr>
        <w:spacing w:line="600" w:lineRule="exact"/>
        <w:ind w:firstLine="880" w:firstLineChars="200"/>
        <w:jc w:val="both"/>
        <w:outlineLvl w:val="0"/>
        <w:rPr>
          <w:rStyle w:val="18"/>
          <w:rFonts w:ascii="黑体" w:eastAsia="黑体"/>
          <w:b w:val="0"/>
        </w:rPr>
      </w:pPr>
      <w:r>
        <w:rPr>
          <w:rFonts w:hint="eastAsia" w:ascii="黑体" w:eastAsia="黑体"/>
          <w:sz w:val="44"/>
          <w:szCs w:val="44"/>
        </w:rPr>
        <w:t>第</w:t>
      </w:r>
      <w:r>
        <w:rPr>
          <w:rStyle w:val="18"/>
          <w:rFonts w:hint="eastAsia" w:ascii="黑体" w:eastAsia="黑体"/>
          <w:b w:val="0"/>
        </w:rPr>
        <w:t>四部分 附件</w:t>
      </w:r>
      <w:bookmarkEnd w:id="51"/>
    </w:p>
    <w:p>
      <w:pPr>
        <w:keepNext w:val="0"/>
        <w:keepLines w:val="0"/>
        <w:pageBreakBefore w:val="0"/>
        <w:widowControl/>
        <w:kinsoku/>
        <w:wordWrap/>
        <w:overflowPunct/>
        <w:topLinePunct w:val="0"/>
        <w:autoSpaceDE w:val="0"/>
        <w:autoSpaceDN/>
        <w:bidi w:val="0"/>
        <w:spacing w:beforeAutospacing="0" w:afterAutospacing="0" w:line="560" w:lineRule="exact"/>
        <w:jc w:val="left"/>
        <w:textAlignment w:val="auto"/>
        <w:rPr>
          <w:rFonts w:hint="eastAsia" w:ascii="方正小标宋简体" w:eastAsia="方正小标宋简体"/>
          <w:color w:val="000000"/>
          <w:kern w:val="0"/>
          <w:sz w:val="44"/>
          <w:szCs w:val="44"/>
        </w:rPr>
      </w:pPr>
    </w:p>
    <w:p>
      <w:pPr>
        <w:keepNext w:val="0"/>
        <w:keepLines w:val="0"/>
        <w:pageBreakBefore w:val="0"/>
        <w:widowControl/>
        <w:kinsoku/>
        <w:wordWrap/>
        <w:overflowPunct/>
        <w:topLinePunct w:val="0"/>
        <w:autoSpaceDE w:val="0"/>
        <w:autoSpaceDN/>
        <w:bidi w:val="0"/>
        <w:spacing w:beforeAutospacing="0" w:afterAutospacing="0" w:line="560" w:lineRule="exact"/>
        <w:jc w:val="left"/>
        <w:textAlignment w:val="auto"/>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202</w:t>
      </w:r>
      <w:r>
        <w:rPr>
          <w:rFonts w:hint="eastAsia" w:ascii="方正小标宋简体" w:eastAsia="方正小标宋简体"/>
          <w:color w:val="000000"/>
          <w:kern w:val="0"/>
          <w:sz w:val="44"/>
          <w:szCs w:val="44"/>
          <w:lang w:val="en-US" w:eastAsia="zh-CN"/>
        </w:rPr>
        <w:t>1</w:t>
      </w:r>
      <w:r>
        <w:rPr>
          <w:rFonts w:hint="eastAsia" w:ascii="方正小标宋简体" w:eastAsia="方正小标宋简体"/>
          <w:color w:val="000000"/>
          <w:kern w:val="0"/>
          <w:sz w:val="44"/>
          <w:szCs w:val="44"/>
        </w:rPr>
        <w:t>年烈士褒扬工作经费项目绩效</w:t>
      </w:r>
      <w:r>
        <w:rPr>
          <w:rFonts w:hint="eastAsia" w:ascii="方正小标宋简体" w:eastAsia="方正小标宋简体"/>
          <w:color w:val="000000"/>
          <w:kern w:val="0"/>
          <w:sz w:val="44"/>
          <w:szCs w:val="44"/>
          <w:lang w:eastAsia="zh-CN"/>
        </w:rPr>
        <w:t>自评</w:t>
      </w:r>
      <w:r>
        <w:rPr>
          <w:rFonts w:hint="eastAsia" w:ascii="方正小标宋简体" w:eastAsia="方正小标宋简体"/>
          <w:color w:val="000000"/>
          <w:kern w:val="0"/>
          <w:sz w:val="44"/>
          <w:szCs w:val="44"/>
        </w:rPr>
        <w:t>报告</w:t>
      </w:r>
    </w:p>
    <w:p>
      <w:pPr>
        <w:keepNext w:val="0"/>
        <w:keepLines w:val="0"/>
        <w:pageBreakBefore w:val="0"/>
        <w:widowControl w:val="0"/>
        <w:kinsoku/>
        <w:wordWrap/>
        <w:overflowPunct/>
        <w:topLinePunct w:val="0"/>
        <w:autoSpaceDE w:val="0"/>
        <w:autoSpaceDN/>
        <w:bidi w:val="0"/>
        <w:adjustRightInd w:val="0"/>
        <w:snapToGrid w:val="0"/>
        <w:spacing w:line="560" w:lineRule="exact"/>
        <w:textAlignment w:val="auto"/>
        <w:rPr>
          <w:rFonts w:hint="eastAsia" w:ascii="黑体" w:eastAsia="黑体" w:cs="黑体"/>
          <w:b w:val="0"/>
          <w:bCs w:val="0"/>
          <w:sz w:val="32"/>
          <w:szCs w:val="32"/>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960" w:firstLineChars="300"/>
        <w:textAlignment w:val="auto"/>
        <w:rPr>
          <w:rFonts w:hint="eastAsia" w:ascii="黑体" w:eastAsia="黑体" w:cs="黑体"/>
          <w:b w:val="0"/>
          <w:bCs w:val="0"/>
          <w:sz w:val="32"/>
          <w:szCs w:val="32"/>
        </w:rPr>
      </w:pPr>
      <w:r>
        <w:rPr>
          <w:rFonts w:hint="eastAsia" w:ascii="黑体" w:eastAsia="黑体" w:cs="黑体"/>
          <w:b w:val="0"/>
          <w:bCs w:val="0"/>
          <w:sz w:val="32"/>
          <w:szCs w:val="32"/>
        </w:rPr>
        <w:t>一、项目概况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（一）项目基本情况。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1．项目主管部门（单位）在该项目管理中的职能。按照职能职责，广元市退役军人事务局双拥科根据褒扬纪念工作要求，报请市政府拨付烈士褒扬工作经费。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2．项目立项、资金申报的依据。《军人抚恤优待条例》《烈士褒扬条例》《烈士纪念设施保护管理办法》《烈士安葬办法》等。</w:t>
      </w:r>
    </w:p>
    <w:p>
      <w:pPr>
        <w:keepNext w:val="0"/>
        <w:keepLines w:val="0"/>
        <w:pageBreakBefore w:val="0"/>
        <w:widowControl w:val="0"/>
        <w:kinsoku/>
        <w:wordWrap/>
        <w:overflowPunct/>
        <w:topLinePunct w:val="0"/>
        <w:autoSpaceDE w:val="0"/>
        <w:bidi w:val="0"/>
        <w:spacing w:line="560" w:lineRule="exact"/>
        <w:ind w:firstLine="640" w:firstLineChars="200"/>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sz w:val="32"/>
          <w:szCs w:val="32"/>
          <w:lang w:val="en-US" w:eastAsia="zh-CN"/>
        </w:rPr>
        <w:t>3．资金管理办法制定情况，资金支持具体项目的条件、范围与支持方式概况。资金用于</w:t>
      </w:r>
      <w:r>
        <w:rPr>
          <w:rFonts w:hint="eastAsia" w:ascii="仿宋_GB2312" w:eastAsia="仿宋_GB2312" w:cs="仿宋_GB2312"/>
          <w:b w:val="0"/>
          <w:bCs w:val="0"/>
          <w:color w:val="000000"/>
          <w:sz w:val="32"/>
          <w:szCs w:val="32"/>
          <w:lang w:val="en-US" w:eastAsia="zh-CN"/>
        </w:rPr>
        <w:t>指导全市烈士纪念设施建设、管理、维护及修缮；开展烈士纪念设施核查，开展烈士评定、烈士寻亲和接烈士回家等工作，为纪念烈士提供良好场所，弘扬英烈精神，学习、宣传烈士事迹。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4．资金分配的原则及考虑因素。根据工作任务，提出资金使用方案，并按程序报批。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（二）项目绩效目标。</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1．项目主要内容。</w:t>
      </w:r>
      <w:r>
        <w:rPr>
          <w:rFonts w:hint="eastAsia" w:ascii="仿宋_GB2312" w:eastAsia="仿宋_GB2312" w:cs="仿宋_GB2312"/>
          <w:b w:val="0"/>
          <w:bCs w:val="0"/>
          <w:color w:val="000000"/>
          <w:sz w:val="32"/>
          <w:szCs w:val="32"/>
          <w:lang w:val="en-US" w:eastAsia="zh-CN"/>
        </w:rPr>
        <w:t>指导全市烈士纪念设施建设、管理、维护及修缮；开展烈士纪念设施核查，开展烈士评定、烈士寻亲和接烈士回家等工作，为纪念烈士提供良好场所，</w:t>
      </w:r>
      <w:r>
        <w:rPr>
          <w:rFonts w:hint="eastAsia" w:ascii="仿宋_GB2312" w:eastAsia="仿宋_GB2312" w:cs="仿宋_GB2312"/>
          <w:b w:val="0"/>
          <w:bCs w:val="0"/>
          <w:sz w:val="32"/>
          <w:szCs w:val="32"/>
          <w:lang w:val="en-US" w:eastAsia="zh-CN"/>
        </w:rPr>
        <w:t>弘扬烈士精神，优待烈士遗属。</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2．项目应实现的具体绩效目标，包括目标的量化、细化情况以及项目实施进度计划等。在清明节和“9·30”烈士纪念日开展全市烈士公祭活动，</w:t>
      </w:r>
      <w:r>
        <w:rPr>
          <w:rFonts w:hint="eastAsia" w:ascii="仿宋_GB2312" w:eastAsia="仿宋_GB2312" w:cs="仿宋_GB2312"/>
          <w:b w:val="0"/>
          <w:bCs w:val="0"/>
          <w:color w:val="000000"/>
          <w:sz w:val="32"/>
          <w:szCs w:val="32"/>
          <w:lang w:val="en-US" w:eastAsia="zh-CN"/>
        </w:rPr>
        <w:t>开展烈士评定工作；完成对烈士纪念设施的级别认定，积极争取烈士纪念设施建设项目中央资金；争取纳入省市30民生实事项目；对县级以下烈士纪念设施进行整修。</w:t>
      </w:r>
      <w:r>
        <w:rPr>
          <w:rFonts w:hint="eastAsia" w:ascii="仿宋_GB2312" w:eastAsia="仿宋_GB2312" w:cs="仿宋_GB2312"/>
          <w:b w:val="0"/>
          <w:bCs w:val="0"/>
          <w:sz w:val="32"/>
          <w:szCs w:val="32"/>
          <w:lang w:val="en-US" w:eastAsia="zh-CN"/>
        </w:rPr>
        <w:t>在弘扬英烈精神，传承红色文化上，提升社会群众参与度，烈士家属满意度和社会群众满意度大于95%。</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3．分析评价申报内容是否与实际相符，申报目标是否合理可行。资金申报内容同实际相符，申报目标合理可行。</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（三）项目自评步骤及方法。</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项目绩效自评采用的组织实施步骤及方法。由项目责任科室双拥科向财务室报送自评材料。</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二、项目资金申报及使用情况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（一）项目资金申报及批复情况。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项目资金申报、批复及预算调整等程序的相关情况。在年初预算编制时，根据当前对褒扬纪念工作的重要性，以烈士纪念设施为载体，开展红色文化教育，2021年下达工作经费5万元。</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（二）资金计划、到位及使用情况。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1．资金计划。2021年，收到市财政预算5万元。</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2．资金到位。收到市财政资金后，均在规定时限内完成资金使用分配，资金到位率100%。</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3．资金使用。严格执行上级关于资金使用管理办法的要求，按照工作需要，对所支付资金净党组会议研究后按程序拨付，切实做到补助资金专款专用、严格规范、安全高效。</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楷体_GB2312" w:eastAsia="楷体_GB2312" w:cs="楷体_GB2312"/>
          <w:b w:val="0"/>
          <w:bCs w:val="0"/>
          <w:sz w:val="32"/>
          <w:szCs w:val="32"/>
        </w:rPr>
        <w:t>（三）项目财务管理情况。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按照财务管理制度要求，结合我局实际，制定了专项资金管理办法，实施过程中均严格执行财务管理制度，资金发放后及时进行账务处理，会计核算规范。</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三、项目实施及管理情况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（一）项目组织架构及实施流程。</w:t>
      </w:r>
      <w:r>
        <w:rPr>
          <w:rFonts w:hint="eastAsia" w:ascii="仿宋_GB2312" w:eastAsia="仿宋_GB2312" w:cs="仿宋_GB2312"/>
          <w:b w:val="0"/>
          <w:bCs w:val="0"/>
          <w:sz w:val="32"/>
          <w:szCs w:val="32"/>
          <w:lang w:val="en-US" w:eastAsia="zh-CN"/>
        </w:rPr>
        <w:t>专项资金按照“分级负责、科学合理、专款专用、强化监督”原则实施管理。专项资金预算安排由广元市退役军人事务局烈士褒扬工作的要求，报请市政府拨付烈士褒扬工作经费。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（二）项目管理情况。</w:t>
      </w:r>
      <w:r>
        <w:rPr>
          <w:rFonts w:hint="eastAsia" w:ascii="仿宋_GB2312" w:eastAsia="仿宋_GB2312" w:cs="仿宋_GB2312"/>
          <w:b w:val="0"/>
          <w:bCs w:val="0"/>
          <w:sz w:val="32"/>
          <w:szCs w:val="32"/>
          <w:lang w:val="en-US" w:eastAsia="zh-CN"/>
        </w:rPr>
        <w:t>严格执行上级关于资金使用管理办法的要求，按照工作需要，对所支付资金经党组会议研究后按程序拨付，切实做到补助资金专款专用、严格规范、安全高效。</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（三）项目监管情况。</w:t>
      </w:r>
      <w:r>
        <w:rPr>
          <w:rFonts w:hint="eastAsia" w:ascii="仿宋_GB2312" w:eastAsia="仿宋_GB2312" w:cs="仿宋_GB2312"/>
          <w:b w:val="0"/>
          <w:bCs w:val="0"/>
          <w:sz w:val="32"/>
          <w:szCs w:val="32"/>
          <w:lang w:val="en-US" w:eastAsia="zh-CN"/>
        </w:rPr>
        <w:t>专项资金按规定编制绩效目标。市退役军人事务局双拥科根据工作要求提出资金使用建议方案，市财政下达专项资金后，按规定填报绩效目标表，并将其作为绩效监控和绩效评价的依据。年度执行中，市退役军人事务局、市财政局对绩效目标实现情况进行监控，确保绩效目标如期实现。年度执行结束后，由市退役军人事务局双拥科开展绩效自评报市财政局。评价内容包括预算执行、合规安全、使用绩效等。绩效评价结果将作为完善政策、安排预算、改进管理的参考和重要依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四、项目绩效情况</w:t>
      </w:r>
      <w:r>
        <w:rPr>
          <w:rFonts w:hint="eastAsia" w:ascii="黑体" w:eastAsia="黑体" w:cs="黑体"/>
          <w:b w:val="0"/>
          <w:bCs w:val="0"/>
          <w:sz w:val="32"/>
          <w:szCs w:val="32"/>
        </w:rPr>
        <w:tab/>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（一）项目完成情况。</w:t>
      </w:r>
      <w:r>
        <w:rPr>
          <w:rFonts w:hint="eastAsia" w:ascii="仿宋_GB2312" w:eastAsia="仿宋_GB2312" w:cs="仿宋_GB2312"/>
          <w:b w:val="0"/>
          <w:bCs w:val="0"/>
          <w:sz w:val="32"/>
          <w:szCs w:val="32"/>
          <w:lang w:val="en-US" w:eastAsia="zh-CN"/>
        </w:rPr>
        <w:t>2021年，通过下拨烈士褒扬工作经费，确保了开展烈士褒扬工作正常进行，提升了社会群众参与度，社会群众和服务对象总体满意度较高。2021年，完成3位烈士评定工作；完成对4个烈士纪念设施的市级级别认定，完成4个烈士陵园建设项目被事务部批准；市烈士陵园改扩建项目争取到中央预算资金；完成市烈士陵园陈列馆展陈项目和朝天区烈士陵园修缮改造项目两个纳入省市30件民生实事项目；完成县级以下烈士纪念设施整修工程；完成烈士纪念设施初步核查；完成森林防灭火督查工作，确保联系督导县区区域平安。</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（二）项目效益情况。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效益指标完成情况分析。</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烈士褒扬工作经费社会效益、可持续效益显著提高和改善，提高社会群众关于褒扬纪念工作的知晓率和参与度，褒扬烈士，使烈士家属感受到祖国人民的关心关爱，使社会群众感受到传承革命精神的重要性。有利于形成传承红色文化、弘扬烈士精神的社会风尚。</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rPr>
        <w:t>满意度指标完成情况分析。</w:t>
      </w:r>
      <w:r>
        <w:rPr>
          <w:rFonts w:hint="eastAsia" w:ascii="仿宋_GB2312" w:eastAsia="仿宋_GB2312" w:cs="仿宋_GB2312"/>
          <w:b w:val="0"/>
          <w:bCs w:val="0"/>
          <w:sz w:val="32"/>
          <w:szCs w:val="32"/>
          <w:lang w:val="en-US" w:eastAsia="zh-CN"/>
        </w:rPr>
        <w:t>社会群众和服务对象满意度较高，达到98%。</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五、评价结论及建议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（一）评价结论。</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从评价情况来看，项目严格按照资金管理办法进行使用，做好绩效监控，确保绩效目标实现。通过项目实施，有效提升社会群众参与度，弘扬烈士精神，开展红色文化教育，宣传红色文化，让社会群众有强烈的爱国情怀、心怀敬畏之心、感恩之心。</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（二）存在的问题。</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全市现有在册烈士1.4万余人，牺牲的先烈中，无数广元籍烈士不知道牺牲地和安葬地，烈士寻亲工作任重道远。广元地方财政紧张，烈士陵园缺乏工作经费和维护经费，纪念设施修缮保护力量不足。</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（三）相关建议。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提高对褒扬工作的经费投入，以烈士纪念设施为依托，开展爱国主义教育。</w:t>
      </w:r>
    </w:p>
    <w:p>
      <w:pPr>
        <w:pStyle w:val="23"/>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eastAsia" w:ascii="仿宋_GB2312" w:eastAsia="仿宋_GB2312" w:cs="仿宋_GB2312"/>
          <w:b w:val="0"/>
          <w:bCs w:val="0"/>
          <w:sz w:val="32"/>
          <w:szCs w:val="32"/>
          <w:lang w:val="en-US" w:eastAsia="zh-CN"/>
        </w:rPr>
        <w:sectPr>
          <w:footerReference r:id="rId5" w:type="default"/>
          <w:pgSz w:w="11906" w:h="16838"/>
          <w:pgMar w:top="2098" w:right="1474" w:bottom="1984" w:left="1587" w:header="851" w:footer="1559" w:gutter="0"/>
          <w:pgNumType w:fmt="numberInDash" w:start="1"/>
          <w:cols w:space="720" w:num="1"/>
          <w:rtlGutter w:val="1"/>
          <w:docGrid w:type="linesAndChars" w:linePitch="318" w:charSpace="0"/>
        </w:sectPr>
      </w:pPr>
    </w:p>
    <w:p>
      <w:pPr>
        <w:keepNext w:val="0"/>
        <w:keepLines w:val="0"/>
        <w:pageBreakBefore w:val="0"/>
        <w:widowControl w:val="0"/>
        <w:kinsoku/>
        <w:wordWrap/>
        <w:overflowPunct/>
        <w:topLinePunct w:val="0"/>
        <w:autoSpaceDE w:val="0"/>
        <w:autoSpaceDN/>
        <w:bidi w:val="0"/>
        <w:adjustRightInd/>
        <w:snapToGrid/>
        <w:spacing w:line="560" w:lineRule="exact"/>
        <w:ind w:firstLine="0"/>
        <w:jc w:val="center"/>
        <w:textAlignment w:val="auto"/>
        <w:rPr>
          <w:rFonts w:ascii="方正小标宋简体" w:eastAsia="方正小标宋简体"/>
          <w:color w:val="000000"/>
          <w:spacing w:val="-20"/>
          <w:kern w:val="0"/>
          <w:sz w:val="44"/>
          <w:szCs w:val="44"/>
        </w:rPr>
      </w:pPr>
      <w:r>
        <w:rPr>
          <w:rFonts w:hint="eastAsia" w:ascii="方正小标宋简体" w:eastAsia="方正小标宋简体"/>
          <w:color w:val="000000"/>
          <w:spacing w:val="-20"/>
          <w:kern w:val="0"/>
          <w:sz w:val="44"/>
          <w:szCs w:val="44"/>
        </w:rPr>
        <w:t>202</w:t>
      </w:r>
      <w:r>
        <w:rPr>
          <w:rFonts w:hint="eastAsia" w:ascii="方正小标宋简体" w:eastAsia="方正小标宋简体"/>
          <w:color w:val="000000"/>
          <w:spacing w:val="-20"/>
          <w:kern w:val="0"/>
          <w:sz w:val="44"/>
          <w:szCs w:val="44"/>
          <w:lang w:val="en-US" w:eastAsia="zh-CN"/>
        </w:rPr>
        <w:t>1</w:t>
      </w:r>
      <w:r>
        <w:rPr>
          <w:rFonts w:hint="eastAsia" w:ascii="方正小标宋简体" w:eastAsia="方正小标宋简体"/>
          <w:color w:val="000000"/>
          <w:spacing w:val="-20"/>
          <w:kern w:val="0"/>
          <w:sz w:val="44"/>
          <w:szCs w:val="44"/>
        </w:rPr>
        <w:t>年双拥双创工作经费项目绩效</w:t>
      </w:r>
      <w:r>
        <w:rPr>
          <w:rFonts w:hint="eastAsia" w:ascii="方正小标宋简体" w:eastAsia="方正小标宋简体"/>
          <w:color w:val="000000"/>
          <w:spacing w:val="-20"/>
          <w:kern w:val="0"/>
          <w:sz w:val="44"/>
          <w:szCs w:val="44"/>
          <w:lang w:eastAsia="zh-CN"/>
        </w:rPr>
        <w:t>自评</w:t>
      </w:r>
      <w:r>
        <w:rPr>
          <w:rFonts w:hint="eastAsia" w:ascii="方正小标宋简体" w:eastAsia="方正小标宋简体"/>
          <w:color w:val="000000"/>
          <w:spacing w:val="-20"/>
          <w:kern w:val="0"/>
          <w:sz w:val="44"/>
          <w:szCs w:val="44"/>
        </w:rPr>
        <w:t>报告</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ascii="宋体"/>
          <w:sz w:val="32"/>
          <w:szCs w:val="32"/>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一、项目概况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（一）项目基本情况。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1．项目主管部门（单位）在该项目管理中的职能。按照职能职责，广元市退役军人事务局双拥科根据全国双拥工作领导小组、四川省双拥工作领导小组关于做好双拥工作的要求，报请市政府拨付双拥工作经费。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2．项目立项、资金申报的依据。《退役军人保障法》、《全国双拥模范城（县）考评自查表》。</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3．资金管理办法制定情况，资金支持具体项目的条件、范围与支持方式概况。资金用于开展双拥工作，主要用于全面开展双拥工作，营造全市良好双拥氛围。</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4．资金分配的原则及考虑因素。根据工作任务，依据创建需要提出资金使用方案，并按程序报批。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（二）项目绩效目标。</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1．项目主要内容。通过开展多种形式的拥军优属拥政爱民宣传，在全社会积极营造拥军爱军氛围，提高军人军属和退役军人及优抚对象获得感和幸福感，为争创第12届“全国双拥模范城”打好基础。</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项目应实现的具体绩效目标，包括目标的量化、细化情况以及项目实施进度计划等。通过召开春节慰问会、双拥领导小组会等会议，完成在八一等重要节日开展双拥宣传；积极开展迎接退役老兵“光荣返乡”活动，对困难军人家庭开展慰问。进一步保障社会稳定，促进军队稳定，促进双拥工作，提升社会群众关于双拥工作的知晓率，社会群众和服务对象满意度大于95%。</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3．分析评价申报内容是否与实际相符，申报目标是否合理可行。资金申报内容同实际相符，申报目标合理可行。</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（三）项目自评步骤及方法。</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项目绩效自评采用的组织实施步骤及方法。由项目责任科室双拥科向财务室报送自评材料。</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二、项目资金申报及使用情况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（一）项目资金申报及批复情况。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项目资金申报、批复及预算调整等程序的相关情况。在年初预算编制时，根据每4年开展一次全国双拥模范城创建工作要求及我市已连续创建并荣获6届“全国双拥模范城”荣誉称号，2021年初下达工作经费10万元。</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（二）资金计划、到位及使用情况。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1．资金计划。2021年，收到市财政预算10万元。</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2．资金到位。收到市财政资金后，均在规定时限内完成资金使用分配，资金到位率100%。</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3．资金使用。严格执行上级关于资金使用管理办法的要求，按照工作需要，对所支付资金净党组会议研究后按程序拨付，切实做到补助资金专款专用、严格规范、安全高效。</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（三）项目财务管理情况。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按照财务管理制度要求，结合我局实际，制定了专项资金管理办法，实施过程中均严格执行财务管理制度，资金发放后及时进行账务处理，会计核算规范。</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三、项目实施及管理情况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（一）项目组织架构及实施流程。</w:t>
      </w:r>
      <w:r>
        <w:rPr>
          <w:rFonts w:hint="eastAsia" w:ascii="仿宋_GB2312" w:eastAsia="仿宋_GB2312" w:cs="仿宋_GB2312"/>
          <w:b w:val="0"/>
          <w:bCs w:val="0"/>
          <w:sz w:val="32"/>
          <w:szCs w:val="32"/>
          <w:lang w:val="en-US" w:eastAsia="zh-CN"/>
        </w:rPr>
        <w:t>专项资金按照“分级负责、科学合理、专款专用、强化监督”原则实施管理。专项资金预算安排由广元市退役军人事务局根据全国双拥工作领导小组、四川省双拥工作领导小组关于做好双拥工作的要求，报请市政府拨付双拥工作经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（二）项目管理情况。</w:t>
      </w:r>
      <w:r>
        <w:rPr>
          <w:rFonts w:hint="eastAsia" w:ascii="仿宋_GB2312" w:eastAsia="仿宋_GB2312" w:cs="仿宋_GB2312"/>
          <w:b w:val="0"/>
          <w:bCs w:val="0"/>
          <w:sz w:val="32"/>
          <w:szCs w:val="32"/>
          <w:lang w:val="en-US" w:eastAsia="zh-CN"/>
        </w:rPr>
        <w:t>严格执行上级关于资金使用管理办法的要求，按照工作需要，对所支付资金经党组会议研究后按程序拨付，切实做到补助资金专款专用、严格规范、安全高效。</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（三）项目监管情况。</w:t>
      </w:r>
      <w:r>
        <w:rPr>
          <w:rFonts w:hint="eastAsia" w:ascii="仿宋_GB2312" w:eastAsia="仿宋_GB2312" w:cs="仿宋_GB2312"/>
          <w:b w:val="0"/>
          <w:bCs w:val="0"/>
          <w:sz w:val="32"/>
          <w:szCs w:val="32"/>
          <w:lang w:val="en-US" w:eastAsia="zh-CN"/>
        </w:rPr>
        <w:t>专项资金按规定编制绩效目标。市退役军人事务局双拥科根据工作要求提出资金使用建议方案，市财政下达专项资金后，按规定填报绩效目标表，并将其作为绩效监控和绩效评价的依据。年度执行中，市退役军人事务局、市财政局对绩效目标实现情况进行监控，确保绩效目标如期实现。年度执行结束后，由市退役军人事务局双拥科开展绩效自评报市财政局。评价内容包括预算执行、合规安全、使用绩效等。绩效评价结果将作为完善政策、安排预算、改进管理的参考和重要依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四、项目绩效情况</w:t>
      </w:r>
      <w:r>
        <w:rPr>
          <w:rFonts w:hint="eastAsia" w:ascii="黑体" w:eastAsia="黑体" w:cs="黑体"/>
          <w:b w:val="0"/>
          <w:bCs w:val="0"/>
          <w:sz w:val="32"/>
          <w:szCs w:val="32"/>
        </w:rPr>
        <w:tab/>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rPr>
        <w:t>（一）项目完成情况。</w:t>
      </w:r>
      <w:r>
        <w:rPr>
          <w:rFonts w:hint="eastAsia" w:ascii="仿宋_GB2312" w:eastAsia="仿宋_GB2312" w:cs="仿宋_GB2312"/>
          <w:b w:val="0"/>
          <w:bCs w:val="0"/>
          <w:sz w:val="32"/>
          <w:szCs w:val="32"/>
          <w:lang w:val="en-US" w:eastAsia="zh-CN"/>
        </w:rPr>
        <w:t>2021年，通过下拨双拥工作经费，完成召开春节慰问会、双拥领导小组会；完成在八一等重要节日开展双拥宣传；对困难现役军人家庭开展慰问，确保双拥工作正常进行，提升了社会群众的知晓度，社会群众和服务对象总体满意度较高。</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（二）项目效益情况。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效益指标完成情况分析。</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双拥双创工作经费社会效益、可持续效益显著提高和改善，提高社会群众关于双拥工作的知晓率，使得现役部队感受到了地方对其不遗余力的支持，以及驻广部队对广元人民的深情厚谊，有利于在全市服务与国防和军队建设，有利于形成关心国防、尊崇军人的社会风尚。</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rPr>
        <w:t>满意度指标完成情况分析。</w:t>
      </w:r>
      <w:r>
        <w:rPr>
          <w:rFonts w:hint="eastAsia" w:ascii="仿宋_GB2312" w:eastAsia="仿宋_GB2312" w:cs="仿宋_GB2312"/>
          <w:b w:val="0"/>
          <w:bCs w:val="0"/>
          <w:sz w:val="32"/>
          <w:szCs w:val="32"/>
          <w:lang w:val="en-US" w:eastAsia="zh-CN"/>
        </w:rPr>
        <w:t>社会群众和服务对象满意度较高，达到98%。</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五、评价结论及建议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（一）评价结论。</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从评价情况来看，项目严格按照资金管理办法进行使用，做好绩效监控，确保绩效目标实现。通过项目实施，有效提高社会群众关于双拥工作的知晓率，支持国防和军队建设、促进社会和谐稳定，在全社会积极营造拥军、爱军氛围。</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（二）存在的问题。</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随着全社会对双拥工作的重视程度不断加强，“全国双拥模范城”名额的不断缩减，我市由于驻军较少，常住人口流失严重，对创建新一届“全国双拥模范城”的难度正在不断加大。</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（三）相关建议。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方正小标宋简体" w:eastAsia="方正小标宋简体" w:cs="方正小标宋简体"/>
          <w:b w:val="0"/>
          <w:bCs w:val="0"/>
          <w:color w:val="auto"/>
          <w:kern w:val="2"/>
          <w:sz w:val="44"/>
          <w:szCs w:val="44"/>
          <w:lang w:val="en-US" w:eastAsia="zh-CN"/>
        </w:rPr>
      </w:pPr>
      <w:r>
        <w:rPr>
          <w:rFonts w:hint="eastAsia" w:ascii="仿宋_GB2312" w:eastAsia="仿宋_GB2312" w:cs="仿宋_GB2312"/>
          <w:b w:val="0"/>
          <w:bCs w:val="0"/>
          <w:sz w:val="32"/>
          <w:szCs w:val="32"/>
          <w:lang w:val="en-US" w:eastAsia="zh-CN"/>
        </w:rPr>
        <w:t>从长远来看，双拥工作是一项长期的工作，我市作为川陕革命老区，红色资源非常丰富，未成功创建新一届“全国双拥模范城”，需要全市各级各部门通力合作，打造双拥亮点，创新工作，进一步提升广元的双拥竞争力。</w:t>
      </w:r>
    </w:p>
    <w:p>
      <w:pPr>
        <w:pStyle w:val="2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eastAsia="方正小标宋简体" w:cs="方正小标宋简体"/>
          <w:b w:val="0"/>
          <w:bCs w:val="0"/>
          <w:color w:val="auto"/>
          <w:kern w:val="2"/>
          <w:sz w:val="44"/>
          <w:szCs w:val="44"/>
          <w:lang w:val="en-US" w:eastAsia="zh-CN"/>
        </w:rPr>
      </w:pPr>
    </w:p>
    <w:p>
      <w:pPr>
        <w:pStyle w:val="2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eastAsia="方正小标宋简体"/>
          <w:color w:val="000000"/>
          <w:kern w:val="0"/>
          <w:sz w:val="44"/>
          <w:szCs w:val="44"/>
        </w:rPr>
      </w:pPr>
      <w:r>
        <w:rPr>
          <w:rFonts w:hint="eastAsia" w:ascii="方正小标宋简体" w:eastAsia="方正小标宋简体" w:cs="方正小标宋简体"/>
          <w:b w:val="0"/>
          <w:bCs w:val="0"/>
          <w:color w:val="auto"/>
          <w:kern w:val="2"/>
          <w:sz w:val="44"/>
          <w:szCs w:val="44"/>
          <w:lang w:val="en-US" w:eastAsia="zh-CN"/>
        </w:rPr>
        <w:t>2021年法制建设及法律顾问</w:t>
      </w:r>
      <w:r>
        <w:rPr>
          <w:rFonts w:hint="eastAsia" w:ascii="方正小标宋简体" w:eastAsia="方正小标宋简体"/>
          <w:color w:val="000000"/>
          <w:kern w:val="0"/>
          <w:sz w:val="44"/>
          <w:szCs w:val="44"/>
          <w:lang w:eastAsia="zh-CN"/>
        </w:rPr>
        <w:t>工作</w:t>
      </w:r>
      <w:r>
        <w:rPr>
          <w:rFonts w:hint="eastAsia" w:ascii="方正小标宋简体" w:eastAsia="方正小标宋简体"/>
          <w:color w:val="000000"/>
          <w:kern w:val="0"/>
          <w:sz w:val="44"/>
          <w:szCs w:val="44"/>
        </w:rPr>
        <w:t>经费</w:t>
      </w:r>
    </w:p>
    <w:p>
      <w:pPr>
        <w:pStyle w:val="2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楷体_GB2312" w:eastAsia="楷体_GB2312" w:cs="楷体_GB2312"/>
          <w:b w:val="0"/>
          <w:bCs w:val="0"/>
          <w:color w:val="auto"/>
          <w:kern w:val="2"/>
          <w:sz w:val="44"/>
          <w:szCs w:val="44"/>
        </w:rPr>
      </w:pPr>
      <w:r>
        <w:rPr>
          <w:rFonts w:hint="eastAsia" w:ascii="方正小标宋简体" w:eastAsia="方正小标宋简体" w:cs="方正小标宋简体"/>
          <w:b w:val="0"/>
          <w:bCs w:val="0"/>
          <w:color w:val="auto"/>
          <w:kern w:val="2"/>
          <w:sz w:val="44"/>
          <w:szCs w:val="44"/>
          <w:lang w:eastAsia="zh-CN"/>
        </w:rPr>
        <w:t>项目</w:t>
      </w:r>
      <w:r>
        <w:rPr>
          <w:rFonts w:hint="eastAsia" w:ascii="方正小标宋简体" w:eastAsia="方正小标宋简体" w:cs="方正小标宋简体"/>
          <w:b w:val="0"/>
          <w:bCs w:val="0"/>
          <w:color w:val="auto"/>
          <w:kern w:val="2"/>
          <w:sz w:val="44"/>
          <w:szCs w:val="44"/>
        </w:rPr>
        <w:t>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eastAsia="黑体"/>
          <w:b w:val="0"/>
          <w:bCs w:val="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eastAsia="黑体" w:cs="黑体"/>
          <w:b w:val="0"/>
          <w:bCs w:val="0"/>
          <w:sz w:val="32"/>
          <w:szCs w:val="32"/>
          <w:lang w:val="zh-CN"/>
        </w:rPr>
      </w:pPr>
      <w:r>
        <w:rPr>
          <w:rFonts w:hint="eastAsia" w:ascii="黑体" w:eastAsia="黑体" w:cs="黑体"/>
          <w:b w:val="0"/>
          <w:bCs w:val="0"/>
          <w:sz w:val="32"/>
          <w:szCs w:val="32"/>
        </w:rPr>
        <w:t>一、</w:t>
      </w:r>
      <w:r>
        <w:rPr>
          <w:rFonts w:hint="eastAsia" w:asci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（一）项目基本情况。</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en-US" w:eastAsia="zh-CN"/>
        </w:rPr>
        <w:t>1.</w:t>
      </w:r>
      <w:r>
        <w:rPr>
          <w:rFonts w:hint="eastAsia" w:ascii="仿宋_GB2312" w:eastAsia="仿宋_GB2312" w:cs="仿宋_GB2312"/>
          <w:b w:val="0"/>
          <w:bCs w:val="0"/>
          <w:sz w:val="32"/>
          <w:szCs w:val="32"/>
          <w:lang w:val="zh-CN"/>
        </w:rPr>
        <w:t>说明项目主管部门（单位）在该项目管理中的职能。</w:t>
      </w:r>
      <w:r>
        <w:rPr>
          <w:rFonts w:hint="eastAsia" w:ascii="仿宋_GB2312" w:eastAsia="仿宋_GB2312" w:cs="仿宋_GB2312"/>
          <w:sz w:val="32"/>
          <w:szCs w:val="32"/>
        </w:rPr>
        <w:t>按照职能职责，</w:t>
      </w:r>
      <w:r>
        <w:rPr>
          <w:rFonts w:hint="eastAsia" w:ascii="仿宋_GB2312" w:eastAsia="仿宋_GB2312" w:cs="仿宋_GB2312"/>
          <w:b w:val="0"/>
          <w:bCs w:val="0"/>
          <w:sz w:val="32"/>
          <w:szCs w:val="32"/>
        </w:rPr>
        <w:t>权益维护与法规科</w:t>
      </w:r>
      <w:r>
        <w:rPr>
          <w:rFonts w:hint="eastAsia" w:ascii="仿宋_GB2312" w:eastAsia="仿宋_GB2312" w:cs="仿宋_GB2312"/>
          <w:b w:val="0"/>
          <w:bCs w:val="0"/>
          <w:sz w:val="32"/>
          <w:szCs w:val="32"/>
          <w:lang w:eastAsia="zh-CN"/>
        </w:rPr>
        <w:t>主要</w:t>
      </w:r>
      <w:r>
        <w:rPr>
          <w:rFonts w:hint="eastAsia" w:ascii="仿宋_GB2312" w:eastAsia="仿宋_GB2312" w:cs="仿宋_GB2312"/>
          <w:b w:val="0"/>
          <w:bCs w:val="0"/>
          <w:sz w:val="32"/>
          <w:szCs w:val="32"/>
        </w:rPr>
        <w:t>承担规范性文件的合法性审查、备案和行政复议、行政应诉工作。指导并监督检查退役军人相关法律法规和政策措施的落实，承担退役军人权益维护工作。</w:t>
      </w:r>
      <w:r>
        <w:rPr>
          <w:rFonts w:hint="eastAsia" w:ascii="仿宋_GB2312" w:eastAsia="仿宋_GB2312" w:cs="仿宋_GB2312"/>
          <w:sz w:val="32"/>
          <w:szCs w:val="32"/>
        </w:rPr>
        <w:t>报请市政府</w:t>
      </w:r>
      <w:r>
        <w:rPr>
          <w:rFonts w:hint="eastAsia" w:ascii="仿宋_GB2312" w:eastAsia="仿宋_GB2312" w:cs="仿宋_GB2312"/>
          <w:b w:val="0"/>
          <w:bCs w:val="0"/>
          <w:sz w:val="32"/>
          <w:szCs w:val="32"/>
        </w:rPr>
        <w:t>拨付</w:t>
      </w:r>
      <w:r>
        <w:rPr>
          <w:rFonts w:hint="eastAsia" w:ascii="仿宋_GB2312" w:eastAsia="仿宋_GB2312" w:cs="仿宋_GB2312"/>
          <w:b w:val="0"/>
          <w:bCs w:val="0"/>
          <w:sz w:val="32"/>
          <w:szCs w:val="32"/>
          <w:lang w:val="en-US" w:eastAsia="zh-CN"/>
        </w:rPr>
        <w:t>法律顾问</w:t>
      </w:r>
      <w:r>
        <w:rPr>
          <w:rFonts w:hint="eastAsia" w:ascii="仿宋_GB2312" w:eastAsia="仿宋_GB2312" w:cs="仿宋_GB2312"/>
          <w:b w:val="0"/>
          <w:bCs w:val="0"/>
          <w:sz w:val="32"/>
          <w:szCs w:val="32"/>
        </w:rPr>
        <w:t>工作经费。</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lang w:val="en-US" w:eastAsia="zh-CN"/>
        </w:rPr>
        <w:t>2.</w:t>
      </w:r>
      <w:r>
        <w:rPr>
          <w:rFonts w:hint="eastAsia" w:ascii="仿宋_GB2312" w:eastAsia="仿宋_GB2312" w:cs="仿宋_GB2312"/>
          <w:b w:val="0"/>
          <w:bCs w:val="0"/>
          <w:sz w:val="32"/>
          <w:szCs w:val="32"/>
          <w:lang w:val="zh-CN"/>
        </w:rPr>
        <w:t>项目立项、资金申报的依据。</w:t>
      </w:r>
      <w:r>
        <w:rPr>
          <w:rFonts w:hint="eastAsia" w:ascii="仿宋_GB2312" w:eastAsia="仿宋_GB2312" w:cs="仿宋_GB2312"/>
          <w:b w:val="0"/>
          <w:bCs w:val="0"/>
          <w:sz w:val="32"/>
          <w:szCs w:val="32"/>
          <w:lang w:eastAsia="zh-CN"/>
        </w:rPr>
        <w:t>根据《中央办公厅、国务院办公厅、中央军委办公厅关于做好退役军人信访工作的意见》（厅字〔2019〕27号）精神，明确提出“推行律师参与退役军人信访工作，为退役军人提供法律咨询服务。”</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lang w:eastAsia="zh-CN"/>
        </w:rPr>
      </w:pPr>
      <w:r>
        <w:rPr>
          <w:rFonts w:hint="eastAsia" w:ascii="仿宋_GB2312" w:eastAsia="仿宋_GB2312" w:cs="仿宋_GB2312"/>
          <w:b w:val="0"/>
          <w:bCs w:val="0"/>
          <w:sz w:val="32"/>
          <w:szCs w:val="32"/>
          <w:lang w:val="en-US" w:eastAsia="zh-CN"/>
        </w:rPr>
        <w:t>3.</w:t>
      </w:r>
      <w:r>
        <w:rPr>
          <w:rFonts w:hint="eastAsia" w:ascii="仿宋_GB2312" w:eastAsia="仿宋_GB2312" w:cs="仿宋_GB2312"/>
          <w:b w:val="0"/>
          <w:bCs w:val="0"/>
          <w:sz w:val="32"/>
          <w:szCs w:val="32"/>
          <w:lang w:val="zh-CN"/>
        </w:rPr>
        <w:t>资金管理办法制定情况，资金支持具体项目的条件、范围与支持方式概况。</w:t>
      </w:r>
      <w:r>
        <w:rPr>
          <w:rFonts w:hint="eastAsia" w:ascii="仿宋_GB2312" w:eastAsia="仿宋_GB2312" w:cs="仿宋_GB2312"/>
          <w:sz w:val="32"/>
          <w:szCs w:val="32"/>
          <w:lang w:eastAsia="zh-CN"/>
        </w:rPr>
        <w:t>制定了《财务管理制度》，严格按制度审核开展法律服务工作所需成本。</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b w:val="0"/>
          <w:bCs w:val="0"/>
          <w:sz w:val="32"/>
          <w:szCs w:val="32"/>
          <w:lang w:val="en-US" w:eastAsia="zh-CN"/>
        </w:rPr>
        <w:t>4.</w:t>
      </w:r>
      <w:r>
        <w:rPr>
          <w:rFonts w:hint="eastAsia" w:ascii="仿宋_GB2312" w:eastAsia="仿宋_GB2312" w:cs="仿宋_GB2312"/>
          <w:b w:val="0"/>
          <w:bCs w:val="0"/>
          <w:sz w:val="32"/>
          <w:szCs w:val="32"/>
          <w:lang w:val="zh-CN"/>
        </w:rPr>
        <w:t>资金分配的原则及考虑因素。</w:t>
      </w:r>
      <w:r>
        <w:rPr>
          <w:rFonts w:hint="eastAsia" w:ascii="仿宋_GB2312" w:eastAsia="仿宋_GB2312" w:cs="仿宋_GB2312"/>
          <w:sz w:val="32"/>
          <w:szCs w:val="32"/>
        </w:rPr>
        <w:t>根据</w:t>
      </w:r>
      <w:r>
        <w:rPr>
          <w:rFonts w:hint="eastAsia" w:ascii="仿宋_GB2312" w:eastAsia="仿宋_GB2312" w:cs="仿宋_GB2312"/>
          <w:sz w:val="32"/>
          <w:szCs w:val="32"/>
          <w:lang w:eastAsia="zh-CN"/>
        </w:rPr>
        <w:t>法律服务</w:t>
      </w:r>
      <w:r>
        <w:rPr>
          <w:rFonts w:hint="eastAsia" w:ascii="仿宋_GB2312" w:eastAsia="仿宋_GB2312" w:cs="仿宋_GB2312"/>
          <w:sz w:val="32"/>
          <w:szCs w:val="32"/>
        </w:rPr>
        <w:t>工作任务需要</w:t>
      </w:r>
      <w:r>
        <w:rPr>
          <w:rFonts w:hint="eastAsia" w:ascii="仿宋_GB2312" w:eastAsia="仿宋_GB2312" w:cs="仿宋_GB2312"/>
          <w:sz w:val="32"/>
          <w:szCs w:val="32"/>
          <w:lang w:eastAsia="zh-CN"/>
        </w:rPr>
        <w:t>，</w:t>
      </w:r>
      <w:r>
        <w:rPr>
          <w:rFonts w:hint="eastAsia" w:ascii="仿宋_GB2312" w:eastAsia="仿宋_GB2312" w:cs="仿宋_GB2312"/>
          <w:sz w:val="32"/>
          <w:szCs w:val="32"/>
        </w:rPr>
        <w:t>提出资金使用方案。</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sz w:val="32"/>
          <w:szCs w:val="32"/>
          <w:lang w:val="zh-CN"/>
        </w:rPr>
      </w:pPr>
      <w:r>
        <w:rPr>
          <w:rFonts w:hint="eastAsia" w:ascii="楷体_GB2312" w:eastAsia="楷体_GB2312" w:cs="楷体_GB2312"/>
          <w:b w:val="0"/>
          <w:bCs w:val="0"/>
          <w:sz w:val="32"/>
          <w:szCs w:val="32"/>
          <w:lang w:val="zh-CN"/>
        </w:rPr>
        <w:t>（二）项目绩效目标。</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sz w:val="32"/>
          <w:szCs w:val="32"/>
          <w:lang w:eastAsia="zh-CN"/>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项目主要内容。</w:t>
      </w:r>
      <w:r>
        <w:rPr>
          <w:rFonts w:hint="eastAsia" w:ascii="仿宋_GB2312" w:eastAsia="仿宋_GB2312" w:cs="仿宋_GB2312"/>
          <w:b w:val="0"/>
          <w:bCs w:val="0"/>
          <w:sz w:val="32"/>
          <w:szCs w:val="32"/>
          <w:lang w:eastAsia="zh-CN"/>
        </w:rPr>
        <w:t>通过聘请法律顾问，高效推进退役军人事务部门法治化建设，全面提升退役军人事务部门依法行政能力，为退役军人提供全方位、多层次、精准化的公共法律服务，维护退役军人的合法权益。</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项目应实现的具体绩效目标，包括目标的量化、细化情况以及项目实施进度计划等。</w:t>
      </w:r>
      <w:r>
        <w:rPr>
          <w:rFonts w:hint="eastAsia" w:ascii="仿宋_GB2312" w:eastAsia="仿宋_GB2312" w:cs="仿宋_GB2312"/>
          <w:sz w:val="32"/>
          <w:szCs w:val="32"/>
          <w:lang w:eastAsia="zh-CN"/>
        </w:rPr>
        <w:t>完成</w:t>
      </w:r>
      <w:r>
        <w:rPr>
          <w:rFonts w:hint="eastAsia" w:ascii="仿宋_GB2312" w:eastAsia="仿宋_GB2312" w:cs="仿宋_GB2312"/>
          <w:sz w:val="32"/>
          <w:szCs w:val="32"/>
          <w:lang w:val="en-US" w:eastAsia="zh-CN"/>
        </w:rPr>
        <w:t>信访维稳业务工作会议及培训会议5次和日常信访维稳工作。</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分析评价申报内容是否与实际相符，申报目标是否合理可行。资金申报内容同实际相符，申报目标合理可行。</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（三）项目自评步骤及方法。</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项目绩效自评采用的组织实施步骤及方法。由项目责任科室</w:t>
      </w:r>
      <w:r>
        <w:rPr>
          <w:rFonts w:hint="eastAsia" w:ascii="仿宋_GB2312" w:eastAsia="仿宋_GB2312" w:cs="仿宋_GB2312"/>
          <w:sz w:val="32"/>
          <w:szCs w:val="32"/>
          <w:lang w:eastAsia="zh-CN"/>
        </w:rPr>
        <w:t>权益维护与法规科</w:t>
      </w:r>
      <w:r>
        <w:rPr>
          <w:rFonts w:hint="eastAsia" w:ascii="仿宋_GB2312" w:eastAsia="仿宋_GB2312" w:cs="仿宋_GB2312"/>
          <w:sz w:val="32"/>
          <w:szCs w:val="32"/>
        </w:rPr>
        <w:t>向财务</w:t>
      </w:r>
      <w:r>
        <w:rPr>
          <w:rFonts w:hint="eastAsia" w:ascii="仿宋_GB2312" w:eastAsia="仿宋_GB2312" w:cs="仿宋_GB2312"/>
          <w:sz w:val="32"/>
          <w:szCs w:val="32"/>
          <w:lang w:eastAsia="zh-CN"/>
        </w:rPr>
        <w:t>室</w:t>
      </w:r>
      <w:r>
        <w:rPr>
          <w:rFonts w:hint="eastAsia" w:ascii="仿宋_GB2312" w:eastAsia="仿宋_GB2312" w:cs="仿宋_GB2312"/>
          <w:sz w:val="32"/>
          <w:szCs w:val="32"/>
        </w:rPr>
        <w:t>报送自评材料。</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sz w:val="32"/>
          <w:szCs w:val="32"/>
        </w:rPr>
      </w:pPr>
      <w:r>
        <w:rPr>
          <w:rFonts w:hint="eastAsia" w:ascii="黑体" w:eastAsia="黑体" w:cs="黑体"/>
          <w:b w:val="0"/>
          <w:bCs w:val="0"/>
          <w:sz w:val="32"/>
          <w:szCs w:val="32"/>
          <w:lang w:eastAsia="zh-CN"/>
        </w:rPr>
        <w:t>二、</w:t>
      </w:r>
      <w:r>
        <w:rPr>
          <w:rFonts w:hint="eastAsia" w:ascii="黑体" w:eastAsia="黑体" w:cs="黑体"/>
          <w:b w:val="0"/>
          <w:bCs w:val="0"/>
          <w:sz w:val="32"/>
          <w:szCs w:val="32"/>
        </w:rPr>
        <w:t>项目资金申报及使用情况</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sz w:val="32"/>
          <w:szCs w:val="32"/>
          <w:lang w:val="zh-CN"/>
        </w:rPr>
      </w:pPr>
      <w:r>
        <w:rPr>
          <w:rFonts w:hint="eastAsia" w:ascii="楷体_GB2312" w:eastAsia="楷体_GB2312" w:cs="楷体_GB2312"/>
          <w:b w:val="0"/>
          <w:bCs w:val="0"/>
          <w:sz w:val="32"/>
          <w:szCs w:val="32"/>
          <w:lang w:val="zh-CN"/>
        </w:rPr>
        <w:t>（一）项目资金申报及批复情况。</w:t>
      </w:r>
      <w:r>
        <w:rPr>
          <w:rFonts w:hint="eastAsia" w:ascii="仿宋_GB2312" w:eastAsia="仿宋_GB2312" w:cs="仿宋_GB2312"/>
          <w:sz w:val="32"/>
          <w:szCs w:val="32"/>
          <w:lang w:eastAsia="zh-CN"/>
        </w:rPr>
        <w:t>申报资金</w:t>
      </w:r>
      <w:r>
        <w:rPr>
          <w:rFonts w:hint="eastAsia" w:ascii="仿宋_GB2312" w:eastAsia="仿宋_GB2312" w:cs="仿宋_GB2312"/>
          <w:sz w:val="32"/>
          <w:szCs w:val="32"/>
          <w:lang w:val="en-US" w:eastAsia="zh-CN"/>
        </w:rPr>
        <w:t>5万元，</w:t>
      </w:r>
      <w:r>
        <w:rPr>
          <w:rFonts w:hint="eastAsia" w:ascii="仿宋_GB2312" w:eastAsia="仿宋_GB2312" w:cs="仿宋_GB2312"/>
          <w:sz w:val="32"/>
          <w:szCs w:val="32"/>
          <w:lang w:eastAsia="zh-CN"/>
        </w:rPr>
        <w:t>批复资金</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万元。</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（二）资金计划、到位及使用情况（可用表格形式反映）。</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1．资金计划。市财政预算</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万元。</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2．资金到位。</w:t>
      </w:r>
      <w:r>
        <w:rPr>
          <w:rFonts w:hint="eastAsia" w:ascii="仿宋_GB2312" w:eastAsia="仿宋_GB2312" w:cs="仿宋_GB2312"/>
          <w:sz w:val="32"/>
          <w:szCs w:val="32"/>
          <w:lang w:eastAsia="zh-CN"/>
        </w:rPr>
        <w:t>到位资金</w:t>
      </w:r>
      <w:r>
        <w:rPr>
          <w:rFonts w:hint="eastAsia" w:ascii="仿宋_GB2312" w:eastAsia="仿宋_GB2312" w:cs="仿宋_GB2312"/>
          <w:sz w:val="32"/>
          <w:szCs w:val="32"/>
          <w:lang w:val="en-US" w:eastAsia="zh-CN"/>
        </w:rPr>
        <w:t>3万元，</w:t>
      </w:r>
      <w:r>
        <w:rPr>
          <w:rFonts w:hint="eastAsia" w:ascii="仿宋_GB2312" w:eastAsia="仿宋_GB2312" w:cs="仿宋_GB2312"/>
          <w:sz w:val="32"/>
          <w:szCs w:val="32"/>
        </w:rPr>
        <w:t>位率100%</w:t>
      </w:r>
      <w:r>
        <w:rPr>
          <w:rFonts w:hint="eastAsia" w:ascii="仿宋_GB2312" w:eastAsia="仿宋_GB2312" w:cs="仿宋_GB2312"/>
          <w:sz w:val="32"/>
          <w:szCs w:val="32"/>
          <w:lang w:eastAsia="zh-CN"/>
        </w:rPr>
        <w:t>，资金到位及时。</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资金使用。</w:t>
      </w:r>
      <w:r>
        <w:rPr>
          <w:rFonts w:hint="eastAsia" w:ascii="仿宋_GB2312" w:eastAsia="仿宋_GB2312" w:cs="仿宋_GB2312"/>
          <w:sz w:val="32"/>
          <w:szCs w:val="32"/>
          <w:lang w:eastAsia="zh-CN"/>
        </w:rPr>
        <w:t>资金支出</w:t>
      </w:r>
      <w:r>
        <w:rPr>
          <w:rFonts w:hint="eastAsia" w:ascii="仿宋_GB2312" w:eastAsia="仿宋_GB2312" w:cs="仿宋_GB2312"/>
          <w:sz w:val="32"/>
          <w:szCs w:val="32"/>
          <w:lang w:val="en-US" w:eastAsia="zh-CN"/>
        </w:rPr>
        <w:t>3万元，</w:t>
      </w:r>
      <w:r>
        <w:rPr>
          <w:rFonts w:hint="eastAsia" w:ascii="仿宋_GB2312" w:eastAsia="仿宋_GB2312" w:cs="仿宋_GB2312"/>
          <w:sz w:val="32"/>
          <w:szCs w:val="32"/>
        </w:rPr>
        <w:t>严格执行上级关于资金使用管理办法的要求，按照工作需要，对所支付资金</w:t>
      </w:r>
      <w:r>
        <w:rPr>
          <w:rFonts w:hint="eastAsia" w:ascii="仿宋_GB2312" w:eastAsia="仿宋_GB2312" w:cs="仿宋_GB2312"/>
          <w:sz w:val="32"/>
          <w:szCs w:val="32"/>
          <w:lang w:eastAsia="zh-CN"/>
        </w:rPr>
        <w:t>在</w:t>
      </w:r>
      <w:r>
        <w:rPr>
          <w:rFonts w:hint="eastAsia" w:ascii="仿宋_GB2312" w:eastAsia="仿宋_GB2312" w:cs="仿宋_GB2312"/>
          <w:sz w:val="32"/>
          <w:szCs w:val="32"/>
        </w:rPr>
        <w:t>党组会议研究后按程序拨付，切实做到补助资金专款专用、严格规范、安全高效。</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（三）项目财务管理情况。</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按照财务管理制度要求，结合我局实际，制定了专项资金管理办法，实施过程中均严格执行财务管理制度，资金发放后及时进行账务处理，会计核算规范。</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sz w:val="32"/>
          <w:szCs w:val="32"/>
        </w:rPr>
      </w:pPr>
      <w:r>
        <w:rPr>
          <w:rFonts w:hint="eastAsia" w:ascii="黑体" w:eastAsia="黑体" w:cs="黑体"/>
          <w:b w:val="0"/>
          <w:bCs w:val="0"/>
          <w:sz w:val="32"/>
          <w:szCs w:val="32"/>
        </w:rPr>
        <w:t>三、项目实施及管理情况</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zh-CN"/>
        </w:rPr>
        <w:t>结合项目组织实施管理办法，重点围绕以下内容进行分析评价，并对自评中发现的问题分析说明。</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（一）项目组织架构及实施流程。</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专项资金按照“分级负责、科学合理、专款专用、强化监督”原则实施管理。</w:t>
      </w:r>
      <w:r>
        <w:rPr>
          <w:rFonts w:hint="eastAsia" w:ascii="仿宋_GB2312" w:eastAsia="仿宋_GB2312" w:cs="仿宋_GB2312"/>
          <w:sz w:val="32"/>
          <w:szCs w:val="32"/>
          <w:lang w:eastAsia="zh-CN"/>
        </w:rPr>
        <w:t>按照中央办公厅、国务院办公厅、中央军委办公厅《关于做好退役军人信访工作的意见》厅字〔2019〕27号规定，实时开展法律服务</w:t>
      </w:r>
      <w:r>
        <w:rPr>
          <w:rFonts w:hint="eastAsia" w:ascii="仿宋_GB2312" w:eastAsia="仿宋_GB2312" w:cs="仿宋_GB2312"/>
          <w:sz w:val="32"/>
          <w:szCs w:val="32"/>
        </w:rPr>
        <w:t>工作。</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（二）项目管理情况。</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严格执行上级关于资金使用管理办法的要求，按照工作需要，对所支付资金经党组会议研究后按程序拨付，切实做到补助资金专款专用、严格规范、安全高效。</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（三）项目监管情况。</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明确了具体责任人，对工作开展情况进行严格监督，有效降低运行成本。</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sz w:val="32"/>
          <w:szCs w:val="32"/>
          <w:lang w:val="zh-CN"/>
        </w:rPr>
      </w:pPr>
      <w:r>
        <w:rPr>
          <w:rFonts w:hint="eastAsia" w:ascii="黑体" w:eastAsia="黑体" w:cs="黑体"/>
          <w:b w:val="0"/>
          <w:bCs w:val="0"/>
          <w:sz w:val="32"/>
          <w:szCs w:val="32"/>
        </w:rPr>
        <w:t>四、项目绩效情况</w:t>
      </w:r>
      <w:r>
        <w:rPr>
          <w:rFonts w:hint="eastAsia" w:ascii="黑体" w:eastAsia="黑体" w:cs="黑体"/>
          <w:b w:val="0"/>
          <w:bCs w:val="0"/>
          <w:sz w:val="32"/>
          <w:szCs w:val="32"/>
          <w:lang w:val="zh-CN"/>
        </w:rPr>
        <w:tab/>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（一）项目完成情况。</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年，通过下拨</w:t>
      </w:r>
      <w:r>
        <w:rPr>
          <w:rFonts w:hint="eastAsia" w:ascii="仿宋_GB2312" w:eastAsia="仿宋_GB2312" w:cs="仿宋_GB2312"/>
          <w:sz w:val="32"/>
          <w:szCs w:val="32"/>
          <w:lang w:eastAsia="zh-CN"/>
        </w:rPr>
        <w:t>法律顾问</w:t>
      </w:r>
      <w:r>
        <w:rPr>
          <w:rFonts w:hint="eastAsia" w:ascii="仿宋_GB2312" w:eastAsia="仿宋_GB2312" w:cs="仿宋_GB2312"/>
          <w:sz w:val="32"/>
          <w:szCs w:val="32"/>
        </w:rPr>
        <w:t>工作经费，</w:t>
      </w:r>
      <w:r>
        <w:rPr>
          <w:rFonts w:hint="eastAsia" w:ascii="仿宋_GB2312" w:eastAsia="仿宋_GB2312" w:cs="仿宋_GB2312"/>
          <w:sz w:val="32"/>
          <w:szCs w:val="32"/>
          <w:lang w:eastAsia="zh-CN"/>
        </w:rPr>
        <w:t>为退役军人提供免费的法律援助服务，</w:t>
      </w:r>
      <w:r>
        <w:rPr>
          <w:rFonts w:hint="eastAsia" w:ascii="仿宋_GB2312" w:eastAsia="仿宋_GB2312" w:cs="仿宋_GB2312"/>
          <w:sz w:val="32"/>
          <w:szCs w:val="32"/>
        </w:rPr>
        <w:t>切实维护退役军人合法权益、维护社会</w:t>
      </w:r>
      <w:r>
        <w:rPr>
          <w:rFonts w:hint="eastAsia" w:ascii="仿宋_GB2312" w:eastAsia="仿宋_GB2312" w:cs="仿宋_GB2312"/>
          <w:sz w:val="32"/>
          <w:szCs w:val="32"/>
          <w:lang w:eastAsia="zh-CN"/>
        </w:rPr>
        <w:t>稳定</w:t>
      </w:r>
      <w:r>
        <w:rPr>
          <w:rFonts w:hint="eastAsia" w:ascii="仿宋_GB2312" w:eastAsia="仿宋_GB2312" w:cs="仿宋_GB2312"/>
          <w:sz w:val="32"/>
          <w:szCs w:val="32"/>
        </w:rPr>
        <w:t>大局</w:t>
      </w:r>
      <w:r>
        <w:rPr>
          <w:rFonts w:hint="eastAsia" w:ascii="仿宋_GB2312" w:eastAsia="仿宋_GB2312" w:cs="仿宋_GB2312"/>
          <w:sz w:val="32"/>
          <w:szCs w:val="32"/>
          <w:lang w:eastAsia="zh-CN"/>
        </w:rPr>
        <w:t>。</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（二）项目效益情况。</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2021年度，法律顾问每周四上午在市退役军人咨询服务大厅坐班，为18名退役军人提供劳动合同、军婚、借贷等方面的法律咨询服务。全年累计为局进行合法性合同审查3次，为市光荣院出具法律意见书1份。参与信访攻坚化解，重点人员矛盾化解并出具法律意见3次。同时参与政策法规宣传活动1次、制作法律课件2次。</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eastAsia="黑体" w:cs="黑体"/>
          <w:b w:val="0"/>
          <w:bCs w:val="0"/>
          <w:sz w:val="32"/>
          <w:szCs w:val="32"/>
        </w:rPr>
      </w:pPr>
      <w:r>
        <w:rPr>
          <w:rFonts w:hint="eastAsia" w:ascii="黑体" w:eastAsia="黑体" w:cs="黑体"/>
          <w:b w:val="0"/>
          <w:bCs w:val="0"/>
          <w:sz w:val="32"/>
          <w:szCs w:val="32"/>
          <w:lang w:eastAsia="zh-CN"/>
        </w:rPr>
        <w:t>五、</w:t>
      </w:r>
      <w:r>
        <w:rPr>
          <w:rFonts w:hint="eastAsia" w:ascii="黑体" w:eastAsia="黑体" w:cs="黑体"/>
          <w:b w:val="0"/>
          <w:bCs w:val="0"/>
          <w:sz w:val="32"/>
          <w:szCs w:val="32"/>
        </w:rPr>
        <w:t>评价结论及建议</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rPr>
      </w:pPr>
      <w:r>
        <w:rPr>
          <w:rFonts w:hint="eastAsia" w:ascii="楷体_GB2312" w:eastAsia="楷体_GB2312" w:cs="楷体_GB2312"/>
          <w:b w:val="0"/>
          <w:bCs w:val="0"/>
          <w:sz w:val="32"/>
          <w:szCs w:val="32"/>
          <w:lang w:val="zh-CN"/>
        </w:rPr>
        <w:t>（一）评价结论。</w:t>
      </w:r>
      <w:r>
        <w:rPr>
          <w:rFonts w:hint="eastAsia" w:ascii="仿宋_GB2312" w:eastAsia="仿宋_GB2312" w:cs="仿宋_GB2312"/>
          <w:sz w:val="32"/>
          <w:szCs w:val="32"/>
        </w:rPr>
        <w:t>通过项目实施，</w:t>
      </w:r>
      <w:r>
        <w:rPr>
          <w:rFonts w:hint="eastAsia" w:ascii="仿宋_GB2312" w:eastAsia="仿宋_GB2312" w:cs="仿宋_GB2312"/>
          <w:sz w:val="32"/>
          <w:szCs w:val="32"/>
          <w:lang w:eastAsia="zh-CN"/>
        </w:rPr>
        <w:t>建立健全公共法律服务体系，为退役军人免费提供了法律咨询、法律援助，及时解决退役军人法律服务需求，为退役军人提供了便捷的法律服务，解决了生活中的实际困难，大大提高了退役军人事务部门法律服务的知晓率，引导退役军人自觉守法、办事依法、遇事找法、解决问题用法的法治意识。</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sz w:val="32"/>
          <w:szCs w:val="32"/>
        </w:rPr>
      </w:pPr>
      <w:r>
        <w:rPr>
          <w:rFonts w:hint="eastAsia" w:ascii="楷体_GB2312" w:eastAsia="楷体_GB2312" w:cs="楷体_GB2312"/>
          <w:b w:val="0"/>
          <w:bCs w:val="0"/>
          <w:sz w:val="32"/>
          <w:szCs w:val="32"/>
          <w:lang w:val="zh-CN"/>
        </w:rPr>
        <w:t>（二）存在的问题。</w:t>
      </w:r>
      <w:r>
        <w:rPr>
          <w:rFonts w:hint="eastAsia" w:ascii="仿宋_GB2312" w:eastAsia="仿宋_GB2312" w:cs="仿宋_GB2312"/>
          <w:sz w:val="32"/>
          <w:szCs w:val="32"/>
          <w:lang w:eastAsia="zh-CN"/>
        </w:rPr>
        <w:t>退役军人利益诉求不断延</w:t>
      </w:r>
      <w:r>
        <w:rPr>
          <w:rFonts w:hint="eastAsia" w:ascii="仿宋_GB2312" w:eastAsia="仿宋_GB2312" w:cs="仿宋_GB2312"/>
          <w:sz w:val="32"/>
          <w:szCs w:val="32"/>
          <w:lang w:val="en-US" w:eastAsia="zh-CN"/>
        </w:rPr>
        <w:t>伸，维权意识不断增强，</w:t>
      </w:r>
      <w:r>
        <w:rPr>
          <w:rFonts w:hint="eastAsia" w:ascii="仿宋_GB2312" w:eastAsia="仿宋_GB2312" w:cs="仿宋_GB2312"/>
          <w:sz w:val="32"/>
          <w:szCs w:val="32"/>
          <w:lang w:eastAsia="zh-CN"/>
        </w:rPr>
        <w:t>律师服务频次越来越高，服务成本也需提高</w:t>
      </w:r>
      <w:r>
        <w:rPr>
          <w:rFonts w:hint="eastAsia" w:ascii="仿宋_GB2312" w:eastAsia="仿宋_GB2312" w:cs="仿宋_GB2312"/>
          <w:sz w:val="32"/>
          <w:szCs w:val="32"/>
        </w:rPr>
        <w:t>。</w:t>
      </w:r>
    </w:p>
    <w:p>
      <w:pPr>
        <w:keepNext w:val="0"/>
        <w:keepLines w:val="0"/>
        <w:pageBreakBefore w:val="0"/>
        <w:widowControl w:val="0"/>
        <w:pBdr>
          <w:top w:val="single" w:color="FFFFFF" w:sz="4" w:space="0"/>
          <w:left w:val="single" w:color="FFFFFF" w:sz="4" w:space="31"/>
          <w:bottom w:val="single" w:color="FFFFFF" w:sz="4" w:space="31"/>
          <w:right w:val="single" w:color="FFFFFF" w:sz="4" w:space="1"/>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eastAsia="仿宋_GB2312" w:cs="仿宋_GB2312"/>
          <w:b w:val="0"/>
          <w:bCs w:val="0"/>
          <w:sz w:val="32"/>
          <w:szCs w:val="32"/>
          <w:lang w:val="en-US" w:eastAsia="zh-CN"/>
        </w:rPr>
      </w:pPr>
      <w:r>
        <w:rPr>
          <w:rFonts w:hint="eastAsia" w:ascii="楷体_GB2312" w:eastAsia="楷体_GB2312" w:cs="楷体_GB2312"/>
          <w:b w:val="0"/>
          <w:bCs w:val="0"/>
          <w:sz w:val="32"/>
          <w:szCs w:val="32"/>
          <w:lang w:val="zh-CN"/>
        </w:rPr>
        <w:t>（三）相关建议。</w:t>
      </w:r>
      <w:r>
        <w:rPr>
          <w:rFonts w:hint="eastAsia" w:ascii="仿宋_GB2312" w:eastAsia="仿宋_GB2312" w:cs="仿宋_GB2312"/>
          <w:sz w:val="32"/>
          <w:szCs w:val="32"/>
          <w:lang w:val="zh-CN" w:eastAsia="zh-CN"/>
        </w:rPr>
        <w:t>加大法律顾问服务费用的支持力度。</w:t>
      </w:r>
    </w:p>
    <w:p>
      <w:pPr>
        <w:spacing w:line="600" w:lineRule="exact"/>
        <w:jc w:val="center"/>
        <w:rPr>
          <w:rFonts w:hint="eastAsia" w:ascii="方正小标宋简体" w:eastAsia="方正小标宋简体" w:cs="方正小标宋简体"/>
          <w:b w:val="0"/>
          <w:bCs w:val="0"/>
          <w:color w:val="000000"/>
          <w:kern w:val="0"/>
          <w:sz w:val="44"/>
          <w:szCs w:val="44"/>
        </w:rPr>
      </w:pPr>
      <w:r>
        <w:rPr>
          <w:rFonts w:hint="eastAsia" w:ascii="方正小标宋简体" w:eastAsia="方正小标宋简体" w:cs="方正小标宋简体"/>
          <w:b w:val="0"/>
          <w:bCs w:val="0"/>
          <w:sz w:val="44"/>
          <w:szCs w:val="44"/>
          <w:lang w:val="en-US" w:eastAsia="zh-CN"/>
        </w:rPr>
        <w:t>2021年</w:t>
      </w:r>
      <w:r>
        <w:rPr>
          <w:rFonts w:hint="eastAsia" w:ascii="方正小标宋简体" w:eastAsia="方正小标宋简体" w:cs="方正小标宋简体"/>
          <w:b w:val="0"/>
          <w:bCs w:val="0"/>
          <w:color w:val="000000"/>
          <w:kern w:val="0"/>
          <w:sz w:val="44"/>
          <w:szCs w:val="44"/>
          <w:lang w:eastAsia="zh-CN"/>
        </w:rPr>
        <w:t>档案管理、保密</w:t>
      </w:r>
      <w:r>
        <w:rPr>
          <w:rFonts w:hint="eastAsia" w:ascii="方正小标宋简体" w:eastAsia="方正小标宋简体" w:cs="方正小标宋简体"/>
          <w:b w:val="0"/>
          <w:bCs w:val="0"/>
          <w:color w:val="000000"/>
          <w:kern w:val="0"/>
          <w:sz w:val="44"/>
          <w:szCs w:val="44"/>
        </w:rPr>
        <w:t>工作经费</w:t>
      </w:r>
    </w:p>
    <w:p>
      <w:pPr>
        <w:spacing w:line="600" w:lineRule="exact"/>
        <w:jc w:val="center"/>
        <w:rPr>
          <w:rFonts w:hint="eastAsia" w:ascii="方正小标宋简体" w:eastAsia="方正小标宋简体" w:cs="方正小标宋简体"/>
          <w:b w:val="0"/>
          <w:bCs w:val="0"/>
          <w:sz w:val="44"/>
          <w:szCs w:val="44"/>
          <w:lang w:val="en-US" w:eastAsia="zh-CN"/>
        </w:rPr>
      </w:pPr>
      <w:r>
        <w:rPr>
          <w:rFonts w:hint="eastAsia" w:ascii="方正小标宋简体" w:eastAsia="方正小标宋简体" w:cs="方正小标宋简体"/>
          <w:b w:val="0"/>
          <w:bCs w:val="0"/>
          <w:color w:val="000000"/>
          <w:kern w:val="0"/>
          <w:sz w:val="44"/>
          <w:szCs w:val="44"/>
        </w:rPr>
        <w:t>项目</w:t>
      </w:r>
      <w:r>
        <w:rPr>
          <w:rFonts w:hint="eastAsia" w:ascii="方正小标宋简体" w:eastAsia="方正小标宋简体" w:cs="方正小标宋简体"/>
          <w:b w:val="0"/>
          <w:bCs w:val="0"/>
          <w:sz w:val="44"/>
          <w:szCs w:val="44"/>
          <w:lang w:val="en-US" w:eastAsia="zh-CN"/>
        </w:rPr>
        <w:t>绩效自评报告</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一、项目概况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（一）项目基本情况。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1．项目主管部门（单位）在该项目管理中的职能。按照职能职责，广元市退役军人事务局</w:t>
      </w:r>
      <w:r>
        <w:rPr>
          <w:rFonts w:hint="eastAsia" w:ascii="仿宋_GB2312" w:eastAsia="仿宋_GB2312" w:cs="仿宋_GB2312"/>
          <w:b w:val="0"/>
          <w:bCs w:val="0"/>
          <w:sz w:val="32"/>
          <w:szCs w:val="32"/>
          <w:lang w:eastAsia="zh-CN"/>
        </w:rPr>
        <w:t>办公室根据保密工作、档案管理工作</w:t>
      </w:r>
      <w:r>
        <w:rPr>
          <w:rFonts w:hint="eastAsia" w:ascii="仿宋_GB2312" w:eastAsia="仿宋_GB2312" w:cs="仿宋_GB2312"/>
          <w:b w:val="0"/>
          <w:bCs w:val="0"/>
          <w:sz w:val="32"/>
          <w:szCs w:val="32"/>
        </w:rPr>
        <w:t>的要求，报请市政府拨付</w:t>
      </w:r>
      <w:r>
        <w:rPr>
          <w:rFonts w:hint="eastAsia" w:ascii="仿宋_GB2312" w:eastAsia="仿宋_GB2312" w:cs="仿宋_GB2312"/>
          <w:b w:val="0"/>
          <w:bCs w:val="0"/>
          <w:sz w:val="32"/>
          <w:szCs w:val="32"/>
          <w:lang w:eastAsia="zh-CN"/>
        </w:rPr>
        <w:t>档案室建设及档案管理、保密</w:t>
      </w:r>
      <w:r>
        <w:rPr>
          <w:rFonts w:hint="eastAsia" w:ascii="仿宋_GB2312" w:eastAsia="仿宋_GB2312" w:cs="仿宋_GB2312"/>
          <w:b w:val="0"/>
          <w:bCs w:val="0"/>
          <w:sz w:val="32"/>
          <w:szCs w:val="32"/>
        </w:rPr>
        <w:t>工作经费。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2．项目立项、资金申报的依据。《</w:t>
      </w:r>
      <w:r>
        <w:rPr>
          <w:rFonts w:hint="eastAsia" w:ascii="仿宋_GB2312" w:eastAsia="仿宋_GB2312" w:cs="仿宋_GB2312"/>
          <w:b w:val="0"/>
          <w:bCs w:val="0"/>
          <w:sz w:val="32"/>
          <w:szCs w:val="32"/>
          <w:lang w:eastAsia="zh-CN"/>
        </w:rPr>
        <w:t>中华人民共和国保守国家秘密法</w:t>
      </w:r>
      <w:r>
        <w:rPr>
          <w:rFonts w:hint="eastAsia" w:ascii="仿宋_GB2312" w:eastAsia="仿宋_GB2312" w:cs="仿宋_GB2312"/>
          <w:b w:val="0"/>
          <w:bCs w:val="0"/>
          <w:sz w:val="32"/>
          <w:szCs w:val="32"/>
        </w:rPr>
        <w:t>》、《</w:t>
      </w:r>
      <w:r>
        <w:rPr>
          <w:rFonts w:hint="eastAsia" w:ascii="仿宋_GB2312" w:eastAsia="仿宋_GB2312" w:cs="仿宋_GB2312"/>
          <w:b w:val="0"/>
          <w:bCs w:val="0"/>
          <w:sz w:val="32"/>
          <w:szCs w:val="32"/>
          <w:lang w:eastAsia="zh-CN"/>
        </w:rPr>
        <w:t>档案法</w:t>
      </w:r>
      <w:r>
        <w:rPr>
          <w:rFonts w:hint="eastAsia" w:ascii="仿宋_GB2312" w:eastAsia="仿宋_GB2312" w:cs="仿宋_GB2312"/>
          <w:b w:val="0"/>
          <w:bCs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3．资金管理办法制定情况，资金支持具体项目的条件、范围与支持方式概况。资金用于</w:t>
      </w:r>
      <w:r>
        <w:rPr>
          <w:rFonts w:hint="eastAsia" w:ascii="仿宋_GB2312" w:eastAsia="仿宋_GB2312" w:cs="仿宋_GB2312"/>
          <w:b w:val="0"/>
          <w:bCs w:val="0"/>
          <w:sz w:val="32"/>
          <w:szCs w:val="32"/>
          <w:lang w:eastAsia="zh-CN"/>
        </w:rPr>
        <w:t>档案室建设及档案管理、保密</w:t>
      </w:r>
      <w:r>
        <w:rPr>
          <w:rFonts w:hint="eastAsia" w:ascii="仿宋_GB2312" w:eastAsia="仿宋_GB2312" w:cs="仿宋_GB2312"/>
          <w:b w:val="0"/>
          <w:bCs w:val="0"/>
          <w:sz w:val="32"/>
          <w:szCs w:val="32"/>
        </w:rPr>
        <w:t>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4．资金分配的原则及考虑因素。根据工作任务，依据</w:t>
      </w:r>
      <w:r>
        <w:rPr>
          <w:rFonts w:hint="eastAsia" w:ascii="仿宋_GB2312" w:eastAsia="仿宋_GB2312" w:cs="仿宋_GB2312"/>
          <w:b w:val="0"/>
          <w:bCs w:val="0"/>
          <w:sz w:val="32"/>
          <w:szCs w:val="32"/>
          <w:lang w:eastAsia="zh-CN"/>
        </w:rPr>
        <w:t>工作实际</w:t>
      </w:r>
      <w:r>
        <w:rPr>
          <w:rFonts w:hint="eastAsia" w:ascii="仿宋_GB2312" w:eastAsia="仿宋_GB2312" w:cs="仿宋_GB2312"/>
          <w:b w:val="0"/>
          <w:bCs w:val="0"/>
          <w:sz w:val="32"/>
          <w:szCs w:val="32"/>
        </w:rPr>
        <w:t>提出资金使用方案，并按程序报批。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（二）项目绩效目标。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1．项目主要内容。通过</w:t>
      </w:r>
      <w:r>
        <w:rPr>
          <w:rFonts w:hint="eastAsia" w:ascii="仿宋_GB2312" w:eastAsia="仿宋_GB2312" w:cs="仿宋_GB2312"/>
          <w:b w:val="0"/>
          <w:bCs w:val="0"/>
          <w:sz w:val="32"/>
          <w:szCs w:val="32"/>
          <w:lang w:eastAsia="zh-CN"/>
        </w:rPr>
        <w:t>购置相关设施设备，进一步加强保密室建设，确保退役军人事务办公文件及档案安全、规范管理</w:t>
      </w:r>
      <w:r>
        <w:rPr>
          <w:rFonts w:hint="eastAsia" w:ascii="仿宋_GB2312" w:eastAsia="仿宋_GB2312" w:cs="仿宋_GB2312"/>
          <w:b w:val="0"/>
          <w:bCs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2．项目应实现的具体绩效目标，包括目标的量化、细化情况以及项目实施进度计划等。归档文件、购买相关设备</w:t>
      </w:r>
      <w:r>
        <w:rPr>
          <w:rFonts w:hint="eastAsia" w:ascii="仿宋_GB2312" w:eastAsia="仿宋_GB2312" w:cs="仿宋_GB2312"/>
          <w:b w:val="0"/>
          <w:bCs w:val="0"/>
          <w:sz w:val="32"/>
          <w:szCs w:val="32"/>
          <w:lang w:eastAsia="zh-CN"/>
        </w:rPr>
        <w:t>，确保档案资料规范化管理，各项信息存储安全，让办公室工作人员满意度大于</w:t>
      </w:r>
      <w:r>
        <w:rPr>
          <w:rFonts w:hint="eastAsia" w:ascii="仿宋_GB2312" w:eastAsia="仿宋_GB2312" w:cs="仿宋_GB2312"/>
          <w:b w:val="0"/>
          <w:bCs w:val="0"/>
          <w:sz w:val="32"/>
          <w:szCs w:val="32"/>
          <w:lang w:val="en-US" w:eastAsia="zh-CN"/>
        </w:rPr>
        <w:t>90%</w:t>
      </w:r>
      <w:r>
        <w:rPr>
          <w:rFonts w:hint="eastAsia" w:asci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3．分析评价申报内容是否与实际相符，申报目标是否合理可行。资金申报内容同实际相符，申报目标合理可行。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（三）项目自评步骤及方法。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项目绩效自评采用的组织实施步骤及方法。由项目责任科室</w:t>
      </w:r>
      <w:r>
        <w:rPr>
          <w:rFonts w:hint="eastAsia" w:ascii="仿宋_GB2312" w:eastAsia="仿宋_GB2312" w:cs="仿宋_GB2312"/>
          <w:b w:val="0"/>
          <w:bCs w:val="0"/>
          <w:sz w:val="32"/>
          <w:szCs w:val="32"/>
          <w:lang w:eastAsia="zh-CN"/>
        </w:rPr>
        <w:t>办公室</w:t>
      </w:r>
      <w:r>
        <w:rPr>
          <w:rFonts w:hint="eastAsia" w:ascii="仿宋_GB2312" w:eastAsia="仿宋_GB2312" w:cs="仿宋_GB2312"/>
          <w:b w:val="0"/>
          <w:bCs w:val="0"/>
          <w:sz w:val="32"/>
          <w:szCs w:val="32"/>
        </w:rPr>
        <w:t>向财务</w:t>
      </w:r>
      <w:r>
        <w:rPr>
          <w:rFonts w:hint="eastAsia" w:ascii="仿宋_GB2312" w:eastAsia="仿宋_GB2312" w:cs="仿宋_GB2312"/>
          <w:b w:val="0"/>
          <w:bCs w:val="0"/>
          <w:sz w:val="32"/>
          <w:szCs w:val="32"/>
          <w:lang w:eastAsia="zh-CN"/>
        </w:rPr>
        <w:t>室</w:t>
      </w:r>
      <w:r>
        <w:rPr>
          <w:rFonts w:hint="eastAsia" w:ascii="仿宋_GB2312" w:eastAsia="仿宋_GB2312" w:cs="仿宋_GB2312"/>
          <w:b w:val="0"/>
          <w:bCs w:val="0"/>
          <w:sz w:val="32"/>
          <w:szCs w:val="32"/>
        </w:rPr>
        <w:t>报送自评材料。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二、项目资金申报及使用情况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（一）项目资金申报及批复情况。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项目资金申报、批复及预算调整等程序的相关情况。2020年底开展的转移支付项目清理评估中，该项目有保留的必要，预算编制时，根据</w:t>
      </w:r>
      <w:r>
        <w:rPr>
          <w:rFonts w:hint="eastAsia" w:ascii="仿宋_GB2312" w:eastAsia="仿宋_GB2312" w:cs="仿宋_GB2312"/>
          <w:b w:val="0"/>
          <w:bCs w:val="0"/>
          <w:sz w:val="32"/>
          <w:szCs w:val="32"/>
          <w:lang w:eastAsia="zh-CN"/>
        </w:rPr>
        <w:t>我局新组建实际，需完善档案、保密相关工作及配备配套设施，</w:t>
      </w:r>
      <w:r>
        <w:rPr>
          <w:rFonts w:hint="eastAsia" w:ascii="仿宋_GB2312" w:eastAsia="仿宋_GB2312" w:cs="仿宋_GB2312"/>
          <w:b w:val="0"/>
          <w:bCs w:val="0"/>
          <w:sz w:val="32"/>
          <w:szCs w:val="32"/>
        </w:rPr>
        <w:t>2021年初下达工作经费</w:t>
      </w:r>
      <w:r>
        <w:rPr>
          <w:rFonts w:hint="eastAsia" w:ascii="仿宋_GB2312" w:eastAsia="仿宋_GB2312" w:cs="仿宋_GB2312"/>
          <w:b w:val="0"/>
          <w:bCs w:val="0"/>
          <w:sz w:val="32"/>
          <w:szCs w:val="32"/>
          <w:lang w:val="en-US" w:eastAsia="zh-CN"/>
        </w:rPr>
        <w:t>2</w:t>
      </w:r>
      <w:r>
        <w:rPr>
          <w:rFonts w:hint="eastAsia" w:ascii="仿宋_GB2312" w:eastAsia="仿宋_GB2312" w:cs="仿宋_GB2312"/>
          <w:b w:val="0"/>
          <w:bCs w:val="0"/>
          <w:sz w:val="32"/>
          <w:szCs w:val="32"/>
        </w:rPr>
        <w:t>万元。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（二）资金计划、到位及使用情况。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1．资金计划。2021年，收到市财政预算</w:t>
      </w:r>
      <w:r>
        <w:rPr>
          <w:rFonts w:hint="eastAsia" w:ascii="仿宋_GB2312" w:eastAsia="仿宋_GB2312" w:cs="仿宋_GB2312"/>
          <w:b w:val="0"/>
          <w:bCs w:val="0"/>
          <w:sz w:val="32"/>
          <w:szCs w:val="32"/>
          <w:lang w:val="en-US" w:eastAsia="zh-CN"/>
        </w:rPr>
        <w:t>2</w:t>
      </w:r>
      <w:r>
        <w:rPr>
          <w:rFonts w:hint="eastAsia" w:ascii="仿宋_GB2312" w:eastAsia="仿宋_GB2312" w:cs="仿宋_GB2312"/>
          <w:b w:val="0"/>
          <w:bCs w:val="0"/>
          <w:sz w:val="32"/>
          <w:szCs w:val="32"/>
        </w:rPr>
        <w:t>万元。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2．资金到位。收到市财政资金后，均在规定时限内完成资金使用分配，资金到位率100%。</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3．资金使用。严格执行上级关于资金使用管理办法的要求，按照工作需要，对所支付资金净党组会议研究后按程序拨付，切实做到补助资金专款专用、严格规范、安全高效。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（三）项目财务管理情况。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按照财务管理制度要求，结合我局实际，制定了专项资金管理办法，实施过程中均严格执行财务管理制度，资金发放后及时进行账务处理，会计核算规范。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三、项目实施及管理情况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楷体_GB2312" w:eastAsia="楷体_GB2312" w:cs="楷体_GB2312"/>
          <w:b w:val="0"/>
          <w:bCs w:val="0"/>
          <w:sz w:val="32"/>
          <w:szCs w:val="32"/>
        </w:rPr>
        <w:t>（一）项目组织架构及实施流程。</w:t>
      </w:r>
      <w:r>
        <w:rPr>
          <w:rFonts w:hint="eastAsia" w:ascii="仿宋_GB2312" w:eastAsia="仿宋_GB2312" w:cs="仿宋_GB2312"/>
          <w:b w:val="0"/>
          <w:bCs w:val="0"/>
          <w:sz w:val="32"/>
          <w:szCs w:val="32"/>
        </w:rPr>
        <w:t>专项资金按照“分级负责、科学合理、专款专用、强化监督”原则实施管理。广元市退役军人事务局</w:t>
      </w:r>
      <w:r>
        <w:rPr>
          <w:rFonts w:hint="eastAsia" w:ascii="仿宋_GB2312" w:eastAsia="仿宋_GB2312" w:cs="仿宋_GB2312"/>
          <w:b w:val="0"/>
          <w:bCs w:val="0"/>
          <w:sz w:val="32"/>
          <w:szCs w:val="32"/>
          <w:lang w:eastAsia="zh-CN"/>
        </w:rPr>
        <w:t>办公室根据保密工作、档案管理工作</w:t>
      </w:r>
      <w:r>
        <w:rPr>
          <w:rFonts w:hint="eastAsia" w:ascii="仿宋_GB2312" w:eastAsia="仿宋_GB2312" w:cs="仿宋_GB2312"/>
          <w:b w:val="0"/>
          <w:bCs w:val="0"/>
          <w:sz w:val="32"/>
          <w:szCs w:val="32"/>
        </w:rPr>
        <w:t>的要求，报请市政府拨付双拥双创工作经费。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楷体_GB2312" w:eastAsia="楷体_GB2312" w:cs="楷体_GB2312"/>
          <w:b w:val="0"/>
          <w:bCs w:val="0"/>
          <w:sz w:val="32"/>
          <w:szCs w:val="32"/>
        </w:rPr>
        <w:t>（二）项目管理情况。</w:t>
      </w:r>
      <w:r>
        <w:rPr>
          <w:rFonts w:hint="eastAsia" w:ascii="仿宋_GB2312" w:eastAsia="仿宋_GB2312" w:cs="仿宋_GB2312"/>
          <w:b w:val="0"/>
          <w:bCs w:val="0"/>
          <w:sz w:val="32"/>
          <w:szCs w:val="32"/>
        </w:rPr>
        <w:t>严格执行上级关于资金使用管理办法的要求，按照工作需要，对所支付资金经党组会议研究后按程序拨付，切实做到补助资金专款专用、严格规范、安全高效。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楷体_GB2312" w:eastAsia="楷体_GB2312" w:cs="楷体_GB2312"/>
          <w:b w:val="0"/>
          <w:bCs w:val="0"/>
          <w:sz w:val="32"/>
          <w:szCs w:val="32"/>
        </w:rPr>
        <w:t>（三）项目监管情况。</w:t>
      </w:r>
      <w:r>
        <w:rPr>
          <w:rFonts w:hint="eastAsia" w:ascii="仿宋_GB2312" w:eastAsia="仿宋_GB2312" w:cs="仿宋_GB2312"/>
          <w:b w:val="0"/>
          <w:bCs w:val="0"/>
          <w:sz w:val="32"/>
          <w:szCs w:val="32"/>
        </w:rPr>
        <w:t>专项资金按规定编制绩效目标。市退役军人事务局</w:t>
      </w:r>
      <w:r>
        <w:rPr>
          <w:rFonts w:hint="eastAsia" w:ascii="仿宋_GB2312" w:eastAsia="仿宋_GB2312" w:cs="仿宋_GB2312"/>
          <w:b w:val="0"/>
          <w:bCs w:val="0"/>
          <w:sz w:val="32"/>
          <w:szCs w:val="32"/>
          <w:lang w:eastAsia="zh-CN"/>
        </w:rPr>
        <w:t>办公室</w:t>
      </w:r>
      <w:r>
        <w:rPr>
          <w:rFonts w:hint="eastAsia" w:ascii="仿宋_GB2312" w:eastAsia="仿宋_GB2312" w:cs="仿宋_GB2312"/>
          <w:b w:val="0"/>
          <w:bCs w:val="0"/>
          <w:sz w:val="32"/>
          <w:szCs w:val="32"/>
        </w:rPr>
        <w:t>根据工作要求提出资金使用建议方案，市财政下达专项资金后，按规定填报绩效目标表，并将其作为绩效监控和绩效评价的依据。年度执行中，市退役军人事务局、市财政局对绩效目标实现情况进行监控，确保绩效目标如期实现。年度执行结束后，由市退役军人事务局</w:t>
      </w:r>
      <w:r>
        <w:rPr>
          <w:rFonts w:hint="eastAsia" w:ascii="仿宋_GB2312" w:eastAsia="仿宋_GB2312" w:cs="仿宋_GB2312"/>
          <w:b w:val="0"/>
          <w:bCs w:val="0"/>
          <w:sz w:val="32"/>
          <w:szCs w:val="32"/>
          <w:lang w:eastAsia="zh-CN"/>
        </w:rPr>
        <w:t>办公室</w:t>
      </w:r>
      <w:r>
        <w:rPr>
          <w:rFonts w:hint="eastAsia" w:ascii="仿宋_GB2312" w:eastAsia="仿宋_GB2312" w:cs="仿宋_GB2312"/>
          <w:b w:val="0"/>
          <w:bCs w:val="0"/>
          <w:sz w:val="32"/>
          <w:szCs w:val="32"/>
        </w:rPr>
        <w:t>开展绩效自评报市财政局。评价内容包括预算执行、合规安全、使用绩效等。绩效评价结果将作为完善政策、安排预算、改进管理的参考和重要依据。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四、项目绩效情况</w:t>
      </w:r>
      <w:r>
        <w:rPr>
          <w:rFonts w:hint="eastAsia" w:ascii="黑体" w:eastAsia="黑体" w:cs="黑体"/>
          <w:b w:val="0"/>
          <w:bCs w:val="0"/>
          <w:sz w:val="32"/>
          <w:szCs w:val="32"/>
        </w:rPr>
        <w:tab/>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eastAsia="zh-CN"/>
        </w:rPr>
      </w:pPr>
      <w:r>
        <w:rPr>
          <w:rFonts w:hint="eastAsia" w:ascii="楷体_GB2312" w:eastAsia="楷体_GB2312" w:cs="楷体_GB2312"/>
          <w:b w:val="0"/>
          <w:bCs w:val="0"/>
          <w:sz w:val="32"/>
          <w:szCs w:val="32"/>
        </w:rPr>
        <w:t>（一）项目完成情况。</w:t>
      </w:r>
      <w:r>
        <w:rPr>
          <w:rFonts w:hint="eastAsia" w:ascii="仿宋_GB2312" w:eastAsia="仿宋_GB2312" w:cs="仿宋_GB2312"/>
          <w:b w:val="0"/>
          <w:bCs w:val="0"/>
          <w:sz w:val="32"/>
          <w:szCs w:val="32"/>
        </w:rPr>
        <w:t>2021年，通过下拨</w:t>
      </w:r>
      <w:r>
        <w:rPr>
          <w:rFonts w:hint="eastAsia" w:ascii="仿宋_GB2312" w:eastAsia="仿宋_GB2312" w:cs="仿宋_GB2312"/>
          <w:b w:val="0"/>
          <w:bCs w:val="0"/>
          <w:sz w:val="32"/>
          <w:szCs w:val="32"/>
          <w:lang w:eastAsia="zh-CN"/>
        </w:rPr>
        <w:t>档案管理、保密</w:t>
      </w:r>
      <w:r>
        <w:rPr>
          <w:rFonts w:hint="eastAsia" w:ascii="仿宋_GB2312" w:eastAsia="仿宋_GB2312" w:cs="仿宋_GB2312"/>
          <w:b w:val="0"/>
          <w:bCs w:val="0"/>
          <w:sz w:val="32"/>
          <w:szCs w:val="32"/>
        </w:rPr>
        <w:t>工作经费，</w:t>
      </w:r>
      <w:r>
        <w:rPr>
          <w:rFonts w:hint="eastAsia" w:ascii="仿宋_GB2312" w:eastAsia="仿宋_GB2312" w:cs="仿宋_GB2312"/>
          <w:b w:val="0"/>
          <w:bCs w:val="0"/>
          <w:sz w:val="32"/>
          <w:szCs w:val="32"/>
          <w:lang w:eastAsia="zh-CN"/>
        </w:rPr>
        <w:t>加强规范档案保密工作，确保退役军人事务办公文件及档案安全、规范管理</w:t>
      </w:r>
      <w:r>
        <w:rPr>
          <w:rFonts w:hint="eastAsia" w:ascii="仿宋_GB2312" w:eastAsia="仿宋_GB2312" w:cs="仿宋_GB2312"/>
          <w:b w:val="0"/>
          <w:bCs w:val="0"/>
          <w:sz w:val="32"/>
          <w:szCs w:val="32"/>
        </w:rPr>
        <w:t>，提升了</w:t>
      </w:r>
      <w:r>
        <w:rPr>
          <w:rFonts w:hint="eastAsia" w:ascii="仿宋_GB2312" w:eastAsia="仿宋_GB2312" w:cs="仿宋_GB2312"/>
          <w:b w:val="0"/>
          <w:bCs w:val="0"/>
          <w:sz w:val="32"/>
          <w:szCs w:val="32"/>
          <w:lang w:eastAsia="zh-CN"/>
        </w:rPr>
        <w:t>单位保密安全环境。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（二）项目效益情况。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效益指标完成情况分析。</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lang w:eastAsia="zh-CN"/>
        </w:rPr>
        <w:t>档案室建设及档案管理、保密</w:t>
      </w:r>
      <w:r>
        <w:rPr>
          <w:rFonts w:hint="eastAsia" w:ascii="仿宋_GB2312" w:eastAsia="仿宋_GB2312" w:cs="仿宋_GB2312"/>
          <w:b w:val="0"/>
          <w:bCs w:val="0"/>
          <w:sz w:val="32"/>
          <w:szCs w:val="32"/>
        </w:rPr>
        <w:t>工作经费社会效益、可持续效益显著提高和改善，</w:t>
      </w:r>
      <w:r>
        <w:rPr>
          <w:rFonts w:hint="eastAsia" w:ascii="仿宋_GB2312" w:eastAsia="仿宋_GB2312" w:cs="仿宋_GB2312"/>
          <w:b w:val="0"/>
          <w:bCs w:val="0"/>
          <w:sz w:val="32"/>
          <w:szCs w:val="32"/>
          <w:lang w:eastAsia="zh-CN"/>
        </w:rPr>
        <w:t>促进了档案管理长期的规范性、安全性</w:t>
      </w:r>
      <w:r>
        <w:rPr>
          <w:rFonts w:hint="eastAsia" w:ascii="仿宋_GB2312" w:eastAsia="仿宋_GB2312" w:cs="仿宋_GB2312"/>
          <w:b w:val="0"/>
          <w:bCs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满意度指标完成情况分析。</w:t>
      </w:r>
      <w:r>
        <w:rPr>
          <w:rFonts w:hint="eastAsia" w:ascii="仿宋_GB2312" w:eastAsia="仿宋_GB2312" w:cs="仿宋_GB2312"/>
          <w:b w:val="0"/>
          <w:bCs w:val="0"/>
          <w:sz w:val="32"/>
          <w:szCs w:val="32"/>
          <w:lang w:eastAsia="zh-CN"/>
        </w:rPr>
        <w:t>办公室工作人员满意度</w:t>
      </w:r>
      <w:r>
        <w:rPr>
          <w:rFonts w:hint="eastAsia" w:ascii="仿宋_GB2312" w:eastAsia="仿宋_GB2312" w:cs="仿宋_GB2312"/>
          <w:b w:val="0"/>
          <w:bCs w:val="0"/>
          <w:sz w:val="32"/>
          <w:szCs w:val="32"/>
        </w:rPr>
        <w:t>，达到</w:t>
      </w:r>
      <w:r>
        <w:rPr>
          <w:rFonts w:hint="eastAsia" w:ascii="仿宋_GB2312" w:eastAsia="仿宋_GB2312" w:cs="仿宋_GB2312"/>
          <w:b w:val="0"/>
          <w:bCs w:val="0"/>
          <w:sz w:val="32"/>
          <w:szCs w:val="32"/>
          <w:lang w:val="en-US" w:eastAsia="zh-CN"/>
        </w:rPr>
        <w:t>90</w:t>
      </w:r>
      <w:r>
        <w:rPr>
          <w:rFonts w:hint="eastAsia" w:ascii="仿宋_GB2312" w:eastAsia="仿宋_GB2312" w:cs="仿宋_GB2312"/>
          <w:b w:val="0"/>
          <w:bCs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五、评价结论及建议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（一）评价结论。</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从评价情况来看，项目严格按照资金管理办法进行使用，做好绩效监控，确保绩效目标实现。通过项目实施，有效</w:t>
      </w:r>
      <w:r>
        <w:rPr>
          <w:rFonts w:hint="eastAsia" w:ascii="仿宋_GB2312" w:eastAsia="仿宋_GB2312" w:cs="仿宋_GB2312"/>
          <w:b w:val="0"/>
          <w:bCs w:val="0"/>
          <w:sz w:val="32"/>
          <w:szCs w:val="32"/>
          <w:lang w:eastAsia="zh-CN"/>
        </w:rPr>
        <w:t>加强了保密室建设，确保退役军人事务办公文件及档案安全、规范管理。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（二）存在的问题。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1.</w:t>
      </w:r>
      <w:r>
        <w:rPr>
          <w:rFonts w:hint="eastAsia" w:ascii="仿宋_GB2312" w:eastAsia="仿宋_GB2312" w:cs="仿宋_GB2312"/>
          <w:b w:val="0"/>
          <w:bCs w:val="0"/>
          <w:color w:val="000000"/>
          <w:sz w:val="32"/>
          <w:szCs w:val="32"/>
        </w:rPr>
        <w:t>由于我局是机改后新组建单位，各项工作无历史沉淀，需从零开启，单位缺乏档案、保密专业人才，且经费有限，无法一次性完成档案室和保密室建设。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rPr>
      </w:pPr>
      <w:r>
        <w:rPr>
          <w:rFonts w:hint="eastAsia" w:ascii="仿宋_GB2312" w:eastAsia="仿宋_GB2312" w:cs="仿宋_GB2312"/>
          <w:b w:val="0"/>
          <w:bCs w:val="0"/>
          <w:color w:val="000000"/>
          <w:sz w:val="32"/>
          <w:szCs w:val="32"/>
        </w:rPr>
        <w:t>我局成立后，市政府安排的办公场所仅能满足工作人员使用，机要室、档案室、保密室、党组会议室等功能性用房需调剂建设使用</w:t>
      </w:r>
      <w:r>
        <w:rPr>
          <w:rFonts w:hint="eastAsia" w:ascii="仿宋_GB2312" w:eastAsia="仿宋_GB2312" w:cs="仿宋_GB2312"/>
          <w:b w:val="0"/>
          <w:bCs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（三）相关建议。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rPr>
        <w:t>从长远来看，</w:t>
      </w:r>
      <w:r>
        <w:rPr>
          <w:rFonts w:hint="eastAsia" w:ascii="仿宋_GB2312" w:eastAsia="仿宋_GB2312" w:cs="仿宋_GB2312"/>
          <w:b w:val="0"/>
          <w:bCs w:val="0"/>
          <w:sz w:val="32"/>
          <w:szCs w:val="32"/>
          <w:lang w:eastAsia="zh-CN"/>
        </w:rPr>
        <w:t>保密</w:t>
      </w:r>
      <w:r>
        <w:rPr>
          <w:rFonts w:hint="eastAsia" w:ascii="仿宋_GB2312" w:eastAsia="仿宋_GB2312" w:cs="仿宋_GB2312"/>
          <w:b w:val="0"/>
          <w:bCs w:val="0"/>
          <w:sz w:val="32"/>
          <w:szCs w:val="32"/>
        </w:rPr>
        <w:t>工作</w:t>
      </w:r>
      <w:r>
        <w:rPr>
          <w:rFonts w:hint="eastAsia" w:ascii="仿宋_GB2312" w:eastAsia="仿宋_GB2312" w:cs="仿宋_GB2312"/>
          <w:b w:val="0"/>
          <w:bCs w:val="0"/>
          <w:sz w:val="32"/>
          <w:szCs w:val="32"/>
          <w:lang w:eastAsia="zh-CN"/>
        </w:rPr>
        <w:t>和档案管理工作</w:t>
      </w:r>
      <w:r>
        <w:rPr>
          <w:rFonts w:hint="eastAsia" w:ascii="仿宋_GB2312" w:eastAsia="仿宋_GB2312" w:cs="仿宋_GB2312"/>
          <w:b w:val="0"/>
          <w:bCs w:val="0"/>
          <w:sz w:val="32"/>
          <w:szCs w:val="32"/>
        </w:rPr>
        <w:t>是一项长期的工作，我</w:t>
      </w:r>
      <w:r>
        <w:rPr>
          <w:rFonts w:hint="eastAsia" w:ascii="仿宋_GB2312" w:eastAsia="仿宋_GB2312" w:cs="仿宋_GB2312"/>
          <w:b w:val="0"/>
          <w:bCs w:val="0"/>
          <w:sz w:val="32"/>
          <w:szCs w:val="32"/>
          <w:lang w:eastAsia="zh-CN"/>
        </w:rPr>
        <w:t>局作为全市退役军人服务机构，档案保密工作要求高、标准高，建议加大工作经费投入，确保该项工作长期安全、稳定、有效。</w:t>
      </w:r>
    </w:p>
    <w:p>
      <w:pPr>
        <w:pStyle w:val="2"/>
        <w:rPr>
          <w:rFonts w:hint="eastAsia" w:ascii="仿宋_GB2312" w:eastAsia="仿宋_GB2312" w:cs="仿宋_GB2312"/>
          <w:b w:val="0"/>
          <w:bCs w:val="0"/>
          <w:sz w:val="32"/>
          <w:szCs w:val="32"/>
          <w:lang w:eastAsia="zh-CN"/>
        </w:rPr>
      </w:pPr>
    </w:p>
    <w:p>
      <w:pPr>
        <w:pStyle w:val="2"/>
        <w:rPr>
          <w:rFonts w:hint="eastAsia" w:ascii="仿宋_GB2312" w:eastAsia="仿宋_GB2312" w:cs="仿宋_GB2312"/>
          <w:b w:val="0"/>
          <w:bCs w:val="0"/>
          <w:sz w:val="32"/>
          <w:szCs w:val="32"/>
          <w:lang w:eastAsia="zh-CN"/>
        </w:rPr>
      </w:pPr>
    </w:p>
    <w:p>
      <w:pPr>
        <w:pStyle w:val="2"/>
        <w:rPr>
          <w:rFonts w:hint="eastAsia" w:ascii="仿宋_GB2312" w:eastAsia="仿宋_GB2312" w:cs="仿宋_GB2312"/>
          <w:b w:val="0"/>
          <w:bCs w:val="0"/>
          <w:sz w:val="32"/>
          <w:szCs w:val="32"/>
          <w:lang w:eastAsia="zh-CN"/>
        </w:rPr>
      </w:pPr>
    </w:p>
    <w:p>
      <w:pPr>
        <w:pStyle w:val="11"/>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eastAsia="方正小标宋简体" w:cs="方正小标宋简体"/>
          <w:b w:val="0"/>
          <w:bCs w:val="0"/>
          <w:color w:val="auto"/>
          <w:kern w:val="2"/>
          <w:sz w:val="44"/>
          <w:szCs w:val="44"/>
          <w:lang w:eastAsia="zh-CN"/>
        </w:rPr>
      </w:pPr>
      <w:r>
        <w:rPr>
          <w:rFonts w:hint="eastAsia" w:ascii="方正小标宋简体" w:eastAsia="方正小标宋简体" w:cs="方正小标宋简体"/>
          <w:b w:val="0"/>
          <w:bCs w:val="0"/>
          <w:color w:val="auto"/>
          <w:kern w:val="2"/>
          <w:sz w:val="44"/>
          <w:szCs w:val="44"/>
          <w:lang w:val="en-US" w:eastAsia="zh-CN"/>
        </w:rPr>
        <w:t>2021年</w:t>
      </w:r>
      <w:r>
        <w:rPr>
          <w:rFonts w:hint="eastAsia" w:ascii="方正小标宋简体" w:eastAsia="方正小标宋简体" w:cs="方正小标宋简体"/>
          <w:b w:val="0"/>
          <w:bCs w:val="0"/>
          <w:color w:val="000000"/>
          <w:kern w:val="0"/>
          <w:sz w:val="44"/>
          <w:szCs w:val="44"/>
          <w:lang w:eastAsia="zh-CN"/>
        </w:rPr>
        <w:t>优抚工作</w:t>
      </w:r>
      <w:r>
        <w:rPr>
          <w:rFonts w:hint="eastAsia" w:ascii="方正小标宋简体" w:eastAsia="方正小标宋简体" w:cs="方正小标宋简体"/>
          <w:b w:val="0"/>
          <w:bCs w:val="0"/>
          <w:color w:val="auto"/>
          <w:kern w:val="2"/>
          <w:sz w:val="44"/>
          <w:szCs w:val="44"/>
          <w:lang w:eastAsia="zh-CN"/>
        </w:rPr>
        <w:t>经费项目</w:t>
      </w:r>
      <w:r>
        <w:rPr>
          <w:rFonts w:hint="eastAsia" w:ascii="方正小标宋简体" w:eastAsia="方正小标宋简体" w:cs="方正小标宋简体"/>
          <w:b w:val="0"/>
          <w:bCs w:val="0"/>
          <w:color w:val="auto"/>
          <w:kern w:val="2"/>
          <w:sz w:val="44"/>
          <w:szCs w:val="44"/>
        </w:rPr>
        <w:t>绩效自评报告</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hint="eastAsia" w:ascii="黑体" w:eastAsia="黑体" w:cs="黑体"/>
          <w:b w:val="0"/>
          <w:bCs w:val="0"/>
          <w:sz w:val="32"/>
          <w:szCs w:val="32"/>
          <w:lang w:val="zh-CN"/>
        </w:rPr>
      </w:pPr>
      <w:r>
        <w:rPr>
          <w:rFonts w:hint="eastAsia" w:ascii="黑体" w:eastAsia="黑体" w:cs="黑体"/>
          <w:b w:val="0"/>
          <w:bCs w:val="0"/>
          <w:sz w:val="32"/>
          <w:szCs w:val="32"/>
        </w:rPr>
        <w:t>一、</w:t>
      </w:r>
      <w:r>
        <w:rPr>
          <w:rFonts w:hint="eastAsia" w:asci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zh-CN"/>
        </w:rPr>
        <w:t>1．项目主管部门（单位）在该项目管理中的职能。</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sz w:val="32"/>
          <w:szCs w:val="32"/>
          <w:lang w:eastAsia="zh-CN"/>
        </w:rPr>
        <w:t>组织、指导全市优抚工作，承担现役军人和退役军人的各项优待、抚恤等工作。组织、协调落实退役军人住房保障、医疗保障等待遇保障工作，贯彻执行国家、省有关退役军人医疗、疗养、养老等优抚保障机构以及军供保障机构的规划政策。负责不适宜继续服役的伤病残军人移交安置等工作。贯彻执行国民党抗战老兵等有关人员优待政策。负责退役军人事务对外交流与合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en-US" w:eastAsia="zh-CN"/>
        </w:rPr>
        <w:t>2.</w:t>
      </w:r>
      <w:r>
        <w:rPr>
          <w:rFonts w:hint="eastAsia" w:ascii="仿宋_GB2312" w:eastAsia="仿宋_GB2312" w:cs="仿宋_GB2312"/>
          <w:b w:val="0"/>
          <w:bCs w:val="0"/>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color w:val="000000"/>
          <w:sz w:val="32"/>
          <w:szCs w:val="32"/>
          <w:lang w:val="en-US" w:eastAsia="zh-CN"/>
        </w:rPr>
        <w:t>依据《退役军人保障法》、《军人抚恤优待条例》、《四川省军人抚恤优待办法》（省政府207号令）、广元市退役军人事务局 广元市财政局转发《退役军人事务部办公厅 财政部办公厅关于印发&lt;享受国家定期抚恤补助优抚对象年度确认工作实施规范（试行）&gt;的通知》的通知（广退役军人发〔2021〕44号）等文件。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en-US" w:eastAsia="zh-CN"/>
        </w:rPr>
        <w:t>3.</w:t>
      </w:r>
      <w:r>
        <w:rPr>
          <w:rFonts w:hint="eastAsia" w:ascii="仿宋_GB2312" w:eastAsia="仿宋_GB2312" w:cs="仿宋_GB2312"/>
          <w:b w:val="0"/>
          <w:bCs w:val="0"/>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根据资金管理办法，</w:t>
      </w:r>
      <w:r>
        <w:rPr>
          <w:rFonts w:hint="eastAsia" w:ascii="仿宋_GB2312" w:eastAsia="仿宋_GB2312" w:cs="仿宋_GB2312"/>
          <w:sz w:val="32"/>
          <w:szCs w:val="32"/>
        </w:rPr>
        <w:t>制定了《财务管理制度》</w:t>
      </w:r>
      <w:r>
        <w:rPr>
          <w:rFonts w:hint="eastAsia" w:ascii="仿宋_GB2312" w:eastAsia="仿宋_GB2312" w:cs="仿宋_GB2312"/>
          <w:sz w:val="32"/>
          <w:szCs w:val="32"/>
          <w:lang w:eastAsia="zh-CN"/>
        </w:rPr>
        <w:t>，</w:t>
      </w:r>
      <w:r>
        <w:rPr>
          <w:rFonts w:hint="eastAsia" w:ascii="仿宋_GB2312" w:eastAsia="仿宋_GB2312" w:cs="仿宋_GB2312"/>
          <w:b w:val="0"/>
          <w:bCs w:val="0"/>
          <w:color w:val="000000"/>
          <w:sz w:val="32"/>
          <w:szCs w:val="32"/>
          <w:lang w:val="en-US" w:eastAsia="zh-CN"/>
        </w:rPr>
        <w:t>为保障优抚对象的合法权益和切身利益，</w:t>
      </w:r>
      <w:r>
        <w:rPr>
          <w:rFonts w:hint="eastAsia" w:ascii="仿宋_GB2312" w:eastAsia="仿宋_GB2312" w:cs="仿宋_GB2312"/>
          <w:sz w:val="32"/>
          <w:szCs w:val="32"/>
          <w:lang w:eastAsia="zh-CN"/>
        </w:rPr>
        <w:t>资金主要用于</w:t>
      </w:r>
      <w:r>
        <w:rPr>
          <w:rFonts w:hint="eastAsia" w:ascii="仿宋_GB2312" w:eastAsia="仿宋_GB2312" w:cs="仿宋_GB2312"/>
          <w:b w:val="0"/>
          <w:bCs w:val="0"/>
          <w:color w:val="000000"/>
          <w:sz w:val="32"/>
          <w:szCs w:val="32"/>
          <w:lang w:val="en-US" w:eastAsia="zh-CN"/>
        </w:rPr>
        <w:t>开展日常的优抚、优待、抚恤和优抚对象年度确认等工作。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en-US" w:eastAsia="zh-CN"/>
        </w:rPr>
        <w:t>4.</w:t>
      </w:r>
      <w:r>
        <w:rPr>
          <w:rFonts w:hint="eastAsia" w:ascii="仿宋_GB2312" w:eastAsia="仿宋_GB2312" w:cs="仿宋_GB2312"/>
          <w:b w:val="0"/>
          <w:bCs w:val="0"/>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color w:val="000000"/>
          <w:sz w:val="32"/>
          <w:szCs w:val="32"/>
          <w:highlight w:val="none"/>
          <w:lang w:eastAsia="zh-CN"/>
        </w:rPr>
        <w:t>按照《四川省财政厅</w:t>
      </w:r>
      <w:r>
        <w:rPr>
          <w:rFonts w:hint="eastAsia" w:ascii="仿宋_GB2312" w:eastAsia="仿宋_GB2312" w:cs="仿宋_GB2312"/>
          <w:color w:val="000000"/>
          <w:sz w:val="32"/>
          <w:szCs w:val="32"/>
          <w:highlight w:val="none"/>
          <w:lang w:val="en-US" w:eastAsia="zh-CN"/>
        </w:rPr>
        <w:t xml:space="preserve"> 四川省退役军人事务厅 四川省医保局关于印发四川省</w:t>
      </w:r>
      <w:r>
        <w:rPr>
          <w:rFonts w:hint="eastAsia" w:ascii="仿宋_GB2312" w:eastAsia="仿宋_GB2312" w:cs="仿宋_GB2312"/>
          <w:color w:val="000000"/>
          <w:sz w:val="32"/>
          <w:szCs w:val="32"/>
          <w:highlight w:val="none"/>
          <w:lang w:eastAsia="zh-CN"/>
        </w:rPr>
        <w:t>中央和省级财政退役安置等补助资金管理办法的通知》</w:t>
      </w: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lang w:eastAsia="zh-CN"/>
        </w:rPr>
        <w:t>川财社</w:t>
      </w:r>
      <w:r>
        <w:rPr>
          <w:rFonts w:hint="eastAsia" w:ascii="仿宋_GB2312" w:eastAsia="仿宋_GB2312" w:cs="仿宋_GB2312"/>
          <w:color w:val="000000"/>
          <w:sz w:val="32"/>
          <w:szCs w:val="32"/>
          <w:highlight w:val="none"/>
        </w:rPr>
        <w:t>〔20</w:t>
      </w:r>
      <w:r>
        <w:rPr>
          <w:rFonts w:hint="eastAsia" w:ascii="仿宋_GB2312" w:eastAsia="仿宋_GB2312" w:cs="仿宋_GB2312"/>
          <w:color w:val="000000"/>
          <w:sz w:val="32"/>
          <w:szCs w:val="32"/>
          <w:highlight w:val="none"/>
          <w:lang w:val="en-US" w:eastAsia="zh-CN"/>
        </w:rPr>
        <w:t>20</w:t>
      </w: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lang w:val="en-US" w:eastAsia="zh-CN"/>
        </w:rPr>
        <w:t>63</w:t>
      </w:r>
      <w:r>
        <w:rPr>
          <w:rFonts w:hint="eastAsia" w:ascii="仿宋_GB2312" w:eastAsia="仿宋_GB2312" w:cs="仿宋_GB2312"/>
          <w:color w:val="000000"/>
          <w:sz w:val="32"/>
          <w:szCs w:val="32"/>
          <w:highlight w:val="none"/>
        </w:rPr>
        <w:t>号）</w:t>
      </w:r>
      <w:r>
        <w:rPr>
          <w:rFonts w:hint="eastAsia" w:ascii="仿宋_GB2312" w:eastAsia="仿宋_GB2312" w:cs="仿宋_GB2312"/>
          <w:color w:val="000000"/>
          <w:sz w:val="32"/>
          <w:szCs w:val="32"/>
          <w:highlight w:val="none"/>
          <w:lang w:eastAsia="zh-CN"/>
        </w:rPr>
        <w:t>规定，按照核定人员的类别、人数、标准等情况综合分析，采取据实法、因素法或据实法因素法相结合的方式进行分配。</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zh-CN"/>
        </w:rPr>
        <w:t>1．项目主要内容。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color w:val="000000"/>
          <w:sz w:val="32"/>
          <w:szCs w:val="32"/>
          <w:lang w:val="en-US" w:eastAsia="zh-CN"/>
        </w:rPr>
        <w:t>主要开展日常的优抚、优待、抚恤和优抚对象年度确认等工作。</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eastAsia="zh-CN"/>
        </w:rPr>
        <w:t>全年召开优抚业务工作培训会</w:t>
      </w:r>
      <w:r>
        <w:rPr>
          <w:rFonts w:hint="eastAsia" w:ascii="仿宋_GB2312" w:eastAsia="仿宋_GB2312" w:cs="仿宋_GB2312"/>
          <w:color w:val="000000"/>
          <w:sz w:val="32"/>
          <w:szCs w:val="32"/>
          <w:lang w:val="en-US" w:eastAsia="zh-CN"/>
        </w:rPr>
        <w:t>4次，更换新版残疾军人证2100余份。为</w:t>
      </w:r>
      <w:r>
        <w:rPr>
          <w:rFonts w:hint="eastAsia" w:ascii="仿宋_GB2312" w:eastAsia="仿宋_GB2312" w:cs="仿宋_GB2312"/>
          <w:color w:val="000000"/>
          <w:sz w:val="32"/>
          <w:szCs w:val="32"/>
          <w:lang w:eastAsia="zh-CN"/>
        </w:rPr>
        <w:t>贯彻</w:t>
      </w:r>
      <w:r>
        <w:rPr>
          <w:rFonts w:hint="eastAsia" w:ascii="仿宋_GB2312" w:eastAsia="仿宋_GB2312" w:cs="仿宋_GB2312"/>
          <w:color w:val="000000"/>
          <w:sz w:val="32"/>
          <w:szCs w:val="32"/>
        </w:rPr>
        <w:t>落实优待抚恤政策，保障各类优抚对象切身利益，提高优抚对象生活质量，体现党和政府关心</w:t>
      </w:r>
      <w:r>
        <w:rPr>
          <w:rFonts w:hint="eastAsia" w:ascii="仿宋_GB2312" w:eastAsia="仿宋_GB2312" w:cs="仿宋_GB2312"/>
          <w:color w:val="000000"/>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zh-CN"/>
        </w:rPr>
        <w:t>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color w:val="000000"/>
          <w:sz w:val="32"/>
          <w:szCs w:val="32"/>
          <w:lang w:val="en-US" w:eastAsia="zh-CN"/>
        </w:rPr>
        <w:t>根据《退役军人保障法》和《军人抚恤优待条例》规定，我局依据职能职责开展日常优抚优待工作，项目申报内容与具体实施内容相符，申报目标合理可行。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zh-CN"/>
        </w:rPr>
        <w:t>说明项目绩效自评采用的组织实施步骤及方法。</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sz w:val="32"/>
          <w:szCs w:val="32"/>
        </w:rPr>
        <w:t>由项目责任科室</w:t>
      </w:r>
      <w:r>
        <w:rPr>
          <w:rFonts w:hint="eastAsia" w:ascii="仿宋_GB2312" w:eastAsia="仿宋_GB2312" w:cs="仿宋_GB2312"/>
          <w:sz w:val="32"/>
          <w:szCs w:val="32"/>
          <w:lang w:eastAsia="zh-CN"/>
        </w:rPr>
        <w:t>优抚科</w:t>
      </w:r>
      <w:r>
        <w:rPr>
          <w:rFonts w:hint="eastAsia" w:ascii="仿宋_GB2312" w:eastAsia="仿宋_GB2312" w:cs="仿宋_GB2312"/>
          <w:sz w:val="32"/>
          <w:szCs w:val="32"/>
        </w:rPr>
        <w:t>向财务</w:t>
      </w:r>
      <w:r>
        <w:rPr>
          <w:rFonts w:hint="eastAsia" w:ascii="仿宋_GB2312" w:eastAsia="仿宋_GB2312" w:cs="仿宋_GB2312"/>
          <w:sz w:val="32"/>
          <w:szCs w:val="32"/>
          <w:lang w:eastAsia="zh-CN"/>
        </w:rPr>
        <w:t>室</w:t>
      </w:r>
      <w:r>
        <w:rPr>
          <w:rFonts w:hint="eastAsia" w:ascii="仿宋_GB2312" w:eastAsia="仿宋_GB2312" w:cs="仿宋_GB2312"/>
          <w:sz w:val="32"/>
          <w:szCs w:val="32"/>
        </w:rPr>
        <w:t>报送自评材料。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按照《军人抚恤优待条例》、《四川省军人抚恤优待办法》（省政府207号令）、广元市退役军人事务局 广元市财政局转发《退役军人事务部办公厅 财政部办公厅关于印发&lt;享受国家定期抚恤补助优抚对象年度确认工作实施规范（试行）&gt;的通知》的通知（广退役军人发〔2021〕44号）等文件和赋予我局职能职责，申报优抚工作经费2万元，批复我局优抚工作经费2万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1.资金计划。2021年计划优抚工作经费2万元。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2.资金到位。市财政局实际到位优抚工作经费2万元，资金在规定时限内分配到位，到位率为100%。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s="仿宋_GB2312"/>
          <w:color w:val="000000"/>
          <w:sz w:val="32"/>
          <w:szCs w:val="32"/>
          <w:lang w:val="zh-CN"/>
        </w:rPr>
      </w:pPr>
      <w:r>
        <w:rPr>
          <w:rFonts w:hint="eastAsia" w:ascii="仿宋_GB2312" w:eastAsia="仿宋_GB2312" w:cs="仿宋_GB2312"/>
          <w:b w:val="0"/>
          <w:bCs w:val="0"/>
          <w:color w:val="000000"/>
          <w:sz w:val="32"/>
          <w:szCs w:val="32"/>
          <w:lang w:val="en-US" w:eastAsia="zh-CN"/>
        </w:rPr>
        <w:t>3.资金使用情况。</w:t>
      </w:r>
      <w:r>
        <w:rPr>
          <w:rFonts w:hint="eastAsia" w:ascii="仿宋_GB2312" w:eastAsia="仿宋_GB2312" w:cs="仿宋_GB2312"/>
          <w:color w:val="000000"/>
          <w:kern w:val="0"/>
          <w:sz w:val="32"/>
          <w:szCs w:val="32"/>
          <w:highlight w:val="none"/>
          <w:shd w:val="clear" w:color="auto" w:fill="FFFFFF"/>
          <w:lang w:eastAsia="zh-CN"/>
        </w:rPr>
        <w:t>2021年</w:t>
      </w:r>
      <w:r>
        <w:rPr>
          <w:rFonts w:hint="eastAsia" w:ascii="仿宋_GB2312" w:eastAsia="仿宋_GB2312" w:cs="仿宋_GB2312"/>
          <w:color w:val="000000"/>
          <w:sz w:val="32"/>
          <w:szCs w:val="32"/>
          <w:highlight w:val="none"/>
          <w:lang w:val="zh-CN"/>
        </w:rPr>
        <w:t>优抚工作经费实际支出</w:t>
      </w:r>
      <w:r>
        <w:rPr>
          <w:rFonts w:hint="eastAsia" w:ascii="仿宋_GB2312" w:eastAsia="仿宋_GB2312" w:cs="仿宋_GB2312"/>
          <w:color w:val="000000"/>
          <w:sz w:val="32"/>
          <w:szCs w:val="32"/>
          <w:highlight w:val="none"/>
          <w:lang w:val="en-US" w:eastAsia="zh-CN"/>
        </w:rPr>
        <w:t>2</w:t>
      </w:r>
      <w:r>
        <w:rPr>
          <w:rFonts w:hint="eastAsia" w:ascii="仿宋_GB2312" w:eastAsia="仿宋_GB2312" w:cs="仿宋_GB2312"/>
          <w:color w:val="000000"/>
          <w:sz w:val="32"/>
          <w:szCs w:val="32"/>
          <w:highlight w:val="none"/>
          <w:lang w:val="zh-CN"/>
        </w:rPr>
        <w:t>万元，</w:t>
      </w:r>
      <w:r>
        <w:rPr>
          <w:rFonts w:hint="eastAsia" w:ascii="仿宋_GB2312" w:eastAsia="仿宋_GB2312" w:cs="仿宋_GB2312"/>
          <w:b w:val="0"/>
          <w:bCs w:val="0"/>
          <w:color w:val="000000"/>
          <w:sz w:val="32"/>
          <w:szCs w:val="32"/>
          <w:lang w:val="en-US" w:eastAsia="zh-CN"/>
        </w:rPr>
        <w:t>执行率为100%。</w:t>
      </w:r>
      <w:r>
        <w:rPr>
          <w:rFonts w:hint="eastAsia" w:ascii="仿宋_GB2312" w:eastAsia="仿宋_GB2312" w:cs="仿宋_GB2312"/>
          <w:color w:val="000000"/>
          <w:kern w:val="0"/>
          <w:sz w:val="32"/>
          <w:szCs w:val="32"/>
          <w:highlight w:val="none"/>
          <w:lang w:val="zh-CN"/>
        </w:rPr>
        <w:t>资金开支范围、标准及支付进度严格</w:t>
      </w:r>
      <w:r>
        <w:rPr>
          <w:rFonts w:hint="eastAsia" w:ascii="仿宋_GB2312" w:eastAsia="仿宋_GB2312" w:cs="仿宋_GB2312"/>
          <w:color w:val="000000"/>
          <w:sz w:val="32"/>
          <w:szCs w:val="32"/>
          <w:highlight w:val="none"/>
        </w:rPr>
        <w:t>按照部门预算项目支出绩效目标申报</w:t>
      </w:r>
      <w:r>
        <w:rPr>
          <w:rFonts w:hint="eastAsia" w:ascii="仿宋_GB2312" w:eastAsia="仿宋_GB2312" w:cs="仿宋_GB2312"/>
          <w:color w:val="000000"/>
          <w:sz w:val="32"/>
          <w:szCs w:val="32"/>
          <w:highlight w:val="none"/>
          <w:lang w:eastAsia="zh-CN"/>
        </w:rPr>
        <w:t>计划和</w:t>
      </w:r>
      <w:r>
        <w:rPr>
          <w:rFonts w:hint="eastAsia" w:ascii="仿宋_GB2312" w:eastAsia="仿宋_GB2312" w:cs="仿宋_GB2312"/>
          <w:b w:val="0"/>
          <w:bCs w:val="0"/>
          <w:sz w:val="32"/>
          <w:szCs w:val="32"/>
        </w:rPr>
        <w:t>资金使用管理办法</w:t>
      </w:r>
      <w:r>
        <w:rPr>
          <w:rFonts w:hint="eastAsia" w:ascii="仿宋_GB2312" w:eastAsia="仿宋_GB2312" w:cs="仿宋_GB2312"/>
          <w:b w:val="0"/>
          <w:bCs w:val="0"/>
          <w:sz w:val="32"/>
          <w:szCs w:val="32"/>
          <w:lang w:eastAsia="zh-CN"/>
        </w:rPr>
        <w:t>规定</w:t>
      </w:r>
      <w:r>
        <w:rPr>
          <w:rFonts w:hint="eastAsia" w:ascii="仿宋_GB2312" w:eastAsia="仿宋_GB2312" w:cs="仿宋_GB2312"/>
          <w:b w:val="0"/>
          <w:bCs w:val="0"/>
          <w:sz w:val="32"/>
          <w:szCs w:val="32"/>
        </w:rPr>
        <w:t>，按照工作需要，对所支付资金按局资金管理相关程序拨付，切实做到资金专款专用、严格规范、安全高效</w:t>
      </w:r>
      <w:r>
        <w:rPr>
          <w:rFonts w:hint="eastAsia" w:ascii="仿宋_GB2312" w:eastAsia="仿宋_GB2312" w:cs="仿宋_GB2312"/>
          <w:b w:val="0"/>
          <w:bCs w:val="0"/>
          <w:sz w:val="32"/>
          <w:szCs w:val="32"/>
          <w:lang w:eastAsia="zh-CN"/>
        </w:rPr>
        <w:t>，</w:t>
      </w:r>
      <w:r>
        <w:rPr>
          <w:rFonts w:hint="eastAsia" w:ascii="仿宋_GB2312" w:eastAsia="仿宋_GB2312" w:cs="仿宋_GB2312"/>
          <w:color w:val="000000"/>
          <w:sz w:val="32"/>
          <w:szCs w:val="32"/>
          <w:lang w:val="zh-CN"/>
        </w:rPr>
        <w:t>资金支付与预算相符。</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color w:val="000000"/>
          <w:sz w:val="32"/>
          <w:szCs w:val="32"/>
        </w:rPr>
        <w:t>项目财务管理制度</w:t>
      </w:r>
      <w:r>
        <w:rPr>
          <w:rFonts w:hint="eastAsia" w:ascii="仿宋_GB2312" w:eastAsia="仿宋_GB2312" w:cs="仿宋_GB2312"/>
          <w:b w:val="0"/>
          <w:bCs w:val="0"/>
          <w:color w:val="000000"/>
          <w:sz w:val="32"/>
          <w:szCs w:val="32"/>
          <w:lang w:val="en-US" w:eastAsia="zh-CN"/>
        </w:rPr>
        <w:t>健全，</w:t>
      </w:r>
      <w:r>
        <w:rPr>
          <w:rFonts w:hint="eastAsia" w:ascii="仿宋_GB2312" w:eastAsia="仿宋_GB2312" w:cs="仿宋_GB2312"/>
          <w:b w:val="0"/>
          <w:bCs w:val="0"/>
          <w:color w:val="000000"/>
          <w:sz w:val="32"/>
          <w:szCs w:val="32"/>
        </w:rPr>
        <w:t>机构</w:t>
      </w:r>
      <w:r>
        <w:rPr>
          <w:rFonts w:hint="eastAsia" w:ascii="仿宋_GB2312" w:eastAsia="仿宋_GB2312" w:cs="仿宋_GB2312"/>
          <w:b w:val="0"/>
          <w:bCs w:val="0"/>
          <w:color w:val="000000"/>
          <w:sz w:val="32"/>
          <w:szCs w:val="32"/>
          <w:lang w:val="en-US" w:eastAsia="zh-CN"/>
        </w:rPr>
        <w:t>完善，严格落实</w:t>
      </w:r>
      <w:r>
        <w:rPr>
          <w:rFonts w:hint="eastAsia" w:ascii="仿宋_GB2312" w:eastAsia="仿宋_GB2312" w:cs="仿宋_GB2312"/>
          <w:b w:val="0"/>
          <w:bCs w:val="0"/>
          <w:color w:val="000000"/>
          <w:sz w:val="32"/>
          <w:szCs w:val="32"/>
        </w:rPr>
        <w:t>项目资金管理办法，</w:t>
      </w:r>
      <w:r>
        <w:rPr>
          <w:rFonts w:hint="eastAsia" w:ascii="仿宋_GB2312" w:eastAsia="仿宋_GB2312" w:cs="仿宋_GB2312"/>
          <w:b w:val="0"/>
          <w:bCs w:val="0"/>
          <w:color w:val="000000"/>
          <w:sz w:val="32"/>
          <w:szCs w:val="32"/>
          <w:lang w:eastAsia="zh-CN"/>
        </w:rPr>
        <w:t>严格</w:t>
      </w:r>
      <w:r>
        <w:rPr>
          <w:rFonts w:hint="eastAsia" w:ascii="仿宋_GB2312" w:eastAsia="仿宋_GB2312" w:cs="仿宋_GB2312"/>
          <w:b w:val="0"/>
          <w:bCs w:val="0"/>
          <w:color w:val="000000"/>
          <w:sz w:val="32"/>
          <w:szCs w:val="32"/>
        </w:rPr>
        <w:t>执行财务管理制度</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lang w:val="en-US" w:eastAsia="zh-CN"/>
        </w:rPr>
        <w:t>严格遵守《财务管理制度》，</w:t>
      </w:r>
      <w:r>
        <w:rPr>
          <w:rFonts w:hint="eastAsia" w:ascii="仿宋_GB2312" w:eastAsia="仿宋_GB2312" w:cs="仿宋_GB2312"/>
          <w:color w:val="000000"/>
          <w:sz w:val="32"/>
          <w:szCs w:val="32"/>
          <w:lang w:val="zh-CN"/>
        </w:rPr>
        <w:t>主动接受上级财政部门的审计、监督和检查，</w:t>
      </w:r>
      <w:r>
        <w:rPr>
          <w:rFonts w:hint="eastAsia" w:ascii="仿宋_GB2312" w:eastAsia="仿宋_GB2312" w:cs="仿宋_GB2312"/>
          <w:b w:val="0"/>
          <w:bCs w:val="0"/>
          <w:color w:val="000000"/>
          <w:sz w:val="32"/>
          <w:szCs w:val="32"/>
          <w:lang w:val="en-US" w:eastAsia="zh-CN"/>
        </w:rPr>
        <w:t>账务处理及时，会计核算规范。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kern w:val="0"/>
          <w:sz w:val="32"/>
          <w:szCs w:val="32"/>
          <w:lang w:val="zh-CN" w:bidi="zh-CN"/>
        </w:rPr>
        <w:t>专项资金按照“分级负责、科学合理、专款专用、强化监督”原则实施管理。专项资金预算安排由广元市退役军人事务局根据优抚</w:t>
      </w:r>
      <w:r>
        <w:rPr>
          <w:rFonts w:hint="eastAsia" w:ascii="仿宋_GB2312" w:eastAsia="仿宋_GB2312" w:cs="仿宋_GB2312"/>
          <w:b w:val="0"/>
          <w:bCs w:val="0"/>
          <w:kern w:val="0"/>
          <w:sz w:val="32"/>
          <w:szCs w:val="32"/>
          <w:lang w:val="en-US" w:eastAsia="zh-CN" w:bidi="zh-CN"/>
        </w:rPr>
        <w:t>优待抚恤运行</w:t>
      </w:r>
      <w:r>
        <w:rPr>
          <w:rFonts w:hint="eastAsia" w:ascii="仿宋_GB2312" w:eastAsia="仿宋_GB2312" w:cs="仿宋_GB2312"/>
          <w:b w:val="0"/>
          <w:bCs w:val="0"/>
          <w:kern w:val="0"/>
          <w:sz w:val="32"/>
          <w:szCs w:val="32"/>
          <w:lang w:val="zh-CN" w:bidi="zh-CN"/>
        </w:rPr>
        <w:t>工作要求，报请市政府拨付工作经费。</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sz w:val="32"/>
          <w:szCs w:val="32"/>
        </w:rPr>
        <w:t>严格执行资金使用管理办法要求，按照工作需要，对所支付资金按局资金管理相关规定程序拨付，切实做到资金专款专用、严格规范、安全高效。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（三）项目监管情况。</w:t>
      </w:r>
    </w:p>
    <w:p>
      <w:pPr>
        <w:keepNext w:val="0"/>
        <w:keepLines w:val="0"/>
        <w:pageBreakBefore w:val="0"/>
        <w:widowControl w:val="0"/>
        <w:kinsoku/>
        <w:wordWrap/>
        <w:overflowPunct/>
        <w:topLinePunct w:val="0"/>
        <w:bidi w:val="0"/>
        <w:adjustRightInd w:val="0"/>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b w:val="0"/>
          <w:bCs w:val="0"/>
          <w:sz w:val="32"/>
          <w:szCs w:val="32"/>
          <w:lang w:val="zh-CN"/>
        </w:rPr>
        <w:t>将优抚科</w:t>
      </w:r>
      <w:r>
        <w:rPr>
          <w:rFonts w:hint="eastAsia" w:ascii="仿宋_GB2312" w:eastAsia="仿宋_GB2312" w:cs="仿宋_GB2312"/>
          <w:sz w:val="32"/>
          <w:szCs w:val="32"/>
        </w:rPr>
        <w:t>专项资金</w:t>
      </w:r>
      <w:r>
        <w:rPr>
          <w:rFonts w:hint="eastAsia" w:ascii="仿宋_GB2312" w:eastAsia="仿宋_GB2312" w:cs="仿宋_GB2312"/>
          <w:sz w:val="32"/>
          <w:szCs w:val="32"/>
          <w:lang w:eastAsia="zh-CN"/>
        </w:rPr>
        <w:t>项目纳入绩效目标监控范围内</w:t>
      </w:r>
      <w:r>
        <w:rPr>
          <w:rFonts w:hint="eastAsia" w:ascii="仿宋_GB2312" w:eastAsia="仿宋_GB2312" w:cs="仿宋_GB2312"/>
          <w:sz w:val="32"/>
          <w:szCs w:val="32"/>
        </w:rPr>
        <w:t>。</w:t>
      </w:r>
      <w:r>
        <w:rPr>
          <w:rFonts w:hint="eastAsia" w:ascii="仿宋_GB2312" w:eastAsia="仿宋_GB2312" w:cs="仿宋_GB2312"/>
          <w:sz w:val="32"/>
          <w:szCs w:val="32"/>
          <w:lang w:eastAsia="zh-CN"/>
        </w:rPr>
        <w:t>年初，优抚科</w:t>
      </w:r>
      <w:r>
        <w:rPr>
          <w:rFonts w:hint="eastAsia" w:ascii="仿宋_GB2312" w:eastAsia="仿宋_GB2312" w:cs="仿宋_GB2312"/>
          <w:sz w:val="32"/>
          <w:szCs w:val="32"/>
        </w:rPr>
        <w:t>根据</w:t>
      </w:r>
      <w:r>
        <w:rPr>
          <w:rFonts w:hint="eastAsia" w:ascii="仿宋_GB2312" w:eastAsia="仿宋_GB2312" w:cs="仿宋_GB2312"/>
          <w:sz w:val="32"/>
          <w:szCs w:val="32"/>
          <w:lang w:eastAsia="zh-CN"/>
        </w:rPr>
        <w:t>当年</w:t>
      </w:r>
      <w:r>
        <w:rPr>
          <w:rFonts w:hint="eastAsia" w:ascii="仿宋_GB2312" w:eastAsia="仿宋_GB2312" w:cs="仿宋_GB2312"/>
          <w:sz w:val="32"/>
          <w:szCs w:val="32"/>
        </w:rPr>
        <w:t>工作要求</w:t>
      </w:r>
      <w:r>
        <w:rPr>
          <w:rFonts w:hint="eastAsia" w:ascii="仿宋_GB2312" w:eastAsia="仿宋_GB2312" w:cs="仿宋_GB2312"/>
          <w:sz w:val="32"/>
          <w:szCs w:val="32"/>
          <w:lang w:eastAsia="zh-CN"/>
        </w:rPr>
        <w:t>向财务科</w:t>
      </w:r>
      <w:r>
        <w:rPr>
          <w:rFonts w:hint="eastAsia" w:ascii="仿宋_GB2312" w:eastAsia="仿宋_GB2312" w:cs="仿宋_GB2312"/>
          <w:sz w:val="32"/>
          <w:szCs w:val="32"/>
        </w:rPr>
        <w:t>提出资金</w:t>
      </w:r>
      <w:r>
        <w:rPr>
          <w:rFonts w:hint="eastAsia" w:ascii="仿宋_GB2312" w:eastAsia="仿宋_GB2312" w:cs="仿宋_GB2312"/>
          <w:sz w:val="32"/>
          <w:szCs w:val="32"/>
          <w:lang w:eastAsia="zh-CN"/>
        </w:rPr>
        <w:t>需求申报方案</w:t>
      </w:r>
      <w:r>
        <w:rPr>
          <w:rFonts w:hint="eastAsia" w:ascii="仿宋_GB2312" w:eastAsia="仿宋_GB2312" w:cs="仿宋_GB2312"/>
          <w:sz w:val="32"/>
          <w:szCs w:val="32"/>
        </w:rPr>
        <w:t>，市财政</w:t>
      </w:r>
      <w:r>
        <w:rPr>
          <w:rFonts w:hint="eastAsia" w:ascii="仿宋_GB2312" w:eastAsia="仿宋_GB2312" w:cs="仿宋_GB2312"/>
          <w:sz w:val="32"/>
          <w:szCs w:val="32"/>
          <w:lang w:eastAsia="zh-CN"/>
        </w:rPr>
        <w:t>审批</w:t>
      </w:r>
      <w:r>
        <w:rPr>
          <w:rFonts w:hint="eastAsia" w:ascii="仿宋_GB2312" w:eastAsia="仿宋_GB2312" w:cs="仿宋_GB2312"/>
          <w:sz w:val="32"/>
          <w:szCs w:val="32"/>
        </w:rPr>
        <w:t>专项资金后，按规定填报绩效目标表，并将作为绩效监控和绩效评价的依据</w:t>
      </w:r>
      <w:r>
        <w:rPr>
          <w:rFonts w:hint="eastAsia" w:ascii="仿宋_GB2312" w:eastAsia="仿宋_GB2312" w:cs="仿宋_GB2312"/>
          <w:sz w:val="32"/>
          <w:szCs w:val="32"/>
          <w:lang w:eastAsia="zh-CN"/>
        </w:rPr>
        <w:t>；</w:t>
      </w:r>
      <w:r>
        <w:rPr>
          <w:rFonts w:hint="eastAsia" w:ascii="仿宋_GB2312" w:eastAsia="仿宋_GB2312" w:cs="仿宋_GB2312"/>
          <w:sz w:val="32"/>
          <w:szCs w:val="32"/>
        </w:rPr>
        <w:t>年中，</w:t>
      </w:r>
      <w:r>
        <w:rPr>
          <w:rFonts w:hint="eastAsia" w:ascii="仿宋_GB2312" w:eastAsia="仿宋_GB2312" w:cs="仿宋_GB2312"/>
          <w:sz w:val="32"/>
          <w:szCs w:val="32"/>
          <w:lang w:eastAsia="zh-CN"/>
        </w:rPr>
        <w:t>财务科</w:t>
      </w:r>
      <w:r>
        <w:rPr>
          <w:rFonts w:hint="eastAsia" w:ascii="仿宋_GB2312" w:eastAsia="仿宋_GB2312" w:cs="仿宋_GB2312"/>
          <w:sz w:val="32"/>
          <w:szCs w:val="32"/>
        </w:rPr>
        <w:t>对绩效目标</w:t>
      </w:r>
      <w:r>
        <w:rPr>
          <w:rFonts w:hint="eastAsia" w:ascii="仿宋_GB2312" w:eastAsia="仿宋_GB2312" w:cs="仿宋_GB2312"/>
          <w:sz w:val="32"/>
          <w:szCs w:val="32"/>
          <w:lang w:eastAsia="zh-CN"/>
        </w:rPr>
        <w:t>使用</w:t>
      </w:r>
      <w:r>
        <w:rPr>
          <w:rFonts w:hint="eastAsia" w:ascii="仿宋_GB2312" w:eastAsia="仿宋_GB2312" w:cs="仿宋_GB2312"/>
          <w:sz w:val="32"/>
          <w:szCs w:val="32"/>
        </w:rPr>
        <w:t>情况进行监控，确保绩效目标如期实现</w:t>
      </w:r>
      <w:r>
        <w:rPr>
          <w:rFonts w:hint="eastAsia" w:ascii="仿宋_GB2312" w:eastAsia="仿宋_GB2312" w:cs="仿宋_GB2312"/>
          <w:sz w:val="32"/>
          <w:szCs w:val="32"/>
          <w:lang w:eastAsia="zh-CN"/>
        </w:rPr>
        <w:t>；</w:t>
      </w:r>
      <w:r>
        <w:rPr>
          <w:rFonts w:hint="eastAsia" w:ascii="仿宋_GB2312" w:eastAsia="仿宋_GB2312" w:cs="仿宋_GB2312"/>
          <w:sz w:val="32"/>
          <w:szCs w:val="32"/>
        </w:rPr>
        <w:t>年</w:t>
      </w:r>
      <w:r>
        <w:rPr>
          <w:rFonts w:hint="eastAsia" w:ascii="仿宋_GB2312" w:eastAsia="仿宋_GB2312" w:cs="仿宋_GB2312"/>
          <w:sz w:val="32"/>
          <w:szCs w:val="32"/>
          <w:lang w:eastAsia="zh-CN"/>
        </w:rPr>
        <w:t>末</w:t>
      </w:r>
      <w:r>
        <w:rPr>
          <w:rFonts w:hint="eastAsia" w:ascii="仿宋_GB2312" w:eastAsia="仿宋_GB2312" w:cs="仿宋_GB2312"/>
          <w:sz w:val="32"/>
          <w:szCs w:val="32"/>
        </w:rPr>
        <w:t>，</w:t>
      </w:r>
      <w:r>
        <w:rPr>
          <w:rFonts w:hint="eastAsia" w:ascii="仿宋_GB2312" w:eastAsia="仿宋_GB2312" w:cs="仿宋_GB2312"/>
          <w:sz w:val="32"/>
          <w:szCs w:val="32"/>
          <w:lang w:eastAsia="zh-CN"/>
        </w:rPr>
        <w:t>根据</w:t>
      </w:r>
      <w:r>
        <w:rPr>
          <w:rFonts w:hint="eastAsia" w:ascii="仿宋_GB2312" w:eastAsia="仿宋_GB2312" w:cs="仿宋_GB2312"/>
          <w:sz w:val="32"/>
          <w:szCs w:val="32"/>
        </w:rPr>
        <w:t>市局</w:t>
      </w:r>
      <w:r>
        <w:rPr>
          <w:rFonts w:hint="eastAsia" w:ascii="仿宋_GB2312" w:eastAsia="仿宋_GB2312" w:cs="仿宋_GB2312"/>
          <w:sz w:val="32"/>
          <w:szCs w:val="32"/>
          <w:lang w:eastAsia="zh-CN"/>
        </w:rPr>
        <w:t>统一安排优抚科对专项预算经费</w:t>
      </w:r>
      <w:r>
        <w:rPr>
          <w:rFonts w:hint="eastAsia" w:ascii="仿宋_GB2312" w:eastAsia="仿宋_GB2312" w:cs="仿宋_GB2312"/>
          <w:sz w:val="32"/>
          <w:szCs w:val="32"/>
        </w:rPr>
        <w:t>开展绩效自评</w:t>
      </w:r>
      <w:r>
        <w:rPr>
          <w:rFonts w:hint="eastAsia" w:ascii="仿宋_GB2312" w:eastAsia="仿宋_GB2312" w:cs="仿宋_GB2312"/>
          <w:sz w:val="32"/>
          <w:szCs w:val="32"/>
          <w:lang w:eastAsia="zh-CN"/>
        </w:rPr>
        <w:t>并上报财务科</w:t>
      </w:r>
      <w:r>
        <w:rPr>
          <w:rFonts w:hint="eastAsia" w:ascii="仿宋_GB2312" w:eastAsia="仿宋_GB2312" w:cs="仿宋_GB2312"/>
          <w:sz w:val="32"/>
          <w:szCs w:val="32"/>
        </w:rPr>
        <w:t>。绩效评价结果作为完善政策、安排预算、改进管理</w:t>
      </w:r>
      <w:r>
        <w:rPr>
          <w:rFonts w:hint="eastAsia" w:ascii="仿宋_GB2312" w:eastAsia="仿宋_GB2312" w:cs="仿宋_GB2312"/>
          <w:sz w:val="32"/>
          <w:szCs w:val="32"/>
          <w:lang w:eastAsia="zh-CN"/>
        </w:rPr>
        <w:t>的</w:t>
      </w:r>
      <w:r>
        <w:rPr>
          <w:rFonts w:hint="eastAsia" w:ascii="仿宋_GB2312" w:eastAsia="仿宋_GB2312" w:cs="仿宋_GB2312"/>
          <w:sz w:val="32"/>
          <w:szCs w:val="32"/>
        </w:rPr>
        <w:t>重要依据。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eastAsia="黑体" w:cs="黑体"/>
          <w:b w:val="0"/>
          <w:bCs w:val="0"/>
          <w:sz w:val="32"/>
          <w:szCs w:val="32"/>
          <w:lang w:val="zh-CN"/>
        </w:rPr>
      </w:pPr>
      <w:r>
        <w:rPr>
          <w:rFonts w:hint="eastAsia" w:ascii="黑体" w:eastAsia="黑体" w:cs="黑体"/>
          <w:b w:val="0"/>
          <w:bCs w:val="0"/>
          <w:sz w:val="32"/>
          <w:szCs w:val="32"/>
        </w:rPr>
        <w:t>四、项目绩效情况</w:t>
      </w:r>
      <w:r>
        <w:rPr>
          <w:rFonts w:hint="eastAsia" w:asci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color w:val="000000"/>
          <w:sz w:val="32"/>
          <w:szCs w:val="32"/>
          <w:lang w:val="en-US" w:eastAsia="zh-CN"/>
        </w:rPr>
        <w:t>2021年下达我局优抚工作经费2万元</w:t>
      </w:r>
      <w:r>
        <w:rPr>
          <w:rFonts w:hint="eastAsia" w:ascii="仿宋_GB2312" w:eastAsia="仿宋_GB2312" w:cs="仿宋_GB2312"/>
          <w:color w:val="000000"/>
          <w:sz w:val="32"/>
          <w:szCs w:val="32"/>
          <w:lang w:eastAsia="zh-CN"/>
        </w:rPr>
        <w:t>，执行率为</w:t>
      </w:r>
      <w:r>
        <w:rPr>
          <w:rFonts w:hint="eastAsia" w:ascii="仿宋_GB2312" w:eastAsia="仿宋_GB2312" w:cs="仿宋_GB2312"/>
          <w:color w:val="000000"/>
          <w:sz w:val="32"/>
          <w:szCs w:val="32"/>
          <w:lang w:val="en-US" w:eastAsia="zh-CN"/>
        </w:rPr>
        <w:t>100%。有效</w:t>
      </w:r>
      <w:r>
        <w:rPr>
          <w:rFonts w:hint="eastAsia" w:ascii="仿宋_GB2312" w:eastAsia="仿宋_GB2312" w:cs="仿宋_GB2312"/>
          <w:color w:val="000000"/>
          <w:sz w:val="32"/>
          <w:szCs w:val="32"/>
          <w:lang w:eastAsia="zh-CN"/>
        </w:rPr>
        <w:t>保障优抚对象的合法权益，维护优抚对象的切身利益，切实提升政府为民办事的良好形象。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1.社会效益分析。保障优抚对象切身利益，</w:t>
      </w:r>
      <w:r>
        <w:rPr>
          <w:rFonts w:hint="eastAsia" w:ascii="仿宋_GB2312" w:eastAsia="仿宋_GB2312" w:cs="仿宋_GB2312"/>
          <w:color w:val="000000"/>
          <w:sz w:val="32"/>
          <w:szCs w:val="32"/>
        </w:rPr>
        <w:t>维护退役军人群体稳定</w:t>
      </w:r>
      <w:r>
        <w:rPr>
          <w:rFonts w:hint="eastAsia" w:asci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2.可持续效益分析。</w:t>
      </w:r>
      <w:r>
        <w:rPr>
          <w:rFonts w:hint="eastAsia" w:ascii="仿宋_GB2312" w:eastAsia="仿宋_GB2312" w:cs="仿宋_GB2312"/>
          <w:color w:val="000000"/>
          <w:sz w:val="32"/>
          <w:szCs w:val="32"/>
        </w:rPr>
        <w:t>积极为优抚对象搞好服务保障，促进双拥工作开展。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.满意度指标完成情况分析</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通过调查走访了解</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优抚对象满意</w:t>
      </w:r>
      <w:r>
        <w:rPr>
          <w:rFonts w:hint="eastAsia" w:ascii="仿宋_GB2312" w:eastAsia="仿宋_GB2312" w:cs="仿宋_GB2312"/>
          <w:color w:val="000000"/>
          <w:sz w:val="32"/>
          <w:szCs w:val="32"/>
          <w:lang w:eastAsia="zh-CN"/>
        </w:rPr>
        <w:t>率为</w:t>
      </w:r>
      <w:r>
        <w:rPr>
          <w:rFonts w:hint="eastAsia" w:ascii="仿宋_GB2312" w:eastAsia="仿宋_GB2312" w:cs="仿宋_GB2312"/>
          <w:color w:val="000000"/>
          <w:sz w:val="32"/>
          <w:szCs w:val="32"/>
          <w:lang w:val="en-US" w:eastAsia="zh-CN"/>
        </w:rPr>
        <w:t>90%</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eastAsia="黑体" w:cs="黑体"/>
          <w:b w:val="0"/>
          <w:bCs w:val="0"/>
          <w:sz w:val="32"/>
          <w:szCs w:val="32"/>
        </w:rPr>
      </w:pPr>
      <w:r>
        <w:rPr>
          <w:rFonts w:hint="eastAsia" w:ascii="黑体" w:eastAsia="黑体" w:cs="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color w:val="000000"/>
          <w:sz w:val="32"/>
          <w:szCs w:val="32"/>
          <w:lang w:eastAsia="zh-CN"/>
        </w:rPr>
        <w:t>通过项目实施，严格</w:t>
      </w:r>
      <w:r>
        <w:rPr>
          <w:rFonts w:hint="eastAsia" w:ascii="仿宋_GB2312" w:eastAsia="仿宋_GB2312" w:cs="仿宋_GB2312"/>
          <w:color w:val="000000"/>
          <w:sz w:val="32"/>
          <w:szCs w:val="32"/>
        </w:rPr>
        <w:t>落实优待抚恤政策，保障</w:t>
      </w:r>
      <w:r>
        <w:rPr>
          <w:rFonts w:hint="eastAsia" w:ascii="仿宋_GB2312" w:eastAsia="仿宋_GB2312" w:cs="仿宋_GB2312"/>
          <w:color w:val="000000"/>
          <w:sz w:val="32"/>
          <w:szCs w:val="32"/>
          <w:lang w:eastAsia="zh-CN"/>
        </w:rPr>
        <w:t>了</w:t>
      </w:r>
      <w:r>
        <w:rPr>
          <w:rFonts w:hint="eastAsia" w:ascii="仿宋_GB2312" w:eastAsia="仿宋_GB2312" w:cs="仿宋_GB2312"/>
          <w:color w:val="000000"/>
          <w:sz w:val="32"/>
          <w:szCs w:val="32"/>
        </w:rPr>
        <w:t>各类优抚对象切身利益，</w:t>
      </w:r>
      <w:r>
        <w:rPr>
          <w:rFonts w:hint="eastAsia" w:ascii="仿宋_GB2312" w:eastAsia="仿宋_GB2312" w:cs="仿宋_GB2312"/>
          <w:color w:val="000000"/>
          <w:sz w:val="32"/>
          <w:szCs w:val="32"/>
          <w:lang w:eastAsia="zh-CN"/>
        </w:rPr>
        <w:t>进一步</w:t>
      </w:r>
      <w:r>
        <w:rPr>
          <w:rFonts w:hint="eastAsia" w:ascii="仿宋_GB2312" w:eastAsia="仿宋_GB2312" w:cs="仿宋_GB2312"/>
          <w:color w:val="000000"/>
          <w:sz w:val="32"/>
          <w:szCs w:val="32"/>
        </w:rPr>
        <w:t>提高</w:t>
      </w:r>
      <w:r>
        <w:rPr>
          <w:rFonts w:hint="eastAsia" w:ascii="仿宋_GB2312" w:eastAsia="仿宋_GB2312" w:cs="仿宋_GB2312"/>
          <w:color w:val="000000"/>
          <w:sz w:val="32"/>
          <w:szCs w:val="32"/>
          <w:lang w:eastAsia="zh-CN"/>
        </w:rPr>
        <w:t>了</w:t>
      </w:r>
      <w:r>
        <w:rPr>
          <w:rFonts w:hint="eastAsia" w:ascii="仿宋_GB2312" w:eastAsia="仿宋_GB2312" w:cs="仿宋_GB2312"/>
          <w:color w:val="000000"/>
          <w:sz w:val="32"/>
          <w:szCs w:val="32"/>
        </w:rPr>
        <w:t>优抚对象</w:t>
      </w:r>
      <w:r>
        <w:rPr>
          <w:rFonts w:hint="eastAsia" w:ascii="仿宋_GB2312" w:eastAsia="仿宋_GB2312" w:cs="仿宋_GB2312"/>
          <w:color w:val="000000"/>
          <w:sz w:val="32"/>
          <w:szCs w:val="32"/>
          <w:lang w:eastAsia="zh-CN"/>
        </w:rPr>
        <w:t>的</w:t>
      </w:r>
      <w:r>
        <w:rPr>
          <w:rFonts w:hint="eastAsia" w:ascii="仿宋_GB2312" w:eastAsia="仿宋_GB2312" w:cs="仿宋_GB2312"/>
          <w:color w:val="000000"/>
          <w:sz w:val="32"/>
          <w:szCs w:val="32"/>
        </w:rPr>
        <w:t>生活质量，体现党和政府</w:t>
      </w:r>
      <w:r>
        <w:rPr>
          <w:rFonts w:hint="eastAsia" w:ascii="仿宋_GB2312" w:eastAsia="仿宋_GB2312" w:cs="仿宋_GB2312"/>
          <w:color w:val="000000"/>
          <w:sz w:val="32"/>
          <w:szCs w:val="32"/>
          <w:lang w:eastAsia="zh-CN"/>
        </w:rPr>
        <w:t>的</w:t>
      </w:r>
      <w:r>
        <w:rPr>
          <w:rFonts w:hint="eastAsia" w:ascii="仿宋_GB2312" w:eastAsia="仿宋_GB2312" w:cs="仿宋_GB2312"/>
          <w:color w:val="000000"/>
          <w:sz w:val="32"/>
          <w:szCs w:val="32"/>
        </w:rPr>
        <w:t>关心</w:t>
      </w:r>
      <w:r>
        <w:rPr>
          <w:rFonts w:hint="eastAsia" w:ascii="仿宋_GB2312" w:eastAsia="仿宋_GB2312" w:cs="仿宋_GB2312"/>
          <w:color w:val="000000"/>
          <w:sz w:val="32"/>
          <w:szCs w:val="32"/>
          <w:lang w:eastAsia="zh-CN"/>
        </w:rPr>
        <w:t>，</w:t>
      </w:r>
      <w:r>
        <w:rPr>
          <w:rFonts w:hint="eastAsia" w:ascii="仿宋_GB2312" w:eastAsia="仿宋_GB2312" w:cs="仿宋_GB2312"/>
          <w:b w:val="0"/>
          <w:bCs w:val="0"/>
          <w:color w:val="000000"/>
          <w:sz w:val="32"/>
          <w:szCs w:val="32"/>
          <w:lang w:val="en-US" w:eastAsia="zh-CN"/>
        </w:rPr>
        <w:t xml:space="preserve">确保优抚对象群体稳定。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zh-CN"/>
        </w:rPr>
        <w:t>无</w:t>
      </w:r>
      <w:r>
        <w:rPr>
          <w:rFonts w:hint="eastAsia" w:ascii="仿宋_GB2312" w:eastAsia="仿宋_GB2312" w:cs="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eastAsia="楷体_GB2312" w:cs="楷体_GB2312"/>
          <w:b w:val="0"/>
          <w:bCs w:val="0"/>
          <w:sz w:val="32"/>
          <w:szCs w:val="32"/>
          <w:lang w:val="zh-CN"/>
        </w:rPr>
      </w:pPr>
      <w:r>
        <w:rPr>
          <w:rFonts w:hint="eastAsia" w:ascii="楷体_GB2312" w:eastAsia="楷体_GB2312" w:cs="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仿宋_GB2312"/>
          <w:b w:val="0"/>
          <w:bCs w:val="0"/>
          <w:sz w:val="32"/>
          <w:szCs w:val="32"/>
          <w:lang w:val="zh-CN"/>
        </w:rPr>
      </w:pPr>
      <w:r>
        <w:rPr>
          <w:rFonts w:hint="eastAsia" w:ascii="仿宋_GB2312" w:eastAsia="仿宋_GB2312" w:cs="仿宋_GB2312"/>
          <w:b w:val="0"/>
          <w:bCs w:val="0"/>
          <w:sz w:val="32"/>
          <w:szCs w:val="32"/>
          <w:lang w:val="zh-CN"/>
        </w:rPr>
        <w:t>无</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lang w:bidi="ar-SA"/>
        </w:rPr>
      </w:pPr>
    </w:p>
    <w:p>
      <w:pPr>
        <w:pStyle w:val="2"/>
        <w:rPr>
          <w:rFonts w:hint="eastAsia" w:ascii="黑体" w:eastAsia="黑体" w:cs="黑体"/>
          <w:color w:val="auto"/>
          <w:sz w:val="32"/>
          <w:szCs w:val="32"/>
          <w:highlight w:val="none"/>
          <w:lang w:bidi="ar-SA"/>
        </w:rPr>
      </w:pPr>
    </w:p>
    <w:tbl>
      <w:tblPr>
        <w:tblStyle w:val="14"/>
        <w:tblpPr w:leftFromText="180" w:rightFromText="180" w:vertAnchor="text" w:horzAnchor="page" w:tblpX="1300" w:tblpY="848"/>
        <w:tblOverlap w:val="never"/>
        <w:tblW w:w="98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7"/>
        <w:gridCol w:w="960"/>
        <w:gridCol w:w="1484"/>
        <w:gridCol w:w="1562"/>
        <w:gridCol w:w="2218"/>
        <w:gridCol w:w="137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5" w:type="dxa"/>
            <w:gridSpan w:val="6"/>
            <w:tcBorders>
              <w:top w:val="nil"/>
              <w:left w:val="nil"/>
              <w:bottom w:val="nil"/>
              <w:right w:val="nil"/>
              <w:tl2br w:val="nil"/>
              <w:tr2bl w:val="nil"/>
            </w:tcBorders>
            <w:vAlign w:val="center"/>
          </w:tcPr>
          <w:p>
            <w:pPr>
              <w:keepNext w:val="0"/>
              <w:keepLines w:val="0"/>
              <w:widowControl/>
              <w:suppressLineNumbers w:val="0"/>
              <w:spacing w:beforeAutospacing="0"/>
              <w:jc w:val="center"/>
              <w:textAlignment w:val="center"/>
              <w:rPr>
                <w:rFonts w:hint="eastAsia" w:ascii="宋体" w:eastAsia="宋体" w:cs="宋体"/>
                <w:b/>
                <w:color w:val="auto"/>
                <w:sz w:val="32"/>
                <w:szCs w:val="32"/>
                <w:u w:val="none"/>
                <w:lang w:bidi="ar-SA"/>
              </w:rPr>
            </w:pPr>
            <w:r>
              <w:rPr>
                <w:rFonts w:hint="eastAsia" w:ascii="宋体" w:eastAsia="宋体" w:cs="宋体"/>
                <w:b/>
                <w:color w:val="auto"/>
                <w:sz w:val="32"/>
                <w:szCs w:val="32"/>
                <w:u w:val="none"/>
                <w:lang w:val="en-US" w:eastAsia="zh-CN" w:bidi="ar-SA"/>
              </w:rPr>
              <w:t>2021年部门预算项目绩效目标自评</w:t>
            </w:r>
            <w:r>
              <w:rPr>
                <w:rFonts w:ascii="宋体" w:eastAsia="宋体" w:cs="宋体"/>
                <w:b/>
                <w:color w:val="auto"/>
                <w:sz w:val="32"/>
                <w:szCs w:val="32"/>
                <w:u w:val="none"/>
                <w:lang w:val="en-US" w:eastAsia="zh-CN" w:bidi="ar-SA"/>
              </w:rPr>
              <w:t>（烈士褒扬工作经费）</w:t>
            </w:r>
          </w:p>
        </w:tc>
        <w:tc>
          <w:tcPr>
            <w:tcW w:w="234" w:type="dxa"/>
            <w:tcBorders>
              <w:top w:val="nil"/>
              <w:left w:val="nil"/>
              <w:bottom w:val="nil"/>
              <w:right w:val="nil"/>
              <w:tl2br w:val="nil"/>
              <w:tr2bl w:val="nil"/>
            </w:tcBorders>
            <w:vAlign w:val="center"/>
          </w:tcPr>
          <w:p>
            <w:pPr>
              <w:keepNext w:val="0"/>
              <w:keepLines w:val="0"/>
              <w:widowControl/>
              <w:suppressLineNumbers w:val="0"/>
              <w:jc w:val="center"/>
              <w:textAlignment w:val="center"/>
              <w:rPr>
                <w:rFonts w:hint="eastAsia" w:ascii="宋体" w:eastAsia="宋体" w:cs="宋体"/>
                <w:b/>
                <w:color w:val="auto"/>
                <w:kern w:val="0"/>
                <w:sz w:val="32"/>
                <w:szCs w:val="3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293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主管部门及代码</w:t>
            </w:r>
          </w:p>
        </w:tc>
        <w:tc>
          <w:tcPr>
            <w:tcW w:w="304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color w:val="auto"/>
                <w:sz w:val="21"/>
                <w:szCs w:val="21"/>
                <w:u w:val="none"/>
                <w:lang w:val="en-US" w:eastAsia="zh-CN" w:bidi="ar-SA"/>
              </w:rPr>
            </w:pPr>
            <w:r>
              <w:rPr>
                <w:rFonts w:hint="eastAsia" w:ascii="仿宋_GB2312" w:eastAsia="仿宋_GB2312" w:cs="仿宋_GB2312"/>
                <w:color w:val="auto"/>
                <w:sz w:val="21"/>
                <w:szCs w:val="21"/>
                <w:u w:val="none"/>
                <w:lang w:val="en-US" w:eastAsia="zh-CN" w:bidi="ar-SA"/>
              </w:rPr>
              <w:t>广元市退役军人事务局643001</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实施单位</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color w:val="auto"/>
                <w:sz w:val="21"/>
                <w:szCs w:val="21"/>
                <w:u w:val="none"/>
                <w:lang w:val="en-US" w:eastAsia="zh-CN" w:bidi="ar-SA"/>
              </w:rPr>
            </w:pPr>
            <w:r>
              <w:rPr>
                <w:rFonts w:hint="eastAsia" w:ascii="仿宋_GB2312" w:eastAsia="仿宋_GB2312" w:cs="仿宋_GB2312"/>
                <w:color w:val="auto"/>
                <w:sz w:val="21"/>
                <w:szCs w:val="21"/>
                <w:u w:val="none"/>
                <w:lang w:val="en-US" w:eastAsia="zh-CN" w:bidi="ar-SA"/>
              </w:rPr>
              <w:t>广元市退役军人事务局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2937"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项目预算</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执行情况</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（万元）</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 xml:space="preserve"> 预算数：</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5</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 xml:space="preserve"> 执行数：</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righ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2937"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其中：</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财政拨款</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5</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其中：</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财政拨款</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2937"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其他资金</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0</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其他资金</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完成情况</w:t>
            </w:r>
          </w:p>
        </w:tc>
        <w:tc>
          <w:tcPr>
            <w:tcW w:w="400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预期目标</w:t>
            </w:r>
          </w:p>
        </w:tc>
        <w:tc>
          <w:tcPr>
            <w:tcW w:w="359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4006"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做好李雨阗、何鑫、罗东来三位同志的评烈工作；</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做好烈士纪念设施项目建设工作；</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做好烈士纪念设施核查工作；</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sz w:val="21"/>
                <w:szCs w:val="21"/>
                <w:u w:val="none"/>
                <w:lang w:bidi="ar-SA"/>
              </w:rPr>
            </w:pPr>
            <w:r>
              <w:rPr>
                <w:rFonts w:hint="eastAsia" w:ascii="仿宋_GB2312" w:eastAsia="仿宋_GB2312" w:cs="仿宋_GB2312"/>
                <w:sz w:val="21"/>
                <w:szCs w:val="21"/>
                <w:lang w:bidi="ar-SA"/>
              </w:rPr>
              <w:t>做好森林防灭火督导工作。</w:t>
            </w:r>
          </w:p>
        </w:tc>
        <w:tc>
          <w:tcPr>
            <w:tcW w:w="3592" w:type="dxa"/>
            <w:gridSpan w:val="2"/>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sz w:val="21"/>
                <w:szCs w:val="21"/>
                <w:u w:val="none"/>
                <w:lang w:bidi="ar-SA"/>
              </w:rPr>
            </w:pPr>
            <w:r>
              <w:rPr>
                <w:rFonts w:hint="eastAsia" w:ascii="仿宋_GB2312" w:eastAsia="仿宋_GB2312" w:cs="仿宋_GB2312"/>
                <w:sz w:val="21"/>
                <w:szCs w:val="21"/>
                <w:lang w:val="en-US" w:eastAsia="zh-CN" w:bidi="ar-SA"/>
              </w:rPr>
              <w:t>完成3位烈士评定工作；完成对4个烈士纪念设施的市级级别认定，完成4个烈士陵园建设项目被事务部批准；市烈士陵园改扩建项目争取到中央预算资金；完成市烈士陵园陈列馆展陈项目和朝天区烈士陵园修缮改造项目两个纳入省市30件民生实事项目；完成县级以下烈士纪念设施整修工程；完成烈士纪念设施初步核查；完成森林防灭火督查工作，确保联系督导县区区域平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restart"/>
            <w:tcBorders>
              <w:top w:val="single" w:color="000000" w:sz="4" w:space="0"/>
              <w:left w:val="single" w:color="000000" w:sz="4" w:space="0"/>
              <w:bottom w:val="nil"/>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年度绩效指标完成情况</w:t>
            </w:r>
          </w:p>
        </w:tc>
        <w:tc>
          <w:tcPr>
            <w:tcW w:w="960" w:type="dxa"/>
            <w:tcBorders>
              <w:top w:val="single" w:color="000000" w:sz="4" w:space="0"/>
              <w:left w:val="nil"/>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一级</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二级</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三级</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预期指标值</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完成</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48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数量指标</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做好烈士评定工作</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完成三位烈士的评定工作</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484"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做好烈士纪念设施工作</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做好烈士纪念</w:t>
            </w:r>
            <w:r>
              <w:rPr>
                <w:rFonts w:hint="eastAsia" w:ascii="仿宋_GB2312" w:eastAsia="仿宋_GB2312" w:cs="仿宋_GB2312"/>
                <w:sz w:val="21"/>
                <w:szCs w:val="21"/>
                <w:lang w:eastAsia="zh-CN" w:bidi="ar-SA"/>
              </w:rPr>
              <w:t>设施</w:t>
            </w:r>
            <w:r>
              <w:rPr>
                <w:rFonts w:hint="eastAsia" w:ascii="仿宋_GB2312" w:eastAsia="仿宋_GB2312" w:cs="仿宋_GB2312"/>
                <w:sz w:val="21"/>
                <w:szCs w:val="21"/>
                <w:lang w:bidi="ar-SA"/>
              </w:rPr>
              <w:t>管理修缮建设等工作</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484"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做好民生实事项目</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完成2021年省市定民生实事项目建设</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484"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做好烈士纪念设施核查工作</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完成对全市烈士纪念设施的核查</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质量指标</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全面完成年度工作任务</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p>
        </w:tc>
        <w:tc>
          <w:tcPr>
            <w:tcW w:w="137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时效指标</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2021年</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全年</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成本指标</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5万元</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 xml:space="preserve"> 100%</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效益</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社会效益  指标</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sz w:val="21"/>
                <w:szCs w:val="21"/>
                <w:lang w:bidi="ar-SA"/>
              </w:rPr>
              <w:t>提高社会群众关于褒扬纪念工作的知晓率和参与度</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≥96%</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可持续影响 指标</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形成传承红色文化、弘扬烈士精神</w:t>
            </w:r>
            <w:r>
              <w:rPr>
                <w:rFonts w:hint="eastAsia" w:ascii="仿宋_GB2312" w:eastAsia="仿宋_GB2312" w:cs="仿宋_GB2312"/>
                <w:sz w:val="21"/>
                <w:szCs w:val="21"/>
                <w:lang w:eastAsia="zh-CN" w:bidi="ar-SA"/>
              </w:rPr>
              <w:t>的</w:t>
            </w:r>
            <w:r>
              <w:rPr>
                <w:rFonts w:hint="eastAsia" w:ascii="仿宋_GB2312" w:eastAsia="仿宋_GB2312" w:cs="仿宋_GB2312"/>
                <w:sz w:val="21"/>
                <w:szCs w:val="21"/>
                <w:lang w:bidi="ar-SA"/>
              </w:rPr>
              <w:t>社会风尚</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长期</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single" w:color="000000" w:sz="4" w:space="0"/>
              <w:right w:val="single" w:color="000000" w:sz="4" w:space="0"/>
              <w:tl2br w:val="nil"/>
              <w:tr2bl w:val="nil"/>
            </w:tcBorders>
            <w:vAlign w:val="center"/>
          </w:tcPr>
          <w:p/>
        </w:tc>
        <w:tc>
          <w:tcPr>
            <w:tcW w:w="96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满意</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度指标</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ind w:firstLine="210" w:firstLineChars="100"/>
              <w:textAlignment w:val="bottom"/>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满意度</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5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社会群体满意度</w:t>
            </w:r>
          </w:p>
        </w:tc>
        <w:tc>
          <w:tcPr>
            <w:tcW w:w="221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≥98%</w:t>
            </w:r>
          </w:p>
        </w:tc>
        <w:tc>
          <w:tcPr>
            <w:tcW w:w="13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≥98%</w:t>
            </w:r>
          </w:p>
        </w:tc>
      </w:tr>
    </w:tbl>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bidi="ar-SA"/>
        </w:rPr>
      </w:pPr>
      <w:r>
        <w:rPr>
          <w:rFonts w:hint="eastAsia" w:ascii="黑体" w:eastAsia="黑体" w:cs="黑体"/>
          <w:color w:val="auto"/>
          <w:sz w:val="32"/>
          <w:szCs w:val="32"/>
          <w:highlight w:val="none"/>
          <w:lang w:bidi="ar-SA"/>
        </w:rPr>
        <w:t>附</w:t>
      </w:r>
      <w:r>
        <w:rPr>
          <w:rFonts w:hint="eastAsia" w:ascii="黑体" w:eastAsia="黑体" w:cs="黑体"/>
          <w:color w:val="auto"/>
          <w:sz w:val="32"/>
          <w:szCs w:val="32"/>
          <w:highlight w:val="none"/>
          <w:lang w:val="en-US" w:eastAsia="zh-CN" w:bidi="ar-SA"/>
        </w:rPr>
        <w:t>表</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bidi="ar-SA"/>
        </w:rPr>
      </w:pPr>
      <w:r>
        <w:rPr>
          <w:rFonts w:hint="eastAsia" w:ascii="黑体" w:eastAsia="黑体" w:cs="黑体"/>
          <w:color w:val="auto"/>
          <w:sz w:val="32"/>
          <w:szCs w:val="32"/>
          <w:highlight w:val="none"/>
          <w:lang w:bidi="ar-SA"/>
        </w:rPr>
        <w:t>附</w:t>
      </w:r>
      <w:r>
        <w:rPr>
          <w:rFonts w:hint="eastAsia" w:ascii="黑体" w:eastAsia="黑体" w:cs="黑体"/>
          <w:color w:val="auto"/>
          <w:sz w:val="32"/>
          <w:szCs w:val="32"/>
          <w:highlight w:val="none"/>
          <w:lang w:val="en-US" w:eastAsia="zh-CN" w:bidi="ar-SA"/>
        </w:rPr>
        <w:t>表</w:t>
      </w:r>
    </w:p>
    <w:tbl>
      <w:tblPr>
        <w:tblStyle w:val="14"/>
        <w:tblpPr w:leftFromText="180" w:rightFromText="180" w:vertAnchor="text" w:horzAnchor="page" w:tblpX="1306" w:tblpY="443"/>
        <w:tblOverlap w:val="never"/>
        <w:tblW w:w="9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7"/>
        <w:gridCol w:w="1142"/>
        <w:gridCol w:w="1537"/>
        <w:gridCol w:w="1500"/>
        <w:gridCol w:w="1484"/>
        <w:gridCol w:w="1936"/>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6" w:type="dxa"/>
            <w:gridSpan w:val="6"/>
            <w:tcBorders>
              <w:top w:val="nil"/>
              <w:left w:val="nil"/>
              <w:bottom w:val="nil"/>
              <w:right w:val="nil"/>
              <w:tl2br w:val="nil"/>
              <w:tr2bl w:val="nil"/>
            </w:tcBorders>
            <w:vAlign w:val="center"/>
          </w:tcPr>
          <w:p>
            <w:pPr>
              <w:keepNext w:val="0"/>
              <w:keepLines w:val="0"/>
              <w:widowControl/>
              <w:suppressLineNumbers w:val="0"/>
              <w:spacing w:beforeAutospacing="0"/>
              <w:jc w:val="center"/>
              <w:textAlignment w:val="center"/>
              <w:rPr>
                <w:rFonts w:hint="eastAsia" w:ascii="宋体" w:eastAsia="宋体" w:cs="宋体"/>
                <w:b/>
                <w:color w:val="auto"/>
                <w:sz w:val="32"/>
                <w:szCs w:val="32"/>
                <w:u w:val="none"/>
                <w:lang w:bidi="ar-SA"/>
              </w:rPr>
            </w:pPr>
            <w:r>
              <w:rPr>
                <w:rFonts w:hint="eastAsia" w:ascii="宋体" w:eastAsia="宋体" w:cs="宋体"/>
                <w:b/>
                <w:color w:val="auto"/>
                <w:sz w:val="32"/>
                <w:szCs w:val="32"/>
                <w:u w:val="none"/>
                <w:lang w:val="en-US" w:eastAsia="zh-CN" w:bidi="ar-SA"/>
              </w:rPr>
              <w:t>2021年部门预算项目绩效目标自评</w:t>
            </w:r>
            <w:r>
              <w:rPr>
                <w:rFonts w:ascii="宋体" w:eastAsia="宋体" w:cs="宋体"/>
                <w:b/>
                <w:color w:val="auto"/>
                <w:sz w:val="32"/>
                <w:szCs w:val="32"/>
                <w:u w:val="none"/>
                <w:lang w:val="en-US" w:eastAsia="zh-CN" w:bidi="ar-SA"/>
              </w:rPr>
              <w:t>（双拥</w:t>
            </w:r>
            <w:r>
              <w:rPr>
                <w:rFonts w:hint="eastAsia" w:ascii="宋体" w:cs="宋体"/>
                <w:b/>
                <w:color w:val="auto"/>
                <w:sz w:val="32"/>
                <w:szCs w:val="32"/>
                <w:u w:val="none"/>
                <w:lang w:val="en-US" w:eastAsia="zh-CN" w:bidi="ar-SA"/>
              </w:rPr>
              <w:t>双创</w:t>
            </w:r>
            <w:r>
              <w:rPr>
                <w:rFonts w:ascii="宋体" w:eastAsia="宋体" w:cs="宋体"/>
                <w:b/>
                <w:color w:val="auto"/>
                <w:sz w:val="32"/>
                <w:szCs w:val="32"/>
                <w:u w:val="none"/>
                <w:lang w:val="en-US" w:eastAsia="zh-CN" w:bidi="ar-SA"/>
              </w:rPr>
              <w:t>工作经费）</w:t>
            </w:r>
          </w:p>
        </w:tc>
        <w:tc>
          <w:tcPr>
            <w:tcW w:w="234" w:type="dxa"/>
            <w:tcBorders>
              <w:top w:val="nil"/>
              <w:left w:val="nil"/>
              <w:bottom w:val="nil"/>
              <w:right w:val="nil"/>
              <w:tl2br w:val="nil"/>
              <w:tr2bl w:val="nil"/>
            </w:tcBorders>
            <w:vAlign w:val="center"/>
          </w:tcPr>
          <w:p>
            <w:pPr>
              <w:keepNext w:val="0"/>
              <w:keepLines w:val="0"/>
              <w:widowControl/>
              <w:suppressLineNumbers w:val="0"/>
              <w:jc w:val="center"/>
              <w:textAlignment w:val="center"/>
              <w:rPr>
                <w:rFonts w:hint="eastAsia" w:ascii="宋体" w:eastAsia="宋体" w:cs="宋体"/>
                <w:b/>
                <w:color w:val="auto"/>
                <w:kern w:val="0"/>
                <w:sz w:val="32"/>
                <w:szCs w:val="3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311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主管部门及代码</w:t>
            </w:r>
          </w:p>
        </w:tc>
        <w:tc>
          <w:tcPr>
            <w:tcW w:w="303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color w:val="auto"/>
                <w:sz w:val="21"/>
                <w:szCs w:val="21"/>
                <w:u w:val="none"/>
                <w:lang w:val="en-US" w:eastAsia="zh-CN" w:bidi="ar-SA"/>
              </w:rPr>
            </w:pPr>
            <w:r>
              <w:rPr>
                <w:rFonts w:hint="eastAsia" w:ascii="仿宋_GB2312" w:eastAsia="仿宋_GB2312" w:cs="仿宋_GB2312"/>
                <w:color w:val="auto"/>
                <w:sz w:val="21"/>
                <w:szCs w:val="21"/>
                <w:u w:val="none"/>
                <w:lang w:val="en-US" w:eastAsia="zh-CN" w:bidi="ar-SA"/>
              </w:rPr>
              <w:t>广元市退役军人事务局643001</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实施单位</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color w:val="auto"/>
                <w:sz w:val="21"/>
                <w:szCs w:val="21"/>
                <w:u w:val="none"/>
                <w:lang w:val="en-US" w:eastAsia="zh-CN" w:bidi="ar-SA"/>
              </w:rPr>
            </w:pPr>
            <w:r>
              <w:rPr>
                <w:rFonts w:hint="eastAsia" w:ascii="仿宋_GB2312" w:eastAsia="仿宋_GB2312" w:cs="仿宋_GB2312"/>
                <w:color w:val="auto"/>
                <w:sz w:val="21"/>
                <w:szCs w:val="21"/>
                <w:u w:val="none"/>
                <w:lang w:val="en-US" w:eastAsia="zh-CN" w:bidi="ar-SA"/>
              </w:rPr>
              <w:t>广元市退役军人事务局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3119"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项目预算</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执行情况</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（万元）</w:t>
            </w:r>
          </w:p>
        </w:tc>
        <w:tc>
          <w:tcPr>
            <w:tcW w:w="153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 xml:space="preserve"> 预算数：</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10</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 xml:space="preserve"> 执行数：</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righ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3119"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53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其中：</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财政拨款</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10</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其中：</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财政拨款</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3119"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53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其他资金</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0</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其他资金</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完成情况</w:t>
            </w:r>
          </w:p>
        </w:tc>
        <w:tc>
          <w:tcPr>
            <w:tcW w:w="417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预期目标</w:t>
            </w:r>
          </w:p>
        </w:tc>
        <w:tc>
          <w:tcPr>
            <w:tcW w:w="34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4179" w:type="dxa"/>
            <w:gridSpan w:val="3"/>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rPr>
            </w:pPr>
            <w:r>
              <w:rPr>
                <w:rFonts w:hint="eastAsia" w:ascii="仿宋_GB2312" w:eastAsia="仿宋_GB2312" w:cs="仿宋_GB2312"/>
                <w:sz w:val="21"/>
                <w:szCs w:val="21"/>
              </w:rPr>
              <w:t>1.组织召开党委议军会议、军政座谈会议、双拥工作领导小组全体会议、“八一”军地座谈会、双拥专题会商等会议，负责参会人员食宿、会议资料印制、展板制作。</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rPr>
            </w:pPr>
            <w:r>
              <w:rPr>
                <w:rFonts w:hint="eastAsia" w:ascii="仿宋_GB2312" w:eastAsia="仿宋_GB2312" w:cs="仿宋_GB2312"/>
                <w:sz w:val="21"/>
                <w:szCs w:val="21"/>
              </w:rPr>
              <w:t>2.印制双拥宣传资料，制作宣传短片，进行氛围打造。</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rPr>
            </w:pPr>
            <w:r>
              <w:rPr>
                <w:rFonts w:hint="eastAsia" w:ascii="仿宋_GB2312" w:eastAsia="仿宋_GB2312" w:cs="仿宋_GB2312"/>
                <w:sz w:val="21"/>
                <w:szCs w:val="21"/>
              </w:rPr>
              <w:t>3.指导全市双拥工作持续开展。</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rPr>
            </w:pPr>
            <w:r>
              <w:rPr>
                <w:rFonts w:hint="eastAsia" w:ascii="仿宋_GB2312" w:eastAsia="仿宋_GB2312" w:cs="仿宋_GB2312"/>
                <w:sz w:val="21"/>
                <w:szCs w:val="21"/>
              </w:rPr>
              <w:t>4.解决现役军人及退役军人家庭困难，开展走访慰问及常态化联系。</w:t>
            </w:r>
          </w:p>
        </w:tc>
        <w:tc>
          <w:tcPr>
            <w:tcW w:w="3420" w:type="dxa"/>
            <w:gridSpan w:val="2"/>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sz w:val="21"/>
                <w:szCs w:val="21"/>
                <w:u w:val="none"/>
                <w:lang w:bidi="ar-SA"/>
              </w:rPr>
            </w:pPr>
            <w:r>
              <w:rPr>
                <w:rFonts w:hint="eastAsia" w:ascii="仿宋_GB2312" w:eastAsia="仿宋_GB2312" w:cs="仿宋_GB2312"/>
                <w:sz w:val="21"/>
                <w:szCs w:val="21"/>
                <w:lang w:bidi="ar-SA"/>
              </w:rPr>
              <w:t>完成召开春节慰问会、双拥领导小组会；完成在八一等重要节日开展双拥宣传；对困难现役军人家庭开展慰问。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restart"/>
            <w:tcBorders>
              <w:top w:val="single" w:color="000000" w:sz="4" w:space="0"/>
              <w:left w:val="single" w:color="000000" w:sz="4" w:space="0"/>
              <w:bottom w:val="nil"/>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年度绩效指标完成情况</w:t>
            </w:r>
          </w:p>
        </w:tc>
        <w:tc>
          <w:tcPr>
            <w:tcW w:w="1142" w:type="dxa"/>
            <w:tcBorders>
              <w:top w:val="single" w:color="000000" w:sz="4" w:space="0"/>
              <w:left w:val="nil"/>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一级</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53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二级</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三级</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预期指标值</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完成</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53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数量指标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做好双拥会议</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召开春节、八一慰问会</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537"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00" w:type="dxa"/>
            <w:tcBorders>
              <w:top w:val="single" w:color="000000" w:sz="4" w:space="0"/>
              <w:left w:val="single" w:color="000000" w:sz="4" w:space="0"/>
              <w:bottom w:val="single" w:color="000000" w:sz="4" w:space="0"/>
              <w:right w:val="single" w:color="000000" w:sz="4" w:space="0"/>
              <w:tl2br w:val="nil"/>
              <w:tr2bl w:val="nil"/>
            </w:tcBorders>
          </w:tcPr>
          <w:p>
            <w:pPr>
              <w:keepNext w:val="0"/>
              <w:keepLines w:val="0"/>
              <w:pageBreakBefore w:val="0"/>
              <w:widowControl w:val="0"/>
              <w:suppressLineNumbers w:val="0"/>
              <w:kinsoku/>
              <w:wordWrap/>
              <w:overflowPunct/>
              <w:topLinePunct w:val="0"/>
              <w:autoSpaceDE/>
              <w:autoSpaceDN/>
              <w:bidi w:val="0"/>
              <w:adjustRightInd/>
              <w:snapToGrid/>
              <w:spacing w:line="260" w:lineRule="exac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在重要节点开展双拥宣传</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在八一等重要节日开展双拥宣传</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537"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对困难现役军人家庭开展慰问。</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对困难现役军人家庭进行慰问</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37"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质量指标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全面完成各项双拥工作</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按年度目标做好双拥工作</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37"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时效指标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2021年</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全年</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top"/>
              <w:rPr>
                <w:rFonts w:hint="eastAsia" w:ascii="仿宋_GB2312" w:eastAsia="仿宋_GB2312" w:cs="仿宋_GB2312"/>
                <w:sz w:val="21"/>
                <w:szCs w:val="21"/>
                <w:lang w:bidi="ar-SA"/>
              </w:rPr>
            </w:pPr>
            <w:r>
              <w:rPr>
                <w:rFonts w:hint="eastAsia" w:ascii="仿宋_GB2312" w:eastAsia="仿宋_GB2312" w:cs="仿宋_GB2312"/>
                <w:sz w:val="21"/>
                <w:szCs w:val="21"/>
                <w:lang w:bidi="ar-SA"/>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37"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成本指标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sz w:val="21"/>
                <w:szCs w:val="21"/>
                <w:lang w:bidi="ar-SA"/>
              </w:rPr>
            </w:pPr>
            <w:r>
              <w:rPr>
                <w:rFonts w:hint="eastAsia" w:ascii="仿宋_GB2312" w:eastAsia="仿宋_GB2312" w:cs="仿宋_GB2312"/>
                <w:sz w:val="21"/>
                <w:szCs w:val="21"/>
                <w:lang w:bidi="ar-SA"/>
              </w:rPr>
              <w:t>10万元</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sz w:val="21"/>
                <w:szCs w:val="21"/>
                <w:lang w:bidi="ar-SA"/>
              </w:rPr>
            </w:pPr>
            <w:r>
              <w:rPr>
                <w:rFonts w:hint="eastAsia" w:ascii="仿宋_GB2312" w:eastAsia="仿宋_GB2312" w:cs="仿宋_GB2312"/>
                <w:sz w:val="21"/>
                <w:szCs w:val="21"/>
                <w:lang w:bidi="ar-SA"/>
              </w:rPr>
              <w:t>100%</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sz w:val="21"/>
                <w:szCs w:val="21"/>
                <w:lang w:bidi="ar-SA"/>
              </w:rPr>
            </w:pPr>
            <w:r>
              <w:rPr>
                <w:rFonts w:hint="eastAsia" w:ascii="仿宋_GB2312" w:eastAsia="仿宋_GB2312" w:cs="仿宋_GB2312"/>
                <w:sz w:val="21"/>
                <w:szCs w:val="21"/>
                <w:lang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效益</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53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社会效益指标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sz w:val="21"/>
                <w:szCs w:val="21"/>
                <w:lang w:val="en-US" w:eastAsia="zh-CN" w:bidi="ar-SA"/>
              </w:rPr>
              <w:t>提高社会群众关于双拥工作的知晓率</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sz w:val="21"/>
                <w:szCs w:val="21"/>
                <w:lang w:bidi="ar-SA"/>
              </w:rPr>
            </w:pPr>
            <w:r>
              <w:rPr>
                <w:rFonts w:hint="eastAsia" w:ascii="仿宋_GB2312" w:eastAsia="仿宋_GB2312" w:cs="仿宋_GB2312"/>
                <w:sz w:val="21"/>
                <w:szCs w:val="21"/>
                <w:lang w:bidi="ar-SA"/>
              </w:rPr>
              <w:t>≥98%</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sz w:val="21"/>
                <w:szCs w:val="21"/>
                <w:lang w:bidi="ar-SA"/>
              </w:rPr>
            </w:pPr>
            <w:r>
              <w:rPr>
                <w:rFonts w:hint="eastAsia" w:ascii="仿宋_GB2312" w:eastAsia="仿宋_GB2312" w:cs="仿宋_GB2312"/>
                <w:sz w:val="21"/>
                <w:szCs w:val="21"/>
                <w:lang w:bidi="ar-SA"/>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nil"/>
              <w:right w:val="single" w:color="000000" w:sz="4" w:space="0"/>
              <w:tl2br w:val="nil"/>
              <w:tr2bl w:val="nil"/>
            </w:tcBorders>
            <w:vAlign w:val="center"/>
          </w:tcPr>
          <w:p/>
        </w:tc>
        <w:tc>
          <w:tcPr>
            <w:tcW w:w="114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kern w:val="0"/>
                <w:sz w:val="21"/>
                <w:szCs w:val="21"/>
                <w:u w:val="none"/>
                <w:lang w:val="en-US" w:eastAsia="zh-CN" w:bidi="ar-SA"/>
              </w:rPr>
            </w:pPr>
          </w:p>
        </w:tc>
        <w:tc>
          <w:tcPr>
            <w:tcW w:w="1537" w:type="dxa"/>
            <w:vMerge w:val="continue"/>
            <w:tcBorders>
              <w:top w:val="single" w:color="000000" w:sz="4" w:space="0"/>
              <w:left w:val="single" w:color="000000" w:sz="4" w:space="0"/>
              <w:bottom w:val="single" w:color="000000" w:sz="4" w:space="0"/>
              <w:right w:val="single" w:color="000000" w:sz="4" w:space="0"/>
              <w:tl2br w:val="nil"/>
              <w:tr2bl w:val="nil"/>
            </w:tcBorders>
            <w:vAlign w:val="bottom"/>
          </w:tcP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sz w:val="21"/>
                <w:szCs w:val="21"/>
                <w:lang w:val="en-US" w:eastAsia="zh-CN" w:bidi="ar-SA"/>
              </w:rPr>
            </w:pPr>
            <w:r>
              <w:rPr>
                <w:rFonts w:hint="eastAsia" w:ascii="仿宋_GB2312" w:eastAsia="仿宋_GB2312" w:cs="仿宋_GB2312"/>
                <w:sz w:val="21"/>
                <w:szCs w:val="21"/>
                <w:lang w:val="en-US" w:eastAsia="zh-CN" w:bidi="ar-SA"/>
              </w:rPr>
              <w:t>支持国防和军队建设、促进社会和</w:t>
            </w:r>
            <w:r>
              <w:rPr>
                <w:rFonts w:hint="eastAsia" w:ascii="仿宋_GB2312" w:eastAsia="仿宋_GB2312" w:cs="仿宋_GB2312"/>
                <w:sz w:val="21"/>
                <w:szCs w:val="21"/>
                <w:lang w:bidi="ar-SA"/>
              </w:rPr>
              <w:t>谐稳定，在全社会积极营造拥军、爱军氛围</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sz w:val="21"/>
                <w:szCs w:val="21"/>
                <w:lang w:bidi="ar-SA"/>
              </w:rPr>
            </w:pPr>
            <w:r>
              <w:rPr>
                <w:rFonts w:hint="eastAsia" w:ascii="仿宋_GB2312" w:eastAsia="仿宋_GB2312" w:cs="仿宋_GB2312"/>
                <w:sz w:val="21"/>
                <w:szCs w:val="21"/>
                <w:lang w:bidi="ar-SA"/>
              </w:rPr>
              <w:t>长期</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sz w:val="21"/>
                <w:szCs w:val="21"/>
                <w:lang w:bidi="ar-SA"/>
              </w:rPr>
            </w:pPr>
            <w:r>
              <w:rPr>
                <w:rFonts w:hint="eastAsia" w:ascii="仿宋_GB2312" w:eastAsia="仿宋_GB2312" w:cs="仿宋_GB2312"/>
                <w:sz w:val="21"/>
                <w:szCs w:val="21"/>
                <w:lang w:bidi="ar-SA"/>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977" w:type="dxa"/>
            <w:vMerge w:val="continue"/>
            <w:tcBorders>
              <w:top w:val="nil"/>
              <w:left w:val="single" w:color="000000" w:sz="4" w:space="0"/>
              <w:bottom w:val="single" w:color="000000" w:sz="4" w:space="0"/>
              <w:right w:val="single" w:color="000000" w:sz="4" w:space="0"/>
              <w:tl2br w:val="nil"/>
              <w:tr2bl w:val="nil"/>
            </w:tcBorders>
            <w:vAlign w:val="center"/>
          </w:tcPr>
          <w:p/>
        </w:tc>
        <w:tc>
          <w:tcPr>
            <w:tcW w:w="1142"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满意</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度指标</w:t>
            </w:r>
          </w:p>
        </w:tc>
        <w:tc>
          <w:tcPr>
            <w:tcW w:w="1537"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kern w:val="0"/>
                <w:sz w:val="21"/>
                <w:szCs w:val="21"/>
                <w:u w:val="none"/>
                <w:lang w:val="en-US" w:eastAsia="zh-CN" w:bidi="ar-SA"/>
              </w:rPr>
            </w:pPr>
            <w:r>
              <w:rPr>
                <w:rFonts w:hint="eastAsia" w:ascii="仿宋_GB2312" w:eastAsia="仿宋_GB2312" w:cs="仿宋_GB2312"/>
                <w:color w:val="auto"/>
                <w:kern w:val="0"/>
                <w:sz w:val="21"/>
                <w:szCs w:val="21"/>
                <w:u w:val="none"/>
                <w:lang w:val="en-US" w:eastAsia="zh-CN" w:bidi="ar-SA"/>
              </w:rPr>
              <w:t>满意度</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bidi="ar-SA"/>
              </w:rPr>
              <w:t>指标</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bottom"/>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sz w:val="21"/>
                <w:szCs w:val="21"/>
                <w:lang w:bidi="ar-SA"/>
              </w:rPr>
              <w:t>社会群体及部队满意</w:t>
            </w:r>
          </w:p>
        </w:tc>
        <w:tc>
          <w:tcPr>
            <w:tcW w:w="148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sz w:val="21"/>
                <w:szCs w:val="21"/>
                <w:lang w:bidi="ar-SA"/>
              </w:rPr>
            </w:pPr>
            <w:r>
              <w:rPr>
                <w:rFonts w:hint="eastAsia" w:ascii="仿宋_GB2312" w:eastAsia="仿宋_GB2312" w:cs="仿宋_GB2312"/>
                <w:sz w:val="21"/>
                <w:szCs w:val="21"/>
                <w:lang w:bidi="ar-SA"/>
              </w:rPr>
              <w:t>≥98%</w:t>
            </w:r>
          </w:p>
        </w:tc>
        <w:tc>
          <w:tcPr>
            <w:tcW w:w="19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sz w:val="21"/>
                <w:szCs w:val="21"/>
                <w:lang w:bidi="ar-SA"/>
              </w:rPr>
            </w:pPr>
            <w:r>
              <w:rPr>
                <w:rFonts w:hint="eastAsia" w:ascii="仿宋_GB2312" w:eastAsia="仿宋_GB2312" w:cs="仿宋_GB2312"/>
                <w:sz w:val="21"/>
                <w:szCs w:val="21"/>
                <w:lang w:bidi="ar-SA"/>
              </w:rPr>
              <w:t>≥98%</w:t>
            </w:r>
          </w:p>
        </w:tc>
      </w:tr>
    </w:tbl>
    <w:tbl>
      <w:tblPr>
        <w:tblStyle w:val="14"/>
        <w:tblpPr w:leftFromText="180" w:rightFromText="180" w:vertAnchor="text" w:horzAnchor="page" w:tblpX="1313" w:tblpY="243"/>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5"/>
        <w:gridCol w:w="1170"/>
        <w:gridCol w:w="1675"/>
        <w:gridCol w:w="1823"/>
        <w:gridCol w:w="1368"/>
        <w:gridCol w:w="1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77" w:type="dxa"/>
            <w:gridSpan w:val="6"/>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bidi="ar-SA"/>
              </w:rPr>
            </w:pPr>
            <w:r>
              <w:rPr>
                <w:rFonts w:hint="eastAsia" w:ascii="黑体" w:eastAsia="黑体" w:cs="黑体"/>
                <w:color w:val="auto"/>
                <w:sz w:val="32"/>
                <w:szCs w:val="32"/>
                <w:highlight w:val="none"/>
                <w:lang w:bidi="ar-SA"/>
              </w:rPr>
              <w:t>附</w:t>
            </w:r>
            <w:r>
              <w:rPr>
                <w:rFonts w:hint="eastAsia" w:ascii="黑体" w:eastAsia="黑体" w:cs="黑体"/>
                <w:color w:val="auto"/>
                <w:sz w:val="32"/>
                <w:szCs w:val="32"/>
                <w:highlight w:val="none"/>
                <w:lang w:val="en-US" w:eastAsia="zh-CN" w:bidi="ar-SA"/>
              </w:rPr>
              <w:t>表</w:t>
            </w:r>
          </w:p>
          <w:p>
            <w:pPr>
              <w:keepNext w:val="0"/>
              <w:keepLines w:val="0"/>
              <w:widowControl/>
              <w:suppressLineNumbers w:val="0"/>
              <w:spacing w:beforeAutospacing="0"/>
              <w:jc w:val="both"/>
              <w:textAlignment w:val="center"/>
              <w:rPr>
                <w:rFonts w:hint="eastAsia" w:ascii="宋体" w:eastAsia="宋体" w:cs="宋体"/>
                <w:b/>
                <w:color w:val="auto"/>
                <w:sz w:val="32"/>
                <w:szCs w:val="32"/>
                <w:u w:val="none"/>
                <w:lang w:bidi="ar-SA"/>
              </w:rPr>
            </w:pPr>
            <w:r>
              <w:rPr>
                <w:rFonts w:hint="eastAsia" w:ascii="宋体" w:eastAsia="宋体" w:cs="宋体"/>
                <w:b/>
                <w:color w:val="auto"/>
                <w:sz w:val="32"/>
                <w:szCs w:val="32"/>
                <w:highlight w:val="none"/>
                <w:u w:val="none"/>
                <w:lang w:val="en-US" w:eastAsia="zh-CN" w:bidi="ar-SA"/>
              </w:rPr>
              <w:t>2021年部门预算项目绩效目标自评</w:t>
            </w:r>
            <w:r>
              <w:rPr>
                <w:rFonts w:hint="eastAsia" w:ascii="宋体" w:cs="宋体"/>
                <w:b/>
                <w:color w:val="auto"/>
                <w:sz w:val="32"/>
                <w:szCs w:val="32"/>
                <w:highlight w:val="none"/>
                <w:u w:val="none"/>
                <w:lang w:val="en-US" w:eastAsia="zh-CN" w:bidi="ar-SA"/>
              </w:rPr>
              <w:t>（法制建设及法律顾问经费）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主管部门及代码</w:t>
            </w:r>
          </w:p>
        </w:tc>
        <w:tc>
          <w:tcPr>
            <w:tcW w:w="34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广元市退役军人事务局643001</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实施单位</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sz w:val="24"/>
                <w:szCs w:val="24"/>
                <w:u w:val="none"/>
                <w:lang w:bidi="ar-SA"/>
              </w:rPr>
              <w:t>广元市退役军人事务局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 xml:space="preserve"> 预算数：</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3</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 xml:space="preserve"> 执行数：</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财政拨款</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3</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财政拨款</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其他资金</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sz w:val="24"/>
                <w:szCs w:val="24"/>
                <w:u w:val="none"/>
                <w:lang w:bidi="ar-SA"/>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其他资金</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完成情况</w:t>
            </w:r>
          </w:p>
        </w:tc>
        <w:tc>
          <w:tcPr>
            <w:tcW w:w="455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预期目标</w:t>
            </w:r>
          </w:p>
        </w:tc>
        <w:tc>
          <w:tcPr>
            <w:tcW w:w="304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977"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55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3</w:t>
            </w:r>
          </w:p>
        </w:tc>
        <w:tc>
          <w:tcPr>
            <w:tcW w:w="304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指标</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指标</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预期指标值</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noWrap/>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数量指标</w:t>
            </w:r>
          </w:p>
        </w:tc>
        <w:tc>
          <w:tcPr>
            <w:tcW w:w="17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sz w:val="24"/>
                <w:szCs w:val="24"/>
                <w:u w:val="none"/>
                <w:lang w:bidi="ar-SA"/>
              </w:rPr>
              <w:t>聘请法律顾问</w:t>
            </w:r>
          </w:p>
        </w:tc>
        <w:tc>
          <w:tcPr>
            <w:tcW w:w="13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1个</w:t>
            </w:r>
          </w:p>
        </w:tc>
        <w:tc>
          <w:tcPr>
            <w:tcW w:w="170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质量指标</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sz w:val="24"/>
                <w:szCs w:val="24"/>
                <w:u w:val="none"/>
                <w:lang w:bidi="ar-SA"/>
              </w:rPr>
              <w:t>法律顾问参与本单位法律活动</w:t>
            </w:r>
          </w:p>
        </w:tc>
        <w:tc>
          <w:tcPr>
            <w:tcW w:w="13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eastAsia="zh-CN" w:bidi="ar-SA"/>
              </w:rPr>
            </w:pPr>
            <w:r>
              <w:rPr>
                <w:rFonts w:hint="eastAsia" w:ascii="仿宋_GB2312" w:eastAsia="仿宋_GB2312" w:cs="仿宋_GB2312"/>
                <w:color w:val="auto"/>
                <w:sz w:val="24"/>
                <w:szCs w:val="24"/>
                <w:u w:val="none"/>
                <w:lang w:eastAsia="zh-CN" w:bidi="ar-SA"/>
              </w:rPr>
              <w:t>协助完成本单位相关法律事务工作</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eastAsia="zh-CN"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6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时效指标</w:t>
            </w:r>
          </w:p>
        </w:tc>
        <w:tc>
          <w:tcPr>
            <w:tcW w:w="17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1年</w:t>
            </w:r>
          </w:p>
        </w:tc>
        <w:tc>
          <w:tcPr>
            <w:tcW w:w="13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1年</w:t>
            </w:r>
          </w:p>
        </w:tc>
        <w:tc>
          <w:tcPr>
            <w:tcW w:w="170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eastAsia="zh-CN" w:bidi="ar-SA"/>
              </w:rPr>
            </w:pPr>
            <w:r>
              <w:rPr>
                <w:rFonts w:hint="eastAsia" w:ascii="仿宋_GB2312" w:eastAsia="仿宋_GB2312" w:cs="仿宋_GB2312"/>
                <w:color w:val="auto"/>
                <w:sz w:val="24"/>
                <w:szCs w:val="24"/>
                <w:u w:val="none"/>
                <w:lang w:eastAsia="zh-CN"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6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成本指标</w:t>
            </w:r>
          </w:p>
        </w:tc>
        <w:tc>
          <w:tcPr>
            <w:tcW w:w="17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bottom"/>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社会成本3万</w:t>
            </w:r>
          </w:p>
        </w:tc>
        <w:tc>
          <w:tcPr>
            <w:tcW w:w="13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3万</w:t>
            </w:r>
          </w:p>
        </w:tc>
        <w:tc>
          <w:tcPr>
            <w:tcW w:w="170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977" w:type="dxa"/>
            <w:vMerge w:val="continue"/>
            <w:tcBorders>
              <w:left w:val="single" w:color="000000" w:sz="4" w:space="0"/>
              <w:right w:val="single" w:color="000000" w:sz="4" w:space="0"/>
            </w:tcBorders>
            <w:noWrap/>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经济效益  指标</w:t>
            </w:r>
          </w:p>
        </w:tc>
        <w:tc>
          <w:tcPr>
            <w:tcW w:w="17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bottom"/>
              <w:rPr>
                <w:rFonts w:hint="eastAsia" w:ascii="仿宋_GB2312" w:eastAsia="仿宋_GB2312" w:cs="仿宋_GB2312"/>
                <w:color w:val="auto"/>
                <w:sz w:val="24"/>
                <w:szCs w:val="24"/>
                <w:u w:val="none"/>
                <w:lang w:eastAsia="zh-CN" w:bidi="ar-SA"/>
              </w:rPr>
            </w:pPr>
            <w:r>
              <w:rPr>
                <w:rFonts w:hint="eastAsia" w:ascii="仿宋_GB2312" w:eastAsia="仿宋_GB2312" w:cs="仿宋_GB2312"/>
                <w:color w:val="auto"/>
                <w:sz w:val="24"/>
                <w:szCs w:val="24"/>
                <w:u w:val="none"/>
                <w:lang w:bidi="ar-SA"/>
              </w:rPr>
              <w:t>加强依法行政，推动经济健康发展</w:t>
            </w:r>
          </w:p>
        </w:tc>
        <w:tc>
          <w:tcPr>
            <w:tcW w:w="13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bidi="ar-SA"/>
              </w:rPr>
            </w:pPr>
          </w:p>
        </w:tc>
        <w:tc>
          <w:tcPr>
            <w:tcW w:w="1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eastAsia="zh-CN" w:bidi="ar-SA"/>
              </w:rPr>
            </w:pPr>
            <w:r>
              <w:rPr>
                <w:rFonts w:hint="eastAsia" w:ascii="仿宋_GB2312" w:eastAsia="仿宋_GB2312" w:cs="仿宋_GB2312"/>
                <w:color w:val="auto"/>
                <w:sz w:val="24"/>
                <w:szCs w:val="24"/>
                <w:u w:val="none"/>
                <w:lang w:eastAsia="zh-CN"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6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社会效益  指标</w:t>
            </w:r>
          </w:p>
        </w:tc>
        <w:tc>
          <w:tcPr>
            <w:tcW w:w="17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sz w:val="24"/>
                <w:szCs w:val="24"/>
                <w:u w:val="none"/>
                <w:lang w:bidi="ar-SA"/>
              </w:rPr>
              <w:t>增强机关法治能力</w:t>
            </w:r>
          </w:p>
        </w:tc>
        <w:tc>
          <w:tcPr>
            <w:tcW w:w="13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bidi="ar-SA"/>
              </w:rPr>
            </w:pPr>
          </w:p>
        </w:tc>
        <w:tc>
          <w:tcPr>
            <w:tcW w:w="1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eastAsia="zh-CN" w:bidi="ar-SA"/>
              </w:rPr>
            </w:pPr>
            <w:r>
              <w:rPr>
                <w:rFonts w:hint="eastAsia" w:ascii="仿宋_GB2312" w:eastAsia="仿宋_GB2312" w:cs="仿宋_GB2312"/>
                <w:color w:val="auto"/>
                <w:sz w:val="24"/>
                <w:szCs w:val="24"/>
                <w:u w:val="none"/>
                <w:lang w:eastAsia="zh-CN"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77" w:type="dxa"/>
            <w:vMerge w:val="continue"/>
            <w:tcBorders>
              <w:left w:val="single" w:color="000000" w:sz="4" w:space="0"/>
              <w:right w:val="single" w:color="000000" w:sz="4" w:space="0"/>
            </w:tcBorders>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6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ind w:left="422" w:leftChars="87" w:hanging="240" w:hangingChars="100"/>
              <w:jc w:val="left"/>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生态效益  指标</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rPr>
                <w:rFonts w:hint="eastAsia" w:ascii="仿宋_GB2312" w:eastAsia="仿宋_GB2312" w:cs="仿宋_GB2312"/>
                <w:color w:val="auto"/>
                <w:sz w:val="24"/>
                <w:szCs w:val="24"/>
                <w:u w:val="none"/>
                <w:lang w:eastAsia="zh-CN" w:bidi="ar-SA"/>
              </w:rPr>
            </w:pPr>
            <w:r>
              <w:rPr>
                <w:rFonts w:hint="eastAsia" w:ascii="仿宋_GB2312" w:eastAsia="仿宋_GB2312" w:cs="仿宋_GB2312"/>
                <w:color w:val="auto"/>
                <w:sz w:val="24"/>
                <w:szCs w:val="24"/>
                <w:u w:val="none"/>
                <w:lang w:eastAsia="zh-CN" w:bidi="ar-SA"/>
              </w:rPr>
              <w:t>无</w:t>
            </w:r>
          </w:p>
        </w:tc>
        <w:tc>
          <w:tcPr>
            <w:tcW w:w="13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bidi="ar-SA"/>
              </w:rPr>
            </w:pPr>
          </w:p>
        </w:tc>
        <w:tc>
          <w:tcPr>
            <w:tcW w:w="170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6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可持续影响 指标</w:t>
            </w:r>
          </w:p>
        </w:tc>
        <w:tc>
          <w:tcPr>
            <w:tcW w:w="17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sz w:val="24"/>
                <w:szCs w:val="24"/>
                <w:u w:val="none"/>
                <w:lang w:bidi="ar-SA"/>
              </w:rPr>
              <w:t>提升退役军人事务工作依法行政能力</w:t>
            </w:r>
          </w:p>
        </w:tc>
        <w:tc>
          <w:tcPr>
            <w:tcW w:w="13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bidi="ar-SA"/>
              </w:rPr>
            </w:pPr>
          </w:p>
        </w:tc>
        <w:tc>
          <w:tcPr>
            <w:tcW w:w="170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kern w:val="2"/>
                <w:sz w:val="24"/>
                <w:szCs w:val="24"/>
                <w:u w:val="none"/>
                <w:lang w:val="en-US" w:eastAsia="zh-CN" w:bidi="ar-SA"/>
              </w:rPr>
            </w:pPr>
            <w:r>
              <w:rPr>
                <w:rFonts w:hint="eastAsia" w:ascii="仿宋_GB2312" w:eastAsia="仿宋_GB2312" w:cs="仿宋_GB2312"/>
                <w:color w:val="auto"/>
                <w:sz w:val="24"/>
                <w:szCs w:val="24"/>
                <w:u w:val="none"/>
                <w:lang w:eastAsia="zh-CN" w:bidi="ar-SA"/>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977" w:type="dxa"/>
            <w:vMerge w:val="continue"/>
            <w:tcBorders>
              <w:left w:val="single" w:color="000000" w:sz="4" w:space="0"/>
              <w:bottom w:val="single" w:color="000000" w:sz="4" w:space="0"/>
              <w:right w:val="single" w:color="000000" w:sz="4" w:space="0"/>
            </w:tcBorders>
            <w:noWrap/>
            <w:vAlign w:val="center"/>
          </w:tcPr>
          <w:p/>
        </w:tc>
        <w:tc>
          <w:tcPr>
            <w:tcW w:w="114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eastAsia="仿宋_GB2312" w:cs="仿宋_GB2312"/>
                <w:color w:val="auto"/>
                <w:kern w:val="0"/>
                <w:sz w:val="24"/>
                <w:szCs w:val="24"/>
                <w:u w:val="none"/>
                <w:lang w:val="en-US" w:eastAsia="zh-CN"/>
              </w:rPr>
            </w:pPr>
            <w:r>
              <w:rPr>
                <w:rFonts w:hint="eastAsia" w:ascii="仿宋_GB2312" w:eastAsia="仿宋_GB2312" w:cs="仿宋_GB2312"/>
                <w:color w:val="auto"/>
                <w:kern w:val="0"/>
                <w:sz w:val="24"/>
                <w:szCs w:val="24"/>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kern w:val="0"/>
                <w:sz w:val="24"/>
                <w:szCs w:val="24"/>
                <w:u w:val="none"/>
                <w:lang w:val="en-US" w:eastAsia="zh-CN"/>
              </w:rPr>
              <w:t>指标</w:t>
            </w:r>
          </w:p>
        </w:tc>
        <w:tc>
          <w:tcPr>
            <w:tcW w:w="17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bottom"/>
              <w:rPr>
                <w:rFonts w:hint="eastAsia" w:ascii="仿宋_GB2312" w:eastAsia="仿宋_GB2312" w:cs="仿宋_GB2312"/>
                <w:color w:val="auto"/>
                <w:sz w:val="24"/>
                <w:szCs w:val="24"/>
                <w:u w:val="none"/>
                <w:lang w:bidi="ar-SA"/>
              </w:rPr>
            </w:pPr>
            <w:r>
              <w:rPr>
                <w:rFonts w:hint="eastAsia" w:ascii="仿宋_GB2312" w:eastAsia="仿宋_GB2312" w:cs="仿宋_GB2312"/>
                <w:color w:val="auto"/>
                <w:sz w:val="24"/>
                <w:szCs w:val="24"/>
                <w:u w:val="none"/>
                <w:lang w:bidi="ar-SA"/>
              </w:rPr>
              <w:t>提供法律咨询服务满意率</w:t>
            </w:r>
          </w:p>
        </w:tc>
        <w:tc>
          <w:tcPr>
            <w:tcW w:w="13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bidi="ar-SA"/>
              </w:rPr>
            </w:pPr>
          </w:p>
        </w:tc>
        <w:tc>
          <w:tcPr>
            <w:tcW w:w="170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sz w:val="24"/>
                <w:szCs w:val="24"/>
                <w:u w:val="none"/>
                <w:lang w:val="en-US" w:eastAsia="zh-CN" w:bidi="ar-SA"/>
              </w:rPr>
            </w:pPr>
            <w:r>
              <w:rPr>
                <w:rFonts w:hint="eastAsia" w:ascii="仿宋_GB2312" w:eastAsia="仿宋_GB2312" w:cs="仿宋_GB2312"/>
                <w:color w:val="auto"/>
                <w:sz w:val="24"/>
                <w:szCs w:val="24"/>
                <w:u w:val="none"/>
                <w:lang w:val="en-US" w:eastAsia="zh-CN" w:bidi="ar-SA"/>
              </w:rPr>
              <w:t>100%</w:t>
            </w:r>
          </w:p>
        </w:tc>
      </w:tr>
    </w:tbl>
    <w:p>
      <w:pPr>
        <w:pStyle w:val="2"/>
        <w:rPr>
          <w:rFonts w:hint="eastAsia"/>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bidi="ar-SA"/>
        </w:rPr>
      </w:pPr>
      <w:r>
        <w:rPr>
          <w:rFonts w:hint="eastAsia" w:ascii="黑体" w:eastAsia="黑体" w:cs="黑体"/>
          <w:color w:val="auto"/>
          <w:sz w:val="32"/>
          <w:szCs w:val="32"/>
          <w:highlight w:val="none"/>
          <w:lang w:bidi="ar-SA"/>
        </w:rPr>
        <w:t>附</w:t>
      </w:r>
      <w:r>
        <w:rPr>
          <w:rFonts w:hint="eastAsia" w:ascii="黑体" w:eastAsia="黑体" w:cs="黑体"/>
          <w:color w:val="auto"/>
          <w:sz w:val="32"/>
          <w:szCs w:val="32"/>
          <w:highlight w:val="none"/>
          <w:lang w:val="en-US" w:eastAsia="zh-CN" w:bidi="ar-SA"/>
        </w:rPr>
        <w:t>表</w:t>
      </w:r>
    </w:p>
    <w:tbl>
      <w:tblPr>
        <w:tblStyle w:val="14"/>
        <w:tblpPr w:leftFromText="180" w:rightFromText="180" w:vertAnchor="text" w:horzAnchor="page" w:tblpX="1306" w:tblpY="443"/>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2"/>
        <w:gridCol w:w="1367"/>
        <w:gridCol w:w="1285"/>
        <w:gridCol w:w="1441"/>
        <w:gridCol w:w="1374"/>
        <w:gridCol w:w="235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noWrap/>
            <w:vAlign w:val="center"/>
          </w:tcPr>
          <w:p>
            <w:pPr>
              <w:spacing w:line="600" w:lineRule="exact"/>
              <w:jc w:val="center"/>
              <w:rPr>
                <w:rFonts w:hint="eastAsia" w:ascii="宋体" w:eastAsia="宋体" w:cs="宋体"/>
                <w:b/>
                <w:color w:val="auto"/>
                <w:sz w:val="32"/>
                <w:szCs w:val="32"/>
                <w:u w:val="none"/>
                <w:lang w:bidi="ar-SA"/>
              </w:rPr>
            </w:pPr>
            <w:r>
              <w:rPr>
                <w:rFonts w:hint="eastAsia" w:ascii="宋体" w:eastAsia="宋体" w:cs="宋体"/>
                <w:b/>
                <w:color w:val="auto"/>
                <w:sz w:val="32"/>
                <w:szCs w:val="32"/>
                <w:highlight w:val="none"/>
                <w:u w:val="none"/>
                <w:lang w:val="en-US" w:eastAsia="zh-CN" w:bidi="ar-SA"/>
              </w:rPr>
              <w:t>2021年部门预算项目绩效目标自评（档案管理、保密工作经费）</w:t>
            </w:r>
          </w:p>
        </w:tc>
        <w:tc>
          <w:tcPr>
            <w:tcW w:w="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eastAsia="宋体" w:cs="宋体"/>
                <w:b/>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31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主管部门及代码</w:t>
            </w:r>
          </w:p>
        </w:tc>
        <w:tc>
          <w:tcPr>
            <w:tcW w:w="27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color w:val="auto"/>
                <w:sz w:val="21"/>
                <w:szCs w:val="21"/>
                <w:u w:val="none"/>
                <w:lang w:val="en-US" w:eastAsia="zh-CN" w:bidi="ar-SA"/>
              </w:rPr>
            </w:pPr>
            <w:r>
              <w:rPr>
                <w:rFonts w:hint="eastAsia" w:ascii="仿宋_GB2312" w:eastAsia="仿宋_GB2312" w:cs="仿宋_GB2312"/>
                <w:color w:val="auto"/>
                <w:sz w:val="21"/>
                <w:szCs w:val="21"/>
                <w:u w:val="none"/>
                <w:lang w:val="en-US" w:eastAsia="zh-CN" w:bidi="ar-SA"/>
              </w:rPr>
              <w:t>广元市退役军人事务局643001</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实施单位</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广元市退役军人事务局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rPr>
            </w:pPr>
            <w:r>
              <w:rPr>
                <w:rFonts w:hint="eastAsia" w:ascii="仿宋_GB2312" w:eastAsia="仿宋_GB2312" w:cs="仿宋_GB2312"/>
                <w:color w:val="auto"/>
                <w:kern w:val="0"/>
                <w:sz w:val="21"/>
                <w:szCs w:val="21"/>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rPr>
            </w:pPr>
            <w:r>
              <w:rPr>
                <w:rFonts w:hint="eastAsia" w:ascii="仿宋_GB2312" w:eastAsia="仿宋_GB2312" w:cs="仿宋_GB2312"/>
                <w:color w:val="auto"/>
                <w:kern w:val="0"/>
                <w:sz w:val="21"/>
                <w:szCs w:val="21"/>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（万元）</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 xml:space="preserve"> 预算数：</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2</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 xml:space="preserve"> 执行数：</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tc>
        <w:tc>
          <w:tcPr>
            <w:tcW w:w="1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kern w:val="0"/>
                <w:sz w:val="21"/>
                <w:szCs w:val="21"/>
                <w:u w:val="none"/>
                <w:lang w:val="en-US" w:eastAsia="zh-CN"/>
              </w:rPr>
            </w:pPr>
            <w:r>
              <w:rPr>
                <w:rFonts w:hint="eastAsia" w:ascii="仿宋_GB2312" w:eastAsia="仿宋_GB2312" w:cs="仿宋_GB2312"/>
                <w:color w:val="auto"/>
                <w:kern w:val="0"/>
                <w:sz w:val="21"/>
                <w:szCs w:val="21"/>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财政拨款</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2</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kern w:val="0"/>
                <w:sz w:val="21"/>
                <w:szCs w:val="21"/>
                <w:u w:val="none"/>
                <w:lang w:val="en-US" w:eastAsia="zh-CN"/>
              </w:rPr>
            </w:pPr>
            <w:r>
              <w:rPr>
                <w:rFonts w:hint="eastAsia" w:ascii="仿宋_GB2312" w:eastAsia="仿宋_GB2312" w:cs="仿宋_GB2312"/>
                <w:color w:val="auto"/>
                <w:kern w:val="0"/>
                <w:sz w:val="21"/>
                <w:szCs w:val="21"/>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财政拨款</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tc>
        <w:tc>
          <w:tcPr>
            <w:tcW w:w="1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其他资金</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0</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其他资金</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sz w:val="21"/>
                <w:szCs w:val="21"/>
                <w:u w:val="none"/>
                <w:lang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kern w:val="0"/>
                <w:sz w:val="21"/>
                <w:szCs w:val="21"/>
                <w:u w:val="none"/>
                <w:lang w:val="en-US" w:eastAsia="zh-CN"/>
              </w:rPr>
            </w:pPr>
            <w:r>
              <w:rPr>
                <w:rFonts w:hint="eastAsia" w:ascii="仿宋_GB2312" w:eastAsia="仿宋_GB2312" w:cs="仿宋_GB2312"/>
                <w:color w:val="auto"/>
                <w:kern w:val="0"/>
                <w:sz w:val="21"/>
                <w:szCs w:val="21"/>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完成情况</w:t>
            </w:r>
          </w:p>
        </w:tc>
        <w:tc>
          <w:tcPr>
            <w:tcW w:w="409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预期目标</w:t>
            </w:r>
          </w:p>
        </w:tc>
        <w:tc>
          <w:tcPr>
            <w:tcW w:w="373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093" w:type="dxa"/>
            <w:gridSpan w:val="3"/>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bidi="ar-SA"/>
              </w:rPr>
              <w:t> 加强档案室建设，为确保退役军人事务办公文件及档案安全、规范管理；完成2019-2020年文件归档工作</w:t>
            </w:r>
          </w:p>
        </w:tc>
        <w:tc>
          <w:tcPr>
            <w:tcW w:w="3732" w:type="dxa"/>
            <w:gridSpan w:val="2"/>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13"/>
                <w:sz w:val="21"/>
                <w:szCs w:val="21"/>
                <w:u w:val="none"/>
                <w:lang w:bidi="ar-SA"/>
              </w:rPr>
              <w:t>加强档案室建设，为确保退役军人事务办公文件及档案安全、规范管理；完成整理2019、2020年文件四千余件，封装归档数字化文件973件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年度绩效指标完成情况</w:t>
            </w:r>
          </w:p>
        </w:tc>
        <w:tc>
          <w:tcPr>
            <w:tcW w:w="136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val="en-US" w:eastAsia="zh-CN" w:bidi="ar-SA"/>
              </w:rPr>
            </w:pPr>
            <w:r>
              <w:rPr>
                <w:rFonts w:hint="eastAsia" w:ascii="仿宋_GB2312" w:eastAsia="仿宋_GB2312" w:cs="仿宋_GB2312"/>
                <w:color w:val="auto"/>
                <w:w w:val="80"/>
                <w:sz w:val="21"/>
                <w:szCs w:val="21"/>
                <w:u w:val="none"/>
                <w:lang w:val="en-US" w:eastAsia="zh-CN" w:bidi="ar-SA"/>
              </w:rPr>
              <w:t>一级</w:t>
            </w:r>
          </w:p>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val="en-US" w:eastAsia="zh-CN" w:bidi="ar-SA"/>
              </w:rPr>
              <w:t>指标</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val="en-US" w:eastAsia="zh-CN" w:bidi="ar-SA"/>
              </w:rPr>
            </w:pPr>
            <w:r>
              <w:rPr>
                <w:rFonts w:hint="eastAsia" w:ascii="仿宋_GB2312" w:eastAsia="仿宋_GB2312" w:cs="仿宋_GB2312"/>
                <w:color w:val="auto"/>
                <w:w w:val="80"/>
                <w:sz w:val="21"/>
                <w:szCs w:val="21"/>
                <w:u w:val="none"/>
                <w:lang w:val="en-US" w:eastAsia="zh-CN" w:bidi="ar-SA"/>
              </w:rPr>
              <w:t>二级</w:t>
            </w:r>
          </w:p>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val="en-US" w:eastAsia="zh-CN" w:bidi="ar-SA"/>
              </w:rPr>
              <w:t>指标</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val="en-US" w:eastAsia="zh-CN" w:bidi="ar-SA"/>
              </w:rPr>
            </w:pPr>
            <w:r>
              <w:rPr>
                <w:rFonts w:hint="eastAsia" w:ascii="仿宋_GB2312" w:eastAsia="仿宋_GB2312" w:cs="仿宋_GB2312"/>
                <w:color w:val="auto"/>
                <w:w w:val="80"/>
                <w:sz w:val="21"/>
                <w:szCs w:val="21"/>
                <w:u w:val="none"/>
                <w:lang w:val="en-US" w:eastAsia="zh-CN" w:bidi="ar-SA"/>
              </w:rPr>
              <w:t>三级</w:t>
            </w:r>
          </w:p>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val="en-US" w:eastAsia="zh-CN" w:bidi="ar-SA"/>
              </w:rPr>
              <w:t>指标</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val="en-US" w:eastAsia="zh-CN" w:bidi="ar-SA"/>
              </w:rPr>
              <w:t>预期指标值</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val="en-US" w:eastAsia="zh-CN" w:bidi="ar-SA"/>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continue"/>
            <w:tcBorders>
              <w:left w:val="single" w:color="000000" w:sz="4" w:space="0"/>
              <w:right w:val="single" w:color="000000" w:sz="4" w:space="0"/>
            </w:tcBorders>
            <w:noWrap/>
            <w:vAlign w:val="center"/>
          </w:tcPr>
          <w:p/>
        </w:tc>
        <w:tc>
          <w:tcPr>
            <w:tcW w:w="136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val="en-US" w:eastAsia="zh-CN" w:bidi="ar-SA"/>
              </w:rPr>
            </w:pPr>
            <w:r>
              <w:rPr>
                <w:rFonts w:hint="eastAsia" w:ascii="仿宋_GB2312" w:eastAsia="仿宋_GB2312" w:cs="仿宋_GB2312"/>
                <w:color w:val="auto"/>
                <w:w w:val="80"/>
                <w:sz w:val="21"/>
                <w:szCs w:val="21"/>
                <w:u w:val="none"/>
                <w:lang w:val="en-US" w:eastAsia="zh-CN" w:bidi="ar-SA"/>
              </w:rPr>
              <w:t>完成</w:t>
            </w:r>
          </w:p>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val="en-US" w:eastAsia="zh-CN" w:bidi="ar-SA"/>
              </w:rPr>
              <w:t>指标</w:t>
            </w:r>
          </w:p>
        </w:tc>
        <w:tc>
          <w:tcPr>
            <w:tcW w:w="12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bidi="ar-SA"/>
              </w:rPr>
              <w:t>数量指标</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指标1：整理装订封装归档2019年-2020年文件；指标2：档案数字化建设</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整理装订封装归档2019年文件477件、2020年496件及整理三千余件未归档文件；数字化2019、2020年973件归档文件及图片</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整理装订封装归档2019年文件477件、2020年496件及整理三千余件未归档文件；数字化2019、2020年973件归档文件及图片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continue"/>
            <w:tcBorders>
              <w:left w:val="single" w:color="000000" w:sz="4" w:space="0"/>
              <w:right w:val="single" w:color="000000" w:sz="4" w:space="0"/>
            </w:tcBorders>
            <w:noWrap/>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2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bidi="ar-SA"/>
              </w:rPr>
              <w:t>质量指标</w:t>
            </w:r>
          </w:p>
        </w:tc>
        <w:tc>
          <w:tcPr>
            <w:tcW w:w="144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按要求基本达到规范、安全</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保障档案规范完整归档</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保障档案规范完整归档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continue"/>
            <w:tcBorders>
              <w:left w:val="single" w:color="000000" w:sz="4" w:space="0"/>
              <w:right w:val="single" w:color="000000" w:sz="4" w:space="0"/>
            </w:tcBorders>
            <w:noWrap/>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2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bidi="ar-SA"/>
              </w:rPr>
              <w:t>时效指标</w:t>
            </w:r>
          </w:p>
        </w:tc>
        <w:tc>
          <w:tcPr>
            <w:tcW w:w="144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2021年</w:t>
            </w:r>
            <w:r>
              <w:rPr>
                <w:rFonts w:hint="eastAsia" w:ascii="仿宋_GB2312" w:eastAsia="仿宋_GB2312" w:cs="仿宋_GB2312"/>
                <w:color w:val="auto"/>
                <w:w w:val="80"/>
                <w:kern w:val="13"/>
                <w:sz w:val="21"/>
                <w:szCs w:val="21"/>
                <w:u w:val="none"/>
                <w:lang w:val="en-US" w:eastAsia="zh-CN" w:bidi="ar-SA"/>
              </w:rPr>
              <w:t>1-</w:t>
            </w:r>
            <w:r>
              <w:rPr>
                <w:rFonts w:hint="eastAsia" w:ascii="仿宋_GB2312" w:eastAsia="仿宋_GB2312" w:cs="仿宋_GB2312"/>
                <w:color w:val="auto"/>
                <w:w w:val="80"/>
                <w:kern w:val="13"/>
                <w:sz w:val="21"/>
                <w:szCs w:val="21"/>
                <w:u w:val="none"/>
                <w:lang w:bidi="ar-SA"/>
              </w:rPr>
              <w:t>12月</w:t>
            </w:r>
          </w:p>
        </w:tc>
        <w:tc>
          <w:tcPr>
            <w:tcW w:w="137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1年</w:t>
            </w:r>
          </w:p>
        </w:tc>
        <w:tc>
          <w:tcPr>
            <w:tcW w:w="235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continue"/>
            <w:tcBorders>
              <w:left w:val="single" w:color="000000" w:sz="4" w:space="0"/>
              <w:right w:val="single" w:color="000000" w:sz="4" w:space="0"/>
            </w:tcBorders>
            <w:noWrap/>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2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bidi="ar-SA"/>
              </w:rPr>
              <w:t>成本指标</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 xml:space="preserve"> 整理装订封装归档2019年-2020年文件；指标2：档案数字化建设；指标3：搬运档案文件、保密柜等人工费用</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val="en-US" w:eastAsia="zh-CN" w:bidi="ar-SA"/>
              </w:rPr>
            </w:pPr>
            <w:r>
              <w:rPr>
                <w:rFonts w:hint="eastAsia" w:ascii="仿宋_GB2312" w:eastAsia="仿宋_GB2312" w:cs="仿宋_GB2312"/>
                <w:color w:val="auto"/>
                <w:w w:val="80"/>
                <w:kern w:val="13"/>
                <w:sz w:val="21"/>
                <w:szCs w:val="21"/>
                <w:u w:val="none"/>
                <w:lang w:val="en-US" w:eastAsia="zh-CN" w:bidi="ar-SA"/>
              </w:rPr>
              <w:t>1.82万元</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整理装订封装归档2019年-2020年文件预计1.21万元；指标2：档案数字化建设预计0.54万元；指标3：搬运档案文件、保密柜等人工费用0.07万元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continue"/>
            <w:tcBorders>
              <w:left w:val="single" w:color="000000" w:sz="4" w:space="0"/>
              <w:right w:val="single" w:color="000000" w:sz="4" w:space="0"/>
            </w:tcBorders>
            <w:noWrap/>
            <w:vAlign w:val="center"/>
          </w:tcPr>
          <w:p/>
        </w:tc>
        <w:tc>
          <w:tcPr>
            <w:tcW w:w="136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kern w:val="0"/>
                <w:sz w:val="21"/>
                <w:szCs w:val="21"/>
                <w:u w:val="none"/>
                <w:lang w:val="en-US" w:eastAsia="zh-CN"/>
              </w:rPr>
            </w:pPr>
            <w:r>
              <w:rPr>
                <w:rFonts w:hint="eastAsia" w:ascii="仿宋_GB2312" w:eastAsia="仿宋_GB2312" w:cs="仿宋_GB2312"/>
                <w:color w:val="auto"/>
                <w:kern w:val="0"/>
                <w:sz w:val="21"/>
                <w:szCs w:val="21"/>
                <w:u w:val="none"/>
                <w:lang w:val="en-US" w:eastAsia="zh-CN"/>
              </w:rPr>
              <w:t>效益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指标</w:t>
            </w:r>
          </w:p>
        </w:tc>
        <w:tc>
          <w:tcPr>
            <w:tcW w:w="12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bidi="ar-SA"/>
              </w:rPr>
              <w:t>经济效益指标</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continue"/>
            <w:tcBorders>
              <w:left w:val="single" w:color="000000" w:sz="4" w:space="0"/>
              <w:right w:val="single" w:color="000000" w:sz="4" w:space="0"/>
            </w:tcBorders>
            <w:noWrap/>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2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bidi="ar-SA"/>
              </w:rPr>
              <w:t>社会效益指标</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退役军人事务档案、保密工作开展有序</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促进了档案管理的规范性、安全性</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促进了档案管理的规范性、安全性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continue"/>
            <w:tcBorders>
              <w:left w:val="single" w:color="000000" w:sz="4" w:space="0"/>
              <w:right w:val="single" w:color="000000" w:sz="4" w:space="0"/>
            </w:tcBorders>
            <w:noWrap/>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2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bidi="ar-SA"/>
              </w:rPr>
              <w:t>生态效益指标</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continue"/>
            <w:tcBorders>
              <w:left w:val="single" w:color="000000" w:sz="4" w:space="0"/>
              <w:right w:val="single" w:color="000000" w:sz="4" w:space="0"/>
            </w:tcBorders>
            <w:noWrap/>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2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bidi="ar-SA"/>
              </w:rPr>
              <w:t>可持续影响指标</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长期稳定有序的规范档案管理</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长期</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49" w:hRule="atLeast"/>
        </w:trPr>
        <w:tc>
          <w:tcPr>
            <w:tcW w:w="1752" w:type="dxa"/>
            <w:vMerge w:val="continue"/>
            <w:tcBorders>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kern w:val="0"/>
                <w:sz w:val="21"/>
                <w:szCs w:val="21"/>
                <w:u w:val="none"/>
                <w:lang w:val="en-US" w:eastAsia="zh-CN"/>
              </w:rPr>
            </w:pPr>
            <w:r>
              <w:rPr>
                <w:rFonts w:hint="eastAsia" w:ascii="仿宋_GB2312" w:eastAsia="仿宋_GB2312" w:cs="仿宋_GB2312"/>
                <w:color w:val="auto"/>
                <w:kern w:val="0"/>
                <w:sz w:val="21"/>
                <w:szCs w:val="21"/>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eastAsia="仿宋_GB2312" w:cs="仿宋_GB2312"/>
                <w:color w:val="auto"/>
                <w:sz w:val="21"/>
                <w:szCs w:val="21"/>
                <w:u w:val="none"/>
                <w:lang w:bidi="ar-SA"/>
              </w:rPr>
            </w:pPr>
            <w:r>
              <w:rPr>
                <w:rFonts w:hint="eastAsia" w:ascii="仿宋_GB2312" w:eastAsia="仿宋_GB2312" w:cs="仿宋_GB2312"/>
                <w:color w:val="auto"/>
                <w:kern w:val="0"/>
                <w:sz w:val="21"/>
                <w:szCs w:val="21"/>
                <w:u w:val="none"/>
                <w:lang w:val="en-US" w:eastAsia="zh-CN"/>
              </w:rPr>
              <w:t>度指标</w:t>
            </w:r>
          </w:p>
        </w:tc>
        <w:tc>
          <w:tcPr>
            <w:tcW w:w="128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bidi="ar-SA"/>
              </w:rPr>
              <w:t>满意度指标</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让办公室工作人员满意率</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260" w:lineRule="exact"/>
              <w:jc w:val="left"/>
              <w:textAlignment w:val="top"/>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r>
    </w:tbl>
    <w:p>
      <w:pPr>
        <w:keepNext w:val="0"/>
        <w:keepLines w:val="0"/>
        <w:pageBreakBefore w:val="0"/>
        <w:widowControl/>
        <w:suppressLineNumbers w:val="0"/>
        <w:tabs>
          <w:tab w:val="left" w:pos="520"/>
        </w:tabs>
        <w:kinsoku/>
        <w:wordWrap/>
        <w:overflowPunct/>
        <w:topLinePunct w:val="0"/>
        <w:autoSpaceDE/>
        <w:autoSpaceDN/>
        <w:bidi w:val="0"/>
        <w:adjustRightInd/>
        <w:snapToGrid/>
        <w:spacing w:line="320" w:lineRule="exact"/>
        <w:jc w:val="left"/>
        <w:textAlignment w:val="top"/>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bidi="ar-SA"/>
        </w:rPr>
      </w:pPr>
      <w:r>
        <w:rPr>
          <w:rFonts w:hint="eastAsia" w:ascii="黑体" w:eastAsia="黑体" w:cs="黑体"/>
          <w:color w:val="auto"/>
          <w:sz w:val="32"/>
          <w:szCs w:val="32"/>
          <w:highlight w:val="none"/>
          <w:lang w:bidi="ar-SA"/>
        </w:rPr>
        <w:t>附</w:t>
      </w:r>
      <w:r>
        <w:rPr>
          <w:rFonts w:hint="eastAsia" w:ascii="黑体" w:eastAsia="黑体" w:cs="黑体"/>
          <w:color w:val="auto"/>
          <w:sz w:val="32"/>
          <w:szCs w:val="32"/>
          <w:highlight w:val="none"/>
          <w:lang w:val="en-US" w:eastAsia="zh-CN" w:bidi="ar-SA"/>
        </w:rPr>
        <w:t>表</w:t>
      </w:r>
    </w:p>
    <w:tbl>
      <w:tblPr>
        <w:tblStyle w:val="14"/>
        <w:tblpPr w:leftFromText="180" w:rightFromText="180" w:vertAnchor="text" w:horzAnchor="page" w:tblpX="1306" w:tblpY="443"/>
        <w:tblOverlap w:val="never"/>
        <w:tblW w:w="98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107"/>
        <w:gridCol w:w="1191"/>
        <w:gridCol w:w="1432"/>
        <w:gridCol w:w="1461"/>
        <w:gridCol w:w="1935"/>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42" w:type="dxa"/>
            <w:gridSpan w:val="6"/>
            <w:tcBorders>
              <w:top w:val="nil"/>
              <w:left w:val="nil"/>
              <w:bottom w:val="nil"/>
              <w:right w:val="nil"/>
            </w:tcBorders>
            <w:noWrap/>
            <w:vAlign w:val="center"/>
          </w:tcPr>
          <w:p>
            <w:pPr>
              <w:keepNext w:val="0"/>
              <w:keepLines w:val="0"/>
              <w:widowControl/>
              <w:suppressLineNumbers w:val="0"/>
              <w:spacing w:beforeAutospacing="0"/>
              <w:jc w:val="center"/>
              <w:textAlignment w:val="center"/>
              <w:rPr>
                <w:rFonts w:hint="eastAsia" w:ascii="宋体" w:eastAsia="宋体" w:cs="宋体"/>
                <w:b/>
                <w:color w:val="auto"/>
                <w:sz w:val="32"/>
                <w:szCs w:val="32"/>
                <w:u w:val="none"/>
                <w:lang w:bidi="ar-SA"/>
              </w:rPr>
            </w:pPr>
            <w:r>
              <w:rPr>
                <w:rFonts w:hint="eastAsia" w:ascii="宋体" w:eastAsia="宋体" w:cs="宋体"/>
                <w:b/>
                <w:color w:val="000000"/>
                <w:sz w:val="32"/>
                <w:szCs w:val="32"/>
                <w:highlight w:val="none"/>
                <w:u w:val="none"/>
                <w:lang w:val="en-US" w:eastAsia="zh-CN" w:bidi="ar-SA"/>
              </w:rPr>
              <w:t>2021年部门预算项目绩效目标自评</w:t>
            </w:r>
            <w:r>
              <w:rPr>
                <w:rFonts w:hint="eastAsia" w:ascii="宋体" w:cs="宋体"/>
                <w:b/>
                <w:color w:val="000000"/>
                <w:sz w:val="32"/>
                <w:szCs w:val="32"/>
                <w:highlight w:val="none"/>
                <w:u w:val="none"/>
                <w:lang w:val="en-US" w:eastAsia="zh-CN" w:bidi="ar-SA"/>
              </w:rPr>
              <w:t>（优抚工作经费）</w:t>
            </w:r>
          </w:p>
        </w:tc>
        <w:tc>
          <w:tcPr>
            <w:tcW w:w="766"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eastAsia="宋体" w:cs="宋体"/>
                <w:b/>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254" w:hRule="atLeast"/>
        </w:trPr>
        <w:tc>
          <w:tcPr>
            <w:tcW w:w="30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主管部门及代码</w:t>
            </w:r>
          </w:p>
        </w:tc>
        <w:tc>
          <w:tcPr>
            <w:tcW w:w="26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eastAsia="仿宋_GB2312" w:cs="仿宋_GB2312"/>
                <w:color w:val="auto"/>
                <w:sz w:val="21"/>
                <w:szCs w:val="21"/>
                <w:u w:val="none"/>
                <w:lang w:val="en-US" w:eastAsia="zh-CN" w:bidi="ar-SA"/>
              </w:rPr>
            </w:pPr>
            <w:r>
              <w:rPr>
                <w:rFonts w:hint="eastAsia" w:ascii="仿宋_GB2312" w:eastAsia="仿宋_GB2312" w:cs="仿宋_GB2312"/>
                <w:color w:val="auto"/>
                <w:sz w:val="21"/>
                <w:szCs w:val="21"/>
                <w:u w:val="none"/>
                <w:lang w:val="en-US" w:eastAsia="zh-CN" w:bidi="ar-SA"/>
              </w:rPr>
              <w:t>广元市退役军人事务局643001</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实施单位</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60"/>
                <w:sz w:val="21"/>
                <w:szCs w:val="21"/>
                <w:u w:val="none"/>
                <w:lang w:bidi="ar-SA"/>
              </w:rPr>
              <w:t>广元市退役军人事务局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341" w:hRule="atLeast"/>
        </w:trPr>
        <w:tc>
          <w:tcPr>
            <w:tcW w:w="302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kern w:val="0"/>
                <w:sz w:val="21"/>
                <w:szCs w:val="21"/>
                <w:u w:val="none"/>
                <w:lang w:val="en-US" w:eastAsia="zh-CN"/>
              </w:rPr>
            </w:pPr>
            <w:r>
              <w:rPr>
                <w:rFonts w:hint="eastAsia" w:ascii="仿宋_GB2312" w:eastAsia="仿宋_GB2312" w:cs="仿宋_GB2312"/>
                <w:color w:val="auto"/>
                <w:w w:val="80"/>
                <w:kern w:val="0"/>
                <w:sz w:val="21"/>
                <w:szCs w:val="21"/>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kern w:val="0"/>
                <w:sz w:val="21"/>
                <w:szCs w:val="21"/>
                <w:u w:val="none"/>
                <w:lang w:val="en-US" w:eastAsia="zh-CN"/>
              </w:rPr>
            </w:pPr>
            <w:r>
              <w:rPr>
                <w:rFonts w:hint="eastAsia" w:ascii="仿宋_GB2312" w:eastAsia="仿宋_GB2312" w:cs="仿宋_GB2312"/>
                <w:color w:val="auto"/>
                <w:w w:val="80"/>
                <w:kern w:val="0"/>
                <w:sz w:val="21"/>
                <w:szCs w:val="21"/>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（万元）</w:t>
            </w:r>
          </w:p>
        </w:tc>
        <w:tc>
          <w:tcPr>
            <w:tcW w:w="11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 xml:space="preserve"> 预算数：</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bidi="ar-SA"/>
              </w:rPr>
              <w:t>2</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 xml:space="preserve"> 执行数：</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555" w:hRule="atLeast"/>
        </w:trPr>
        <w:tc>
          <w:tcPr>
            <w:tcW w:w="302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tc>
        <w:tc>
          <w:tcPr>
            <w:tcW w:w="11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w w:val="80"/>
                <w:kern w:val="0"/>
                <w:sz w:val="21"/>
                <w:szCs w:val="21"/>
                <w:u w:val="none"/>
                <w:lang w:val="en-US" w:eastAsia="zh-CN"/>
              </w:rPr>
            </w:pPr>
            <w:r>
              <w:rPr>
                <w:rFonts w:hint="eastAsia" w:ascii="仿宋_GB2312" w:eastAsia="仿宋_GB2312" w:cs="仿宋_GB2312"/>
                <w:color w:val="auto"/>
                <w:w w:val="80"/>
                <w:kern w:val="0"/>
                <w:sz w:val="21"/>
                <w:szCs w:val="21"/>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财政拨款</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bidi="ar-SA"/>
              </w:rPr>
              <w:t>2</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w w:val="80"/>
                <w:kern w:val="0"/>
                <w:sz w:val="21"/>
                <w:szCs w:val="21"/>
                <w:u w:val="none"/>
                <w:lang w:val="en-US" w:eastAsia="zh-CN"/>
              </w:rPr>
            </w:pPr>
            <w:r>
              <w:rPr>
                <w:rFonts w:hint="eastAsia" w:ascii="仿宋_GB2312" w:eastAsia="仿宋_GB2312" w:cs="仿宋_GB2312"/>
                <w:color w:val="auto"/>
                <w:w w:val="80"/>
                <w:kern w:val="0"/>
                <w:sz w:val="21"/>
                <w:szCs w:val="21"/>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财政拨款</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341" w:hRule="atLeast"/>
        </w:trPr>
        <w:tc>
          <w:tcPr>
            <w:tcW w:w="302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tc>
        <w:tc>
          <w:tcPr>
            <w:tcW w:w="11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其他资金</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w w:val="80"/>
                <w:sz w:val="21"/>
                <w:szCs w:val="21"/>
                <w:u w:val="none"/>
                <w:lang w:bidi="ar-SA"/>
              </w:rPr>
            </w:pP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其他资金</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217" w:hRule="atLeast"/>
        </w:trPr>
        <w:tc>
          <w:tcPr>
            <w:tcW w:w="191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kern w:val="0"/>
                <w:sz w:val="21"/>
                <w:szCs w:val="21"/>
                <w:u w:val="none"/>
                <w:lang w:val="en-US" w:eastAsia="zh-CN"/>
              </w:rPr>
            </w:pPr>
            <w:r>
              <w:rPr>
                <w:rFonts w:hint="eastAsia" w:ascii="仿宋_GB2312" w:eastAsia="仿宋_GB2312" w:cs="仿宋_GB2312"/>
                <w:color w:val="auto"/>
                <w:w w:val="80"/>
                <w:kern w:val="0"/>
                <w:sz w:val="21"/>
                <w:szCs w:val="21"/>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完成情况</w:t>
            </w:r>
          </w:p>
        </w:tc>
        <w:tc>
          <w:tcPr>
            <w:tcW w:w="373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预期目标</w:t>
            </w:r>
          </w:p>
        </w:tc>
        <w:tc>
          <w:tcPr>
            <w:tcW w:w="33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797" w:hRule="atLeast"/>
        </w:trPr>
        <w:tc>
          <w:tcPr>
            <w:tcW w:w="1916"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3730" w:type="dxa"/>
            <w:gridSpan w:val="3"/>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suppressLineNumbers w:val="0"/>
              <w:tabs>
                <w:tab w:val="left" w:pos="520"/>
              </w:tabs>
              <w:kinsoku/>
              <w:wordWrap/>
              <w:overflowPunct/>
              <w:topLinePunct w:val="0"/>
              <w:autoSpaceDE/>
              <w:autoSpaceDN/>
              <w:bidi w:val="0"/>
              <w:adjustRightInd/>
              <w:snapToGrid/>
              <w:spacing w:line="320" w:lineRule="exact"/>
              <w:jc w:val="left"/>
              <w:textAlignment w:val="top"/>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bidi="ar-SA"/>
              </w:rPr>
              <w:t>落实优待抚恤政策，保障各类优抚对象切身利益，提高优抚对象生活质量，体现党和政府关心。</w:t>
            </w:r>
          </w:p>
        </w:tc>
        <w:tc>
          <w:tcPr>
            <w:tcW w:w="3396" w:type="dxa"/>
            <w:gridSpan w:val="2"/>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sz w:val="21"/>
                <w:szCs w:val="21"/>
                <w:u w:val="none"/>
                <w:lang w:bidi="ar-SA"/>
              </w:rPr>
              <w:t>严格落实优待抚恤政策，保障退役军人合法权益。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693" w:hRule="atLeast"/>
        </w:trPr>
        <w:tc>
          <w:tcPr>
            <w:tcW w:w="1916"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年度绩效指标完成情况</w:t>
            </w:r>
          </w:p>
        </w:tc>
        <w:tc>
          <w:tcPr>
            <w:tcW w:w="110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kern w:val="0"/>
                <w:sz w:val="21"/>
                <w:szCs w:val="21"/>
                <w:u w:val="none"/>
                <w:lang w:val="en-US" w:eastAsia="zh-CN"/>
              </w:rPr>
            </w:pPr>
            <w:r>
              <w:rPr>
                <w:rFonts w:hint="eastAsia" w:ascii="仿宋_GB2312" w:eastAsia="仿宋_GB2312" w:cs="仿宋_GB2312"/>
                <w:color w:val="auto"/>
                <w:w w:val="80"/>
                <w:kern w:val="0"/>
                <w:sz w:val="21"/>
                <w:szCs w:val="21"/>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指标</w:t>
            </w:r>
          </w:p>
        </w:tc>
        <w:tc>
          <w:tcPr>
            <w:tcW w:w="11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kern w:val="0"/>
                <w:sz w:val="21"/>
                <w:szCs w:val="21"/>
                <w:u w:val="none"/>
                <w:lang w:val="en-US" w:eastAsia="zh-CN"/>
              </w:rPr>
            </w:pPr>
            <w:r>
              <w:rPr>
                <w:rFonts w:hint="eastAsia" w:ascii="仿宋_GB2312" w:eastAsia="仿宋_GB2312" w:cs="仿宋_GB2312"/>
                <w:color w:val="auto"/>
                <w:w w:val="80"/>
                <w:kern w:val="0"/>
                <w:sz w:val="21"/>
                <w:szCs w:val="21"/>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指标</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kern w:val="0"/>
                <w:sz w:val="21"/>
                <w:szCs w:val="21"/>
                <w:u w:val="none"/>
                <w:lang w:val="en-US" w:eastAsia="zh-CN"/>
              </w:rPr>
            </w:pPr>
            <w:r>
              <w:rPr>
                <w:rFonts w:hint="eastAsia" w:ascii="仿宋_GB2312" w:eastAsia="仿宋_GB2312" w:cs="仿宋_GB2312"/>
                <w:color w:val="auto"/>
                <w:w w:val="80"/>
                <w:kern w:val="0"/>
                <w:sz w:val="21"/>
                <w:szCs w:val="21"/>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指标</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预期指标值</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color w:val="auto"/>
                <w:w w:val="80"/>
                <w:sz w:val="21"/>
                <w:szCs w:val="21"/>
                <w:u w:val="none"/>
                <w:lang w:bidi="ar-SA"/>
              </w:rPr>
            </w:pPr>
            <w:r>
              <w:rPr>
                <w:rFonts w:hint="eastAsia" w:ascii="仿宋_GB2312" w:eastAsia="仿宋_GB2312" w:cs="仿宋_GB2312"/>
                <w:color w:val="auto"/>
                <w:w w:val="80"/>
                <w:kern w:val="0"/>
                <w:sz w:val="21"/>
                <w:szCs w:val="21"/>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630" w:hRule="atLeast"/>
        </w:trPr>
        <w:tc>
          <w:tcPr>
            <w:tcW w:w="1916" w:type="dxa"/>
            <w:vMerge w:val="continue"/>
            <w:tcBorders>
              <w:left w:val="single" w:color="000000" w:sz="4" w:space="0"/>
              <w:right w:val="single" w:color="000000" w:sz="4" w:space="0"/>
            </w:tcBorders>
            <w:noWrap/>
            <w:vAlign w:val="center"/>
          </w:tcPr>
          <w:p/>
        </w:tc>
        <w:tc>
          <w:tcPr>
            <w:tcW w:w="110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val="en-US" w:eastAsia="zh-CN"/>
              </w:rPr>
            </w:pPr>
            <w:r>
              <w:rPr>
                <w:rFonts w:hint="eastAsia" w:ascii="仿宋_GB2312" w:eastAsia="仿宋_GB2312" w:cs="仿宋_GB2312"/>
                <w:color w:val="auto"/>
                <w:w w:val="80"/>
                <w:kern w:val="13"/>
                <w:sz w:val="21"/>
                <w:szCs w:val="21"/>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rPr>
              <w:t>指标</w:t>
            </w:r>
          </w:p>
        </w:tc>
        <w:tc>
          <w:tcPr>
            <w:tcW w:w="119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rPr>
              <w:t>数量指标</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优抚业务培训费0.23万元</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eastAsia="仿宋_GB2312" w:cs="仿宋_GB2312"/>
                <w:sz w:val="21"/>
                <w:szCs w:val="21"/>
              </w:rPr>
            </w:pPr>
            <w:r>
              <w:rPr>
                <w:rFonts w:hint="eastAsia" w:ascii="仿宋_GB2312" w:eastAsia="仿宋_GB2312" w:cs="仿宋_GB2312"/>
                <w:sz w:val="21"/>
                <w:szCs w:val="21"/>
              </w:rPr>
              <w:t>培训人数28人，生活费标准80元每人</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614" w:hRule="atLeast"/>
        </w:trPr>
        <w:tc>
          <w:tcPr>
            <w:tcW w:w="1916" w:type="dxa"/>
            <w:vMerge w:val="continue"/>
            <w:tcBorders>
              <w:left w:val="single" w:color="000000" w:sz="4" w:space="0"/>
              <w:right w:val="single" w:color="000000" w:sz="4" w:space="0"/>
            </w:tcBorders>
            <w:noWrap/>
            <w:vAlign w:val="center"/>
          </w:tc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191"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4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cs="仿宋_GB2312"/>
                <w:sz w:val="21"/>
                <w:szCs w:val="21"/>
              </w:rPr>
            </w:pPr>
            <w:r>
              <w:rPr>
                <w:rFonts w:hint="eastAsia" w:ascii="仿宋_GB2312" w:eastAsia="仿宋_GB2312" w:cs="仿宋_GB2312"/>
                <w:sz w:val="21"/>
                <w:szCs w:val="21"/>
              </w:rPr>
              <w:t>优抚工作费0.27万元</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_GB2312" w:eastAsia="仿宋_GB2312" w:cs="仿宋_GB2312"/>
                <w:sz w:val="21"/>
                <w:szCs w:val="21"/>
              </w:rPr>
            </w:pPr>
            <w:r>
              <w:rPr>
                <w:rFonts w:hint="eastAsia" w:ascii="仿宋_GB2312" w:eastAsia="仿宋_GB2312" w:cs="仿宋_GB2312"/>
                <w:sz w:val="21"/>
                <w:szCs w:val="21"/>
              </w:rPr>
              <w:t>开展各类优抚业务相关工作</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614" w:hRule="atLeast"/>
        </w:trPr>
        <w:tc>
          <w:tcPr>
            <w:tcW w:w="1916" w:type="dxa"/>
            <w:vMerge w:val="continue"/>
            <w:tcBorders>
              <w:left w:val="single" w:color="000000" w:sz="4" w:space="0"/>
              <w:right w:val="single" w:color="000000" w:sz="4" w:space="0"/>
            </w:tcBorders>
            <w:noWrap/>
            <w:vAlign w:val="center"/>
          </w:tc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191"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cs="仿宋_GB2312"/>
                <w:sz w:val="21"/>
                <w:szCs w:val="21"/>
              </w:rPr>
            </w:pPr>
            <w:r>
              <w:rPr>
                <w:rFonts w:hint="eastAsia" w:ascii="仿宋_GB2312" w:eastAsia="仿宋_GB2312" w:cs="仿宋_GB2312"/>
                <w:sz w:val="21"/>
                <w:szCs w:val="21"/>
              </w:rPr>
              <w:t>差旅费1.5万元</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adjustRightInd/>
              <w:snapToGrid/>
              <w:spacing w:line="26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参加国家、省厅学习培训和2100人伤残证分批次换证</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630" w:hRule="atLeast"/>
        </w:trPr>
        <w:tc>
          <w:tcPr>
            <w:tcW w:w="1916" w:type="dxa"/>
            <w:vMerge w:val="continue"/>
            <w:tcBorders>
              <w:left w:val="single" w:color="000000" w:sz="4" w:space="0"/>
              <w:right w:val="single" w:color="000000" w:sz="4" w:space="0"/>
            </w:tcBorders>
            <w:noWrap/>
            <w:vAlign w:val="center"/>
          </w:tcPr>
          <w:p/>
        </w:tc>
        <w:tc>
          <w:tcPr>
            <w:tcW w:w="1107"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19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rPr>
              <w:t>质量指标</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换证工作完成率</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614" w:hRule="atLeast"/>
        </w:trPr>
        <w:tc>
          <w:tcPr>
            <w:tcW w:w="1916" w:type="dxa"/>
            <w:vMerge w:val="continue"/>
            <w:tcBorders>
              <w:left w:val="single" w:color="000000" w:sz="4" w:space="0"/>
              <w:right w:val="single" w:color="000000" w:sz="4" w:space="0"/>
            </w:tcBorders>
            <w:noWrap/>
            <w:vAlign w:val="center"/>
          </w:tcPr>
          <w:p/>
        </w:tc>
        <w:tc>
          <w:tcPr>
            <w:tcW w:w="1107"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191"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4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cs="仿宋_GB2312"/>
                <w:sz w:val="21"/>
                <w:szCs w:val="21"/>
              </w:rPr>
            </w:pPr>
            <w:r>
              <w:rPr>
                <w:rFonts w:hint="eastAsia" w:ascii="仿宋_GB2312" w:eastAsia="仿宋_GB2312" w:cs="仿宋_GB2312"/>
                <w:sz w:val="21"/>
                <w:szCs w:val="21"/>
              </w:rPr>
              <w:t>优抚业务人员培训率</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415" w:hRule="atLeast"/>
        </w:trPr>
        <w:tc>
          <w:tcPr>
            <w:tcW w:w="1916" w:type="dxa"/>
            <w:vMerge w:val="continue"/>
            <w:tcBorders>
              <w:left w:val="single" w:color="000000" w:sz="4" w:space="0"/>
              <w:right w:val="single" w:color="000000" w:sz="4" w:space="0"/>
            </w:tcBorders>
            <w:noWrap/>
            <w:vAlign w:val="center"/>
          </w:tcPr>
          <w:p/>
        </w:tc>
        <w:tc>
          <w:tcPr>
            <w:tcW w:w="1107"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1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rPr>
              <w:t>时效指标</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2021年底完成率</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480" w:hRule="atLeast"/>
        </w:trPr>
        <w:tc>
          <w:tcPr>
            <w:tcW w:w="1916" w:type="dxa"/>
            <w:vMerge w:val="continue"/>
            <w:tcBorders>
              <w:left w:val="single" w:color="000000" w:sz="4" w:space="0"/>
              <w:right w:val="single" w:color="000000" w:sz="4" w:space="0"/>
            </w:tcBorders>
            <w:noWrap/>
            <w:vAlign w:val="center"/>
          </w:tcPr>
          <w:p/>
        </w:tc>
        <w:tc>
          <w:tcPr>
            <w:tcW w:w="1107"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1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rPr>
              <w:t>成本指标</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工作经费</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2万元</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480" w:hRule="atLeast"/>
        </w:trPr>
        <w:tc>
          <w:tcPr>
            <w:tcW w:w="1916" w:type="dxa"/>
            <w:vMerge w:val="continue"/>
            <w:tcBorders>
              <w:left w:val="single" w:color="000000" w:sz="4" w:space="0"/>
              <w:right w:val="single" w:color="000000" w:sz="4" w:space="0"/>
            </w:tcBorders>
            <w:noWrap/>
            <w:vAlign w:val="center"/>
          </w:tcPr>
          <w:p/>
        </w:tc>
        <w:tc>
          <w:tcPr>
            <w:tcW w:w="110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cs="仿宋_GB2312"/>
                <w:sz w:val="21"/>
                <w:szCs w:val="21"/>
              </w:rPr>
            </w:pPr>
            <w:r>
              <w:rPr>
                <w:rFonts w:hint="eastAsia" w:ascii="仿宋_GB2312" w:eastAsia="仿宋_GB2312" w:cs="仿宋_GB2312"/>
                <w:sz w:val="21"/>
                <w:szCs w:val="21"/>
              </w:rPr>
              <w:t>效益指标</w:t>
            </w:r>
          </w:p>
        </w:tc>
        <w:tc>
          <w:tcPr>
            <w:tcW w:w="11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rPr>
              <w:t>社会效益  指标</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维护退役军人群体稳定</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有效</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480" w:hRule="atLeast"/>
        </w:trPr>
        <w:tc>
          <w:tcPr>
            <w:tcW w:w="1916" w:type="dxa"/>
            <w:vMerge w:val="continue"/>
            <w:tcBorders>
              <w:left w:val="single" w:color="000000" w:sz="4" w:space="0"/>
              <w:right w:val="single" w:color="000000" w:sz="4" w:space="0"/>
            </w:tcBorders>
            <w:noWrap/>
            <w:vAlign w:val="center"/>
          </w:tcPr>
          <w:p/>
        </w:tc>
        <w:tc>
          <w:tcPr>
            <w:tcW w:w="1107" w:type="dxa"/>
            <w:vMerge w:val="continue"/>
            <w:tcBorders>
              <w:top w:val="single" w:color="000000" w:sz="4" w:space="0"/>
              <w:left w:val="single" w:color="000000" w:sz="4" w:space="0"/>
              <w:bottom w:val="single" w:color="000000" w:sz="4" w:space="0"/>
              <w:right w:val="single" w:color="000000" w:sz="4" w:space="0"/>
            </w:tcBorders>
            <w:noWrap/>
            <w:vAlign w:val="bottom"/>
          </w:tcPr>
          <w:p/>
        </w:tc>
        <w:tc>
          <w:tcPr>
            <w:tcW w:w="11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rPr>
              <w:t>可持续影响 指标</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保障退役军人合法权益</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长期</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6" w:type="dxa"/>
          <w:trHeight w:val="530" w:hRule="atLeast"/>
        </w:trPr>
        <w:tc>
          <w:tcPr>
            <w:tcW w:w="1916" w:type="dxa"/>
            <w:vMerge w:val="continue"/>
            <w:tcBorders>
              <w:left w:val="single" w:color="000000" w:sz="4" w:space="0"/>
              <w:bottom w:val="single" w:color="000000" w:sz="4" w:space="0"/>
              <w:right w:val="single" w:color="000000" w:sz="4" w:space="0"/>
            </w:tcBorders>
            <w:noWrap/>
            <w:vAlign w:val="center"/>
          </w:tcPr>
          <w:p/>
        </w:tc>
        <w:tc>
          <w:tcPr>
            <w:tcW w:w="110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val="en-US" w:eastAsia="zh-CN"/>
              </w:rPr>
            </w:pPr>
            <w:r>
              <w:rPr>
                <w:rFonts w:hint="eastAsia" w:ascii="仿宋_GB2312" w:eastAsia="仿宋_GB2312" w:cs="仿宋_GB2312"/>
                <w:color w:val="auto"/>
                <w:w w:val="80"/>
                <w:kern w:val="13"/>
                <w:sz w:val="21"/>
                <w:szCs w:val="21"/>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val="en-US" w:eastAsia="zh-CN"/>
              </w:rPr>
              <w:t>度指标</w:t>
            </w:r>
          </w:p>
        </w:tc>
        <w:tc>
          <w:tcPr>
            <w:tcW w:w="11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w w:val="80"/>
                <w:kern w:val="13"/>
                <w:sz w:val="21"/>
                <w:szCs w:val="21"/>
              </w:rPr>
            </w:pPr>
            <w:r>
              <w:rPr>
                <w:rFonts w:hint="eastAsia" w:ascii="仿宋_GB2312" w:eastAsia="仿宋_GB2312" w:cs="仿宋_GB2312"/>
                <w:color w:val="auto"/>
                <w:w w:val="80"/>
                <w:kern w:val="13"/>
                <w:sz w:val="21"/>
                <w:szCs w:val="21"/>
                <w:u w:val="none"/>
                <w:lang w:val="en-US" w:eastAsia="zh-CN"/>
              </w:rPr>
              <w:t>满意度指标</w:t>
            </w:r>
          </w:p>
        </w:tc>
        <w:tc>
          <w:tcPr>
            <w:tcW w:w="1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优抚对象满意度</w:t>
            </w:r>
          </w:p>
        </w:tc>
        <w:tc>
          <w:tcPr>
            <w:tcW w:w="14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bidi="ar-SA"/>
              </w:rPr>
            </w:pPr>
            <w:r>
              <w:rPr>
                <w:rFonts w:hint="eastAsia" w:ascii="仿宋_GB2312" w:eastAsia="仿宋_GB2312" w:cs="仿宋_GB2312"/>
                <w:color w:val="auto"/>
                <w:w w:val="80"/>
                <w:kern w:val="13"/>
                <w:sz w:val="21"/>
                <w:szCs w:val="21"/>
                <w:u w:val="none"/>
                <w:lang w:bidi="ar-SA"/>
              </w:rPr>
              <w:t>≧98%</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color w:val="auto"/>
                <w:w w:val="80"/>
                <w:kern w:val="13"/>
                <w:sz w:val="21"/>
                <w:szCs w:val="21"/>
                <w:u w:val="none"/>
                <w:lang w:val="en-US" w:eastAsia="zh-CN" w:bidi="ar-SA"/>
              </w:rPr>
            </w:pPr>
            <w:r>
              <w:rPr>
                <w:rFonts w:hint="eastAsia" w:ascii="仿宋_GB2312" w:eastAsia="仿宋_GB2312" w:cs="仿宋_GB2312"/>
                <w:color w:val="auto"/>
                <w:w w:val="80"/>
                <w:kern w:val="13"/>
                <w:sz w:val="21"/>
                <w:szCs w:val="21"/>
                <w:u w:val="none"/>
                <w:lang w:bidi="ar-SA"/>
              </w:rPr>
              <w:t>≧98</w:t>
            </w:r>
            <w:r>
              <w:rPr>
                <w:rFonts w:hint="eastAsia" w:ascii="仿宋_GB2312" w:eastAsia="仿宋_GB2312" w:cs="仿宋_GB2312"/>
                <w:color w:val="auto"/>
                <w:w w:val="80"/>
                <w:kern w:val="13"/>
                <w:sz w:val="21"/>
                <w:szCs w:val="21"/>
                <w:u w:val="none"/>
                <w:lang w:val="en-US" w:eastAsia="zh-CN" w:bidi="ar-SA"/>
              </w:rPr>
              <w:t>%</w:t>
            </w:r>
          </w:p>
        </w:tc>
      </w:tr>
    </w:tbl>
    <w:p>
      <w:pPr>
        <w:pStyle w:val="23"/>
        <w:keepNext w:val="0"/>
        <w:keepLines w:val="0"/>
        <w:pageBreakBefore w:val="0"/>
        <w:widowControl w:val="0"/>
        <w:kinsoku/>
        <w:wordWrap/>
        <w:overflowPunct/>
        <w:topLinePunct w:val="0"/>
        <w:autoSpaceDE w:val="0"/>
        <w:autoSpaceDN w:val="0"/>
        <w:bidi w:val="0"/>
        <w:spacing w:line="560" w:lineRule="exact"/>
        <w:textAlignment w:val="auto"/>
        <w:rPr>
          <w:rFonts w:hint="eastAsia" w:ascii="仿宋_GB2312" w:eastAsia="仿宋_GB2312" w:cs="仿宋_GB2312"/>
          <w:b w:val="0"/>
          <w:bCs w:val="0"/>
          <w:sz w:val="32"/>
          <w:szCs w:val="32"/>
          <w:lang w:val="en-US" w:eastAsia="zh-CN"/>
        </w:rPr>
        <w:sectPr>
          <w:footerReference r:id="rId6" w:type="default"/>
          <w:pgSz w:w="11906" w:h="16838"/>
          <w:pgMar w:top="2098" w:right="1474" w:bottom="1984" w:left="1587" w:header="851" w:footer="1559" w:gutter="0"/>
          <w:pgNumType w:fmt="numberInDash" w:start="22"/>
          <w:cols w:space="720" w:num="1"/>
          <w:rtlGutter w:val="1"/>
          <w:docGrid w:type="linesAndChars" w:linePitch="318" w:charSpace="0"/>
        </w:sectPr>
      </w:pPr>
    </w:p>
    <w:p>
      <w:pPr>
        <w:spacing w:line="600" w:lineRule="exact"/>
        <w:jc w:val="both"/>
        <w:outlineLvl w:val="0"/>
        <w:rPr>
          <w:rFonts w:ascii="黑体" w:eastAsia="黑体"/>
          <w:sz w:val="44"/>
          <w:szCs w:val="44"/>
        </w:rPr>
      </w:pPr>
      <w:bookmarkStart w:id="53" w:name="_Toc15396618"/>
    </w:p>
    <w:p>
      <w:pPr>
        <w:spacing w:line="600" w:lineRule="exact"/>
        <w:jc w:val="center"/>
        <w:outlineLvl w:val="0"/>
        <w:rPr>
          <w:rFonts w:ascii="仿宋" w:eastAsia="仿宋"/>
          <w:highlight w:val="yellow"/>
          <w:lang w:val="en-US"/>
        </w:rPr>
      </w:pPr>
      <w:r>
        <w:rPr>
          <w:rFonts w:hint="eastAsia" w:ascii="黑体" w:eastAsia="黑体"/>
          <w:sz w:val="44"/>
          <w:szCs w:val="44"/>
        </w:rPr>
        <w:t>第</w:t>
      </w:r>
      <w:r>
        <w:rPr>
          <w:rStyle w:val="18"/>
          <w:rFonts w:hint="eastAsia" w:ascii="黑体" w:eastAsia="黑体"/>
          <w:b w:val="0"/>
        </w:rPr>
        <w:t>五部分 附表</w:t>
      </w:r>
      <w:bookmarkEnd w:id="52"/>
      <w:bookmarkEnd w:id="53"/>
      <w:bookmarkStart w:id="54" w:name="_Toc15396619"/>
    </w:p>
    <w:p>
      <w:pPr>
        <w:pStyle w:val="4"/>
        <w:rPr>
          <w:rFonts w:ascii="仿宋" w:eastAsia="仿宋"/>
        </w:rPr>
      </w:pPr>
      <w:r>
        <w:rPr>
          <w:rFonts w:hint="eastAsia" w:ascii="仿宋" w:eastAsia="仿宋"/>
          <w:b w:val="0"/>
        </w:rPr>
        <w:t>一、收</w:t>
      </w:r>
      <w:r>
        <w:rPr>
          <w:rStyle w:val="19"/>
          <w:rFonts w:hint="eastAsia" w:ascii="仿宋" w:eastAsia="仿宋"/>
          <w:b w:val="0"/>
          <w:bCs w:val="0"/>
        </w:rPr>
        <w:t>入支出决算总表</w:t>
      </w:r>
      <w:bookmarkEnd w:id="54"/>
    </w:p>
    <w:p>
      <w:pPr>
        <w:pStyle w:val="4"/>
        <w:rPr>
          <w:rFonts w:ascii="仿宋" w:eastAsia="仿宋"/>
        </w:rPr>
      </w:pPr>
      <w:bookmarkStart w:id="55" w:name="_Toc15396620"/>
      <w:r>
        <w:rPr>
          <w:rFonts w:hint="eastAsia" w:ascii="仿宋" w:eastAsia="仿宋"/>
          <w:b w:val="0"/>
        </w:rPr>
        <w:t>二、收</w:t>
      </w:r>
      <w:r>
        <w:rPr>
          <w:rStyle w:val="19"/>
          <w:rFonts w:hint="eastAsia" w:ascii="仿宋" w:eastAsia="仿宋"/>
          <w:b w:val="0"/>
          <w:bCs w:val="0"/>
        </w:rPr>
        <w:t>入决算表</w:t>
      </w:r>
      <w:bookmarkEnd w:id="55"/>
    </w:p>
    <w:p>
      <w:pPr>
        <w:pStyle w:val="4"/>
        <w:rPr>
          <w:rFonts w:ascii="仿宋" w:eastAsia="仿宋"/>
        </w:rPr>
      </w:pPr>
      <w:bookmarkStart w:id="56" w:name="_Toc15396621"/>
      <w:r>
        <w:rPr>
          <w:rStyle w:val="19"/>
          <w:rFonts w:hint="eastAsia" w:ascii="仿宋" w:eastAsia="仿宋"/>
          <w:b w:val="0"/>
          <w:bCs w:val="0"/>
        </w:rPr>
        <w:t>三、</w:t>
      </w:r>
      <w:r>
        <w:rPr>
          <w:rFonts w:hint="eastAsia" w:ascii="仿宋" w:eastAsia="仿宋"/>
          <w:b w:val="0"/>
        </w:rPr>
        <w:t>支</w:t>
      </w:r>
      <w:r>
        <w:rPr>
          <w:rStyle w:val="19"/>
          <w:rFonts w:hint="eastAsia" w:ascii="仿宋" w:eastAsia="仿宋"/>
          <w:b w:val="0"/>
          <w:bCs w:val="0"/>
        </w:rPr>
        <w:t>出决算表</w:t>
      </w:r>
      <w:bookmarkEnd w:id="56"/>
    </w:p>
    <w:p>
      <w:pPr>
        <w:pStyle w:val="4"/>
        <w:rPr>
          <w:rFonts w:ascii="仿宋" w:eastAsia="仿宋"/>
          <w:b w:val="0"/>
        </w:rPr>
      </w:pPr>
      <w:bookmarkStart w:id="57" w:name="_Toc15396622"/>
      <w:r>
        <w:rPr>
          <w:rStyle w:val="19"/>
          <w:rFonts w:hint="eastAsia" w:ascii="仿宋" w:eastAsia="仿宋"/>
          <w:b w:val="0"/>
          <w:bCs w:val="0"/>
        </w:rPr>
        <w:t>四、</w:t>
      </w:r>
      <w:r>
        <w:rPr>
          <w:rFonts w:hint="eastAsia" w:ascii="仿宋" w:eastAsia="仿宋"/>
          <w:b w:val="0"/>
        </w:rPr>
        <w:t>财</w:t>
      </w:r>
      <w:r>
        <w:rPr>
          <w:rStyle w:val="19"/>
          <w:rFonts w:hint="eastAsia" w:ascii="仿宋" w:eastAsia="仿宋"/>
          <w:b w:val="0"/>
          <w:bCs w:val="0"/>
        </w:rPr>
        <w:t>政拨款收入支出决算总表</w:t>
      </w:r>
      <w:bookmarkEnd w:id="57"/>
    </w:p>
    <w:p>
      <w:pPr>
        <w:pStyle w:val="4"/>
        <w:rPr>
          <w:rStyle w:val="19"/>
          <w:rFonts w:ascii="仿宋" w:eastAsia="仿宋"/>
          <w:b w:val="0"/>
          <w:bCs w:val="0"/>
        </w:rPr>
      </w:pPr>
      <w:bookmarkStart w:id="58" w:name="_Toc15396623"/>
      <w:r>
        <w:rPr>
          <w:rStyle w:val="19"/>
          <w:rFonts w:hint="eastAsia" w:ascii="仿宋" w:eastAsia="仿宋"/>
          <w:b w:val="0"/>
          <w:bCs w:val="0"/>
        </w:rPr>
        <w:t>五、</w:t>
      </w:r>
      <w:r>
        <w:rPr>
          <w:rFonts w:hint="eastAsia" w:ascii="仿宋" w:eastAsia="仿宋"/>
          <w:b w:val="0"/>
        </w:rPr>
        <w:t>财</w:t>
      </w:r>
      <w:r>
        <w:rPr>
          <w:rStyle w:val="19"/>
          <w:rFonts w:hint="eastAsia" w:ascii="仿宋" w:eastAsia="仿宋"/>
          <w:b w:val="0"/>
          <w:bCs w:val="0"/>
        </w:rPr>
        <w:t>政拨款支出决算明细表</w:t>
      </w:r>
      <w:bookmarkEnd w:id="58"/>
      <w:bookmarkStart w:id="59" w:name="_Toc15396624"/>
    </w:p>
    <w:p>
      <w:pPr>
        <w:pStyle w:val="4"/>
        <w:rPr>
          <w:rFonts w:ascii="仿宋" w:eastAsia="仿宋"/>
        </w:rPr>
      </w:pPr>
      <w:r>
        <w:rPr>
          <w:rStyle w:val="19"/>
          <w:rFonts w:hint="eastAsia" w:ascii="仿宋" w:eastAsia="仿宋"/>
          <w:b w:val="0"/>
          <w:bCs w:val="0"/>
        </w:rPr>
        <w:t>六、</w:t>
      </w:r>
      <w:r>
        <w:rPr>
          <w:rFonts w:hint="eastAsia" w:ascii="仿宋" w:eastAsia="仿宋"/>
          <w:b w:val="0"/>
        </w:rPr>
        <w:t>一</w:t>
      </w:r>
      <w:r>
        <w:rPr>
          <w:rStyle w:val="19"/>
          <w:rFonts w:hint="eastAsia" w:ascii="仿宋" w:eastAsia="仿宋"/>
          <w:b w:val="0"/>
          <w:bCs w:val="0"/>
        </w:rPr>
        <w:t>般公共预算财政拨款支出决算表</w:t>
      </w:r>
      <w:bookmarkEnd w:id="59"/>
    </w:p>
    <w:p>
      <w:pPr>
        <w:pStyle w:val="4"/>
        <w:rPr>
          <w:rFonts w:ascii="仿宋" w:eastAsia="仿宋"/>
        </w:rPr>
      </w:pPr>
      <w:bookmarkStart w:id="60" w:name="_Toc15396625"/>
      <w:r>
        <w:rPr>
          <w:rStyle w:val="19"/>
          <w:rFonts w:hint="eastAsia" w:ascii="仿宋" w:eastAsia="仿宋"/>
          <w:b w:val="0"/>
          <w:bCs w:val="0"/>
        </w:rPr>
        <w:t>七、</w:t>
      </w:r>
      <w:r>
        <w:rPr>
          <w:rFonts w:hint="eastAsia" w:ascii="仿宋" w:eastAsia="仿宋"/>
          <w:b w:val="0"/>
        </w:rPr>
        <w:t>一</w:t>
      </w:r>
      <w:r>
        <w:rPr>
          <w:rStyle w:val="19"/>
          <w:rFonts w:hint="eastAsia" w:ascii="仿宋" w:eastAsia="仿宋"/>
          <w:b w:val="0"/>
          <w:bCs w:val="0"/>
        </w:rPr>
        <w:t>般公共预算财政拨款支出决算明细表</w:t>
      </w:r>
      <w:bookmarkEnd w:id="60"/>
    </w:p>
    <w:p>
      <w:pPr>
        <w:pStyle w:val="4"/>
        <w:rPr>
          <w:rFonts w:ascii="仿宋" w:eastAsia="仿宋"/>
        </w:rPr>
      </w:pPr>
      <w:bookmarkStart w:id="61" w:name="_Toc15396626"/>
      <w:r>
        <w:rPr>
          <w:rStyle w:val="19"/>
          <w:rFonts w:hint="eastAsia" w:ascii="仿宋" w:eastAsia="仿宋"/>
          <w:b w:val="0"/>
          <w:bCs w:val="0"/>
        </w:rPr>
        <w:t>八、</w:t>
      </w:r>
      <w:r>
        <w:rPr>
          <w:rFonts w:hint="eastAsia" w:ascii="仿宋" w:eastAsia="仿宋"/>
          <w:b w:val="0"/>
        </w:rPr>
        <w:t>一</w:t>
      </w:r>
      <w:r>
        <w:rPr>
          <w:rStyle w:val="19"/>
          <w:rFonts w:hint="eastAsia" w:ascii="仿宋" w:eastAsia="仿宋"/>
          <w:b w:val="0"/>
          <w:bCs w:val="0"/>
        </w:rPr>
        <w:t>般公共预算财政拨款基本支出决算表</w:t>
      </w:r>
      <w:bookmarkEnd w:id="61"/>
    </w:p>
    <w:p>
      <w:pPr>
        <w:pStyle w:val="4"/>
        <w:rPr>
          <w:rFonts w:ascii="仿宋" w:eastAsia="仿宋"/>
        </w:rPr>
      </w:pPr>
      <w:bookmarkStart w:id="62" w:name="_Toc15396627"/>
      <w:r>
        <w:rPr>
          <w:rStyle w:val="19"/>
          <w:rFonts w:hint="eastAsia" w:ascii="仿宋" w:eastAsia="仿宋"/>
          <w:b w:val="0"/>
          <w:bCs w:val="0"/>
        </w:rPr>
        <w:t>九、</w:t>
      </w:r>
      <w:r>
        <w:rPr>
          <w:rFonts w:hint="eastAsia" w:ascii="仿宋" w:eastAsia="仿宋"/>
          <w:b w:val="0"/>
        </w:rPr>
        <w:t>一</w:t>
      </w:r>
      <w:r>
        <w:rPr>
          <w:rStyle w:val="19"/>
          <w:rFonts w:hint="eastAsia" w:ascii="仿宋" w:eastAsia="仿宋"/>
          <w:b w:val="0"/>
          <w:bCs w:val="0"/>
        </w:rPr>
        <w:t>般公共预算财政拨款项目支出决算表</w:t>
      </w:r>
      <w:bookmarkEnd w:id="62"/>
    </w:p>
    <w:p>
      <w:pPr>
        <w:pStyle w:val="4"/>
        <w:rPr>
          <w:rFonts w:ascii="仿宋" w:eastAsia="仿宋"/>
        </w:rPr>
      </w:pPr>
      <w:bookmarkStart w:id="63" w:name="_Toc15396628"/>
      <w:r>
        <w:rPr>
          <w:rStyle w:val="19"/>
          <w:rFonts w:hint="eastAsia" w:ascii="仿宋" w:eastAsia="仿宋"/>
          <w:b w:val="0"/>
          <w:bCs w:val="0"/>
        </w:rPr>
        <w:t>十、</w:t>
      </w:r>
      <w:r>
        <w:rPr>
          <w:rFonts w:hint="eastAsia" w:ascii="仿宋" w:eastAsia="仿宋"/>
          <w:b w:val="0"/>
        </w:rPr>
        <w:t>一</w:t>
      </w:r>
      <w:r>
        <w:rPr>
          <w:rStyle w:val="19"/>
          <w:rFonts w:hint="eastAsia" w:ascii="仿宋" w:eastAsia="仿宋"/>
          <w:b w:val="0"/>
          <w:bCs w:val="0"/>
        </w:rPr>
        <w:t>般公共预算财政拨款“三公”经费支出决算表</w:t>
      </w:r>
      <w:bookmarkEnd w:id="63"/>
    </w:p>
    <w:p>
      <w:pPr>
        <w:pStyle w:val="4"/>
        <w:rPr>
          <w:rFonts w:ascii="仿宋" w:eastAsia="仿宋"/>
        </w:rPr>
      </w:pPr>
      <w:bookmarkStart w:id="64" w:name="_Toc15396629"/>
      <w:r>
        <w:rPr>
          <w:rStyle w:val="19"/>
          <w:rFonts w:hint="eastAsia" w:ascii="仿宋" w:eastAsia="仿宋"/>
          <w:b w:val="0"/>
          <w:bCs w:val="0"/>
        </w:rPr>
        <w:t>十一、</w:t>
      </w:r>
      <w:r>
        <w:rPr>
          <w:rFonts w:hint="eastAsia" w:ascii="仿宋" w:eastAsia="仿宋"/>
          <w:b w:val="0"/>
        </w:rPr>
        <w:t>政</w:t>
      </w:r>
      <w:r>
        <w:rPr>
          <w:rStyle w:val="19"/>
          <w:rFonts w:hint="eastAsia" w:ascii="仿宋" w:eastAsia="仿宋"/>
          <w:b w:val="0"/>
          <w:bCs w:val="0"/>
        </w:rPr>
        <w:t>府性基金预算财政拨款收入支出决算表</w:t>
      </w:r>
      <w:bookmarkEnd w:id="64"/>
    </w:p>
    <w:p>
      <w:pPr>
        <w:pStyle w:val="4"/>
        <w:rPr>
          <w:rFonts w:ascii="仿宋" w:eastAsia="仿宋"/>
        </w:rPr>
      </w:pPr>
      <w:bookmarkStart w:id="65" w:name="_Toc15396630"/>
      <w:r>
        <w:rPr>
          <w:rStyle w:val="19"/>
          <w:rFonts w:hint="eastAsia" w:ascii="仿宋" w:eastAsia="仿宋"/>
          <w:b w:val="0"/>
          <w:bCs w:val="0"/>
        </w:rPr>
        <w:t>十二、</w:t>
      </w:r>
      <w:r>
        <w:rPr>
          <w:rFonts w:hint="eastAsia" w:ascii="仿宋" w:eastAsia="仿宋"/>
          <w:b w:val="0"/>
        </w:rPr>
        <w:t>政</w:t>
      </w:r>
      <w:r>
        <w:rPr>
          <w:rStyle w:val="19"/>
          <w:rFonts w:hint="eastAsia" w:ascii="仿宋" w:eastAsia="仿宋"/>
          <w:b w:val="0"/>
          <w:bCs w:val="0"/>
        </w:rPr>
        <w:t>府性基金预算财政拨款“三公”经费支出决算表</w:t>
      </w:r>
      <w:bookmarkEnd w:id="65"/>
    </w:p>
    <w:p>
      <w:pPr>
        <w:pStyle w:val="4"/>
        <w:rPr>
          <w:rStyle w:val="19"/>
          <w:rFonts w:ascii="仿宋" w:eastAsia="仿宋"/>
          <w:b w:val="0"/>
          <w:bCs w:val="0"/>
        </w:rPr>
      </w:pPr>
      <w:bookmarkStart w:id="66" w:name="_Toc15396631"/>
      <w:r>
        <w:rPr>
          <w:rStyle w:val="19"/>
          <w:rFonts w:hint="eastAsia" w:ascii="仿宋" w:eastAsia="仿宋"/>
          <w:b w:val="0"/>
          <w:bCs w:val="0"/>
        </w:rPr>
        <w:t>十三、</w:t>
      </w:r>
      <w:r>
        <w:rPr>
          <w:rFonts w:hint="eastAsia" w:ascii="仿宋" w:eastAsia="仿宋"/>
          <w:b w:val="0"/>
        </w:rPr>
        <w:t>国</w:t>
      </w:r>
      <w:r>
        <w:rPr>
          <w:rStyle w:val="19"/>
          <w:rFonts w:hint="eastAsia" w:ascii="仿宋" w:eastAsia="仿宋"/>
          <w:b w:val="0"/>
          <w:bCs w:val="0"/>
        </w:rPr>
        <w:t>有资本经营预算财政拨款收入支出决算表</w:t>
      </w:r>
      <w:bookmarkEnd w:id="66"/>
    </w:p>
    <w:p>
      <w:pPr>
        <w:rPr>
          <w:rFonts w:hint="eastAsia" w:ascii="仿宋_GB2312" w:eastAsia="仿宋_GB2312" w:cs="仿宋_GB2312"/>
          <w:sz w:val="32"/>
          <w:szCs w:val="32"/>
          <w:lang w:eastAsia="zh-CN"/>
        </w:rPr>
        <w:sectPr>
          <w:footerReference r:id="rId9" w:type="first"/>
          <w:headerReference r:id="rId7" w:type="default"/>
          <w:footerReference r:id="rId8" w:type="default"/>
          <w:pgSz w:w="11906" w:h="16838"/>
          <w:pgMar w:top="1440" w:right="1800" w:bottom="1440" w:left="1800" w:header="851" w:footer="992" w:gutter="0"/>
          <w:pgNumType w:fmt="numberInDash" w:start="46"/>
          <w:cols w:space="720" w:num="1"/>
          <w:titlePg/>
          <w:docGrid w:type="lines" w:linePitch="312" w:charSpace="0"/>
        </w:sectPr>
      </w:pPr>
      <w:r>
        <w:rPr>
          <w:rStyle w:val="19"/>
          <w:rFonts w:hint="eastAsia" w:ascii="仿宋" w:eastAsia="仿宋"/>
          <w:b w:val="0"/>
          <w:bCs w:val="0"/>
        </w:rPr>
        <w:t>十四、国有资本经营预算财政拨款支出决算表</w:t>
      </w:r>
    </w:p>
    <w:p>
      <w:pPr>
        <w:pStyle w:val="2"/>
      </w:pPr>
    </w:p>
    <w:sectPr>
      <w:footerReference r:id="rId11" w:type="first"/>
      <w:footerReference r:id="rId10" w:type="default"/>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33400" cy="230505"/>
              <wp:effectExtent l="0" t="0" r="0" b="0"/>
              <wp:wrapNone/>
              <wp:docPr id="1" name="文本框 1033"/>
              <wp:cNvGraphicFramePr/>
              <a:graphic xmlns:a="http://schemas.openxmlformats.org/drawingml/2006/main">
                <a:graphicData uri="http://schemas.microsoft.com/office/word/2010/wordprocessingShape">
                  <wps:wsp>
                    <wps:cNvSpPr/>
                    <wps:spPr>
                      <a:xfrm>
                        <a:off x="0" y="0"/>
                        <a:ext cx="533400" cy="230250"/>
                      </a:xfrm>
                      <a:prstGeom prst="rect">
                        <a:avLst/>
                      </a:prstGeom>
                      <a:noFill/>
                      <a:ln w="9525" cap="flat" cmpd="sng">
                        <a:noFill/>
                        <a:prstDash val="solid"/>
                        <a:round/>
                      </a:ln>
                    </wps:spPr>
                    <wps:txbx>
                      <w:txbxContent>
                        <w:p>
                          <w:pPr>
                            <w:pStyle w:val="8"/>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- 2 -</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033" o:spid="_x0000_s1026" o:spt="1" style="position:absolute;left:0pt;margin-top:0pt;height:18.15pt;width:42pt;mso-position-horizontal:outside;mso-position-horizontal-relative:margin;mso-wrap-style:none;z-index:251659264;mso-width-relative:page;mso-height-relative:page;" filled="f" stroked="f" coordsize="21600,21600" o:gfxdata="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">
              <v:fill on="f" focussize="0,0"/>
              <v:stroke on="f" joinstyle="round"/>
              <v:imagedata o:title=""/>
              <o:lock v:ext="edit" aspectratio="f"/>
              <v:textbox inset="0mm,0mm,0mm,0mm" style="mso-fit-shape-to-text:t;">
                <w:txbxContent>
                  <w:p>
                    <w:pPr>
                      <w:pStyle w:val="8"/>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- 2 -</w:t>
                    </w:r>
                    <w:r>
                      <w:rPr>
                        <w:rFonts w:hint="eastAsia" w:ascii="宋体" w:eastAsia="宋体" w:cs="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33400" cy="230505"/>
              <wp:effectExtent l="0" t="0" r="0" b="0"/>
              <wp:wrapNone/>
              <wp:docPr id="25" name="文本框 1039"/>
              <wp:cNvGraphicFramePr/>
              <a:graphic xmlns:a="http://schemas.openxmlformats.org/drawingml/2006/main">
                <a:graphicData uri="http://schemas.microsoft.com/office/word/2010/wordprocessingShape">
                  <wps:wsp>
                    <wps:cNvSpPr/>
                    <wps:spPr>
                      <a:xfrm>
                        <a:off x="0" y="0"/>
                        <a:ext cx="533400" cy="230250"/>
                      </a:xfrm>
                      <a:prstGeom prst="rect">
                        <a:avLst/>
                      </a:prstGeom>
                      <a:noFill/>
                      <a:ln w="9525" cap="flat" cmpd="sng">
                        <a:noFill/>
                        <a:prstDash val="solid"/>
                        <a:round/>
                      </a:ln>
                    </wps:spPr>
                    <wps:txbx>
                      <w:txbxContent>
                        <w:p>
                          <w:pPr>
                            <w:pStyle w:val="8"/>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- 2 -</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039" o:spid="_x0000_s1026" o:spt="1" style="position:absolute;left:0pt;margin-top:0pt;height:18.15pt;width:42pt;mso-position-horizontal:outside;mso-position-horizontal-relative:margin;mso-wrap-style:none;z-index:251659264;mso-width-relative:page;mso-height-relative:page;" filled="f" stroked="f" coordsize="21600,21600" o:gfxdata="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">
              <v:fill on="f" focussize="0,0"/>
              <v:stroke on="f" joinstyle="round"/>
              <v:imagedata o:title=""/>
              <o:lock v:ext="edit" aspectratio="f"/>
              <v:textbox inset="0mm,0mm,0mm,0mm" style="mso-fit-shape-to-text:t;">
                <w:txbxContent>
                  <w:p>
                    <w:pPr>
                      <w:pStyle w:val="8"/>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- 2 -</w:t>
                    </w:r>
                    <w:r>
                      <w:rPr>
                        <w:rFonts w:hint="eastAsia" w:ascii="宋体" w:eastAsia="宋体" w:cs="宋体"/>
                        <w:sz w:val="28"/>
                        <w:szCs w:val="2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144780" cy="440690"/>
              <wp:effectExtent l="0" t="0" r="0" b="0"/>
              <wp:wrapNone/>
              <wp:docPr id="28" name="文本框 2"/>
              <wp:cNvGraphicFramePr/>
              <a:graphic xmlns:a="http://schemas.openxmlformats.org/drawingml/2006/main">
                <a:graphicData uri="http://schemas.microsoft.com/office/word/2010/wordprocessingShape">
                  <wps:wsp>
                    <wps:cNvSpPr/>
                    <wps:spPr>
                      <a:xfrm>
                        <a:off x="0" y="0"/>
                        <a:ext cx="144779" cy="440690"/>
                      </a:xfrm>
                      <a:prstGeom prst="rect">
                        <a:avLst/>
                      </a:prstGeom>
                      <a:noFill/>
                      <a:ln w="6350" cap="flat" cmpd="sng">
                        <a:noFill/>
                        <a:prstDash val="solid"/>
                        <a:round/>
                      </a:ln>
                    </wps:spPr>
                    <wps:txbx>
                      <w:txbxContent>
                        <w:sdt>
                          <w:sdtPr>
                            <w:id w:val="1824348297"/>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2"/>
                          </w:pP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34.7pt;width:11.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">
              <v:fill on="f" focussize="0,0"/>
              <v:stroke on="f" weight="0.5pt" joinstyle="round"/>
              <v:imagedata o:title=""/>
              <o:lock v:ext="edit" aspectratio="f"/>
              <v:textbox inset="0mm,0mm,0mm,0mm" style="mso-fit-shape-to-text:t;">
                <w:txbxContent>
                  <w:sdt>
                    <w:sdtPr>
                      <w:id w:val="1824348297"/>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2"/>
                    </w:pPr>
                  </w:p>
                </w:txbxContent>
              </v:textbox>
            </v:rect>
          </w:pict>
        </mc:Fallback>
      </mc:AlternateConten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33400" cy="230505"/>
              <wp:effectExtent l="0" t="0" r="0" b="0"/>
              <wp:wrapNone/>
              <wp:docPr id="31" name="文本框 14"/>
              <wp:cNvGraphicFramePr/>
              <a:graphic xmlns:a="http://schemas.openxmlformats.org/drawingml/2006/main">
                <a:graphicData uri="http://schemas.microsoft.com/office/word/2010/wordprocessingShape">
                  <wps:wsp>
                    <wps:cNvSpPr/>
                    <wps:spPr>
                      <a:xfrm>
                        <a:off x="0" y="0"/>
                        <a:ext cx="533400" cy="230251"/>
                      </a:xfrm>
                      <a:prstGeom prst="rect">
                        <a:avLst/>
                      </a:prstGeom>
                      <a:noFill/>
                      <a:ln w="6350" cap="flat" cmpd="sng">
                        <a:noFill/>
                        <a:prstDash val="solid"/>
                        <a:round/>
                      </a:ln>
                    </wps:spPr>
                    <wps:txbx>
                      <w:txbxContent>
                        <w:p>
                          <w:pPr>
                            <w:pStyle w:val="8"/>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4" o:spid="_x0000_s1026" o:spt="1" style="position:absolute;left:0pt;margin-top:0pt;height:18.15pt;width:42pt;mso-position-horizontal:outside;mso-position-horizontal-relative:margin;mso-wrap-style:none;z-index:251659264;mso-width-relative:page;mso-height-relative:page;" filled="f" stroked="f" coordsize="21600,21600" o:gfxdata="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">
              <v:fill on="f" focussize="0,0"/>
              <v:stroke on="f" weight="0.5pt" joinstyle="round"/>
              <v:imagedata o:title=""/>
              <o:lock v:ext="edit" aspectratio="f"/>
              <v:textbox inset="0mm,0mm,0mm,0mm" style="mso-fit-shape-to-text:t;">
                <w:txbxContent>
                  <w:p>
                    <w:pPr>
                      <w:pStyle w:val="8"/>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289560" cy="134620"/>
              <wp:effectExtent l="0" t="0" r="0" b="0"/>
              <wp:wrapNone/>
              <wp:docPr id="34" name="文本框 11"/>
              <wp:cNvGraphicFramePr/>
              <a:graphic xmlns:a="http://schemas.openxmlformats.org/drawingml/2006/main">
                <a:graphicData uri="http://schemas.microsoft.com/office/word/2010/wordprocessingShape">
                  <wps:wsp>
                    <wps:cNvSpPr/>
                    <wps:spPr>
                      <a:xfrm>
                        <a:off x="0" y="0"/>
                        <a:ext cx="289559" cy="134620"/>
                      </a:xfrm>
                      <a:prstGeom prst="rect">
                        <a:avLst/>
                      </a:prstGeom>
                      <a:noFill/>
                      <a:ln w="6350" cap="flat" cmpd="sng">
                        <a:noFill/>
                        <a:prstDash val="solid"/>
                        <a:round/>
                      </a:ln>
                    </wps:spPr>
                    <wps:txbx>
                      <w:txbxContent>
                        <w:p>
                          <w:pPr>
                            <w:pStyle w:val="8"/>
                          </w:pPr>
                          <w:r>
                            <w:fldChar w:fldCharType="begin"/>
                          </w:r>
                          <w:r>
                            <w:instrText xml:space="preserve"> PAGE  \* MERGEFORMAT </w:instrText>
                          </w:r>
                          <w:r>
                            <w:fldChar w:fldCharType="separate"/>
                          </w:r>
                          <w:r>
                            <w:t>- 39 -</w:t>
                          </w:r>
                          <w: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0.6pt;width:22.8pt;mso-position-horizontal:outside;mso-position-horizontal-relative:margin;mso-wrap-style:none;z-index:251659264;mso-width-relative:page;mso-height-relative:page;" filled="f" stroked="f" coordsize="21600,21600" o:gfxdata="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">
              <v:fill on="f" focussize="0,0"/>
              <v:stroke on="f" weight="0.5pt" joinstyle="round"/>
              <v:imagedata o:title=""/>
              <o:lock v:ext="edit" aspectratio="f"/>
              <v:textbox inset="0mm,0mm,0mm,0mm" style="mso-fit-shape-to-text:t;">
                <w:txbxContent>
                  <w:p>
                    <w:pPr>
                      <w:pStyle w:val="8"/>
                    </w:pPr>
                    <w:r>
                      <w:fldChar w:fldCharType="begin"/>
                    </w:r>
                    <w:r>
                      <w:instrText xml:space="preserve"> PAGE  \* MERGEFORMAT </w:instrText>
                    </w:r>
                    <w:r>
                      <w:fldChar w:fldCharType="separate"/>
                    </w:r>
                    <w:r>
                      <w:t>- 39 -</w:t>
                    </w:r>
                    <w:r>
                      <w:fldChar w:fldCharType="end"/>
                    </w:r>
                  </w:p>
                </w:txbxContent>
              </v:textbox>
            </v:rect>
          </w:pict>
        </mc:Fallback>
      </mc:AlternateContent>
    </w: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33400" cy="230505"/>
              <wp:effectExtent l="0" t="0" r="0" b="0"/>
              <wp:wrapNone/>
              <wp:docPr id="37" name="文本框 12"/>
              <wp:cNvGraphicFramePr/>
              <a:graphic xmlns:a="http://schemas.openxmlformats.org/drawingml/2006/main">
                <a:graphicData uri="http://schemas.microsoft.com/office/word/2010/wordprocessingShape">
                  <wps:wsp>
                    <wps:cNvSpPr/>
                    <wps:spPr>
                      <a:xfrm>
                        <a:off x="0" y="0"/>
                        <a:ext cx="533400" cy="230251"/>
                      </a:xfrm>
                      <a:prstGeom prst="rect">
                        <a:avLst/>
                      </a:prstGeom>
                      <a:noFill/>
                      <a:ln w="6350" cap="flat" cmpd="sng">
                        <a:noFill/>
                        <a:prstDash val="solid"/>
                        <a:round/>
                      </a:ln>
                    </wps:spPr>
                    <wps:txbx>
                      <w:txbxContent>
                        <w:p>
                          <w:pPr>
                            <w:pStyle w:val="8"/>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2" o:spid="_x0000_s1026" o:spt="1" style="position:absolute;left:0pt;margin-top:0pt;height:18.15pt;width:42pt;mso-position-horizontal:outside;mso-position-horizontal-relative:margin;mso-wrap-style:none;z-index:251659264;mso-width-relative:page;mso-height-relative:page;" filled="f" stroked="f" coordsize="21600,21600" o:gfxdata="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">
              <v:fill on="f" focussize="0,0"/>
              <v:stroke on="f" weight="0.5pt" joinstyle="round"/>
              <v:imagedata o:title=""/>
              <o:lock v:ext="edit" aspectratio="f"/>
              <v:textbox inset="0mm,0mm,0mm,0mm" style="mso-fit-shape-to-text:t;">
                <w:txbxContent>
                  <w:p>
                    <w:pPr>
                      <w:pStyle w:val="8"/>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EA9AF"/>
    <w:multiLevelType w:val="singleLevel"/>
    <w:tmpl w:val="8DDEA9AF"/>
    <w:lvl w:ilvl="0" w:tentative="0">
      <w:start w:val="2"/>
      <w:numFmt w:val="decimal"/>
      <w:suff w:val="nothing"/>
      <w:lvlText w:val="%1．"/>
      <w:lvlJc w:val="left"/>
      <w:pPr>
        <w:tabs>
          <w:tab w:val="left" w:pos="0"/>
        </w:tabs>
        <w:ind w:left="0" w:firstLine="0"/>
      </w:pPr>
    </w:lvl>
  </w:abstractNum>
  <w:abstractNum w:abstractNumId="1">
    <w:nsid w:val="CF652CEC"/>
    <w:multiLevelType w:val="singleLevel"/>
    <w:tmpl w:val="CF652CEC"/>
    <w:lvl w:ilvl="0" w:tentative="0">
      <w:start w:val="9"/>
      <w:numFmt w:val="chineseCounting"/>
      <w:suff w:val="nothing"/>
      <w:lvlText w:val="%1、"/>
      <w:lvlJc w:val="left"/>
      <w:pPr>
        <w:tabs>
          <w:tab w:val="left" w:pos="0"/>
        </w:tabs>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tabs>
          <w:tab w:val="left" w:pos="0"/>
        </w:tabs>
        <w:ind w:left="1360" w:hanging="720"/>
      </w:pPr>
      <w:rPr>
        <w:rFonts w:hint="default"/>
        <w:b w:val="0"/>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zZjMGRmZTcyZDM2ZWM3MjliZDYyMjU5OWU5ZTc5MjQifQ=="/>
  </w:docVars>
  <w:rsids>
    <w:rsidRoot w:val="00000000"/>
    <w:rsid w:val="01A73C20"/>
    <w:rsid w:val="024E4B4B"/>
    <w:rsid w:val="089154C7"/>
    <w:rsid w:val="0B5624B8"/>
    <w:rsid w:val="0BE212FD"/>
    <w:rsid w:val="24A87C93"/>
    <w:rsid w:val="268A12B6"/>
    <w:rsid w:val="2B3B716B"/>
    <w:rsid w:val="2B4A435C"/>
    <w:rsid w:val="2C5F157F"/>
    <w:rsid w:val="38B86D83"/>
    <w:rsid w:val="47C22C96"/>
    <w:rsid w:val="47E34B32"/>
    <w:rsid w:val="49325BF9"/>
    <w:rsid w:val="49606CC3"/>
    <w:rsid w:val="63B45510"/>
    <w:rsid w:val="6FFFF764"/>
    <w:rsid w:val="707F70C6"/>
    <w:rsid w:val="715D0776"/>
    <w:rsid w:val="71E10E40"/>
    <w:rsid w:val="7B7B3F1B"/>
    <w:rsid w:val="7FDFBE3B"/>
    <w:rsid w:val="9FEF6AFB"/>
    <w:rsid w:val="E37A1C07"/>
    <w:rsid w:val="ED747004"/>
    <w:rsid w:val="FBBF7FB8"/>
    <w:rsid w:val="FFDF37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9"/>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able of figures"/>
    <w:basedOn w:val="1"/>
    <w:next w:val="1"/>
    <w:qFormat/>
    <w:uiPriority w:val="0"/>
    <w:pPr>
      <w:ind w:left="400" w:leftChars="200" w:hanging="200" w:hangingChars="200"/>
    </w:pPr>
  </w:style>
  <w:style w:type="paragraph" w:styleId="12">
    <w:name w:val="toc 2"/>
    <w:basedOn w:val="1"/>
    <w:next w:val="1"/>
    <w:qFormat/>
    <w:uiPriority w:val="0"/>
    <w:pPr>
      <w:tabs>
        <w:tab w:val="right" w:leader="dot" w:pos="8296"/>
      </w:tabs>
      <w:ind w:left="200" w:leftChars="200"/>
    </w:pPr>
  </w:style>
  <w:style w:type="paragraph" w:styleId="13">
    <w:name w:val="Normal (Web)"/>
    <w:basedOn w:val="1"/>
    <w:qFormat/>
    <w:uiPriority w:val="0"/>
    <w:pPr>
      <w:widowControl/>
      <w:spacing w:before="100" w:beforeAutospacing="1" w:after="100" w:afterAutospacing="1"/>
      <w:jc w:val="left"/>
    </w:pPr>
    <w:rPr>
      <w:rFonts w:ascii="宋体" w:cs="宋体"/>
      <w:kern w:val="0"/>
      <w:sz w:val="24"/>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customStyle="1" w:styleId="18">
    <w:name w:val="heading 1 Char"/>
    <w:basedOn w:val="15"/>
    <w:link w:val="3"/>
    <w:qFormat/>
    <w:uiPriority w:val="0"/>
    <w:rPr>
      <w:rFonts w:ascii="Times New Roman" w:hAnsi="Times New Roman" w:eastAsia="宋体" w:cs="Times New Roman"/>
      <w:b/>
      <w:bCs/>
      <w:kern w:val="44"/>
      <w:sz w:val="44"/>
      <w:szCs w:val="44"/>
      <w:lang w:val="en-US" w:eastAsia="zh-CN" w:bidi="ar-SA"/>
    </w:rPr>
  </w:style>
  <w:style w:type="character" w:customStyle="1" w:styleId="19">
    <w:name w:val="heading 2 Char"/>
    <w:basedOn w:val="15"/>
    <w:link w:val="4"/>
    <w:qFormat/>
    <w:uiPriority w:val="0"/>
    <w:rPr>
      <w:rFonts w:ascii="Cambria" w:hAnsi="Cambria" w:eastAsia="宋体" w:cs="Times New Roman"/>
      <w:b/>
      <w:bCs/>
      <w:kern w:val="2"/>
      <w:sz w:val="32"/>
      <w:szCs w:val="32"/>
      <w:lang w:val="en-US" w:eastAsia="zh-CN" w:bidi="ar-SA"/>
    </w:rPr>
  </w:style>
  <w:style w:type="character" w:customStyle="1" w:styleId="20">
    <w:name w:val="Header Char"/>
    <w:basedOn w:val="15"/>
    <w:qFormat/>
    <w:uiPriority w:val="0"/>
    <w:rPr>
      <w:rFonts w:ascii="Times New Roman" w:hAnsi="Times New Roman"/>
      <w:sz w:val="18"/>
      <w:szCs w:val="18"/>
    </w:rPr>
  </w:style>
  <w:style w:type="character" w:customStyle="1" w:styleId="21">
    <w:name w:val="Footer Char"/>
    <w:basedOn w:val="15"/>
    <w:qFormat/>
    <w:uiPriority w:val="0"/>
    <w:rPr>
      <w:rFonts w:ascii="Times New Roman" w:hAnsi="Times New Roman"/>
      <w:sz w:val="18"/>
      <w:szCs w:val="18"/>
    </w:rPr>
  </w:style>
  <w:style w:type="character" w:customStyle="1" w:styleId="22">
    <w:name w:val="Body Text Char"/>
    <w:basedOn w:val="15"/>
    <w:qFormat/>
    <w:uiPriority w:val="0"/>
    <w:rPr>
      <w:rFonts w:ascii="Times New Roman" w:hAnsi="Times New Roman"/>
      <w:szCs w:val="24"/>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4">
    <w:name w:val="List Paragraph"/>
    <w:basedOn w:val="1"/>
    <w:qFormat/>
    <w:uiPriority w:val="0"/>
    <w:pPr>
      <w:ind w:firstLine="200" w:firstLineChars="200"/>
    </w:pPr>
  </w:style>
  <w:style w:type="paragraph" w:customStyle="1" w:styleId="25">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6">
    <w:name w:val="TOC 标题2"/>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8">
    <w:name w:val="常用样式（方正仿宋简）"/>
    <w:basedOn w:val="1"/>
    <w:qFormat/>
    <w:uiPriority w:val="0"/>
    <w:pPr>
      <w:spacing w:line="560" w:lineRule="exact"/>
      <w:ind w:firstLine="20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48</Pages>
  <Words>18641</Words>
  <Characters>19572</Characters>
  <Lines>1376</Lines>
  <Paragraphs>758</Paragraphs>
  <TotalTime>18</TotalTime>
  <ScaleCrop>false</ScaleCrop>
  <LinksUpToDate>false</LinksUpToDate>
  <CharactersWithSpaces>19654</CharactersWithSpaces>
  <Application>WPS Office_11.8.2.1120_F1E327BC-269C-435d-A152-05C5408002CA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2022-09-19T05:25:00Z</dcterms:created>
  <dc:creator>曹颖</dc:creator>
  <cp:lastModifiedBy>user</cp:lastModifiedBy>
  <cp:lastPrinted>2022-09-28T11:34:00Z</cp:lastPrinted>
  <dcterms:modified xsi:type="dcterms:W3CDTF">2023-06-21T11:17:33Z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AC77728E4189685CD861926443CEC69C</vt:lpwstr>
  </property>
</Properties>
</file>