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eastAsia="zh-CN"/>
        </w:rPr>
      </w:pPr>
      <w:bookmarkStart w:id="1" w:name="_Toc15377194"/>
      <w:bookmarkStart w:id="2" w:name="_Toc15378442"/>
      <w:bookmarkStart w:id="3" w:name="_Toc15396598"/>
      <w:bookmarkStart w:id="4" w:name="_Toc15377426"/>
      <w:bookmarkStart w:id="5" w:name="_Toc15396476"/>
      <w:r>
        <w:rPr>
          <w:rFonts w:hint="eastAsia" w:ascii="方正小标宋简体" w:hAnsi="方正小标宋简体" w:eastAsia="方正小标宋简体" w:cs="方正小标宋简体"/>
          <w:sz w:val="72"/>
          <w:szCs w:val="72"/>
        </w:rPr>
        <w:t>广元市</w:t>
      </w:r>
      <w:bookmarkEnd w:id="0"/>
      <w:bookmarkStart w:id="6" w:name="_Toc15306268"/>
      <w:r>
        <w:rPr>
          <w:rFonts w:hint="eastAsia" w:ascii="方正小标宋简体" w:hAnsi="方正小标宋简体" w:eastAsia="方正小标宋简体" w:cs="方正小标宋简体"/>
          <w:sz w:val="72"/>
          <w:szCs w:val="72"/>
        </w:rPr>
        <w:t>矿山安全培训中心</w:t>
      </w:r>
      <w:bookmarkStart w:id="7" w:name="_Toc15396597"/>
      <w:bookmarkStart w:id="8" w:name="_Toc15377193"/>
      <w:bookmarkStart w:id="9" w:name="_Toc15378441"/>
      <w:bookmarkStart w:id="10" w:name="_Toc15377425"/>
      <w:bookmarkStart w:id="11" w:name="_Toc15396475"/>
      <w:r>
        <w:rPr>
          <w:rFonts w:hint="eastAsia" w:ascii="方正小标宋简体" w:hAnsi="方正小标宋简体" w:eastAsia="方正小标宋简体" w:cs="方正小标宋简体"/>
          <w:sz w:val="72"/>
          <w:szCs w:val="72"/>
        </w:rPr>
        <w:t>2021年</w:t>
      </w:r>
      <w:bookmarkEnd w:id="7"/>
      <w:bookmarkEnd w:id="8"/>
      <w:bookmarkEnd w:id="9"/>
      <w:bookmarkEnd w:id="10"/>
      <w:bookmarkEnd w:id="11"/>
      <w:r>
        <w:rPr>
          <w:rFonts w:hint="eastAsia" w:ascii="方正小标宋简体" w:hAnsi="方正小标宋简体" w:eastAsia="方正小标宋简体" w:cs="方正小标宋简体"/>
          <w:sz w:val="72"/>
          <w:szCs w:val="72"/>
          <w:lang w:eastAsia="zh-CN"/>
        </w:rPr>
        <w:t>单位</w:t>
      </w:r>
      <w:r>
        <w:rPr>
          <w:rFonts w:hint="eastAsia" w:ascii="方正小标宋简体" w:hAnsi="方正小标宋简体" w:eastAsia="方正小标宋简体" w:cs="方正小标宋简体"/>
          <w:sz w:val="72"/>
          <w:szCs w:val="72"/>
        </w:rPr>
        <w:t>决算</w:t>
      </w:r>
      <w:bookmarkEnd w:id="1"/>
      <w:bookmarkEnd w:id="2"/>
      <w:bookmarkEnd w:id="3"/>
      <w:bookmarkEnd w:id="4"/>
      <w:bookmarkEnd w:id="5"/>
      <w:bookmarkEnd w:id="6"/>
      <w:r>
        <w:rPr>
          <w:rFonts w:hint="eastAsia" w:ascii="方正小标宋简体" w:hAnsi="方正小标宋简体" w:eastAsia="方正小标宋简体" w:cs="方正小标宋简体"/>
          <w:sz w:val="72"/>
          <w:szCs w:val="72"/>
          <w:lang w:eastAsia="zh-CN"/>
        </w:rPr>
        <w:t>公开</w:t>
      </w:r>
    </w:p>
    <w:p>
      <w:pPr>
        <w:adjustRightInd w:val="0"/>
        <w:snapToGrid w:val="0"/>
        <w:spacing w:line="360" w:lineRule="auto"/>
        <w:jc w:val="center"/>
        <w:outlineLvl w:val="0"/>
        <w:rPr>
          <w:rFonts w:ascii="黑体" w:hAnsi="黑体" w:eastAsia="黑体"/>
          <w:sz w:val="48"/>
          <w:szCs w:val="48"/>
        </w:rPr>
      </w:pPr>
      <w:r>
        <w:rPr>
          <w:rFonts w:hint="eastAsia" w:ascii="方正小标宋简体" w:hAnsi="方正小标宋简体" w:eastAsia="方正小标宋简体" w:cs="方正小标宋简体"/>
          <w:sz w:val="72"/>
          <w:szCs w:val="72"/>
          <w:lang w:val="en-US" w:eastAsia="zh-CN"/>
        </w:rPr>
        <w:t>说  明</w:t>
      </w: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2"/>
      </w:pPr>
      <w:r>
        <w:rPr>
          <w:rFonts w:hint="eastAsia"/>
        </w:rPr>
        <w:t>公开时间：2022年9月30日</w:t>
      </w:r>
    </w:p>
    <w:p/>
    <w:p>
      <w:pPr>
        <w:pStyle w:val="12"/>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单位概况-------------------------------------------------4</w:t>
      </w:r>
    </w:p>
    <w:p>
      <w:pPr>
        <w:pStyle w:val="14"/>
        <w:adjustRightInd w:val="0"/>
        <w:snapToGrid w:val="0"/>
        <w:spacing w:line="440" w:lineRule="exact"/>
        <w:jc w:val="left"/>
        <w:rPr>
          <w:sz w:val="24"/>
        </w:rPr>
      </w:pPr>
      <w:r>
        <w:rPr>
          <w:rFonts w:hint="eastAsia"/>
          <w:sz w:val="24"/>
        </w:rPr>
        <w:t>一、职能简介--------------------------------------------------------------------------4</w:t>
      </w:r>
    </w:p>
    <w:p>
      <w:pPr>
        <w:pStyle w:val="14"/>
        <w:adjustRightInd w:val="0"/>
        <w:snapToGrid w:val="0"/>
        <w:spacing w:line="44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二、2021年重点工作完成情况-----------------------------------4</w:t>
      </w:r>
    </w:p>
    <w:p>
      <w:pPr>
        <w:pStyle w:val="12"/>
        <w:adjustRightInd w:val="0"/>
        <w:snapToGrid w:val="0"/>
        <w:spacing w:before="0" w:line="440" w:lineRule="exact"/>
        <w:jc w:val="left"/>
        <w:rPr>
          <w:sz w:val="24"/>
          <w:szCs w:val="24"/>
        </w:rPr>
      </w:pPr>
      <w:r>
        <w:rPr>
          <w:rFonts w:hint="eastAsia"/>
          <w:sz w:val="24"/>
        </w:rPr>
        <w:t>第二部分 2021年度单位决算情况说----------------------------------6</w:t>
      </w:r>
    </w:p>
    <w:p>
      <w:pPr>
        <w:pStyle w:val="14"/>
        <w:adjustRightInd w:val="0"/>
        <w:snapToGrid w:val="0"/>
        <w:spacing w:line="440" w:lineRule="exact"/>
        <w:jc w:val="left"/>
        <w:rPr>
          <w:rFonts w:ascii="仿宋" w:hAnsi="仿宋" w:cstheme="minorBidi"/>
          <w:sz w:val="24"/>
        </w:rPr>
      </w:pPr>
      <w:r>
        <w:rPr>
          <w:rFonts w:hint="eastAsia"/>
          <w:sz w:val="24"/>
        </w:rPr>
        <w:t>一、收入支出决算总体情况说明--------------------------------------------------7</w:t>
      </w:r>
    </w:p>
    <w:p>
      <w:pPr>
        <w:pStyle w:val="14"/>
        <w:adjustRightInd w:val="0"/>
        <w:snapToGrid w:val="0"/>
        <w:spacing w:line="440" w:lineRule="exact"/>
        <w:jc w:val="left"/>
        <w:rPr>
          <w:rFonts w:ascii="仿宋" w:hAnsi="仿宋" w:cstheme="minorBidi"/>
          <w:sz w:val="24"/>
        </w:rPr>
      </w:pPr>
      <w:r>
        <w:rPr>
          <w:rFonts w:hint="eastAsia"/>
          <w:sz w:val="24"/>
        </w:rPr>
        <w:t>二、收入决算情况说明--------------------------------------------------------------7</w:t>
      </w:r>
    </w:p>
    <w:p>
      <w:pPr>
        <w:pStyle w:val="14"/>
        <w:adjustRightInd w:val="0"/>
        <w:snapToGrid w:val="0"/>
        <w:spacing w:line="440" w:lineRule="exact"/>
        <w:jc w:val="left"/>
        <w:rPr>
          <w:rFonts w:ascii="仿宋" w:hAnsi="仿宋" w:cstheme="minorBidi"/>
          <w:sz w:val="24"/>
        </w:rPr>
      </w:pPr>
      <w:r>
        <w:rPr>
          <w:rFonts w:hint="eastAsia"/>
          <w:sz w:val="24"/>
        </w:rPr>
        <w:t>三、支出决算情况说明--------------------------------------------------------------7</w:t>
      </w:r>
    </w:p>
    <w:p>
      <w:pPr>
        <w:pStyle w:val="14"/>
        <w:adjustRightInd w:val="0"/>
        <w:snapToGrid w:val="0"/>
        <w:spacing w:line="440" w:lineRule="exact"/>
        <w:jc w:val="left"/>
        <w:rPr>
          <w:rFonts w:ascii="仿宋" w:hAnsi="仿宋" w:cstheme="minorBidi"/>
          <w:sz w:val="24"/>
        </w:rPr>
      </w:pPr>
      <w:r>
        <w:rPr>
          <w:rFonts w:hint="eastAsia"/>
          <w:sz w:val="24"/>
        </w:rPr>
        <w:t>四、财政拨款收入支出决算总体情况说明--------------------------------------8</w:t>
      </w:r>
    </w:p>
    <w:p>
      <w:pPr>
        <w:pStyle w:val="14"/>
        <w:adjustRightInd w:val="0"/>
        <w:snapToGrid w:val="0"/>
        <w:spacing w:line="440" w:lineRule="exact"/>
        <w:jc w:val="left"/>
        <w:rPr>
          <w:rFonts w:ascii="仿宋" w:hAnsi="仿宋" w:cstheme="minorBidi"/>
          <w:sz w:val="24"/>
        </w:rPr>
      </w:pPr>
      <w:r>
        <w:rPr>
          <w:rFonts w:hint="eastAsia"/>
          <w:sz w:val="24"/>
        </w:rPr>
        <w:t>五、一般公共预算财政拨款支出决算情况说明--------------------------------8</w:t>
      </w:r>
    </w:p>
    <w:p>
      <w:pPr>
        <w:pStyle w:val="14"/>
        <w:adjustRightInd w:val="0"/>
        <w:snapToGrid w:val="0"/>
        <w:spacing w:line="440" w:lineRule="exact"/>
        <w:jc w:val="left"/>
        <w:rPr>
          <w:rFonts w:ascii="仿宋" w:hAnsi="仿宋" w:cstheme="minorBidi"/>
          <w:sz w:val="24"/>
        </w:rPr>
      </w:pPr>
      <w:r>
        <w:rPr>
          <w:rFonts w:hint="eastAsia"/>
          <w:sz w:val="24"/>
        </w:rPr>
        <w:t>六、一般公共预算财政拨款基本支出决算情况说明--------------------------10</w:t>
      </w:r>
    </w:p>
    <w:p>
      <w:pPr>
        <w:pStyle w:val="14"/>
        <w:adjustRightInd w:val="0"/>
        <w:snapToGrid w:val="0"/>
        <w:spacing w:line="440" w:lineRule="exact"/>
        <w:jc w:val="left"/>
        <w:rPr>
          <w:rFonts w:ascii="仿宋" w:hAnsi="仿宋" w:cstheme="minorBidi"/>
          <w:sz w:val="24"/>
        </w:rPr>
      </w:pPr>
      <w:r>
        <w:rPr>
          <w:rFonts w:hint="eastAsia"/>
          <w:sz w:val="24"/>
        </w:rPr>
        <w:t>七、“三公”经费财政拨款支出决算情况说明--------------------------------1</w:t>
      </w:r>
      <w:r>
        <w:rPr>
          <w:sz w:val="24"/>
        </w:rPr>
        <w:t>0</w:t>
      </w:r>
    </w:p>
    <w:p>
      <w:pPr>
        <w:pStyle w:val="14"/>
        <w:adjustRightInd w:val="0"/>
        <w:snapToGrid w:val="0"/>
        <w:spacing w:line="440" w:lineRule="exact"/>
        <w:jc w:val="left"/>
        <w:rPr>
          <w:rFonts w:ascii="仿宋" w:hAnsi="仿宋" w:cstheme="minorBidi"/>
          <w:sz w:val="24"/>
        </w:rPr>
      </w:pPr>
      <w:r>
        <w:rPr>
          <w:rFonts w:hint="eastAsia"/>
          <w:sz w:val="24"/>
        </w:rPr>
        <w:t>八、政府性基金预算支出决算情况说明-----------------------------------------1</w:t>
      </w:r>
      <w:r>
        <w:rPr>
          <w:sz w:val="24"/>
        </w:rPr>
        <w:t>2</w:t>
      </w:r>
    </w:p>
    <w:p>
      <w:pPr>
        <w:pStyle w:val="14"/>
        <w:adjustRightInd w:val="0"/>
        <w:snapToGrid w:val="0"/>
        <w:spacing w:line="440" w:lineRule="exact"/>
        <w:jc w:val="left"/>
        <w:rPr>
          <w:sz w:val="24"/>
        </w:rPr>
      </w:pPr>
      <w:r>
        <w:rPr>
          <w:rFonts w:hint="eastAsia"/>
          <w:sz w:val="24"/>
        </w:rPr>
        <w:t>九、国有资本经营预算支出决算情况说明--------------------------------------13</w:t>
      </w:r>
    </w:p>
    <w:p>
      <w:pPr>
        <w:pStyle w:val="14"/>
        <w:adjustRightInd w:val="0"/>
        <w:snapToGrid w:val="0"/>
        <w:spacing w:line="440" w:lineRule="exact"/>
        <w:jc w:val="left"/>
      </w:pPr>
      <w:r>
        <w:rPr>
          <w:rFonts w:hint="eastAsia"/>
          <w:sz w:val="24"/>
        </w:rPr>
        <w:t>十、</w:t>
      </w:r>
      <w:r>
        <w:rPr>
          <w:rFonts w:hint="eastAsia" w:asciiTheme="minorEastAsia" w:hAnsiTheme="minorEastAsia" w:eastAsiaTheme="minorEastAsia" w:cstheme="minorEastAsia"/>
          <w:sz w:val="24"/>
        </w:rPr>
        <w:t>预算绩效管理情况-----------------------------------------13</w:t>
      </w:r>
    </w:p>
    <w:p>
      <w:pPr>
        <w:pStyle w:val="14"/>
        <w:adjustRightInd w:val="0"/>
        <w:snapToGrid w:val="0"/>
        <w:spacing w:line="440" w:lineRule="exact"/>
        <w:jc w:val="left"/>
      </w:pPr>
      <w:r>
        <w:rPr>
          <w:rFonts w:hint="eastAsia"/>
          <w:sz w:val="24"/>
        </w:rPr>
        <w:t>十一、其他重要事项的情况说明-------------------------------------------------13</w:t>
      </w:r>
    </w:p>
    <w:p>
      <w:pPr>
        <w:pStyle w:val="12"/>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名词解释-----------------------------------------------14</w:t>
      </w:r>
    </w:p>
    <w:p>
      <w:pPr>
        <w:pStyle w:val="12"/>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附件---------------------------------------------1</w:t>
      </w:r>
      <w:r>
        <w:rPr>
          <w:sz w:val="24"/>
        </w:rPr>
        <w:t>6</w:t>
      </w:r>
    </w:p>
    <w:p>
      <w:pPr>
        <w:pStyle w:val="12"/>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附表--------------------------------------------------3</w:t>
      </w:r>
      <w:r>
        <w:rPr>
          <w:sz w:val="24"/>
        </w:rPr>
        <w:t>3</w:t>
      </w:r>
    </w:p>
    <w:p>
      <w:pPr>
        <w:pStyle w:val="14"/>
        <w:adjustRightInd w:val="0"/>
        <w:snapToGrid w:val="0"/>
        <w:spacing w:line="440" w:lineRule="exact"/>
        <w:jc w:val="left"/>
        <w:rPr>
          <w:sz w:val="24"/>
        </w:rPr>
      </w:pPr>
      <w:r>
        <w:rPr>
          <w:rFonts w:hint="eastAsia"/>
          <w:sz w:val="24"/>
        </w:rPr>
        <w:t>一、收入支出决算总表</w:t>
      </w:r>
    </w:p>
    <w:p>
      <w:pPr>
        <w:pStyle w:val="14"/>
        <w:adjustRightInd w:val="0"/>
        <w:snapToGrid w:val="0"/>
        <w:spacing w:line="440" w:lineRule="exact"/>
        <w:jc w:val="left"/>
        <w:rPr>
          <w:sz w:val="24"/>
        </w:rPr>
      </w:pPr>
      <w:r>
        <w:rPr>
          <w:rFonts w:hint="eastAsia"/>
          <w:sz w:val="24"/>
        </w:rPr>
        <w:t>二、收入决算表</w:t>
      </w:r>
    </w:p>
    <w:p>
      <w:pPr>
        <w:pStyle w:val="14"/>
        <w:adjustRightInd w:val="0"/>
        <w:snapToGrid w:val="0"/>
        <w:spacing w:line="440" w:lineRule="exact"/>
        <w:jc w:val="left"/>
        <w:rPr>
          <w:sz w:val="24"/>
        </w:rPr>
      </w:pPr>
      <w:r>
        <w:rPr>
          <w:rFonts w:hint="eastAsia"/>
          <w:sz w:val="24"/>
        </w:rPr>
        <w:t>三、支出决算表</w:t>
      </w:r>
    </w:p>
    <w:p>
      <w:pPr>
        <w:pStyle w:val="14"/>
        <w:adjustRightInd w:val="0"/>
        <w:snapToGrid w:val="0"/>
        <w:spacing w:line="440" w:lineRule="exact"/>
        <w:jc w:val="left"/>
        <w:rPr>
          <w:sz w:val="24"/>
        </w:rPr>
      </w:pPr>
      <w:r>
        <w:rPr>
          <w:rFonts w:hint="eastAsia"/>
          <w:sz w:val="24"/>
        </w:rPr>
        <w:t>四、财政拨款收入支出决算总表</w:t>
      </w:r>
    </w:p>
    <w:p>
      <w:pPr>
        <w:pStyle w:val="14"/>
        <w:adjustRightInd w:val="0"/>
        <w:snapToGrid w:val="0"/>
        <w:spacing w:line="440" w:lineRule="exact"/>
        <w:jc w:val="left"/>
        <w:rPr>
          <w:sz w:val="24"/>
        </w:rPr>
      </w:pPr>
      <w:r>
        <w:rPr>
          <w:rFonts w:hint="eastAsia"/>
          <w:sz w:val="24"/>
        </w:rPr>
        <w:t>五、财政拨款支出决算明细表</w:t>
      </w:r>
    </w:p>
    <w:p>
      <w:pPr>
        <w:pStyle w:val="14"/>
        <w:adjustRightInd w:val="0"/>
        <w:snapToGrid w:val="0"/>
        <w:spacing w:line="440" w:lineRule="exact"/>
        <w:jc w:val="left"/>
        <w:rPr>
          <w:sz w:val="24"/>
        </w:rPr>
      </w:pPr>
      <w:r>
        <w:rPr>
          <w:rFonts w:hint="eastAsia"/>
          <w:sz w:val="24"/>
        </w:rPr>
        <w:t>六、一般公共预算财政拨款支出决算表</w:t>
      </w:r>
    </w:p>
    <w:p>
      <w:pPr>
        <w:pStyle w:val="14"/>
        <w:adjustRightInd w:val="0"/>
        <w:snapToGrid w:val="0"/>
        <w:spacing w:line="440" w:lineRule="exact"/>
        <w:jc w:val="left"/>
        <w:rPr>
          <w:sz w:val="24"/>
        </w:rPr>
      </w:pPr>
      <w:r>
        <w:rPr>
          <w:rFonts w:hint="eastAsia"/>
          <w:sz w:val="24"/>
        </w:rPr>
        <w:t>七、一般公共预算财政拨款支出决算明细表</w:t>
      </w:r>
    </w:p>
    <w:p>
      <w:pPr>
        <w:pStyle w:val="14"/>
        <w:adjustRightInd w:val="0"/>
        <w:snapToGrid w:val="0"/>
        <w:spacing w:line="440" w:lineRule="exact"/>
        <w:jc w:val="left"/>
        <w:rPr>
          <w:sz w:val="24"/>
        </w:rPr>
      </w:pPr>
      <w:r>
        <w:rPr>
          <w:rFonts w:hint="eastAsia"/>
          <w:sz w:val="24"/>
        </w:rPr>
        <w:t>八、一般公共预算财政拨款基本支出决算表</w:t>
      </w:r>
    </w:p>
    <w:p>
      <w:pPr>
        <w:pStyle w:val="14"/>
        <w:adjustRightInd w:val="0"/>
        <w:snapToGrid w:val="0"/>
        <w:spacing w:line="440" w:lineRule="exact"/>
        <w:jc w:val="left"/>
        <w:rPr>
          <w:sz w:val="24"/>
        </w:rPr>
      </w:pPr>
      <w:r>
        <w:rPr>
          <w:rFonts w:hint="eastAsia"/>
          <w:sz w:val="24"/>
        </w:rPr>
        <w:t>九、一般公共预算财政拨款项目支出决算表</w:t>
      </w:r>
    </w:p>
    <w:p>
      <w:pPr>
        <w:pStyle w:val="14"/>
        <w:adjustRightInd w:val="0"/>
        <w:snapToGrid w:val="0"/>
        <w:spacing w:line="440" w:lineRule="exact"/>
        <w:jc w:val="left"/>
        <w:rPr>
          <w:sz w:val="24"/>
        </w:rPr>
      </w:pPr>
      <w:r>
        <w:rPr>
          <w:rFonts w:hint="eastAsia"/>
          <w:sz w:val="24"/>
        </w:rPr>
        <w:t>十、一般公共预算财政拨款“三公”经费支出决算表</w:t>
      </w:r>
    </w:p>
    <w:p>
      <w:pPr>
        <w:pStyle w:val="14"/>
        <w:adjustRightInd w:val="0"/>
        <w:snapToGrid w:val="0"/>
        <w:spacing w:line="440" w:lineRule="exact"/>
        <w:jc w:val="left"/>
        <w:rPr>
          <w:sz w:val="24"/>
        </w:rPr>
      </w:pPr>
      <w:r>
        <w:rPr>
          <w:rFonts w:hint="eastAsia"/>
          <w:sz w:val="24"/>
        </w:rPr>
        <w:t>十一、政府性基金预算财政拨款收入支出决算表</w:t>
      </w:r>
    </w:p>
    <w:p>
      <w:pPr>
        <w:pStyle w:val="14"/>
        <w:adjustRightInd w:val="0"/>
        <w:snapToGrid w:val="0"/>
        <w:spacing w:line="440" w:lineRule="exact"/>
        <w:jc w:val="left"/>
        <w:rPr>
          <w:sz w:val="24"/>
        </w:rPr>
      </w:pPr>
      <w:r>
        <w:rPr>
          <w:rFonts w:hint="eastAsia"/>
          <w:sz w:val="24"/>
        </w:rPr>
        <w:t>十二、政府性基金预算财政拨款“三公”经费支出决算表</w:t>
      </w:r>
    </w:p>
    <w:p>
      <w:pPr>
        <w:pStyle w:val="14"/>
        <w:adjustRightInd w:val="0"/>
        <w:snapToGrid w:val="0"/>
        <w:spacing w:line="440" w:lineRule="exact"/>
        <w:jc w:val="left"/>
        <w:rPr>
          <w:sz w:val="24"/>
        </w:rPr>
      </w:pPr>
      <w:r>
        <w:rPr>
          <w:rFonts w:hint="eastAsia"/>
          <w:sz w:val="24"/>
        </w:rPr>
        <w:t>十三、国有资本经营预算财政拨款收入支出决算表</w:t>
      </w:r>
    </w:p>
    <w:p>
      <w:pPr>
        <w:pStyle w:val="14"/>
        <w:adjustRightInd w:val="0"/>
        <w:snapToGrid w:val="0"/>
        <w:spacing w:line="440" w:lineRule="exact"/>
        <w:jc w:val="left"/>
        <w:rPr>
          <w:sz w:val="24"/>
        </w:rPr>
      </w:pPr>
      <w:r>
        <w:rPr>
          <w:rFonts w:hint="eastAsia"/>
          <w:sz w:val="24"/>
        </w:rPr>
        <w:t>十四、国有资本经营预算财政拨款支出决算表</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4"/>
        <w:jc w:val="center"/>
        <w:rPr>
          <w:rStyle w:val="28"/>
          <w:rFonts w:ascii="黑体" w:hAnsi="黑体" w:eastAsia="黑体"/>
          <w:b/>
          <w:bCs w:val="0"/>
        </w:rPr>
      </w:pPr>
      <w:r>
        <w:rPr>
          <w:rFonts w:hint="eastAsia" w:ascii="黑体" w:hAnsi="黑体" w:eastAsia="黑体"/>
          <w:b w:val="0"/>
        </w:rPr>
        <w:t>第一部分 单位</w:t>
      </w:r>
      <w:r>
        <w:rPr>
          <w:rStyle w:val="28"/>
          <w:rFonts w:hint="eastAsia" w:ascii="黑体" w:hAnsi="黑体" w:eastAsia="黑体"/>
          <w:b w:val="0"/>
          <w:bCs w:val="0"/>
        </w:rPr>
        <w:t>概况</w:t>
      </w:r>
      <w:bookmarkEnd w:id="12"/>
      <w:bookmarkEnd w:id="13"/>
    </w:p>
    <w:p>
      <w:pPr>
        <w:widowControl/>
        <w:jc w:val="left"/>
        <w:rPr>
          <w:rFonts w:ascii="黑体" w:eastAsia="黑体"/>
          <w:sz w:val="32"/>
          <w:szCs w:val="32"/>
        </w:rPr>
      </w:pPr>
    </w:p>
    <w:p>
      <w:pPr>
        <w:pStyle w:val="5"/>
        <w:numPr>
          <w:ilvl w:val="0"/>
          <w:numId w:val="1"/>
        </w:numPr>
        <w:rPr>
          <w:rStyle w:val="29"/>
          <w:rFonts w:ascii="黑体" w:hAnsi="黑体" w:eastAsia="黑体"/>
          <w:b w:val="0"/>
          <w:bCs w:val="0"/>
        </w:rPr>
      </w:pPr>
      <w:bookmarkStart w:id="14" w:name="_Toc15377197"/>
      <w:bookmarkStart w:id="15" w:name="_Toc15396600"/>
      <w:r>
        <w:rPr>
          <w:rStyle w:val="29"/>
          <w:rFonts w:hint="eastAsia" w:ascii="黑体" w:hAnsi="黑体" w:eastAsia="黑体"/>
          <w:b w:val="0"/>
          <w:bCs w:val="0"/>
        </w:rPr>
        <w:t>职能简介</w:t>
      </w:r>
    </w:p>
    <w:p>
      <w:pPr>
        <w:pStyle w:val="15"/>
        <w:widowControl/>
        <w:shd w:val="clear" w:color="auto" w:fill="FFFFFF"/>
        <w:spacing w:before="0" w:beforeAutospacing="0" w:after="0" w:afterAutospacing="0" w:line="576" w:lineRule="exact"/>
        <w:ind w:firstLine="63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根据2019年9月9日市委编办《关于市安全生产应急和信息中心等机构调整优化的通告》(广编办发〔2019〕89号)精神,我中心增挂市安全生产培训考试中心牌子,新增职责为承担全市安全生产培训考试具体事务工作,安全生产培训考试考核为政府社会管理公益职能,并承办市应急局交办的其他事项。</w:t>
      </w:r>
    </w:p>
    <w:p/>
    <w:p>
      <w:pPr>
        <w:pStyle w:val="5"/>
        <w:rPr>
          <w:rFonts w:ascii="黑体" w:hAnsi="黑体" w:eastAsia="黑体"/>
          <w:b w:val="0"/>
        </w:rPr>
      </w:pPr>
      <w:r>
        <w:rPr>
          <w:rFonts w:hint="eastAsia" w:ascii="黑体" w:hAnsi="黑体" w:eastAsia="黑体"/>
          <w:b w:val="0"/>
        </w:rPr>
        <w:t>二、2021年重点工作</w:t>
      </w:r>
      <w:bookmarkEnd w:id="14"/>
      <w:bookmarkEnd w:id="15"/>
      <w:r>
        <w:rPr>
          <w:rFonts w:hint="eastAsia" w:ascii="黑体" w:hAnsi="黑体" w:eastAsia="黑体"/>
          <w:b w:val="0"/>
        </w:rPr>
        <w:t>完成情况</w:t>
      </w:r>
    </w:p>
    <w:p>
      <w:pPr>
        <w:pStyle w:val="7"/>
        <w:spacing w:before="93" w:line="700" w:lineRule="exact"/>
        <w:ind w:right="-269" w:rightChars="-128" w:firstLine="627" w:firstLineChars="196"/>
        <w:rPr>
          <w:rFonts w:ascii="楷体_GB2312" w:hAnsi="仿宋" w:eastAsia="楷体_GB2312"/>
          <w:sz w:val="32"/>
          <w:szCs w:val="32"/>
        </w:rPr>
      </w:pPr>
      <w:r>
        <w:rPr>
          <w:rFonts w:hint="eastAsia" w:ascii="楷体_GB2312" w:hAnsi="仿宋" w:eastAsia="楷体_GB2312"/>
          <w:sz w:val="32"/>
          <w:szCs w:val="32"/>
        </w:rPr>
        <w:t>1、积极履行安全生产培训考试监管职能</w:t>
      </w:r>
    </w:p>
    <w:p>
      <w:pPr>
        <w:spacing w:line="700" w:lineRule="exact"/>
        <w:ind w:firstLine="540"/>
        <w:rPr>
          <w:rFonts w:ascii="仿宋_GB2312" w:hAnsi="仿宋" w:eastAsia="仿宋_GB2312"/>
          <w:sz w:val="32"/>
          <w:szCs w:val="32"/>
        </w:rPr>
      </w:pPr>
      <w:r>
        <w:rPr>
          <w:rFonts w:hint="eastAsia" w:ascii="仿宋_GB2312" w:hAnsi="仿宋" w:eastAsia="仿宋_GB2312"/>
          <w:sz w:val="32"/>
          <w:szCs w:val="32"/>
        </w:rPr>
        <w:t>我中心承担了全市特种作业人员及安全生产管理人员的理论考试监考工作，在人员极其紧张的情况下，特别是今年我市又新增两个考点的情况下，全面完成了全市六个理论考试点11653人次的考试监考工作，同时配合省直机构完成了全市高危行业主要负责人200余人次的考试工作。在加强考试现场监管的同时，</w:t>
      </w:r>
      <w:r>
        <w:rPr>
          <w:rFonts w:hint="eastAsia" w:ascii="仿宋_GB2312" w:hAnsi="仿宋" w:eastAsia="仿宋_GB2312"/>
          <w:sz w:val="32"/>
          <w:szCs w:val="32"/>
          <w:lang w:eastAsia="zh-CN"/>
        </w:rPr>
        <w:t>积极</w:t>
      </w:r>
      <w:r>
        <w:rPr>
          <w:rFonts w:hint="eastAsia" w:ascii="仿宋_GB2312" w:hAnsi="仿宋" w:eastAsia="仿宋_GB2312"/>
          <w:sz w:val="32"/>
          <w:szCs w:val="32"/>
        </w:rPr>
        <w:t>落实省考试中心关于疫情期间安全培训考试工作指南，坚持两手抓、两手硬，全年未发生一例考试违规情况，未发生一起违反考试防疫规定的情况，以严格的考试监管来促进安全培训质量的提升，受到了省考试中心的高度评价。</w:t>
      </w:r>
    </w:p>
    <w:p>
      <w:pPr>
        <w:pStyle w:val="7"/>
        <w:spacing w:before="93" w:line="700" w:lineRule="exact"/>
        <w:ind w:right="-269" w:rightChars="-128" w:firstLine="627" w:firstLineChars="196"/>
        <w:rPr>
          <w:rFonts w:hAnsi="仿宋"/>
          <w:sz w:val="32"/>
          <w:szCs w:val="32"/>
        </w:rPr>
      </w:pPr>
      <w:r>
        <w:rPr>
          <w:rFonts w:hint="eastAsia" w:ascii="楷体_GB2312" w:hAnsi="仿宋" w:eastAsia="楷体_GB2312"/>
          <w:sz w:val="32"/>
          <w:szCs w:val="32"/>
        </w:rPr>
        <w:t>2、进一步规范全市安全生产培训考试工作</w:t>
      </w:r>
    </w:p>
    <w:p>
      <w:pPr>
        <w:spacing w:line="700" w:lineRule="exact"/>
        <w:ind w:firstLine="540"/>
        <w:rPr>
          <w:rFonts w:ascii="仿宋_GB2312" w:hAnsi="仿宋" w:eastAsia="仿宋_GB2312"/>
          <w:sz w:val="32"/>
          <w:szCs w:val="32"/>
        </w:rPr>
      </w:pPr>
      <w:r>
        <w:rPr>
          <w:rFonts w:hint="eastAsia" w:ascii="仿宋_GB2312" w:hAnsi="仿宋" w:eastAsia="仿宋_GB2312"/>
          <w:sz w:val="32"/>
          <w:szCs w:val="32"/>
        </w:rPr>
        <w:t>我中心在全省率先实现了安全生产培训考试的教考分离，在此基础之上，我中心并未停滞不前，而是进一步加大力度规范安全培训考试工作，一方面对全市的考试计划进行认真审核、严格审批并统筹安排考试时间，确保各考试点既能在统一安排下开展考试工作，同时又能及时满足各培训机构培训考试的需求；另一方面主动作为处置考试中出现的人、机不规范行为，全年共处置各考试点人、机不规范行为12起，暂停考试点考试3次，进一步促进了安全培训考试合规、有序开展；第三方面组织培训机构的安全培训考试监考人员进行了行为规范培训，明确了监考人员职能、职责及监考过程中的行为规范和工作纪律。</w:t>
      </w:r>
    </w:p>
    <w:p>
      <w:pPr>
        <w:pStyle w:val="7"/>
        <w:spacing w:before="93" w:line="700" w:lineRule="exact"/>
        <w:ind w:right="-269" w:rightChars="-128" w:firstLine="627" w:firstLineChars="196"/>
        <w:rPr>
          <w:rFonts w:ascii="楷体_GB2312" w:hAnsi="仿宋" w:eastAsia="楷体_GB2312"/>
          <w:sz w:val="32"/>
          <w:szCs w:val="32"/>
        </w:rPr>
      </w:pPr>
      <w:r>
        <w:rPr>
          <w:rFonts w:hint="eastAsia" w:ascii="楷体_GB2312" w:hAnsi="仿宋" w:eastAsia="楷体_GB2312"/>
          <w:sz w:val="32"/>
          <w:szCs w:val="32"/>
        </w:rPr>
        <w:t>3、全力推进全市安全生产培训实操考试建设。</w:t>
      </w:r>
    </w:p>
    <w:p>
      <w:pPr>
        <w:spacing w:line="700" w:lineRule="exact"/>
        <w:ind w:firstLine="540"/>
        <w:rPr>
          <w:rFonts w:ascii="仿宋_GB2312" w:hAnsi="仿宋" w:eastAsia="仿宋_GB2312"/>
          <w:sz w:val="32"/>
          <w:szCs w:val="32"/>
        </w:rPr>
      </w:pPr>
      <w:r>
        <w:rPr>
          <w:rFonts w:hint="eastAsia" w:ascii="仿宋_GB2312" w:hAnsi="仿宋" w:eastAsia="仿宋_GB2312"/>
          <w:sz w:val="32"/>
          <w:szCs w:val="32"/>
        </w:rPr>
        <w:t>按照国家应急管理部要求，在全国范围全面推行安全生产培训实操考试，与现有安全生产培训理论考试同步进行，考试范围涵盖了安全生产领域的众多行业，两项考试均合格才能取得安全生产特种作业操作资格证。按照全省统一标准，我中心年初就着手研究全市安全培训实践操作考试建设方案，对全市实操考试点进行规划布局，4月份我中心又组织各规划建设的实操考试点负责人多次开展了实操考试学习考察活动，吸取先进经验并结合我市实际已建成苍溪、宝轮2个实操考点并投入考试，截止本月接纳1209名考生进行实操考试。市考试中心实操考点目前已基本建成，待省考试中心验收合格后方能投入运行。</w:t>
      </w:r>
    </w:p>
    <w:p>
      <w:pPr>
        <w:pStyle w:val="7"/>
        <w:spacing w:before="93" w:line="700" w:lineRule="exact"/>
        <w:ind w:right="-269" w:rightChars="-128" w:firstLine="627" w:firstLineChars="196"/>
        <w:rPr>
          <w:rFonts w:ascii="楷体_GB2312" w:hAnsi="仿宋" w:eastAsia="楷体_GB2312"/>
          <w:sz w:val="32"/>
          <w:szCs w:val="32"/>
        </w:rPr>
      </w:pPr>
      <w:r>
        <w:rPr>
          <w:rFonts w:hint="eastAsia" w:ascii="楷体_GB2312" w:hAnsi="仿宋" w:eastAsia="楷体_GB2312"/>
          <w:sz w:val="32"/>
          <w:szCs w:val="32"/>
        </w:rPr>
        <w:t>4、深入推进党风廉政建设及纪律作风教育整顿工作</w:t>
      </w:r>
    </w:p>
    <w:p>
      <w:pPr>
        <w:spacing w:line="700" w:lineRule="exact"/>
        <w:ind w:firstLine="640"/>
        <w:rPr>
          <w:rFonts w:ascii="仿宋_GB2312" w:hAnsi="仿宋" w:eastAsia="仿宋_GB2312"/>
          <w:sz w:val="32"/>
          <w:szCs w:val="32"/>
        </w:rPr>
      </w:pPr>
      <w:r>
        <w:rPr>
          <w:rFonts w:hint="eastAsia" w:ascii="仿宋_GB2312" w:hAnsi="仿宋" w:eastAsia="仿宋_GB2312"/>
          <w:sz w:val="32"/>
          <w:szCs w:val="32"/>
        </w:rPr>
        <w:t>我中心虽未建立基层党组织，但并未放松党风廉政建设工作，通过干部职工会议等形式加强学习，做到警钟长鸣。自开展纪律作风教育整顿活动以来，中心不断提高认识，端正态度，并主动研究，分析梳理，找准日常工作中的问题根源、廉政风险点，明确改进措施及努力方向并强化每一名职工的廉政意识，要求每一名职工改进工作作风，积极工作，加强学习，树立创新精神；要求每一位职工勤政廉洁、洁身自好，必须做到不越红线。</w:t>
      </w:r>
    </w:p>
    <w:p>
      <w:pPr>
        <w:pStyle w:val="4"/>
        <w:ind w:right="440"/>
        <w:jc w:val="center"/>
        <w:rPr>
          <w:rStyle w:val="28"/>
          <w:rFonts w:ascii="黑体" w:hAnsi="黑体" w:eastAsia="黑体"/>
          <w:b w:val="0"/>
          <w:bCs/>
        </w:rPr>
      </w:pPr>
      <w:bookmarkStart w:id="16" w:name="_Toc15377204"/>
      <w:bookmarkStart w:id="17" w:name="_Toc15396602"/>
      <w:r>
        <w:rPr>
          <w:rFonts w:hint="eastAsia" w:ascii="黑体" w:hAnsi="黑体" w:eastAsia="黑体"/>
          <w:b w:val="0"/>
        </w:rPr>
        <w:t>第二部分 2021年度</w:t>
      </w:r>
      <w:r>
        <w:rPr>
          <w:rStyle w:val="28"/>
          <w:rFonts w:hint="eastAsia" w:ascii="黑体" w:hAnsi="黑体" w:eastAsia="黑体"/>
          <w:b w:val="0"/>
          <w:bCs/>
        </w:rPr>
        <w:t>单位决算情况说明</w:t>
      </w:r>
      <w:bookmarkEnd w:id="16"/>
      <w:bookmarkEnd w:id="17"/>
    </w:p>
    <w:p/>
    <w:p>
      <w:pPr>
        <w:pStyle w:val="27"/>
        <w:numPr>
          <w:ilvl w:val="0"/>
          <w:numId w:val="2"/>
        </w:numPr>
        <w:spacing w:line="600" w:lineRule="exact"/>
        <w:ind w:firstLineChars="0"/>
        <w:outlineLvl w:val="1"/>
        <w:rPr>
          <w:rStyle w:val="29"/>
          <w:rFonts w:ascii="黑体" w:hAnsi="黑体" w:eastAsia="黑体"/>
          <w:b w:val="0"/>
        </w:rPr>
      </w:pPr>
      <w:bookmarkStart w:id="18" w:name="_Toc15396603"/>
      <w:bookmarkStart w:id="19" w:name="_Toc15377205"/>
      <w:r>
        <w:rPr>
          <w:rFonts w:hint="eastAsia" w:ascii="黑体" w:hAnsi="黑体" w:eastAsia="黑体"/>
          <w:sz w:val="32"/>
          <w:szCs w:val="32"/>
        </w:rPr>
        <w:t>收</w:t>
      </w:r>
      <w:r>
        <w:rPr>
          <w:rStyle w:val="29"/>
          <w:rFonts w:hint="eastAsia" w:ascii="黑体" w:hAnsi="黑体" w:eastAsia="黑体"/>
          <w:b w:val="0"/>
        </w:rPr>
        <w:t>入支出决算总体情况说明</w:t>
      </w:r>
      <w:bookmarkEnd w:id="18"/>
      <w:bookmarkEnd w:id="19"/>
    </w:p>
    <w:p>
      <w:pPr>
        <w:spacing w:line="600" w:lineRule="exact"/>
        <w:ind w:firstLine="640" w:firstLineChars="200"/>
        <w:rPr>
          <w:rFonts w:ascii="仿宋" w:hAnsi="仿宋" w:eastAsia="仿宋"/>
          <w:sz w:val="32"/>
          <w:szCs w:val="32"/>
        </w:rPr>
      </w:pPr>
      <w:r>
        <w:rPr>
          <w:rFonts w:hint="eastAsia" w:ascii="仿宋" w:hAnsi="仿宋" w:eastAsia="仿宋"/>
          <w:sz w:val="32"/>
          <w:szCs w:val="32"/>
        </w:rPr>
        <w:t>2021年度收、支总计179万元。与2020年相比，收、支总计各增加6.97万元，增长4.05</w:t>
      </w:r>
      <w:r>
        <w:rPr>
          <w:rFonts w:ascii="仿宋" w:hAnsi="仿宋" w:eastAsia="仿宋"/>
          <w:sz w:val="32"/>
          <w:szCs w:val="32"/>
        </w:rPr>
        <w:t>%</w:t>
      </w:r>
      <w:r>
        <w:rPr>
          <w:rFonts w:hint="eastAsia" w:ascii="仿宋" w:hAnsi="仿宋" w:eastAsia="仿宋"/>
          <w:sz w:val="32"/>
          <w:szCs w:val="32"/>
        </w:rPr>
        <w:t>。主要变动原因是采购业务用车1辆。</w:t>
      </w:r>
    </w:p>
    <w:p>
      <w:pPr>
        <w:pStyle w:val="7"/>
        <w:spacing w:before="93"/>
      </w:pPr>
      <w:r>
        <w:drawing>
          <wp:inline distT="0" distB="0" distL="114300" distR="114300">
            <wp:extent cx="4847590" cy="2007870"/>
            <wp:effectExtent l="4445" t="5080" r="5715" b="635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7"/>
        <w:numPr>
          <w:ilvl w:val="0"/>
          <w:numId w:val="2"/>
        </w:numPr>
        <w:spacing w:line="600" w:lineRule="exact"/>
        <w:ind w:firstLineChars="0"/>
        <w:outlineLvl w:val="1"/>
        <w:rPr>
          <w:rStyle w:val="29"/>
          <w:rFonts w:ascii="黑体" w:hAnsi="黑体" w:eastAsia="黑体"/>
          <w:b w:val="0"/>
        </w:rPr>
      </w:pPr>
      <w:bookmarkStart w:id="20" w:name="_Toc15377206"/>
      <w:bookmarkStart w:id="21" w:name="_Toc15396604"/>
      <w:r>
        <w:rPr>
          <w:rFonts w:hint="eastAsia" w:ascii="黑体" w:hAnsi="黑体" w:eastAsia="黑体"/>
          <w:sz w:val="32"/>
          <w:szCs w:val="32"/>
        </w:rPr>
        <w:t>收</w:t>
      </w:r>
      <w:r>
        <w:rPr>
          <w:rStyle w:val="29"/>
          <w:rFonts w:hint="eastAsia" w:ascii="黑体" w:hAnsi="黑体" w:eastAsia="黑体"/>
          <w:b w:val="0"/>
        </w:rPr>
        <w:t>入决算情况说明</w:t>
      </w:r>
      <w:bookmarkEnd w:id="20"/>
      <w:bookmarkEnd w:id="21"/>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21年本年收入合计146.51万元，其中：一般公共预算财政拨款收入146.51万元，占100</w:t>
      </w:r>
      <w:r>
        <w:rPr>
          <w:rFonts w:ascii="仿宋" w:hAnsi="仿宋" w:eastAsia="仿宋"/>
          <w:sz w:val="32"/>
          <w:szCs w:val="32"/>
        </w:rPr>
        <w:t>%</w:t>
      </w:r>
      <w:r>
        <w:rPr>
          <w:rFonts w:hint="eastAsia" w:ascii="仿宋" w:hAnsi="仿宋" w:eastAsia="仿宋"/>
          <w:sz w:val="32"/>
          <w:szCs w:val="32"/>
        </w:rPr>
        <w:t>。</w:t>
      </w:r>
    </w:p>
    <w:p>
      <w:pPr>
        <w:pStyle w:val="7"/>
        <w:spacing w:before="93"/>
        <w:rPr>
          <w:sz w:val="32"/>
          <w:szCs w:val="32"/>
        </w:rPr>
      </w:pPr>
      <w:r>
        <w:drawing>
          <wp:inline distT="0" distB="0" distL="114300" distR="114300">
            <wp:extent cx="5306695" cy="1672590"/>
            <wp:effectExtent l="5080" t="4445" r="22225" b="1841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7"/>
        <w:numPr>
          <w:ilvl w:val="0"/>
          <w:numId w:val="2"/>
        </w:numPr>
        <w:spacing w:line="600" w:lineRule="exact"/>
        <w:ind w:firstLineChars="0"/>
        <w:outlineLvl w:val="1"/>
        <w:rPr>
          <w:rStyle w:val="29"/>
          <w:rFonts w:ascii="黑体" w:hAnsi="黑体" w:eastAsia="黑体"/>
          <w:b w:val="0"/>
        </w:rPr>
      </w:pPr>
      <w:bookmarkStart w:id="22" w:name="_Toc15377207"/>
      <w:bookmarkStart w:id="23" w:name="_Toc15396605"/>
      <w:r>
        <w:rPr>
          <w:rFonts w:hint="eastAsia" w:ascii="黑体" w:hAnsi="黑体" w:eastAsia="黑体"/>
          <w:sz w:val="32"/>
          <w:szCs w:val="32"/>
        </w:rPr>
        <w:t>支</w:t>
      </w:r>
      <w:r>
        <w:rPr>
          <w:rStyle w:val="29"/>
          <w:rFonts w:hint="eastAsia" w:ascii="黑体" w:hAnsi="黑体" w:eastAsia="黑体"/>
          <w:b w:val="0"/>
        </w:rPr>
        <w:t>出决算情况说明</w:t>
      </w:r>
      <w:bookmarkEnd w:id="22"/>
      <w:bookmarkEnd w:id="23"/>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21年本年支出合计175.47万元，其中：基本支出109.41万元，占62.35</w:t>
      </w:r>
      <w:r>
        <w:rPr>
          <w:rFonts w:ascii="仿宋" w:hAnsi="仿宋" w:eastAsia="仿宋"/>
          <w:sz w:val="32"/>
          <w:szCs w:val="32"/>
        </w:rPr>
        <w:t>%</w:t>
      </w:r>
      <w:r>
        <w:rPr>
          <w:rFonts w:hint="eastAsia" w:ascii="仿宋" w:hAnsi="仿宋" w:eastAsia="仿宋"/>
          <w:sz w:val="32"/>
          <w:szCs w:val="32"/>
        </w:rPr>
        <w:t>；项目支出66.06万元，占37.65</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pPr>
        <w:pStyle w:val="7"/>
        <w:spacing w:before="93"/>
        <w:rPr>
          <w:rFonts w:ascii="仿宋" w:hAnsi="仿宋" w:eastAsia="仿宋"/>
          <w:sz w:val="32"/>
          <w:szCs w:val="32"/>
        </w:rPr>
      </w:pPr>
      <w:r>
        <w:drawing>
          <wp:inline distT="0" distB="0" distL="114300" distR="114300">
            <wp:extent cx="5024755" cy="1713865"/>
            <wp:effectExtent l="4445" t="4445" r="19050" b="1524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outlineLvl w:val="1"/>
        <w:rPr>
          <w:rFonts w:ascii="黑体" w:hAnsi="黑体" w:eastAsia="黑体"/>
          <w:sz w:val="32"/>
          <w:szCs w:val="32"/>
        </w:rPr>
      </w:pPr>
      <w:bookmarkStart w:id="24" w:name="_Toc15396606"/>
      <w:bookmarkStart w:id="25" w:name="_Toc15377208"/>
    </w:p>
    <w:p>
      <w:pPr>
        <w:spacing w:line="600" w:lineRule="exact"/>
        <w:ind w:firstLine="640" w:firstLineChars="200"/>
        <w:outlineLvl w:val="1"/>
        <w:rPr>
          <w:rStyle w:val="29"/>
          <w:rFonts w:ascii="黑体" w:hAnsi="黑体" w:eastAsia="黑体"/>
          <w:b w:val="0"/>
        </w:rPr>
      </w:pPr>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24"/>
      <w:bookmarkEnd w:id="25"/>
    </w:p>
    <w:p>
      <w:pPr>
        <w:spacing w:line="600" w:lineRule="exact"/>
        <w:ind w:firstLine="640" w:firstLineChars="200"/>
        <w:rPr>
          <w:sz w:val="24"/>
        </w:rPr>
      </w:pPr>
      <w:r>
        <w:rPr>
          <w:rFonts w:ascii="仿宋" w:hAnsi="仿宋" w:eastAsia="仿宋"/>
          <w:sz w:val="32"/>
          <w:szCs w:val="32"/>
        </w:rPr>
        <w:t>20</w:t>
      </w:r>
      <w:r>
        <w:rPr>
          <w:rFonts w:hint="eastAsia" w:ascii="仿宋" w:hAnsi="仿宋" w:eastAsia="仿宋"/>
          <w:sz w:val="32"/>
          <w:szCs w:val="32"/>
        </w:rPr>
        <w:t>21年财政拨款收、支总计179万元。与</w:t>
      </w:r>
      <w:r>
        <w:rPr>
          <w:rFonts w:ascii="仿宋" w:hAnsi="仿宋" w:eastAsia="仿宋"/>
          <w:sz w:val="32"/>
          <w:szCs w:val="32"/>
        </w:rPr>
        <w:t>20</w:t>
      </w:r>
      <w:r>
        <w:rPr>
          <w:rFonts w:hint="eastAsia" w:ascii="仿宋" w:hAnsi="仿宋" w:eastAsia="仿宋"/>
          <w:sz w:val="32"/>
          <w:szCs w:val="32"/>
        </w:rPr>
        <w:t>20年相比，财政拨款收、支总计各增加6.97万元，增长4.05</w:t>
      </w:r>
      <w:r>
        <w:rPr>
          <w:rFonts w:ascii="仿宋" w:hAnsi="仿宋" w:eastAsia="仿宋"/>
          <w:sz w:val="32"/>
          <w:szCs w:val="32"/>
        </w:rPr>
        <w:t>%</w:t>
      </w:r>
      <w:r>
        <w:rPr>
          <w:rFonts w:hint="eastAsia" w:ascii="仿宋" w:hAnsi="仿宋" w:eastAsia="仿宋"/>
          <w:sz w:val="32"/>
          <w:szCs w:val="32"/>
        </w:rPr>
        <w:t>。主要变动原因是购入业务用车1辆。</w:t>
      </w:r>
    </w:p>
    <w:p>
      <w:pPr>
        <w:pStyle w:val="7"/>
        <w:spacing w:before="93"/>
        <w:rPr>
          <w:rFonts w:ascii="仿宋" w:hAnsi="仿宋" w:eastAsia="仿宋"/>
          <w:b/>
          <w:sz w:val="32"/>
          <w:szCs w:val="32"/>
        </w:rPr>
      </w:pPr>
      <w:r>
        <w:drawing>
          <wp:inline distT="0" distB="0" distL="114300" distR="114300">
            <wp:extent cx="4208145" cy="1644015"/>
            <wp:effectExtent l="5080" t="4445" r="15875" b="8890"/>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29"/>
          <w:rFonts w:ascii="黑体" w:hAnsi="黑体" w:eastAsia="黑体"/>
          <w:b w:val="0"/>
        </w:rPr>
      </w:pPr>
      <w:bookmarkStart w:id="26" w:name="_Toc15377209"/>
      <w:bookmarkStart w:id="27" w:name="_Toc15396607"/>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26"/>
      <w:bookmarkEnd w:id="27"/>
    </w:p>
    <w:p>
      <w:pPr>
        <w:spacing w:line="600" w:lineRule="exact"/>
        <w:ind w:firstLine="640"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21年一般公共预算财政拨款支出175.47万元，占本年支出合计的100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20年相比，一般公共预算财政拨款支出增加35.93万元，增长25.75</w:t>
      </w:r>
      <w:r>
        <w:rPr>
          <w:rFonts w:ascii="仿宋" w:hAnsi="仿宋" w:eastAsia="仿宋"/>
          <w:sz w:val="32"/>
          <w:szCs w:val="32"/>
        </w:rPr>
        <w:t>%</w:t>
      </w:r>
      <w:r>
        <w:rPr>
          <w:rFonts w:hint="eastAsia" w:ascii="仿宋" w:hAnsi="仿宋" w:eastAsia="仿宋"/>
          <w:sz w:val="32"/>
          <w:szCs w:val="32"/>
        </w:rPr>
        <w:t>。主要变动原因是购入业务用车1辆。</w:t>
      </w:r>
    </w:p>
    <w:p>
      <w:pPr>
        <w:pStyle w:val="7"/>
        <w:spacing w:before="93"/>
        <w:rPr>
          <w:rFonts w:ascii="仿宋" w:hAnsi="仿宋" w:eastAsia="仿宋"/>
          <w:sz w:val="32"/>
          <w:szCs w:val="32"/>
        </w:rPr>
      </w:pPr>
      <w:r>
        <w:drawing>
          <wp:inline distT="0" distB="0" distL="114300" distR="114300">
            <wp:extent cx="5272405" cy="1518285"/>
            <wp:effectExtent l="4445" t="4445" r="19050" b="20320"/>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21年一般公共预算财政拨款支出175.47万元，主要用于以下方面</w:t>
      </w:r>
      <w:r>
        <w:rPr>
          <w:rFonts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支出7.97万元，占4.54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4.24万元，占2.42</w:t>
      </w:r>
      <w:r>
        <w:rPr>
          <w:rFonts w:ascii="仿宋" w:hAnsi="仿宋" w:eastAsia="仿宋"/>
          <w:sz w:val="32"/>
          <w:szCs w:val="32"/>
        </w:rPr>
        <w:t>%</w:t>
      </w:r>
      <w:r>
        <w:rPr>
          <w:rFonts w:hint="eastAsia" w:ascii="仿宋" w:hAnsi="仿宋" w:eastAsia="仿宋"/>
          <w:sz w:val="32"/>
          <w:szCs w:val="32"/>
        </w:rPr>
        <w:t>；住房保障支出9.05万元，占5.16</w:t>
      </w:r>
      <w:r>
        <w:rPr>
          <w:rFonts w:ascii="仿宋" w:hAnsi="仿宋" w:eastAsia="仿宋"/>
          <w:sz w:val="32"/>
          <w:szCs w:val="32"/>
        </w:rPr>
        <w:t>%</w:t>
      </w:r>
      <w:r>
        <w:rPr>
          <w:rFonts w:hint="eastAsia" w:ascii="仿宋" w:hAnsi="仿宋" w:eastAsia="仿宋"/>
          <w:sz w:val="32"/>
          <w:szCs w:val="32"/>
        </w:rPr>
        <w:t>；灾害防治及应急管理支出154.21万元,占87.88%。</w:t>
      </w:r>
    </w:p>
    <w:p>
      <w:pPr>
        <w:pStyle w:val="7"/>
        <w:spacing w:before="93"/>
        <w:rPr>
          <w:rFonts w:ascii="仿宋" w:hAnsi="仿宋" w:eastAsia="仿宋"/>
          <w:sz w:val="32"/>
          <w:szCs w:val="32"/>
        </w:rPr>
      </w:pPr>
      <w:r>
        <w:drawing>
          <wp:inline distT="0" distB="0" distL="114300" distR="114300">
            <wp:extent cx="5012690" cy="1840865"/>
            <wp:effectExtent l="4445" t="4445" r="12065" b="2159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pPr>
        <w:spacing w:line="600" w:lineRule="exact"/>
        <w:ind w:firstLine="640" w:firstLineChars="200"/>
        <w:outlineLvl w:val="2"/>
        <w:rPr>
          <w:rFonts w:ascii="仿宋" w:hAnsi="仿宋" w:eastAsia="仿宋"/>
          <w:sz w:val="32"/>
          <w:szCs w:val="32"/>
        </w:rPr>
      </w:pPr>
      <w:bookmarkStart w:id="31" w:name="_Toc15377213"/>
      <w:bookmarkStart w:id="32" w:name="_Toc15377444"/>
      <w:bookmarkStart w:id="33" w:name="_Toc15378460"/>
      <w:r>
        <w:rPr>
          <w:rFonts w:hint="eastAsia" w:ascii="仿宋" w:hAnsi="仿宋" w:eastAsia="仿宋"/>
          <w:b/>
          <w:sz w:val="32"/>
          <w:szCs w:val="32"/>
        </w:rPr>
        <w:t>2021年一般公共预算支出决算数为175.47万元</w:t>
      </w:r>
      <w:r>
        <w:rPr>
          <w:rFonts w:hint="eastAsia" w:ascii="仿宋" w:hAnsi="仿宋" w:eastAsia="仿宋"/>
          <w:sz w:val="32"/>
          <w:szCs w:val="32"/>
        </w:rPr>
        <w:t>，</w:t>
      </w:r>
      <w:r>
        <w:rPr>
          <w:rStyle w:val="18"/>
          <w:rFonts w:hint="eastAsia" w:ascii="仿宋" w:hAnsi="仿宋" w:eastAsia="仿宋"/>
          <w:bCs/>
          <w:sz w:val="32"/>
          <w:szCs w:val="32"/>
        </w:rPr>
        <w:t>完成预算</w:t>
      </w:r>
      <w:r>
        <w:rPr>
          <w:rStyle w:val="18"/>
          <w:rFonts w:ascii="仿宋" w:hAnsi="仿宋" w:eastAsia="仿宋"/>
          <w:bCs/>
          <w:sz w:val="32"/>
          <w:szCs w:val="32"/>
        </w:rPr>
        <w:t>98.03%</w:t>
      </w:r>
      <w:r>
        <w:rPr>
          <w:rStyle w:val="18"/>
          <w:rFonts w:hint="eastAsia" w:ascii="仿宋" w:hAnsi="仿宋" w:eastAsia="仿宋"/>
          <w:bCs/>
          <w:sz w:val="32"/>
          <w:szCs w:val="32"/>
        </w:rPr>
        <w:t>。其中：</w:t>
      </w:r>
      <w:bookmarkEnd w:id="31"/>
      <w:bookmarkEnd w:id="32"/>
      <w:bookmarkEnd w:id="33"/>
    </w:p>
    <w:p>
      <w:pPr>
        <w:spacing w:line="600" w:lineRule="exact"/>
        <w:ind w:firstLine="640" w:firstLineChars="200"/>
        <w:rPr>
          <w:rFonts w:ascii="仿宋" w:hAnsi="仿宋" w:eastAsia="仿宋"/>
          <w:b/>
          <w:sz w:val="32"/>
          <w:szCs w:val="32"/>
        </w:rPr>
      </w:pPr>
      <w:r>
        <w:rPr>
          <w:rStyle w:val="18"/>
          <w:rFonts w:hint="eastAsia" w:ascii="仿宋" w:hAnsi="仿宋" w:eastAsia="仿宋"/>
          <w:bCs/>
          <w:sz w:val="32"/>
          <w:szCs w:val="32"/>
        </w:rPr>
        <w:t>1</w:t>
      </w:r>
      <w:r>
        <w:rPr>
          <w:rStyle w:val="18"/>
          <w:rFonts w:ascii="仿宋" w:hAnsi="仿宋" w:eastAsia="仿宋"/>
          <w:bCs/>
          <w:sz w:val="32"/>
          <w:szCs w:val="32"/>
        </w:rPr>
        <w:t>.</w:t>
      </w:r>
      <w:r>
        <w:rPr>
          <w:rStyle w:val="18"/>
          <w:rFonts w:hint="eastAsia" w:ascii="仿宋" w:hAnsi="仿宋" w:eastAsia="仿宋"/>
          <w:bCs/>
          <w:sz w:val="32"/>
          <w:szCs w:val="32"/>
        </w:rPr>
        <w:t>社会保障和就业支出（类）</w:t>
      </w:r>
      <w:r>
        <w:rPr>
          <w:rStyle w:val="18"/>
          <w:rFonts w:hint="eastAsia" w:ascii="仿宋_GB2312" w:hAnsi="微软雅黑" w:eastAsia="仿宋_GB2312" w:cs="仿宋_GB2312"/>
          <w:sz w:val="31"/>
          <w:szCs w:val="31"/>
          <w:shd w:val="clear" w:color="auto" w:fill="FFFFFF"/>
        </w:rPr>
        <w:t>行政事业单位养老支出</w:t>
      </w:r>
      <w:r>
        <w:rPr>
          <w:rStyle w:val="18"/>
          <w:rFonts w:hint="eastAsia" w:ascii="仿宋" w:hAnsi="仿宋" w:eastAsia="仿宋"/>
          <w:bCs/>
          <w:sz w:val="32"/>
          <w:szCs w:val="32"/>
        </w:rPr>
        <w:t>（款）</w:t>
      </w:r>
      <w:r>
        <w:rPr>
          <w:rStyle w:val="18"/>
          <w:rFonts w:hint="eastAsia" w:ascii="仿宋_GB2312" w:hAnsi="微软雅黑" w:eastAsia="仿宋_GB2312" w:cs="仿宋_GB2312"/>
          <w:sz w:val="31"/>
          <w:szCs w:val="31"/>
          <w:shd w:val="clear" w:color="auto" w:fill="FFFFFF"/>
        </w:rPr>
        <w:t>机关事业单位基本养老保险缴费</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Fonts w:hint="eastAsia" w:ascii="仿宋" w:hAnsi="仿宋" w:eastAsia="仿宋"/>
          <w:sz w:val="32"/>
          <w:szCs w:val="32"/>
        </w:rPr>
        <w:t>7.97</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spacing w:line="600" w:lineRule="exact"/>
        <w:ind w:firstLine="640" w:firstLineChars="200"/>
        <w:rPr>
          <w:rFonts w:ascii="仿宋" w:hAnsi="仿宋" w:eastAsia="仿宋"/>
          <w:b/>
          <w:sz w:val="32"/>
          <w:szCs w:val="32"/>
        </w:rPr>
      </w:pPr>
      <w:r>
        <w:rPr>
          <w:rStyle w:val="18"/>
          <w:rFonts w:hint="eastAsia" w:ascii="仿宋" w:hAnsi="仿宋" w:eastAsia="仿宋"/>
          <w:bCs/>
          <w:sz w:val="32"/>
          <w:szCs w:val="32"/>
        </w:rPr>
        <w:t>2</w:t>
      </w:r>
      <w:r>
        <w:rPr>
          <w:rStyle w:val="18"/>
          <w:rFonts w:ascii="仿宋" w:hAnsi="仿宋" w:eastAsia="仿宋"/>
          <w:bCs/>
          <w:sz w:val="32"/>
          <w:szCs w:val="32"/>
        </w:rPr>
        <w:t>.</w:t>
      </w:r>
      <w:r>
        <w:rPr>
          <w:rFonts w:hint="eastAsia" w:ascii="仿宋" w:hAnsi="仿宋" w:eastAsia="仿宋"/>
          <w:b/>
          <w:bCs/>
          <w:sz w:val="32"/>
          <w:szCs w:val="32"/>
        </w:rPr>
        <w:t>卫生健康支出</w:t>
      </w:r>
      <w:r>
        <w:rPr>
          <w:rStyle w:val="18"/>
          <w:rFonts w:hint="eastAsia" w:ascii="仿宋" w:hAnsi="仿宋" w:eastAsia="仿宋"/>
          <w:bCs/>
          <w:sz w:val="32"/>
          <w:szCs w:val="32"/>
        </w:rPr>
        <w:t>（类）</w:t>
      </w:r>
      <w:r>
        <w:rPr>
          <w:rStyle w:val="18"/>
          <w:rFonts w:hint="eastAsia" w:ascii="仿宋_GB2312" w:hAnsi="微软雅黑" w:eastAsia="仿宋_GB2312" w:cs="仿宋_GB2312"/>
          <w:sz w:val="31"/>
          <w:szCs w:val="31"/>
          <w:shd w:val="clear" w:color="auto" w:fill="FFFFFF"/>
        </w:rPr>
        <w:t>行政事业单位医疗</w:t>
      </w:r>
      <w:r>
        <w:rPr>
          <w:rStyle w:val="18"/>
          <w:rFonts w:hint="eastAsia" w:ascii="仿宋" w:hAnsi="仿宋" w:eastAsia="仿宋"/>
          <w:bCs/>
          <w:sz w:val="32"/>
          <w:szCs w:val="32"/>
        </w:rPr>
        <w:t>（款）</w:t>
      </w:r>
      <w:r>
        <w:rPr>
          <w:rStyle w:val="18"/>
          <w:rFonts w:hint="eastAsia" w:ascii="仿宋_GB2312" w:hAnsi="微软雅黑" w:eastAsia="仿宋_GB2312" w:cs="仿宋_GB2312"/>
          <w:sz w:val="31"/>
          <w:szCs w:val="31"/>
          <w:shd w:val="clear" w:color="auto" w:fill="FFFFFF"/>
        </w:rPr>
        <w:t>事业单位医疗</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Fonts w:hint="eastAsia" w:ascii="仿宋" w:hAnsi="仿宋" w:eastAsia="仿宋"/>
          <w:sz w:val="32"/>
          <w:szCs w:val="32"/>
        </w:rPr>
        <w:t>4.24</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pStyle w:val="15"/>
        <w:widowControl/>
        <w:spacing w:line="600" w:lineRule="atLeast"/>
        <w:ind w:firstLine="645"/>
        <w:rPr>
          <w:rStyle w:val="18"/>
          <w:rFonts w:ascii="仿宋" w:hAnsi="仿宋" w:eastAsia="仿宋"/>
          <w:b w:val="0"/>
          <w:bCs/>
          <w:sz w:val="32"/>
          <w:szCs w:val="32"/>
        </w:rPr>
      </w:pPr>
      <w:r>
        <w:rPr>
          <w:rFonts w:hint="eastAsia" w:ascii="仿宋" w:hAnsi="仿宋" w:eastAsia="仿宋"/>
          <w:b/>
          <w:bCs/>
          <w:sz w:val="32"/>
          <w:szCs w:val="32"/>
        </w:rPr>
        <w:t>3</w:t>
      </w:r>
      <w:r>
        <w:rPr>
          <w:rStyle w:val="18"/>
          <w:rFonts w:ascii="仿宋" w:hAnsi="仿宋" w:eastAsia="仿宋"/>
          <w:bCs/>
          <w:sz w:val="32"/>
          <w:szCs w:val="32"/>
        </w:rPr>
        <w:t>.</w:t>
      </w:r>
      <w:r>
        <w:rPr>
          <w:rStyle w:val="18"/>
          <w:rFonts w:hint="eastAsia" w:ascii="仿宋_GB2312" w:hAnsi="微软雅黑" w:eastAsia="仿宋_GB2312" w:cs="仿宋_GB2312"/>
          <w:sz w:val="31"/>
          <w:szCs w:val="31"/>
          <w:shd w:val="clear" w:color="auto" w:fill="FFFFFF"/>
        </w:rPr>
        <w:t>住房保障支出（类）住房改革支出（款）住房公积金（项）:</w:t>
      </w:r>
      <w:r>
        <w:rPr>
          <w:rFonts w:hint="eastAsia" w:ascii="仿宋_GB2312" w:hAnsi="微软雅黑" w:eastAsia="仿宋_GB2312" w:cs="仿宋_GB2312"/>
          <w:sz w:val="31"/>
          <w:szCs w:val="31"/>
          <w:shd w:val="clear" w:color="auto" w:fill="FFFFFF"/>
        </w:rPr>
        <w:t>支出决算为</w:t>
      </w:r>
      <w:r>
        <w:rPr>
          <w:rFonts w:hint="eastAsia" w:ascii="仿宋" w:hAnsi="仿宋" w:eastAsia="仿宋"/>
          <w:sz w:val="32"/>
          <w:szCs w:val="32"/>
        </w:rPr>
        <w:t>9.05</w:t>
      </w:r>
      <w:r>
        <w:rPr>
          <w:rFonts w:hint="eastAsia" w:ascii="仿宋_GB2312" w:hAnsi="微软雅黑" w:eastAsia="仿宋_GB2312" w:cs="仿宋_GB2312"/>
          <w:sz w:val="31"/>
          <w:szCs w:val="31"/>
          <w:shd w:val="clear" w:color="auto" w:fill="FFFFFF"/>
        </w:rPr>
        <w:t>万元，完成预算100%，</w:t>
      </w:r>
      <w:r>
        <w:rPr>
          <w:rStyle w:val="18"/>
          <w:rFonts w:hint="eastAsia" w:ascii="仿宋" w:hAnsi="仿宋" w:eastAsia="仿宋"/>
          <w:b w:val="0"/>
          <w:bCs/>
          <w:sz w:val="32"/>
          <w:szCs w:val="32"/>
        </w:rPr>
        <w:t>决算数等于预算数。</w:t>
      </w:r>
    </w:p>
    <w:p>
      <w:pPr>
        <w:spacing w:line="600" w:lineRule="exact"/>
        <w:ind w:firstLine="620" w:firstLineChars="200"/>
        <w:rPr>
          <w:rFonts w:ascii="仿宋_GB2312" w:hAnsi="微软雅黑" w:eastAsia="仿宋_GB2312" w:cs="仿宋_GB2312"/>
          <w:sz w:val="31"/>
          <w:szCs w:val="31"/>
          <w:shd w:val="clear" w:color="auto" w:fill="FFFFFF"/>
        </w:rPr>
      </w:pPr>
      <w:r>
        <w:rPr>
          <w:rStyle w:val="18"/>
          <w:rFonts w:hint="eastAsia" w:ascii="仿宋_GB2312" w:hAnsi="微软雅黑" w:eastAsia="仿宋_GB2312" w:cs="仿宋_GB2312"/>
          <w:sz w:val="31"/>
          <w:szCs w:val="31"/>
          <w:shd w:val="clear" w:color="auto" w:fill="FFFFFF"/>
        </w:rPr>
        <w:t>4.灾害防治及应急管理支出（类）应急管理事务（款）事业运行（项）：</w:t>
      </w:r>
      <w:r>
        <w:rPr>
          <w:rFonts w:hint="eastAsia" w:ascii="仿宋_GB2312" w:hAnsi="微软雅黑" w:eastAsia="仿宋_GB2312" w:cs="仿宋_GB2312"/>
          <w:sz w:val="31"/>
          <w:szCs w:val="31"/>
          <w:shd w:val="clear" w:color="auto" w:fill="FFFFFF"/>
        </w:rPr>
        <w:t>支出决算为88.15万元，完成预算100%，</w:t>
      </w:r>
      <w:r>
        <w:rPr>
          <w:rStyle w:val="18"/>
          <w:rFonts w:hint="eastAsia" w:ascii="仿宋" w:hAnsi="仿宋" w:eastAsia="仿宋"/>
          <w:b w:val="0"/>
          <w:bCs/>
          <w:sz w:val="32"/>
          <w:szCs w:val="32"/>
        </w:rPr>
        <w:t>决算数等于预算数</w:t>
      </w:r>
      <w:r>
        <w:rPr>
          <w:rFonts w:hint="eastAsia" w:ascii="仿宋_GB2312" w:hAnsi="微软雅黑" w:eastAsia="仿宋_GB2312" w:cs="仿宋_GB2312"/>
          <w:sz w:val="31"/>
          <w:szCs w:val="31"/>
          <w:shd w:val="clear" w:color="auto" w:fill="FFFFFF"/>
        </w:rPr>
        <w:t>。</w:t>
      </w:r>
    </w:p>
    <w:p>
      <w:pPr>
        <w:spacing w:line="600" w:lineRule="exact"/>
        <w:ind w:firstLine="620" w:firstLineChars="200"/>
      </w:pPr>
      <w:r>
        <w:rPr>
          <w:rStyle w:val="18"/>
          <w:rFonts w:hint="eastAsia" w:ascii="仿宋_GB2312" w:hAnsi="微软雅黑" w:eastAsia="仿宋_GB2312" w:cs="仿宋_GB2312"/>
          <w:sz w:val="31"/>
          <w:szCs w:val="31"/>
          <w:shd w:val="clear" w:color="auto" w:fill="FFFFFF"/>
        </w:rPr>
        <w:t>5.灾害防治及应急管理支出（类）应急管理事务（款）其他应急管理支出（项）：</w:t>
      </w:r>
      <w:r>
        <w:rPr>
          <w:rFonts w:hint="eastAsia" w:ascii="仿宋_GB2312" w:hAnsi="微软雅黑" w:eastAsia="仿宋_GB2312" w:cs="仿宋_GB2312"/>
          <w:sz w:val="31"/>
          <w:szCs w:val="31"/>
          <w:shd w:val="clear" w:color="auto" w:fill="FFFFFF"/>
        </w:rPr>
        <w:t>支出决算为66.06万元，完成预算94.93%，</w:t>
      </w:r>
      <w:r>
        <w:rPr>
          <w:rStyle w:val="18"/>
          <w:rFonts w:hint="eastAsia" w:ascii="仿宋" w:hAnsi="仿宋" w:eastAsia="仿宋"/>
          <w:b w:val="0"/>
          <w:bCs/>
          <w:sz w:val="32"/>
          <w:szCs w:val="32"/>
        </w:rPr>
        <w:t>决算数小于预算数的主要原因是</w:t>
      </w:r>
      <w:r>
        <w:rPr>
          <w:rFonts w:hint="eastAsia" w:ascii="仿宋_GB2312" w:hAnsi="微软雅黑" w:eastAsia="仿宋_GB2312" w:cs="仿宋_GB2312"/>
          <w:sz w:val="31"/>
          <w:szCs w:val="31"/>
          <w:shd w:val="clear" w:color="auto" w:fill="FFFFFF"/>
        </w:rPr>
        <w:t>项目完成但尚未办理支付程序。</w:t>
      </w:r>
    </w:p>
    <w:p>
      <w:pPr>
        <w:tabs>
          <w:tab w:val="right" w:pos="8306"/>
        </w:tabs>
        <w:spacing w:line="600" w:lineRule="exact"/>
        <w:ind w:firstLine="640"/>
        <w:outlineLvl w:val="1"/>
        <w:rPr>
          <w:rStyle w:val="29"/>
        </w:rPr>
      </w:pPr>
      <w:bookmarkStart w:id="34" w:name="_Toc15396608"/>
      <w:bookmarkStart w:id="35"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34"/>
      <w:bookmarkEnd w:id="35"/>
      <w:r>
        <w:rPr>
          <w:rStyle w:val="29"/>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21年一般公共预算财政拨款基本支出109.41万元，其中：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人员经费99.36万元，主要包括：基本工资、津贴补贴绩效工资、机关事业单位基本养老保险缴费、职工基本医疗保险缴费、其他社会保障缴费、住房公积金、其他工资福利支出等。</w:t>
      </w:r>
      <w:r>
        <w:rPr>
          <w:rFonts w:ascii="仿宋" w:hAnsi="仿宋" w:eastAsia="仿宋"/>
          <w:sz w:val="32"/>
          <w:szCs w:val="32"/>
        </w:rPr>
        <w:br w:type="textWrapping"/>
      </w:r>
      <w:r>
        <w:rPr>
          <w:rFonts w:hint="eastAsia" w:ascii="仿宋" w:hAnsi="仿宋" w:eastAsia="仿宋"/>
          <w:sz w:val="32"/>
          <w:szCs w:val="32"/>
        </w:rPr>
        <w:t>　　公用经费10.05万元，主要包括：办公费、手续费、差旅费、公务接待费、劳务费、工会经费、福利费、公务用车运行维护费、其他交通费用等。</w:t>
      </w:r>
    </w:p>
    <w:p>
      <w:pPr>
        <w:spacing w:line="600" w:lineRule="exact"/>
        <w:ind w:firstLine="640"/>
        <w:outlineLvl w:val="1"/>
        <w:rPr>
          <w:rStyle w:val="29"/>
          <w:rFonts w:ascii="黑体" w:hAnsi="黑体" w:eastAsia="黑体"/>
          <w:b w:val="0"/>
        </w:rPr>
      </w:pPr>
      <w:bookmarkStart w:id="36" w:name="_Toc15396609"/>
      <w:bookmarkStart w:id="37" w:name="_Toc15377215"/>
      <w:r>
        <w:rPr>
          <w:rFonts w:hint="eastAsia" w:ascii="黑体" w:eastAsia="黑体"/>
          <w:sz w:val="32"/>
          <w:szCs w:val="32"/>
        </w:rPr>
        <w:t>七、</w:t>
      </w:r>
      <w:r>
        <w:rPr>
          <w:rStyle w:val="29"/>
          <w:rFonts w:hint="eastAsia" w:ascii="黑体" w:hAnsi="黑体" w:eastAsia="黑体"/>
        </w:rPr>
        <w:t>“</w:t>
      </w:r>
      <w:r>
        <w:rPr>
          <w:rStyle w:val="29"/>
          <w:rFonts w:hint="eastAsia" w:ascii="黑体" w:hAnsi="黑体" w:eastAsia="黑体"/>
          <w:b w:val="0"/>
        </w:rPr>
        <w:t>三公”经费财政拨款支出决算情况说明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21年“三公”经费财政拨款支出决算为23.32万元，完成预算100</w:t>
      </w:r>
      <w:r>
        <w:rPr>
          <w:rFonts w:ascii="仿宋" w:hAnsi="仿宋" w:eastAsia="仿宋"/>
          <w:sz w:val="32"/>
          <w:szCs w:val="32"/>
        </w:rPr>
        <w:t>%</w:t>
      </w:r>
      <w:r>
        <w:rPr>
          <w:rFonts w:hint="eastAsia" w:ascii="仿宋" w:hAnsi="仿宋" w:eastAsia="仿宋"/>
          <w:sz w:val="32"/>
          <w:szCs w:val="32"/>
        </w:rPr>
        <w:t>，决算数与预算数持平。2021年“三公”经费财政拨款支出决算较2020年增加21.41万元，增长1120.94%，大幅增长的主要原因一是2020年“三公”经费基数小，二是2021年根据工作需求购置公务用车1辆。</w:t>
      </w:r>
    </w:p>
    <w:p>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；公务用车购置及运行维护费支出决算22.37万元，占95.93</w:t>
      </w:r>
      <w:r>
        <w:rPr>
          <w:rFonts w:ascii="仿宋" w:hAnsi="仿宋" w:eastAsia="仿宋"/>
          <w:sz w:val="32"/>
          <w:szCs w:val="32"/>
        </w:rPr>
        <w:t>%</w:t>
      </w:r>
      <w:r>
        <w:rPr>
          <w:rFonts w:hint="eastAsia" w:ascii="仿宋" w:hAnsi="仿宋" w:eastAsia="仿宋"/>
          <w:sz w:val="32"/>
          <w:szCs w:val="32"/>
        </w:rPr>
        <w:t>；公务接待费支出决算0.95万元，占4.07</w:t>
      </w:r>
      <w:r>
        <w:rPr>
          <w:rFonts w:ascii="仿宋" w:hAnsi="仿宋" w:eastAsia="仿宋"/>
          <w:sz w:val="32"/>
          <w:szCs w:val="32"/>
        </w:rPr>
        <w:t>%</w:t>
      </w:r>
      <w:r>
        <w:rPr>
          <w:rFonts w:hint="eastAsia" w:ascii="仿宋" w:hAnsi="仿宋" w:eastAsia="仿宋"/>
          <w:sz w:val="32"/>
          <w:szCs w:val="32"/>
        </w:rPr>
        <w:t>。具体情况如下：</w:t>
      </w:r>
    </w:p>
    <w:p>
      <w:pPr>
        <w:pStyle w:val="7"/>
        <w:spacing w:before="93"/>
        <w:rPr>
          <w:rFonts w:ascii="仿宋" w:hAnsi="仿宋" w:eastAsia="仿宋"/>
          <w:sz w:val="32"/>
          <w:szCs w:val="32"/>
        </w:rPr>
      </w:pPr>
      <w:bookmarkStart w:id="56" w:name="_GoBack"/>
      <w:r>
        <w:drawing>
          <wp:inline distT="0" distB="0" distL="114300" distR="114300">
            <wp:extent cx="3844290" cy="1752600"/>
            <wp:effectExtent l="4445" t="4445" r="18415" b="14605"/>
            <wp:docPr id="9"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bookmarkEnd w:id="56"/>
    </w:p>
    <w:p>
      <w:pPr>
        <w:spacing w:line="600" w:lineRule="exact"/>
        <w:ind w:firstLine="645"/>
        <w:rPr>
          <w:color w:val="000000" w:themeColor="text1"/>
          <w14:textFill>
            <w14:solidFill>
              <w14:schemeClr w14:val="tx1"/>
            </w14:solidFill>
          </w14:textFill>
        </w:rPr>
      </w:pPr>
      <w:r>
        <w:rPr>
          <w:rFonts w:ascii="仿宋_GB2312" w:eastAsia="仿宋_GB2312"/>
          <w:b/>
          <w:sz w:val="32"/>
          <w:szCs w:val="32"/>
        </w:rPr>
        <w:t>1.</w:t>
      </w:r>
      <w:r>
        <w:rPr>
          <w:rFonts w:hint="eastAsia" w:ascii="仿宋" w:hAnsi="仿宋" w:eastAsia="仿宋"/>
          <w:b/>
          <w:color w:val="000000" w:themeColor="text1"/>
          <w:sz w:val="32"/>
          <w:szCs w:val="32"/>
          <w14:textFill>
            <w14:solidFill>
              <w14:schemeClr w14:val="tx1"/>
            </w14:solidFill>
          </w14:textFill>
        </w:rPr>
        <w:t>因公出国</w:t>
      </w:r>
      <w:r>
        <w:rPr>
          <w:rFonts w:hint="eastAsia" w:ascii="仿宋_GB2312" w:eastAsia="仿宋_GB2312"/>
          <w:b/>
          <w:color w:val="000000" w:themeColor="text1"/>
          <w:sz w:val="32"/>
          <w:szCs w:val="32"/>
          <w14:textFill>
            <w14:solidFill>
              <w14:schemeClr w14:val="tx1"/>
            </w14:solidFill>
          </w14:textFill>
        </w:rPr>
        <w:t>（境）</w:t>
      </w:r>
      <w:r>
        <w:rPr>
          <w:rFonts w:hint="eastAsia" w:ascii="仿宋" w:hAnsi="仿宋" w:eastAsia="仿宋"/>
          <w:b/>
          <w:color w:val="000000" w:themeColor="text1"/>
          <w:sz w:val="32"/>
          <w:szCs w:val="32"/>
          <w14:textFill>
            <w14:solidFill>
              <w14:schemeClr w14:val="tx1"/>
            </w14:solidFill>
          </w14:textFill>
        </w:rPr>
        <w:t>经费支出</w:t>
      </w:r>
      <w:r>
        <w:rPr>
          <w:rFonts w:hint="eastAsia" w:ascii="仿宋" w:hAnsi="仿宋" w:eastAsia="仿宋"/>
          <w:bCs/>
          <w:color w:val="000000" w:themeColor="text1"/>
          <w:sz w:val="32"/>
          <w:szCs w:val="32"/>
          <w14:textFill>
            <w14:solidFill>
              <w14:schemeClr w14:val="tx1"/>
            </w14:solidFill>
          </w14:textFill>
        </w:rPr>
        <w:t>0万元，年初未安排预算，因公出国</w:t>
      </w:r>
      <w:r>
        <w:rPr>
          <w:rFonts w:hint="eastAsia" w:ascii="仿宋_GB2312" w:eastAsia="仿宋_GB2312"/>
          <w:bCs/>
          <w:color w:val="000000" w:themeColor="text1"/>
          <w:sz w:val="32"/>
          <w:szCs w:val="32"/>
          <w14:textFill>
            <w14:solidFill>
              <w14:schemeClr w14:val="tx1"/>
            </w14:solidFill>
          </w14:textFill>
        </w:rPr>
        <w:t>（境）</w:t>
      </w:r>
      <w:r>
        <w:rPr>
          <w:rFonts w:hint="eastAsia" w:ascii="仿宋" w:hAnsi="仿宋" w:eastAsia="仿宋"/>
          <w:bCs/>
          <w:color w:val="000000" w:themeColor="text1"/>
          <w:sz w:val="32"/>
          <w:szCs w:val="32"/>
          <w14:textFill>
            <w14:solidFill>
              <w14:schemeClr w14:val="tx1"/>
            </w14:solidFill>
          </w14:textFill>
        </w:rPr>
        <w:t>支出决算较2020年无变化</w:t>
      </w:r>
      <w:r>
        <w:rPr>
          <w:rFonts w:hint="eastAsia" w:ascii="仿宋" w:hAnsi="仿宋" w:eastAsia="仿宋"/>
          <w:sz w:val="32"/>
          <w:szCs w:val="32"/>
        </w:rPr>
        <w:t>。</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 w:hAnsi="仿宋" w:eastAsia="仿宋"/>
          <w:sz w:val="32"/>
          <w:szCs w:val="32"/>
        </w:rPr>
        <w:t>22.37</w:t>
      </w:r>
      <w:r>
        <w:rPr>
          <w:rFonts w:hint="eastAsia" w:ascii="仿宋_GB2312" w:eastAsia="仿宋_GB2312"/>
          <w:sz w:val="32"/>
          <w:szCs w:val="32"/>
        </w:rPr>
        <w:t>万元,</w:t>
      </w:r>
      <w:r>
        <w:rPr>
          <w:rStyle w:val="18"/>
          <w:rFonts w:hint="eastAsia" w:ascii="仿宋" w:hAnsi="仿宋" w:eastAsia="仿宋"/>
          <w:b w:val="0"/>
          <w:bCs/>
          <w:sz w:val="32"/>
          <w:szCs w:val="32"/>
        </w:rPr>
        <w:t>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20年增加21.41万元，增长2230.21</w:t>
      </w:r>
      <w:r>
        <w:rPr>
          <w:rFonts w:ascii="仿宋_GB2312" w:eastAsia="仿宋_GB2312"/>
          <w:sz w:val="32"/>
          <w:szCs w:val="32"/>
        </w:rPr>
        <w:t>%</w:t>
      </w:r>
      <w:r>
        <w:rPr>
          <w:rFonts w:hint="eastAsia" w:ascii="仿宋_GB2312" w:eastAsia="仿宋_GB2312"/>
          <w:sz w:val="32"/>
          <w:szCs w:val="32"/>
        </w:rPr>
        <w:t>。主要原因</w:t>
      </w:r>
      <w:r>
        <w:rPr>
          <w:rFonts w:hint="eastAsia" w:ascii="仿宋" w:hAnsi="仿宋" w:eastAsia="仿宋"/>
          <w:sz w:val="32"/>
          <w:szCs w:val="32"/>
        </w:rPr>
        <w:t>一是2020年公务用车购置及运行维护费基数小，二是2021年根据工作需求购置公务用车1辆。</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21.41万元。全年按规定更新购置公务用车1辆，其中：越野车1辆、金额21.41万元，主要用于本辖区内各考试点监考工作。截至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月底，单位共有公务用车1辆，其中：越野车1辆。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0.96万元。主要用于到本辖区各考试点监考工作等所需的公务用车燃料费、维修费、过路过桥费、保险费等支出。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 w:hAnsi="仿宋" w:eastAsia="仿宋"/>
          <w:sz w:val="32"/>
          <w:szCs w:val="32"/>
        </w:rPr>
        <w:t>0.95</w:t>
      </w:r>
      <w:r>
        <w:rPr>
          <w:rFonts w:hint="eastAsia" w:ascii="仿宋_GB2312" w:eastAsia="仿宋_GB2312"/>
          <w:sz w:val="32"/>
          <w:szCs w:val="32"/>
        </w:rPr>
        <w:t>万元，</w:t>
      </w:r>
      <w:r>
        <w:rPr>
          <w:rStyle w:val="18"/>
          <w:rFonts w:hint="eastAsia" w:ascii="仿宋" w:hAnsi="仿宋" w:eastAsia="仿宋"/>
          <w:b w:val="0"/>
          <w:bCs/>
          <w:sz w:val="32"/>
          <w:szCs w:val="32"/>
        </w:rPr>
        <w:t>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公务接待费支出决算数与2020年一致。其中：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rPr>
        <w:t>0.95</w:t>
      </w:r>
      <w:r>
        <w:rPr>
          <w:rFonts w:hint="eastAsia" w:ascii="仿宋_GB2312" w:eastAsia="仿宋_GB2312"/>
          <w:sz w:val="32"/>
          <w:szCs w:val="32"/>
        </w:rPr>
        <w:t>万元，</w:t>
      </w:r>
      <w:r>
        <w:rPr>
          <w:rFonts w:hint="eastAsia" w:ascii="仿宋_GB2312" w:eastAsia="仿宋_GB2312"/>
          <w:sz w:val="32"/>
          <w:szCs w:val="32"/>
          <w:lang w:eastAsia="zh-CN"/>
        </w:rPr>
        <w:t>主要用于</w:t>
      </w:r>
      <w:r>
        <w:rPr>
          <w:rFonts w:hint="eastAsia" w:ascii="仿宋_GB2312" w:hAnsi="微软雅黑" w:eastAsia="仿宋_GB2312" w:cs="仿宋_GB2312"/>
          <w:sz w:val="31"/>
          <w:szCs w:val="31"/>
          <w:shd w:val="clear" w:color="auto" w:fill="FFFFFF"/>
        </w:rPr>
        <w:t>执行公务、开展业务活动开支的用餐费等。</w:t>
      </w:r>
      <w:r>
        <w:rPr>
          <w:rFonts w:hint="eastAsia" w:ascii="仿宋_GB2312" w:eastAsia="仿宋_GB2312"/>
          <w:sz w:val="32"/>
          <w:szCs w:val="32"/>
        </w:rPr>
        <w:t>国内公务接待10批次，90人次（不包括陪同人员），共计支出0.95万元，具体内容包括：2021年3月专题研究实操考试建设工作,接待各培训学校负责人7人,金额770元;2021年6月省考试中心实操建设指导专家组到我市现场指导,接待各培训学校负责人8人,金额805元;2021年11月广元市安全生产培训考试中心关于市考试中心实操考试点验收,接待专家组11人,金额600元;2021年12月实操考试点考前培训,接待8人,金额800元;2021年12月四川省安全生产考试中心关于举办全省特种作业安全技术考试费收取、解缴业务培训的视频会议,接待14人,金额1000元等共计10批次,90人次。</w:t>
      </w:r>
    </w:p>
    <w:p>
      <w:pPr>
        <w:spacing w:line="600" w:lineRule="exact"/>
        <w:ind w:firstLine="640"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w:t>
      </w:r>
    </w:p>
    <w:p>
      <w:pPr>
        <w:spacing w:line="600" w:lineRule="exact"/>
        <w:ind w:firstLine="640"/>
        <w:outlineLvl w:val="1"/>
        <w:rPr>
          <w:rStyle w:val="29"/>
          <w:rFonts w:ascii="黑体" w:hAnsi="黑体" w:eastAsia="黑体"/>
        </w:rPr>
      </w:pPr>
      <w:bookmarkStart w:id="40" w:name="_Toc15396610"/>
      <w:bookmarkStart w:id="41" w:name="_Toc15377218"/>
      <w:r>
        <w:rPr>
          <w:rFonts w:hint="eastAsia" w:ascii="黑体" w:eastAsia="黑体"/>
          <w:sz w:val="32"/>
          <w:szCs w:val="32"/>
        </w:rPr>
        <w:t>八、</w:t>
      </w:r>
      <w:r>
        <w:rPr>
          <w:rStyle w:val="29"/>
          <w:rFonts w:hint="eastAsia" w:ascii="黑体" w:hAnsi="黑体" w:eastAsia="黑体"/>
          <w:b w:val="0"/>
        </w:rPr>
        <w:t>政府性基金预算支出决算情况说明</w:t>
      </w:r>
      <w:bookmarkEnd w:id="40"/>
      <w:bookmarkEnd w:id="41"/>
    </w:p>
    <w:p>
      <w:pPr>
        <w:spacing w:line="360" w:lineRule="auto"/>
        <w:ind w:firstLine="640"/>
        <w:rPr>
          <w:rFonts w:ascii="仿宋_GB2312" w:eastAsia="仿宋_GB2312"/>
          <w:color w:val="000000"/>
          <w:sz w:val="32"/>
          <w:szCs w:val="32"/>
        </w:rPr>
      </w:pPr>
      <w:bookmarkStart w:id="42" w:name="_Toc15396611"/>
      <w:bookmarkStart w:id="43" w:name="_Toc15377219"/>
      <w:r>
        <w:rPr>
          <w:rFonts w:hint="eastAsia" w:ascii="仿宋_GB2312" w:eastAsia="仿宋_GB2312"/>
          <w:color w:val="000000"/>
          <w:sz w:val="32"/>
          <w:szCs w:val="32"/>
        </w:rPr>
        <w:t>2021年政府性基金预算拨款支出0万元，未使用政府性基金预算财政拨款安排“三公”经费支出。</w:t>
      </w:r>
    </w:p>
    <w:p>
      <w:pPr>
        <w:numPr>
          <w:ilvl w:val="0"/>
          <w:numId w:val="3"/>
        </w:numPr>
        <w:spacing w:line="600" w:lineRule="exact"/>
        <w:ind w:firstLine="640"/>
        <w:outlineLvl w:val="1"/>
        <w:rPr>
          <w:rStyle w:val="29"/>
          <w:rFonts w:ascii="黑体" w:hAnsi="黑体" w:eastAsia="黑体"/>
          <w:b w:val="0"/>
        </w:rPr>
      </w:pPr>
      <w:r>
        <w:rPr>
          <w:rStyle w:val="29"/>
          <w:rFonts w:hint="eastAsia" w:ascii="黑体" w:hAnsi="黑体" w:eastAsia="黑体"/>
          <w:b w:val="0"/>
        </w:rPr>
        <w:t>国有资本经营预算支出决算情况说明</w:t>
      </w:r>
      <w:bookmarkEnd w:id="42"/>
      <w:bookmarkEnd w:id="43"/>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21年国有资本经营预算财政拨款支出0万元。</w:t>
      </w:r>
    </w:p>
    <w:p>
      <w:pPr>
        <w:numPr>
          <w:ilvl w:val="0"/>
          <w:numId w:val="3"/>
        </w:numPr>
        <w:spacing w:line="600" w:lineRule="exact"/>
        <w:ind w:firstLine="640"/>
        <w:outlineLvl w:val="1"/>
        <w:rPr>
          <w:rStyle w:val="29"/>
          <w:rFonts w:ascii="黑体" w:hAnsi="黑体" w:eastAsia="黑体"/>
          <w:b w:val="0"/>
        </w:rPr>
      </w:pPr>
      <w:bookmarkStart w:id="44" w:name="_Toc15396612"/>
      <w:bookmarkStart w:id="45" w:name="_Toc15377221"/>
      <w:r>
        <w:rPr>
          <w:rStyle w:val="29"/>
          <w:rFonts w:hint="eastAsia" w:ascii="黑体" w:hAnsi="黑体" w:eastAsia="黑体"/>
          <w:b w:val="0"/>
        </w:rPr>
        <w:t>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根据预算绩效管理要求，本单位在2021年度预算编制阶段，组织对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防灾减灾训练基地维护运行费(非税收入征收成本)</w:t>
      </w:r>
      <w:r>
        <w:rPr>
          <w:rFonts w:ascii="仿宋_GB2312" w:hAnsi="仿宋_GB2312" w:eastAsia="仿宋_GB2312" w:cs="仿宋_GB2312"/>
          <w:sz w:val="32"/>
          <w:szCs w:val="32"/>
        </w:rPr>
        <w:t>”</w:t>
      </w:r>
      <w:r>
        <w:rPr>
          <w:rFonts w:hint="eastAsia" w:ascii="仿宋_GB2312" w:eastAsia="仿宋_GB2312"/>
          <w:sz w:val="32"/>
          <w:szCs w:val="32"/>
        </w:rPr>
        <w:t>、</w:t>
      </w:r>
      <w:r>
        <w:rPr>
          <w:rFonts w:ascii="仿宋_GB2312" w:eastAsia="仿宋_GB2312"/>
          <w:sz w:val="32"/>
          <w:szCs w:val="32"/>
        </w:rPr>
        <w:t>”</w:t>
      </w:r>
      <w:r>
        <w:rPr>
          <w:rFonts w:hint="eastAsia" w:ascii="仿宋_GB2312" w:eastAsia="仿宋_GB2312"/>
          <w:sz w:val="32"/>
          <w:szCs w:val="32"/>
        </w:rPr>
        <w:t>考试中心日常维护运行费</w:t>
      </w:r>
      <w:r>
        <w:rPr>
          <w:rFonts w:ascii="仿宋_GB2312" w:eastAsia="仿宋_GB2312"/>
          <w:sz w:val="32"/>
          <w:szCs w:val="32"/>
        </w:rPr>
        <w:t>”</w:t>
      </w:r>
      <w:r>
        <w:rPr>
          <w:rFonts w:hint="eastAsia" w:ascii="仿宋_GB2312" w:eastAsia="仿宋_GB2312"/>
          <w:sz w:val="32"/>
          <w:szCs w:val="32"/>
        </w:rPr>
        <w:t>、</w:t>
      </w:r>
      <w:r>
        <w:rPr>
          <w:rFonts w:ascii="仿宋_GB2312" w:eastAsia="仿宋_GB2312"/>
          <w:sz w:val="32"/>
          <w:szCs w:val="32"/>
        </w:rPr>
        <w:t>”</w:t>
      </w:r>
      <w:r>
        <w:rPr>
          <w:rFonts w:hint="eastAsia" w:ascii="仿宋_GB2312" w:eastAsia="仿宋_GB2312"/>
          <w:sz w:val="32"/>
          <w:szCs w:val="32"/>
        </w:rPr>
        <w:t>考试点交叉监考费</w:t>
      </w:r>
      <w:r>
        <w:rPr>
          <w:rFonts w:ascii="仿宋_GB2312" w:eastAsia="仿宋_GB2312"/>
          <w:sz w:val="32"/>
          <w:szCs w:val="32"/>
        </w:rPr>
        <w:t>”</w:t>
      </w:r>
      <w:r>
        <w:rPr>
          <w:rFonts w:hint="eastAsia" w:ascii="仿宋_GB2312" w:hAnsi="仿宋_GB2312" w:eastAsia="仿宋_GB2312" w:cs="仿宋_GB2312"/>
          <w:sz w:val="32"/>
          <w:szCs w:val="32"/>
        </w:rPr>
        <w:t>项目等3个项目开展了预算事前绩效评估，对3个项目编制了绩效目标，预算执行过程中，选取3个项目开展绩效监控，年终执行完毕后，对3个项目开展了绩效自评，2021年部门预算项目绩效目标自评表见附件（第四部分）。</w:t>
      </w:r>
    </w:p>
    <w:p>
      <w:pPr>
        <w:numPr>
          <w:ilvl w:val="0"/>
          <w:numId w:val="3"/>
        </w:numPr>
        <w:spacing w:line="600" w:lineRule="exact"/>
        <w:ind w:firstLine="640"/>
        <w:outlineLvl w:val="1"/>
        <w:rPr>
          <w:rStyle w:val="29"/>
          <w:rFonts w:ascii="黑体" w:hAnsi="黑体" w:eastAsia="黑体"/>
          <w:b w:val="0"/>
        </w:rPr>
      </w:pPr>
      <w:r>
        <w:rPr>
          <w:rStyle w:val="29"/>
          <w:rFonts w:hint="eastAsia" w:ascii="黑体" w:hAnsi="黑体" w:eastAsia="黑体"/>
          <w:b w:val="0"/>
        </w:rPr>
        <w:t>其他重要事项的情况说明</w:t>
      </w:r>
      <w:bookmarkEnd w:id="44"/>
      <w:bookmarkEnd w:id="45"/>
    </w:p>
    <w:p>
      <w:pPr>
        <w:spacing w:line="600" w:lineRule="exact"/>
        <w:ind w:firstLine="640"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600" w:lineRule="exact"/>
        <w:ind w:firstLine="640" w:firstLineChars="200"/>
        <w:rPr>
          <w:rFonts w:ascii="仿宋" w:hAnsi="仿宋" w:eastAsia="仿宋"/>
          <w:b/>
          <w:sz w:val="32"/>
          <w:szCs w:val="32"/>
        </w:rPr>
      </w:pPr>
      <w:r>
        <w:rPr>
          <w:rFonts w:hint="eastAsia" w:ascii="仿宋" w:hAnsi="仿宋" w:eastAsia="仿宋" w:cs="仿宋"/>
          <w:bCs/>
          <w:sz w:val="32"/>
          <w:szCs w:val="32"/>
        </w:rPr>
        <w:t>2021年</w:t>
      </w:r>
      <w:r>
        <w:rPr>
          <w:rFonts w:hint="eastAsia" w:ascii="仿宋" w:hAnsi="仿宋" w:eastAsia="仿宋" w:cs="仿宋"/>
          <w:bCs/>
          <w:color w:val="000000"/>
          <w:sz w:val="32"/>
          <w:szCs w:val="32"/>
        </w:rPr>
        <w:t>未发生机关运行经费支出，与2020年决算数持平</w:t>
      </w:r>
      <w:r>
        <w:rPr>
          <w:rFonts w:hint="eastAsia" w:ascii="仿宋" w:hAnsi="仿宋" w:eastAsia="仿宋" w:cs="仿宋"/>
          <w:bCs/>
          <w:sz w:val="32"/>
          <w:szCs w:val="32"/>
        </w:rPr>
        <w:t>。</w:t>
      </w:r>
      <w:r>
        <w:rPr>
          <w:rFonts w:hint="eastAsia" w:ascii="仿宋_GB2312" w:hAnsi="仿宋_GB2312" w:eastAsia="仿宋_GB2312" w:cs="仿宋_GB2312"/>
          <w:color w:val="000000"/>
          <w:sz w:val="32"/>
          <w:szCs w:val="32"/>
          <w:shd w:val="clear" w:color="auto" w:fill="FFFFFF"/>
        </w:rPr>
        <w:t>主要原因是本单位属于其他事业单位，不产生机关运行经费。</w:t>
      </w:r>
    </w:p>
    <w:p>
      <w:pPr>
        <w:autoSpaceDE w:val="0"/>
        <w:autoSpaceDN w:val="0"/>
        <w:adjustRightInd w:val="0"/>
        <w:spacing w:line="600" w:lineRule="exact"/>
        <w:ind w:firstLine="640"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21年，广元市矿山安全培训中心政府采购支出总额21.80万元，其中：政府采购货物支出21.80万元,主要用于本辖区内各考试点监考工作（具体工作）。授予中小企业合同金额</w:t>
      </w:r>
      <w:r>
        <w:rPr>
          <w:rFonts w:ascii="仿宋_GB2312" w:eastAsia="仿宋_GB2312"/>
          <w:sz w:val="32"/>
          <w:szCs w:val="32"/>
        </w:rPr>
        <w:t>21.8</w:t>
      </w:r>
      <w:r>
        <w:rPr>
          <w:rFonts w:hint="eastAsia" w:ascii="仿宋_GB2312" w:eastAsia="仿宋_GB2312"/>
          <w:sz w:val="32"/>
          <w:szCs w:val="32"/>
        </w:rPr>
        <w:t>万元，授予小微企业合同金额0万元。</w:t>
      </w:r>
    </w:p>
    <w:p>
      <w:pPr>
        <w:autoSpaceDE w:val="0"/>
        <w:autoSpaceDN w:val="0"/>
        <w:adjustRightInd w:val="0"/>
        <w:spacing w:line="600" w:lineRule="exact"/>
        <w:ind w:firstLine="640"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日，广元市矿山安全培训中心共有车辆1辆，其中其他用车1辆。其他用车主要是用于本辖区内各考试点监考工作,单价</w:t>
      </w:r>
      <w:r>
        <w:rPr>
          <w:rFonts w:ascii="仿宋_GB2312" w:eastAsia="仿宋_GB2312"/>
          <w:sz w:val="32"/>
          <w:szCs w:val="32"/>
        </w:rPr>
        <w:t>50</w:t>
      </w:r>
      <w:r>
        <w:rPr>
          <w:rFonts w:hint="eastAsia" w:ascii="仿宋_GB2312" w:eastAsia="仿宋_GB2312"/>
          <w:sz w:val="32"/>
          <w:szCs w:val="32"/>
        </w:rPr>
        <w:t>万元以上通用设备0（套），单价</w:t>
      </w:r>
      <w:r>
        <w:rPr>
          <w:rFonts w:ascii="仿宋_GB2312" w:eastAsia="仿宋_GB2312"/>
          <w:sz w:val="32"/>
          <w:szCs w:val="32"/>
        </w:rPr>
        <w:t>100</w:t>
      </w:r>
      <w:r>
        <w:rPr>
          <w:rFonts w:hint="eastAsia" w:ascii="仿宋_GB2312" w:eastAsia="仿宋_GB2312"/>
          <w:sz w:val="32"/>
          <w:szCs w:val="32"/>
        </w:rPr>
        <w:t>万元以上专用设备0台（套）。</w:t>
      </w:r>
    </w:p>
    <w:p>
      <w:pPr>
        <w:widowControl/>
        <w:jc w:val="left"/>
        <w:rPr>
          <w:rFonts w:ascii="仿宋_GB2312" w:eastAsia="仿宋_GB2312"/>
          <w:b/>
          <w:sz w:val="32"/>
          <w:szCs w:val="32"/>
        </w:rPr>
      </w:pPr>
    </w:p>
    <w:p>
      <w:pPr>
        <w:numPr>
          <w:ilvl w:val="0"/>
          <w:numId w:val="4"/>
        </w:numPr>
        <w:spacing w:line="600" w:lineRule="exact"/>
        <w:ind w:firstLine="660" w:firstLineChars="150"/>
        <w:jc w:val="center"/>
        <w:outlineLvl w:val="0"/>
        <w:rPr>
          <w:rStyle w:val="28"/>
          <w:rFonts w:ascii="黑体" w:hAnsi="黑体" w:eastAsia="黑体"/>
          <w:b w:val="0"/>
        </w:rPr>
      </w:pPr>
      <w:bookmarkStart w:id="49" w:name="_Toc15377225"/>
      <w:bookmarkStart w:id="50" w:name="_Toc15396613"/>
      <w:r>
        <w:rPr>
          <w:rFonts w:hint="eastAsia" w:ascii="黑体" w:hAnsi="黑体" w:eastAsia="黑体"/>
          <w:sz w:val="44"/>
          <w:szCs w:val="44"/>
        </w:rPr>
        <w:t>名</w:t>
      </w:r>
      <w:r>
        <w:rPr>
          <w:rStyle w:val="28"/>
          <w:rFonts w:hint="eastAsia" w:ascii="黑体" w:hAnsi="黑体" w:eastAsia="黑体"/>
          <w:b w:val="0"/>
        </w:rPr>
        <w:t>词解释</w:t>
      </w:r>
      <w:bookmarkEnd w:id="49"/>
      <w:bookmarkEnd w:id="50"/>
    </w:p>
    <w:p>
      <w:pPr>
        <w:spacing w:line="600" w:lineRule="exact"/>
        <w:jc w:val="left"/>
        <w:rPr>
          <w:rFonts w:ascii="仿宋_GB2312" w:hAnsi="仿宋_GB2312" w:eastAsia="仿宋_GB2312" w:cs="仿宋_GB2312"/>
          <w:b/>
          <w:sz w:val="32"/>
          <w:szCs w:val="32"/>
        </w:rPr>
      </w:pPr>
    </w:p>
    <w:p>
      <w:pPr>
        <w:pStyle w:val="26"/>
        <w:spacing w:line="560" w:lineRule="exact"/>
        <w:ind w:firstLine="640" w:firstLineChars="200"/>
        <w:rPr>
          <w:rFonts w:ascii="仿宋_GB2312" w:eastAsia="仿宋_GB2312"/>
          <w:sz w:val="32"/>
          <w:szCs w:val="32"/>
        </w:rPr>
      </w:pPr>
      <w:bookmarkStart w:id="51" w:name="_Toc15377226"/>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3.年末结转和结余：指单位按有关规定结转到下年或以后年度继续使用的资金。</w:t>
      </w:r>
    </w:p>
    <w:p>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4</w:t>
      </w:r>
      <w:r>
        <w:rPr>
          <w:rFonts w:ascii="仿宋_GB2312" w:hAnsi="Calibri" w:eastAsia="仿宋_GB2312" w:cs="仿宋"/>
          <w:color w:val="000000"/>
          <w:kern w:val="0"/>
          <w:sz w:val="32"/>
          <w:szCs w:val="32"/>
        </w:rPr>
        <w:t>.</w:t>
      </w:r>
      <w:r>
        <w:rPr>
          <w:rFonts w:hint="eastAsia" w:ascii="仿宋_GB2312" w:hAnsi="Calibri" w:eastAsia="仿宋_GB2312" w:cs="仿宋"/>
          <w:color w:val="000000"/>
          <w:kern w:val="0"/>
          <w:sz w:val="32"/>
          <w:szCs w:val="32"/>
        </w:rPr>
        <w:t>社会保障和就业支出（类）行政事业单位养老支出（款）机关事业单位基本养老保险缴费支出（项）：指机关事业单位实施养老保险制度由单位缴纳的基本养老保险费支出。</w:t>
      </w:r>
    </w:p>
    <w:p>
      <w:pPr>
        <w:spacing w:line="56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5</w:t>
      </w:r>
      <w:r>
        <w:rPr>
          <w:rFonts w:ascii="仿宋_GB2312" w:hAnsi="Calibri" w:eastAsia="仿宋_GB2312" w:cs="仿宋"/>
          <w:color w:val="000000"/>
          <w:kern w:val="0"/>
          <w:sz w:val="32"/>
          <w:szCs w:val="32"/>
        </w:rPr>
        <w:t>.</w:t>
      </w:r>
      <w:r>
        <w:rPr>
          <w:rFonts w:hint="eastAsia" w:ascii="仿宋_GB2312" w:hAnsi="Calibri" w:eastAsia="仿宋_GB2312" w:cs="仿宋"/>
          <w:color w:val="000000"/>
          <w:kern w:val="0"/>
          <w:sz w:val="32"/>
          <w:szCs w:val="32"/>
        </w:rPr>
        <w:t>卫生健康支出（类）行政事业单位医疗（款）事业单位医疗（项）：指财政部门安排的事业单位基本医疗保险经费，未参加医疗保险的事业单位公费医疗经费，按国家规定享受离休人员待遇的医疗费。</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6.住房保障支出（类）住房改革支出（款）住房公积金（项）：指行政事业单位按人力资源和社会保障部、财政部规定的基本工资和津贴补贴以及规定比例为职工缴纳的住房公积金。</w:t>
      </w:r>
    </w:p>
    <w:p>
      <w:pPr>
        <w:spacing w:line="560" w:lineRule="exact"/>
        <w:ind w:firstLine="640" w:firstLineChars="200"/>
        <w:rPr>
          <w:rStyle w:val="18"/>
          <w:rFonts w:ascii="仿宋_GB2312" w:eastAsia="仿宋_GB2312" w:cs="仿宋_GB2312"/>
          <w:b w:val="0"/>
          <w:bCs/>
          <w:color w:val="000000"/>
          <w:sz w:val="32"/>
          <w:szCs w:val="32"/>
        </w:rPr>
      </w:pPr>
      <w:r>
        <w:rPr>
          <w:rStyle w:val="18"/>
          <w:rFonts w:hint="eastAsia" w:ascii="仿宋_GB2312" w:eastAsia="仿宋_GB2312" w:cs="仿宋_GB2312"/>
          <w:b w:val="0"/>
          <w:bCs/>
          <w:color w:val="000000"/>
          <w:sz w:val="32"/>
          <w:szCs w:val="32"/>
        </w:rPr>
        <w:t>7.灾害防治及应急管理支出（类）应急管理事务（款）事业运行（项）：反映事业单位的基本支出，不包括行政单位（包括事项公务员管理的事业单位）后期服务中心、医务室等附属事业单位。</w:t>
      </w:r>
    </w:p>
    <w:p>
      <w:pPr>
        <w:spacing w:line="560" w:lineRule="exact"/>
        <w:ind w:firstLine="640" w:firstLineChars="200"/>
        <w:rPr>
          <w:rStyle w:val="18"/>
          <w:rFonts w:ascii="仿宋_GB2312" w:eastAsia="仿宋_GB2312"/>
          <w:b w:val="0"/>
          <w:bCs/>
          <w:color w:val="000000"/>
          <w:sz w:val="32"/>
          <w:szCs w:val="32"/>
        </w:rPr>
      </w:pPr>
      <w:r>
        <w:rPr>
          <w:rStyle w:val="18"/>
          <w:rFonts w:hint="eastAsia" w:ascii="仿宋_GB2312" w:eastAsia="仿宋_GB2312" w:cs="仿宋_GB2312"/>
          <w:b w:val="0"/>
          <w:bCs/>
          <w:color w:val="000000"/>
          <w:sz w:val="32"/>
          <w:szCs w:val="32"/>
        </w:rPr>
        <w:t>8.灾害防治及应急管理支出（类）应急管理事务（款）其他应急管理支出（项）：反映其他应急管理方面的支出。</w:t>
      </w:r>
    </w:p>
    <w:p>
      <w:pPr>
        <w:spacing w:line="560" w:lineRule="exac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9.基本支出：指为保障机构正常运转、完成日常工作任务而发生的人员支出和公用支出。</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 xml:space="preserve">10.项目支出：指在基本支出之外为完成特定行政任务和事业发展目标所发生的支出。 </w:t>
      </w:r>
    </w:p>
    <w:p>
      <w:pPr>
        <w:pStyle w:val="26"/>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11.“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Style w:val="28"/>
          <w:rFonts w:ascii="黑体" w:hAnsi="黑体" w:eastAsia="黑体"/>
          <w:b w:val="0"/>
        </w:rPr>
      </w:pPr>
      <w:r>
        <w:rPr>
          <w:rFonts w:ascii="宋体"/>
          <w:b/>
          <w:sz w:val="44"/>
          <w:szCs w:val="44"/>
        </w:rPr>
        <w:br w:type="page"/>
      </w:r>
      <w:bookmarkStart w:id="52" w:name="_Toc15396614"/>
      <w:r>
        <w:rPr>
          <w:rFonts w:hint="eastAsia" w:ascii="黑体" w:hAnsi="黑体" w:eastAsia="黑体"/>
          <w:sz w:val="44"/>
          <w:szCs w:val="44"/>
        </w:rPr>
        <w:t>第</w:t>
      </w:r>
      <w:r>
        <w:rPr>
          <w:rStyle w:val="28"/>
          <w:rFonts w:hint="eastAsia" w:ascii="黑体" w:hAnsi="黑体" w:eastAsia="黑体"/>
          <w:b w:val="0"/>
        </w:rPr>
        <w:t>四部分 附件</w:t>
      </w:r>
      <w:bookmarkEnd w:id="52"/>
    </w:p>
    <w:p>
      <w:pPr>
        <w:spacing w:line="600" w:lineRule="exact"/>
        <w:jc w:val="center"/>
        <w:rPr>
          <w:rFonts w:ascii="方正小标宋简体" w:hAnsi="方正小标宋简体" w:eastAsia="方正小标宋简体" w:cs="方正小标宋简体"/>
          <w:sz w:val="40"/>
          <w:szCs w:val="40"/>
          <w:lang w:val="zh-CN"/>
        </w:rPr>
      </w:pPr>
      <w:r>
        <w:rPr>
          <w:rFonts w:hint="eastAsia" w:ascii="方正小标宋简体" w:hAnsi="方正小标宋简体" w:eastAsia="方正小标宋简体" w:cs="方正小标宋简体"/>
          <w:sz w:val="40"/>
          <w:szCs w:val="40"/>
        </w:rPr>
        <w:t>2021年</w:t>
      </w:r>
      <w:r>
        <w:rPr>
          <w:rFonts w:hint="eastAsia" w:ascii="方正小标宋简体" w:hAnsi="方正小标宋简体" w:eastAsia="方正小标宋简体" w:cs="方正小标宋简体"/>
          <w:sz w:val="40"/>
          <w:szCs w:val="40"/>
          <w:lang w:val="zh-CN"/>
        </w:rPr>
        <w:t>专项预算项目支出绩效自评报告</w:t>
      </w:r>
    </w:p>
    <w:p>
      <w:pPr>
        <w:spacing w:line="600" w:lineRule="exact"/>
        <w:ind w:firstLine="883"/>
        <w:jc w:val="center"/>
        <w:rPr>
          <w:rFonts w:ascii="仿宋_GB2312" w:hAnsi="宋体" w:eastAsia="仿宋_GB2312"/>
          <w:sz w:val="32"/>
          <w:szCs w:val="32"/>
          <w:lang w:val="zh-CN"/>
        </w:rPr>
      </w:pPr>
      <w:r>
        <w:rPr>
          <w:rFonts w:hint="eastAsia" w:ascii="仿宋_GB2312" w:hAnsi="宋体" w:eastAsia="仿宋_GB2312"/>
          <w:sz w:val="32"/>
          <w:szCs w:val="32"/>
          <w:lang w:val="zh-CN"/>
        </w:rPr>
        <w:t>（</w:t>
      </w:r>
      <w:r>
        <w:rPr>
          <w:rFonts w:hint="eastAsia" w:ascii="仿宋_GB2312" w:hAnsi="宋体" w:eastAsia="仿宋_GB2312"/>
          <w:sz w:val="32"/>
          <w:szCs w:val="32"/>
        </w:rPr>
        <w:t xml:space="preserve"> </w:t>
      </w:r>
      <w:r>
        <w:rPr>
          <w:rFonts w:hint="eastAsia" w:ascii="仿宋_GB2312" w:hAnsi="仿宋_GB2312" w:eastAsia="仿宋_GB2312" w:cs="仿宋_GB2312"/>
          <w:color w:val="000000"/>
          <w:sz w:val="32"/>
          <w:szCs w:val="32"/>
        </w:rPr>
        <w:t>考试中心日常维护运行费项目</w:t>
      </w:r>
      <w:r>
        <w:rPr>
          <w:rFonts w:hint="eastAsia" w:ascii="仿宋_GB2312" w:hAnsi="宋体" w:eastAsia="仿宋_GB2312"/>
          <w:sz w:val="32"/>
          <w:szCs w:val="32"/>
        </w:rPr>
        <w:t xml:space="preserve"> </w:t>
      </w:r>
      <w:r>
        <w:rPr>
          <w:rFonts w:hint="eastAsia" w:ascii="仿宋_GB2312" w:hAnsi="宋体" w:eastAsia="仿宋_GB2312"/>
          <w:sz w:val="32"/>
          <w:szCs w:val="32"/>
          <w:lang w:val="zh-CN"/>
        </w:rPr>
        <w:t>）</w:t>
      </w:r>
    </w:p>
    <w:p>
      <w:pPr>
        <w:spacing w:line="600" w:lineRule="exact"/>
        <w:ind w:firstLine="640"/>
        <w:jc w:val="center"/>
        <w:rPr>
          <w:rFonts w:ascii="宋体" w:hAns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pStyle w:val="7"/>
        <w:adjustRightInd w:val="0"/>
        <w:snapToGrid w:val="0"/>
        <w:spacing w:beforeLines="0" w:line="560" w:lineRule="exact"/>
        <w:ind w:firstLine="640" w:firstLineChars="200"/>
        <w:outlineLvl w:val="2"/>
        <w:rPr>
          <w:rFonts w:hAnsi="仿宋_GB2312" w:cs="仿宋_GB2312"/>
          <w:sz w:val="32"/>
          <w:szCs w:val="32"/>
        </w:rPr>
      </w:pPr>
      <w:r>
        <w:rPr>
          <w:rFonts w:hint="eastAsia" w:hAnsi="宋体"/>
          <w:sz w:val="32"/>
          <w:szCs w:val="32"/>
          <w:lang w:val="zh-CN"/>
        </w:rPr>
        <w:t>1．</w:t>
      </w:r>
      <w:r>
        <w:rPr>
          <w:rFonts w:hint="eastAsia" w:hAnsi="仿宋_GB2312" w:cs="仿宋_GB2312"/>
          <w:sz w:val="32"/>
          <w:szCs w:val="32"/>
        </w:rPr>
        <w:t>根据</w:t>
      </w:r>
      <w:r>
        <w:rPr>
          <w:rFonts w:hint="eastAsia" w:hAnsi="仿宋_GB2312" w:cs="仿宋_GB2312"/>
          <w:snapToGrid w:val="0"/>
          <w:sz w:val="32"/>
          <w:szCs w:val="32"/>
        </w:rPr>
        <w:t>2019年9月9日</w:t>
      </w:r>
      <w:r>
        <w:rPr>
          <w:rFonts w:hint="eastAsia" w:hAnsi="仿宋_GB2312" w:cs="仿宋_GB2312"/>
          <w:sz w:val="32"/>
          <w:szCs w:val="32"/>
        </w:rPr>
        <w:t>市委编办《关于市安全生产应急和信息中心等机构调整优化的通告》(广编办发〔2019〕89号)精神,我中心增挂市安全生产培训考试中心牌子,新增职责为承担全市安全生产培训考试具体事务工作,安全生产培训考试考核为政府社会管理公益职能,并承办市应急局交办的其他事项。</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2．项目立项、资金申报的依据。</w:t>
      </w:r>
    </w:p>
    <w:p>
      <w:pPr>
        <w:pStyle w:val="7"/>
        <w:spacing w:before="93"/>
        <w:ind w:firstLine="640"/>
        <w:rPr>
          <w:rFonts w:hAnsi="仿宋_GB2312" w:cs="仿宋_GB2312"/>
          <w:color w:val="000000"/>
          <w:sz w:val="32"/>
          <w:szCs w:val="32"/>
        </w:rPr>
      </w:pPr>
      <w:r>
        <w:rPr>
          <w:rFonts w:hint="eastAsia" w:hAnsi="仿宋_GB2312" w:cs="仿宋_GB2312"/>
          <w:color w:val="000000"/>
          <w:sz w:val="32"/>
          <w:szCs w:val="32"/>
        </w:rPr>
        <w:t>根据2019年9月9日市委编办《关于市安全生产应急和信息中心等机构调整优化的通告》(广编办发〔2019〕89文）精神,该中心增挂市安全生产培训考试中心牌子,新增职责为承担全市安全生产培训考试具体事务工作,安全生产培训考试考核为政府社会管理公益职能为项目申报、立项依据。</w:t>
      </w:r>
    </w:p>
    <w:p>
      <w:pPr>
        <w:numPr>
          <w:ilvl w:val="0"/>
          <w:numId w:val="5"/>
        </w:num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资金管理办法制定情况，资金支持具体项目的条件、范围与支持方式概况。</w:t>
      </w:r>
    </w:p>
    <w:p>
      <w:pPr>
        <w:adjustRightInd w:val="0"/>
        <w:snapToGrid w:val="0"/>
        <w:spacing w:line="560" w:lineRule="exact"/>
        <w:ind w:firstLine="640" w:firstLineChars="200"/>
        <w:rPr>
          <w:lang w:val="zh-CN"/>
        </w:rPr>
      </w:pPr>
      <w:r>
        <w:rPr>
          <w:rFonts w:hint="eastAsia" w:ascii="仿宋_GB2312" w:hAnsi="仿宋_GB2312" w:eastAsia="仿宋_GB2312" w:cs="仿宋_GB2312"/>
          <w:color w:val="000000"/>
          <w:sz w:val="32"/>
          <w:szCs w:val="32"/>
        </w:rPr>
        <w:t>2021年项目</w:t>
      </w:r>
      <w:r>
        <w:rPr>
          <w:rFonts w:hint="eastAsia" w:ascii="仿宋_GB2312" w:hAnsi="仿宋_GB2312" w:eastAsia="仿宋_GB2312" w:cs="仿宋_GB2312"/>
          <w:color w:val="000000"/>
          <w:sz w:val="32"/>
          <w:szCs w:val="32"/>
          <w:lang w:val="zh-CN"/>
        </w:rPr>
        <w:t>主要通过财政拨款给予项目支持，项目资金主要用于</w:t>
      </w:r>
      <w:r>
        <w:rPr>
          <w:rFonts w:hint="eastAsia" w:ascii="仿宋_GB2312" w:hAnsi="仿宋_GB2312" w:eastAsia="仿宋_GB2312" w:cs="仿宋_GB2312"/>
          <w:color w:val="000000"/>
          <w:sz w:val="32"/>
          <w:szCs w:val="32"/>
        </w:rPr>
        <w:t>考试中心日常维护运行</w:t>
      </w:r>
      <w:r>
        <w:rPr>
          <w:rFonts w:hint="eastAsia" w:ascii="仿宋_GB2312" w:hAnsi="仿宋_GB2312" w:eastAsia="仿宋_GB2312" w:cs="仿宋_GB2312"/>
          <w:color w:val="000000"/>
          <w:sz w:val="32"/>
          <w:szCs w:val="32"/>
          <w:lang w:val="zh-CN"/>
        </w:rPr>
        <w:t>。我中心根据《预算支出管理制度》等内部控制制度和《预算法》对其进行资金收支管理。</w:t>
      </w:r>
    </w:p>
    <w:p>
      <w:pPr>
        <w:numPr>
          <w:ilvl w:val="0"/>
          <w:numId w:val="5"/>
        </w:num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资金分配的原则及考虑因素。</w:t>
      </w:r>
    </w:p>
    <w:p>
      <w:pPr>
        <w:adjustRightInd w:val="0"/>
        <w:snapToGrid w:val="0"/>
        <w:spacing w:line="560" w:lineRule="exact"/>
        <w:ind w:firstLine="640" w:firstLineChars="200"/>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根据合理调整安排资金，统筹兼顾，量力而行，分清轻重缓急，集中财力办事业，保证单位任务顺利完成原则，需考虑广元市矿山安全培训中心项目中实际需求和预算是否符合，执行是否有效率，项目效果完成情况等。</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56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1．项目主要内容。</w:t>
      </w:r>
    </w:p>
    <w:p>
      <w:pPr>
        <w:adjustRightInd w:val="0"/>
        <w:snapToGrid w:val="0"/>
        <w:spacing w:line="560" w:lineRule="exact"/>
        <w:ind w:firstLine="720"/>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考试中心日常维护运行费项目</w:t>
      </w:r>
      <w:r>
        <w:rPr>
          <w:rFonts w:hint="eastAsia" w:ascii="仿宋_GB2312" w:hAnsi="仿宋_GB2312" w:eastAsia="仿宋_GB2312" w:cs="仿宋_GB2312"/>
          <w:color w:val="000000"/>
          <w:sz w:val="32"/>
          <w:szCs w:val="32"/>
          <w:lang w:val="zh-CN"/>
        </w:rPr>
        <w:t>预算批复</w:t>
      </w:r>
      <w:r>
        <w:rPr>
          <w:rFonts w:hint="eastAsia" w:ascii="仿宋_GB2312" w:hAnsi="仿宋_GB2312" w:eastAsia="仿宋_GB2312" w:cs="仿宋_GB2312"/>
          <w:color w:val="000000"/>
          <w:sz w:val="32"/>
          <w:szCs w:val="32"/>
        </w:rPr>
        <w:t>5万元</w:t>
      </w:r>
      <w:r>
        <w:rPr>
          <w:rFonts w:hint="eastAsia" w:ascii="仿宋_GB2312" w:hAnsi="仿宋_GB2312" w:eastAsia="仿宋_GB2312" w:cs="仿宋_GB2312"/>
          <w:color w:val="000000"/>
          <w:sz w:val="32"/>
          <w:szCs w:val="32"/>
          <w:lang w:val="zh-CN"/>
        </w:rPr>
        <w:t>，均为市（州）财政拨款，</w:t>
      </w:r>
      <w:r>
        <w:rPr>
          <w:rFonts w:hint="eastAsia" w:ascii="仿宋_GB2312" w:hAnsi="仿宋_GB2312" w:eastAsia="仿宋_GB2312" w:cs="仿宋_GB2312"/>
          <w:sz w:val="32"/>
          <w:szCs w:val="32"/>
          <w:lang w:val="zh-CN"/>
        </w:rPr>
        <w:t>项目主要内容</w:t>
      </w:r>
      <w:r>
        <w:rPr>
          <w:rFonts w:hint="eastAsia" w:ascii="仿宋_GB2312" w:hAnsi="仿宋_GB2312" w:eastAsia="仿宋_GB2312" w:cs="仿宋_GB2312"/>
          <w:color w:val="000000"/>
          <w:sz w:val="32"/>
          <w:szCs w:val="32"/>
          <w:lang w:val="zh-CN"/>
        </w:rPr>
        <w:t>为</w:t>
      </w:r>
      <w:r>
        <w:rPr>
          <w:rFonts w:hint="eastAsia" w:ascii="仿宋_GB2312" w:hAnsi="仿宋_GB2312" w:eastAsia="仿宋_GB2312" w:cs="仿宋_GB2312"/>
          <w:color w:val="000000"/>
          <w:sz w:val="32"/>
          <w:szCs w:val="32"/>
        </w:rPr>
        <w:t>承担全市安全生产培训考试具体事务工作</w:t>
      </w:r>
      <w:r>
        <w:rPr>
          <w:rFonts w:hint="eastAsia" w:ascii="仿宋_GB2312" w:hAnsi="仿宋_GB2312" w:eastAsia="仿宋_GB2312" w:cs="仿宋_GB2312"/>
          <w:color w:val="000000"/>
          <w:sz w:val="32"/>
          <w:szCs w:val="32"/>
          <w:lang w:val="zh-CN"/>
        </w:rPr>
        <w:t>。</w:t>
      </w:r>
    </w:p>
    <w:p>
      <w:pPr>
        <w:numPr>
          <w:ilvl w:val="0"/>
          <w:numId w:val="6"/>
        </w:num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项目应实现的具体绩效目标，包括目标的量化、细化情况以及项目实施进度计划等。</w:t>
      </w:r>
    </w:p>
    <w:p>
      <w:pPr>
        <w:adjustRightInd w:val="0"/>
        <w:snapToGrid w:val="0"/>
        <w:spacing w:line="52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计划实现的具体绩效目标</w:t>
      </w:r>
      <w:r>
        <w:rPr>
          <w:rFonts w:hint="eastAsia" w:ascii="仿宋_GB2312" w:hAnsi="仿宋_GB2312" w:eastAsia="仿宋_GB2312" w:cs="仿宋_GB2312"/>
          <w:sz w:val="32"/>
          <w:szCs w:val="32"/>
        </w:rPr>
        <w:t>:考试中心正常运行。</w:t>
      </w:r>
      <w:r>
        <w:rPr>
          <w:rFonts w:hint="eastAsia" w:ascii="仿宋_GB2312" w:hAnsi="仿宋_GB2312" w:eastAsia="仿宋_GB2312" w:cs="仿宋_GB2312"/>
          <w:sz w:val="32"/>
          <w:szCs w:val="32"/>
          <w:lang w:val="zh-CN"/>
        </w:rPr>
        <w:t>项目实施进度计划：</w:t>
      </w:r>
      <w:r>
        <w:rPr>
          <w:rFonts w:hint="eastAsia" w:ascii="仿宋_GB2312" w:hAnsi="仿宋_GB2312" w:eastAsia="仿宋_GB2312" w:cs="仿宋_GB2312"/>
          <w:sz w:val="32"/>
          <w:szCs w:val="32"/>
        </w:rPr>
        <w:t>2021年年底前</w:t>
      </w:r>
      <w:r>
        <w:rPr>
          <w:rFonts w:hint="eastAsia" w:ascii="仿宋_GB2312" w:hAnsi="仿宋_GB2312" w:eastAsia="仿宋_GB2312" w:cs="仿宋_GB2312"/>
          <w:color w:val="000000"/>
          <w:sz w:val="32"/>
          <w:szCs w:val="32"/>
          <w:lang w:val="zh-CN"/>
        </w:rPr>
        <w:t>项目实施全面完成。</w:t>
      </w:r>
    </w:p>
    <w:p>
      <w:pPr>
        <w:numPr>
          <w:ilvl w:val="0"/>
          <w:numId w:val="6"/>
        </w:num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分析评价申报内容是否与实际相符，申报目标是否合理可行。</w:t>
      </w:r>
    </w:p>
    <w:p>
      <w:pPr>
        <w:pStyle w:val="7"/>
        <w:spacing w:before="93" w:line="520" w:lineRule="exact"/>
        <w:ind w:firstLine="640" w:firstLineChars="200"/>
        <w:rPr>
          <w:rFonts w:hAnsi="仿宋_GB2312" w:cs="仿宋_GB2312"/>
          <w:sz w:val="32"/>
          <w:lang w:val="zh-CN"/>
        </w:rPr>
      </w:pPr>
      <w:r>
        <w:rPr>
          <w:rFonts w:hint="eastAsia" w:hAnsi="仿宋_GB2312" w:cs="仿宋_GB2312"/>
          <w:color w:val="000000"/>
          <w:sz w:val="32"/>
          <w:lang w:val="zh-CN"/>
        </w:rPr>
        <w:t>项目申报内容与具体实施内容相符，申报目标合理可行。</w:t>
      </w:r>
      <w:r>
        <w:rPr>
          <w:rFonts w:hint="eastAsia" w:hAnsi="仿宋_GB2312" w:cs="仿宋_GB2312"/>
          <w:sz w:val="32"/>
        </w:rPr>
        <w:t>采用财政国库集中支付，严格按照预算执行专款专用，科学计划资金使用进度，每笔支出力求规范、合理。</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56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说明项目绩效自评采用的组织实施步骤及方法。</w:t>
      </w:r>
    </w:p>
    <w:p>
      <w:pPr>
        <w:adjustRightInd w:val="0"/>
        <w:snapToGrid w:val="0"/>
        <w:spacing w:line="560" w:lineRule="exact"/>
        <w:ind w:firstLine="720"/>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通过项目完成数量、质量、时效以及社会效益和经济效益等指标对</w:t>
      </w:r>
      <w:r>
        <w:rPr>
          <w:rFonts w:hint="eastAsia" w:ascii="仿宋_GB2312" w:hAnsi="仿宋_GB2312" w:eastAsia="仿宋_GB2312" w:cs="仿宋_GB2312"/>
          <w:color w:val="000000"/>
          <w:sz w:val="32"/>
          <w:szCs w:val="32"/>
        </w:rPr>
        <w:t>2021年项目</w:t>
      </w:r>
      <w:r>
        <w:rPr>
          <w:rFonts w:hint="eastAsia" w:ascii="仿宋_GB2312" w:hAnsi="仿宋_GB2312" w:eastAsia="仿宋_GB2312" w:cs="仿宋_GB2312"/>
          <w:color w:val="000000"/>
          <w:sz w:val="32"/>
          <w:szCs w:val="32"/>
          <w:lang w:val="zh-CN"/>
        </w:rPr>
        <w:t>展开绩效自评来衡量绩效目标完成情况。</w:t>
      </w:r>
    </w:p>
    <w:p>
      <w:pPr>
        <w:adjustRightInd w:val="0"/>
        <w:snapToGrid w:val="0"/>
        <w:spacing w:line="600" w:lineRule="exact"/>
        <w:ind w:firstLine="720"/>
        <w:rPr>
          <w:rFonts w:ascii="仿宋_GB2312" w:hAnsi="宋体" w:eastAsia="仿宋_GB2312"/>
          <w:sz w:val="32"/>
          <w:szCs w:val="32"/>
          <w:lang w:val="zh-CN"/>
        </w:rPr>
      </w:pP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说明项目资金申报、批复及预算调整等程序的相关情况。</w:t>
      </w:r>
    </w:p>
    <w:p>
      <w:pPr>
        <w:pStyle w:val="7"/>
        <w:spacing w:before="93" w:line="520" w:lineRule="exact"/>
        <w:ind w:firstLine="640"/>
        <w:rPr>
          <w:rFonts w:hAnsi="宋体"/>
          <w:lang w:val="zh-CN"/>
        </w:rPr>
      </w:pPr>
      <w:r>
        <w:rPr>
          <w:rFonts w:hint="eastAsia" w:hAnsi="仿宋_GB2312" w:cs="仿宋_GB2312"/>
          <w:color w:val="000000"/>
          <w:sz w:val="32"/>
        </w:rPr>
        <w:t>考试中心日常运行费用项目预算申请5万元，预算批复5万元，符合</w:t>
      </w:r>
      <w:r>
        <w:rPr>
          <w:rFonts w:hint="eastAsia" w:hAnsi="宋体"/>
          <w:lang w:val="zh-CN"/>
        </w:rPr>
        <w:t>资金管理办法。</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（二）资金计划、到位及使用情况（可用表格形式反映）。</w:t>
      </w:r>
    </w:p>
    <w:p>
      <w:pPr>
        <w:adjustRightInd w:val="0"/>
        <w:snapToGrid w:val="0"/>
        <w:spacing w:line="56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1．资金计划。</w:t>
      </w:r>
    </w:p>
    <w:p>
      <w:pPr>
        <w:adjustRightInd w:val="0"/>
        <w:snapToGrid w:val="0"/>
        <w:spacing w:line="560" w:lineRule="exact"/>
        <w:ind w:firstLine="640" w:firstLineChars="200"/>
        <w:rPr>
          <w:rFonts w:ascii="仿宋_GB2312" w:hAnsi="仿宋_GB2312" w:cs="仿宋_GB2312"/>
          <w:color w:val="000000" w:themeColor="text1"/>
          <w:sz w:val="32"/>
          <w:szCs w:val="32"/>
          <w14:textFill>
            <w14:solidFill>
              <w14:schemeClr w14:val="tx1"/>
            </w14:solidFill>
          </w14:textFill>
        </w:rPr>
      </w:pPr>
      <w:r>
        <w:rPr>
          <w:rFonts w:hint="eastAsia" w:hAnsi="仿宋_GB2312" w:cs="仿宋_GB2312"/>
          <w:color w:val="000000"/>
          <w:sz w:val="32"/>
          <w:szCs w:val="32"/>
        </w:rPr>
        <w:t>考试中心日常运行费用专项</w:t>
      </w:r>
      <w:r>
        <w:rPr>
          <w:rFonts w:hint="eastAsia" w:ascii="仿宋_GB2312" w:hAnsi="仿宋_GB2312" w:cs="仿宋_GB2312"/>
          <w:color w:val="000000" w:themeColor="text1"/>
          <w:sz w:val="32"/>
          <w:szCs w:val="32"/>
          <w14:textFill>
            <w14:solidFill>
              <w14:schemeClr w14:val="tx1"/>
            </w14:solidFill>
          </w14:textFill>
        </w:rPr>
        <w:t>项目：</w:t>
      </w:r>
      <w:r>
        <w:rPr>
          <w:rFonts w:hint="eastAsia" w:ascii="仿宋_GB2312" w:hAnsi="仿宋_GB2312" w:cs="仿宋_GB2312"/>
          <w:color w:val="000000" w:themeColor="text1"/>
          <w:sz w:val="32"/>
          <w:szCs w:val="32"/>
          <w:lang w:val="zh-CN"/>
          <w14:textFill>
            <w14:solidFill>
              <w14:schemeClr w14:val="tx1"/>
            </w14:solidFill>
          </w14:textFill>
        </w:rPr>
        <w:t>财政年初申报资金计划</w:t>
      </w:r>
      <w:r>
        <w:rPr>
          <w:rFonts w:hint="eastAsia" w:ascii="仿宋_GB2312" w:hAnsi="仿宋_GB2312" w:cs="仿宋_GB2312"/>
          <w:color w:val="000000" w:themeColor="text1"/>
          <w:sz w:val="32"/>
          <w:szCs w:val="32"/>
          <w14:textFill>
            <w14:solidFill>
              <w14:schemeClr w14:val="tx1"/>
            </w14:solidFill>
          </w14:textFill>
        </w:rPr>
        <w:t>5万元；</w:t>
      </w:r>
    </w:p>
    <w:p>
      <w:pPr>
        <w:numPr>
          <w:ilvl w:val="0"/>
          <w:numId w:val="7"/>
        </w:numPr>
        <w:adjustRightInd w:val="0"/>
        <w:snapToGrid w:val="0"/>
        <w:spacing w:line="56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资金到位。</w:t>
      </w:r>
    </w:p>
    <w:p>
      <w:pPr>
        <w:adjustRightInd w:val="0"/>
        <w:snapToGrid w:val="0"/>
        <w:spacing w:line="560" w:lineRule="exact"/>
        <w:ind w:firstLine="640" w:firstLineChars="200"/>
        <w:rPr>
          <w:rFonts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lang w:val="zh-CN"/>
          <w14:textFill>
            <w14:solidFill>
              <w14:schemeClr w14:val="tx1"/>
            </w14:solidFill>
          </w14:textFill>
        </w:rPr>
        <w:t>年初预算下达</w:t>
      </w:r>
      <w:r>
        <w:rPr>
          <w:rFonts w:hint="eastAsia" w:ascii="仿宋_GB2312" w:hAnsi="仿宋_GB2312" w:cs="仿宋_GB2312"/>
          <w:color w:val="000000" w:themeColor="text1"/>
          <w:sz w:val="32"/>
          <w:szCs w:val="32"/>
          <w14:textFill>
            <w14:solidFill>
              <w14:schemeClr w14:val="tx1"/>
            </w14:solidFill>
          </w14:textFill>
        </w:rPr>
        <w:t>5万元，实际</w:t>
      </w:r>
      <w:r>
        <w:rPr>
          <w:rFonts w:hint="eastAsia" w:ascii="仿宋_GB2312" w:hAnsi="仿宋_GB2312" w:cs="仿宋_GB2312"/>
          <w:color w:val="000000" w:themeColor="text1"/>
          <w:sz w:val="32"/>
          <w:szCs w:val="32"/>
          <w:lang w:val="zh-CN"/>
          <w14:textFill>
            <w14:solidFill>
              <w14:schemeClr w14:val="tx1"/>
            </w14:solidFill>
          </w14:textFill>
        </w:rPr>
        <w:t>到位资金</w:t>
      </w:r>
      <w:r>
        <w:rPr>
          <w:rFonts w:hint="eastAsia" w:ascii="仿宋_GB2312" w:hAnsi="仿宋_GB2312" w:cs="仿宋_GB2312"/>
          <w:color w:val="000000" w:themeColor="text1"/>
          <w:sz w:val="32"/>
          <w:szCs w:val="32"/>
          <w14:textFill>
            <w14:solidFill>
              <w14:schemeClr w14:val="tx1"/>
            </w14:solidFill>
          </w14:textFill>
        </w:rPr>
        <w:t>5万元，均为财政资金，</w:t>
      </w:r>
    </w:p>
    <w:p>
      <w:pPr>
        <w:numPr>
          <w:ilvl w:val="0"/>
          <w:numId w:val="7"/>
        </w:numPr>
        <w:adjustRightInd w:val="0"/>
        <w:snapToGrid w:val="0"/>
        <w:spacing w:line="60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资金使用</w:t>
      </w:r>
    </w:p>
    <w:p>
      <w:pPr>
        <w:pStyle w:val="2"/>
        <w:spacing w:before="93" w:line="520" w:lineRule="exact"/>
        <w:ind w:left="0" w:leftChars="0" w:firstLine="640"/>
        <w:rPr>
          <w:rFonts w:ascii="仿宋_GB2312" w:cs="仿宋_GB2312"/>
          <w:sz w:val="32"/>
          <w:szCs w:val="32"/>
        </w:rPr>
      </w:pPr>
      <w:r>
        <w:rPr>
          <w:rFonts w:hint="eastAsia" w:ascii="仿宋_GB2312" w:hAnsi="仿宋_GB2312" w:cs="仿宋_GB2312"/>
          <w:sz w:val="32"/>
          <w:szCs w:val="32"/>
          <w:lang w:val="zh-CN"/>
        </w:rPr>
        <w:t>截</w:t>
      </w:r>
      <w:r>
        <w:rPr>
          <w:rFonts w:hint="eastAsia" w:ascii="仿宋_GB2312" w:hAnsi="宋体" w:eastAsia="仿宋_GB2312" w:cs="Times New Roman"/>
          <w:color w:val="auto"/>
          <w:sz w:val="32"/>
          <w:szCs w:val="32"/>
          <w:highlight w:val="none"/>
          <w:lang w:val="zh-CN"/>
        </w:rPr>
        <w:t>止</w:t>
      </w:r>
      <w:r>
        <w:rPr>
          <w:rFonts w:hint="eastAsia" w:ascii="仿宋_GB2312" w:hAnsi="仿宋_GB2312" w:cs="仿宋_GB2312"/>
          <w:sz w:val="32"/>
          <w:szCs w:val="32"/>
          <w:lang w:val="zh-CN"/>
        </w:rPr>
        <w:t>评价时点项目资金的实际支出为</w:t>
      </w:r>
      <w:r>
        <w:rPr>
          <w:rFonts w:ascii="仿宋_GB2312" w:hAnsi="仿宋_GB2312" w:cs="仿宋_GB2312"/>
          <w:sz w:val="32"/>
          <w:szCs w:val="32"/>
        </w:rPr>
        <w:t>5</w:t>
      </w:r>
      <w:r>
        <w:rPr>
          <w:rFonts w:hint="eastAsia" w:ascii="仿宋_GB2312" w:hAnsi="仿宋_GB2312" w:cs="仿宋_GB2312"/>
          <w:sz w:val="32"/>
          <w:szCs w:val="32"/>
        </w:rPr>
        <w:t>万元。资金开支范围、标准及支付进度、支付依据等合规合法，资金支付与预算相符。</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ascii="仿宋_GB2312" w:hAnsi="仿宋_GB2312" w:cs="仿宋_GB2312"/>
          <w:sz w:val="32"/>
          <w:szCs w:val="32"/>
        </w:rPr>
      </w:pPr>
      <w:r>
        <w:rPr>
          <w:rFonts w:hint="eastAsia" w:ascii="仿宋_GB2312" w:hAnsi="仿宋_GB2312" w:cs="仿宋_GB2312"/>
          <w:sz w:val="32"/>
          <w:szCs w:val="32"/>
        </w:rPr>
        <w:t>项目管理由本单位财务室严格按照财务相关制度及单位内部控制制度，通过财政集中支付系统按规定支付项目款，并对资金支付逐一进行会计核算及财务处理。对照资金管理办法，该项目严格执行财务管理制度，账务处理及时准确，会计核算规范。</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pStyle w:val="7"/>
        <w:spacing w:before="93" w:line="520" w:lineRule="exact"/>
        <w:ind w:firstLine="640"/>
        <w:rPr>
          <w:rFonts w:hAnsi="仿宋_GB2312" w:cs="仿宋_GB2312"/>
          <w:color w:val="000000"/>
          <w:sz w:val="32"/>
        </w:rPr>
      </w:pPr>
      <w:r>
        <w:rPr>
          <w:rFonts w:hint="eastAsia" w:hAnsi="仿宋_GB2312" w:cs="仿宋_GB2312"/>
          <w:color w:val="000000"/>
          <w:sz w:val="32"/>
        </w:rPr>
        <w:t>考试中心日常运行费用</w:t>
      </w:r>
      <w:r>
        <w:rPr>
          <w:rFonts w:hint="eastAsia" w:hAnsi="仿宋_GB2312" w:cs="仿宋_GB2312"/>
          <w:color w:val="000000" w:themeColor="text1"/>
          <w:sz w:val="32"/>
          <w14:textFill>
            <w14:solidFill>
              <w14:schemeClr w14:val="tx1"/>
            </w14:solidFill>
          </w14:textFill>
        </w:rPr>
        <w:t>项目</w:t>
      </w:r>
      <w:r>
        <w:rPr>
          <w:rFonts w:hint="eastAsia" w:hAnsi="仿宋_GB2312" w:cs="仿宋_GB2312"/>
          <w:color w:val="000000"/>
          <w:sz w:val="32"/>
        </w:rPr>
        <w:t>由中心办公室具体负责，正常保障考试中心日常考试。</w:t>
      </w:r>
    </w:p>
    <w:p>
      <w:pPr>
        <w:adjustRightInd w:val="0"/>
        <w:snapToGrid w:val="0"/>
        <w:spacing w:line="520" w:lineRule="exact"/>
        <w:ind w:firstLine="640" w:firstLineChars="200"/>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根据《预算法》</w:t>
      </w:r>
      <w:r>
        <w:rPr>
          <w:rFonts w:hint="eastAsia" w:ascii="仿宋_GB2312" w:hAnsi="仿宋_GB2312" w:eastAsia="仿宋_GB2312" w:cs="仿宋_GB2312"/>
          <w:color w:val="000000"/>
          <w:sz w:val="32"/>
          <w:szCs w:val="32"/>
        </w:rPr>
        <w:t>对项目进行资金支出，根据实际需求进行项目支出，提高资金使用效率。</w:t>
      </w:r>
      <w:r>
        <w:rPr>
          <w:rFonts w:hint="eastAsia" w:ascii="仿宋_GB2312" w:hAnsi="仿宋_GB2312" w:eastAsia="仿宋_GB2312" w:cs="仿宋_GB2312"/>
          <w:bCs/>
          <w:sz w:val="32"/>
          <w:szCs w:val="32"/>
          <w:lang w:val="zh-CN"/>
        </w:rPr>
        <w:t>项目由中心办公室依据实际需求的原则来监管项目支付</w:t>
      </w:r>
      <w:r>
        <w:rPr>
          <w:rFonts w:hint="eastAsia" w:ascii="仿宋_GB2312" w:hAnsi="仿宋_GB2312" w:eastAsia="仿宋_GB2312" w:cs="仿宋_GB2312"/>
          <w:bCs/>
          <w:sz w:val="32"/>
          <w:szCs w:val="32"/>
        </w:rPr>
        <w:t>，为市矿山安全培训中心的</w:t>
      </w:r>
      <w:r>
        <w:rPr>
          <w:rFonts w:hint="eastAsia" w:ascii="仿宋_GB2312" w:hAnsi="仿宋_GB2312" w:eastAsia="仿宋_GB2312" w:cs="仿宋_GB2312"/>
          <w:color w:val="000000"/>
          <w:sz w:val="32"/>
          <w:szCs w:val="32"/>
        </w:rPr>
        <w:t>考试中心日常</w:t>
      </w:r>
      <w:r>
        <w:rPr>
          <w:rFonts w:hint="eastAsia" w:ascii="仿宋_GB2312" w:hAnsi="仿宋_GB2312" w:eastAsia="仿宋_GB2312" w:cs="仿宋_GB2312"/>
          <w:bCs/>
          <w:sz w:val="32"/>
          <w:szCs w:val="32"/>
        </w:rPr>
        <w:t>正常运行提供了保障。</w:t>
      </w:r>
    </w:p>
    <w:p>
      <w:pPr>
        <w:numPr>
          <w:ilvl w:val="0"/>
          <w:numId w:val="8"/>
        </w:num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项目组织架构及实施流程。</w:t>
      </w:r>
    </w:p>
    <w:p>
      <w:pPr>
        <w:pStyle w:val="7"/>
        <w:spacing w:before="93"/>
        <w:ind w:firstLine="640" w:firstLineChars="200"/>
      </w:pPr>
      <w:r>
        <w:rPr>
          <w:rFonts w:hint="eastAsia" w:hAnsi="仿宋_GB2312" w:cs="仿宋_GB2312"/>
          <w:color w:val="000000"/>
          <w:sz w:val="32"/>
          <w:szCs w:val="32"/>
        </w:rPr>
        <w:t>考试中心日常维护运行费项目由中心办公室具体负责，正常保障考试中心日常考试工作。</w:t>
      </w:r>
    </w:p>
    <w:p>
      <w:pPr>
        <w:numPr>
          <w:ilvl w:val="0"/>
          <w:numId w:val="8"/>
        </w:numPr>
        <w:adjustRightInd w:val="0"/>
        <w:snapToGrid w:val="0"/>
        <w:spacing w:line="56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项目管理情况。</w:t>
      </w:r>
    </w:p>
    <w:p>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zh-CN"/>
        </w:rPr>
        <w:t>根据《预算法》</w:t>
      </w:r>
      <w:r>
        <w:rPr>
          <w:rFonts w:hint="eastAsia" w:ascii="仿宋_GB2312" w:hAnsi="仿宋_GB2312" w:eastAsia="仿宋_GB2312" w:cs="仿宋_GB2312"/>
          <w:color w:val="000000"/>
          <w:sz w:val="32"/>
          <w:szCs w:val="32"/>
        </w:rPr>
        <w:t>对项目进行资金支出，根据实际需求进行项目支出，提高资金使用效率。</w:t>
      </w:r>
    </w:p>
    <w:p>
      <w:pPr>
        <w:numPr>
          <w:ilvl w:val="0"/>
          <w:numId w:val="8"/>
        </w:num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项目监管情况。</w:t>
      </w:r>
    </w:p>
    <w:p>
      <w:pPr>
        <w:adjustRightInd w:val="0"/>
        <w:snapToGrid w:val="0"/>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lang w:val="zh-CN"/>
        </w:rPr>
        <w:t>项目由中心办公室依据实际需求的原则来监管项目支付</w:t>
      </w:r>
      <w:r>
        <w:rPr>
          <w:rFonts w:hint="eastAsia" w:ascii="仿宋_GB2312" w:hAnsi="仿宋_GB2312" w:eastAsia="仿宋_GB2312" w:cs="仿宋_GB2312"/>
          <w:bCs/>
          <w:sz w:val="32"/>
          <w:szCs w:val="32"/>
        </w:rPr>
        <w:t>，为考试中心正常运行提供了保障。</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pStyle w:val="7"/>
        <w:spacing w:before="93" w:line="520" w:lineRule="exact"/>
        <w:ind w:firstLine="640" w:firstLineChars="200"/>
        <w:rPr>
          <w:rFonts w:hAnsi="仿宋_GB2312" w:cs="仿宋_GB2312"/>
          <w:color w:val="000000"/>
          <w:sz w:val="32"/>
        </w:rPr>
      </w:pPr>
      <w:r>
        <w:rPr>
          <w:rFonts w:hint="eastAsia" w:hAnsi="仿宋_GB2312" w:cs="仿宋_GB2312"/>
          <w:color w:val="000000"/>
          <w:sz w:val="32"/>
        </w:rPr>
        <w:t>培训中心运行维护专项项目：考试人员4500人；完成省考试中心安排的考试监考及考场后勤服务；在2021年内完成考试中心日常维护。在年度预算5万元内完成。</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pStyle w:val="7"/>
        <w:spacing w:before="93" w:line="520" w:lineRule="exact"/>
        <w:ind w:firstLine="640" w:firstLineChars="200"/>
        <w:rPr>
          <w:rFonts w:hAnsi="宋体"/>
          <w:color w:val="000000" w:themeColor="text1"/>
          <w14:textFill>
            <w14:solidFill>
              <w14:schemeClr w14:val="tx1"/>
            </w14:solidFill>
          </w14:textFill>
        </w:rPr>
      </w:pPr>
      <w:r>
        <w:rPr>
          <w:rFonts w:hint="eastAsia" w:hAnsi="仿宋_GB2312" w:cs="仿宋_GB2312"/>
          <w:color w:val="000000"/>
          <w:sz w:val="32"/>
        </w:rPr>
        <w:t>培训中心运行维护专项项目：完成为考试人员提供服务,为社会提供有合格证的人才；考试人员对监考工作的满意度达到80%。</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560" w:lineRule="exact"/>
        <w:ind w:firstLine="640" w:firstLineChars="200"/>
        <w:rPr>
          <w:rFonts w:ascii="仿宋_GB2312" w:hAnsi="仿宋_GB2312" w:eastAsia="仿宋_GB2312" w:cs="仿宋_GB2312"/>
          <w:color w:val="000000"/>
          <w:sz w:val="32"/>
          <w:szCs w:val="32"/>
          <w:bdr w:val="single" w:color="000000" w:sz="4" w:space="0"/>
          <w:lang w:val="zh-CN"/>
        </w:rPr>
      </w:pPr>
      <w:r>
        <w:rPr>
          <w:rFonts w:hint="eastAsia" w:ascii="仿宋_GB2312" w:hAnsi="仿宋_GB2312" w:eastAsia="仿宋_GB2312" w:cs="仿宋_GB2312"/>
          <w:color w:val="000000"/>
          <w:sz w:val="32"/>
          <w:szCs w:val="32"/>
        </w:rPr>
        <w:t>2021年项目年初预算5万元，实际到位资金5万元，保障了考试工作的正常运行。</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pStyle w:val="7"/>
        <w:adjustRightInd w:val="0"/>
        <w:snapToGrid w:val="0"/>
        <w:spacing w:beforeLines="0" w:line="460" w:lineRule="exact"/>
        <w:ind w:firstLine="640" w:firstLineChars="200"/>
        <w:outlineLvl w:val="2"/>
        <w:rPr>
          <w:rFonts w:hAnsi="仿宋_GB2312" w:cs="仿宋_GB2312"/>
          <w:sz w:val="32"/>
        </w:rPr>
      </w:pPr>
      <w:r>
        <w:rPr>
          <w:rFonts w:hint="eastAsia" w:hAnsi="仿宋_GB2312" w:cs="仿宋_GB2312"/>
          <w:sz w:val="32"/>
        </w:rPr>
        <w:t>1、项目经费保障不足，专业人员缺乏；</w:t>
      </w:r>
    </w:p>
    <w:p>
      <w:pPr>
        <w:pStyle w:val="7"/>
        <w:adjustRightInd w:val="0"/>
        <w:snapToGrid w:val="0"/>
        <w:spacing w:beforeLines="0" w:line="460" w:lineRule="exact"/>
        <w:ind w:firstLine="640" w:firstLineChars="200"/>
        <w:outlineLvl w:val="2"/>
        <w:rPr>
          <w:rFonts w:hAnsi="仿宋_GB2312" w:cs="仿宋_GB2312"/>
          <w:sz w:val="32"/>
        </w:rPr>
      </w:pPr>
      <w:r>
        <w:rPr>
          <w:rFonts w:hint="eastAsia" w:hAnsi="仿宋_GB2312" w:cs="仿宋_GB2312"/>
          <w:sz w:val="32"/>
        </w:rPr>
        <w:t>2、绩效评价在指标设定上存在偏离现象；</w:t>
      </w:r>
    </w:p>
    <w:p>
      <w:pPr>
        <w:pStyle w:val="7"/>
        <w:adjustRightInd w:val="0"/>
        <w:snapToGrid w:val="0"/>
        <w:spacing w:beforeLines="0" w:line="460" w:lineRule="exact"/>
        <w:ind w:firstLine="640" w:firstLineChars="200"/>
        <w:outlineLvl w:val="2"/>
        <w:rPr>
          <w:rFonts w:hAnsi="仿宋_GB2312" w:cs="仿宋_GB2312"/>
          <w:sz w:val="32"/>
        </w:rPr>
      </w:pPr>
      <w:r>
        <w:rPr>
          <w:rFonts w:hint="eastAsia" w:hAnsi="仿宋_GB2312" w:cs="仿宋_GB2312"/>
          <w:sz w:val="32"/>
        </w:rPr>
        <w:t>3、对项目支出绩效评价的内容上还有待进一步完善。</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spacing w:line="572" w:lineRule="exact"/>
        <w:ind w:firstLine="640" w:firstLineChars="200"/>
        <w:jc w:val="left"/>
        <w:outlineLvl w:val="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继续做好资金管理，响应政府“过紧日子”的号召</w:t>
      </w:r>
      <w:r>
        <w:rPr>
          <w:rFonts w:hint="eastAsia" w:hAnsi="仿宋_GB2312" w:cs="仿宋_GB2312"/>
          <w:sz w:val="32"/>
        </w:rPr>
        <w:t>。</w:t>
      </w:r>
    </w:p>
    <w:p>
      <w:pPr>
        <w:pStyle w:val="7"/>
        <w:spacing w:before="93"/>
        <w:rPr>
          <w:rFonts w:hAnsi="仿宋_GB2312" w:cs="仿宋_GB2312"/>
          <w:sz w:val="32"/>
          <w:szCs w:val="32"/>
          <w:lang w:val="zh-CN"/>
        </w:rPr>
      </w:pPr>
    </w:p>
    <w:p>
      <w:pPr>
        <w:pStyle w:val="7"/>
        <w:spacing w:before="93"/>
        <w:rPr>
          <w:rFonts w:hAnsi="宋体" w:cs="宋体"/>
          <w:sz w:val="32"/>
          <w:szCs w:val="32"/>
          <w:shd w:val="clear" w:color="auto" w:fill="FFFFFF"/>
          <w:lang w:val="zh-CN"/>
        </w:rPr>
      </w:pPr>
    </w:p>
    <w:p>
      <w:pPr>
        <w:spacing w:line="600" w:lineRule="exact"/>
        <w:jc w:val="center"/>
        <w:rPr>
          <w:rFonts w:ascii="方正小标宋简体" w:hAnsi="方正小标宋简体" w:eastAsia="方正小标宋简体" w:cs="方正小标宋简体"/>
          <w:sz w:val="40"/>
          <w:szCs w:val="40"/>
          <w:lang w:val="zh-CN"/>
        </w:rPr>
      </w:pPr>
      <w:r>
        <w:rPr>
          <w:rFonts w:hint="eastAsia" w:ascii="方正小标宋简体" w:hAnsi="方正小标宋简体" w:eastAsia="方正小标宋简体" w:cs="方正小标宋简体"/>
          <w:sz w:val="40"/>
          <w:szCs w:val="40"/>
        </w:rPr>
        <w:t>2021年</w:t>
      </w:r>
      <w:r>
        <w:rPr>
          <w:rFonts w:hint="eastAsia" w:ascii="方正小标宋简体" w:hAnsi="方正小标宋简体" w:eastAsia="方正小标宋简体" w:cs="方正小标宋简体"/>
          <w:sz w:val="40"/>
          <w:szCs w:val="40"/>
          <w:lang w:val="zh-CN"/>
        </w:rPr>
        <w:t>专项预算项目支出绩效自评报告范本</w:t>
      </w:r>
    </w:p>
    <w:p>
      <w:pPr>
        <w:spacing w:line="600" w:lineRule="exact"/>
        <w:ind w:firstLine="883"/>
        <w:jc w:val="center"/>
        <w:rPr>
          <w:rFonts w:ascii="仿宋_GB2312" w:hAnsi="宋体" w:eastAsia="仿宋_GB2312"/>
          <w:sz w:val="32"/>
          <w:szCs w:val="32"/>
          <w:lang w:val="zh-CN"/>
        </w:rPr>
      </w:pPr>
      <w:r>
        <w:rPr>
          <w:rFonts w:hint="eastAsia" w:ascii="仿宋_GB2312" w:hAnsi="宋体" w:eastAsia="仿宋_GB2312"/>
          <w:sz w:val="32"/>
          <w:szCs w:val="32"/>
          <w:lang w:val="zh-CN"/>
        </w:rPr>
        <w:t>（</w:t>
      </w:r>
      <w:r>
        <w:rPr>
          <w:rFonts w:hint="eastAsia" w:asciiTheme="minorEastAsia" w:hAnsiTheme="minorEastAsia" w:eastAsiaTheme="minorEastAsia" w:cstheme="minorEastAsia"/>
          <w:sz w:val="32"/>
          <w:szCs w:val="32"/>
        </w:rPr>
        <w:t>考试点交叉监考费</w:t>
      </w:r>
      <w:r>
        <w:rPr>
          <w:rFonts w:hint="eastAsia" w:ascii="仿宋_GB2312" w:hAnsi="宋体" w:eastAsia="仿宋_GB2312"/>
          <w:sz w:val="32"/>
          <w:szCs w:val="32"/>
          <w:lang w:val="zh-CN"/>
        </w:rPr>
        <w:t>）</w:t>
      </w:r>
    </w:p>
    <w:p>
      <w:pPr>
        <w:spacing w:line="600" w:lineRule="exact"/>
        <w:ind w:firstLine="640"/>
        <w:jc w:val="center"/>
        <w:rPr>
          <w:rFonts w:ascii="宋体" w:hAnsi="宋体"/>
          <w:sz w:val="32"/>
          <w:szCs w:val="32"/>
          <w:lang w:val="zh-CN"/>
        </w:rPr>
      </w:pPr>
    </w:p>
    <w:p>
      <w:pPr>
        <w:adjustRightInd w:val="0"/>
        <w:snapToGrid w:val="0"/>
        <w:spacing w:line="60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zh-CN"/>
        </w:rPr>
        <w:t>项目概况</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（一）项目基本情况。</w:t>
      </w:r>
    </w:p>
    <w:p>
      <w:pPr>
        <w:pStyle w:val="7"/>
        <w:adjustRightInd w:val="0"/>
        <w:snapToGrid w:val="0"/>
        <w:spacing w:beforeLines="0" w:line="560" w:lineRule="exact"/>
        <w:ind w:firstLine="960" w:firstLineChars="300"/>
        <w:outlineLvl w:val="2"/>
        <w:rPr>
          <w:rFonts w:hAnsi="仿宋_GB2312" w:cs="仿宋_GB2312"/>
          <w:sz w:val="32"/>
          <w:szCs w:val="32"/>
        </w:rPr>
      </w:pPr>
      <w:r>
        <w:rPr>
          <w:rFonts w:hint="eastAsia" w:hAnsi="仿宋_GB2312" w:cs="仿宋_GB2312"/>
          <w:sz w:val="32"/>
          <w:szCs w:val="32"/>
          <w:lang w:val="zh-CN"/>
        </w:rPr>
        <w:t>1．</w:t>
      </w:r>
      <w:r>
        <w:rPr>
          <w:rFonts w:hint="eastAsia" w:hAnsi="仿宋_GB2312" w:cs="仿宋_GB2312"/>
          <w:sz w:val="32"/>
          <w:szCs w:val="32"/>
        </w:rPr>
        <w:t>根据</w:t>
      </w:r>
      <w:r>
        <w:rPr>
          <w:rFonts w:hint="eastAsia" w:hAnsi="仿宋_GB2312" w:cs="仿宋_GB2312"/>
          <w:snapToGrid w:val="0"/>
          <w:sz w:val="32"/>
          <w:szCs w:val="32"/>
        </w:rPr>
        <w:t>2019年9月9日</w:t>
      </w:r>
      <w:r>
        <w:rPr>
          <w:rFonts w:hint="eastAsia" w:hAnsi="仿宋_GB2312" w:cs="仿宋_GB2312"/>
          <w:sz w:val="32"/>
          <w:szCs w:val="32"/>
        </w:rPr>
        <w:t>市委编办《关于市安全生产应急和信息中心等机构调整优化的通告》(广编办发〔2019〕89号)精神,我中心增挂市安全生产培训考试中心牌子,新增职责为承担全市安全生产培训考试具体事务工作,安全生产培训考试考核为政府社会管理公益职能,并承办市应急局交办的其他事项。</w:t>
      </w:r>
    </w:p>
    <w:p>
      <w:pPr>
        <w:adjustRightInd w:val="0"/>
        <w:snapToGrid w:val="0"/>
        <w:spacing w:line="60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2．项目立项、资金申报的依据。</w:t>
      </w:r>
    </w:p>
    <w:p>
      <w:pPr>
        <w:pStyle w:val="7"/>
        <w:spacing w:before="93"/>
        <w:ind w:firstLine="640" w:firstLineChars="200"/>
        <w:rPr>
          <w:rFonts w:hAnsi="仿宋_GB2312" w:cs="仿宋_GB2312"/>
          <w:sz w:val="32"/>
          <w:szCs w:val="32"/>
          <w:lang w:val="zh-CN"/>
        </w:rPr>
      </w:pPr>
      <w:r>
        <w:rPr>
          <w:rFonts w:hint="eastAsia" w:hAnsi="仿宋_GB2312" w:cs="仿宋_GB2312"/>
          <w:color w:val="000000"/>
          <w:sz w:val="32"/>
          <w:szCs w:val="32"/>
        </w:rPr>
        <w:t>根据</w:t>
      </w:r>
      <w:r>
        <w:rPr>
          <w:rFonts w:hint="eastAsia" w:hAnsi="仿宋_GB2312" w:cs="仿宋_GB2312"/>
          <w:sz w:val="32"/>
          <w:szCs w:val="32"/>
        </w:rPr>
        <w:t>四川省安全生产考试中心《关于全省考试点试行交叉监考的通知》的文件精神,为严肃考试纪律,确保考试过程公平、公正,各考试点试行由所属考试机构按照就近原则随机抽取本地监考人员实施交叉监考制度;市(州)考试分中心对辖区内市直考试点组织交叉监考,并对本级交叉监考工作进行监督;考试点严格按相关规定及时报送监考员信息,并积极配合、协助抽选的监考员完成交叉监考,将交叉监考工作纳入年度考核作为考试点交叉监考费</w:t>
      </w:r>
      <w:r>
        <w:rPr>
          <w:rFonts w:hint="eastAsia" w:hAnsi="仿宋_GB2312" w:cs="仿宋_GB2312"/>
          <w:sz w:val="32"/>
          <w:szCs w:val="32"/>
          <w:lang w:val="zh-CN"/>
        </w:rPr>
        <w:t>项目立项、资金申报的依据</w:t>
      </w:r>
      <w:r>
        <w:rPr>
          <w:rFonts w:hint="eastAsia" w:hAnsi="仿宋_GB2312" w:cs="仿宋_GB2312"/>
          <w:sz w:val="32"/>
          <w:szCs w:val="32"/>
        </w:rPr>
        <w:t>。</w:t>
      </w:r>
    </w:p>
    <w:p>
      <w:pPr>
        <w:adjustRightInd w:val="0"/>
        <w:snapToGrid w:val="0"/>
        <w:spacing w:line="60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CN"/>
        </w:rPr>
        <w:t>资金管理办法制定情况，资金支持具体项目的条件、范围与支持方式概况。</w:t>
      </w:r>
    </w:p>
    <w:p>
      <w:pPr>
        <w:adjustRightInd w:val="0"/>
        <w:snapToGrid w:val="0"/>
        <w:spacing w:line="560" w:lineRule="exact"/>
        <w:ind w:firstLine="640" w:firstLineChars="200"/>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2021年项目</w:t>
      </w:r>
      <w:r>
        <w:rPr>
          <w:rFonts w:hint="eastAsia" w:ascii="仿宋_GB2312" w:hAnsi="仿宋_GB2312" w:eastAsia="仿宋_GB2312" w:cs="仿宋_GB2312"/>
          <w:color w:val="000000"/>
          <w:sz w:val="32"/>
          <w:szCs w:val="32"/>
          <w:lang w:val="zh-CN"/>
        </w:rPr>
        <w:t>主要通过财政拨款给予项目支持，项目资金主要用于</w:t>
      </w:r>
      <w:r>
        <w:rPr>
          <w:rFonts w:hint="eastAsia" w:ascii="仿宋_GB2312" w:hAnsi="仿宋_GB2312" w:eastAsia="仿宋_GB2312" w:cs="仿宋_GB2312"/>
          <w:sz w:val="32"/>
          <w:szCs w:val="32"/>
        </w:rPr>
        <w:t>考试点交叉监考</w:t>
      </w:r>
      <w:r>
        <w:rPr>
          <w:rFonts w:hint="eastAsia" w:ascii="仿宋_GB2312" w:hAnsi="仿宋_GB2312" w:eastAsia="仿宋_GB2312" w:cs="仿宋_GB2312"/>
          <w:color w:val="000000"/>
          <w:sz w:val="32"/>
          <w:szCs w:val="32"/>
          <w:lang w:val="zh-CN"/>
        </w:rPr>
        <w:t>。我中心根据《预算支出管理制度》等内部控制制度和《预算法》对其进行资金收支管理。</w:t>
      </w:r>
    </w:p>
    <w:p>
      <w:pPr>
        <w:numPr>
          <w:ilvl w:val="0"/>
          <w:numId w:val="7"/>
        </w:numPr>
        <w:adjustRightInd w:val="0"/>
        <w:snapToGrid w:val="0"/>
        <w:spacing w:line="60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资金分配的原则及考虑因素。</w:t>
      </w:r>
    </w:p>
    <w:p>
      <w:pPr>
        <w:adjustRightInd w:val="0"/>
        <w:snapToGrid w:val="0"/>
        <w:spacing w:line="560" w:lineRule="exact"/>
        <w:ind w:firstLine="640" w:firstLineChars="200"/>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根据合理调整安排资金，统筹兼顾，量力而行，分清轻重缓急，集中财力办事业，保证单位任务顺利完成原则，需考虑广元市矿山安全培训中心项目中实际需求和预算是否符合，执行是否有效率，项目效果完成情况等。</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（二）项目绩效目标。</w:t>
      </w:r>
    </w:p>
    <w:p>
      <w:pPr>
        <w:adjustRightInd w:val="0"/>
        <w:snapToGrid w:val="0"/>
        <w:spacing w:line="60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1．项目主要内容。</w:t>
      </w:r>
    </w:p>
    <w:p>
      <w:pPr>
        <w:pStyle w:val="7"/>
        <w:spacing w:before="93"/>
        <w:ind w:firstLine="640" w:firstLineChars="200"/>
        <w:rPr>
          <w:rFonts w:hAnsi="仿宋_GB2312" w:cs="仿宋_GB2312"/>
          <w:sz w:val="32"/>
          <w:szCs w:val="32"/>
          <w:lang w:val="zh-CN"/>
        </w:rPr>
      </w:pPr>
      <w:r>
        <w:rPr>
          <w:rFonts w:hint="eastAsia" w:hAnsi="仿宋_GB2312" w:cs="仿宋_GB2312"/>
          <w:color w:val="000000"/>
          <w:sz w:val="32"/>
          <w:szCs w:val="32"/>
        </w:rPr>
        <w:t>考试点交叉监考费项目：</w:t>
      </w:r>
      <w:r>
        <w:rPr>
          <w:rFonts w:hint="eastAsia" w:hAnsi="仿宋_GB2312" w:cs="仿宋_GB2312"/>
          <w:color w:val="000000"/>
          <w:sz w:val="32"/>
          <w:szCs w:val="32"/>
          <w:lang w:val="zh-CN"/>
        </w:rPr>
        <w:t>预算批复</w:t>
      </w:r>
      <w:r>
        <w:rPr>
          <w:rFonts w:hint="eastAsia" w:hAnsi="仿宋_GB2312" w:cs="仿宋_GB2312"/>
          <w:color w:val="000000"/>
          <w:sz w:val="32"/>
          <w:szCs w:val="32"/>
        </w:rPr>
        <w:t>2万元</w:t>
      </w:r>
      <w:r>
        <w:rPr>
          <w:rFonts w:hint="eastAsia" w:hAnsi="仿宋_GB2312" w:cs="仿宋_GB2312"/>
          <w:color w:val="000000"/>
          <w:sz w:val="32"/>
          <w:szCs w:val="32"/>
          <w:lang w:val="zh-CN"/>
        </w:rPr>
        <w:t>，均为市（州）财政拨款，</w:t>
      </w:r>
      <w:r>
        <w:rPr>
          <w:rFonts w:hint="eastAsia" w:hAnsi="仿宋_GB2312" w:cs="仿宋_GB2312"/>
          <w:sz w:val="32"/>
          <w:szCs w:val="32"/>
          <w:lang w:val="zh-CN"/>
        </w:rPr>
        <w:t>项目主要内容</w:t>
      </w:r>
      <w:r>
        <w:rPr>
          <w:rFonts w:hint="eastAsia" w:hAnsi="仿宋_GB2312" w:cs="仿宋_GB2312"/>
          <w:color w:val="000000"/>
          <w:sz w:val="32"/>
          <w:szCs w:val="32"/>
          <w:lang w:val="zh-CN"/>
        </w:rPr>
        <w:t>为</w:t>
      </w:r>
      <w:r>
        <w:rPr>
          <w:rFonts w:hint="eastAsia" w:hAnsi="仿宋_GB2312" w:cs="仿宋_GB2312"/>
          <w:sz w:val="32"/>
          <w:szCs w:val="32"/>
        </w:rPr>
        <w:t>市(州)考试分中心对辖区内市直考试点组织交叉监考,并对本级交叉监考工作进行监督;考试点严格按相关规定及时报送监考员信息,并积极配合、协助抽选的监考员完成交叉监考,将交叉监考工作纳入年度考核。</w:t>
      </w:r>
    </w:p>
    <w:p>
      <w:pPr>
        <w:numPr>
          <w:ilvl w:val="0"/>
          <w:numId w:val="9"/>
        </w:numPr>
        <w:adjustRightInd w:val="0"/>
        <w:snapToGrid w:val="0"/>
        <w:spacing w:line="60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项目应实现的具体绩效目标，包括目标的量化、细化情况以及项目实施进度计划等。</w:t>
      </w:r>
    </w:p>
    <w:p>
      <w:pPr>
        <w:adjustRightInd w:val="0"/>
        <w:snapToGrid w:val="0"/>
        <w:spacing w:line="52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计划实现的具体绩效目标</w:t>
      </w:r>
      <w:r>
        <w:rPr>
          <w:rFonts w:hint="eastAsia" w:ascii="仿宋_GB2312" w:hAnsi="仿宋_GB2312" w:eastAsia="仿宋_GB2312" w:cs="仿宋_GB2312"/>
          <w:sz w:val="32"/>
          <w:szCs w:val="32"/>
        </w:rPr>
        <w:t>:交叉监考工作的正常运行。</w:t>
      </w:r>
      <w:r>
        <w:rPr>
          <w:rFonts w:hint="eastAsia" w:ascii="仿宋_GB2312" w:hAnsi="仿宋_GB2312" w:eastAsia="仿宋_GB2312" w:cs="仿宋_GB2312"/>
          <w:sz w:val="32"/>
          <w:szCs w:val="32"/>
          <w:lang w:val="zh-CN"/>
        </w:rPr>
        <w:t>项目实施进度计划：</w:t>
      </w:r>
      <w:r>
        <w:rPr>
          <w:rFonts w:hint="eastAsia" w:ascii="仿宋_GB2312" w:hAnsi="仿宋_GB2312" w:eastAsia="仿宋_GB2312" w:cs="仿宋_GB2312"/>
          <w:sz w:val="32"/>
          <w:szCs w:val="32"/>
        </w:rPr>
        <w:t>2021年年底前</w:t>
      </w:r>
      <w:r>
        <w:rPr>
          <w:rFonts w:hint="eastAsia" w:ascii="仿宋_GB2312" w:hAnsi="仿宋_GB2312" w:eastAsia="仿宋_GB2312" w:cs="仿宋_GB2312"/>
          <w:color w:val="000000"/>
          <w:sz w:val="32"/>
          <w:szCs w:val="32"/>
          <w:lang w:val="zh-CN"/>
        </w:rPr>
        <w:t>项目实施全面完成。</w:t>
      </w:r>
    </w:p>
    <w:p>
      <w:pPr>
        <w:numPr>
          <w:ilvl w:val="0"/>
          <w:numId w:val="9"/>
        </w:numPr>
        <w:adjustRightInd w:val="0"/>
        <w:snapToGrid w:val="0"/>
        <w:spacing w:line="60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分析评价申报内容是否与实际相符，申报目标是否合理可行。</w:t>
      </w:r>
    </w:p>
    <w:p>
      <w:pPr>
        <w:pStyle w:val="7"/>
        <w:spacing w:before="93" w:line="460" w:lineRule="exact"/>
        <w:ind w:firstLine="640" w:firstLineChars="200"/>
        <w:rPr>
          <w:rFonts w:hAnsi="仿宋_GB2312" w:cs="仿宋_GB2312"/>
          <w:sz w:val="32"/>
          <w:szCs w:val="32"/>
          <w:lang w:val="zh-CN"/>
        </w:rPr>
      </w:pPr>
      <w:r>
        <w:rPr>
          <w:rFonts w:hint="eastAsia" w:hAnsi="仿宋_GB2312" w:cs="仿宋_GB2312"/>
          <w:color w:val="000000"/>
          <w:sz w:val="32"/>
          <w:lang w:val="zh-CN"/>
        </w:rPr>
        <w:t>项目申报内容与具体实施内容相符，申报目标合理可行。</w:t>
      </w:r>
      <w:r>
        <w:rPr>
          <w:rFonts w:hint="eastAsia" w:hAnsi="仿宋_GB2312" w:cs="仿宋_GB2312"/>
          <w:sz w:val="32"/>
        </w:rPr>
        <w:t>采用财政国库集中支付，严格按照预算执行专款专用，科学计划资金使用进度，每笔支出力求规范、合理。</w:t>
      </w:r>
    </w:p>
    <w:p>
      <w:pPr>
        <w:pStyle w:val="13"/>
        <w:ind w:left="720"/>
        <w:rPr>
          <w:rFonts w:ascii="仿宋_GB2312" w:hAnsi="仿宋_GB2312" w:eastAsia="仿宋_GB2312" w:cs="仿宋_GB2312"/>
          <w:sz w:val="32"/>
          <w:szCs w:val="32"/>
          <w:lang w:val="zh-CN"/>
        </w:rPr>
      </w:pP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（三）项目自评步骤及方法。</w:t>
      </w:r>
    </w:p>
    <w:p>
      <w:pPr>
        <w:adjustRightInd w:val="0"/>
        <w:snapToGrid w:val="0"/>
        <w:spacing w:line="60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说明项目绩效自评采用的组织实施步骤及方法。</w:t>
      </w:r>
    </w:p>
    <w:p>
      <w:pPr>
        <w:adjustRightInd w:val="0"/>
        <w:snapToGrid w:val="0"/>
        <w:spacing w:line="560" w:lineRule="exact"/>
        <w:ind w:firstLine="720"/>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通过项目完成数量、质量、时效以及社会效益和经济效益等指标对</w:t>
      </w:r>
      <w:r>
        <w:rPr>
          <w:rFonts w:hint="eastAsia" w:ascii="仿宋_GB2312" w:hAnsi="仿宋_GB2312" w:eastAsia="仿宋_GB2312" w:cs="仿宋_GB2312"/>
          <w:color w:val="000000"/>
          <w:sz w:val="32"/>
          <w:szCs w:val="32"/>
        </w:rPr>
        <w:t>2021年项目</w:t>
      </w:r>
      <w:r>
        <w:rPr>
          <w:rFonts w:hint="eastAsia" w:ascii="仿宋_GB2312" w:hAnsi="仿宋_GB2312" w:eastAsia="仿宋_GB2312" w:cs="仿宋_GB2312"/>
          <w:color w:val="000000"/>
          <w:sz w:val="32"/>
          <w:szCs w:val="32"/>
          <w:lang w:val="zh-CN"/>
        </w:rPr>
        <w:t>展开绩效自评来衡量绩效目标完成情况。</w:t>
      </w:r>
    </w:p>
    <w:p>
      <w:pPr>
        <w:pStyle w:val="2"/>
        <w:rPr>
          <w:lang w:val="zh-CN"/>
        </w:rPr>
      </w:pPr>
    </w:p>
    <w:p>
      <w:pPr>
        <w:adjustRightInd w:val="0"/>
        <w:snapToGrid w:val="0"/>
        <w:spacing w:line="60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二、项目资金申报及使用情况</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（一）项目资金申报及批复情况。</w:t>
      </w:r>
    </w:p>
    <w:p>
      <w:pPr>
        <w:adjustRightInd w:val="0"/>
        <w:snapToGrid w:val="0"/>
        <w:spacing w:line="60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说明项目资金申报、批复及预算调整等程序的相关情况。</w:t>
      </w:r>
    </w:p>
    <w:p>
      <w:pPr>
        <w:pStyle w:val="7"/>
        <w:spacing w:before="93" w:line="460" w:lineRule="exact"/>
        <w:ind w:firstLine="640"/>
        <w:rPr>
          <w:lang w:val="zh-CN"/>
        </w:rPr>
      </w:pPr>
      <w:r>
        <w:rPr>
          <w:rFonts w:hint="eastAsia" w:hAnsi="仿宋_GB2312" w:cs="仿宋_GB2312"/>
          <w:color w:val="000000"/>
          <w:sz w:val="32"/>
        </w:rPr>
        <w:t>预算申请2万元，预算批复2万元，符合</w:t>
      </w:r>
      <w:r>
        <w:rPr>
          <w:rFonts w:hint="eastAsia" w:hAnsi="宋体"/>
          <w:sz w:val="32"/>
          <w:lang w:val="zh-CN"/>
        </w:rPr>
        <w:t>资金管理办法。</w:t>
      </w:r>
    </w:p>
    <w:p>
      <w:pPr>
        <w:adjustRightInd w:val="0"/>
        <w:snapToGrid w:val="0"/>
        <w:spacing w:line="60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（二）资金计划、到位及使用情况（可用表格形式反映）。</w:t>
      </w:r>
    </w:p>
    <w:p>
      <w:pPr>
        <w:adjustRightInd w:val="0"/>
        <w:snapToGrid w:val="0"/>
        <w:spacing w:line="60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w:t>
      </w:r>
    </w:p>
    <w:p>
      <w:pPr>
        <w:adjustRightInd w:val="0"/>
        <w:snapToGrid w:val="0"/>
        <w:spacing w:line="4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sz w:val="32"/>
          <w:szCs w:val="32"/>
        </w:rPr>
        <w:t>考试点交叉监考费项目</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zh-CN"/>
          <w14:textFill>
            <w14:solidFill>
              <w14:schemeClr w14:val="tx1"/>
            </w14:solidFill>
          </w14:textFill>
        </w:rPr>
        <w:t>财政年初申报资金计划</w:t>
      </w:r>
      <w:r>
        <w:rPr>
          <w:rFonts w:hint="eastAsia" w:ascii="仿宋_GB2312" w:hAnsi="仿宋_GB2312" w:eastAsia="仿宋_GB2312" w:cs="仿宋_GB2312"/>
          <w:color w:val="000000" w:themeColor="text1"/>
          <w:sz w:val="32"/>
          <w:szCs w:val="32"/>
          <w14:textFill>
            <w14:solidFill>
              <w14:schemeClr w14:val="tx1"/>
            </w14:solidFill>
          </w14:textFill>
        </w:rPr>
        <w:t>2万元；</w:t>
      </w:r>
      <w:r>
        <w:rPr>
          <w:rFonts w:hint="eastAsia" w:ascii="仿宋_GB2312" w:hAnsi="仿宋_GB2312" w:eastAsia="仿宋_GB2312" w:cs="仿宋_GB2312"/>
          <w:color w:val="000000" w:themeColor="text1"/>
          <w:sz w:val="32"/>
          <w:szCs w:val="32"/>
          <w:lang w:val="zh-CN"/>
          <w14:textFill>
            <w14:solidFill>
              <w14:schemeClr w14:val="tx1"/>
            </w14:solidFill>
          </w14:textFill>
        </w:rPr>
        <w:t>年初预算下达</w:t>
      </w:r>
      <w:r>
        <w:rPr>
          <w:rFonts w:hint="eastAsia" w:ascii="仿宋_GB2312" w:hAnsi="仿宋_GB2312" w:eastAsia="仿宋_GB2312" w:cs="仿宋_GB2312"/>
          <w:color w:val="000000" w:themeColor="text1"/>
          <w:sz w:val="32"/>
          <w:szCs w:val="32"/>
          <w14:textFill>
            <w14:solidFill>
              <w14:schemeClr w14:val="tx1"/>
            </w14:solidFill>
          </w14:textFill>
        </w:rPr>
        <w:t>2万元，实际</w:t>
      </w:r>
      <w:r>
        <w:rPr>
          <w:rFonts w:hint="eastAsia" w:ascii="仿宋_GB2312" w:hAnsi="仿宋_GB2312" w:eastAsia="仿宋_GB2312" w:cs="仿宋_GB2312"/>
          <w:color w:val="000000" w:themeColor="text1"/>
          <w:sz w:val="32"/>
          <w:szCs w:val="32"/>
          <w:lang w:val="zh-CN"/>
          <w14:textFill>
            <w14:solidFill>
              <w14:schemeClr w14:val="tx1"/>
            </w14:solidFill>
          </w14:textFill>
        </w:rPr>
        <w:t>到位资金</w:t>
      </w:r>
      <w:r>
        <w:rPr>
          <w:rFonts w:hint="eastAsia" w:ascii="仿宋_GB2312" w:hAnsi="仿宋_GB2312" w:eastAsia="仿宋_GB2312" w:cs="仿宋_GB2312"/>
          <w:color w:val="000000" w:themeColor="text1"/>
          <w:sz w:val="32"/>
          <w:szCs w:val="32"/>
          <w14:textFill>
            <w14:solidFill>
              <w14:schemeClr w14:val="tx1"/>
            </w14:solidFill>
          </w14:textFill>
        </w:rPr>
        <w:t>2万元，均为财政资金。</w:t>
      </w:r>
    </w:p>
    <w:p>
      <w:pPr>
        <w:pStyle w:val="2"/>
        <w:rPr>
          <w:lang w:val="zh-CN"/>
        </w:rPr>
      </w:pPr>
    </w:p>
    <w:p>
      <w:pPr>
        <w:numPr>
          <w:ilvl w:val="0"/>
          <w:numId w:val="10"/>
        </w:numPr>
        <w:adjustRightInd w:val="0"/>
        <w:snapToGrid w:val="0"/>
        <w:spacing w:line="46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资金到位。</w:t>
      </w:r>
    </w:p>
    <w:p>
      <w:pPr>
        <w:adjustRightInd w:val="0"/>
        <w:snapToGrid w:val="0"/>
        <w:spacing w:line="4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资金到位2万元与资金计划2万元一致，资金到位率100%，资金到位及时性达到100%。</w:t>
      </w:r>
    </w:p>
    <w:p>
      <w:pPr>
        <w:pStyle w:val="2"/>
        <w:numPr>
          <w:ilvl w:val="0"/>
          <w:numId w:val="10"/>
        </w:numPr>
        <w:spacing w:line="460" w:lineRule="exact"/>
        <w:ind w:left="0" w:leftChars="0" w:firstLine="64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资金使用。</w:t>
      </w:r>
    </w:p>
    <w:p>
      <w:pPr>
        <w:pStyle w:val="2"/>
        <w:spacing w:line="460" w:lineRule="exact"/>
        <w:ind w:left="0" w:leftChars="0"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截</w:t>
      </w:r>
      <w:r>
        <w:rPr>
          <w:rFonts w:hint="eastAsia" w:ascii="仿宋_GB2312" w:hAnsi="宋体" w:eastAsia="仿宋_GB2312" w:cs="Times New Roman"/>
          <w:color w:val="auto"/>
          <w:sz w:val="32"/>
          <w:szCs w:val="32"/>
          <w:highlight w:val="none"/>
          <w:lang w:val="zh-CN"/>
        </w:rPr>
        <w:t>止</w:t>
      </w:r>
      <w:r>
        <w:rPr>
          <w:rFonts w:hint="eastAsia" w:ascii="仿宋_GB2312" w:hAnsi="仿宋_GB2312" w:eastAsia="仿宋_GB2312" w:cs="仿宋_GB2312"/>
          <w:sz w:val="32"/>
          <w:szCs w:val="32"/>
          <w:lang w:val="zh-CN"/>
        </w:rPr>
        <w:t>评价时点项目资金的实际支出为</w:t>
      </w:r>
      <w:r>
        <w:rPr>
          <w:rFonts w:hint="eastAsia" w:ascii="仿宋_GB2312" w:hAnsi="仿宋_GB2312" w:eastAsia="仿宋_GB2312" w:cs="仿宋_GB2312"/>
          <w:sz w:val="32"/>
          <w:szCs w:val="32"/>
        </w:rPr>
        <w:t>2万元。资金开支范围、标准及支付进度、支付依据等合规合法，资金支付与预算相符。</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（三）项目财务管理情况。</w:t>
      </w:r>
    </w:p>
    <w:p>
      <w:pPr>
        <w:adjustRightInd w:val="0"/>
        <w:snapToGrid w:val="0"/>
        <w:spacing w:line="60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项目管理由本单位财务室严格按照财务相关制度及单位内部控制制度，通过财政集中支付系统按规定支付项目款，并对资金支付逐一进行会计核算及财务处理。对照资金管理办法，该项目严格执行财务管理制度，账务处理及时准确，会计核算规范。</w:t>
      </w:r>
    </w:p>
    <w:p>
      <w:pPr>
        <w:adjustRightInd w:val="0"/>
        <w:snapToGrid w:val="0"/>
        <w:spacing w:line="60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三、项目实施及管理情况</w:t>
      </w:r>
    </w:p>
    <w:p>
      <w:pPr>
        <w:adjustRightInd w:val="0"/>
        <w:snapToGrid w:val="0"/>
        <w:spacing w:line="60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结合项目组织实施管理办法，重点围绕以下内容进行分析评价，并对自评中发现的问题分析说明。</w:t>
      </w:r>
    </w:p>
    <w:p>
      <w:pPr>
        <w:numPr>
          <w:ilvl w:val="0"/>
          <w:numId w:val="11"/>
        </w:num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项目组织架构及实施流程。</w:t>
      </w:r>
    </w:p>
    <w:p>
      <w:pPr>
        <w:pStyle w:val="7"/>
        <w:spacing w:before="93" w:line="460" w:lineRule="exact"/>
        <w:ind w:firstLine="640"/>
        <w:rPr>
          <w:rFonts w:hAnsi="仿宋_GB2312" w:cs="仿宋_GB2312"/>
          <w:color w:val="000000"/>
          <w:sz w:val="32"/>
        </w:rPr>
      </w:pPr>
      <w:r>
        <w:rPr>
          <w:rFonts w:hint="eastAsia" w:hAnsi="仿宋_GB2312" w:cs="仿宋_GB2312"/>
          <w:color w:val="000000"/>
          <w:sz w:val="32"/>
        </w:rPr>
        <w:t>考试点交叉监考费项目由中心办公室具体负责，及时调配交叉监考人员进行考试点交叉监考工作。</w:t>
      </w:r>
    </w:p>
    <w:p>
      <w:pPr>
        <w:adjustRightInd w:val="0"/>
        <w:snapToGrid w:val="0"/>
        <w:spacing w:line="460" w:lineRule="exact"/>
        <w:ind w:firstLine="640" w:firstLineChars="200"/>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根据《预算法》</w:t>
      </w:r>
      <w:r>
        <w:rPr>
          <w:rFonts w:hint="eastAsia" w:ascii="仿宋_GB2312" w:hAnsi="仿宋_GB2312" w:eastAsia="仿宋_GB2312" w:cs="仿宋_GB2312"/>
          <w:color w:val="000000"/>
          <w:sz w:val="32"/>
          <w:szCs w:val="32"/>
        </w:rPr>
        <w:t>对项目进行资金支出，根据实际需求进行项目支出，提高资金使用效率。</w:t>
      </w:r>
      <w:r>
        <w:rPr>
          <w:rFonts w:hint="eastAsia" w:ascii="仿宋_GB2312" w:hAnsi="仿宋_GB2312" w:eastAsia="仿宋_GB2312" w:cs="仿宋_GB2312"/>
          <w:bCs/>
          <w:sz w:val="32"/>
          <w:szCs w:val="32"/>
          <w:lang w:val="zh-CN"/>
        </w:rPr>
        <w:t>项目由中心办公室依据实际需求的原则来监管项目支付</w:t>
      </w:r>
      <w:r>
        <w:rPr>
          <w:rFonts w:hint="eastAsia" w:ascii="仿宋_GB2312" w:hAnsi="仿宋_GB2312" w:eastAsia="仿宋_GB2312" w:cs="仿宋_GB2312"/>
          <w:bCs/>
          <w:sz w:val="32"/>
          <w:szCs w:val="32"/>
        </w:rPr>
        <w:t>，为市矿山安全培训中心</w:t>
      </w:r>
      <w:r>
        <w:rPr>
          <w:rFonts w:hint="eastAsia" w:ascii="仿宋_GB2312" w:hAnsi="仿宋_GB2312" w:eastAsia="仿宋_GB2312" w:cs="仿宋_GB2312"/>
          <w:color w:val="000000"/>
          <w:sz w:val="32"/>
          <w:szCs w:val="32"/>
        </w:rPr>
        <w:t>交叉监考工作</w:t>
      </w:r>
      <w:r>
        <w:rPr>
          <w:rFonts w:hint="eastAsia" w:ascii="仿宋_GB2312" w:hAnsi="仿宋_GB2312" w:eastAsia="仿宋_GB2312" w:cs="仿宋_GB2312"/>
          <w:bCs/>
          <w:sz w:val="32"/>
          <w:szCs w:val="32"/>
        </w:rPr>
        <w:t>正常运行提供了保障。</w:t>
      </w:r>
    </w:p>
    <w:p>
      <w:pPr>
        <w:numPr>
          <w:ilvl w:val="0"/>
          <w:numId w:val="11"/>
        </w:numPr>
        <w:adjustRightInd w:val="0"/>
        <w:snapToGrid w:val="0"/>
        <w:spacing w:line="56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项目管理情况。</w:t>
      </w:r>
    </w:p>
    <w:p>
      <w:pPr>
        <w:adjustRightInd w:val="0"/>
        <w:snapToGrid w:val="0"/>
        <w:spacing w:line="560" w:lineRule="exact"/>
        <w:ind w:firstLine="640" w:firstLineChars="200"/>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根据《预算法》</w:t>
      </w:r>
      <w:r>
        <w:rPr>
          <w:rFonts w:hint="eastAsia" w:ascii="仿宋_GB2312" w:hAnsi="仿宋_GB2312" w:eastAsia="仿宋_GB2312" w:cs="仿宋_GB2312"/>
          <w:color w:val="000000"/>
          <w:sz w:val="32"/>
          <w:szCs w:val="32"/>
        </w:rPr>
        <w:t>对项目进行资金支出，根据实际需求进行项目支出，提高资金使用效率。</w:t>
      </w:r>
    </w:p>
    <w:p>
      <w:pPr>
        <w:adjustRightInd w:val="0"/>
        <w:snapToGrid w:val="0"/>
        <w:spacing w:line="560" w:lineRule="exact"/>
        <w:ind w:firstLine="640" w:firstLineChars="200"/>
        <w:rPr>
          <w:rFonts w:ascii="仿宋_GB2312" w:hAnsi="仿宋_GB2312" w:eastAsia="仿宋_GB2312" w:cs="仿宋_GB2312"/>
          <w:color w:val="000000"/>
          <w:sz w:val="32"/>
          <w:szCs w:val="32"/>
          <w:lang w:val="zh-CN"/>
        </w:rPr>
      </w:pPr>
      <w:r>
        <w:rPr>
          <w:rFonts w:hint="eastAsia" w:ascii="仿宋_GB2312" w:hAnsi="仿宋_GB2312" w:eastAsia="仿宋_GB2312" w:cs="仿宋_GB2312"/>
          <w:b/>
          <w:sz w:val="32"/>
          <w:szCs w:val="32"/>
          <w:lang w:val="zh-CN"/>
        </w:rPr>
        <w:t>（三）项目监管情况。</w:t>
      </w:r>
      <w:r>
        <w:rPr>
          <w:rFonts w:hint="eastAsia" w:ascii="仿宋_GB2312" w:hAnsi="仿宋_GB2312" w:eastAsia="仿宋_GB2312" w:cs="仿宋_GB2312"/>
          <w:bCs/>
          <w:sz w:val="32"/>
          <w:szCs w:val="32"/>
          <w:lang w:val="zh-CN"/>
        </w:rPr>
        <w:t>项目由中心办公室依据实际需求的原则来监管项目支付</w:t>
      </w:r>
      <w:r>
        <w:rPr>
          <w:rFonts w:hint="eastAsia" w:ascii="仿宋_GB2312" w:hAnsi="仿宋_GB2312" w:eastAsia="仿宋_GB2312" w:cs="仿宋_GB2312"/>
          <w:bCs/>
          <w:sz w:val="32"/>
          <w:szCs w:val="32"/>
        </w:rPr>
        <w:t>，为考试中心交叉监考正常运行提供了保障。</w:t>
      </w:r>
    </w:p>
    <w:p>
      <w:pPr>
        <w:adjustRightInd w:val="0"/>
        <w:snapToGrid w:val="0"/>
        <w:spacing w:line="60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四、项目绩效情况</w:t>
      </w:r>
      <w:r>
        <w:rPr>
          <w:rFonts w:hint="eastAsia" w:ascii="仿宋_GB2312" w:hAnsi="仿宋_GB2312" w:eastAsia="仿宋_GB2312" w:cs="仿宋_GB2312"/>
          <w:sz w:val="32"/>
          <w:szCs w:val="32"/>
          <w:lang w:val="zh-CN"/>
        </w:rPr>
        <w:tab/>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（一）项目完成情况。</w:t>
      </w:r>
    </w:p>
    <w:p>
      <w:pPr>
        <w:pStyle w:val="7"/>
        <w:spacing w:before="93" w:line="460" w:lineRule="exact"/>
        <w:ind w:firstLine="640" w:firstLineChars="200"/>
        <w:rPr>
          <w:rFonts w:hAnsi="仿宋_GB2312" w:cs="仿宋_GB2312"/>
          <w:color w:val="000000"/>
          <w:sz w:val="32"/>
        </w:rPr>
      </w:pPr>
      <w:r>
        <w:rPr>
          <w:rFonts w:hint="eastAsia" w:hAnsi="仿宋_GB2312" w:cs="仿宋_GB2312"/>
          <w:color w:val="000000"/>
          <w:sz w:val="32"/>
        </w:rPr>
        <w:t>考试点交叉监考费项目：</w:t>
      </w:r>
      <w:r>
        <w:rPr>
          <w:rFonts w:hint="eastAsia" w:hAnsi="宋体"/>
          <w:color w:val="000000" w:themeColor="text1"/>
          <w:sz w:val="32"/>
          <w14:textFill>
            <w14:solidFill>
              <w14:schemeClr w14:val="tx1"/>
            </w14:solidFill>
          </w14:textFill>
        </w:rPr>
        <w:t>完成40次对各考试点的监考工作</w:t>
      </w:r>
      <w:r>
        <w:rPr>
          <w:rFonts w:hint="eastAsia" w:hAnsi="仿宋_GB2312" w:cs="仿宋_GB2312"/>
          <w:color w:val="000000"/>
          <w:sz w:val="32"/>
        </w:rPr>
        <w:t>；</w:t>
      </w:r>
      <w:r>
        <w:rPr>
          <w:rFonts w:hint="eastAsia" w:hAnsi="宋体"/>
          <w:color w:val="000000" w:themeColor="text1"/>
          <w:sz w:val="32"/>
          <w14:textFill>
            <w14:solidFill>
              <w14:schemeClr w14:val="tx1"/>
            </w14:solidFill>
          </w14:textFill>
        </w:rPr>
        <w:t>在省考试中心要求下完成交叉监考70%；2021年内完成交叉监考任务；</w:t>
      </w:r>
      <w:r>
        <w:rPr>
          <w:rFonts w:hint="eastAsia" w:hAnsi="仿宋_GB2312" w:cs="仿宋_GB2312"/>
          <w:color w:val="000000"/>
          <w:sz w:val="32"/>
        </w:rPr>
        <w:t>成本不超过2万元。</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（二）项目效益情况。</w:t>
      </w:r>
    </w:p>
    <w:p>
      <w:pPr>
        <w:pStyle w:val="7"/>
        <w:spacing w:before="93" w:line="460" w:lineRule="exact"/>
        <w:ind w:firstLine="640" w:firstLineChars="200"/>
        <w:rPr>
          <w:rFonts w:hAnsi="宋体"/>
          <w:color w:val="000000" w:themeColor="text1"/>
          <w14:textFill>
            <w14:solidFill>
              <w14:schemeClr w14:val="tx1"/>
            </w14:solidFill>
          </w14:textFill>
        </w:rPr>
      </w:pPr>
      <w:r>
        <w:rPr>
          <w:rFonts w:hint="eastAsia" w:hAnsi="仿宋_GB2312" w:cs="仿宋_GB2312"/>
          <w:color w:val="000000"/>
          <w:sz w:val="32"/>
        </w:rPr>
        <w:t>考试点交叉监考费项目：各考试点考试中心人员严格监考，减少作弊；</w:t>
      </w:r>
      <w:r>
        <w:rPr>
          <w:rFonts w:hint="eastAsia" w:hAnsi="宋体"/>
          <w:color w:val="000000" w:themeColor="text1"/>
          <w14:textFill>
            <w14:solidFill>
              <w14:schemeClr w14:val="tx1"/>
            </w14:solidFill>
          </w14:textFill>
        </w:rPr>
        <w:t>各考试点考试人员对监考工作的满意度达到75%。</w:t>
      </w:r>
    </w:p>
    <w:p>
      <w:pPr>
        <w:adjustRightInd w:val="0"/>
        <w:snapToGrid w:val="0"/>
        <w:spacing w:line="60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五、评价结论及建议</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（一）评价结论。</w:t>
      </w:r>
    </w:p>
    <w:p>
      <w:pPr>
        <w:adjustRightInd w:val="0"/>
        <w:snapToGrid w:val="0"/>
        <w:spacing w:line="560" w:lineRule="exact"/>
        <w:ind w:firstLine="640" w:firstLineChars="200"/>
        <w:rPr>
          <w:rFonts w:ascii="仿宋_GB2312" w:hAnsi="仿宋_GB2312" w:eastAsia="仿宋_GB2312" w:cs="仿宋_GB2312"/>
          <w:color w:val="000000"/>
          <w:sz w:val="32"/>
          <w:szCs w:val="32"/>
          <w:bdr w:val="single" w:color="000000" w:sz="4" w:space="0"/>
          <w:lang w:val="zh-CN"/>
        </w:rPr>
      </w:pPr>
      <w:r>
        <w:rPr>
          <w:rFonts w:hint="eastAsia" w:ascii="仿宋_GB2312" w:hAnsi="仿宋_GB2312" w:eastAsia="仿宋_GB2312" w:cs="仿宋_GB2312"/>
          <w:color w:val="000000"/>
          <w:sz w:val="32"/>
          <w:szCs w:val="32"/>
        </w:rPr>
        <w:t>2021年</w:t>
      </w:r>
      <w:r>
        <w:rPr>
          <w:rFonts w:hint="eastAsia" w:hAnsi="仿宋_GB2312" w:cs="仿宋_GB2312"/>
          <w:color w:val="000000"/>
          <w:sz w:val="32"/>
        </w:rPr>
        <w:t>考试点交叉监考费项目</w:t>
      </w:r>
      <w:r>
        <w:rPr>
          <w:rFonts w:hint="eastAsia" w:ascii="仿宋_GB2312" w:hAnsi="仿宋_GB2312" w:eastAsia="仿宋_GB2312" w:cs="仿宋_GB2312"/>
          <w:color w:val="000000"/>
          <w:sz w:val="32"/>
          <w:szCs w:val="32"/>
        </w:rPr>
        <w:t>年初预算2万元，实际到位资金2万元，按省考试中心对本辖区内各考点进行交叉监考,并保障了交叉监考工作的正常进行。</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（二）存在的问题。</w:t>
      </w:r>
    </w:p>
    <w:p>
      <w:pPr>
        <w:pStyle w:val="7"/>
        <w:adjustRightInd w:val="0"/>
        <w:snapToGrid w:val="0"/>
        <w:spacing w:beforeLines="0" w:line="460" w:lineRule="exact"/>
        <w:ind w:firstLine="640" w:firstLineChars="200"/>
        <w:outlineLvl w:val="2"/>
        <w:rPr>
          <w:rFonts w:hAnsi="仿宋_GB2312" w:cs="仿宋_GB2312"/>
          <w:sz w:val="32"/>
        </w:rPr>
      </w:pPr>
      <w:r>
        <w:rPr>
          <w:rFonts w:hint="eastAsia" w:hAnsi="仿宋_GB2312" w:cs="仿宋_GB2312"/>
          <w:sz w:val="32"/>
        </w:rPr>
        <w:t>1、项目经费保障不足，专业人员缺乏；</w:t>
      </w:r>
    </w:p>
    <w:p>
      <w:pPr>
        <w:pStyle w:val="7"/>
        <w:adjustRightInd w:val="0"/>
        <w:snapToGrid w:val="0"/>
        <w:spacing w:beforeLines="0" w:line="460" w:lineRule="exact"/>
        <w:ind w:firstLine="640" w:firstLineChars="200"/>
        <w:outlineLvl w:val="2"/>
        <w:rPr>
          <w:rFonts w:hAnsi="仿宋_GB2312" w:cs="仿宋_GB2312"/>
          <w:sz w:val="32"/>
        </w:rPr>
      </w:pPr>
      <w:r>
        <w:rPr>
          <w:rFonts w:hint="eastAsia" w:hAnsi="仿宋_GB2312" w:cs="仿宋_GB2312"/>
          <w:sz w:val="32"/>
        </w:rPr>
        <w:t>2、绩效评价在指标设定上存在偏离现象；</w:t>
      </w:r>
    </w:p>
    <w:p>
      <w:pPr>
        <w:pStyle w:val="7"/>
        <w:adjustRightInd w:val="0"/>
        <w:snapToGrid w:val="0"/>
        <w:spacing w:beforeLines="0" w:line="460" w:lineRule="exact"/>
        <w:ind w:firstLine="640" w:firstLineChars="200"/>
        <w:outlineLvl w:val="2"/>
        <w:rPr>
          <w:rFonts w:hAnsi="仿宋_GB2312" w:cs="仿宋_GB2312"/>
          <w:sz w:val="32"/>
        </w:rPr>
      </w:pPr>
      <w:r>
        <w:rPr>
          <w:rFonts w:hint="eastAsia" w:hAnsi="仿宋_GB2312" w:cs="仿宋_GB2312"/>
          <w:sz w:val="32"/>
        </w:rPr>
        <w:t>3、对项目支出绩效评价的内容上还有待进一步完善。</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（三）相关建议。</w:t>
      </w:r>
    </w:p>
    <w:p>
      <w:pPr>
        <w:pStyle w:val="7"/>
        <w:spacing w:before="93"/>
        <w:ind w:firstLine="640" w:firstLineChars="200"/>
        <w:rPr>
          <w:rFonts w:hAnsi="仿宋_GB2312" w:cs="仿宋_GB2312"/>
          <w:sz w:val="32"/>
          <w:szCs w:val="32"/>
          <w:shd w:val="clear" w:color="auto" w:fill="FFFFFF"/>
          <w:lang w:val="zh-CN"/>
        </w:rPr>
      </w:pPr>
      <w:r>
        <w:rPr>
          <w:rFonts w:hint="eastAsia" w:hAnsi="仿宋_GB2312" w:cs="仿宋_GB2312"/>
          <w:color w:val="000000"/>
          <w:sz w:val="32"/>
          <w:szCs w:val="32"/>
        </w:rPr>
        <w:t>我中心将进一步完善预算的编制工作，提高预算编制的精准度，提高资金使用效率，按照预算执行要求及时有效的完成，提高预算执行率，保障资金合理支出。加强对绩效目标管理的督查，使绩效目标能更加科学有效的完成。</w:t>
      </w:r>
    </w:p>
    <w:p>
      <w:pPr>
        <w:pStyle w:val="7"/>
        <w:spacing w:before="93"/>
        <w:rPr>
          <w:rFonts w:hAnsi="仿宋_GB2312" w:cs="仿宋_GB2312"/>
          <w:sz w:val="32"/>
          <w:szCs w:val="32"/>
          <w:shd w:val="clear" w:color="auto" w:fill="FFFFFF"/>
          <w:lang w:val="zh-CN"/>
        </w:rPr>
      </w:pPr>
    </w:p>
    <w:p>
      <w:pPr>
        <w:pStyle w:val="7"/>
        <w:spacing w:before="93"/>
        <w:rPr>
          <w:rFonts w:hAnsi="仿宋_GB2312" w:cs="仿宋_GB2312"/>
          <w:sz w:val="32"/>
          <w:szCs w:val="32"/>
          <w:shd w:val="clear" w:color="auto" w:fill="FFFFFF"/>
          <w:lang w:val="zh-CN"/>
        </w:rPr>
      </w:pPr>
    </w:p>
    <w:p>
      <w:pPr>
        <w:spacing w:line="600" w:lineRule="exact"/>
        <w:jc w:val="center"/>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2021年</w:t>
      </w:r>
      <w:r>
        <w:rPr>
          <w:rFonts w:hint="eastAsia" w:ascii="仿宋_GB2312" w:hAnsi="仿宋_GB2312" w:eastAsia="仿宋_GB2312" w:cs="仿宋_GB2312"/>
          <w:sz w:val="32"/>
          <w:szCs w:val="32"/>
          <w:lang w:val="zh-CN"/>
        </w:rPr>
        <w:t>专项预算项目支出绩效自评报告</w:t>
      </w:r>
    </w:p>
    <w:p>
      <w:pPr>
        <w:spacing w:line="600" w:lineRule="exact"/>
        <w:ind w:firstLine="1600" w:firstLineChars="5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w:t>
      </w:r>
      <w:r>
        <w:rPr>
          <w:rFonts w:hint="eastAsia" w:hAnsi="仿宋_GB2312" w:cs="仿宋_GB2312"/>
          <w:sz w:val="32"/>
          <w:szCs w:val="32"/>
        </w:rPr>
        <w:t>防灾减灾训练基地维护运行费</w:t>
      </w:r>
      <w:r>
        <w:rPr>
          <w:rFonts w:hint="eastAsia" w:ascii="仿宋_GB2312" w:hAnsi="仿宋_GB2312" w:eastAsia="仿宋_GB2312" w:cs="仿宋_GB2312"/>
          <w:sz w:val="32"/>
          <w:szCs w:val="32"/>
          <w:lang w:val="zh-CN"/>
        </w:rPr>
        <w:t>）</w:t>
      </w:r>
    </w:p>
    <w:p>
      <w:pPr>
        <w:spacing w:line="600" w:lineRule="exact"/>
        <w:ind w:firstLine="640"/>
        <w:jc w:val="center"/>
        <w:rPr>
          <w:rFonts w:ascii="仿宋_GB2312" w:hAnsi="仿宋_GB2312" w:eastAsia="仿宋_GB2312" w:cs="仿宋_GB2312"/>
          <w:sz w:val="32"/>
          <w:szCs w:val="32"/>
          <w:lang w:val="zh-CN"/>
        </w:rPr>
      </w:pPr>
    </w:p>
    <w:p>
      <w:pPr>
        <w:adjustRightInd w:val="0"/>
        <w:snapToGrid w:val="0"/>
        <w:spacing w:line="60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zh-CN"/>
        </w:rPr>
        <w:t>项目概况</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（一）项目基本情况。</w:t>
      </w:r>
    </w:p>
    <w:p>
      <w:pPr>
        <w:pStyle w:val="7"/>
        <w:adjustRightInd w:val="0"/>
        <w:snapToGrid w:val="0"/>
        <w:spacing w:beforeLines="0" w:line="560" w:lineRule="exact"/>
        <w:ind w:firstLine="960" w:firstLineChars="300"/>
        <w:outlineLvl w:val="2"/>
        <w:rPr>
          <w:rFonts w:hAnsi="仿宋_GB2312" w:cs="仿宋_GB2312"/>
          <w:sz w:val="32"/>
          <w:szCs w:val="32"/>
        </w:rPr>
      </w:pPr>
      <w:r>
        <w:rPr>
          <w:rFonts w:hint="eastAsia" w:hAnsi="仿宋_GB2312" w:cs="仿宋_GB2312"/>
          <w:sz w:val="32"/>
          <w:szCs w:val="32"/>
          <w:lang w:val="zh-CN"/>
        </w:rPr>
        <w:t>1．</w:t>
      </w:r>
      <w:r>
        <w:rPr>
          <w:rFonts w:hint="eastAsia" w:hAnsi="仿宋_GB2312" w:cs="仿宋_GB2312"/>
          <w:sz w:val="32"/>
          <w:szCs w:val="32"/>
        </w:rPr>
        <w:t>根据</w:t>
      </w:r>
      <w:r>
        <w:rPr>
          <w:rFonts w:hint="eastAsia" w:hAnsi="仿宋_GB2312" w:cs="仿宋_GB2312"/>
          <w:snapToGrid w:val="0"/>
          <w:sz w:val="32"/>
          <w:szCs w:val="32"/>
        </w:rPr>
        <w:t>2019年9月9日</w:t>
      </w:r>
      <w:r>
        <w:rPr>
          <w:rFonts w:hint="eastAsia" w:hAnsi="仿宋_GB2312" w:cs="仿宋_GB2312"/>
          <w:sz w:val="32"/>
          <w:szCs w:val="32"/>
        </w:rPr>
        <w:t>市委编办《关于市安全生产应急和信息中心等机构调整优化的通告》(广编办发〔2019〕89号)精神,我中心增挂市安全生产培训考试中心牌子,新增职责为承担全市安全生产培训考试具体事务工作,安全生产培训考试考核为政府社会管理公益职能,并承办市应急局交办的其他事项。</w:t>
      </w:r>
    </w:p>
    <w:p>
      <w:pPr>
        <w:adjustRightInd w:val="0"/>
        <w:snapToGrid w:val="0"/>
        <w:spacing w:line="60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2．项目立项、资金申报的依据。</w:t>
      </w:r>
    </w:p>
    <w:p>
      <w:pPr>
        <w:pStyle w:val="2"/>
        <w:ind w:left="0" w:leftChars="0" w:firstLine="640"/>
        <w:rPr>
          <w:lang w:val="zh-CN"/>
        </w:rPr>
      </w:pPr>
      <w:r>
        <w:rPr>
          <w:rFonts w:hint="eastAsia" w:ascii="仿宋_GB2312" w:hAnsi="仿宋_GB2312" w:eastAsia="仿宋_GB2312" w:cs="仿宋_GB2312"/>
          <w:color w:val="000000"/>
          <w:sz w:val="32"/>
          <w:szCs w:val="32"/>
        </w:rPr>
        <w:t>防灾减灾训练基地维护运行费项目：</w:t>
      </w:r>
      <w:r>
        <w:rPr>
          <w:rFonts w:hint="eastAsia" w:ascii="仿宋_GB2312" w:hAnsi="仿宋_GB2312" w:eastAsia="仿宋_GB2312" w:cs="仿宋_GB2312"/>
          <w:sz w:val="32"/>
          <w:szCs w:val="32"/>
        </w:rPr>
        <w:t>成立川北防灾减灾训练基地,在全市安全生产工作中发挥了极其重要的作用，不但为全市各行业培训了大量一线安全生产作业人员和安全生产管理人员为立项申报、立项依据。</w:t>
      </w:r>
    </w:p>
    <w:p>
      <w:pPr>
        <w:adjustRightInd w:val="0"/>
        <w:snapToGrid w:val="0"/>
        <w:spacing w:line="60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CN"/>
        </w:rPr>
        <w:t>资金管理办法制定情况，资金支持具体项目的条件、范围与支持方式概况。</w:t>
      </w:r>
    </w:p>
    <w:p>
      <w:pPr>
        <w:adjustRightInd w:val="0"/>
        <w:snapToGrid w:val="0"/>
        <w:spacing w:line="560" w:lineRule="exact"/>
        <w:ind w:firstLine="640" w:firstLineChars="200"/>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2021年防灾减灾训练基地运行资金(非税收入成本</w:t>
      </w:r>
      <w:r>
        <w:rPr>
          <w:rFonts w:hint="eastAsia" w:ascii="仿宋_GB2312" w:hAnsi="仿宋_GB2312" w:eastAsia="仿宋_GB2312" w:cs="仿宋_GB2312"/>
          <w:color w:val="000000"/>
          <w:sz w:val="32"/>
          <w:szCs w:val="32"/>
          <w:lang w:eastAsia="zh-CN"/>
        </w:rPr>
        <w:t>安</w:t>
      </w:r>
      <w:r>
        <w:rPr>
          <w:rFonts w:hint="eastAsia" w:ascii="仿宋_GB2312" w:hAnsi="仿宋_GB2312" w:eastAsia="仿宋_GB2312" w:cs="仿宋_GB2312"/>
          <w:color w:val="000000"/>
          <w:sz w:val="32"/>
          <w:szCs w:val="32"/>
        </w:rPr>
        <w:t>排）项目</w:t>
      </w:r>
      <w:r>
        <w:rPr>
          <w:rFonts w:hint="eastAsia" w:ascii="仿宋_GB2312" w:hAnsi="仿宋_GB2312" w:eastAsia="仿宋_GB2312" w:cs="仿宋_GB2312"/>
          <w:color w:val="000000"/>
          <w:sz w:val="32"/>
          <w:szCs w:val="32"/>
          <w:lang w:val="zh-CN"/>
        </w:rPr>
        <w:t>主要通过财政拨款给予项目支持，项目资金主要用于保障</w:t>
      </w:r>
      <w:r>
        <w:rPr>
          <w:rFonts w:hint="eastAsia" w:ascii="仿宋_GB2312" w:hAnsi="仿宋_GB2312" w:eastAsia="仿宋_GB2312" w:cs="仿宋_GB2312"/>
          <w:color w:val="000000"/>
          <w:sz w:val="32"/>
          <w:szCs w:val="32"/>
        </w:rPr>
        <w:t>防灾减灾训练基地运行</w:t>
      </w:r>
      <w:r>
        <w:rPr>
          <w:rFonts w:hint="eastAsia" w:ascii="仿宋_GB2312" w:hAnsi="仿宋_GB2312" w:eastAsia="仿宋_GB2312" w:cs="仿宋_GB2312"/>
          <w:color w:val="000000"/>
          <w:sz w:val="32"/>
          <w:szCs w:val="32"/>
          <w:lang w:val="zh-CN"/>
        </w:rPr>
        <w:t>。我中心根据《预算支出管理制度》等内部控制制度和《预算法》对其进行资金收支管理。</w:t>
      </w:r>
    </w:p>
    <w:p>
      <w:pPr>
        <w:numPr>
          <w:ilvl w:val="0"/>
          <w:numId w:val="10"/>
        </w:numPr>
        <w:adjustRightInd w:val="0"/>
        <w:snapToGrid w:val="0"/>
        <w:spacing w:line="60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资金分配的原则及考虑因素。</w:t>
      </w:r>
    </w:p>
    <w:p>
      <w:pPr>
        <w:pStyle w:val="7"/>
        <w:spacing w:before="93"/>
        <w:ind w:firstLine="640" w:firstLineChars="200"/>
      </w:pPr>
      <w:r>
        <w:rPr>
          <w:rFonts w:hint="eastAsia" w:hAnsi="仿宋_GB2312" w:cs="仿宋_GB2312"/>
          <w:color w:val="000000"/>
          <w:sz w:val="32"/>
          <w:szCs w:val="32"/>
        </w:rPr>
        <w:t>根据合理调整安排资金，统筹兼顾，量力而行，分清轻重缓急，集中财力办事业，保证单位任务顺利完成原则，需考虑广元市矿山安全培训中心项目中实际需求和预算是否符合，执行是否有效率，项目效果完成情况等。</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（二）项目绩效目标。</w:t>
      </w:r>
    </w:p>
    <w:p>
      <w:pPr>
        <w:adjustRightInd w:val="0"/>
        <w:snapToGrid w:val="0"/>
        <w:spacing w:line="60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1．项目主要内容。</w:t>
      </w:r>
    </w:p>
    <w:p>
      <w:pPr>
        <w:adjustRightInd w:val="0"/>
        <w:snapToGrid w:val="0"/>
        <w:spacing w:line="540" w:lineRule="exact"/>
        <w:ind w:firstLine="72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防灾减灾训练基地维护运行费项目：</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color w:val="000000"/>
          <w:sz w:val="32"/>
          <w:szCs w:val="32"/>
          <w:lang w:val="zh-CN"/>
        </w:rPr>
        <w:t>预算批复</w:t>
      </w:r>
      <w:r>
        <w:rPr>
          <w:rFonts w:hint="eastAsia" w:ascii="仿宋_GB2312" w:hAnsi="仿宋_GB2312" w:eastAsia="仿宋_GB2312" w:cs="仿宋_GB2312"/>
          <w:color w:val="000000"/>
          <w:sz w:val="32"/>
          <w:szCs w:val="32"/>
        </w:rPr>
        <w:t>30.1万元</w:t>
      </w:r>
      <w:r>
        <w:rPr>
          <w:rFonts w:hint="eastAsia" w:ascii="仿宋_GB2312" w:hAnsi="仿宋_GB2312" w:eastAsia="仿宋_GB2312" w:cs="仿宋_GB2312"/>
          <w:color w:val="000000"/>
          <w:sz w:val="32"/>
          <w:szCs w:val="32"/>
          <w:lang w:val="zh-CN"/>
        </w:rPr>
        <w:t>，均为市（州）财政拨款，1、</w:t>
      </w:r>
      <w:r>
        <w:rPr>
          <w:rFonts w:hint="eastAsia" w:ascii="仿宋_GB2312" w:hAnsi="仿宋_GB2312" w:eastAsia="仿宋_GB2312" w:cs="仿宋_GB2312"/>
          <w:sz w:val="32"/>
          <w:szCs w:val="32"/>
          <w:lang w:val="zh-CN"/>
        </w:rPr>
        <w:t>项目主要内容</w:t>
      </w:r>
      <w:r>
        <w:rPr>
          <w:rFonts w:hint="eastAsia" w:ascii="仿宋_GB2312" w:hAnsi="仿宋_GB2312" w:eastAsia="仿宋_GB2312" w:cs="仿宋_GB2312"/>
          <w:color w:val="000000"/>
          <w:sz w:val="32"/>
          <w:szCs w:val="32"/>
          <w:lang w:val="zh-CN"/>
        </w:rPr>
        <w:t>为完成非税收入征收计划而发生的征收成本，征收计划</w:t>
      </w:r>
      <w:r>
        <w:rPr>
          <w:rFonts w:hint="eastAsia" w:ascii="仿宋_GB2312" w:hAnsi="仿宋_GB2312" w:eastAsia="仿宋_GB2312" w:cs="仿宋_GB2312"/>
          <w:color w:val="000000"/>
          <w:sz w:val="32"/>
          <w:szCs w:val="32"/>
        </w:rPr>
        <w:t>50万元。</w:t>
      </w:r>
    </w:p>
    <w:p>
      <w:pPr>
        <w:numPr>
          <w:ilvl w:val="0"/>
          <w:numId w:val="12"/>
        </w:numPr>
        <w:adjustRightInd w:val="0"/>
        <w:snapToGrid w:val="0"/>
        <w:spacing w:line="54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项目应实现的具体绩效目标，包括目标的量化、细化情况以及项目实施进度计划等。</w:t>
      </w:r>
    </w:p>
    <w:p>
      <w:pPr>
        <w:adjustRightInd w:val="0"/>
        <w:snapToGrid w:val="0"/>
        <w:spacing w:line="540" w:lineRule="exact"/>
        <w:ind w:firstLine="640" w:firstLineChars="200"/>
        <w:rPr>
          <w:lang w:val="zh-CN"/>
        </w:rPr>
      </w:pPr>
      <w:r>
        <w:rPr>
          <w:rFonts w:hint="eastAsia" w:ascii="仿宋_GB2312" w:hAnsi="仿宋_GB2312" w:eastAsia="仿宋_GB2312" w:cs="仿宋_GB2312"/>
          <w:sz w:val="32"/>
          <w:szCs w:val="32"/>
          <w:lang w:val="zh-CN"/>
        </w:rPr>
        <w:t>计划实现的具体绩效目标</w:t>
      </w:r>
      <w:r>
        <w:rPr>
          <w:rFonts w:hint="eastAsia" w:ascii="仿宋_GB2312" w:hAnsi="仿宋_GB2312" w:eastAsia="仿宋_GB2312" w:cs="仿宋_GB2312"/>
          <w:sz w:val="32"/>
          <w:szCs w:val="32"/>
        </w:rPr>
        <w:t>:确保防灾减灾训练基地的日常维护运行。</w:t>
      </w:r>
      <w:r>
        <w:rPr>
          <w:rFonts w:hint="eastAsia" w:ascii="仿宋_GB2312" w:hAnsi="仿宋_GB2312" w:eastAsia="仿宋_GB2312" w:cs="仿宋_GB2312"/>
          <w:sz w:val="32"/>
          <w:szCs w:val="32"/>
          <w:lang w:val="zh-CN"/>
        </w:rPr>
        <w:t>项目实施进度计划：</w:t>
      </w:r>
      <w:r>
        <w:rPr>
          <w:rFonts w:hint="eastAsia" w:ascii="仿宋_GB2312" w:hAnsi="仿宋_GB2312" w:eastAsia="仿宋_GB2312" w:cs="仿宋_GB2312"/>
          <w:sz w:val="32"/>
          <w:szCs w:val="32"/>
        </w:rPr>
        <w:t>2021年年底前</w:t>
      </w:r>
      <w:r>
        <w:rPr>
          <w:rFonts w:hint="eastAsia" w:ascii="仿宋_GB2312" w:hAnsi="仿宋_GB2312" w:eastAsia="仿宋_GB2312" w:cs="仿宋_GB2312"/>
          <w:color w:val="000000"/>
          <w:sz w:val="32"/>
          <w:szCs w:val="32"/>
          <w:lang w:val="zh-CN"/>
        </w:rPr>
        <w:t>项目实施全面完成。</w:t>
      </w:r>
    </w:p>
    <w:p>
      <w:pPr>
        <w:numPr>
          <w:ilvl w:val="0"/>
          <w:numId w:val="12"/>
        </w:numPr>
        <w:adjustRightInd w:val="0"/>
        <w:snapToGrid w:val="0"/>
        <w:spacing w:line="60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分析评价申报内容是否与实际相符，申报目标是否合理可行。</w:t>
      </w:r>
    </w:p>
    <w:p>
      <w:pPr>
        <w:pStyle w:val="7"/>
        <w:spacing w:before="93" w:line="540" w:lineRule="exact"/>
        <w:ind w:firstLine="640" w:firstLineChars="200"/>
        <w:rPr>
          <w:lang w:val="zh-CN"/>
        </w:rPr>
      </w:pPr>
      <w:r>
        <w:rPr>
          <w:rFonts w:hint="eastAsia" w:hAnsi="仿宋_GB2312" w:cs="仿宋_GB2312"/>
          <w:color w:val="000000"/>
          <w:sz w:val="32"/>
          <w:lang w:val="zh-CN"/>
        </w:rPr>
        <w:t>项目申报内容与具体实施内容相符，申报目标合理可行。</w:t>
      </w:r>
      <w:r>
        <w:rPr>
          <w:rFonts w:hint="eastAsia" w:hAnsi="仿宋_GB2312" w:cs="仿宋_GB2312"/>
          <w:sz w:val="32"/>
        </w:rPr>
        <w:t>采用财政国库集中支付，严格按照预算执行专款专用，科学计划资金使用进度，每笔支出力求规范、合理。</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（三）项目自评步骤及方法。</w:t>
      </w:r>
    </w:p>
    <w:p>
      <w:pPr>
        <w:adjustRightInd w:val="0"/>
        <w:snapToGrid w:val="0"/>
        <w:spacing w:line="560" w:lineRule="exact"/>
        <w:ind w:firstLine="720"/>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通过项目完成数量、质量、时效以及社会效益和经济效益等指标对</w:t>
      </w:r>
      <w:r>
        <w:rPr>
          <w:rFonts w:hint="eastAsia" w:ascii="仿宋_GB2312" w:hAnsi="仿宋_GB2312" w:eastAsia="仿宋_GB2312" w:cs="仿宋_GB2312"/>
          <w:color w:val="000000"/>
          <w:sz w:val="32"/>
          <w:szCs w:val="32"/>
        </w:rPr>
        <w:t>2021年项目</w:t>
      </w:r>
      <w:r>
        <w:rPr>
          <w:rFonts w:hint="eastAsia" w:ascii="仿宋_GB2312" w:hAnsi="仿宋_GB2312" w:eastAsia="仿宋_GB2312" w:cs="仿宋_GB2312"/>
          <w:color w:val="000000"/>
          <w:sz w:val="32"/>
          <w:szCs w:val="32"/>
          <w:lang w:val="zh-CN"/>
        </w:rPr>
        <w:t>展开绩效自评来衡量绩效目标完成情况。</w:t>
      </w:r>
    </w:p>
    <w:p>
      <w:pPr>
        <w:adjustRightInd w:val="0"/>
        <w:snapToGrid w:val="0"/>
        <w:spacing w:line="60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二、项目资金申报及使用情况</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（一）项目资金申报及批复情况。</w:t>
      </w:r>
    </w:p>
    <w:p>
      <w:pPr>
        <w:pStyle w:val="7"/>
        <w:spacing w:before="93" w:line="540" w:lineRule="exact"/>
        <w:ind w:firstLine="640"/>
        <w:rPr>
          <w:rFonts w:hAnsi="宋体"/>
          <w:lang w:val="zh-CN"/>
        </w:rPr>
      </w:pPr>
      <w:r>
        <w:rPr>
          <w:rFonts w:hint="eastAsia" w:hAnsi="仿宋_GB2312" w:cs="仿宋_GB2312"/>
          <w:color w:val="000000"/>
          <w:sz w:val="32"/>
        </w:rPr>
        <w:t>预算申请30.1万元，预算批复30.1万元，符合</w:t>
      </w:r>
      <w:r>
        <w:rPr>
          <w:rFonts w:hint="eastAsia" w:hAnsi="宋体"/>
          <w:lang w:val="zh-CN"/>
        </w:rPr>
        <w:t>资金管理办法。</w:t>
      </w:r>
    </w:p>
    <w:p>
      <w:pPr>
        <w:adjustRightInd w:val="0"/>
        <w:snapToGrid w:val="0"/>
        <w:spacing w:line="60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（二）资金计划、到位及使用情况（可用表格形式反映）。</w:t>
      </w:r>
    </w:p>
    <w:p>
      <w:pPr>
        <w:adjustRightInd w:val="0"/>
        <w:snapToGrid w:val="0"/>
        <w:spacing w:line="54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w:t>
      </w:r>
    </w:p>
    <w:p>
      <w:pPr>
        <w:adjustRightInd w:val="0"/>
        <w:snapToGrid w:val="0"/>
        <w:spacing w:line="540" w:lineRule="exact"/>
        <w:ind w:firstLine="640" w:firstLineChars="200"/>
        <w:rPr>
          <w:rFonts w:ascii="仿宋_GB2312" w:hAnsi="仿宋_GB2312" w:cs="仿宋_GB2312"/>
          <w:color w:val="000000" w:themeColor="text1"/>
          <w14:textFill>
            <w14:solidFill>
              <w14:schemeClr w14:val="tx1"/>
            </w14:solidFill>
          </w14:textFill>
        </w:rPr>
      </w:pPr>
      <w:r>
        <w:rPr>
          <w:rFonts w:hint="eastAsia" w:ascii="仿宋_GB2312" w:hAnsi="仿宋_GB2312" w:eastAsia="仿宋_GB2312" w:cs="仿宋_GB2312"/>
          <w:color w:val="000000"/>
          <w:sz w:val="32"/>
          <w:szCs w:val="32"/>
        </w:rPr>
        <w:t>防灾减灾训练基地维护运行费项目</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zh-CN"/>
          <w14:textFill>
            <w14:solidFill>
              <w14:schemeClr w14:val="tx1"/>
            </w14:solidFill>
          </w14:textFill>
        </w:rPr>
        <w:t>财政年初申报资金计划</w:t>
      </w:r>
      <w:r>
        <w:rPr>
          <w:rFonts w:hint="eastAsia" w:ascii="仿宋_GB2312" w:hAnsi="仿宋_GB2312" w:eastAsia="仿宋_GB2312" w:cs="仿宋_GB2312"/>
          <w:color w:val="000000" w:themeColor="text1"/>
          <w:sz w:val="32"/>
          <w:szCs w:val="32"/>
          <w14:textFill>
            <w14:solidFill>
              <w14:schemeClr w14:val="tx1"/>
            </w14:solidFill>
          </w14:textFill>
        </w:rPr>
        <w:t>30.1万元；</w:t>
      </w:r>
    </w:p>
    <w:p>
      <w:pPr>
        <w:numPr>
          <w:ilvl w:val="0"/>
          <w:numId w:val="13"/>
        </w:numPr>
        <w:adjustRightInd w:val="0"/>
        <w:snapToGrid w:val="0"/>
        <w:spacing w:line="600" w:lineRule="exact"/>
        <w:ind w:firstLine="72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lang w:val="zh-CN"/>
        </w:rPr>
        <w:t>资金到位。</w:t>
      </w:r>
    </w:p>
    <w:p>
      <w:pPr>
        <w:adjustRightInd w:val="0"/>
        <w:snapToGrid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年初预算下达</w:t>
      </w:r>
      <w:r>
        <w:rPr>
          <w:rFonts w:hint="eastAsia" w:ascii="仿宋_GB2312" w:hAnsi="仿宋_GB2312" w:eastAsia="仿宋_GB2312" w:cs="仿宋_GB2312"/>
          <w:color w:val="000000" w:themeColor="text1"/>
          <w:sz w:val="32"/>
          <w:szCs w:val="32"/>
          <w14:textFill>
            <w14:solidFill>
              <w14:schemeClr w14:val="tx1"/>
            </w14:solidFill>
          </w14:textFill>
        </w:rPr>
        <w:t>30.1万元，实际</w:t>
      </w:r>
      <w:r>
        <w:rPr>
          <w:rFonts w:hint="eastAsia" w:ascii="仿宋_GB2312" w:hAnsi="仿宋_GB2312" w:eastAsia="仿宋_GB2312" w:cs="仿宋_GB2312"/>
          <w:color w:val="000000" w:themeColor="text1"/>
          <w:sz w:val="32"/>
          <w:szCs w:val="32"/>
          <w:lang w:val="zh-CN"/>
          <w14:textFill>
            <w14:solidFill>
              <w14:schemeClr w14:val="tx1"/>
            </w14:solidFill>
          </w14:textFill>
        </w:rPr>
        <w:t>到位资金</w:t>
      </w:r>
      <w:r>
        <w:rPr>
          <w:rFonts w:hint="eastAsia" w:ascii="仿宋_GB2312" w:hAnsi="仿宋_GB2312" w:eastAsia="仿宋_GB2312" w:cs="仿宋_GB2312"/>
          <w:color w:val="000000" w:themeColor="text1"/>
          <w:sz w:val="32"/>
          <w:szCs w:val="32"/>
          <w14:textFill>
            <w14:solidFill>
              <w14:schemeClr w14:val="tx1"/>
            </w14:solidFill>
          </w14:textFill>
        </w:rPr>
        <w:t>30.1万元，均为财政资金，资金到位30.1万元与资金计划30.1万元一致，资金到位率100%，资金到位及时性达到100%。</w:t>
      </w:r>
    </w:p>
    <w:p>
      <w:pPr>
        <w:pStyle w:val="2"/>
        <w:numPr>
          <w:ilvl w:val="0"/>
          <w:numId w:val="13"/>
        </w:numPr>
        <w:spacing w:before="93" w:line="540" w:lineRule="exact"/>
        <w:ind w:left="0" w:leftChars="0" w:firstLine="720" w:firstLineChars="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资金使用。</w:t>
      </w:r>
    </w:p>
    <w:p>
      <w:pPr>
        <w:pStyle w:val="2"/>
        <w:spacing w:before="93" w:line="540" w:lineRule="exact"/>
        <w:ind w:left="0" w:leftChars="0" w:firstLine="64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截</w:t>
      </w:r>
      <w:r>
        <w:rPr>
          <w:rFonts w:hint="eastAsia" w:ascii="仿宋_GB2312" w:hAnsi="宋体" w:eastAsia="仿宋_GB2312" w:cs="Times New Roman"/>
          <w:color w:val="auto"/>
          <w:sz w:val="32"/>
          <w:szCs w:val="32"/>
          <w:highlight w:val="none"/>
          <w:lang w:val="zh-CN"/>
        </w:rPr>
        <w:t>止</w:t>
      </w:r>
      <w:r>
        <w:rPr>
          <w:rFonts w:hint="eastAsia" w:ascii="仿宋_GB2312" w:hAnsi="仿宋_GB2312" w:eastAsia="仿宋_GB2312" w:cs="仿宋_GB2312"/>
          <w:sz w:val="32"/>
          <w:szCs w:val="32"/>
          <w:lang w:val="zh-CN"/>
        </w:rPr>
        <w:t>评价时点项目资金的实际支出为</w:t>
      </w:r>
      <w:r>
        <w:rPr>
          <w:rFonts w:hint="eastAsia" w:ascii="仿宋_GB2312" w:hAnsi="仿宋_GB2312" w:eastAsia="仿宋_GB2312" w:cs="仿宋_GB2312"/>
          <w:sz w:val="32"/>
          <w:szCs w:val="32"/>
        </w:rPr>
        <w:t>30.1万元。资金开支范围、标准及支付进度、支付依据等合规合法，资金支付与预算相符。</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（三）项目财务管理情况。</w:t>
      </w:r>
    </w:p>
    <w:p>
      <w:pPr>
        <w:adjustRightInd w:val="0"/>
        <w:snapToGrid w:val="0"/>
        <w:spacing w:line="54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项目管理由本单位财务室严格按照财务相关制度及单位内部控制制度，通过财政集中支付系统按规定支付项目款，并对资金支付逐一进行会计核算及财务处理。对照资金管理办法，该项目严格执行财务管理制度，账务处理及时准确，会计核算规范。</w:t>
      </w:r>
    </w:p>
    <w:p>
      <w:pPr>
        <w:adjustRightInd w:val="0"/>
        <w:snapToGrid w:val="0"/>
        <w:spacing w:line="60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三、项目实施及管理情况</w:t>
      </w:r>
    </w:p>
    <w:p>
      <w:pPr>
        <w:adjustRightInd w:val="0"/>
        <w:snapToGrid w:val="0"/>
        <w:spacing w:line="60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结合项目组织实施管理办法，重点围绕以下内容进行分析评价，并对自评中发现的问题分析说明。</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（一）项目组织架构及实施流程。</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（二）项目管理情况。</w:t>
      </w:r>
    </w:p>
    <w:p>
      <w:pPr>
        <w:adjustRightInd w:val="0"/>
        <w:snapToGrid w:val="0"/>
        <w:spacing w:line="600" w:lineRule="exact"/>
        <w:ind w:firstLine="720"/>
        <w:rPr>
          <w:rFonts w:hint="eastAsia" w:hAnsi="仿宋_GB2312" w:eastAsia="宋体" w:cs="仿宋_GB2312"/>
          <w:color w:val="000000"/>
          <w:sz w:val="32"/>
          <w:lang w:eastAsia="zh-CN"/>
        </w:rPr>
      </w:pPr>
      <w:r>
        <w:rPr>
          <w:rFonts w:hint="eastAsia" w:hAnsi="仿宋_GB2312" w:cs="仿宋_GB2312"/>
          <w:color w:val="000000"/>
          <w:sz w:val="32"/>
        </w:rPr>
        <w:t>防灾减灾训练基地维护运行费项目由中心办公室具体负责，正常保障防灾减灾训练基地正常运行</w:t>
      </w:r>
      <w:r>
        <w:rPr>
          <w:rFonts w:hint="eastAsia" w:hAnsi="仿宋_GB2312" w:cs="仿宋_GB2312"/>
          <w:color w:val="000000"/>
          <w:sz w:val="32"/>
          <w:lang w:eastAsia="zh-CN"/>
        </w:rPr>
        <w:t>。</w:t>
      </w:r>
    </w:p>
    <w:p>
      <w:pPr>
        <w:numPr>
          <w:ilvl w:val="0"/>
          <w:numId w:val="11"/>
        </w:numPr>
        <w:adjustRightInd w:val="0"/>
        <w:snapToGrid w:val="0"/>
        <w:spacing w:line="54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项目监管情况。</w:t>
      </w:r>
    </w:p>
    <w:p>
      <w:pPr>
        <w:adjustRightInd w:val="0"/>
        <w:snapToGrid w:val="0"/>
        <w:spacing w:line="540" w:lineRule="exact"/>
        <w:ind w:firstLine="640" w:firstLineChars="200"/>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根据《预算法》</w:t>
      </w:r>
      <w:r>
        <w:rPr>
          <w:rFonts w:hint="eastAsia" w:ascii="仿宋_GB2312" w:hAnsi="仿宋_GB2312" w:eastAsia="仿宋_GB2312" w:cs="仿宋_GB2312"/>
          <w:color w:val="000000"/>
          <w:sz w:val="32"/>
          <w:szCs w:val="32"/>
        </w:rPr>
        <w:t>对项目进行资金支出，根据实际需求进行项目支出，提高资金使用效率。</w:t>
      </w:r>
      <w:r>
        <w:rPr>
          <w:rFonts w:hint="eastAsia" w:ascii="仿宋_GB2312" w:hAnsi="仿宋_GB2312" w:eastAsia="仿宋_GB2312" w:cs="仿宋_GB2312"/>
          <w:bCs/>
          <w:sz w:val="32"/>
          <w:szCs w:val="32"/>
          <w:lang w:val="zh-CN"/>
        </w:rPr>
        <w:t>项目由中心办公室依据实际需求的原则来监管项目支付</w:t>
      </w:r>
      <w:r>
        <w:rPr>
          <w:rFonts w:hint="eastAsia" w:ascii="仿宋_GB2312" w:hAnsi="仿宋_GB2312" w:eastAsia="仿宋_GB2312" w:cs="仿宋_GB2312"/>
          <w:bCs/>
          <w:sz w:val="32"/>
          <w:szCs w:val="32"/>
        </w:rPr>
        <w:t>，为市矿山安全培训中心</w:t>
      </w:r>
      <w:r>
        <w:rPr>
          <w:rFonts w:hint="eastAsia" w:ascii="仿宋_GB2312" w:hAnsi="仿宋_GB2312" w:eastAsia="仿宋_GB2312" w:cs="仿宋_GB2312"/>
          <w:color w:val="000000"/>
          <w:sz w:val="32"/>
          <w:szCs w:val="32"/>
        </w:rPr>
        <w:t>防灾减灾训练基地</w:t>
      </w:r>
      <w:r>
        <w:rPr>
          <w:rFonts w:hint="eastAsia" w:ascii="仿宋_GB2312" w:hAnsi="仿宋_GB2312" w:eastAsia="仿宋_GB2312" w:cs="仿宋_GB2312"/>
          <w:bCs/>
          <w:sz w:val="32"/>
          <w:szCs w:val="32"/>
        </w:rPr>
        <w:t>正常运行提供了保障。</w:t>
      </w:r>
    </w:p>
    <w:p>
      <w:pPr>
        <w:adjustRightInd w:val="0"/>
        <w:snapToGrid w:val="0"/>
        <w:spacing w:line="60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四、项目绩效情况</w:t>
      </w:r>
      <w:r>
        <w:rPr>
          <w:rFonts w:hint="eastAsia" w:ascii="仿宋_GB2312" w:hAnsi="仿宋_GB2312" w:eastAsia="仿宋_GB2312" w:cs="仿宋_GB2312"/>
          <w:sz w:val="32"/>
          <w:szCs w:val="32"/>
          <w:lang w:val="zh-CN"/>
        </w:rPr>
        <w:tab/>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（一）项目完成情况。</w:t>
      </w:r>
    </w:p>
    <w:p>
      <w:pPr>
        <w:pStyle w:val="7"/>
        <w:spacing w:before="93" w:line="540" w:lineRule="exact"/>
        <w:ind w:firstLine="640" w:firstLineChars="200"/>
        <w:rPr>
          <w:rFonts w:hAnsi="仿宋_GB2312" w:cs="仿宋_GB2312"/>
          <w:color w:val="000000"/>
          <w:sz w:val="32"/>
        </w:rPr>
      </w:pPr>
      <w:r>
        <w:rPr>
          <w:rFonts w:hint="eastAsia" w:hAnsi="仿宋_GB2312" w:cs="仿宋_GB2312"/>
          <w:color w:val="000000"/>
          <w:sz w:val="32"/>
        </w:rPr>
        <w:t>防灾减灾训练基地维护运行费项目：固定资产收入31万元,理论考试费25.45万元；考试按时完成,合格率达到70%；在规定时期内完成考试监考工作；成本总量30.1万元。</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（二）项目效益情况。</w:t>
      </w:r>
    </w:p>
    <w:p>
      <w:pPr>
        <w:pStyle w:val="7"/>
        <w:spacing w:before="93" w:line="540" w:lineRule="exact"/>
        <w:ind w:firstLine="640" w:firstLineChars="200"/>
        <w:rPr>
          <w:rFonts w:hAnsi="宋体"/>
          <w:color w:val="000000" w:themeColor="text1"/>
          <w14:textFill>
            <w14:solidFill>
              <w14:schemeClr w14:val="tx1"/>
            </w14:solidFill>
          </w14:textFill>
        </w:rPr>
      </w:pPr>
      <w:r>
        <w:rPr>
          <w:rFonts w:hint="eastAsia" w:hAnsi="仿宋_GB2312" w:cs="仿宋_GB2312"/>
          <w:color w:val="000000"/>
          <w:sz w:val="32"/>
        </w:rPr>
        <w:t>防灾减灾训练基地维护运行费项目：提高了考试人员的就业技能,考试人员提高了就业机会；考试人员满意度80%。</w:t>
      </w:r>
    </w:p>
    <w:p>
      <w:pPr>
        <w:adjustRightInd w:val="0"/>
        <w:snapToGrid w:val="0"/>
        <w:spacing w:line="60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五、评价结论及建议</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（一）评价结论。</w:t>
      </w:r>
    </w:p>
    <w:p>
      <w:pPr>
        <w:adjustRightInd w:val="0"/>
        <w:snapToGrid w:val="0"/>
        <w:spacing w:line="600" w:lineRule="exact"/>
        <w:ind w:firstLine="640" w:firstLineChars="200"/>
        <w:rPr>
          <w:rFonts w:ascii="仿宋_GB2312" w:hAnsi="仿宋_GB2312" w:eastAsia="仿宋_GB2312" w:cs="仿宋_GB2312"/>
          <w:sz w:val="32"/>
          <w:szCs w:val="32"/>
          <w:bdr w:val="single" w:color="auto" w:sz="4" w:space="0"/>
          <w:lang w:val="zh-CN"/>
        </w:rPr>
      </w:pPr>
      <w:r>
        <w:rPr>
          <w:rFonts w:hint="eastAsia" w:ascii="仿宋_GB2312" w:hAnsi="仿宋_GB2312" w:eastAsia="仿宋_GB2312" w:cs="仿宋_GB2312"/>
          <w:sz w:val="32"/>
          <w:szCs w:val="32"/>
          <w:lang w:val="zh-CN"/>
        </w:rPr>
        <w:t>结合项目自身特点、评价重点及管理办法等要求，围绕专项项目支出绩效评价指标体系对项目进行总体评价。</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（二）存在的问题。</w:t>
      </w:r>
    </w:p>
    <w:p>
      <w:pPr>
        <w:pStyle w:val="7"/>
        <w:adjustRightInd w:val="0"/>
        <w:snapToGrid w:val="0"/>
        <w:spacing w:beforeLines="0" w:line="560" w:lineRule="exact"/>
        <w:ind w:firstLine="640" w:firstLineChars="200"/>
        <w:outlineLvl w:val="2"/>
        <w:rPr>
          <w:rFonts w:hAnsi="仿宋_GB2312" w:cs="仿宋_GB2312"/>
          <w:sz w:val="32"/>
          <w:szCs w:val="32"/>
        </w:rPr>
      </w:pPr>
      <w:r>
        <w:rPr>
          <w:rFonts w:hint="eastAsia" w:hAnsi="仿宋_GB2312" w:cs="仿宋_GB2312"/>
          <w:sz w:val="32"/>
          <w:szCs w:val="32"/>
        </w:rPr>
        <w:t>1、绩效评价的在目标设定上过于简单，当前目标设定上不能实现多元化目标；</w:t>
      </w:r>
    </w:p>
    <w:p>
      <w:pPr>
        <w:pStyle w:val="7"/>
        <w:adjustRightInd w:val="0"/>
        <w:snapToGrid w:val="0"/>
        <w:spacing w:beforeLines="0" w:line="560" w:lineRule="exact"/>
        <w:ind w:firstLine="640" w:firstLineChars="200"/>
        <w:outlineLvl w:val="2"/>
        <w:rPr>
          <w:rFonts w:hAnsi="仿宋_GB2312" w:cs="仿宋_GB2312"/>
          <w:sz w:val="32"/>
          <w:szCs w:val="32"/>
        </w:rPr>
      </w:pPr>
      <w:r>
        <w:rPr>
          <w:rFonts w:hint="eastAsia" w:hAnsi="仿宋_GB2312" w:cs="仿宋_GB2312"/>
          <w:sz w:val="32"/>
          <w:szCs w:val="32"/>
        </w:rPr>
        <w:t>2、绩效评价在指标设定上存在偏离现象；</w:t>
      </w:r>
    </w:p>
    <w:p>
      <w:pPr>
        <w:adjustRightInd w:val="0"/>
        <w:snapToGrid w:val="0"/>
        <w:spacing w:line="60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3、对项目支出绩效评价的内容上还有待进一步完善。</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（三）相关建议。</w:t>
      </w:r>
    </w:p>
    <w:p>
      <w:pPr>
        <w:adjustRightInd w:val="0"/>
        <w:snapToGrid w:val="0"/>
        <w:spacing w:line="54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继续做好资金管理，响应政府“过紧日子”的号召。</w:t>
      </w:r>
    </w:p>
    <w:p>
      <w:pPr>
        <w:pStyle w:val="7"/>
        <w:spacing w:before="93"/>
      </w:pPr>
    </w:p>
    <w:p>
      <w:pPr>
        <w:pStyle w:val="7"/>
        <w:spacing w:before="93"/>
        <w:rPr>
          <w:rFonts w:hAnsi="仿宋_GB2312" w:cs="仿宋_GB2312"/>
          <w:sz w:val="32"/>
          <w:szCs w:val="32"/>
          <w:lang w:val="zh-CN"/>
        </w:rPr>
      </w:pPr>
    </w:p>
    <w:p>
      <w:pPr>
        <w:spacing w:line="572" w:lineRule="exact"/>
        <w:jc w:val="left"/>
        <w:outlineLvl w:val="0"/>
        <w:rPr>
          <w:rFonts w:ascii="仿宋_GB2312" w:hAnsi="仿宋_GB2312" w:eastAsia="黑体" w:cs="仿宋_GB2312"/>
          <w:sz w:val="32"/>
          <w:szCs w:val="32"/>
        </w:rPr>
      </w:pPr>
      <w:r>
        <w:rPr>
          <w:rFonts w:hint="eastAsia" w:ascii="黑体" w:hAnsi="黑体" w:eastAsia="黑体" w:cs="黑体"/>
          <w:sz w:val="32"/>
          <w:szCs w:val="32"/>
        </w:rPr>
        <w:t>附表</w:t>
      </w:r>
    </w:p>
    <w:tbl>
      <w:tblPr>
        <w:tblStyle w:val="16"/>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976"/>
        <w:gridCol w:w="1142"/>
        <w:gridCol w:w="1635"/>
        <w:gridCol w:w="1189"/>
        <w:gridCol w:w="1224"/>
        <w:gridCol w:w="2409"/>
        <w:gridCol w:w="236"/>
      </w:tblGrid>
      <w:tr>
        <w:tblPrEx>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widowControl/>
              <w:jc w:val="center"/>
              <w:textAlignment w:val="center"/>
            </w:pPr>
            <w:bookmarkStart w:id="53" w:name="_Toc15396618"/>
            <w:r>
              <w:rPr>
                <w:rFonts w:hint="eastAsia"/>
              </w:rPr>
              <w:t>2021年部门预算项目绩效目标自评</w:t>
            </w:r>
          </w:p>
          <w:p>
            <w:pPr>
              <w:pStyle w:val="7"/>
              <w:spacing w:before="93"/>
              <w:jc w:val="center"/>
            </w:pPr>
            <w:r>
              <w:rPr>
                <w:rFonts w:hint="eastAsia" w:hAnsi="仿宋_GB2312" w:cs="仿宋_GB2312"/>
                <w:color w:val="000000"/>
                <w:sz w:val="21"/>
                <w:szCs w:val="21"/>
              </w:rPr>
              <w:t>考试中心日常维护运行费项目</w:t>
            </w:r>
          </w:p>
        </w:tc>
        <w:tc>
          <w:tcPr>
            <w:tcW w:w="234" w:type="dxa"/>
            <w:tcBorders>
              <w:top w:val="nil"/>
              <w:left w:val="nil"/>
              <w:bottom w:val="nil"/>
              <w:right w:val="nil"/>
            </w:tcBorders>
            <w:shd w:val="clear" w:color="auto" w:fill="auto"/>
            <w:vAlign w:val="center"/>
          </w:tcPr>
          <w:p>
            <w:pPr>
              <w:widowControl/>
              <w:jc w:val="center"/>
              <w:textAlignment w:val="center"/>
              <w:rPr>
                <w:rFonts w:ascii="宋体" w:hAnsi="宋体" w:cs="宋体"/>
                <w:b/>
                <w:kern w:val="0"/>
                <w:sz w:val="32"/>
                <w:szCs w:val="32"/>
                <w:lang w:bidi="ar"/>
              </w:rPr>
            </w:pPr>
          </w:p>
        </w:tc>
      </w:tr>
      <w:tr>
        <w:tblPrEx>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eastAsia="楷体_GB2312" w:cs="宋体"/>
                <w:sz w:val="24"/>
              </w:rPr>
            </w:pPr>
            <w:r>
              <w:rPr>
                <w:rFonts w:hint="eastAsia" w:ascii="楷体_GB2312" w:hAnsi="宋体" w:eastAsia="楷体_GB2312" w:cs="宋体"/>
                <w:color w:val="000000"/>
                <w:sz w:val="24"/>
              </w:rPr>
              <w:t>广元市应急管理局331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广元市矿山安全培训中心</w:t>
            </w:r>
          </w:p>
        </w:tc>
      </w:tr>
      <w:tr>
        <w:tblPrEx>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项目预算</w:t>
            </w:r>
            <w:r>
              <w:rPr>
                <w:rFonts w:hint="eastAsia" w:ascii="宋体" w:hAnsi="宋体" w:cs="宋体"/>
                <w:kern w:val="0"/>
                <w:sz w:val="24"/>
                <w:lang w:bidi="ar"/>
              </w:rPr>
              <w:br w:type="textWrapping"/>
            </w:r>
            <w:r>
              <w:rPr>
                <w:rFonts w:hint="eastAsia" w:ascii="宋体" w:hAnsi="宋体" w:cs="宋体"/>
                <w:kern w:val="0"/>
                <w:sz w:val="24"/>
                <w:lang w:bidi="ar"/>
              </w:rPr>
              <w:t>执行情况</w:t>
            </w:r>
            <w:r>
              <w:rPr>
                <w:rFonts w:hint="eastAsia" w:ascii="宋体" w:hAnsi="宋体" w:cs="宋体"/>
                <w:kern w:val="0"/>
                <w:sz w:val="24"/>
                <w:lang w:bidi="ar"/>
              </w:rPr>
              <w:br w:type="textWrapping"/>
            </w:r>
            <w:r>
              <w:rPr>
                <w:rFonts w:hint="eastAsia" w:ascii="宋体" w:hAnsi="宋体" w:cs="宋体"/>
                <w:kern w:val="0"/>
                <w:sz w:val="24"/>
                <w:lang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center"/>
              <w:rPr>
                <w:rFonts w:ascii="宋体" w:hAnsi="宋体" w:cs="宋体"/>
                <w:sz w:val="24"/>
              </w:rPr>
            </w:pPr>
            <w:r>
              <w:rPr>
                <w:rFonts w:hint="eastAsia" w:ascii="宋体" w:hAnsi="宋体" w:cs="宋体"/>
                <w:sz w:val="24"/>
              </w:rPr>
              <w:t>5</w:t>
            </w:r>
          </w:p>
        </w:tc>
      </w:tr>
      <w:tr>
        <w:tblPrEx>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lang w:bidi="ar"/>
              </w:rPr>
            </w:pPr>
            <w:r>
              <w:rPr>
                <w:rFonts w:hint="eastAsia" w:ascii="宋体" w:hAnsi="宋体" w:cs="宋体"/>
                <w:kern w:val="0"/>
                <w:sz w:val="24"/>
                <w:lang w:bidi="ar"/>
              </w:rPr>
              <w:t>其中：</w:t>
            </w:r>
          </w:p>
          <w:p>
            <w:pPr>
              <w:widowControl/>
              <w:spacing w:line="320" w:lineRule="exact"/>
              <w:jc w:val="left"/>
              <w:textAlignment w:val="center"/>
              <w:rPr>
                <w:rFonts w:ascii="宋体" w:hAnsi="宋体" w:cs="宋体"/>
                <w:sz w:val="24"/>
              </w:rPr>
            </w:pPr>
            <w:r>
              <w:rPr>
                <w:rFonts w:hint="eastAsia" w:ascii="宋体" w:hAnsi="宋体" w:cs="宋体"/>
                <w:kern w:val="0"/>
                <w:sz w:val="24"/>
                <w:lang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lang w:bidi="ar"/>
              </w:rPr>
            </w:pPr>
            <w:r>
              <w:rPr>
                <w:rFonts w:hint="eastAsia" w:ascii="宋体" w:hAnsi="宋体" w:cs="宋体"/>
                <w:kern w:val="0"/>
                <w:sz w:val="24"/>
                <w:lang w:bidi="ar"/>
              </w:rPr>
              <w:t>其中：</w:t>
            </w:r>
          </w:p>
          <w:p>
            <w:pPr>
              <w:widowControl/>
              <w:spacing w:line="320" w:lineRule="exact"/>
              <w:jc w:val="left"/>
              <w:textAlignment w:val="center"/>
              <w:rPr>
                <w:rFonts w:ascii="宋体" w:hAnsi="宋体" w:cs="宋体"/>
                <w:sz w:val="24"/>
              </w:rPr>
            </w:pPr>
            <w:r>
              <w:rPr>
                <w:rFonts w:hint="eastAsia" w:ascii="宋体" w:hAnsi="宋体" w:cs="宋体"/>
                <w:kern w:val="0"/>
                <w:sz w:val="24"/>
                <w:lang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宋体" w:hAnsi="宋体" w:cs="宋体"/>
                <w:sz w:val="24"/>
              </w:rPr>
              <w:t>5</w:t>
            </w:r>
          </w:p>
        </w:tc>
      </w:tr>
      <w:tr>
        <w:tblPrEx>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p>
        </w:tc>
      </w:tr>
      <w:tr>
        <w:tblPrEx>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lang w:bidi="ar"/>
              </w:rPr>
            </w:pPr>
            <w:r>
              <w:rPr>
                <w:rFonts w:hint="eastAsia" w:ascii="宋体" w:hAnsi="宋体" w:cs="宋体"/>
                <w:kern w:val="0"/>
                <w:sz w:val="24"/>
                <w:lang w:bidi="ar"/>
              </w:rPr>
              <w:t>年度总体目标</w:t>
            </w:r>
          </w:p>
          <w:p>
            <w:pPr>
              <w:widowControl/>
              <w:spacing w:line="320" w:lineRule="exact"/>
              <w:jc w:val="center"/>
              <w:textAlignment w:val="center"/>
              <w:rPr>
                <w:rFonts w:ascii="宋体" w:hAnsi="宋体" w:cs="宋体"/>
                <w:sz w:val="24"/>
              </w:rPr>
            </w:pPr>
            <w:r>
              <w:rPr>
                <w:rFonts w:hint="eastAsia" w:ascii="宋体" w:hAnsi="宋体" w:cs="宋体"/>
                <w:kern w:val="0"/>
                <w:sz w:val="24"/>
                <w:lang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目标实际完成情况</w:t>
            </w:r>
          </w:p>
        </w:tc>
      </w:tr>
      <w:tr>
        <w:tblPrEx>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sz w:val="15"/>
                <w:szCs w:val="15"/>
              </w:rPr>
              <w:t>在本轮机构改革中,根据2019年9月9日市委编办《关于市安全生产应急和信息中心等机构调整优化的通告》(广编办发〔2019〕89号，详见附件)精神,该中心增挂市安全生产培训考试中心牌子,新增职责为承担全市安全生产培训考试具体事务工作,安全生产培训考试考核为政府社会管理公益职能,目前我市正在逐步规范之中。据《四川省安全生产培训考试分中心和安全生产知识考试点建设标准》(川安监函〔2016〕38号), 市安全生产考试中心除包括建设考试平台和视频监考系统外，现已配建1个标准化的安全技术理论计算机考试考场,并逐步建成安全培训实践操作考核基地。考试中心产生大量考试网络运行费和考试设施设备维护费,预计2021年日常运行维护费用将达到10万元。由于该中心是财政全额预算事业单位，无自有经费来源,也没有此专项经费。请示将2021年考试中心运行费用5万元纳入预算.2021年圆满完成考试中心正常运行</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sz w:val="24"/>
              </w:rPr>
              <w:t>考试中心日常维护运行费用保障了考试中心正常运行.</w:t>
            </w:r>
          </w:p>
        </w:tc>
      </w:tr>
      <w:tr>
        <w:tblPrEx>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Cs w:val="21"/>
              </w:rPr>
            </w:pPr>
            <w:r>
              <w:rPr>
                <w:rFonts w:hint="eastAsia" w:ascii="仿宋_GB2312" w:hAnsi="仿宋_GB2312" w:eastAsia="仿宋_GB2312" w:cs="仿宋_GB2312"/>
                <w:szCs w:val="21"/>
              </w:rPr>
              <w:t>考试人员</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Cs w:val="21"/>
              </w:rPr>
            </w:pPr>
            <w:r>
              <w:rPr>
                <w:rFonts w:hint="eastAsia" w:ascii="仿宋_GB2312" w:hAnsi="仿宋_GB2312" w:eastAsia="仿宋_GB2312" w:cs="仿宋_GB2312"/>
                <w:szCs w:val="21"/>
              </w:rPr>
              <w:t>考试人员&gt;=4000人</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Cs w:val="21"/>
              </w:rPr>
            </w:pPr>
            <w:r>
              <w:rPr>
                <w:rFonts w:hint="eastAsia" w:ascii="仿宋_GB2312" w:hAnsi="仿宋_GB2312" w:eastAsia="仿宋_GB2312" w:cs="仿宋_GB2312"/>
                <w:szCs w:val="21"/>
              </w:rPr>
              <w:t>考试人员4500人</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Cs w:val="21"/>
              </w:rPr>
            </w:pPr>
            <w:r>
              <w:rPr>
                <w:rFonts w:hint="eastAsia" w:ascii="仿宋_GB2312" w:hAnsi="仿宋_GB2312" w:eastAsia="仿宋_GB2312" w:cs="仿宋_GB2312"/>
                <w:szCs w:val="21"/>
              </w:rPr>
              <w:t>质量要求</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Cs w:val="21"/>
              </w:rPr>
            </w:pPr>
            <w:r>
              <w:rPr>
                <w:rFonts w:hint="eastAsia" w:ascii="仿宋_GB2312" w:hAnsi="仿宋_GB2312" w:eastAsia="仿宋_GB2312" w:cs="仿宋_GB2312"/>
                <w:szCs w:val="21"/>
              </w:rPr>
              <w:t>省考试中心要求下完成各项考试必备考场及服务</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Cs w:val="21"/>
              </w:rPr>
            </w:pPr>
            <w:r>
              <w:rPr>
                <w:rFonts w:hint="eastAsia" w:ascii="仿宋_GB2312" w:hAnsi="仿宋_GB2312" w:eastAsia="仿宋_GB2312" w:cs="仿宋_GB2312"/>
                <w:szCs w:val="21"/>
              </w:rPr>
              <w:t>完成省考试中心安排的考试监考及考场后勤服务</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Cs w:val="21"/>
              </w:rPr>
            </w:pPr>
            <w:r>
              <w:rPr>
                <w:rFonts w:hint="eastAsia" w:ascii="仿宋_GB2312" w:hAnsi="仿宋_GB2312" w:eastAsia="仿宋_GB2312" w:cs="仿宋_GB2312"/>
                <w:szCs w:val="21"/>
              </w:rPr>
              <w:t>完成时效</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Cs w:val="21"/>
              </w:rPr>
            </w:pPr>
            <w:r>
              <w:rPr>
                <w:rFonts w:hint="eastAsia" w:ascii="仿宋_GB2312" w:hAnsi="仿宋_GB2312" w:eastAsia="仿宋_GB2312" w:cs="仿宋_GB2312"/>
                <w:szCs w:val="21"/>
              </w:rPr>
              <w:t>在规定时效内完成考试中心日常维护</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Cs w:val="21"/>
              </w:rPr>
            </w:pPr>
            <w:r>
              <w:rPr>
                <w:rFonts w:hint="eastAsia" w:ascii="仿宋_GB2312" w:hAnsi="仿宋_GB2312" w:eastAsia="仿宋_GB2312" w:cs="仿宋_GB2312"/>
                <w:szCs w:val="21"/>
              </w:rPr>
              <w:t>在2021年内完成考试中心日常维护</w:t>
            </w: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Cs w:val="21"/>
              </w:rPr>
            </w:pPr>
            <w:r>
              <w:rPr>
                <w:rFonts w:hint="eastAsia" w:ascii="仿宋_GB2312" w:hAnsi="仿宋_GB2312" w:eastAsia="仿宋_GB2312" w:cs="仿宋_GB2312"/>
                <w:szCs w:val="21"/>
              </w:rPr>
              <w:t>成本控制</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Cs w:val="21"/>
              </w:rPr>
            </w:pPr>
            <w:r>
              <w:rPr>
                <w:rFonts w:hint="eastAsia" w:ascii="仿宋_GB2312" w:hAnsi="仿宋_GB2312" w:eastAsia="仿宋_GB2312" w:cs="仿宋_GB2312"/>
                <w:szCs w:val="21"/>
              </w:rPr>
              <w:t>在年度预算计划数据内完成</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Cs w:val="21"/>
              </w:rPr>
            </w:pPr>
            <w:r>
              <w:rPr>
                <w:rFonts w:hint="eastAsia" w:ascii="仿宋_GB2312" w:hAnsi="仿宋_GB2312" w:eastAsia="仿宋_GB2312" w:cs="仿宋_GB2312"/>
                <w:szCs w:val="21"/>
              </w:rPr>
              <w:t>在年度预算5万元内完成</w:t>
            </w: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Cs w:val="21"/>
              </w:rPr>
            </w:pPr>
            <w:r>
              <w:rPr>
                <w:rFonts w:hint="eastAsia" w:ascii="仿宋_GB2312" w:hAnsi="仿宋_GB2312" w:eastAsia="仿宋_GB2312" w:cs="仿宋_GB2312"/>
                <w:szCs w:val="21"/>
              </w:rPr>
              <w:t xml:space="preserve">社会稳定 </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Cs w:val="21"/>
              </w:rPr>
            </w:pPr>
            <w:r>
              <w:rPr>
                <w:rFonts w:hint="eastAsia" w:ascii="仿宋_GB2312" w:hAnsi="仿宋_GB2312" w:eastAsia="仿宋_GB2312" w:cs="仿宋_GB2312"/>
                <w:szCs w:val="21"/>
              </w:rPr>
              <w:t>为各项人员考试提供服务,为社会提供更多的合格人才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Cs w:val="21"/>
              </w:rPr>
            </w:pPr>
            <w:r>
              <w:rPr>
                <w:rFonts w:hint="eastAsia" w:ascii="仿宋_GB2312" w:hAnsi="仿宋_GB2312" w:eastAsia="仿宋_GB2312" w:cs="仿宋_GB2312"/>
                <w:szCs w:val="21"/>
              </w:rPr>
              <w:t>完成为考试人员提供服务,为社会提供有合格证的人才</w:t>
            </w:r>
          </w:p>
        </w:tc>
      </w:tr>
      <w:tr>
        <w:tblPrEx>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满意</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满意度</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考试人员满意度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考试人员对监考工作的满意度达到70%收上</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考试人员对监考工作的满意度达到80%</w:t>
            </w:r>
          </w:p>
        </w:tc>
      </w:tr>
    </w:tbl>
    <w:p>
      <w:pPr>
        <w:spacing w:line="600" w:lineRule="exact"/>
        <w:jc w:val="center"/>
        <w:outlineLvl w:val="0"/>
        <w:rPr>
          <w:rFonts w:ascii="黑体" w:hAnsi="黑体" w:eastAsia="黑体"/>
          <w:sz w:val="44"/>
          <w:szCs w:val="44"/>
        </w:rPr>
      </w:pPr>
    </w:p>
    <w:tbl>
      <w:tblPr>
        <w:tblStyle w:val="16"/>
        <w:tblpPr w:leftFromText="180" w:rightFromText="180" w:vertAnchor="text" w:horzAnchor="page" w:tblpX="1281" w:tblpY="660"/>
        <w:tblOverlap w:val="never"/>
        <w:tblW w:w="9577" w:type="dxa"/>
        <w:tblInd w:w="0" w:type="dxa"/>
        <w:tblLayout w:type="fixed"/>
        <w:tblCellMar>
          <w:top w:w="0" w:type="dxa"/>
          <w:left w:w="108" w:type="dxa"/>
          <w:bottom w:w="0" w:type="dxa"/>
          <w:right w:w="108" w:type="dxa"/>
        </w:tblCellMar>
      </w:tblPr>
      <w:tblGrid>
        <w:gridCol w:w="1977"/>
        <w:gridCol w:w="1142"/>
        <w:gridCol w:w="1635"/>
        <w:gridCol w:w="1189"/>
        <w:gridCol w:w="1224"/>
        <w:gridCol w:w="2410"/>
      </w:tblGrid>
      <w:tr>
        <w:tblPrEx>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widowControl/>
              <w:jc w:val="center"/>
              <w:textAlignment w:val="center"/>
            </w:pPr>
            <w:r>
              <w:rPr>
                <w:rFonts w:hint="eastAsia"/>
              </w:rPr>
              <w:t>2021年部门预算项目绩效目标自评</w:t>
            </w:r>
          </w:p>
          <w:p>
            <w:pPr>
              <w:pStyle w:val="2"/>
              <w:ind w:firstLine="3360" w:firstLineChars="1600"/>
            </w:pPr>
            <w:r>
              <w:rPr>
                <w:rFonts w:hint="eastAsia" w:asciiTheme="minorEastAsia" w:hAnsiTheme="minorEastAsia" w:eastAsiaTheme="minorEastAsia" w:cstheme="minorEastAsia"/>
                <w:szCs w:val="21"/>
              </w:rPr>
              <w:t>考试点交叉监考费</w:t>
            </w:r>
          </w:p>
        </w:tc>
      </w:tr>
      <w:tr>
        <w:tblPrEx>
          <w:tblCellMar>
            <w:top w:w="0" w:type="dxa"/>
            <w:left w:w="108" w:type="dxa"/>
            <w:bottom w:w="0" w:type="dxa"/>
            <w:right w:w="108" w:type="dxa"/>
          </w:tblCellMar>
        </w:tblPrEx>
        <w:trPr>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楷体_GB2312" w:hAnsi="宋体" w:eastAsia="楷体_GB2312" w:cs="宋体"/>
                <w:color w:val="000000"/>
                <w:sz w:val="24"/>
              </w:rPr>
              <w:t>广元市应急管理局331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广元市矿山安全培训中心</w:t>
            </w:r>
          </w:p>
        </w:tc>
      </w:tr>
      <w:tr>
        <w:tblPrEx>
          <w:tblCellMar>
            <w:top w:w="0" w:type="dxa"/>
            <w:left w:w="108" w:type="dxa"/>
            <w:bottom w:w="0" w:type="dxa"/>
            <w:right w:w="108" w:type="dxa"/>
          </w:tblCellMar>
        </w:tblPrEx>
        <w:trPr>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项目预算</w:t>
            </w:r>
            <w:r>
              <w:rPr>
                <w:rFonts w:hint="eastAsia" w:ascii="宋体" w:hAnsi="宋体" w:cs="宋体"/>
                <w:kern w:val="0"/>
                <w:sz w:val="24"/>
                <w:lang w:bidi="ar"/>
              </w:rPr>
              <w:br w:type="textWrapping"/>
            </w:r>
            <w:r>
              <w:rPr>
                <w:rFonts w:hint="eastAsia" w:ascii="宋体" w:hAnsi="宋体" w:cs="宋体"/>
                <w:kern w:val="0"/>
                <w:sz w:val="24"/>
                <w:lang w:bidi="ar"/>
              </w:rPr>
              <w:t>执行情况</w:t>
            </w:r>
            <w:r>
              <w:rPr>
                <w:rFonts w:hint="eastAsia" w:ascii="宋体" w:hAnsi="宋体" w:cs="宋体"/>
                <w:kern w:val="0"/>
                <w:sz w:val="24"/>
                <w:lang w:bidi="ar"/>
              </w:rPr>
              <w:br w:type="textWrapping"/>
            </w:r>
            <w:r>
              <w:rPr>
                <w:rFonts w:hint="eastAsia" w:ascii="宋体" w:hAnsi="宋体" w:cs="宋体"/>
                <w:kern w:val="0"/>
                <w:sz w:val="24"/>
                <w:lang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center"/>
              <w:rPr>
                <w:rFonts w:ascii="宋体" w:hAnsi="宋体" w:cs="宋体"/>
                <w:sz w:val="24"/>
              </w:rPr>
            </w:pPr>
            <w:r>
              <w:rPr>
                <w:rFonts w:hint="eastAsia" w:ascii="宋体" w:hAnsi="宋体" w:cs="宋体"/>
                <w:sz w:val="24"/>
              </w:rPr>
              <w:t>2</w:t>
            </w:r>
          </w:p>
        </w:tc>
      </w:tr>
      <w:tr>
        <w:tblPrEx>
          <w:tblCellMar>
            <w:top w:w="0" w:type="dxa"/>
            <w:left w:w="108" w:type="dxa"/>
            <w:bottom w:w="0" w:type="dxa"/>
            <w:right w:w="108" w:type="dxa"/>
          </w:tblCellMar>
        </w:tblPrEx>
        <w:trPr>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lang w:bidi="ar"/>
              </w:rPr>
            </w:pPr>
            <w:r>
              <w:rPr>
                <w:rFonts w:hint="eastAsia" w:ascii="宋体" w:hAnsi="宋体" w:cs="宋体"/>
                <w:kern w:val="0"/>
                <w:sz w:val="24"/>
                <w:lang w:bidi="ar"/>
              </w:rPr>
              <w:t>其中：</w:t>
            </w:r>
          </w:p>
          <w:p>
            <w:pPr>
              <w:widowControl/>
              <w:spacing w:line="320" w:lineRule="exact"/>
              <w:jc w:val="left"/>
              <w:textAlignment w:val="center"/>
              <w:rPr>
                <w:rFonts w:ascii="宋体" w:hAnsi="宋体" w:cs="宋体"/>
                <w:sz w:val="24"/>
              </w:rPr>
            </w:pPr>
            <w:r>
              <w:rPr>
                <w:rFonts w:hint="eastAsia" w:ascii="宋体" w:hAnsi="宋体" w:cs="宋体"/>
                <w:kern w:val="0"/>
                <w:sz w:val="24"/>
                <w:lang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lang w:bidi="ar"/>
              </w:rPr>
            </w:pPr>
            <w:r>
              <w:rPr>
                <w:rFonts w:hint="eastAsia" w:ascii="宋体" w:hAnsi="宋体" w:cs="宋体"/>
                <w:kern w:val="0"/>
                <w:sz w:val="24"/>
                <w:lang w:bidi="ar"/>
              </w:rPr>
              <w:t>其中：</w:t>
            </w:r>
          </w:p>
          <w:p>
            <w:pPr>
              <w:widowControl/>
              <w:spacing w:line="320" w:lineRule="exact"/>
              <w:jc w:val="left"/>
              <w:textAlignment w:val="center"/>
              <w:rPr>
                <w:rFonts w:ascii="宋体" w:hAnsi="宋体" w:cs="宋体"/>
                <w:sz w:val="24"/>
              </w:rPr>
            </w:pPr>
            <w:r>
              <w:rPr>
                <w:rFonts w:hint="eastAsia" w:ascii="宋体" w:hAnsi="宋体" w:cs="宋体"/>
                <w:kern w:val="0"/>
                <w:sz w:val="24"/>
                <w:lang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宋体" w:hAnsi="宋体" w:cs="宋体"/>
                <w:sz w:val="24"/>
              </w:rPr>
              <w:t>2</w:t>
            </w:r>
          </w:p>
        </w:tc>
      </w:tr>
      <w:tr>
        <w:tblPrEx>
          <w:tblCellMar>
            <w:top w:w="0" w:type="dxa"/>
            <w:left w:w="108" w:type="dxa"/>
            <w:bottom w:w="0" w:type="dxa"/>
            <w:right w:w="108" w:type="dxa"/>
          </w:tblCellMar>
        </w:tblPrEx>
        <w:trPr>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p>
        </w:tc>
      </w:tr>
      <w:tr>
        <w:tblPrEx>
          <w:tblCellMar>
            <w:top w:w="0" w:type="dxa"/>
            <w:left w:w="108" w:type="dxa"/>
            <w:bottom w:w="0" w:type="dxa"/>
            <w:right w:w="108" w:type="dxa"/>
          </w:tblCellMar>
        </w:tblPrEx>
        <w:trPr>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lang w:bidi="ar"/>
              </w:rPr>
            </w:pPr>
            <w:r>
              <w:rPr>
                <w:rFonts w:hint="eastAsia" w:ascii="宋体" w:hAnsi="宋体" w:cs="宋体"/>
                <w:kern w:val="0"/>
                <w:sz w:val="24"/>
                <w:lang w:bidi="ar"/>
              </w:rPr>
              <w:t>年度总体目标</w:t>
            </w:r>
          </w:p>
          <w:p>
            <w:pPr>
              <w:widowControl/>
              <w:spacing w:line="320" w:lineRule="exact"/>
              <w:jc w:val="center"/>
              <w:textAlignment w:val="center"/>
              <w:rPr>
                <w:rFonts w:ascii="宋体" w:hAnsi="宋体" w:cs="宋体"/>
                <w:sz w:val="24"/>
              </w:rPr>
            </w:pPr>
            <w:r>
              <w:rPr>
                <w:rFonts w:hint="eastAsia" w:ascii="宋体" w:hAnsi="宋体" w:cs="宋体"/>
                <w:kern w:val="0"/>
                <w:sz w:val="24"/>
                <w:lang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目标实际完成情况</w:t>
            </w:r>
          </w:p>
        </w:tc>
      </w:tr>
      <w:tr>
        <w:tblPrEx>
          <w:tblCellMar>
            <w:top w:w="0" w:type="dxa"/>
            <w:left w:w="108" w:type="dxa"/>
            <w:bottom w:w="0" w:type="dxa"/>
            <w:right w:w="108" w:type="dxa"/>
          </w:tblCellMar>
        </w:tblPrEx>
        <w:trPr>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sz w:val="18"/>
                <w:szCs w:val="18"/>
              </w:rPr>
              <w:t>根据四川省安全生产考试中心《关于全省考试点试行交叉监考的通知》的文件精神,为严肃考试纪律,确保考试过程公平、公正,各考试点试行由所属考试机构按照就近原则随机抽取本地监考人员实施交叉监考制度;市(州)考试分中心对辖区内市直考试点组织交叉监考,并对本级交叉监考工作进行监督;考试点严格按相关规定及时报送监考员信息,并积极配合、协助抽选的监考员完成交叉监考,将交叉监考工作纳入年度考核.考务费支出符合现行法律、法规及相关财务管理规定,应纳入年度部门预算管理2万元。</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sz w:val="24"/>
              </w:rPr>
              <w:t>对辖区内市直考试点组织交叉监考,并对本级交叉监考工作进行监督，认真完成交叉监考。</w:t>
            </w:r>
          </w:p>
        </w:tc>
      </w:tr>
      <w:tr>
        <w:tblPrEx>
          <w:tblCellMar>
            <w:top w:w="0" w:type="dxa"/>
            <w:left w:w="108" w:type="dxa"/>
            <w:bottom w:w="0" w:type="dxa"/>
            <w:right w:w="108" w:type="dxa"/>
          </w:tblCellMar>
        </w:tblPrEx>
        <w:trPr>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CellMar>
            <w:top w:w="0" w:type="dxa"/>
            <w:left w:w="108" w:type="dxa"/>
            <w:bottom w:w="0" w:type="dxa"/>
            <w:right w:w="108" w:type="dxa"/>
          </w:tblCellMar>
        </w:tblPrEx>
        <w:trPr>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完成监考次数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完成&gt;=40次对各考试点的监考工作</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Cs w:val="21"/>
              </w:rPr>
            </w:pPr>
            <w:r>
              <w:rPr>
                <w:rFonts w:hint="eastAsia"/>
                <w:szCs w:val="21"/>
              </w:rPr>
              <w:t>完成40次对各考试点的监考工作</w:t>
            </w:r>
          </w:p>
        </w:tc>
      </w:tr>
      <w:tr>
        <w:tblPrEx>
          <w:tblCellMar>
            <w:top w:w="0" w:type="dxa"/>
            <w:left w:w="108" w:type="dxa"/>
            <w:bottom w:w="0" w:type="dxa"/>
            <w:right w:w="108" w:type="dxa"/>
          </w:tblCellMar>
        </w:tblPrEx>
        <w:trPr>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交叉监考完成率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在省考试中心要求下完成交叉监考&gt;=70%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在省考试中心要求下完成交叉监考70%</w:t>
            </w:r>
          </w:p>
        </w:tc>
      </w:tr>
      <w:tr>
        <w:tblPrEx>
          <w:tblCellMar>
            <w:top w:w="0" w:type="dxa"/>
            <w:left w:w="108" w:type="dxa"/>
            <w:bottom w:w="0" w:type="dxa"/>
            <w:right w:w="108" w:type="dxa"/>
          </w:tblCellMar>
        </w:tblPrEx>
        <w:trPr>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完成时效</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2021年内完成</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2021年内完成交叉监考任务</w:t>
            </w:r>
          </w:p>
        </w:tc>
      </w:tr>
      <w:tr>
        <w:tblPrEx>
          <w:tblCellMar>
            <w:top w:w="0" w:type="dxa"/>
            <w:left w:w="108" w:type="dxa"/>
            <w:bottom w:w="0" w:type="dxa"/>
            <w:right w:w="108" w:type="dxa"/>
          </w:tblCellMar>
        </w:tblPrEx>
        <w:trPr>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成本控制</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成本不超过2021年预算</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成本不超过2万元</w:t>
            </w:r>
          </w:p>
        </w:tc>
      </w:tr>
      <w:tr>
        <w:tblPrEx>
          <w:tblCellMar>
            <w:top w:w="0" w:type="dxa"/>
            <w:left w:w="108" w:type="dxa"/>
            <w:bottom w:w="0" w:type="dxa"/>
            <w:right w:w="108" w:type="dxa"/>
          </w:tblCellMar>
        </w:tblPrEx>
        <w:trPr>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监考质量提高</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各考试点考试,考试中心人员严格执行监考工作</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各考试点考试中心人员严格监考，减少作弊。</w:t>
            </w:r>
          </w:p>
        </w:tc>
      </w:tr>
      <w:tr>
        <w:tblPrEx>
          <w:tblCellMar>
            <w:top w:w="0" w:type="dxa"/>
            <w:left w:w="108" w:type="dxa"/>
            <w:bottom w:w="0" w:type="dxa"/>
            <w:right w:w="108" w:type="dxa"/>
          </w:tblCellMar>
        </w:tblPrEx>
        <w:trPr>
          <w:trHeight w:val="53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满意</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满意度</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考试人员满意度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各考试点考试人员对监考工作的满意度达到70%以上</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各考试点考试人员对监考工作的满意度达到75%</w:t>
            </w:r>
          </w:p>
        </w:tc>
      </w:tr>
      <w:tr>
        <w:tblPrEx>
          <w:tblCellMar>
            <w:top w:w="0" w:type="dxa"/>
            <w:left w:w="108" w:type="dxa"/>
            <w:bottom w:w="0" w:type="dxa"/>
            <w:right w:w="108" w:type="dxa"/>
          </w:tblCellMar>
        </w:tblPrEx>
        <w:trPr>
          <w:trHeight w:val="530" w:hRule="atLeast"/>
        </w:trPr>
        <w:tc>
          <w:tcPr>
            <w:tcW w:w="1977" w:type="dxa"/>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lang w:bidi="ar"/>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lang w:bidi="ar"/>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18"/>
                <w:szCs w:val="1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18"/>
                <w:szCs w:val="1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18"/>
                <w:szCs w:val="18"/>
              </w:rPr>
            </w:pPr>
          </w:p>
        </w:tc>
      </w:tr>
    </w:tbl>
    <w:p>
      <w:pPr>
        <w:widowControl/>
        <w:adjustRightInd w:val="0"/>
        <w:snapToGrid w:val="0"/>
        <w:spacing w:line="580" w:lineRule="exact"/>
        <w:contextualSpacing/>
        <w:jc w:val="left"/>
        <w:rPr>
          <w:rFonts w:ascii="仿宋_GB2312" w:hAnsi="宋体" w:eastAsia="仿宋_GB2312" w:cs="宋体"/>
          <w:color w:val="000000"/>
          <w:kern w:val="0"/>
          <w:sz w:val="32"/>
          <w:szCs w:val="32"/>
          <w:highlight w:val="yellow"/>
          <w:shd w:val="clear" w:color="auto" w:fill="FFFFFF"/>
        </w:rPr>
      </w:pPr>
    </w:p>
    <w:p>
      <w:pPr>
        <w:widowControl/>
        <w:adjustRightInd w:val="0"/>
        <w:snapToGrid w:val="0"/>
        <w:spacing w:line="580" w:lineRule="exact"/>
        <w:contextualSpacing/>
        <w:jc w:val="left"/>
        <w:rPr>
          <w:rFonts w:ascii="仿宋_GB2312" w:hAnsi="宋体" w:eastAsia="仿宋_GB2312" w:cs="宋体"/>
          <w:color w:val="000000"/>
          <w:kern w:val="0"/>
          <w:sz w:val="32"/>
          <w:szCs w:val="32"/>
          <w:highlight w:val="yellow"/>
          <w:shd w:val="clear" w:color="auto" w:fill="FFFFFF"/>
        </w:rPr>
      </w:pPr>
    </w:p>
    <w:tbl>
      <w:tblPr>
        <w:tblStyle w:val="16"/>
        <w:tblpPr w:leftFromText="180" w:rightFromText="180" w:vertAnchor="text" w:horzAnchor="page" w:tblpX="1281" w:tblpY="660"/>
        <w:tblOverlap w:val="never"/>
        <w:tblW w:w="9577" w:type="dxa"/>
        <w:tblInd w:w="0" w:type="dxa"/>
        <w:tblLayout w:type="fixed"/>
        <w:tblCellMar>
          <w:top w:w="0" w:type="dxa"/>
          <w:left w:w="108" w:type="dxa"/>
          <w:bottom w:w="0" w:type="dxa"/>
          <w:right w:w="108" w:type="dxa"/>
        </w:tblCellMar>
      </w:tblPr>
      <w:tblGrid>
        <w:gridCol w:w="1977"/>
        <w:gridCol w:w="1142"/>
        <w:gridCol w:w="1635"/>
        <w:gridCol w:w="1189"/>
        <w:gridCol w:w="1224"/>
        <w:gridCol w:w="2410"/>
      </w:tblGrid>
      <w:tr>
        <w:tblPrEx>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widowControl/>
              <w:jc w:val="center"/>
              <w:textAlignment w:val="center"/>
            </w:pPr>
            <w:r>
              <w:rPr>
                <w:rFonts w:hint="eastAsia"/>
              </w:rPr>
              <w:t>2021年部门预算项目绩效目标自评</w:t>
            </w:r>
          </w:p>
          <w:p>
            <w:pPr>
              <w:pStyle w:val="2"/>
              <w:ind w:firstLine="2940" w:firstLineChars="1400"/>
            </w:pPr>
            <w:r>
              <w:rPr>
                <w:rFonts w:hint="eastAsia" w:hAnsi="仿宋_GB2312" w:cs="仿宋_GB2312"/>
                <w:szCs w:val="21"/>
              </w:rPr>
              <w:t>防灾减灾训练基地维护运行费</w:t>
            </w:r>
          </w:p>
        </w:tc>
      </w:tr>
      <w:tr>
        <w:tblPrEx>
          <w:tblCellMar>
            <w:top w:w="0" w:type="dxa"/>
            <w:left w:w="108" w:type="dxa"/>
            <w:bottom w:w="0" w:type="dxa"/>
            <w:right w:w="108" w:type="dxa"/>
          </w:tblCellMar>
        </w:tblPrEx>
        <w:trPr>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楷体_GB2312" w:hAnsi="宋体" w:eastAsia="楷体_GB2312" w:cs="宋体"/>
                <w:color w:val="000000"/>
                <w:sz w:val="24"/>
              </w:rPr>
              <w:t>广元市应急管理局331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广元市矿山安全培训中心</w:t>
            </w:r>
          </w:p>
        </w:tc>
      </w:tr>
      <w:tr>
        <w:tblPrEx>
          <w:tblCellMar>
            <w:top w:w="0" w:type="dxa"/>
            <w:left w:w="108" w:type="dxa"/>
            <w:bottom w:w="0" w:type="dxa"/>
            <w:right w:w="108" w:type="dxa"/>
          </w:tblCellMar>
        </w:tblPrEx>
        <w:trPr>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项目预算</w:t>
            </w:r>
            <w:r>
              <w:rPr>
                <w:rFonts w:hint="eastAsia" w:ascii="宋体" w:hAnsi="宋体" w:cs="宋体"/>
                <w:kern w:val="0"/>
                <w:sz w:val="24"/>
                <w:lang w:bidi="ar"/>
              </w:rPr>
              <w:br w:type="textWrapping"/>
            </w:r>
            <w:r>
              <w:rPr>
                <w:rFonts w:hint="eastAsia" w:ascii="宋体" w:hAnsi="宋体" w:cs="宋体"/>
                <w:kern w:val="0"/>
                <w:sz w:val="24"/>
                <w:lang w:bidi="ar"/>
              </w:rPr>
              <w:t>执行情况</w:t>
            </w:r>
            <w:r>
              <w:rPr>
                <w:rFonts w:hint="eastAsia" w:ascii="宋体" w:hAnsi="宋体" w:cs="宋体"/>
                <w:kern w:val="0"/>
                <w:sz w:val="24"/>
                <w:lang w:bidi="ar"/>
              </w:rPr>
              <w:br w:type="textWrapping"/>
            </w:r>
            <w:r>
              <w:rPr>
                <w:rFonts w:hint="eastAsia" w:ascii="宋体" w:hAnsi="宋体" w:cs="宋体"/>
                <w:kern w:val="0"/>
                <w:sz w:val="24"/>
                <w:lang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30.1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center"/>
              <w:rPr>
                <w:rFonts w:ascii="宋体" w:hAnsi="宋体" w:cs="宋体"/>
                <w:sz w:val="24"/>
              </w:rPr>
            </w:pPr>
            <w:r>
              <w:rPr>
                <w:rFonts w:hint="eastAsia" w:ascii="宋体" w:hAnsi="宋体" w:cs="宋体"/>
                <w:sz w:val="24"/>
              </w:rPr>
              <w:t>30.1</w:t>
            </w:r>
          </w:p>
        </w:tc>
      </w:tr>
      <w:tr>
        <w:tblPrEx>
          <w:tblCellMar>
            <w:top w:w="0" w:type="dxa"/>
            <w:left w:w="108" w:type="dxa"/>
            <w:bottom w:w="0" w:type="dxa"/>
            <w:right w:w="108" w:type="dxa"/>
          </w:tblCellMar>
        </w:tblPrEx>
        <w:trPr>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lang w:bidi="ar"/>
              </w:rPr>
            </w:pPr>
            <w:r>
              <w:rPr>
                <w:rFonts w:hint="eastAsia" w:ascii="宋体" w:hAnsi="宋体" w:cs="宋体"/>
                <w:kern w:val="0"/>
                <w:sz w:val="24"/>
                <w:lang w:bidi="ar"/>
              </w:rPr>
              <w:t>其中：</w:t>
            </w:r>
          </w:p>
          <w:p>
            <w:pPr>
              <w:widowControl/>
              <w:spacing w:line="320" w:lineRule="exact"/>
              <w:jc w:val="left"/>
              <w:textAlignment w:val="center"/>
              <w:rPr>
                <w:rFonts w:ascii="宋体" w:hAnsi="宋体" w:cs="宋体"/>
                <w:sz w:val="24"/>
              </w:rPr>
            </w:pPr>
            <w:r>
              <w:rPr>
                <w:rFonts w:hint="eastAsia" w:ascii="宋体" w:hAnsi="宋体" w:cs="宋体"/>
                <w:kern w:val="0"/>
                <w:sz w:val="24"/>
                <w:lang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30.1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lang w:bidi="ar"/>
              </w:rPr>
            </w:pPr>
            <w:r>
              <w:rPr>
                <w:rFonts w:hint="eastAsia" w:ascii="宋体" w:hAnsi="宋体" w:cs="宋体"/>
                <w:kern w:val="0"/>
                <w:sz w:val="24"/>
                <w:lang w:bidi="ar"/>
              </w:rPr>
              <w:t>其中：</w:t>
            </w:r>
          </w:p>
          <w:p>
            <w:pPr>
              <w:widowControl/>
              <w:spacing w:line="320" w:lineRule="exact"/>
              <w:jc w:val="left"/>
              <w:textAlignment w:val="center"/>
              <w:rPr>
                <w:rFonts w:ascii="宋体" w:hAnsi="宋体" w:cs="宋体"/>
                <w:sz w:val="24"/>
              </w:rPr>
            </w:pPr>
            <w:r>
              <w:rPr>
                <w:rFonts w:hint="eastAsia" w:ascii="宋体" w:hAnsi="宋体" w:cs="宋体"/>
                <w:kern w:val="0"/>
                <w:sz w:val="24"/>
                <w:lang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宋体" w:hAnsi="宋体" w:cs="宋体"/>
                <w:sz w:val="24"/>
              </w:rPr>
              <w:t>30.1</w:t>
            </w:r>
          </w:p>
        </w:tc>
      </w:tr>
      <w:tr>
        <w:tblPrEx>
          <w:tblCellMar>
            <w:top w:w="0" w:type="dxa"/>
            <w:left w:w="108" w:type="dxa"/>
            <w:bottom w:w="0" w:type="dxa"/>
            <w:right w:w="108" w:type="dxa"/>
          </w:tblCellMar>
        </w:tblPrEx>
        <w:trPr>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p>
        </w:tc>
      </w:tr>
      <w:tr>
        <w:tblPrEx>
          <w:tblCellMar>
            <w:top w:w="0" w:type="dxa"/>
            <w:left w:w="108" w:type="dxa"/>
            <w:bottom w:w="0" w:type="dxa"/>
            <w:right w:w="108" w:type="dxa"/>
          </w:tblCellMar>
        </w:tblPrEx>
        <w:trPr>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lang w:bidi="ar"/>
              </w:rPr>
            </w:pPr>
            <w:r>
              <w:rPr>
                <w:rFonts w:hint="eastAsia" w:ascii="宋体" w:hAnsi="宋体" w:cs="宋体"/>
                <w:kern w:val="0"/>
                <w:sz w:val="24"/>
                <w:lang w:bidi="ar"/>
              </w:rPr>
              <w:t>年度总体目标</w:t>
            </w:r>
          </w:p>
          <w:p>
            <w:pPr>
              <w:widowControl/>
              <w:spacing w:line="320" w:lineRule="exact"/>
              <w:jc w:val="center"/>
              <w:textAlignment w:val="center"/>
              <w:rPr>
                <w:rFonts w:ascii="宋体" w:hAnsi="宋体" w:cs="宋体"/>
                <w:sz w:val="24"/>
              </w:rPr>
            </w:pPr>
            <w:r>
              <w:rPr>
                <w:rFonts w:hint="eastAsia" w:ascii="宋体" w:hAnsi="宋体" w:cs="宋体"/>
                <w:kern w:val="0"/>
                <w:sz w:val="24"/>
                <w:lang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目标实际完成情况</w:t>
            </w:r>
          </w:p>
        </w:tc>
      </w:tr>
      <w:tr>
        <w:tblPrEx>
          <w:tblCellMar>
            <w:top w:w="0" w:type="dxa"/>
            <w:left w:w="108" w:type="dxa"/>
            <w:bottom w:w="0" w:type="dxa"/>
            <w:right w:w="108" w:type="dxa"/>
          </w:tblCellMar>
        </w:tblPrEx>
        <w:trPr>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sz w:val="15"/>
                <w:szCs w:val="15"/>
              </w:rPr>
              <w:t>固定资产租赁收入29万元,理论考试费21万元，用财政拨回的30.1万元支付防灾减灾训练基地的日常维护运行.该基地积极完成省安全生产考试中心下达的关于考试分中心监考工作及对各考试点的管理工作,监督各行各业安全培训的业务知识学习,对其执法能力提升、法律法规普</w:t>
            </w:r>
            <w:r>
              <w:rPr>
                <w:rFonts w:hint="eastAsia" w:ascii="宋体" w:hAnsi="宋体" w:cs="宋体"/>
                <w:sz w:val="15"/>
                <w:szCs w:val="15"/>
                <w:lang w:eastAsia="zh-CN"/>
              </w:rPr>
              <w:t>及起</w:t>
            </w:r>
            <w:r>
              <w:rPr>
                <w:rFonts w:hint="eastAsia" w:ascii="宋体" w:hAnsi="宋体" w:cs="宋体"/>
                <w:sz w:val="15"/>
                <w:szCs w:val="15"/>
              </w:rPr>
              <w:t>到极大的提升;基层安全管理水平，是安全生产基层基础工作的重要一环。目前基地运行情况来看，需要大量资金支持，我中心是财政全额拨款事业单位，收支两条线,中心自身财力无法维持此项经费的支出，为保障防灾减灾训练基地的正常运转，将30.1万元非税收入成本用于其基本运转费用。</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sz w:val="24"/>
              </w:rPr>
              <w:t>固定资产租赁收入31万元,理论考试费25.45万元，用财政拨回的30.1万元非税收入成本用于防灾减灾训练基地的日常维护运行.</w:t>
            </w:r>
          </w:p>
        </w:tc>
      </w:tr>
      <w:tr>
        <w:tblPrEx>
          <w:tblCellMar>
            <w:top w:w="0" w:type="dxa"/>
            <w:left w:w="108" w:type="dxa"/>
            <w:bottom w:w="0" w:type="dxa"/>
            <w:right w:w="108" w:type="dxa"/>
          </w:tblCellMar>
        </w:tblPrEx>
        <w:trPr>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CellMar>
            <w:top w:w="0" w:type="dxa"/>
            <w:left w:w="108" w:type="dxa"/>
            <w:bottom w:w="0" w:type="dxa"/>
            <w:right w:w="108" w:type="dxa"/>
          </w:tblCellMar>
        </w:tblPrEx>
        <w:trPr>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收入指标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15"/>
                <w:szCs w:val="15"/>
              </w:rPr>
            </w:pPr>
            <w:r>
              <w:rPr>
                <w:rFonts w:hint="eastAsia" w:ascii="仿宋_GB2312" w:hAnsi="仿宋_GB2312" w:eastAsia="仿宋_GB2312" w:cs="仿宋_GB2312"/>
                <w:sz w:val="18"/>
                <w:szCs w:val="18"/>
              </w:rPr>
              <w:t>固定资产收入&gt;=29万元,理论考试费&gt;=21万元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15"/>
                <w:szCs w:val="15"/>
              </w:rPr>
            </w:pPr>
            <w:r>
              <w:rPr>
                <w:rFonts w:hint="eastAsia" w:ascii="仿宋_GB2312" w:hAnsi="仿宋_GB2312" w:eastAsia="仿宋_GB2312" w:cs="仿宋_GB2312"/>
                <w:sz w:val="15"/>
                <w:szCs w:val="15"/>
              </w:rPr>
              <w:t>固定资产收入31万元,理论考试费25.45万元</w:t>
            </w:r>
          </w:p>
        </w:tc>
      </w:tr>
      <w:tr>
        <w:tblPrEx>
          <w:tblCellMar>
            <w:top w:w="0" w:type="dxa"/>
            <w:left w:w="108" w:type="dxa"/>
            <w:bottom w:w="0" w:type="dxa"/>
            <w:right w:w="108" w:type="dxa"/>
          </w:tblCellMar>
        </w:tblPrEx>
        <w:trPr>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考试合格率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考试按时完成,合格率达到&gt;=60%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考试按时完成,合格率达到70%</w:t>
            </w:r>
          </w:p>
        </w:tc>
      </w:tr>
      <w:tr>
        <w:tblPrEx>
          <w:tblCellMar>
            <w:top w:w="0" w:type="dxa"/>
            <w:left w:w="108" w:type="dxa"/>
            <w:bottom w:w="0" w:type="dxa"/>
            <w:right w:w="108" w:type="dxa"/>
          </w:tblCellMar>
        </w:tblPrEx>
        <w:trPr>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完成率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在规定时期内80%完成考试监考工作</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在规定时期内完成考试监考工作</w:t>
            </w:r>
          </w:p>
        </w:tc>
      </w:tr>
      <w:tr>
        <w:tblPrEx>
          <w:tblCellMar>
            <w:top w:w="0" w:type="dxa"/>
            <w:left w:w="108" w:type="dxa"/>
            <w:bottom w:w="0" w:type="dxa"/>
            <w:right w:w="108" w:type="dxa"/>
          </w:tblCellMar>
        </w:tblPrEx>
        <w:trPr>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完成率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成本总量不超过预算</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成本总量30.1万元</w:t>
            </w:r>
          </w:p>
        </w:tc>
      </w:tr>
      <w:tr>
        <w:tblPrEx>
          <w:tblCellMar>
            <w:top w:w="0" w:type="dxa"/>
            <w:left w:w="108" w:type="dxa"/>
            <w:bottom w:w="0" w:type="dxa"/>
            <w:right w:w="108" w:type="dxa"/>
          </w:tblCellMar>
        </w:tblPrEx>
        <w:trPr>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lang w:bidi="ar"/>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增加就业机会</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提高就业技能,增加就业机会</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提高了考试人员的就业技能,考试人员提高了就业机会</w:t>
            </w:r>
          </w:p>
        </w:tc>
      </w:tr>
      <w:tr>
        <w:tblPrEx>
          <w:tblCellMar>
            <w:top w:w="0" w:type="dxa"/>
            <w:left w:w="108" w:type="dxa"/>
            <w:bottom w:w="0" w:type="dxa"/>
            <w:right w:w="108" w:type="dxa"/>
          </w:tblCellMar>
        </w:tblPrEx>
        <w:trPr>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满意</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满意度</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考试学员满意度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考试人员满意度&gt;=70%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考试人员满意度80%</w:t>
            </w:r>
          </w:p>
        </w:tc>
      </w:tr>
    </w:tbl>
    <w:p>
      <w:pPr>
        <w:widowControl/>
        <w:adjustRightInd w:val="0"/>
        <w:snapToGrid w:val="0"/>
        <w:spacing w:line="580" w:lineRule="exact"/>
        <w:contextualSpacing/>
        <w:jc w:val="left"/>
        <w:rPr>
          <w:rFonts w:ascii="仿宋_GB2312" w:hAnsi="宋体" w:eastAsia="仿宋_GB2312" w:cs="宋体"/>
          <w:color w:val="000000"/>
          <w:kern w:val="0"/>
          <w:sz w:val="32"/>
          <w:szCs w:val="32"/>
          <w:highlight w:val="yellow"/>
          <w:shd w:val="clear" w:color="auto" w:fill="FFFFFF"/>
        </w:rPr>
      </w:pPr>
    </w:p>
    <w:p>
      <w:pPr>
        <w:spacing w:line="600" w:lineRule="exact"/>
        <w:jc w:val="center"/>
        <w:outlineLvl w:val="0"/>
        <w:rPr>
          <w:rStyle w:val="28"/>
          <w:rFonts w:ascii="黑体" w:hAnsi="黑体" w:eastAsia="黑体"/>
          <w:b w:val="0"/>
        </w:rPr>
      </w:pPr>
    </w:p>
    <w:p>
      <w:pPr>
        <w:spacing w:line="600" w:lineRule="exact"/>
        <w:jc w:val="center"/>
        <w:outlineLvl w:val="0"/>
        <w:rPr>
          <w:rStyle w:val="28"/>
          <w:rFonts w:ascii="黑体" w:hAnsi="黑体" w:eastAsia="黑体"/>
          <w:b w:val="0"/>
        </w:rPr>
      </w:pPr>
    </w:p>
    <w:p>
      <w:pPr>
        <w:spacing w:line="600" w:lineRule="exact"/>
        <w:jc w:val="center"/>
        <w:outlineLvl w:val="0"/>
        <w:rPr>
          <w:rStyle w:val="28"/>
          <w:rFonts w:ascii="黑体" w:hAnsi="黑体" w:eastAsia="黑体"/>
          <w:b w:val="0"/>
        </w:rPr>
      </w:pPr>
    </w:p>
    <w:p>
      <w:pPr>
        <w:spacing w:line="600" w:lineRule="exact"/>
        <w:jc w:val="center"/>
        <w:outlineLvl w:val="0"/>
        <w:rPr>
          <w:rStyle w:val="28"/>
          <w:rFonts w:ascii="黑体" w:hAnsi="黑体" w:eastAsia="黑体"/>
          <w:b w:val="0"/>
        </w:rPr>
      </w:pPr>
    </w:p>
    <w:p>
      <w:pPr>
        <w:spacing w:line="600" w:lineRule="exact"/>
        <w:jc w:val="center"/>
        <w:outlineLvl w:val="0"/>
        <w:rPr>
          <w:rStyle w:val="28"/>
          <w:rFonts w:ascii="黑体" w:hAnsi="黑体" w:eastAsia="黑体"/>
          <w:b w:val="0"/>
        </w:rPr>
      </w:pPr>
    </w:p>
    <w:p>
      <w:pPr>
        <w:spacing w:line="600" w:lineRule="exact"/>
        <w:jc w:val="center"/>
        <w:outlineLvl w:val="0"/>
        <w:rPr>
          <w:rStyle w:val="28"/>
          <w:rFonts w:ascii="黑体" w:hAnsi="黑体" w:eastAsia="黑体"/>
          <w:b w:val="0"/>
        </w:rPr>
      </w:pPr>
    </w:p>
    <w:p>
      <w:pPr>
        <w:spacing w:line="600" w:lineRule="exact"/>
        <w:jc w:val="center"/>
        <w:outlineLvl w:val="0"/>
        <w:rPr>
          <w:rStyle w:val="28"/>
          <w:rFonts w:ascii="黑体" w:hAnsi="黑体" w:eastAsia="黑体"/>
          <w:b w:val="0"/>
        </w:rPr>
      </w:pPr>
    </w:p>
    <w:p>
      <w:pPr>
        <w:spacing w:line="600" w:lineRule="exact"/>
        <w:jc w:val="center"/>
        <w:outlineLvl w:val="0"/>
        <w:rPr>
          <w:rStyle w:val="28"/>
          <w:rFonts w:ascii="黑体" w:hAnsi="黑体" w:eastAsia="黑体"/>
          <w:b w:val="0"/>
        </w:rPr>
      </w:pPr>
    </w:p>
    <w:p>
      <w:pPr>
        <w:spacing w:line="600" w:lineRule="exact"/>
        <w:jc w:val="center"/>
        <w:outlineLvl w:val="0"/>
        <w:rPr>
          <w:rStyle w:val="28"/>
          <w:rFonts w:ascii="黑体" w:hAnsi="黑体" w:eastAsia="黑体"/>
          <w:b w:val="0"/>
        </w:rPr>
      </w:pPr>
      <w:r>
        <w:rPr>
          <w:rStyle w:val="28"/>
          <w:rFonts w:hint="eastAsia" w:ascii="黑体" w:hAnsi="黑体" w:eastAsia="黑体"/>
          <w:b w:val="0"/>
        </w:rPr>
        <w:t>第五部分 附表</w:t>
      </w:r>
      <w:bookmarkEnd w:id="51"/>
      <w:bookmarkEnd w:id="53"/>
      <w:bookmarkStart w:id="54" w:name="_Toc15396619"/>
    </w:p>
    <w:p>
      <w:pPr>
        <w:jc w:val="center"/>
        <w:outlineLvl w:val="0"/>
        <w:rPr>
          <w:rFonts w:ascii="仿宋" w:hAnsi="仿宋" w:eastAsia="仿宋"/>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一</w:t>
      </w:r>
      <w:r>
        <w:rPr>
          <w:rStyle w:val="29"/>
          <w:rFonts w:hint="eastAsia" w:ascii="仿宋_GB2312" w:hAnsi="仿宋_GB2312" w:eastAsia="仿宋_GB2312" w:cs="仿宋_GB2312"/>
          <w:b w:val="0"/>
          <w:bCs w:val="0"/>
        </w:rPr>
        <w:t>、</w:t>
      </w:r>
      <w:r>
        <w:rPr>
          <w:rFonts w:hint="eastAsia" w:ascii="仿宋_GB2312" w:hAnsi="仿宋_GB2312" w:eastAsia="仿宋_GB2312" w:cs="仿宋_GB2312"/>
          <w:sz w:val="32"/>
          <w:szCs w:val="32"/>
        </w:rPr>
        <w:t>收</w:t>
      </w:r>
      <w:r>
        <w:rPr>
          <w:rStyle w:val="29"/>
          <w:rFonts w:hint="eastAsia" w:ascii="仿宋_GB2312" w:hAnsi="仿宋_GB2312" w:eastAsia="仿宋_GB2312" w:cs="仿宋_GB2312"/>
          <w:b w:val="0"/>
          <w:bCs w:val="0"/>
        </w:rPr>
        <w:t>入支出决算总表</w:t>
      </w:r>
      <w:bookmarkEnd w:id="54"/>
      <w:bookmarkStart w:id="55" w:name="_Toc15396620"/>
    </w:p>
    <w:p>
      <w:pPr>
        <w:rPr>
          <w:rStyle w:val="29"/>
          <w:rFonts w:ascii="仿宋_GB2312" w:hAnsi="仿宋_GB2312" w:eastAsia="仿宋_GB2312" w:cs="仿宋_GB2312"/>
          <w:b w:val="0"/>
          <w:bCs w:val="0"/>
        </w:rPr>
      </w:pPr>
      <w:r>
        <w:rPr>
          <w:rFonts w:hint="eastAsia" w:ascii="仿宋_GB2312" w:hAnsi="仿宋_GB2312" w:eastAsia="仿宋_GB2312" w:cs="仿宋_GB2312"/>
          <w:sz w:val="32"/>
          <w:szCs w:val="32"/>
        </w:rPr>
        <w:t>二、收</w:t>
      </w:r>
      <w:r>
        <w:rPr>
          <w:rStyle w:val="29"/>
          <w:rFonts w:hint="eastAsia" w:ascii="仿宋_GB2312" w:hAnsi="仿宋_GB2312" w:eastAsia="仿宋_GB2312" w:cs="仿宋_GB2312"/>
          <w:b w:val="0"/>
          <w:bCs w:val="0"/>
        </w:rPr>
        <w:t>入决算表</w:t>
      </w:r>
      <w:bookmarkEnd w:id="55"/>
    </w:p>
    <w:p>
      <w:pPr>
        <w:rPr>
          <w:rStyle w:val="29"/>
          <w:rFonts w:ascii="仿宋_GB2312" w:hAnsi="仿宋_GB2312" w:eastAsia="仿宋_GB2312" w:cs="仿宋_GB2312"/>
          <w:b w:val="0"/>
          <w:bCs w:val="0"/>
        </w:rPr>
      </w:pPr>
      <w:r>
        <w:rPr>
          <w:rStyle w:val="29"/>
          <w:rFonts w:hint="eastAsia" w:ascii="仿宋_GB2312" w:hAnsi="仿宋_GB2312" w:eastAsia="仿宋_GB2312" w:cs="仿宋_GB2312"/>
          <w:b w:val="0"/>
          <w:bCs w:val="0"/>
        </w:rPr>
        <w:t>三、</w:t>
      </w:r>
      <w:r>
        <w:rPr>
          <w:rFonts w:hint="eastAsia" w:ascii="仿宋_GB2312" w:hAnsi="仿宋_GB2312" w:eastAsia="仿宋_GB2312" w:cs="仿宋_GB2312"/>
          <w:sz w:val="32"/>
          <w:szCs w:val="32"/>
        </w:rPr>
        <w:t>支</w:t>
      </w:r>
      <w:r>
        <w:rPr>
          <w:rStyle w:val="29"/>
          <w:rFonts w:hint="eastAsia" w:ascii="仿宋_GB2312" w:hAnsi="仿宋_GB2312" w:eastAsia="仿宋_GB2312" w:cs="仿宋_GB2312"/>
          <w:b w:val="0"/>
          <w:bCs w:val="0"/>
        </w:rPr>
        <w:t>出决算表</w:t>
      </w:r>
    </w:p>
    <w:p>
      <w:pPr>
        <w:rPr>
          <w:rStyle w:val="29"/>
          <w:rFonts w:ascii="仿宋_GB2312" w:hAnsi="仿宋_GB2312" w:eastAsia="仿宋_GB2312" w:cs="仿宋_GB2312"/>
          <w:b w:val="0"/>
          <w:bCs w:val="0"/>
        </w:rPr>
      </w:pPr>
      <w:r>
        <w:rPr>
          <w:rStyle w:val="29"/>
          <w:rFonts w:hint="eastAsia" w:ascii="仿宋_GB2312" w:hAnsi="仿宋_GB2312" w:eastAsia="仿宋_GB2312" w:cs="仿宋_GB2312"/>
          <w:b w:val="0"/>
          <w:bCs w:val="0"/>
        </w:rPr>
        <w:t>四、</w:t>
      </w:r>
      <w:r>
        <w:rPr>
          <w:rFonts w:hint="eastAsia" w:ascii="仿宋_GB2312" w:hAnsi="仿宋_GB2312" w:eastAsia="仿宋_GB2312" w:cs="仿宋_GB2312"/>
          <w:sz w:val="32"/>
          <w:szCs w:val="32"/>
        </w:rPr>
        <w:t>财</w:t>
      </w:r>
      <w:r>
        <w:rPr>
          <w:rStyle w:val="29"/>
          <w:rFonts w:hint="eastAsia" w:ascii="仿宋_GB2312" w:hAnsi="仿宋_GB2312" w:eastAsia="仿宋_GB2312" w:cs="仿宋_GB2312"/>
          <w:b w:val="0"/>
          <w:bCs w:val="0"/>
        </w:rPr>
        <w:t>政拨款收入支出决算总表</w:t>
      </w:r>
    </w:p>
    <w:p>
      <w:pPr>
        <w:rPr>
          <w:rStyle w:val="29"/>
          <w:rFonts w:ascii="仿宋_GB2312" w:hAnsi="仿宋_GB2312" w:eastAsia="仿宋_GB2312" w:cs="仿宋_GB2312"/>
          <w:b w:val="0"/>
          <w:bCs w:val="0"/>
        </w:rPr>
      </w:pPr>
      <w:r>
        <w:rPr>
          <w:rStyle w:val="29"/>
          <w:rFonts w:hint="eastAsia" w:ascii="仿宋_GB2312" w:hAnsi="仿宋_GB2312" w:eastAsia="仿宋_GB2312" w:cs="仿宋_GB2312"/>
          <w:b w:val="0"/>
          <w:bCs w:val="0"/>
        </w:rPr>
        <w:t>五、</w:t>
      </w:r>
      <w:r>
        <w:rPr>
          <w:rFonts w:hint="eastAsia" w:ascii="仿宋_GB2312" w:hAnsi="仿宋_GB2312" w:eastAsia="仿宋_GB2312" w:cs="仿宋_GB2312"/>
          <w:sz w:val="32"/>
          <w:szCs w:val="32"/>
        </w:rPr>
        <w:t>财</w:t>
      </w:r>
      <w:r>
        <w:rPr>
          <w:rStyle w:val="29"/>
          <w:rFonts w:hint="eastAsia" w:ascii="仿宋_GB2312" w:hAnsi="仿宋_GB2312" w:eastAsia="仿宋_GB2312" w:cs="仿宋_GB2312"/>
          <w:b w:val="0"/>
          <w:bCs w:val="0"/>
        </w:rPr>
        <w:t>政拨款支出决算明细表</w:t>
      </w:r>
    </w:p>
    <w:p>
      <w:pPr>
        <w:rPr>
          <w:rStyle w:val="29"/>
          <w:rFonts w:ascii="仿宋_GB2312" w:hAnsi="仿宋_GB2312" w:eastAsia="仿宋_GB2312" w:cs="仿宋_GB2312"/>
          <w:b w:val="0"/>
          <w:bCs w:val="0"/>
        </w:rPr>
      </w:pPr>
      <w:r>
        <w:rPr>
          <w:rStyle w:val="29"/>
          <w:rFonts w:hint="eastAsia" w:ascii="仿宋_GB2312" w:hAnsi="仿宋_GB2312" w:eastAsia="仿宋_GB2312" w:cs="仿宋_GB2312"/>
          <w:b w:val="0"/>
          <w:bCs w:val="0"/>
        </w:rPr>
        <w:t>六、</w:t>
      </w:r>
      <w:r>
        <w:rPr>
          <w:rFonts w:hint="eastAsia" w:ascii="仿宋_GB2312" w:hAnsi="仿宋_GB2312" w:eastAsia="仿宋_GB2312" w:cs="仿宋_GB2312"/>
          <w:sz w:val="32"/>
          <w:szCs w:val="32"/>
        </w:rPr>
        <w:t>一</w:t>
      </w:r>
      <w:r>
        <w:rPr>
          <w:rStyle w:val="29"/>
          <w:rFonts w:hint="eastAsia" w:ascii="仿宋_GB2312" w:hAnsi="仿宋_GB2312" w:eastAsia="仿宋_GB2312" w:cs="仿宋_GB2312"/>
          <w:b w:val="0"/>
          <w:bCs w:val="0"/>
        </w:rPr>
        <w:t>般公共预算财政拨款支出决算表</w:t>
      </w:r>
    </w:p>
    <w:p>
      <w:pPr>
        <w:rPr>
          <w:rStyle w:val="29"/>
          <w:rFonts w:ascii="仿宋_GB2312" w:hAnsi="仿宋_GB2312" w:eastAsia="仿宋_GB2312" w:cs="仿宋_GB2312"/>
          <w:b w:val="0"/>
          <w:bCs w:val="0"/>
        </w:rPr>
      </w:pPr>
      <w:r>
        <w:rPr>
          <w:rStyle w:val="29"/>
          <w:rFonts w:hint="eastAsia" w:ascii="仿宋_GB2312" w:hAnsi="仿宋_GB2312" w:eastAsia="仿宋_GB2312" w:cs="仿宋_GB2312"/>
          <w:b w:val="0"/>
          <w:bCs w:val="0"/>
        </w:rPr>
        <w:t>七、</w:t>
      </w:r>
      <w:r>
        <w:rPr>
          <w:rFonts w:hint="eastAsia" w:ascii="仿宋_GB2312" w:hAnsi="仿宋_GB2312" w:eastAsia="仿宋_GB2312" w:cs="仿宋_GB2312"/>
          <w:sz w:val="32"/>
          <w:szCs w:val="32"/>
        </w:rPr>
        <w:t>一</w:t>
      </w:r>
      <w:r>
        <w:rPr>
          <w:rStyle w:val="29"/>
          <w:rFonts w:hint="eastAsia" w:ascii="仿宋_GB2312" w:hAnsi="仿宋_GB2312" w:eastAsia="仿宋_GB2312" w:cs="仿宋_GB2312"/>
          <w:b w:val="0"/>
          <w:bCs w:val="0"/>
        </w:rPr>
        <w:t>般公共预算财政拨款支出决算明细表</w:t>
      </w:r>
    </w:p>
    <w:p>
      <w:pPr>
        <w:rPr>
          <w:rStyle w:val="29"/>
          <w:rFonts w:ascii="仿宋_GB2312" w:hAnsi="仿宋_GB2312" w:eastAsia="仿宋_GB2312" w:cs="仿宋_GB2312"/>
          <w:b w:val="0"/>
          <w:bCs w:val="0"/>
        </w:rPr>
      </w:pPr>
      <w:r>
        <w:rPr>
          <w:rStyle w:val="29"/>
          <w:rFonts w:hint="eastAsia" w:ascii="仿宋_GB2312" w:hAnsi="仿宋_GB2312" w:eastAsia="仿宋_GB2312" w:cs="仿宋_GB2312"/>
          <w:b w:val="0"/>
          <w:bCs w:val="0"/>
        </w:rPr>
        <w:t>八、</w:t>
      </w:r>
      <w:r>
        <w:rPr>
          <w:rFonts w:hint="eastAsia" w:ascii="仿宋_GB2312" w:hAnsi="仿宋_GB2312" w:eastAsia="仿宋_GB2312" w:cs="仿宋_GB2312"/>
          <w:sz w:val="32"/>
          <w:szCs w:val="32"/>
        </w:rPr>
        <w:t>一</w:t>
      </w:r>
      <w:r>
        <w:rPr>
          <w:rStyle w:val="29"/>
          <w:rFonts w:hint="eastAsia" w:ascii="仿宋_GB2312" w:hAnsi="仿宋_GB2312" w:eastAsia="仿宋_GB2312" w:cs="仿宋_GB2312"/>
          <w:b w:val="0"/>
          <w:bCs w:val="0"/>
        </w:rPr>
        <w:t>般公共预算财政拨款基本支出决算表</w:t>
      </w:r>
    </w:p>
    <w:p>
      <w:pPr>
        <w:rPr>
          <w:rStyle w:val="29"/>
          <w:rFonts w:ascii="仿宋_GB2312" w:hAnsi="仿宋_GB2312" w:eastAsia="仿宋_GB2312" w:cs="仿宋_GB2312"/>
          <w:b w:val="0"/>
          <w:bCs w:val="0"/>
        </w:rPr>
      </w:pPr>
      <w:r>
        <w:rPr>
          <w:rStyle w:val="29"/>
          <w:rFonts w:hint="eastAsia" w:ascii="仿宋_GB2312" w:hAnsi="仿宋_GB2312" w:eastAsia="仿宋_GB2312" w:cs="仿宋_GB2312"/>
          <w:b w:val="0"/>
          <w:bCs w:val="0"/>
        </w:rPr>
        <w:t>九、</w:t>
      </w:r>
      <w:r>
        <w:rPr>
          <w:rFonts w:hint="eastAsia" w:ascii="仿宋_GB2312" w:hAnsi="仿宋_GB2312" w:eastAsia="仿宋_GB2312" w:cs="仿宋_GB2312"/>
          <w:sz w:val="32"/>
          <w:szCs w:val="32"/>
        </w:rPr>
        <w:t>一</w:t>
      </w:r>
      <w:r>
        <w:rPr>
          <w:rStyle w:val="29"/>
          <w:rFonts w:hint="eastAsia" w:ascii="仿宋_GB2312" w:hAnsi="仿宋_GB2312" w:eastAsia="仿宋_GB2312" w:cs="仿宋_GB2312"/>
          <w:b w:val="0"/>
          <w:bCs w:val="0"/>
        </w:rPr>
        <w:t>般公共预算财政拨款项目支出决算表</w:t>
      </w:r>
    </w:p>
    <w:p>
      <w:pPr>
        <w:rPr>
          <w:rStyle w:val="29"/>
          <w:rFonts w:ascii="仿宋_GB2312" w:hAnsi="仿宋_GB2312" w:eastAsia="仿宋_GB2312" w:cs="仿宋_GB2312"/>
          <w:b w:val="0"/>
          <w:bCs w:val="0"/>
        </w:rPr>
      </w:pPr>
      <w:r>
        <w:rPr>
          <w:rStyle w:val="29"/>
          <w:rFonts w:hint="eastAsia" w:ascii="仿宋_GB2312" w:hAnsi="仿宋_GB2312" w:eastAsia="仿宋_GB2312" w:cs="仿宋_GB2312"/>
          <w:b w:val="0"/>
          <w:bCs w:val="0"/>
        </w:rPr>
        <w:t>十、</w:t>
      </w:r>
      <w:r>
        <w:rPr>
          <w:rFonts w:hint="eastAsia" w:ascii="仿宋_GB2312" w:hAnsi="仿宋_GB2312" w:eastAsia="仿宋_GB2312" w:cs="仿宋_GB2312"/>
          <w:sz w:val="32"/>
          <w:szCs w:val="32"/>
        </w:rPr>
        <w:t>一</w:t>
      </w:r>
      <w:r>
        <w:rPr>
          <w:rStyle w:val="29"/>
          <w:rFonts w:hint="eastAsia" w:ascii="仿宋_GB2312" w:hAnsi="仿宋_GB2312" w:eastAsia="仿宋_GB2312" w:cs="仿宋_GB2312"/>
          <w:b w:val="0"/>
          <w:bCs w:val="0"/>
        </w:rPr>
        <w:t>般公共预算财政拨款“三公”经费支出决算表</w:t>
      </w:r>
    </w:p>
    <w:p>
      <w:pPr>
        <w:rPr>
          <w:rStyle w:val="29"/>
          <w:rFonts w:ascii="仿宋_GB2312" w:hAnsi="仿宋_GB2312" w:eastAsia="仿宋_GB2312" w:cs="仿宋_GB2312"/>
          <w:b w:val="0"/>
          <w:bCs w:val="0"/>
        </w:rPr>
      </w:pPr>
      <w:r>
        <w:rPr>
          <w:rStyle w:val="29"/>
          <w:rFonts w:hint="eastAsia" w:ascii="仿宋_GB2312" w:hAnsi="仿宋_GB2312" w:eastAsia="仿宋_GB2312" w:cs="仿宋_GB2312"/>
          <w:b w:val="0"/>
          <w:bCs w:val="0"/>
        </w:rPr>
        <w:t>十一、</w:t>
      </w:r>
      <w:r>
        <w:rPr>
          <w:rFonts w:hint="eastAsia" w:ascii="仿宋_GB2312" w:hAnsi="仿宋_GB2312" w:eastAsia="仿宋_GB2312" w:cs="仿宋_GB2312"/>
          <w:sz w:val="32"/>
          <w:szCs w:val="32"/>
        </w:rPr>
        <w:t>政</w:t>
      </w:r>
      <w:r>
        <w:rPr>
          <w:rStyle w:val="29"/>
          <w:rFonts w:hint="eastAsia" w:ascii="仿宋_GB2312" w:hAnsi="仿宋_GB2312" w:eastAsia="仿宋_GB2312" w:cs="仿宋_GB2312"/>
          <w:b w:val="0"/>
          <w:bCs w:val="0"/>
        </w:rPr>
        <w:t>府性基金预算财政拨款收入支出决算表</w:t>
      </w:r>
    </w:p>
    <w:p>
      <w:pPr>
        <w:rPr>
          <w:rStyle w:val="29"/>
          <w:rFonts w:ascii="仿宋_GB2312" w:hAnsi="仿宋_GB2312" w:eastAsia="仿宋_GB2312" w:cs="仿宋_GB2312"/>
          <w:b w:val="0"/>
          <w:bCs w:val="0"/>
        </w:rPr>
      </w:pPr>
      <w:r>
        <w:rPr>
          <w:rStyle w:val="29"/>
          <w:rFonts w:hint="eastAsia" w:ascii="仿宋_GB2312" w:hAnsi="仿宋_GB2312" w:eastAsia="仿宋_GB2312" w:cs="仿宋_GB2312"/>
          <w:b w:val="0"/>
          <w:bCs w:val="0"/>
        </w:rPr>
        <w:t>十二、</w:t>
      </w:r>
      <w:r>
        <w:rPr>
          <w:rFonts w:hint="eastAsia" w:ascii="仿宋_GB2312" w:hAnsi="仿宋_GB2312" w:eastAsia="仿宋_GB2312" w:cs="仿宋_GB2312"/>
          <w:sz w:val="32"/>
          <w:szCs w:val="32"/>
        </w:rPr>
        <w:t>政</w:t>
      </w:r>
      <w:r>
        <w:rPr>
          <w:rStyle w:val="29"/>
          <w:rFonts w:hint="eastAsia" w:ascii="仿宋_GB2312" w:hAnsi="仿宋_GB2312" w:eastAsia="仿宋_GB2312" w:cs="仿宋_GB2312"/>
          <w:b w:val="0"/>
          <w:bCs w:val="0"/>
        </w:rPr>
        <w:t>府性基金预算财政拨款“三公”经费支出决算表</w:t>
      </w:r>
    </w:p>
    <w:p>
      <w:pPr>
        <w:rPr>
          <w:rStyle w:val="29"/>
          <w:rFonts w:ascii="仿宋_GB2312" w:hAnsi="仿宋_GB2312" w:eastAsia="仿宋_GB2312" w:cs="仿宋_GB2312"/>
          <w:b w:val="0"/>
          <w:bCs w:val="0"/>
        </w:rPr>
      </w:pPr>
      <w:r>
        <w:rPr>
          <w:rStyle w:val="29"/>
          <w:rFonts w:hint="eastAsia" w:ascii="仿宋_GB2312" w:hAnsi="仿宋_GB2312" w:eastAsia="仿宋_GB2312" w:cs="仿宋_GB2312"/>
          <w:b w:val="0"/>
          <w:bCs w:val="0"/>
        </w:rPr>
        <w:t>十三、</w:t>
      </w:r>
      <w:r>
        <w:rPr>
          <w:rFonts w:hint="eastAsia" w:ascii="仿宋_GB2312" w:hAnsi="仿宋_GB2312" w:eastAsia="仿宋_GB2312" w:cs="仿宋_GB2312"/>
          <w:sz w:val="32"/>
          <w:szCs w:val="32"/>
        </w:rPr>
        <w:t>国</w:t>
      </w:r>
      <w:r>
        <w:rPr>
          <w:rStyle w:val="29"/>
          <w:rFonts w:hint="eastAsia" w:ascii="仿宋_GB2312" w:hAnsi="仿宋_GB2312" w:eastAsia="仿宋_GB2312" w:cs="仿宋_GB2312"/>
          <w:b w:val="0"/>
          <w:bCs w:val="0"/>
        </w:rPr>
        <w:t>有资本经营预算财政拨款收入支出决算表</w:t>
      </w:r>
    </w:p>
    <w:p>
      <w:r>
        <w:rPr>
          <w:rStyle w:val="29"/>
          <w:rFonts w:hint="eastAsia" w:ascii="仿宋_GB2312" w:hAnsi="仿宋_GB2312" w:eastAsia="仿宋_GB2312" w:cs="仿宋_GB2312"/>
          <w:b w:val="0"/>
          <w:bCs w:val="0"/>
        </w:rPr>
        <w:t>十四、国有资本经营预算财政拨款支出决算表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Cambria">
    <w:altName w:val="Georgia"/>
    <w:panose1 w:val="02040503050406030204"/>
    <w:charset w:val="00"/>
    <w:family w:val="roman"/>
    <w:pitch w:val="default"/>
    <w:sig w:usb0="00000000" w:usb1="00000000" w:usb2="00000000" w:usb3="00000000" w:csb0="2000019F" w:csb1="00000000"/>
  </w:font>
  <w:font w:name="仿宋_GB2312">
    <w:altName w:val="Arial"/>
    <w:panose1 w:val="02010609030101010101"/>
    <w:charset w:val="86"/>
    <w:family w:val="modern"/>
    <w:pitch w:val="default"/>
    <w:sig w:usb0="00000000" w:usb1="00000000" w:usb2="00000000" w:usb3="00000000" w:csb0="00040000" w:csb1="00000000"/>
  </w:font>
  <w:font w:name="仿宋">
    <w:altName w:val="Arial"/>
    <w:panose1 w:val="02010609060101010101"/>
    <w:charset w:val="86"/>
    <w:family w:val="modern"/>
    <w:pitch w:val="default"/>
    <w:sig w:usb0="00000000" w:usb1="00000000" w:usb2="00000016" w:usb3="00000000" w:csb0="00040001" w:csb1="00000000"/>
  </w:font>
  <w:font w:name="方正小标宋简体">
    <w:altName w:val="Arial"/>
    <w:panose1 w:val="03000509000000000000"/>
    <w:charset w:val="86"/>
    <w:family w:val="script"/>
    <w:pitch w:val="default"/>
    <w:sig w:usb0="00000000" w:usb1="00000000" w:usb2="00000000" w:usb3="00000000" w:csb0="00040000" w:csb1="00000000"/>
  </w:font>
  <w:font w:name="楷体_GB2312">
    <w:altName w:val="汉仪楷体KW"/>
    <w:panose1 w:val="02010609030101010101"/>
    <w:charset w:val="86"/>
    <w:family w:val="modern"/>
    <w:pitch w:val="default"/>
    <w:sig w:usb0="00000000" w:usb1="00000000" w:usb2="00000000" w:usb3="00000000" w:csb0="00040000" w:csb1="00000000"/>
  </w:font>
  <w:font w:name="微软雅黑">
    <w:altName w:val="汉仪旗黑KW 55S"/>
    <w:panose1 w:val="020B0503020204020204"/>
    <w:charset w:val="86"/>
    <w:family w:val="swiss"/>
    <w:pitch w:val="default"/>
    <w:sig w:usb0="00000000" w:usb1="00000000" w:usb2="00000016" w:usb3="00000000" w:csb0="0004001F" w:csb1="00000000"/>
  </w:font>
  <w:font w:name="Georgia">
    <w:panose1 w:val="02040502050405020303"/>
    <w:charset w:val="00"/>
    <w:family w:val="auto"/>
    <w:pitch w:val="default"/>
    <w:sig w:usb0="00000287" w:usb1="00000000" w:usb2="00000000" w:usb3="00000000" w:csb0="2000009F" w:csb1="00000000"/>
  </w:font>
  <w:font w:name="方正仿宋_GBK">
    <w:altName w:val="Arial"/>
    <w:panose1 w:val="00000000000000000000"/>
    <w:charset w:val="00"/>
    <w:family w:val="auto"/>
    <w:pitch w:val="default"/>
    <w:sig w:usb0="00000000" w:usb1="00000000" w:usb2="00000000" w:usb3="00000000" w:csb0="00000000" w:csb1="00000000"/>
  </w:font>
  <w:font w:name="方正小标宋_GBK">
    <w:altName w:val="Arial"/>
    <w:panose1 w:val="00000000000000000000"/>
    <w:charset w:val="00"/>
    <w:family w:val="auto"/>
    <w:pitch w:val="default"/>
    <w:sig w:usb0="00000000" w:usb1="00000000" w:usb2="00000000" w:usb3="00000000" w:csb0="00000000" w:csb1="00000000"/>
  </w:font>
  <w:font w:name="汉仪楷体KW">
    <w:panose1 w:val="00020600040101010101"/>
    <w:charset w:val="86"/>
    <w:family w:val="auto"/>
    <w:pitch w:val="default"/>
    <w:sig w:usb0="A00002BF" w:usb1="18EF7CFA" w:usb2="00000016" w:usb3="00000000" w:csb0="00040000" w:csb1="00000000"/>
  </w:font>
  <w:font w:name="汉仪旗黑KW 55S">
    <w:panose1 w:val="00020600040101010101"/>
    <w:charset w:val="86"/>
    <w:family w:val="auto"/>
    <w:pitch w:val="default"/>
    <w:sig w:usb0="A00002BF" w:usb1="3ACF7CFA" w:usb2="00000016" w:usb3="00000000" w:csb0="0004009F" w:csb1="DFD70000"/>
  </w:font>
  <w:font w:name="华文中宋">
    <w:panose1 w:val="02010600040101010101"/>
    <w:charset w:val="86"/>
    <w:family w:val="auto"/>
    <w:pitch w:val="default"/>
    <w:sig w:usb0="00000287" w:usb1="080F0000" w:usb2="00000000" w:usb3="00000000" w:csb0="0004009F" w:csb1="DFD70000"/>
  </w:font>
  <w:font w:name="DejaVu Sans">
    <w:panose1 w:val="020B0606030804020204"/>
    <w:charset w:val="00"/>
    <w:family w:val="auto"/>
    <w:pitch w:val="default"/>
    <w:sig w:usb0="E7006EFF" w:usb1="D200FDFF" w:usb2="0A246029" w:usb3="0400200C" w:csb0="600001FF" w:csb1="DFFF0000"/>
  </w:font>
  <w:font w:name="Noto Sans Symbols2">
    <w:panose1 w:val="020B0502040504020204"/>
    <w:charset w:val="00"/>
    <w:family w:val="auto"/>
    <w:pitch w:val="default"/>
    <w:sig w:usb0="80000003" w:usb1="0200E3E4" w:usb2="00040020" w:usb3="0580A048" w:csb0="00000001" w:csb1="00000000"/>
  </w:font>
  <w:font w:name="黑体">
    <w:altName w:val="汉仪中黑KW"/>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0"/>
          <w:jc w:val="center"/>
        </w:pPr>
        <w:r>
          <w:fldChar w:fldCharType="begin"/>
        </w:r>
        <w:r>
          <w:instrText xml:space="preserve">PAGE   \* MERGEFORMAT</w:instrText>
        </w:r>
        <w:r>
          <w:fldChar w:fldCharType="separate"/>
        </w:r>
        <w:r>
          <w:rPr>
            <w:lang w:val="zh-CN"/>
          </w:rPr>
          <w:t>31</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2ED92C"/>
    <w:multiLevelType w:val="singleLevel"/>
    <w:tmpl w:val="B92ED92C"/>
    <w:lvl w:ilvl="0" w:tentative="0">
      <w:start w:val="2"/>
      <w:numFmt w:val="decimal"/>
      <w:lvlText w:val="%1."/>
      <w:lvlJc w:val="left"/>
      <w:pPr>
        <w:tabs>
          <w:tab w:val="left" w:pos="312"/>
        </w:tabs>
      </w:pPr>
    </w:lvl>
  </w:abstractNum>
  <w:abstractNum w:abstractNumId="1">
    <w:nsid w:val="BFE791A9"/>
    <w:multiLevelType w:val="singleLevel"/>
    <w:tmpl w:val="BFE791A9"/>
    <w:lvl w:ilvl="0" w:tentative="0">
      <w:start w:val="1"/>
      <w:numFmt w:val="chineseCounting"/>
      <w:suff w:val="nothing"/>
      <w:lvlText w:val="（%1）"/>
      <w:lvlJc w:val="left"/>
      <w:rPr>
        <w:rFonts w:hint="eastAsia"/>
      </w:rPr>
    </w:lvl>
  </w:abstractNum>
  <w:abstractNum w:abstractNumId="2">
    <w:nsid w:val="CDF334F6"/>
    <w:multiLevelType w:val="singleLevel"/>
    <w:tmpl w:val="CDF334F6"/>
    <w:lvl w:ilvl="0" w:tentative="0">
      <w:start w:val="3"/>
      <w:numFmt w:val="decimal"/>
      <w:suff w:val="nothing"/>
      <w:lvlText w:val="%1．"/>
      <w:lvlJc w:val="left"/>
    </w:lvl>
  </w:abstractNum>
  <w:abstractNum w:abstractNumId="3">
    <w:nsid w:val="CF652CEC"/>
    <w:multiLevelType w:val="singleLevel"/>
    <w:tmpl w:val="CF652CEC"/>
    <w:lvl w:ilvl="0" w:tentative="0">
      <w:start w:val="9"/>
      <w:numFmt w:val="chineseCounting"/>
      <w:suff w:val="nothing"/>
      <w:lvlText w:val="%1、"/>
      <w:lvlJc w:val="left"/>
      <w:rPr>
        <w:rFonts w:hint="eastAsia"/>
      </w:rPr>
    </w:lvl>
  </w:abstractNum>
  <w:abstractNum w:abstractNumId="4">
    <w:nsid w:val="E2084C89"/>
    <w:multiLevelType w:val="singleLevel"/>
    <w:tmpl w:val="E2084C89"/>
    <w:lvl w:ilvl="0" w:tentative="0">
      <w:start w:val="2"/>
      <w:numFmt w:val="decimal"/>
      <w:lvlText w:val="%1."/>
      <w:lvlJc w:val="left"/>
      <w:pPr>
        <w:tabs>
          <w:tab w:val="left" w:pos="312"/>
        </w:tabs>
      </w:pPr>
    </w:lvl>
  </w:abstractNum>
  <w:abstractNum w:abstractNumId="5">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6">
    <w:nsid w:val="E566A016"/>
    <w:multiLevelType w:val="singleLevel"/>
    <w:tmpl w:val="E566A016"/>
    <w:lvl w:ilvl="0" w:tentative="0">
      <w:start w:val="1"/>
      <w:numFmt w:val="chineseCounting"/>
      <w:suff w:val="nothing"/>
      <w:lvlText w:val="%1、"/>
      <w:lvlJc w:val="left"/>
      <w:rPr>
        <w:rFonts w:hint="eastAsia"/>
      </w:rPr>
    </w:lvl>
  </w:abstractNum>
  <w:abstractNum w:abstractNumId="7">
    <w:nsid w:val="E843A6F8"/>
    <w:multiLevelType w:val="singleLevel"/>
    <w:tmpl w:val="E843A6F8"/>
    <w:lvl w:ilvl="0" w:tentative="0">
      <w:start w:val="1"/>
      <w:numFmt w:val="chineseCounting"/>
      <w:suff w:val="nothing"/>
      <w:lvlText w:val="（%1）"/>
      <w:lvlJc w:val="left"/>
      <w:rPr>
        <w:rFonts w:hint="eastAsia"/>
      </w:rPr>
    </w:lvl>
  </w:abstractNum>
  <w:abstractNum w:abstractNumId="8">
    <w:nsid w:val="05B34FAA"/>
    <w:multiLevelType w:val="singleLevel"/>
    <w:tmpl w:val="05B34FAA"/>
    <w:lvl w:ilvl="0" w:tentative="0">
      <w:start w:val="2"/>
      <w:numFmt w:val="decimal"/>
      <w:suff w:val="nothing"/>
      <w:lvlText w:val="%1．"/>
      <w:lvlJc w:val="left"/>
    </w:lvl>
  </w:abstractNum>
  <w:abstractNum w:abstractNumId="9">
    <w:nsid w:val="08394D53"/>
    <w:multiLevelType w:val="singleLevel"/>
    <w:tmpl w:val="08394D53"/>
    <w:lvl w:ilvl="0" w:tentative="0">
      <w:start w:val="2"/>
      <w:numFmt w:val="decimal"/>
      <w:suff w:val="nothing"/>
      <w:lvlText w:val="%1．"/>
      <w:lvlJc w:val="left"/>
    </w:lvl>
  </w:abstractNum>
  <w:abstractNum w:abstractNumId="10">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1">
    <w:nsid w:val="4412601D"/>
    <w:multiLevelType w:val="singleLevel"/>
    <w:tmpl w:val="4412601D"/>
    <w:lvl w:ilvl="0" w:tentative="0">
      <w:start w:val="2"/>
      <w:numFmt w:val="decimal"/>
      <w:suff w:val="nothing"/>
      <w:lvlText w:val="%1．"/>
      <w:lvlJc w:val="left"/>
    </w:lvl>
  </w:abstractNum>
  <w:abstractNum w:abstractNumId="12">
    <w:nsid w:val="767B4E97"/>
    <w:multiLevelType w:val="singleLevel"/>
    <w:tmpl w:val="767B4E97"/>
    <w:lvl w:ilvl="0" w:tentative="0">
      <w:start w:val="2"/>
      <w:numFmt w:val="decimal"/>
      <w:suff w:val="nothing"/>
      <w:lvlText w:val="%1．"/>
      <w:lvlJc w:val="left"/>
    </w:lvl>
  </w:abstractNum>
  <w:num w:numId="1">
    <w:abstractNumId w:val="6"/>
  </w:num>
  <w:num w:numId="2">
    <w:abstractNumId w:val="10"/>
  </w:num>
  <w:num w:numId="3">
    <w:abstractNumId w:val="3"/>
  </w:num>
  <w:num w:numId="4">
    <w:abstractNumId w:val="5"/>
  </w:num>
  <w:num w:numId="5">
    <w:abstractNumId w:val="2"/>
  </w:num>
  <w:num w:numId="6">
    <w:abstractNumId w:val="8"/>
  </w:num>
  <w:num w:numId="7">
    <w:abstractNumId w:val="0"/>
  </w:num>
  <w:num w:numId="8">
    <w:abstractNumId w:val="1"/>
  </w:num>
  <w:num w:numId="9">
    <w:abstractNumId w:val="9"/>
  </w:num>
  <w:num w:numId="10">
    <w:abstractNumId w:val="11"/>
  </w:num>
  <w:num w:numId="11">
    <w:abstractNumId w:val="7"/>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hYzk1OGViNzJkNDA3MTI2YjBmYzc3MDE4MzdmYzc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01C95"/>
    <w:rsid w:val="00114E9B"/>
    <w:rsid w:val="00142216"/>
    <w:rsid w:val="00144D6A"/>
    <w:rsid w:val="0014729F"/>
    <w:rsid w:val="00157BAB"/>
    <w:rsid w:val="001654D1"/>
    <w:rsid w:val="00174518"/>
    <w:rsid w:val="0018106D"/>
    <w:rsid w:val="001877A7"/>
    <w:rsid w:val="00191536"/>
    <w:rsid w:val="00196687"/>
    <w:rsid w:val="001B3ED7"/>
    <w:rsid w:val="001B7320"/>
    <w:rsid w:val="001C0962"/>
    <w:rsid w:val="001D7531"/>
    <w:rsid w:val="001D78FD"/>
    <w:rsid w:val="001E737D"/>
    <w:rsid w:val="001F0592"/>
    <w:rsid w:val="001F4D1E"/>
    <w:rsid w:val="001F7506"/>
    <w:rsid w:val="002006CD"/>
    <w:rsid w:val="00202B36"/>
    <w:rsid w:val="00204B7A"/>
    <w:rsid w:val="00204CDE"/>
    <w:rsid w:val="0020773F"/>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11E29"/>
    <w:rsid w:val="003216A9"/>
    <w:rsid w:val="00335A74"/>
    <w:rsid w:val="0036561B"/>
    <w:rsid w:val="0037013F"/>
    <w:rsid w:val="00375C6E"/>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E722B"/>
    <w:rsid w:val="00406254"/>
    <w:rsid w:val="004223DE"/>
    <w:rsid w:val="00434489"/>
    <w:rsid w:val="00437085"/>
    <w:rsid w:val="00443880"/>
    <w:rsid w:val="004464F4"/>
    <w:rsid w:val="00471401"/>
    <w:rsid w:val="00473F31"/>
    <w:rsid w:val="0048263A"/>
    <w:rsid w:val="00487E5D"/>
    <w:rsid w:val="004A4B85"/>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2AB1"/>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843F9"/>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5CE3"/>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DF675C"/>
    <w:rsid w:val="00E01053"/>
    <w:rsid w:val="00E07ACF"/>
    <w:rsid w:val="00E331A1"/>
    <w:rsid w:val="00E33202"/>
    <w:rsid w:val="00E336A9"/>
    <w:rsid w:val="00E472B1"/>
    <w:rsid w:val="00E50624"/>
    <w:rsid w:val="00E568DF"/>
    <w:rsid w:val="00E64269"/>
    <w:rsid w:val="00E82267"/>
    <w:rsid w:val="00E834BE"/>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1C7EEF"/>
    <w:rsid w:val="015D4E2A"/>
    <w:rsid w:val="022124A6"/>
    <w:rsid w:val="022C1D41"/>
    <w:rsid w:val="03C10CAD"/>
    <w:rsid w:val="04155CC0"/>
    <w:rsid w:val="042308BC"/>
    <w:rsid w:val="04520808"/>
    <w:rsid w:val="047C49DF"/>
    <w:rsid w:val="04B174FB"/>
    <w:rsid w:val="0504624A"/>
    <w:rsid w:val="05510B12"/>
    <w:rsid w:val="0600181A"/>
    <w:rsid w:val="06B003F3"/>
    <w:rsid w:val="08835C88"/>
    <w:rsid w:val="08A9105E"/>
    <w:rsid w:val="09BA5A21"/>
    <w:rsid w:val="0A2032A3"/>
    <w:rsid w:val="0B886CD9"/>
    <w:rsid w:val="0B8A37D8"/>
    <w:rsid w:val="0C0D65F9"/>
    <w:rsid w:val="0CAC2E67"/>
    <w:rsid w:val="0D392A31"/>
    <w:rsid w:val="0D547DD0"/>
    <w:rsid w:val="0D6A1731"/>
    <w:rsid w:val="0D9A2B52"/>
    <w:rsid w:val="0DD25A45"/>
    <w:rsid w:val="10387AFA"/>
    <w:rsid w:val="10C055FF"/>
    <w:rsid w:val="10C43621"/>
    <w:rsid w:val="118107EC"/>
    <w:rsid w:val="118C6A55"/>
    <w:rsid w:val="11A97B5C"/>
    <w:rsid w:val="11DD6519"/>
    <w:rsid w:val="11F51E4C"/>
    <w:rsid w:val="126A3638"/>
    <w:rsid w:val="13A97BBA"/>
    <w:rsid w:val="14FC2D43"/>
    <w:rsid w:val="16BB723D"/>
    <w:rsid w:val="17163986"/>
    <w:rsid w:val="18015F3F"/>
    <w:rsid w:val="18B435E9"/>
    <w:rsid w:val="19E1138A"/>
    <w:rsid w:val="1A213167"/>
    <w:rsid w:val="1ABD7ED9"/>
    <w:rsid w:val="1B45474F"/>
    <w:rsid w:val="1BE8440E"/>
    <w:rsid w:val="1CBE2D9C"/>
    <w:rsid w:val="1D0371CA"/>
    <w:rsid w:val="1D155CEE"/>
    <w:rsid w:val="1DC90688"/>
    <w:rsid w:val="20F57F95"/>
    <w:rsid w:val="21680516"/>
    <w:rsid w:val="22732A65"/>
    <w:rsid w:val="22DC43B0"/>
    <w:rsid w:val="240371BF"/>
    <w:rsid w:val="25C741E6"/>
    <w:rsid w:val="26BA302D"/>
    <w:rsid w:val="27064377"/>
    <w:rsid w:val="27842671"/>
    <w:rsid w:val="28484C95"/>
    <w:rsid w:val="29FD04D3"/>
    <w:rsid w:val="2A45057E"/>
    <w:rsid w:val="2ABE7A3E"/>
    <w:rsid w:val="2C153590"/>
    <w:rsid w:val="2EFA178C"/>
    <w:rsid w:val="30B20397"/>
    <w:rsid w:val="30B46D73"/>
    <w:rsid w:val="31327E1E"/>
    <w:rsid w:val="319F7F4E"/>
    <w:rsid w:val="35314E2D"/>
    <w:rsid w:val="387C7114"/>
    <w:rsid w:val="38AB1D60"/>
    <w:rsid w:val="38BE699A"/>
    <w:rsid w:val="399E240A"/>
    <w:rsid w:val="39AE70AB"/>
    <w:rsid w:val="3A071119"/>
    <w:rsid w:val="3C0C0783"/>
    <w:rsid w:val="3CFD1BC5"/>
    <w:rsid w:val="3D5A7104"/>
    <w:rsid w:val="3D6B3D3B"/>
    <w:rsid w:val="3F795B0E"/>
    <w:rsid w:val="3F9F3A96"/>
    <w:rsid w:val="40350D30"/>
    <w:rsid w:val="41224995"/>
    <w:rsid w:val="420D4F74"/>
    <w:rsid w:val="42595462"/>
    <w:rsid w:val="42CA7E46"/>
    <w:rsid w:val="43733D3C"/>
    <w:rsid w:val="447421B5"/>
    <w:rsid w:val="465E49A5"/>
    <w:rsid w:val="479565EE"/>
    <w:rsid w:val="47B718A6"/>
    <w:rsid w:val="48177FA4"/>
    <w:rsid w:val="48AB6FFA"/>
    <w:rsid w:val="493C27E9"/>
    <w:rsid w:val="496F39ED"/>
    <w:rsid w:val="499725DD"/>
    <w:rsid w:val="49FF41D3"/>
    <w:rsid w:val="4A185DC8"/>
    <w:rsid w:val="4BE068DB"/>
    <w:rsid w:val="4BF6002B"/>
    <w:rsid w:val="4E4C0B4C"/>
    <w:rsid w:val="4ECE2238"/>
    <w:rsid w:val="4FDE401C"/>
    <w:rsid w:val="4FF25DB3"/>
    <w:rsid w:val="51DB4B86"/>
    <w:rsid w:val="520022AB"/>
    <w:rsid w:val="52447E8D"/>
    <w:rsid w:val="52BA2E32"/>
    <w:rsid w:val="55175CA3"/>
    <w:rsid w:val="55333C3E"/>
    <w:rsid w:val="555611F4"/>
    <w:rsid w:val="564C3156"/>
    <w:rsid w:val="5898359F"/>
    <w:rsid w:val="5EAC631A"/>
    <w:rsid w:val="60011A09"/>
    <w:rsid w:val="612A4AB0"/>
    <w:rsid w:val="61664080"/>
    <w:rsid w:val="63671DFE"/>
    <w:rsid w:val="64CA10C8"/>
    <w:rsid w:val="64CA39A1"/>
    <w:rsid w:val="64D53BAB"/>
    <w:rsid w:val="6567508F"/>
    <w:rsid w:val="657C3ACA"/>
    <w:rsid w:val="66FD089E"/>
    <w:rsid w:val="67D90F02"/>
    <w:rsid w:val="6AAA663A"/>
    <w:rsid w:val="6BA52DFB"/>
    <w:rsid w:val="6C2E7CCA"/>
    <w:rsid w:val="6C4A05C8"/>
    <w:rsid w:val="70D81F0C"/>
    <w:rsid w:val="70E54AB3"/>
    <w:rsid w:val="7236673C"/>
    <w:rsid w:val="72734D90"/>
    <w:rsid w:val="73E91291"/>
    <w:rsid w:val="74BB7B1B"/>
    <w:rsid w:val="76DF445F"/>
    <w:rsid w:val="78563891"/>
    <w:rsid w:val="79C719A7"/>
    <w:rsid w:val="79E7B28D"/>
    <w:rsid w:val="7AE00EC3"/>
    <w:rsid w:val="7AE42392"/>
    <w:rsid w:val="7B422DFC"/>
    <w:rsid w:val="7B762314"/>
    <w:rsid w:val="7C347735"/>
    <w:rsid w:val="7C775BAB"/>
    <w:rsid w:val="7CD722FF"/>
    <w:rsid w:val="7D3E3543"/>
    <w:rsid w:val="7D860371"/>
    <w:rsid w:val="7E2638D9"/>
    <w:rsid w:val="7EBA6820"/>
    <w:rsid w:val="7EE5454D"/>
    <w:rsid w:val="7F0B530F"/>
    <w:rsid w:val="7F9F20EE"/>
    <w:rsid w:val="9E3A10E2"/>
    <w:rsid w:val="C76E6EE3"/>
    <w:rsid w:val="EF971E14"/>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0"/>
    <w:pPr>
      <w:spacing w:after="120"/>
      <w:ind w:left="420" w:leftChars="200"/>
    </w:pPr>
  </w:style>
  <w:style w:type="paragraph" w:styleId="7">
    <w:name w:val="Body Text"/>
    <w:basedOn w:val="1"/>
    <w:link w:val="25"/>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pPr>
      <w:spacing w:before="100" w:beforeAutospacing="1" w:after="100" w:afterAutospacing="1"/>
      <w:jc w:val="left"/>
    </w:pPr>
    <w:rPr>
      <w:kern w:val="0"/>
      <w:sz w:val="24"/>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字符"/>
    <w:link w:val="11"/>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字符"/>
    <w:link w:val="10"/>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字符"/>
    <w:link w:val="7"/>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字符"/>
    <w:basedOn w:val="17"/>
    <w:link w:val="4"/>
    <w:qFormat/>
    <w:uiPriority w:val="9"/>
    <w:rPr>
      <w:rFonts w:ascii="Times New Roman" w:hAnsi="Times New Roman"/>
      <w:b/>
      <w:bCs/>
      <w:kern w:val="44"/>
      <w:sz w:val="44"/>
      <w:szCs w:val="44"/>
    </w:rPr>
  </w:style>
  <w:style w:type="character" w:customStyle="1" w:styleId="29">
    <w:name w:val="标题 2 字符"/>
    <w:basedOn w:val="17"/>
    <w:link w:val="5"/>
    <w:qFormat/>
    <w:uiPriority w:val="9"/>
    <w:rPr>
      <w:rFonts w:asciiTheme="majorHAnsi" w:hAnsiTheme="majorHAnsi" w:eastAsiaTheme="majorEastAsia" w:cstheme="majorBidi"/>
      <w:b/>
      <w:bCs/>
      <w:kern w:val="2"/>
      <w:sz w:val="32"/>
      <w:szCs w:val="32"/>
    </w:rPr>
  </w:style>
  <w:style w:type="paragraph" w:customStyle="1" w:styleId="30">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7"/>
    <w:link w:val="9"/>
    <w:semiHidden/>
    <w:qFormat/>
    <w:uiPriority w:val="99"/>
    <w:rPr>
      <w:rFonts w:ascii="Times New Roman" w:hAnsi="Times New Roman"/>
      <w:kern w:val="2"/>
      <w:sz w:val="18"/>
      <w:szCs w:val="18"/>
    </w:rPr>
  </w:style>
  <w:style w:type="character" w:customStyle="1" w:styleId="32">
    <w:name w:val="标题 3 字符"/>
    <w:basedOn w:val="17"/>
    <w:link w:val="6"/>
    <w:qFormat/>
    <w:uiPriority w:val="9"/>
    <w:rPr>
      <w:rFonts w:ascii="Times New Roman" w:hAnsi="Times New Roman"/>
      <w:b/>
      <w:bCs/>
      <w:kern w:val="2"/>
      <w:sz w:val="32"/>
      <w:szCs w:val="32"/>
    </w:rPr>
  </w:style>
  <w:style w:type="paragraph" w:customStyle="1" w:styleId="33">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25991;&#20214;\2021\&#26426;&#20851;&#20915;&#31639;&#20844;&#24320;&#36741;&#21161;&#34920;&#65288;&#21508;&#31181;&#22270;&#65289;.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E:\&#25991;&#20214;\2021\&#26426;&#20851;&#20915;&#31639;&#20844;&#24320;&#36741;&#21161;&#34920;&#65288;&#21508;&#31181;&#22270;&#65289;.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E:\&#25991;&#20214;\2021\&#26426;&#20851;&#20915;&#31639;&#20844;&#24320;&#36741;&#21161;&#34920;&#65288;&#21508;&#31181;&#22270;&#65289;.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E:\&#25991;&#20214;\2021\&#26426;&#20851;&#20915;&#31639;&#20844;&#24320;&#36741;&#21161;&#34920;&#65288;&#21508;&#31181;&#22270;&#65289;.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E:\&#25991;&#20214;\2021\&#26426;&#20851;&#20915;&#31639;&#20844;&#24320;&#36741;&#21161;&#34920;&#65288;&#21508;&#31181;&#22270;&#65289;.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E:\&#25991;&#20214;\2021\&#26426;&#20851;&#20915;&#31639;&#20844;&#24320;&#36741;&#21161;&#34920;&#65288;&#21508;&#31181;&#22270;&#65289;.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E:\&#25991;&#20214;\2021\&#26426;&#20851;&#20915;&#31639;&#20844;&#24320;&#36741;&#21161;&#34920;&#65288;&#21508;&#31181;&#22270;&#6528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000"/>
              <a:t>图</a:t>
            </a:r>
            <a:r>
              <a:rPr lang="en-US" altLang="zh-CN" sz="1000"/>
              <a:t>1</a:t>
            </a:r>
            <a:r>
              <a:rPr lang="zh-CN" altLang="en-US" sz="1000"/>
              <a:t>：</a:t>
            </a:r>
            <a:r>
              <a:rPr lang="zh-CN" altLang="zh-CN" sz="1100" b="0" i="0" u="none" strike="noStrike" baseline="0">
                <a:effectLst/>
              </a:rPr>
              <a:t>收、支决算总计变动情况图</a:t>
            </a:r>
            <a:endParaRPr lang="zh-CN" altLang="en-US" sz="1100"/>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'[机关决算公开辅助表（各种图）.xlsx]机关1'!$B$13:$B$14</c:f>
              <c:strCache>
                <c:ptCount val="2"/>
                <c:pt idx="0">
                  <c:v>2020年收支总计</c:v>
                </c:pt>
                <c:pt idx="1">
                  <c:v>2021年收支总计</c:v>
                </c:pt>
              </c:strCache>
            </c:strRef>
          </c:cat>
          <c:val>
            <c:numRef>
              <c:f>'[机关决算公开辅助表（各种图）.xlsx]机关1'!$C$13:$C$14</c:f>
              <c:numCache>
                <c:formatCode>General</c:formatCode>
                <c:ptCount val="2"/>
                <c:pt idx="0">
                  <c:v>172.03</c:v>
                </c:pt>
                <c:pt idx="1">
                  <c:v>179</c:v>
                </c:pt>
              </c:numCache>
            </c:numRef>
          </c:val>
        </c:ser>
        <c:dLbls>
          <c:showLegendKey val="0"/>
          <c:showVal val="0"/>
          <c:showCatName val="0"/>
          <c:showSerName val="0"/>
          <c:showPercent val="0"/>
          <c:showBubbleSize val="0"/>
        </c:dLbls>
        <c:gapWidth val="219"/>
        <c:overlap val="-27"/>
        <c:axId val="242179848"/>
        <c:axId val="242180232"/>
      </c:barChart>
      <c:catAx>
        <c:axId val="242179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2180232"/>
        <c:crosses val="autoZero"/>
        <c:auto val="1"/>
        <c:lblAlgn val="ctr"/>
        <c:lblOffset val="100"/>
        <c:noMultiLvlLbl val="0"/>
      </c:catAx>
      <c:valAx>
        <c:axId val="2421802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21798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000"/>
              <a:t>图</a:t>
            </a:r>
            <a:r>
              <a:rPr lang="en-US" altLang="zh-CN" sz="1000"/>
              <a:t>2</a:t>
            </a:r>
            <a:r>
              <a:rPr lang="zh-CN" altLang="en-US" sz="1000"/>
              <a:t>：收入决算结构图</a:t>
            </a:r>
            <a:endParaRPr lang="zh-CN" altLang="en-US" sz="1000"/>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'[机关决算公开辅助表（各种图）.xlsx]机关1'!$B$1:$B$2</c:f>
              <c:strCache>
                <c:ptCount val="2"/>
                <c:pt idx="0">
                  <c:v>一般公共预算</c:v>
                </c:pt>
              </c:strCache>
            </c:strRef>
          </c:cat>
          <c:val>
            <c:numRef>
              <c:f>'[机关决算公开辅助表（各种图）.xlsx]机关1'!$C$1:$C$2</c:f>
              <c:numCache>
                <c:formatCode>#,##0.00</c:formatCode>
                <c:ptCount val="2"/>
                <c:pt idx="0">
                  <c:v>146.51</c:v>
                </c:pt>
                <c:pt idx="1" c:formatCode="General">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000"/>
              <a:t>图</a:t>
            </a:r>
            <a:r>
              <a:rPr lang="en-US" altLang="zh-CN" sz="1000"/>
              <a:t>3</a:t>
            </a:r>
            <a:r>
              <a:rPr lang="zh-CN" altLang="en-US" sz="1000"/>
              <a:t>：支出决算结构图</a:t>
            </a:r>
            <a:endParaRPr lang="zh-CN" altLang="en-US" sz="1000"/>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'[机关决算公开辅助表（各种图）.xlsx]机关1'!$B$9:$B$10</c:f>
              <c:strCache>
                <c:ptCount val="2"/>
                <c:pt idx="0">
                  <c:v>基本支出</c:v>
                </c:pt>
                <c:pt idx="1">
                  <c:v>项目支出</c:v>
                </c:pt>
              </c:strCache>
            </c:strRef>
          </c:cat>
          <c:val>
            <c:numRef>
              <c:f>'[机关决算公开辅助表（各种图）.xlsx]机关1'!$C$9:$C$10</c:f>
              <c:numCache>
                <c:formatCode>General</c:formatCode>
                <c:ptCount val="2"/>
                <c:pt idx="0">
                  <c:v>109.41</c:v>
                </c:pt>
                <c:pt idx="1">
                  <c:v>66.06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图</a:t>
            </a:r>
            <a:r>
              <a:rPr lang="en-US" altLang="zh-CN" sz="1400" b="0" i="0" u="none" strike="noStrike" baseline="0">
                <a:effectLst/>
              </a:rPr>
              <a:t>4</a:t>
            </a:r>
            <a:r>
              <a:rPr lang="zh-CN" altLang="zh-CN" sz="1400" b="0" i="0" u="none" strike="noStrike" baseline="0">
                <a:effectLst/>
              </a:rPr>
              <a:t>：财政拨款收、支决算总计变动情况</a:t>
            </a:r>
            <a:endParaRPr lang="zh-CN" altLang="en-US"/>
          </a:p>
        </c:rich>
      </c:tx>
      <c:layout>
        <c:manualLayout>
          <c:xMode val="edge"/>
          <c:yMode val="edge"/>
          <c:x val="0.166342078654103"/>
          <c:y val="0.0516836380135196"/>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'[机关决算公开辅助表（各种图）.xlsx]机关1'!$B$35:$B$36</c:f>
              <c:strCache>
                <c:ptCount val="2"/>
                <c:pt idx="0">
                  <c:v>2020年财政拨款收支总计</c:v>
                </c:pt>
                <c:pt idx="1">
                  <c:v>2021年财政拨款收支总计</c:v>
                </c:pt>
              </c:strCache>
            </c:strRef>
          </c:cat>
          <c:val>
            <c:numRef>
              <c:f>'[机关决算公开辅助表（各种图）.xlsx]机关1'!$C$35:$C$36</c:f>
              <c:numCache>
                <c:formatCode>General</c:formatCode>
                <c:ptCount val="2"/>
                <c:pt idx="0">
                  <c:v>172.03</c:v>
                </c:pt>
                <c:pt idx="1" c:formatCode="#,##0.00">
                  <c:v>179</c:v>
                </c:pt>
              </c:numCache>
            </c:numRef>
          </c:val>
        </c:ser>
        <c:dLbls>
          <c:showLegendKey val="0"/>
          <c:showVal val="0"/>
          <c:showCatName val="0"/>
          <c:showSerName val="0"/>
          <c:showPercent val="0"/>
          <c:showBubbleSize val="0"/>
        </c:dLbls>
        <c:gapWidth val="219"/>
        <c:overlap val="-27"/>
        <c:axId val="371911240"/>
        <c:axId val="371908288"/>
      </c:barChart>
      <c:catAx>
        <c:axId val="371911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1908288"/>
        <c:crosses val="autoZero"/>
        <c:auto val="1"/>
        <c:lblAlgn val="ctr"/>
        <c:lblOffset val="100"/>
        <c:noMultiLvlLbl val="0"/>
      </c:catAx>
      <c:valAx>
        <c:axId val="371908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19112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000"/>
              <a:t>图</a:t>
            </a:r>
            <a:r>
              <a:rPr lang="en-US" altLang="zh-CN" sz="1000"/>
              <a:t>5</a:t>
            </a:r>
            <a:r>
              <a:rPr lang="zh-CN" altLang="en-US" sz="1000"/>
              <a:t>：一般公共预算财政拨款支出决算变动情况</a:t>
            </a:r>
            <a:endParaRPr lang="zh-CN" altLang="en-US" sz="1000"/>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'[机关决算公开辅助表（各种图）.xlsx]机关1'!$B$17:$B$18</c:f>
              <c:strCache>
                <c:ptCount val="2"/>
                <c:pt idx="0">
                  <c:v>2020年一般公共预算支出</c:v>
                </c:pt>
                <c:pt idx="1">
                  <c:v>2021年一般公共预算支出</c:v>
                </c:pt>
              </c:strCache>
            </c:strRef>
          </c:cat>
          <c:val>
            <c:numRef>
              <c:f>'[机关决算公开辅助表（各种图）.xlsx]机关1'!$C$17:$C$18</c:f>
              <c:numCache>
                <c:formatCode>General</c:formatCode>
                <c:ptCount val="2"/>
                <c:pt idx="0">
                  <c:v>139.54</c:v>
                </c:pt>
                <c:pt idx="1" c:formatCode="#,##0.00">
                  <c:v>175.47</c:v>
                </c:pt>
              </c:numCache>
            </c:numRef>
          </c:val>
        </c:ser>
        <c:dLbls>
          <c:showLegendKey val="0"/>
          <c:showVal val="0"/>
          <c:showCatName val="0"/>
          <c:showSerName val="0"/>
          <c:showPercent val="0"/>
          <c:showBubbleSize val="0"/>
        </c:dLbls>
        <c:gapWidth val="219"/>
        <c:overlap val="-27"/>
        <c:axId val="242232136"/>
        <c:axId val="242232520"/>
      </c:barChart>
      <c:catAx>
        <c:axId val="242232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2232520"/>
        <c:crosses val="autoZero"/>
        <c:auto val="1"/>
        <c:lblAlgn val="ctr"/>
        <c:lblOffset val="100"/>
        <c:noMultiLvlLbl val="0"/>
      </c:catAx>
      <c:valAx>
        <c:axId val="2422325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22321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000"/>
              <a:t>图</a:t>
            </a:r>
            <a:r>
              <a:rPr lang="en-US" altLang="zh-CN" sz="1000"/>
              <a:t>6</a:t>
            </a:r>
            <a:r>
              <a:rPr lang="zh-CN" altLang="en-US" sz="1000"/>
              <a:t>：一般公共预算财政拨款支出决算结构</a:t>
            </a:r>
            <a:endParaRPr lang="zh-CN" altLang="en-US" sz="1000"/>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'[机关决算公开辅助表（各种图）.xlsx]机关2'!$A$2:$A$5</c:f>
              <c:strCache>
                <c:ptCount val="4"/>
                <c:pt idx="0">
                  <c:v>社会保障和就业支出</c:v>
                </c:pt>
                <c:pt idx="1">
                  <c:v>卫生健康支出</c:v>
                </c:pt>
                <c:pt idx="2">
                  <c:v>灾害防治及应急管理支出</c:v>
                </c:pt>
                <c:pt idx="3">
                  <c:v>住房保障支出</c:v>
                </c:pt>
              </c:strCache>
            </c:strRef>
          </c:cat>
          <c:val>
            <c:numRef>
              <c:f>'[机关决算公开辅助表（各种图）.xlsx]机关2'!$B$2:$B$5</c:f>
              <c:numCache>
                <c:formatCode>General</c:formatCode>
                <c:ptCount val="4"/>
                <c:pt idx="0">
                  <c:v>7.97</c:v>
                </c:pt>
                <c:pt idx="1">
                  <c:v>4.24</c:v>
                </c:pt>
                <c:pt idx="2">
                  <c:v>154.21</c:v>
                </c:pt>
                <c:pt idx="3">
                  <c:v>9.05</c:v>
                </c:pt>
              </c:numCache>
            </c:numRef>
          </c:val>
        </c:ser>
        <c:ser>
          <c:idx val="1"/>
          <c:order val="1"/>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'[机关决算公开辅助表（各种图）.xlsx]机关2'!$A$2:$A$5</c:f>
              <c:strCache>
                <c:ptCount val="4"/>
                <c:pt idx="0">
                  <c:v>社会保障和就业支出</c:v>
                </c:pt>
                <c:pt idx="1">
                  <c:v>卫生健康支出</c:v>
                </c:pt>
                <c:pt idx="2">
                  <c:v>灾害防治及应急管理支出</c:v>
                </c:pt>
                <c:pt idx="3">
                  <c:v>住房保障支出</c:v>
                </c:pt>
              </c:strCache>
            </c:strRef>
          </c:cat>
          <c:val>
            <c:numRef>
              <c:f>'[机关决算公开辅助表（各种图）.xlsx]机关2'!$C$2:$C$5</c:f>
              <c:numCache>
                <c:formatCode>0.00%</c:formatCode>
                <c:ptCount val="4"/>
                <c:pt idx="0">
                  <c:v>0.0454208696643301</c:v>
                </c:pt>
                <c:pt idx="1">
                  <c:v>0.0241636747022283</c:v>
                </c:pt>
                <c:pt idx="2">
                  <c:v>0.878839687695902</c:v>
                </c:pt>
                <c:pt idx="3">
                  <c:v>0.0515757679375392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000"/>
              <a:t>图</a:t>
            </a:r>
            <a:r>
              <a:rPr lang="en-US" altLang="zh-CN" sz="1000"/>
              <a:t>7</a:t>
            </a:r>
            <a:r>
              <a:rPr lang="zh-CN" altLang="en-US" sz="1000"/>
              <a:t>：“三公”经费财政拨款支出结构</a:t>
            </a:r>
            <a:endParaRPr lang="zh-CN" altLang="en-US" sz="1000"/>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'[机关决算公开辅助表（各种图）.xlsx]机关2'!$A$23:$A$25</c:f>
              <c:strCache>
                <c:ptCount val="3"/>
                <c:pt idx="0">
                  <c:v>因公出国（境）费</c:v>
                </c:pt>
                <c:pt idx="1">
                  <c:v>公务用车购置及运行维护费</c:v>
                </c:pt>
                <c:pt idx="2">
                  <c:v>公务接待费</c:v>
                </c:pt>
              </c:strCache>
            </c:strRef>
          </c:cat>
          <c:val>
            <c:numRef>
              <c:f>'[机关决算公开辅助表（各种图）.xlsx]机关2'!$B$23:$B$25</c:f>
              <c:numCache>
                <c:formatCode>General</c:formatCode>
                <c:ptCount val="3"/>
                <c:pt idx="0">
                  <c:v>0</c:v>
                </c:pt>
                <c:pt idx="1">
                  <c:v>22.37</c:v>
                </c:pt>
                <c:pt idx="2">
                  <c:v>0.95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四川省财政厅</Company>
  <Pages>34</Pages>
  <Words>13113</Words>
  <Characters>14647</Characters>
  <Lines>108</Lines>
  <Paragraphs>30</Paragraphs>
  <TotalTime>7</TotalTime>
  <ScaleCrop>false</ScaleCrop>
  <LinksUpToDate>false</LinksUpToDate>
  <CharactersWithSpaces>14683</CharactersWithSpaces>
  <Application>WPS Office WWO_wpscloud_20230627224307-608e93d780</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2022-09-30T09:51:00Z</dcterms:created>
  <dc:creator>曹颖</dc:creator>
  <cp:lastModifiedBy>好心情</cp:lastModifiedBy>
  <cp:lastPrinted>2022-09-30T08:36:00Z</cp:lastPrinted>
  <dcterms:modified xsi:type="dcterms:W3CDTF">2023-07-18T11:24:40Z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18C4299B72334D3095585539B3212D20</vt:lpwstr>
  </property>
</Properties>
</file>