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8441"/>
      <w:bookmarkStart w:id="3" w:name="_Toc15377193"/>
      <w:bookmarkStart w:id="4" w:name="_Toc15396597"/>
      <w:bookmarkStart w:id="5"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黑体" w:hAnsi="黑体" w:eastAsia="黑体"/>
          <w:sz w:val="48"/>
          <w:szCs w:val="48"/>
        </w:rPr>
      </w:pPr>
      <w:bookmarkStart w:id="6" w:name="_Toc15377426"/>
      <w:bookmarkStart w:id="7" w:name="_Toc15396598"/>
      <w:bookmarkStart w:id="8" w:name="_Toc15378442"/>
      <w:bookmarkStart w:id="9" w:name="_Toc15377194"/>
      <w:bookmarkStart w:id="10" w:name="_Toc15396476"/>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lang w:eastAsia="zh-CN"/>
        </w:rPr>
        <w:t>林业科学研究院</w:t>
      </w:r>
      <w:r>
        <w:rPr>
          <w:rFonts w:hint="eastAsia" w:ascii="方正小标宋简体" w:hAnsi="方正小标宋简体" w:eastAsia="方正小标宋简体" w:cs="方正小标宋简体"/>
          <w:sz w:val="72"/>
          <w:szCs w:val="72"/>
          <w:lang w:val="en-US" w:eastAsia="zh-CN"/>
        </w:rPr>
        <w:t xml:space="preserve">  </w:t>
      </w: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lang w:eastAsia="zh-CN"/>
        </w:rPr>
        <w:t>公开</w:t>
      </w: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rPr>
          <w:rFonts w:hint="eastAsia" w:ascii="仿宋_GB2312" w:hAnsi="仿宋_GB2312" w:eastAsia="仿宋_GB2312" w:cs="仿宋_GB2312"/>
        </w:rPr>
      </w:pPr>
      <w:r>
        <w:rPr>
          <w:rFonts w:hint="eastAsia" w:ascii="仿宋_GB2312" w:hAnsi="仿宋_GB2312" w:eastAsia="仿宋_GB2312" w:cs="仿宋_GB2312"/>
        </w:rPr>
        <w:t>公开时间：2022年</w:t>
      </w:r>
      <w:r>
        <w:rPr>
          <w:rFonts w:hint="eastAsia" w:ascii="仿宋_GB2312" w:hAnsi="仿宋_GB2312" w:eastAsia="仿宋_GB2312" w:cs="仿宋_GB2312"/>
          <w:lang w:val="en-US" w:eastAsia="zh-CN"/>
        </w:rPr>
        <w:t>9</w:t>
      </w:r>
      <w:r>
        <w:rPr>
          <w:rFonts w:hint="eastAsia" w:ascii="仿宋_GB2312" w:hAnsi="仿宋_GB2312" w:eastAsia="仿宋_GB2312" w:cs="仿宋_GB2312"/>
        </w:rPr>
        <w:t>月</w:t>
      </w:r>
      <w:r>
        <w:rPr>
          <w:rFonts w:hint="eastAsia" w:ascii="仿宋_GB2312" w:hAnsi="仿宋_GB2312" w:eastAsia="仿宋_GB2312" w:cs="仿宋_GB2312"/>
          <w:lang w:val="en-US" w:eastAsia="zh-CN"/>
        </w:rPr>
        <w:t>30</w:t>
      </w:r>
      <w:r>
        <w:rPr>
          <w:rFonts w:hint="eastAsia" w:ascii="仿宋_GB2312" w:hAnsi="仿宋_GB2312" w:eastAsia="仿宋_GB2312" w:cs="仿宋_GB2312"/>
        </w:rPr>
        <w:t>日</w:t>
      </w:r>
    </w:p>
    <w:p>
      <w:pPr>
        <w:rPr>
          <w:rFonts w:hint="eastAsia" w:ascii="仿宋_GB2312" w:hAnsi="仿宋_GB2312" w:eastAsia="仿宋_GB2312" w:cs="仿宋_GB2312"/>
        </w:rPr>
      </w:pP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第一部分 单位概况</w:t>
      </w:r>
      <w:r>
        <w:rPr>
          <w:rFonts w:hint="eastAsia" w:ascii="仿宋_GB2312" w:hAnsi="仿宋_GB2312" w:eastAsia="仿宋_GB2312" w:cs="仿宋_GB2312"/>
          <w:sz w:val="30"/>
          <w:szCs w:val="30"/>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一、职能简介</w:t>
      </w:r>
      <w:r>
        <w:rPr>
          <w:rFonts w:hint="eastAsia" w:ascii="仿宋_GB2312" w:hAnsi="仿宋_GB2312" w:eastAsia="仿宋_GB2312" w:cs="仿宋_GB2312"/>
          <w:sz w:val="30"/>
          <w:szCs w:val="30"/>
          <w:lang w:val="en-US" w:eastAsia="zh-CN"/>
        </w:rPr>
        <w:t>...................................1</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二、2021年重点工作完成情况</w:t>
      </w:r>
      <w:r>
        <w:rPr>
          <w:rFonts w:hint="eastAsia" w:ascii="仿宋_GB2312" w:hAnsi="仿宋_GB2312" w:eastAsia="仿宋_GB2312" w:cs="仿宋_GB2312"/>
          <w:sz w:val="30"/>
          <w:szCs w:val="30"/>
          <w:lang w:val="en-US" w:eastAsia="zh-CN"/>
        </w:rPr>
        <w:t>.....................1</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第二部分 2021年度单位决算情况说明</w:t>
      </w:r>
      <w:r>
        <w:rPr>
          <w:rFonts w:hint="eastAsia" w:ascii="仿宋_GB2312" w:hAnsi="仿宋_GB2312" w:eastAsia="仿宋_GB2312" w:cs="仿宋_GB2312"/>
          <w:sz w:val="30"/>
          <w:szCs w:val="30"/>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一、收入支出决算总体情况说明</w:t>
      </w:r>
      <w:r>
        <w:rPr>
          <w:rFonts w:hint="eastAsia" w:ascii="仿宋_GB2312" w:hAnsi="仿宋_GB2312" w:eastAsia="仿宋_GB2312" w:cs="仿宋_GB2312"/>
          <w:sz w:val="30"/>
          <w:szCs w:val="30"/>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二、收入决算情况说明</w:t>
      </w:r>
      <w:r>
        <w:rPr>
          <w:rFonts w:hint="eastAsia" w:ascii="仿宋_GB2312" w:hAnsi="仿宋_GB2312" w:eastAsia="仿宋_GB2312" w:cs="仿宋_GB2312"/>
          <w:sz w:val="30"/>
          <w:szCs w:val="30"/>
          <w:lang w:val="en-US" w:eastAsia="zh-CN"/>
        </w:rPr>
        <w:t>............................5</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三、支出决算情况说明</w:t>
      </w:r>
      <w:r>
        <w:rPr>
          <w:rFonts w:hint="eastAsia" w:ascii="仿宋_GB2312" w:hAnsi="仿宋_GB2312" w:eastAsia="仿宋_GB2312" w:cs="仿宋_GB2312"/>
          <w:sz w:val="30"/>
          <w:szCs w:val="30"/>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四、财政拨款收入支出决算总体情况说明</w:t>
      </w:r>
      <w:r>
        <w:rPr>
          <w:rFonts w:hint="eastAsia" w:ascii="仿宋_GB2312" w:hAnsi="仿宋_GB2312" w:eastAsia="仿宋_GB2312" w:cs="仿宋_GB2312"/>
          <w:sz w:val="30"/>
          <w:szCs w:val="30"/>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五、一般公共预算财政拨款支出决算情况说明</w:t>
      </w:r>
      <w:r>
        <w:rPr>
          <w:rFonts w:hint="eastAsia" w:ascii="仿宋_GB2312" w:hAnsi="仿宋_GB2312" w:eastAsia="仿宋_GB2312" w:cs="仿宋_GB2312"/>
          <w:sz w:val="30"/>
          <w:szCs w:val="30"/>
          <w:lang w:val="en-US" w:eastAsia="zh-CN"/>
        </w:rPr>
        <w:t>........6</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六、一般公共预算财政拨款基本支出决算情况说明</w:t>
      </w:r>
      <w:r>
        <w:rPr>
          <w:rFonts w:hint="eastAsia" w:ascii="仿宋_GB2312" w:hAnsi="仿宋_GB2312" w:eastAsia="仿宋_GB2312" w:cs="仿宋_GB2312"/>
          <w:sz w:val="30"/>
          <w:szCs w:val="30"/>
          <w:lang w:val="en-US" w:eastAsia="zh-CN"/>
        </w:rPr>
        <w:t>....9</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七、“三公”经费财政拨款支出决算情况说明</w:t>
      </w:r>
      <w:r>
        <w:rPr>
          <w:rFonts w:hint="eastAsia" w:ascii="仿宋_GB2312" w:hAnsi="仿宋_GB2312" w:eastAsia="仿宋_GB2312" w:cs="仿宋_GB2312"/>
          <w:sz w:val="30"/>
          <w:szCs w:val="30"/>
          <w:lang w:val="en-US" w:eastAsia="zh-CN"/>
        </w:rPr>
        <w:t>.........10</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八、政府性基金预算支出决算情况说明</w:t>
      </w:r>
      <w:r>
        <w:rPr>
          <w:rFonts w:hint="eastAsia" w:ascii="仿宋_GB2312" w:hAnsi="仿宋_GB2312" w:eastAsia="仿宋_GB2312" w:cs="仿宋_GB2312"/>
          <w:sz w:val="30"/>
          <w:szCs w:val="30"/>
          <w:lang w:val="en-US" w:eastAsia="zh-CN"/>
        </w:rPr>
        <w:t>..............12</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九、国有资本经营预算支出决算情况说明</w:t>
      </w:r>
      <w:r>
        <w:rPr>
          <w:rFonts w:hint="eastAsia" w:ascii="仿宋_GB2312" w:hAnsi="仿宋_GB2312" w:eastAsia="仿宋_GB2312" w:cs="仿宋_GB2312"/>
          <w:sz w:val="30"/>
          <w:szCs w:val="30"/>
          <w:lang w:val="en-US" w:eastAsia="zh-CN"/>
        </w:rPr>
        <w:t>............12</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0"/>
          <w:szCs w:val="30"/>
        </w:rPr>
        <w:t>十、预算绩效管理情况</w:t>
      </w:r>
      <w:r>
        <w:rPr>
          <w:rFonts w:hint="eastAsia" w:ascii="仿宋_GB2312" w:hAnsi="仿宋_GB2312" w:eastAsia="仿宋_GB2312" w:cs="仿宋_GB2312"/>
          <w:sz w:val="30"/>
          <w:szCs w:val="30"/>
          <w:lang w:val="en-US" w:eastAsia="zh-CN"/>
        </w:rPr>
        <w:t>............................12</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十一、其他重要事项的情况说明</w:t>
      </w:r>
      <w:r>
        <w:rPr>
          <w:rFonts w:hint="eastAsia" w:ascii="仿宋_GB2312" w:hAnsi="仿宋_GB2312" w:eastAsia="仿宋_GB2312" w:cs="仿宋_GB2312"/>
          <w:sz w:val="30"/>
          <w:szCs w:val="30"/>
          <w:lang w:val="en-US" w:eastAsia="zh-CN"/>
        </w:rPr>
        <w:t>....................12</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第三部分 名词解释</w:t>
      </w:r>
      <w:r>
        <w:rPr>
          <w:rFonts w:hint="eastAsia" w:ascii="仿宋_GB2312" w:hAnsi="仿宋_GB2312" w:eastAsia="仿宋_GB2312" w:cs="仿宋_GB2312"/>
          <w:sz w:val="30"/>
          <w:szCs w:val="30"/>
          <w:lang w:val="en-US" w:eastAsia="zh-CN"/>
        </w:rPr>
        <w:t>...............................14</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第四部分 附件</w:t>
      </w:r>
      <w:r>
        <w:rPr>
          <w:rFonts w:hint="eastAsia" w:ascii="仿宋_GB2312" w:hAnsi="仿宋_GB2312" w:eastAsia="仿宋_GB2312" w:cs="仿宋_GB2312"/>
          <w:sz w:val="30"/>
          <w:szCs w:val="30"/>
          <w:lang w:val="en-US" w:eastAsia="zh-CN"/>
        </w:rPr>
        <w:t>...................................17</w:t>
      </w:r>
    </w:p>
    <w:p>
      <w:pPr>
        <w:pStyle w:val="10"/>
        <w:keepNext w:val="0"/>
        <w:keepLines w:val="0"/>
        <w:pageBreakBefore w:val="0"/>
        <w:widowControl w:val="0"/>
        <w:kinsoku/>
        <w:wordWrap/>
        <w:overflowPunct/>
        <w:topLinePunct w:val="0"/>
        <w:autoSpaceDE/>
        <w:autoSpaceDN/>
        <w:bidi w:val="0"/>
        <w:adjustRightInd w:val="0"/>
        <w:snapToGrid w:val="0"/>
        <w:spacing w:before="0" w:line="576" w:lineRule="exact"/>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第五部分 附表</w:t>
      </w:r>
      <w:r>
        <w:rPr>
          <w:rFonts w:hint="eastAsia" w:ascii="仿宋_GB2312" w:hAnsi="仿宋_GB2312" w:eastAsia="仿宋_GB2312" w:cs="仿宋_GB2312"/>
          <w:sz w:val="30"/>
          <w:szCs w:val="30"/>
          <w:lang w:val="en-US" w:eastAsia="zh-CN"/>
        </w:rPr>
        <w:t>...................................18</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一、收入支出决算总表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二、收入决算表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四、财政拨款收入支出决算总表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六、一般公共预算财政拨款支出决算表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七、一般公共预算财政拨款支出决算明细表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八、一般公共预算财政拨款基本支出决算表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九、一般公共预算财政拨款项目支出决算表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十、一般公共预算财政拨款“三公”经费支出决算表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十一、政府性基金预算财政拨款收入支出决算表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十二、政府性基金预算财政拨款“三公”经费支出决算表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十三、国有资本经营预算财政拨款收入支出决算表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76" w:lineRule="exact"/>
        <w:ind w:left="0" w:leftChars="0" w:firstLine="60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30"/>
          <w:szCs w:val="30"/>
        </w:rPr>
        <w:t>十四、国有资本经营预算财政拨款支出决算表</w:t>
      </w:r>
    </w:p>
    <w:p>
      <w:pPr>
        <w:keepNext w:val="0"/>
        <w:keepLines w:val="0"/>
        <w:pageBreakBefore w:val="0"/>
        <w:widowControl/>
        <w:kinsoku/>
        <w:wordWrap/>
        <w:overflowPunct/>
        <w:topLinePunct w:val="0"/>
        <w:autoSpaceDE/>
        <w:autoSpaceDN/>
        <w:bidi w:val="0"/>
        <w:spacing w:line="576" w:lineRule="exact"/>
        <w:jc w:val="left"/>
        <w:textAlignment w:val="auto"/>
        <w:rPr>
          <w:rFonts w:ascii="仿宋" w:hAnsi="仿宋" w:eastAsia="仿宋"/>
          <w:b/>
          <w:sz w:val="24"/>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bookmarkStart w:id="12" w:name="_Toc15377196"/>
      <w:bookmarkStart w:id="13" w:name="_Toc15396599"/>
    </w:p>
    <w:p>
      <w:pPr>
        <w:pStyle w:val="3"/>
        <w:pageBreakBefore w:val="0"/>
        <w:kinsoku/>
        <w:wordWrap/>
        <w:overflowPunct/>
        <w:topLinePunct w:val="0"/>
        <w:autoSpaceDE/>
        <w:autoSpaceDN/>
        <w:bidi w:val="0"/>
        <w:spacing w:line="576" w:lineRule="exact"/>
        <w:ind w:firstLine="880" w:firstLineChars="200"/>
        <w:jc w:val="center"/>
        <w:textAlignment w:val="auto"/>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pStyle w:val="4"/>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b w:val="0"/>
          <w:lang w:val="en-US" w:eastAsia="zh-CN"/>
        </w:rPr>
      </w:pPr>
      <w:bookmarkStart w:id="14" w:name="_Toc15377197"/>
      <w:bookmarkStart w:id="15" w:name="_Toc15396600"/>
      <w:r>
        <w:rPr>
          <w:rFonts w:hint="eastAsia" w:ascii="黑体" w:hAnsi="黑体" w:eastAsia="黑体"/>
          <w:b w:val="0"/>
          <w:lang w:val="en-US" w:eastAsia="zh-CN"/>
        </w:rPr>
        <w:t>一、职能简介</w:t>
      </w:r>
    </w:p>
    <w:p>
      <w:pPr>
        <w:pageBreakBefore w:val="0"/>
        <w:widowControl/>
        <w:shd w:val="clear" w:color="auto" w:fill="FFFFFF"/>
        <w:kinsoku/>
        <w:wordWrap/>
        <w:overflowPunct/>
        <w:topLinePunct w:val="0"/>
        <w:autoSpaceDE/>
        <w:autoSpaceDN/>
        <w:bidi w:val="0"/>
        <w:spacing w:line="576" w:lineRule="exact"/>
        <w:ind w:firstLine="640" w:firstLineChars="200"/>
        <w:textAlignment w:val="auto"/>
        <w:rPr>
          <w:rFonts w:ascii="宋体" w:hAnsi="宋体" w:cs="宋体"/>
          <w:kern w:val="0"/>
          <w:sz w:val="24"/>
        </w:rPr>
      </w:pPr>
      <w:r>
        <w:rPr>
          <w:rFonts w:hint="eastAsia" w:ascii="仿宋_GB2312" w:hAnsi="Times New Roman" w:eastAsia="仿宋_GB2312" w:cs="Times New Roman"/>
          <w:b w:val="0"/>
          <w:bCs w:val="0"/>
          <w:kern w:val="2"/>
          <w:sz w:val="32"/>
          <w:szCs w:val="32"/>
          <w:lang w:val="en-US" w:eastAsia="zh-CN" w:bidi="ar-SA"/>
        </w:rPr>
        <w:t>本单位是广元市林业局二级单位，属独立全额财政预算单位。主要职能是</w:t>
      </w:r>
      <w:r>
        <w:rPr>
          <w:rFonts w:hint="eastAsia" w:ascii="仿宋_GB2312" w:eastAsia="仿宋_GB2312"/>
          <w:sz w:val="32"/>
          <w:szCs w:val="32"/>
        </w:rPr>
        <w:t>负责林木良种选育、新品种试验示范和推广，经济林丰产栽培技术研究、森林生态保护与利用研究；负责花卉产业和林下经济科研与实用技术推广；负责林业技术实验示范研究，林业技术人员培训及科技项目指导，林业科技信息服务、宣传咨询等。</w:t>
      </w:r>
    </w:p>
    <w:p>
      <w:pPr>
        <w:pStyle w:val="4"/>
        <w:pageBreakBefore w:val="0"/>
        <w:kinsoku/>
        <w:wordWrap/>
        <w:overflowPunct/>
        <w:topLinePunct w:val="0"/>
        <w:autoSpaceDE/>
        <w:autoSpaceDN/>
        <w:bidi w:val="0"/>
        <w:spacing w:line="576" w:lineRule="exact"/>
        <w:ind w:firstLine="640" w:firstLineChars="200"/>
        <w:textAlignment w:val="auto"/>
        <w:rPr>
          <w:rFonts w:hint="eastAsia" w:ascii="黑体" w:hAnsi="黑体" w:eastAsia="黑体"/>
          <w:b w:val="0"/>
        </w:rPr>
      </w:pPr>
      <w:r>
        <w:rPr>
          <w:rFonts w:hint="eastAsia" w:ascii="黑体" w:hAnsi="黑体" w:eastAsia="黑体"/>
          <w:b w:val="0"/>
        </w:rPr>
        <w:t>二、2021年重点工作</w:t>
      </w:r>
      <w:bookmarkEnd w:id="14"/>
      <w:bookmarkEnd w:id="15"/>
      <w:r>
        <w:rPr>
          <w:rFonts w:hint="eastAsia" w:ascii="黑体" w:hAnsi="黑体" w:eastAsia="黑体"/>
          <w:b w:val="0"/>
        </w:rPr>
        <w:t>完成情况</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1.技术研究工作</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（1）持续推进实施核桃育种“一号工程”并取得阶段成效。在川、陕、甘、渝四省市引进2</w:t>
      </w:r>
      <w:r>
        <w:rPr>
          <w:rFonts w:ascii="仿宋" w:hAnsi="仿宋" w:eastAsia="仿宋"/>
          <w:bCs/>
          <w:sz w:val="32"/>
          <w:szCs w:val="32"/>
        </w:rPr>
        <w:t>0</w:t>
      </w:r>
      <w:r>
        <w:rPr>
          <w:rFonts w:hint="eastAsia" w:ascii="仿宋" w:hAnsi="仿宋" w:eastAsia="仿宋"/>
          <w:bCs/>
          <w:sz w:val="32"/>
          <w:szCs w:val="32"/>
        </w:rPr>
        <w:t>余个当地优良品种开展引种驯化试验，在旺苍县国营苗圃与该圃共建3</w:t>
      </w:r>
      <w:r>
        <w:rPr>
          <w:rFonts w:ascii="仿宋" w:hAnsi="仿宋" w:eastAsia="仿宋"/>
          <w:bCs/>
          <w:sz w:val="32"/>
          <w:szCs w:val="32"/>
        </w:rPr>
        <w:t>0</w:t>
      </w:r>
      <w:r>
        <w:rPr>
          <w:rFonts w:hint="eastAsia" w:ascii="仿宋" w:hAnsi="仿宋" w:eastAsia="仿宋"/>
          <w:bCs/>
          <w:sz w:val="32"/>
          <w:szCs w:val="32"/>
        </w:rPr>
        <w:t>亩引进驯化育种基地，本年度完成砧木定植和引进穗条嫁接工作，目前嫁接成活率9</w:t>
      </w:r>
      <w:r>
        <w:rPr>
          <w:rFonts w:ascii="仿宋" w:hAnsi="仿宋" w:eastAsia="仿宋"/>
          <w:bCs/>
          <w:sz w:val="32"/>
          <w:szCs w:val="32"/>
        </w:rPr>
        <w:t>5</w:t>
      </w:r>
      <w:r>
        <w:rPr>
          <w:rFonts w:hint="eastAsia" w:ascii="仿宋" w:hAnsi="仿宋" w:eastAsia="仿宋"/>
          <w:bCs/>
          <w:sz w:val="32"/>
          <w:szCs w:val="32"/>
        </w:rPr>
        <w:t>%以上，树木长势优良。</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以“硕星”、“青川1号”、“旺核2号”3个省审定良种和“广丰”1个省认定良种为亲本，开展8个组合（含反交）的杂交育种试验，获得杂交成功种子6</w:t>
      </w:r>
      <w:r>
        <w:rPr>
          <w:rFonts w:ascii="仿宋" w:hAnsi="仿宋" w:eastAsia="仿宋"/>
          <w:bCs/>
          <w:sz w:val="32"/>
          <w:szCs w:val="32"/>
        </w:rPr>
        <w:t>0</w:t>
      </w:r>
      <w:r>
        <w:rPr>
          <w:rFonts w:hint="eastAsia" w:ascii="仿宋" w:hAnsi="仿宋" w:eastAsia="仿宋"/>
          <w:bCs/>
          <w:sz w:val="32"/>
          <w:szCs w:val="32"/>
        </w:rPr>
        <w:t>余颗；对2</w:t>
      </w:r>
      <w:r>
        <w:rPr>
          <w:rFonts w:ascii="仿宋" w:hAnsi="仿宋" w:eastAsia="仿宋"/>
          <w:bCs/>
          <w:sz w:val="32"/>
          <w:szCs w:val="32"/>
        </w:rPr>
        <w:t>020</w:t>
      </w:r>
      <w:r>
        <w:rPr>
          <w:rFonts w:hint="eastAsia" w:ascii="仿宋" w:hAnsi="仿宋" w:eastAsia="仿宋"/>
          <w:bCs/>
          <w:sz w:val="32"/>
          <w:szCs w:val="32"/>
        </w:rPr>
        <w:t>年度杂交育种试验获得的1</w:t>
      </w:r>
      <w:r>
        <w:rPr>
          <w:rFonts w:ascii="仿宋" w:hAnsi="仿宋" w:eastAsia="仿宋"/>
          <w:bCs/>
          <w:sz w:val="32"/>
          <w:szCs w:val="32"/>
        </w:rPr>
        <w:t>10</w:t>
      </w:r>
      <w:r>
        <w:rPr>
          <w:rFonts w:hint="eastAsia" w:ascii="仿宋" w:hAnsi="仿宋" w:eastAsia="仿宋"/>
          <w:bCs/>
          <w:sz w:val="32"/>
          <w:szCs w:val="32"/>
        </w:rPr>
        <w:t>余颗种子完成播种育苗，成功培育苗木8</w:t>
      </w:r>
      <w:r>
        <w:rPr>
          <w:rFonts w:ascii="仿宋" w:hAnsi="仿宋" w:eastAsia="仿宋"/>
          <w:bCs/>
          <w:sz w:val="32"/>
          <w:szCs w:val="32"/>
        </w:rPr>
        <w:t>5</w:t>
      </w:r>
      <w:r>
        <w:rPr>
          <w:rFonts w:hint="eastAsia" w:ascii="仿宋" w:hAnsi="仿宋" w:eastAsia="仿宋"/>
          <w:bCs/>
          <w:sz w:val="32"/>
          <w:szCs w:val="32"/>
        </w:rPr>
        <w:t>株，目前长势优良。</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（2）持续推进“国内核桃主产区主要品种成分分析”项目研究，启动开展“核桃油保质技术研究”工作。本年度在市内、省内其他市州及新疆、云南、陕西、山西、甘肃等省采集当地核桃良种2</w:t>
      </w:r>
      <w:r>
        <w:rPr>
          <w:rFonts w:ascii="仿宋" w:hAnsi="仿宋" w:eastAsia="仿宋"/>
          <w:bCs/>
          <w:sz w:val="32"/>
          <w:szCs w:val="32"/>
        </w:rPr>
        <w:t>4</w:t>
      </w:r>
      <w:r>
        <w:rPr>
          <w:rFonts w:hint="eastAsia" w:ascii="仿宋" w:hAnsi="仿宋" w:eastAsia="仿宋"/>
          <w:bCs/>
          <w:sz w:val="32"/>
          <w:szCs w:val="32"/>
        </w:rPr>
        <w:t>份，委托省轻工业研究院继续开展核桃成分分析研究工作，目前已完成检测，正汇总分析2</w:t>
      </w:r>
      <w:r>
        <w:rPr>
          <w:rFonts w:ascii="仿宋" w:hAnsi="仿宋" w:eastAsia="仿宋"/>
          <w:bCs/>
          <w:sz w:val="32"/>
          <w:szCs w:val="32"/>
        </w:rPr>
        <w:t>018</w:t>
      </w:r>
      <w:r>
        <w:rPr>
          <w:rFonts w:hint="eastAsia" w:ascii="仿宋" w:hAnsi="仿宋" w:eastAsia="仿宋"/>
          <w:bCs/>
          <w:sz w:val="32"/>
          <w:szCs w:val="32"/>
        </w:rPr>
        <w:t>-</w:t>
      </w:r>
      <w:r>
        <w:rPr>
          <w:rFonts w:ascii="仿宋" w:hAnsi="仿宋" w:eastAsia="仿宋"/>
          <w:bCs/>
          <w:sz w:val="32"/>
          <w:szCs w:val="32"/>
        </w:rPr>
        <w:t>2021</w:t>
      </w:r>
      <w:r>
        <w:rPr>
          <w:rFonts w:hint="eastAsia" w:ascii="仿宋" w:hAnsi="仿宋" w:eastAsia="仿宋"/>
          <w:bCs/>
          <w:sz w:val="32"/>
          <w:szCs w:val="32"/>
        </w:rPr>
        <w:t>年连续4年检测数据，提交最终分析研究报告。联合省轻工业研究院启动开展</w:t>
      </w:r>
      <w:bookmarkStart w:id="16" w:name="_Hlk92180439"/>
      <w:r>
        <w:rPr>
          <w:rFonts w:hint="eastAsia" w:ascii="仿宋" w:hAnsi="仿宋" w:eastAsia="仿宋"/>
          <w:bCs/>
          <w:sz w:val="32"/>
          <w:szCs w:val="32"/>
        </w:rPr>
        <w:t>“核桃油保质技术研究</w:t>
      </w:r>
      <w:bookmarkEnd w:id="16"/>
      <w:r>
        <w:rPr>
          <w:rFonts w:hint="eastAsia" w:ascii="仿宋" w:hAnsi="仿宋" w:eastAsia="仿宋"/>
          <w:bCs/>
          <w:sz w:val="32"/>
          <w:szCs w:val="32"/>
        </w:rPr>
        <w:t>”工作，到市内两家核桃油加工企业开展了生产工艺调研和布设工艺优化试验，目前研究工作进展正常。</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bookmarkStart w:id="17" w:name="_Hlk92181224"/>
      <w:r>
        <w:rPr>
          <w:rFonts w:hint="eastAsia" w:ascii="仿宋" w:hAnsi="仿宋" w:eastAsia="仿宋"/>
          <w:bCs/>
          <w:sz w:val="32"/>
          <w:szCs w:val="32"/>
        </w:rPr>
        <w:t>（3）“朝天核桃”</w:t>
      </w:r>
      <w:bookmarkEnd w:id="17"/>
      <w:r>
        <w:rPr>
          <w:rFonts w:hint="eastAsia" w:ascii="仿宋" w:hAnsi="仿宋" w:eastAsia="仿宋"/>
          <w:bCs/>
          <w:sz w:val="32"/>
          <w:szCs w:val="32"/>
        </w:rPr>
        <w:t>系列地方标准通过修订后重新发布。由我院牵头编制的《朝天核桃品种选育技术规程》《朝天核桃育苗技术规程》《朝天核桃栽培技术规程》《朝天核桃主要病虫害防治技术规程》《朝天核桃采收与坚果分级》5项广元市地方标准，按照市市场监管局要求今年完成了到期修订并通过该局重新发布。</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（4）进一步做好发明专利申请工作。盯紧核桃专用肥发明专利申请工作进程，对国家知识产权局提出的质疑进行及时答复提交，争取早日获得该项发明专利。</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2.技术推广工作</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(1)科技推广项目完成实施，顺利通过现场查定。按项目合同和实施方案推进“油橄榄标准化示范区建设”和“核桃标准化示范区建设”两个中央财政林草科技推广示范项目的实施，目前均已通过省林草局组织的现场查定，项目实施成效获得查定专家的高度肯定。</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(2)创新举办示范性技术培训。联合各县区林业局集中开展核桃、油橄榄冬管技术示范性培训，以各类种植业主和县区、乡镇林业技术人员为培训对象，以园区和产业重点乡镇为培训现场，累计培训6</w:t>
      </w:r>
      <w:r>
        <w:rPr>
          <w:rFonts w:ascii="仿宋" w:hAnsi="仿宋" w:eastAsia="仿宋"/>
          <w:bCs/>
          <w:sz w:val="32"/>
          <w:szCs w:val="32"/>
        </w:rPr>
        <w:t>00</w:t>
      </w:r>
      <w:r>
        <w:rPr>
          <w:rFonts w:hint="eastAsia" w:ascii="仿宋" w:hAnsi="仿宋" w:eastAsia="仿宋"/>
          <w:bCs/>
          <w:sz w:val="32"/>
          <w:szCs w:val="32"/>
        </w:rPr>
        <w:t>人次，培训工作和效果得到参训人员、县区林业部门、有关乡镇政府的高度肯定。</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(3)持续深入开展技术指导服务。在核桃、油橄榄管理的关键季节，及时派出包括三区科技人才、市级科技特派员等在内的专业技术人员到现场开展技术指导、咨询服务，全年累计开展</w:t>
      </w:r>
      <w:r>
        <w:rPr>
          <w:rFonts w:ascii="仿宋" w:hAnsi="仿宋" w:eastAsia="仿宋"/>
          <w:bCs/>
          <w:sz w:val="32"/>
          <w:szCs w:val="32"/>
        </w:rPr>
        <w:t>200</w:t>
      </w:r>
      <w:r>
        <w:rPr>
          <w:rFonts w:hint="eastAsia" w:ascii="仿宋" w:hAnsi="仿宋" w:eastAsia="仿宋"/>
          <w:bCs/>
          <w:sz w:val="32"/>
          <w:szCs w:val="32"/>
        </w:rPr>
        <w:t>人次以上；发动院内科研人员积极参与四川科技扶贫在线答题。</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(4)持续做好科研基地建设管理。做好大石油橄榄省级长期科研基地和上西油橄榄种质资源圃两处科研基地的管理工作，大石基地提升改造工作基本完成，树木长势明显好转，滴灌工程正式通过验收，上西种质资源圃提升改造工作正在推进中。</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3.油橄榄产业推进工作</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（1）指导督促深入推进油橄榄基地提质增效工作。按照市林业局《关于进一步深入推进油橄榄基地提质增效工作的通知》，加大现场技术指导和工作督促力度，以原市县共建示范点面积6</w:t>
      </w:r>
      <w:r>
        <w:rPr>
          <w:rFonts w:ascii="仿宋" w:hAnsi="仿宋" w:eastAsia="仿宋"/>
          <w:bCs/>
          <w:sz w:val="32"/>
          <w:szCs w:val="32"/>
        </w:rPr>
        <w:t>800</w:t>
      </w:r>
      <w:r>
        <w:rPr>
          <w:rFonts w:hint="eastAsia" w:ascii="仿宋" w:hAnsi="仿宋" w:eastAsia="仿宋"/>
          <w:bCs/>
          <w:sz w:val="32"/>
          <w:szCs w:val="32"/>
        </w:rPr>
        <w:t>亩为抓手，督促青川、利州、剑阁、苍溪等县区做好基地丰产管护，巩固丰产基地面积5万亩。指导督促青川县做好沙州油橄榄园区上档升级工作，力争2</w:t>
      </w:r>
      <w:r>
        <w:rPr>
          <w:rFonts w:ascii="仿宋" w:hAnsi="仿宋" w:eastAsia="仿宋"/>
          <w:bCs/>
          <w:sz w:val="32"/>
          <w:szCs w:val="32"/>
        </w:rPr>
        <w:t>022</w:t>
      </w:r>
      <w:r>
        <w:rPr>
          <w:rFonts w:hint="eastAsia" w:ascii="仿宋" w:hAnsi="仿宋" w:eastAsia="仿宋"/>
          <w:bCs/>
          <w:sz w:val="32"/>
          <w:szCs w:val="32"/>
        </w:rPr>
        <w:t>年列入省级培育园区。</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2）加强油橄榄产业发展交流工作。按照市委主要领导要求，与甘肃省陇南市武都区政府及油橄榄产业办开展数次调研及交流，正式建立油橄榄果及橄榄油价格信息互通机制，力争联合解决当前两地油橄榄果收购价格不稳定、进口橄榄油严重冲击国产橄榄油市场的问题。指导督促油橄榄企业开发油橄榄精深加工产品取得初步成效。</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4.林产品质量安全工作</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(1)顺利通过资质双认证。通过不断提升检测能力、优化改造实验室、补充采购仪器设备等工作，林产品质监站于今年</w:t>
      </w:r>
      <w:r>
        <w:rPr>
          <w:rFonts w:ascii="仿宋" w:hAnsi="仿宋" w:eastAsia="仿宋"/>
          <w:bCs/>
          <w:sz w:val="32"/>
          <w:szCs w:val="32"/>
        </w:rPr>
        <w:t>7</w:t>
      </w:r>
      <w:r>
        <w:rPr>
          <w:rFonts w:hint="eastAsia" w:ascii="仿宋" w:hAnsi="仿宋" w:eastAsia="仿宋"/>
          <w:bCs/>
          <w:sz w:val="32"/>
          <w:szCs w:val="32"/>
        </w:rPr>
        <w:t>月顺利通过省市场监管局、省农业厅组织的检验检测机构资质认定和农产品质量安全考核合格双认证，正式获得CMA、CATL双证，为全省1</w:t>
      </w:r>
      <w:r>
        <w:rPr>
          <w:rFonts w:ascii="仿宋" w:hAnsi="仿宋" w:eastAsia="仿宋"/>
          <w:bCs/>
          <w:sz w:val="32"/>
          <w:szCs w:val="32"/>
        </w:rPr>
        <w:t>0</w:t>
      </w:r>
      <w:r>
        <w:rPr>
          <w:rFonts w:hint="eastAsia" w:ascii="仿宋" w:hAnsi="仿宋" w:eastAsia="仿宋"/>
          <w:bCs/>
          <w:sz w:val="32"/>
          <w:szCs w:val="32"/>
        </w:rPr>
        <w:t>个片区站中第二家通过双认证的机构，将为今后依法、科学开展食用林产品安全监管提供强有力保障。</w:t>
      </w:r>
    </w:p>
    <w:p>
      <w:pPr>
        <w:pStyle w:val="6"/>
        <w:pageBreakBefore w:val="0"/>
        <w:kinsoku/>
        <w:wordWrap/>
        <w:overflowPunct/>
        <w:topLinePunct w:val="0"/>
        <w:autoSpaceDE/>
        <w:autoSpaceDN/>
        <w:bidi w:val="0"/>
        <w:adjustRightInd w:val="0"/>
        <w:snapToGrid w:val="0"/>
        <w:spacing w:before="93" w:line="576" w:lineRule="exact"/>
        <w:ind w:firstLine="640" w:firstLineChars="200"/>
        <w:textAlignment w:val="auto"/>
        <w:outlineLvl w:val="2"/>
        <w:rPr>
          <w:rFonts w:ascii="仿宋" w:hAnsi="仿宋" w:eastAsia="仿宋"/>
          <w:bCs/>
          <w:sz w:val="32"/>
          <w:szCs w:val="32"/>
        </w:rPr>
      </w:pPr>
      <w:r>
        <w:rPr>
          <w:rFonts w:hint="eastAsia" w:ascii="仿宋" w:hAnsi="仿宋" w:eastAsia="仿宋"/>
          <w:bCs/>
          <w:sz w:val="32"/>
          <w:szCs w:val="32"/>
        </w:rPr>
        <w:t>(2)圆满完成年度例行监测任务。按照省局下达的2021年林产品质量安全例行监测工作任务，完成了广元、绵阳两市600批次样品的采集及实验室检测工作，种类涉及核桃及产地土壤、竹笋及产地土壤、食用菌和林下中药材产地土壤，抽样地点覆盖两市9</w:t>
      </w:r>
      <w:r>
        <w:rPr>
          <w:rFonts w:ascii="仿宋" w:hAnsi="仿宋" w:eastAsia="仿宋"/>
          <w:bCs/>
          <w:sz w:val="32"/>
          <w:szCs w:val="32"/>
        </w:rPr>
        <w:t>0</w:t>
      </w:r>
      <w:r>
        <w:rPr>
          <w:rFonts w:hint="eastAsia" w:ascii="仿宋" w:hAnsi="仿宋" w:eastAsia="仿宋"/>
          <w:bCs/>
          <w:sz w:val="32"/>
          <w:szCs w:val="32"/>
        </w:rPr>
        <w:t>余个乡镇，按时向省局上报了检测结果数据，本年度全市食用林产品合格率达1</w:t>
      </w:r>
      <w:r>
        <w:rPr>
          <w:rFonts w:ascii="仿宋" w:hAnsi="仿宋" w:eastAsia="仿宋"/>
          <w:bCs/>
          <w:sz w:val="32"/>
          <w:szCs w:val="32"/>
        </w:rPr>
        <w:t>00</w:t>
      </w:r>
      <w:r>
        <w:rPr>
          <w:rFonts w:hint="eastAsia" w:ascii="仿宋" w:hAnsi="仿宋" w:eastAsia="仿宋"/>
          <w:bCs/>
          <w:sz w:val="32"/>
          <w:szCs w:val="32"/>
        </w:rPr>
        <w:t>%。协助、配合两市林业部门完成了林产品安全风险点处置工作。</w:t>
      </w:r>
    </w:p>
    <w:p>
      <w:pPr>
        <w:pageBreakBefore w:val="0"/>
        <w:kinsoku/>
        <w:wordWrap/>
        <w:overflowPunct/>
        <w:topLinePunct w:val="0"/>
        <w:autoSpaceDE/>
        <w:autoSpaceDN/>
        <w:bidi w:val="0"/>
        <w:spacing w:line="576" w:lineRule="exact"/>
        <w:textAlignment w:val="auto"/>
        <w:rPr>
          <w:rFonts w:hint="eastAsia"/>
        </w:rPr>
      </w:pPr>
    </w:p>
    <w:p>
      <w:pPr>
        <w:pStyle w:val="3"/>
        <w:ind w:right="440"/>
        <w:jc w:val="center"/>
      </w:pPr>
      <w:bookmarkStart w:id="18" w:name="_Toc15396602"/>
      <w:bookmarkStart w:id="19" w:name="_Toc15377204"/>
      <w:r>
        <w:rPr>
          <w:rFonts w:hint="eastAsia" w:ascii="黑体" w:hAnsi="黑体" w:eastAsia="黑体"/>
          <w:b w:val="0"/>
        </w:rPr>
        <w:t>第二部分 2021年度</w:t>
      </w:r>
      <w:r>
        <w:rPr>
          <w:rStyle w:val="24"/>
          <w:rFonts w:hint="eastAsia" w:ascii="黑体" w:hAnsi="黑体" w:eastAsia="黑体"/>
          <w:b w:val="0"/>
          <w:bCs/>
        </w:rPr>
        <w:t>单位决算情况说明</w:t>
      </w:r>
      <w:bookmarkEnd w:id="18"/>
      <w:bookmarkEnd w:id="19"/>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20" w:name="_Toc15396603"/>
      <w:bookmarkStart w:id="21" w:name="_Toc15377205"/>
      <w:r>
        <w:rPr>
          <w:rFonts w:hint="eastAsia" w:ascii="黑体" w:hAnsi="黑体" w:eastAsia="黑体"/>
          <w:sz w:val="32"/>
          <w:szCs w:val="32"/>
          <w:lang w:eastAsia="zh-CN"/>
        </w:rPr>
        <w:t>一、</w:t>
      </w:r>
      <w:r>
        <w:rPr>
          <w:rFonts w:hint="eastAsia" w:ascii="黑体" w:hAnsi="黑体" w:eastAsia="黑体"/>
          <w:sz w:val="32"/>
          <w:szCs w:val="32"/>
        </w:rPr>
        <w:t>收</w:t>
      </w:r>
      <w:r>
        <w:rPr>
          <w:rStyle w:val="25"/>
          <w:rFonts w:hint="eastAsia" w:ascii="黑体" w:hAnsi="黑体" w:eastAsia="黑体"/>
          <w:b w:val="0"/>
        </w:rPr>
        <w:t>入支出决算总体情况说明</w:t>
      </w:r>
      <w:bookmarkEnd w:id="20"/>
      <w:bookmarkEnd w:id="21"/>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2021年度收、支总计1493.1万元。与2020年相比，收、支总计各减少576.1万元，下降27.84</w:t>
      </w:r>
      <w:r>
        <w:rPr>
          <w:rFonts w:ascii="仿宋" w:hAnsi="仿宋" w:eastAsia="仿宋"/>
          <w:sz w:val="32"/>
          <w:szCs w:val="32"/>
        </w:rPr>
        <w:t>%</w:t>
      </w:r>
      <w:r>
        <w:rPr>
          <w:rFonts w:hint="eastAsia" w:ascii="仿宋" w:hAnsi="仿宋" w:eastAsia="仿宋"/>
          <w:sz w:val="32"/>
          <w:szCs w:val="32"/>
        </w:rPr>
        <w:t>。主要变动原因是2021年年初结转减少。</w:t>
      </w:r>
    </w:p>
    <w:p>
      <w:pPr>
        <w:keepNext w:val="0"/>
        <w:keepLines w:val="0"/>
        <w:pageBreakBefore w:val="0"/>
        <w:widowControl w:val="0"/>
        <w:kinsoku/>
        <w:wordWrap/>
        <w:overflowPunct/>
        <w:topLinePunct w:val="0"/>
        <w:bidi w:val="0"/>
        <w:snapToGrid/>
        <w:spacing w:line="576" w:lineRule="exact"/>
        <w:ind w:firstLine="640" w:firstLineChars="200"/>
        <w:jc w:val="center"/>
        <w:textAlignment w:val="auto"/>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r>
        <w:drawing>
          <wp:anchor distT="0" distB="0" distL="0" distR="0" simplePos="0" relativeHeight="251663360" behindDoc="0" locked="0" layoutInCell="1" allowOverlap="1">
            <wp:simplePos x="0" y="0"/>
            <wp:positionH relativeFrom="column">
              <wp:posOffset>240030</wp:posOffset>
            </wp:positionH>
            <wp:positionV relativeFrom="paragraph">
              <wp:posOffset>99060</wp:posOffset>
            </wp:positionV>
            <wp:extent cx="5304155" cy="2573655"/>
            <wp:effectExtent l="4445" t="4445" r="10160" b="12700"/>
            <wp:wrapNone/>
            <wp:docPr id="1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23"/>
        <w:keepNext w:val="0"/>
        <w:keepLines w:val="0"/>
        <w:pageBreakBefore w:val="0"/>
        <w:widowControl w:val="0"/>
        <w:numPr>
          <w:ilvl w:val="0"/>
          <w:numId w:val="0"/>
        </w:numPr>
        <w:kinsoku/>
        <w:wordWrap/>
        <w:overflowPunct/>
        <w:topLinePunct w:val="0"/>
        <w:bidi w:val="0"/>
        <w:snapToGrid/>
        <w:spacing w:line="576" w:lineRule="exact"/>
        <w:ind w:leftChars="0" w:firstLine="640" w:firstLineChars="200"/>
        <w:textAlignment w:val="auto"/>
        <w:outlineLvl w:val="1"/>
        <w:rPr>
          <w:rFonts w:hint="eastAsia" w:ascii="黑体" w:hAnsi="黑体" w:eastAsia="黑体"/>
          <w:sz w:val="32"/>
          <w:szCs w:val="32"/>
          <w:lang w:eastAsia="zh-CN"/>
        </w:rPr>
      </w:pPr>
      <w:bookmarkStart w:id="22" w:name="_Toc15377206"/>
      <w:bookmarkStart w:id="23" w:name="_Toc15396604"/>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p>
    <w:p>
      <w:pPr>
        <w:pStyle w:val="23"/>
        <w:keepNext w:val="0"/>
        <w:keepLines w:val="0"/>
        <w:pageBreakBefore w:val="0"/>
        <w:widowControl w:val="0"/>
        <w:numPr>
          <w:ilvl w:val="0"/>
          <w:numId w:val="0"/>
        </w:numPr>
        <w:kinsoku/>
        <w:wordWrap/>
        <w:overflowPunct/>
        <w:topLinePunct w:val="0"/>
        <w:bidi w:val="0"/>
        <w:snapToGrid/>
        <w:spacing w:line="576" w:lineRule="exact"/>
        <w:ind w:leftChars="0" w:firstLine="640" w:firstLineChars="200"/>
        <w:textAlignment w:val="auto"/>
        <w:outlineLvl w:val="1"/>
        <w:rPr>
          <w:rStyle w:val="25"/>
          <w:rFonts w:hint="eastAsia" w:ascii="黑体" w:hAnsi="黑体" w:eastAsia="黑体"/>
          <w:b w:val="0"/>
        </w:rPr>
      </w:pPr>
      <w:r>
        <w:rPr>
          <w:rFonts w:hint="eastAsia" w:ascii="黑体" w:hAnsi="黑体" w:eastAsia="黑体"/>
          <w:sz w:val="32"/>
          <w:szCs w:val="32"/>
          <w:lang w:eastAsia="zh-CN"/>
        </w:rPr>
        <w:t>二、</w:t>
      </w:r>
      <w:r>
        <w:rPr>
          <w:rFonts w:hint="eastAsia" w:ascii="黑体" w:hAnsi="黑体" w:eastAsia="黑体"/>
          <w:sz w:val="32"/>
          <w:szCs w:val="32"/>
        </w:rPr>
        <w:t>收</w:t>
      </w:r>
      <w:r>
        <w:rPr>
          <w:rStyle w:val="25"/>
          <w:rFonts w:hint="eastAsia" w:ascii="黑体" w:hAnsi="黑体" w:eastAsia="黑体"/>
          <w:b w:val="0"/>
        </w:rPr>
        <w:t>入决算情况说明</w:t>
      </w:r>
      <w:bookmarkEnd w:id="22"/>
      <w:bookmarkEnd w:id="23"/>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w:t>
      </w:r>
      <w:r>
        <w:rPr>
          <w:rFonts w:ascii="仿宋" w:hAnsi="仿宋" w:eastAsia="仿宋"/>
          <w:sz w:val="32"/>
          <w:szCs w:val="32"/>
        </w:rPr>
        <w:t>547.79</w:t>
      </w:r>
      <w:r>
        <w:rPr>
          <w:rFonts w:hint="eastAsia" w:ascii="仿宋" w:hAnsi="仿宋" w:eastAsia="仿宋"/>
          <w:sz w:val="32"/>
          <w:szCs w:val="32"/>
        </w:rPr>
        <w:t>万元，其中：一般公共预算财政拨款收入</w:t>
      </w:r>
      <w:r>
        <w:rPr>
          <w:rFonts w:ascii="仿宋" w:hAnsi="仿宋" w:eastAsia="仿宋"/>
          <w:sz w:val="32"/>
          <w:szCs w:val="32"/>
        </w:rPr>
        <w:t>547.17</w:t>
      </w:r>
      <w:r>
        <w:rPr>
          <w:rFonts w:hint="eastAsia" w:ascii="仿宋" w:hAnsi="仿宋" w:eastAsia="仿宋"/>
          <w:sz w:val="32"/>
          <w:szCs w:val="32"/>
        </w:rPr>
        <w:t>万元，占99.89</w:t>
      </w:r>
      <w:r>
        <w:rPr>
          <w:rFonts w:ascii="仿宋" w:hAnsi="仿宋" w:eastAsia="仿宋"/>
          <w:sz w:val="32"/>
          <w:szCs w:val="32"/>
        </w:rPr>
        <w:t>%</w:t>
      </w:r>
      <w:r>
        <w:rPr>
          <w:rFonts w:hint="eastAsia" w:ascii="仿宋" w:hAnsi="仿宋" w:eastAsia="仿宋"/>
          <w:sz w:val="32"/>
          <w:szCs w:val="32"/>
        </w:rPr>
        <w:t>；其他收入0.62万元，占0.11</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firstLine="640" w:firstLineChars="200"/>
        <w:jc w:val="center"/>
        <w:textAlignment w:val="auto"/>
        <w:rPr>
          <w:rFonts w:ascii="仿宋" w:hAnsi="仿宋" w:eastAsia="仿宋"/>
          <w:sz w:val="32"/>
          <w:szCs w:val="32"/>
        </w:rPr>
      </w:pPr>
      <w:r>
        <w:rPr>
          <w:rFonts w:hint="eastAsia" w:ascii="仿宋" w:hAnsi="仿宋" w:eastAsia="仿宋"/>
          <w:sz w:val="32"/>
          <w:szCs w:val="32"/>
        </w:rPr>
        <w:t>（图2：收入决算结构图）</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 w:hAnsi="仿宋" w:eastAsia="仿宋"/>
          <w:sz w:val="32"/>
          <w:szCs w:val="32"/>
        </w:rPr>
      </w:pPr>
      <w:r>
        <w:rPr>
          <w:rFonts w:ascii="仿宋" w:hAnsi="仿宋" w:eastAsia="仿宋"/>
          <w:sz w:val="32"/>
          <w:szCs w:val="32"/>
        </w:rPr>
        <w:drawing>
          <wp:anchor distT="0" distB="0" distL="114300" distR="114300" simplePos="0" relativeHeight="251661312" behindDoc="0" locked="0" layoutInCell="1" allowOverlap="1">
            <wp:simplePos x="0" y="0"/>
            <wp:positionH relativeFrom="column">
              <wp:posOffset>255270</wp:posOffset>
            </wp:positionH>
            <wp:positionV relativeFrom="paragraph">
              <wp:posOffset>92710</wp:posOffset>
            </wp:positionV>
            <wp:extent cx="4981575" cy="1655445"/>
            <wp:effectExtent l="4445" t="4445" r="12700" b="16510"/>
            <wp:wrapNone/>
            <wp:docPr id="2"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24" w:name="_Toc15377207"/>
      <w:bookmarkStart w:id="25" w:name="_Toc15396605"/>
      <w:r>
        <w:rPr>
          <w:rFonts w:hint="eastAsia" w:ascii="黑体" w:hAnsi="黑体" w:eastAsia="黑体"/>
          <w:sz w:val="32"/>
          <w:szCs w:val="32"/>
          <w:lang w:eastAsia="zh-CN"/>
        </w:rPr>
        <w:t>三、</w:t>
      </w:r>
      <w:r>
        <w:rPr>
          <w:rFonts w:hint="eastAsia" w:ascii="黑体" w:hAnsi="黑体" w:eastAsia="黑体"/>
          <w:sz w:val="32"/>
          <w:szCs w:val="32"/>
        </w:rPr>
        <w:t>支</w:t>
      </w:r>
      <w:r>
        <w:rPr>
          <w:rStyle w:val="25"/>
          <w:rFonts w:hint="eastAsia" w:ascii="黑体" w:hAnsi="黑体" w:eastAsia="黑体"/>
          <w:b w:val="0"/>
        </w:rPr>
        <w:t>出决算情况说明</w:t>
      </w:r>
      <w:bookmarkEnd w:id="24"/>
      <w:bookmarkEnd w:id="25"/>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w:t>
      </w:r>
      <w:r>
        <w:rPr>
          <w:rFonts w:ascii="仿宋" w:hAnsi="仿宋" w:eastAsia="仿宋"/>
          <w:sz w:val="32"/>
          <w:szCs w:val="32"/>
        </w:rPr>
        <w:t>1040.02</w:t>
      </w:r>
      <w:r>
        <w:rPr>
          <w:rFonts w:hint="eastAsia" w:ascii="仿宋" w:hAnsi="仿宋" w:eastAsia="仿宋"/>
          <w:sz w:val="32"/>
          <w:szCs w:val="32"/>
        </w:rPr>
        <w:t>万元，其中：基本支出</w:t>
      </w:r>
      <w:r>
        <w:rPr>
          <w:rFonts w:ascii="仿宋" w:hAnsi="仿宋" w:eastAsia="仿宋"/>
          <w:sz w:val="32"/>
          <w:szCs w:val="32"/>
        </w:rPr>
        <w:t>434.16</w:t>
      </w:r>
      <w:r>
        <w:rPr>
          <w:rFonts w:hint="eastAsia" w:ascii="仿宋" w:hAnsi="仿宋" w:eastAsia="仿宋"/>
          <w:sz w:val="32"/>
          <w:szCs w:val="32"/>
        </w:rPr>
        <w:t>万元，占41.75</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sz w:val="32"/>
          <w:szCs w:val="32"/>
        </w:rPr>
        <w:t>605.86</w:t>
      </w:r>
      <w:r>
        <w:rPr>
          <w:rFonts w:hint="eastAsia" w:ascii="仿宋" w:hAnsi="仿宋" w:eastAsia="仿宋"/>
          <w:sz w:val="32"/>
          <w:szCs w:val="32"/>
        </w:rPr>
        <w:t>万元，占58.25</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firstLine="1280" w:firstLineChars="400"/>
        <w:jc w:val="center"/>
        <w:textAlignment w:val="auto"/>
        <w:outlineLvl w:val="1"/>
        <w:rPr>
          <w:rFonts w:ascii="仿宋" w:hAnsi="仿宋" w:eastAsia="仿宋"/>
          <w:sz w:val="32"/>
          <w:szCs w:val="32"/>
          <w:shd w:val="pct10" w:color="auto" w:fill="FFFFFF"/>
        </w:rPr>
      </w:pPr>
      <w:r>
        <w:rPr>
          <w:rFonts w:hint="eastAsia" w:ascii="仿宋" w:hAnsi="仿宋" w:eastAsia="仿宋"/>
          <w:sz w:val="32"/>
          <w:szCs w:val="32"/>
        </w:rPr>
        <w:t>（图3：支出决算结构图）</w:t>
      </w:r>
    </w:p>
    <w:p>
      <w:pPr>
        <w:keepNext w:val="0"/>
        <w:keepLines w:val="0"/>
        <w:pageBreakBefore w:val="0"/>
        <w:widowControl w:val="0"/>
        <w:kinsoku/>
        <w:wordWrap/>
        <w:overflowPunct/>
        <w:topLinePunct w:val="0"/>
        <w:bidi w:val="0"/>
        <w:snapToGrid/>
        <w:spacing w:line="576" w:lineRule="exact"/>
        <w:ind w:firstLine="420" w:firstLineChars="200"/>
        <w:textAlignment w:val="auto"/>
        <w:rPr>
          <w:rFonts w:ascii="仿宋" w:hAnsi="仿宋" w:eastAsia="仿宋"/>
          <w:sz w:val="32"/>
          <w:szCs w:val="32"/>
          <w:shd w:val="pct10" w:color="auto" w:fill="FFFFFF"/>
        </w:rPr>
      </w:pPr>
      <w:r>
        <w:drawing>
          <wp:anchor distT="0" distB="0" distL="0" distR="0" simplePos="0" relativeHeight="251664384" behindDoc="0" locked="0" layoutInCell="1" allowOverlap="1">
            <wp:simplePos x="0" y="0"/>
            <wp:positionH relativeFrom="column">
              <wp:posOffset>80010</wp:posOffset>
            </wp:positionH>
            <wp:positionV relativeFrom="paragraph">
              <wp:posOffset>177165</wp:posOffset>
            </wp:positionV>
            <wp:extent cx="5322570" cy="2065020"/>
            <wp:effectExtent l="19050" t="0" r="11430" b="0"/>
            <wp:wrapNone/>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keepNext w:val="0"/>
        <w:keepLines w:val="0"/>
        <w:pageBreakBefore w:val="0"/>
        <w:widowControl w:val="0"/>
        <w:kinsoku/>
        <w:wordWrap/>
        <w:overflowPunct/>
        <w:topLinePunct w:val="0"/>
        <w:bidi w:val="0"/>
        <w:snapToGrid/>
        <w:spacing w:line="576" w:lineRule="exact"/>
        <w:ind w:firstLine="640" w:firstLineChars="200"/>
        <w:jc w:val="center"/>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黑体" w:hAnsi="黑体" w:eastAsia="黑体"/>
          <w:sz w:val="32"/>
          <w:szCs w:val="32"/>
        </w:rPr>
      </w:pPr>
      <w:bookmarkStart w:id="26" w:name="_Toc15377208"/>
      <w:bookmarkStart w:id="27" w:name="_Toc15396606"/>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eastAsia" w:ascii="黑体" w:hAnsi="黑体" w:eastAsia="黑体"/>
          <w:sz w:val="32"/>
          <w:szCs w:val="32"/>
        </w:rPr>
      </w:pPr>
    </w:p>
    <w:p>
      <w:pPr>
        <w:keepNext w:val="0"/>
        <w:keepLines w:val="0"/>
        <w:pageBreakBefore w:val="0"/>
        <w:widowControl w:val="0"/>
        <w:kinsoku/>
        <w:wordWrap/>
        <w:overflowPunct/>
        <w:topLinePunct w:val="0"/>
        <w:bidi w:val="0"/>
        <w:snapToGrid/>
        <w:spacing w:line="576" w:lineRule="exact"/>
        <w:ind w:firstLine="1280" w:firstLineChars="400"/>
        <w:textAlignment w:val="auto"/>
        <w:outlineLvl w:val="1"/>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ascii="仿宋" w:hAnsi="仿宋" w:eastAsia="仿宋"/>
          <w:sz w:val="32"/>
          <w:szCs w:val="32"/>
        </w:rPr>
      </w:pPr>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6"/>
      <w:bookmarkEnd w:id="27"/>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w:t>
      </w:r>
      <w:r>
        <w:rPr>
          <w:rFonts w:ascii="仿宋" w:hAnsi="仿宋" w:eastAsia="仿宋"/>
          <w:sz w:val="32"/>
          <w:szCs w:val="32"/>
        </w:rPr>
        <w:t>1479.38</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20年相比，财政拨款收、支总计各减少576.95万元，下降28.06</w:t>
      </w:r>
      <w:r>
        <w:rPr>
          <w:rFonts w:ascii="仿宋" w:hAnsi="仿宋" w:eastAsia="仿宋"/>
          <w:sz w:val="32"/>
          <w:szCs w:val="32"/>
        </w:rPr>
        <w:t>%</w:t>
      </w:r>
      <w:r>
        <w:rPr>
          <w:rFonts w:hint="eastAsia" w:ascii="仿宋" w:hAnsi="仿宋" w:eastAsia="仿宋"/>
          <w:sz w:val="32"/>
          <w:szCs w:val="32"/>
        </w:rPr>
        <w:t>。主要变动原因是2021年年初结转减少。</w:t>
      </w:r>
    </w:p>
    <w:p>
      <w:pPr>
        <w:keepNext w:val="0"/>
        <w:keepLines w:val="0"/>
        <w:pageBreakBefore w:val="0"/>
        <w:widowControl w:val="0"/>
        <w:kinsoku/>
        <w:wordWrap/>
        <w:overflowPunct/>
        <w:topLinePunct w:val="0"/>
        <w:bidi w:val="0"/>
        <w:snapToGrid/>
        <w:spacing w:line="576" w:lineRule="exact"/>
        <w:ind w:firstLine="640" w:firstLineChars="200"/>
        <w:jc w:val="center"/>
        <w:textAlignment w:val="auto"/>
      </w:pPr>
      <w:r>
        <w:rPr>
          <w:rFonts w:hint="eastAsia" w:ascii="仿宋" w:hAnsi="仿宋" w:eastAsia="仿宋"/>
          <w:sz w:val="32"/>
          <w:szCs w:val="32"/>
        </w:rPr>
        <w:t>（图4：财政拨款收、支决算总计变动情况）</w:t>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r>
        <w:drawing>
          <wp:anchor distT="0" distB="0" distL="0" distR="0" simplePos="0" relativeHeight="251665408" behindDoc="0" locked="0" layoutInCell="1" allowOverlap="1">
            <wp:simplePos x="0" y="0"/>
            <wp:positionH relativeFrom="column">
              <wp:posOffset>263525</wp:posOffset>
            </wp:positionH>
            <wp:positionV relativeFrom="paragraph">
              <wp:posOffset>53975</wp:posOffset>
            </wp:positionV>
            <wp:extent cx="5114925" cy="2414270"/>
            <wp:effectExtent l="4445" t="4445" r="16510" b="19685"/>
            <wp:wrapNone/>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8"/>
      <w:bookmarkEnd w:id="29"/>
    </w:p>
    <w:p>
      <w:pPr>
        <w:keepNext w:val="0"/>
        <w:keepLines w:val="0"/>
        <w:pageBreakBefore w:val="0"/>
        <w:widowControl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1040.02</w:t>
      </w:r>
      <w:r>
        <w:rPr>
          <w:rFonts w:hint="eastAsia" w:ascii="仿宋" w:hAnsi="仿宋" w:eastAsia="仿宋"/>
          <w:sz w:val="32"/>
          <w:szCs w:val="32"/>
        </w:rPr>
        <w:t>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20年相比，一般公共预算财政拨款支出减少71.75万元，下降6.45</w:t>
      </w:r>
      <w:r>
        <w:rPr>
          <w:rFonts w:ascii="仿宋" w:hAnsi="仿宋" w:eastAsia="仿宋"/>
          <w:sz w:val="32"/>
          <w:szCs w:val="32"/>
        </w:rPr>
        <w:t>%</w:t>
      </w:r>
      <w:r>
        <w:rPr>
          <w:rFonts w:hint="eastAsia" w:ascii="仿宋" w:hAnsi="仿宋" w:eastAsia="仿宋"/>
          <w:sz w:val="32"/>
          <w:szCs w:val="32"/>
        </w:rPr>
        <w:t>。主要变动原因是项目支出减少。</w:t>
      </w:r>
    </w:p>
    <w:p>
      <w:pPr>
        <w:keepNext w:val="0"/>
        <w:keepLines w:val="0"/>
        <w:pageBreakBefore w:val="0"/>
        <w:widowControl w:val="0"/>
        <w:kinsoku/>
        <w:wordWrap/>
        <w:overflowPunct/>
        <w:topLinePunct w:val="0"/>
        <w:bidi w:val="0"/>
        <w:snapToGrid/>
        <w:spacing w:line="576" w:lineRule="exact"/>
        <w:ind w:firstLine="640" w:firstLineChars="200"/>
        <w:jc w:val="center"/>
        <w:textAlignment w:val="auto"/>
      </w:pPr>
      <w:r>
        <w:rPr>
          <w:rFonts w:hint="eastAsia" w:ascii="仿宋" w:hAnsi="仿宋" w:eastAsia="仿宋"/>
          <w:sz w:val="32"/>
          <w:szCs w:val="32"/>
        </w:rPr>
        <w:t>（图5：一般公共预算财政拨款支出决算变动情况）</w:t>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r>
        <w:drawing>
          <wp:anchor distT="0" distB="0" distL="0" distR="0" simplePos="0" relativeHeight="251666432" behindDoc="0" locked="0" layoutInCell="1" allowOverlap="1">
            <wp:simplePos x="0" y="0"/>
            <wp:positionH relativeFrom="column">
              <wp:posOffset>57785</wp:posOffset>
            </wp:positionH>
            <wp:positionV relativeFrom="paragraph">
              <wp:posOffset>152400</wp:posOffset>
            </wp:positionV>
            <wp:extent cx="5388610" cy="2271395"/>
            <wp:effectExtent l="4445" t="4445" r="17145" b="10160"/>
            <wp:wrapNone/>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pPr>
    </w:p>
    <w:p>
      <w:pPr>
        <w:keepNext w:val="0"/>
        <w:keepLines w:val="0"/>
        <w:pageBreakBefore w:val="0"/>
        <w:widowControl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1040.02</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支出1.44万元，占0.14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支出41.26万元，占3.97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sz w:val="32"/>
          <w:szCs w:val="32"/>
        </w:rPr>
        <w:t>（类）</w:t>
      </w:r>
      <w:r>
        <w:rPr>
          <w:rFonts w:ascii="仿宋" w:hAnsi="仿宋" w:eastAsia="仿宋"/>
          <w:sz w:val="32"/>
          <w:szCs w:val="32"/>
        </w:rPr>
        <w:t>15.89</w:t>
      </w:r>
      <w:r>
        <w:rPr>
          <w:rFonts w:hint="eastAsia" w:ascii="仿宋" w:hAnsi="仿宋" w:eastAsia="仿宋"/>
          <w:sz w:val="32"/>
          <w:szCs w:val="32"/>
        </w:rPr>
        <w:t>万元，占1.53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b/>
          <w:sz w:val="32"/>
          <w:szCs w:val="32"/>
        </w:rPr>
        <w:t>（类）</w:t>
      </w:r>
      <w:r>
        <w:rPr>
          <w:rFonts w:ascii="仿宋" w:hAnsi="仿宋" w:eastAsia="仿宋"/>
          <w:sz w:val="32"/>
          <w:szCs w:val="32"/>
        </w:rPr>
        <w:t>931.89</w:t>
      </w:r>
      <w:r>
        <w:rPr>
          <w:rFonts w:hint="eastAsia" w:ascii="仿宋" w:hAnsi="仿宋" w:eastAsia="仿宋"/>
          <w:sz w:val="32"/>
          <w:szCs w:val="32"/>
        </w:rPr>
        <w:t>万元，占89.6%；</w:t>
      </w:r>
      <w:r>
        <w:rPr>
          <w:rFonts w:hint="eastAsia" w:ascii="仿宋" w:hAnsi="仿宋" w:eastAsia="仿宋"/>
          <w:b/>
          <w:sz w:val="32"/>
          <w:szCs w:val="32"/>
        </w:rPr>
        <w:t>住房保障支出（类）</w:t>
      </w:r>
      <w:r>
        <w:rPr>
          <w:rFonts w:ascii="仿宋" w:hAnsi="仿宋" w:eastAsia="仿宋"/>
          <w:sz w:val="32"/>
          <w:szCs w:val="32"/>
        </w:rPr>
        <w:t>49.54</w:t>
      </w:r>
      <w:r>
        <w:rPr>
          <w:rFonts w:hint="eastAsia" w:ascii="仿宋" w:hAnsi="仿宋" w:eastAsia="仿宋"/>
          <w:sz w:val="32"/>
          <w:szCs w:val="32"/>
        </w:rPr>
        <w:t>万元，占4.76</w:t>
      </w:r>
      <w:r>
        <w:rPr>
          <w:rFonts w:ascii="仿宋" w:hAnsi="仿宋" w:eastAsia="仿宋"/>
          <w:sz w:val="32"/>
          <w:szCs w:val="32"/>
        </w:rPr>
        <w:t>%</w:t>
      </w:r>
      <w:r>
        <w:rPr>
          <w:rFonts w:hint="eastAsia" w:ascii="仿宋" w:hAnsi="仿宋" w:eastAsia="仿宋"/>
          <w:sz w:val="32"/>
          <w:szCs w:val="32"/>
        </w:rPr>
        <w:t>。</w:t>
      </w:r>
    </w:p>
    <w:p>
      <w:pPr>
        <w:keepNext w:val="0"/>
        <w:keepLines w:val="0"/>
        <w:pageBreakBefore w:val="0"/>
        <w:widowControl w:val="0"/>
        <w:kinsoku/>
        <w:wordWrap/>
        <w:overflowPunct/>
        <w:topLinePunct w:val="0"/>
        <w:bidi w:val="0"/>
        <w:snapToGrid/>
        <w:spacing w:line="576" w:lineRule="exact"/>
        <w:ind w:firstLine="640" w:firstLineChars="200"/>
        <w:jc w:val="center"/>
        <w:textAlignment w:val="auto"/>
        <w:rPr>
          <w:rFonts w:ascii="仿宋" w:hAnsi="仿宋" w:eastAsia="仿宋"/>
          <w:sz w:val="32"/>
          <w:szCs w:val="32"/>
        </w:rPr>
      </w:pPr>
      <w:r>
        <w:rPr>
          <w:rFonts w:hint="eastAsia" w:ascii="仿宋" w:hAnsi="仿宋" w:eastAsia="仿宋"/>
          <w:sz w:val="32"/>
          <w:szCs w:val="32"/>
        </w:rPr>
        <w:t>（图6：一般公共预算财政拨款支出决算结构）</w:t>
      </w:r>
    </w:p>
    <w:p>
      <w:pPr>
        <w:pStyle w:val="6"/>
      </w:pPr>
      <w:r>
        <w:rPr>
          <w:rFonts w:hint="eastAsia"/>
        </w:rPr>
        <w:drawing>
          <wp:anchor distT="0" distB="0" distL="0" distR="0" simplePos="0" relativeHeight="251667456" behindDoc="0" locked="0" layoutInCell="1" allowOverlap="1">
            <wp:simplePos x="0" y="0"/>
            <wp:positionH relativeFrom="column">
              <wp:posOffset>349250</wp:posOffset>
            </wp:positionH>
            <wp:positionV relativeFrom="paragraph">
              <wp:posOffset>184150</wp:posOffset>
            </wp:positionV>
            <wp:extent cx="5139055" cy="1605280"/>
            <wp:effectExtent l="5080" t="4445" r="6985" b="5715"/>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rPr>
          <w:rFonts w:hint="eastAsia"/>
        </w:rPr>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rPr>
          <w:rFonts w:hint="eastAsia"/>
        </w:rPr>
      </w:pPr>
    </w:p>
    <w:p>
      <w:pPr>
        <w:pStyle w:val="6"/>
        <w:keepNext w:val="0"/>
        <w:keepLines w:val="0"/>
        <w:pageBreakBefore w:val="0"/>
        <w:widowControl w:val="0"/>
        <w:kinsoku/>
        <w:wordWrap/>
        <w:overflowPunct/>
        <w:topLinePunct w:val="0"/>
        <w:bidi w:val="0"/>
        <w:snapToGrid/>
        <w:spacing w:before="93" w:line="576" w:lineRule="exact"/>
        <w:ind w:firstLine="600" w:firstLineChars="200"/>
        <w:textAlignment w:val="auto"/>
        <w:rPr>
          <w:rFonts w:hint="eastAsia"/>
        </w:rPr>
      </w:pPr>
    </w:p>
    <w:p>
      <w:pPr>
        <w:keepNext w:val="0"/>
        <w:keepLines w:val="0"/>
        <w:pageBreakBefore w:val="0"/>
        <w:widowControl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keepNext w:val="0"/>
        <w:keepLines w:val="0"/>
        <w:pageBreakBefore w:val="0"/>
        <w:widowControl w:val="0"/>
        <w:kinsoku/>
        <w:wordWrap/>
        <w:overflowPunct/>
        <w:topLinePunct w:val="0"/>
        <w:bidi w:val="0"/>
        <w:snapToGrid/>
        <w:spacing w:line="576" w:lineRule="exact"/>
        <w:ind w:firstLine="643" w:firstLineChars="200"/>
        <w:textAlignment w:val="auto"/>
        <w:outlineLvl w:val="2"/>
        <w:rPr>
          <w:rFonts w:ascii="仿宋" w:hAnsi="仿宋" w:eastAsia="仿宋"/>
          <w:sz w:val="32"/>
          <w:szCs w:val="32"/>
        </w:rPr>
      </w:pPr>
      <w:bookmarkStart w:id="33" w:name="_Toc15377213"/>
      <w:bookmarkStart w:id="34" w:name="_Toc15378460"/>
      <w:bookmarkStart w:id="35" w:name="_Toc15377444"/>
      <w:bookmarkStart w:id="36" w:name="_Toc15377214"/>
      <w:bookmarkStart w:id="37" w:name="_Toc15396608"/>
      <w:r>
        <w:rPr>
          <w:rFonts w:hint="eastAsia" w:ascii="仿宋" w:hAnsi="仿宋" w:eastAsia="仿宋"/>
          <w:b/>
          <w:sz w:val="32"/>
          <w:szCs w:val="32"/>
        </w:rPr>
        <w:t>2021年一般公共预算支出决算数为</w:t>
      </w:r>
      <w:r>
        <w:rPr>
          <w:rFonts w:ascii="仿宋" w:hAnsi="仿宋" w:eastAsia="仿宋"/>
          <w:b/>
          <w:sz w:val="32"/>
          <w:szCs w:val="32"/>
        </w:rPr>
        <w:t>1040.02</w:t>
      </w:r>
      <w:r>
        <w:rPr>
          <w:rFonts w:hint="eastAsia" w:ascii="仿宋" w:hAnsi="仿宋" w:eastAsia="仿宋"/>
          <w:b/>
          <w:sz w:val="32"/>
          <w:szCs w:val="32"/>
        </w:rPr>
        <w:t>万元</w:t>
      </w:r>
      <w:r>
        <w:rPr>
          <w:rFonts w:hint="eastAsia" w:ascii="仿宋" w:hAnsi="仿宋" w:eastAsia="仿宋"/>
          <w:sz w:val="32"/>
          <w:szCs w:val="32"/>
        </w:rPr>
        <w:t>，</w:t>
      </w:r>
      <w:r>
        <w:rPr>
          <w:rStyle w:val="14"/>
          <w:rFonts w:hint="eastAsia" w:ascii="仿宋" w:hAnsi="仿宋" w:eastAsia="仿宋"/>
          <w:bCs/>
          <w:sz w:val="32"/>
          <w:szCs w:val="32"/>
        </w:rPr>
        <w:t>完成预算70.3</w:t>
      </w:r>
      <w:r>
        <w:rPr>
          <w:rStyle w:val="14"/>
          <w:rFonts w:ascii="仿宋" w:hAnsi="仿宋" w:eastAsia="仿宋"/>
          <w:bCs/>
          <w:sz w:val="32"/>
          <w:szCs w:val="32"/>
        </w:rPr>
        <w:t>%</w:t>
      </w:r>
      <w:r>
        <w:rPr>
          <w:rStyle w:val="14"/>
          <w:rFonts w:hint="eastAsia" w:ascii="仿宋" w:hAnsi="仿宋" w:eastAsia="仿宋"/>
          <w:bCs/>
          <w:sz w:val="32"/>
          <w:szCs w:val="32"/>
        </w:rPr>
        <w:t>。其中：</w:t>
      </w:r>
      <w:bookmarkEnd w:id="33"/>
      <w:bookmarkEnd w:id="34"/>
      <w:bookmarkEnd w:id="35"/>
    </w:p>
    <w:p>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 w:hAnsi="仿宋" w:eastAsia="仿宋"/>
          <w:b/>
          <w:bCs/>
          <w:sz w:val="32"/>
          <w:szCs w:val="32"/>
        </w:rPr>
      </w:pPr>
      <w:r>
        <w:rPr>
          <w:rStyle w:val="14"/>
          <w:rFonts w:ascii="仿宋" w:hAnsi="仿宋" w:eastAsia="仿宋"/>
          <w:bCs/>
          <w:sz w:val="32"/>
          <w:szCs w:val="32"/>
        </w:rPr>
        <w:t>1.</w:t>
      </w:r>
      <w:r>
        <w:rPr>
          <w:rStyle w:val="14"/>
          <w:rFonts w:hint="eastAsia" w:ascii="仿宋" w:hAnsi="仿宋" w:eastAsia="仿宋"/>
          <w:bCs/>
          <w:sz w:val="32"/>
          <w:szCs w:val="32"/>
        </w:rPr>
        <w:t>科学技术（类）科技条件与服务（款）其他科技条件与服务支出（项）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支出决算为1.44万元，完成预算100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 w:hAnsi="仿宋" w:eastAsia="仿宋"/>
          <w:b/>
          <w:sz w:val="32"/>
          <w:szCs w:val="32"/>
        </w:rPr>
      </w:pPr>
      <w:r>
        <w:rPr>
          <w:rStyle w:val="14"/>
          <w:rFonts w:hint="eastAsia" w:ascii="仿宋" w:hAnsi="仿宋" w:eastAsia="仿宋"/>
          <w:bCs/>
          <w:sz w:val="32"/>
          <w:szCs w:val="32"/>
        </w:rPr>
        <w:t>2.社会保障和就业（类）行政事业单位养老支出（款）机关事业单位基本养老保险缴费支出（项）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ascii="仿宋" w:hAnsi="仿宋" w:eastAsia="仿宋"/>
          <w:b w:val="0"/>
          <w:bCs/>
          <w:sz w:val="32"/>
          <w:szCs w:val="32"/>
        </w:rPr>
        <w:t>30.86</w:t>
      </w:r>
      <w:r>
        <w:rPr>
          <w:rStyle w:val="14"/>
          <w:rFonts w:hint="eastAsia" w:ascii="仿宋" w:hAnsi="仿宋" w:eastAsia="仿宋"/>
          <w:b w:val="0"/>
          <w:bCs/>
          <w:sz w:val="32"/>
          <w:szCs w:val="32"/>
        </w:rPr>
        <w:t>万元，完成预算94.69</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，决算数小于预算数的主要原因是2021年有职工退休，缴费人员减少。</w:t>
      </w:r>
    </w:p>
    <w:p>
      <w:pPr>
        <w:keepNext w:val="0"/>
        <w:keepLines w:val="0"/>
        <w:pageBreakBefore w:val="0"/>
        <w:widowControl w:val="0"/>
        <w:kinsoku/>
        <w:wordWrap/>
        <w:overflowPunct/>
        <w:topLinePunct w:val="0"/>
        <w:bidi w:val="0"/>
        <w:snapToGrid/>
        <w:spacing w:line="576" w:lineRule="exact"/>
        <w:ind w:firstLine="643" w:firstLineChars="200"/>
        <w:textAlignment w:val="auto"/>
        <w:rPr>
          <w:rStyle w:val="14"/>
          <w:rFonts w:ascii="仿宋" w:hAnsi="仿宋" w:eastAsia="仿宋"/>
          <w:bCs/>
          <w:sz w:val="32"/>
          <w:szCs w:val="32"/>
        </w:rPr>
      </w:pPr>
      <w:r>
        <w:rPr>
          <w:rStyle w:val="14"/>
          <w:rFonts w:hint="eastAsia" w:ascii="仿宋" w:hAnsi="仿宋" w:eastAsia="仿宋"/>
          <w:bCs/>
          <w:sz w:val="32"/>
          <w:szCs w:val="32"/>
        </w:rPr>
        <w:t>3.社会保障和就业（类）行政事业单位养老支出（款）机关事业单位职业年金缴费支出（项）：</w:t>
      </w:r>
      <w:r>
        <w:rPr>
          <w:rStyle w:val="14"/>
          <w:rFonts w:hint="eastAsia" w:ascii="仿宋" w:hAnsi="仿宋" w:eastAsia="仿宋"/>
          <w:b w:val="0"/>
          <w:bCs/>
          <w:sz w:val="32"/>
          <w:szCs w:val="32"/>
        </w:rPr>
        <w:t>支出决算为8.41万元，完成预算100%。</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 w:hAnsi="仿宋" w:eastAsia="仿宋"/>
          <w:b/>
          <w:bCs/>
          <w:sz w:val="32"/>
          <w:szCs w:val="32"/>
        </w:rPr>
      </w:pPr>
      <w:r>
        <w:rPr>
          <w:rFonts w:hint="eastAsia" w:ascii="仿宋" w:hAnsi="仿宋" w:eastAsia="仿宋"/>
          <w:b/>
          <w:bCs/>
          <w:sz w:val="32"/>
          <w:szCs w:val="32"/>
        </w:rPr>
        <w:t>4.</w:t>
      </w:r>
      <w:r>
        <w:rPr>
          <w:rStyle w:val="14"/>
          <w:rFonts w:hint="eastAsia" w:ascii="仿宋" w:hAnsi="仿宋" w:eastAsia="仿宋"/>
          <w:bCs/>
          <w:sz w:val="32"/>
          <w:szCs w:val="32"/>
        </w:rPr>
        <w:t>社会保障和就业（类）其他社会保障和就业支出（款）其他社会保障和就业支出（项）：支出决算为2.00万元，</w:t>
      </w:r>
      <w:r>
        <w:rPr>
          <w:rStyle w:val="14"/>
          <w:rFonts w:hint="eastAsia" w:ascii="仿宋" w:hAnsi="仿宋" w:eastAsia="仿宋"/>
          <w:b w:val="0"/>
          <w:bCs/>
          <w:sz w:val="32"/>
          <w:szCs w:val="32"/>
        </w:rPr>
        <w:t>完成预算100%。</w:t>
      </w:r>
    </w:p>
    <w:p>
      <w:pPr>
        <w:keepNext w:val="0"/>
        <w:keepLines w:val="0"/>
        <w:pageBreakBefore w:val="0"/>
        <w:widowControl w:val="0"/>
        <w:kinsoku/>
        <w:wordWrap/>
        <w:overflowPunct/>
        <w:topLinePunct w:val="0"/>
        <w:bidi w:val="0"/>
        <w:snapToGrid/>
        <w:spacing w:line="576" w:lineRule="exact"/>
        <w:ind w:firstLine="643" w:firstLineChars="200"/>
        <w:textAlignment w:val="auto"/>
        <w:rPr>
          <w:rStyle w:val="14"/>
          <w:rFonts w:ascii="仿宋" w:hAnsi="仿宋" w:eastAsia="仿宋"/>
          <w:b w:val="0"/>
          <w:bCs/>
          <w:sz w:val="32"/>
          <w:szCs w:val="32"/>
        </w:rPr>
      </w:pPr>
      <w:r>
        <w:rPr>
          <w:rFonts w:hint="eastAsia" w:ascii="仿宋" w:hAnsi="仿宋" w:eastAsia="仿宋"/>
          <w:b/>
          <w:bCs/>
          <w:sz w:val="32"/>
          <w:szCs w:val="32"/>
        </w:rPr>
        <w:t>5.卫生健康</w:t>
      </w:r>
      <w:r>
        <w:rPr>
          <w:rStyle w:val="14"/>
          <w:rFonts w:hint="eastAsia" w:ascii="仿宋" w:hAnsi="仿宋" w:eastAsia="仿宋"/>
          <w:bCs/>
          <w:sz w:val="32"/>
          <w:szCs w:val="32"/>
        </w:rPr>
        <w:t>（类）行政事业单位医疗（款）事业单位医疗（项）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支出决算为15.89万元，完成预算97.85</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，决算数小于预算数的主要原因是2021年有职工退休，缴费人员减少。</w:t>
      </w:r>
    </w:p>
    <w:p>
      <w:pPr>
        <w:pStyle w:val="6"/>
        <w:keepNext w:val="0"/>
        <w:keepLines w:val="0"/>
        <w:pageBreakBefore w:val="0"/>
        <w:widowControl w:val="0"/>
        <w:kinsoku/>
        <w:wordWrap/>
        <w:overflowPunct/>
        <w:topLinePunct w:val="0"/>
        <w:bidi w:val="0"/>
        <w:snapToGrid/>
        <w:spacing w:before="93" w:line="576" w:lineRule="exact"/>
        <w:ind w:firstLine="643" w:firstLineChars="200"/>
        <w:textAlignment w:val="auto"/>
        <w:rPr>
          <w:rStyle w:val="14"/>
          <w:rFonts w:hint="eastAsia" w:ascii="仿宋" w:hAnsi="仿宋" w:eastAsia="仿宋"/>
          <w:b w:val="0"/>
          <w:bCs/>
          <w:sz w:val="32"/>
          <w:szCs w:val="32"/>
          <w:lang w:eastAsia="zh-CN"/>
        </w:rPr>
      </w:pPr>
      <w:r>
        <w:rPr>
          <w:rFonts w:hint="eastAsia" w:ascii="仿宋" w:hAnsi="仿宋" w:eastAsia="仿宋" w:cs="Times New Roman"/>
          <w:b/>
          <w:bCs/>
          <w:kern w:val="2"/>
          <w:sz w:val="32"/>
          <w:szCs w:val="32"/>
          <w:lang w:val="en-US" w:eastAsia="zh-CN" w:bidi="ar-SA"/>
        </w:rPr>
        <w:t>6. 农林</w:t>
      </w:r>
      <w:r>
        <w:rPr>
          <w:rStyle w:val="14"/>
          <w:rFonts w:hint="eastAsia" w:ascii="仿宋" w:hAnsi="仿宋" w:eastAsia="仿宋"/>
          <w:bCs/>
          <w:kern w:val="2"/>
          <w:sz w:val="32"/>
          <w:szCs w:val="32"/>
        </w:rPr>
        <w:t>水支出（类）林业和草原（款）事业机构（项）</w:t>
      </w:r>
      <w:r>
        <w:rPr>
          <w:rStyle w:val="14"/>
          <w:rFonts w:hint="eastAsia" w:ascii="仿宋" w:hAnsi="仿宋" w:eastAsia="仿宋"/>
          <w:bCs/>
          <w:sz w:val="32"/>
          <w:szCs w:val="32"/>
        </w:rPr>
        <w:t>：</w:t>
      </w:r>
      <w:r>
        <w:rPr>
          <w:rStyle w:val="14"/>
          <w:rFonts w:hint="eastAsia" w:ascii="仿宋" w:hAnsi="仿宋" w:eastAsia="仿宋"/>
          <w:b w:val="0"/>
          <w:bCs/>
          <w:sz w:val="32"/>
          <w:szCs w:val="32"/>
        </w:rPr>
        <w:t>支出决算为</w:t>
      </w:r>
      <w:r>
        <w:rPr>
          <w:rStyle w:val="14"/>
          <w:rFonts w:ascii="仿宋" w:hAnsi="仿宋" w:eastAsia="仿宋"/>
          <w:b w:val="0"/>
          <w:bCs/>
          <w:sz w:val="32"/>
          <w:szCs w:val="32"/>
        </w:rPr>
        <w:t>327.47</w:t>
      </w:r>
      <w:r>
        <w:rPr>
          <w:rStyle w:val="14"/>
          <w:rFonts w:hint="eastAsia" w:ascii="仿宋" w:hAnsi="仿宋" w:eastAsia="仿宋"/>
          <w:b w:val="0"/>
          <w:bCs/>
          <w:sz w:val="32"/>
          <w:szCs w:val="32"/>
        </w:rPr>
        <w:t>万元，完成预算97.57</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，决算数小于预算数的主要原因是：年底部分办公经费由于报账手续不完整，未支付</w:t>
      </w:r>
      <w:r>
        <w:rPr>
          <w:rStyle w:val="14"/>
          <w:rFonts w:hint="eastAsia" w:ascii="仿宋" w:hAnsi="仿宋" w:eastAsia="仿宋"/>
          <w:b w:val="0"/>
          <w:bCs/>
          <w:sz w:val="32"/>
          <w:szCs w:val="32"/>
          <w:lang w:eastAsia="zh-CN"/>
        </w:rPr>
        <w:t>。</w:t>
      </w:r>
    </w:p>
    <w:p>
      <w:pPr>
        <w:pStyle w:val="6"/>
        <w:keepNext w:val="0"/>
        <w:keepLines w:val="0"/>
        <w:pageBreakBefore w:val="0"/>
        <w:widowControl w:val="0"/>
        <w:kinsoku/>
        <w:wordWrap/>
        <w:overflowPunct/>
        <w:topLinePunct w:val="0"/>
        <w:bidi w:val="0"/>
        <w:snapToGrid/>
        <w:spacing w:before="93" w:line="576" w:lineRule="exact"/>
        <w:ind w:firstLine="643" w:firstLineChars="200"/>
        <w:textAlignment w:val="auto"/>
        <w:rPr>
          <w:rFonts w:hint="eastAsia" w:eastAsia="仿宋"/>
          <w:lang w:eastAsia="zh-CN"/>
        </w:rPr>
      </w:pPr>
      <w:r>
        <w:rPr>
          <w:rFonts w:hint="eastAsia" w:ascii="仿宋" w:hAnsi="仿宋" w:eastAsia="仿宋" w:cs="Times New Roman"/>
          <w:b/>
          <w:bCs/>
          <w:kern w:val="2"/>
          <w:sz w:val="32"/>
          <w:szCs w:val="32"/>
          <w:lang w:val="en-US" w:eastAsia="zh-CN" w:bidi="ar-SA"/>
        </w:rPr>
        <w:t>7.农林</w:t>
      </w:r>
      <w:r>
        <w:rPr>
          <w:rStyle w:val="14"/>
          <w:rFonts w:hint="eastAsia" w:ascii="仿宋" w:hAnsi="仿宋" w:eastAsia="仿宋"/>
          <w:bCs/>
          <w:kern w:val="2"/>
          <w:sz w:val="32"/>
          <w:szCs w:val="32"/>
        </w:rPr>
        <w:t>水支出（类）林业和草原（款）森林资源培育（项）：</w:t>
      </w:r>
      <w:r>
        <w:rPr>
          <w:rStyle w:val="14"/>
          <w:rFonts w:hint="eastAsia" w:ascii="仿宋" w:hAnsi="仿宋" w:eastAsia="仿宋"/>
          <w:b w:val="0"/>
          <w:bCs/>
          <w:sz w:val="32"/>
          <w:szCs w:val="32"/>
        </w:rPr>
        <w:t>支出决算为2.96万元，完成预算100</w:t>
      </w:r>
      <w:r>
        <w:rPr>
          <w:rStyle w:val="14"/>
          <w:rFonts w:ascii="仿宋" w:hAnsi="仿宋" w:eastAsia="仿宋"/>
          <w:b w:val="0"/>
          <w:bCs/>
          <w:sz w:val="32"/>
          <w:szCs w:val="32"/>
        </w:rPr>
        <w:t>%</w:t>
      </w:r>
      <w:r>
        <w:rPr>
          <w:rStyle w:val="14"/>
          <w:rFonts w:hint="eastAsia" w:ascii="仿宋" w:hAnsi="仿宋" w:eastAsia="仿宋"/>
          <w:b w:val="0"/>
          <w:bCs/>
          <w:sz w:val="32"/>
          <w:szCs w:val="32"/>
          <w:lang w:eastAsia="zh-CN"/>
        </w:rPr>
        <w:t>。</w:t>
      </w:r>
    </w:p>
    <w:p>
      <w:pPr>
        <w:pStyle w:val="6"/>
        <w:keepNext w:val="0"/>
        <w:keepLines w:val="0"/>
        <w:pageBreakBefore w:val="0"/>
        <w:widowControl w:val="0"/>
        <w:kinsoku/>
        <w:wordWrap/>
        <w:overflowPunct/>
        <w:topLinePunct w:val="0"/>
        <w:bidi w:val="0"/>
        <w:snapToGrid/>
        <w:spacing w:before="93" w:line="576" w:lineRule="exact"/>
        <w:ind w:firstLine="643" w:firstLineChars="200"/>
        <w:textAlignment w:val="auto"/>
      </w:pPr>
      <w:r>
        <w:rPr>
          <w:rFonts w:hint="eastAsia" w:ascii="仿宋" w:hAnsi="仿宋" w:eastAsia="仿宋" w:cs="Times New Roman"/>
          <w:b/>
          <w:bCs/>
          <w:kern w:val="2"/>
          <w:sz w:val="32"/>
          <w:szCs w:val="32"/>
          <w:lang w:val="en-US" w:eastAsia="zh-CN" w:bidi="ar-SA"/>
        </w:rPr>
        <w:t>8.农林</w:t>
      </w:r>
      <w:r>
        <w:rPr>
          <w:rStyle w:val="14"/>
          <w:rFonts w:hint="eastAsia" w:ascii="仿宋" w:hAnsi="仿宋" w:eastAsia="仿宋"/>
          <w:bCs/>
          <w:kern w:val="2"/>
          <w:sz w:val="32"/>
          <w:szCs w:val="32"/>
        </w:rPr>
        <w:t>水支出（类）林业和草原（款）技术推广与转化（项）：</w:t>
      </w:r>
      <w:r>
        <w:rPr>
          <w:rStyle w:val="14"/>
          <w:rFonts w:hint="eastAsia" w:ascii="仿宋" w:hAnsi="仿宋" w:eastAsia="仿宋"/>
          <w:b w:val="0"/>
          <w:bCs/>
          <w:sz w:val="32"/>
          <w:szCs w:val="32"/>
        </w:rPr>
        <w:t>支出决算为98.46万元，完成预算81.12</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，决算数小于预算数的主要原因是：部分项目跨年完成。</w:t>
      </w:r>
    </w:p>
    <w:p>
      <w:pPr>
        <w:pStyle w:val="6"/>
        <w:keepNext w:val="0"/>
        <w:keepLines w:val="0"/>
        <w:pageBreakBefore w:val="0"/>
        <w:widowControl w:val="0"/>
        <w:kinsoku/>
        <w:wordWrap/>
        <w:overflowPunct/>
        <w:topLinePunct w:val="0"/>
        <w:bidi w:val="0"/>
        <w:snapToGrid/>
        <w:spacing w:before="93" w:line="576" w:lineRule="exact"/>
        <w:ind w:firstLine="643" w:firstLineChars="200"/>
        <w:textAlignment w:val="auto"/>
      </w:pPr>
      <w:r>
        <w:rPr>
          <w:rFonts w:hint="eastAsia" w:ascii="仿宋" w:hAnsi="仿宋" w:eastAsia="仿宋" w:cs="Times New Roman"/>
          <w:b/>
          <w:bCs/>
          <w:kern w:val="2"/>
          <w:sz w:val="32"/>
          <w:szCs w:val="32"/>
          <w:lang w:val="en-US" w:eastAsia="zh-CN" w:bidi="ar-SA"/>
        </w:rPr>
        <w:t>9.农林</w:t>
      </w:r>
      <w:r>
        <w:rPr>
          <w:rStyle w:val="14"/>
          <w:rFonts w:hint="eastAsia" w:ascii="仿宋" w:hAnsi="仿宋" w:eastAsia="仿宋"/>
          <w:bCs/>
          <w:kern w:val="2"/>
          <w:sz w:val="32"/>
          <w:szCs w:val="32"/>
        </w:rPr>
        <w:t>水支出（类）林业和草原（款）行业业务管理（项）：</w:t>
      </w:r>
      <w:r>
        <w:rPr>
          <w:rStyle w:val="14"/>
          <w:rFonts w:hint="eastAsia" w:ascii="仿宋" w:hAnsi="仿宋" w:eastAsia="仿宋"/>
          <w:b w:val="0"/>
          <w:bCs/>
          <w:sz w:val="32"/>
          <w:szCs w:val="32"/>
        </w:rPr>
        <w:t>支出决算为36.72万元，完成预算40.8</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，决算数小于预算数的主要原因是：2021年底有部分实验室维修维护及试剂耗材采购等款项待支付。</w:t>
      </w:r>
    </w:p>
    <w:p>
      <w:pPr>
        <w:pStyle w:val="6"/>
        <w:keepNext w:val="0"/>
        <w:keepLines w:val="0"/>
        <w:pageBreakBefore w:val="0"/>
        <w:widowControl w:val="0"/>
        <w:kinsoku/>
        <w:wordWrap/>
        <w:overflowPunct/>
        <w:topLinePunct w:val="0"/>
        <w:bidi w:val="0"/>
        <w:snapToGrid/>
        <w:spacing w:before="93" w:line="576" w:lineRule="exact"/>
        <w:ind w:firstLine="643" w:firstLineChars="200"/>
        <w:textAlignment w:val="auto"/>
        <w:rPr>
          <w:rStyle w:val="14"/>
          <w:rFonts w:ascii="仿宋" w:hAnsi="仿宋" w:eastAsia="仿宋"/>
          <w:b w:val="0"/>
          <w:bCs/>
          <w:sz w:val="32"/>
          <w:szCs w:val="32"/>
        </w:rPr>
      </w:pPr>
      <w:r>
        <w:rPr>
          <w:rFonts w:hint="eastAsia" w:ascii="仿宋" w:hAnsi="仿宋" w:eastAsia="仿宋" w:cs="Times New Roman"/>
          <w:b/>
          <w:bCs/>
          <w:kern w:val="2"/>
          <w:sz w:val="32"/>
          <w:szCs w:val="32"/>
          <w:lang w:val="en-US" w:eastAsia="zh-CN" w:bidi="ar-SA"/>
        </w:rPr>
        <w:t>10.农林</w:t>
      </w:r>
      <w:r>
        <w:rPr>
          <w:rStyle w:val="14"/>
          <w:rFonts w:hint="eastAsia" w:ascii="仿宋" w:hAnsi="仿宋" w:eastAsia="仿宋"/>
          <w:bCs/>
          <w:kern w:val="2"/>
          <w:sz w:val="32"/>
          <w:szCs w:val="32"/>
        </w:rPr>
        <w:t>水支出（类）林业和草原（款）其他林业和草原支出（项）：</w:t>
      </w:r>
      <w:r>
        <w:rPr>
          <w:rStyle w:val="14"/>
          <w:rFonts w:hint="eastAsia" w:ascii="仿宋" w:hAnsi="仿宋" w:eastAsia="仿宋"/>
          <w:b w:val="0"/>
          <w:bCs/>
          <w:sz w:val="32"/>
          <w:szCs w:val="32"/>
        </w:rPr>
        <w:t>支出决算为</w:t>
      </w:r>
      <w:r>
        <w:rPr>
          <w:rStyle w:val="14"/>
          <w:rFonts w:ascii="仿宋" w:hAnsi="仿宋" w:eastAsia="仿宋"/>
          <w:b w:val="0"/>
          <w:bCs/>
          <w:sz w:val="32"/>
          <w:szCs w:val="32"/>
        </w:rPr>
        <w:t>466.25</w:t>
      </w:r>
      <w:r>
        <w:rPr>
          <w:rStyle w:val="14"/>
          <w:rFonts w:hint="eastAsia" w:ascii="仿宋" w:hAnsi="仿宋" w:eastAsia="仿宋"/>
          <w:b w:val="0"/>
          <w:bCs/>
          <w:sz w:val="32"/>
          <w:szCs w:val="32"/>
        </w:rPr>
        <w:t>万元，完成预算59.25</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，决算数小于预算数的主要原因是：一是年末部分项目款项未付，二是部分项目需跨年完成，暂时还不能拨付相关款项。</w:t>
      </w:r>
    </w:p>
    <w:p>
      <w:pPr>
        <w:pStyle w:val="6"/>
        <w:keepNext w:val="0"/>
        <w:keepLines w:val="0"/>
        <w:pageBreakBefore w:val="0"/>
        <w:widowControl w:val="0"/>
        <w:kinsoku/>
        <w:wordWrap/>
        <w:overflowPunct/>
        <w:topLinePunct w:val="0"/>
        <w:bidi w:val="0"/>
        <w:snapToGrid/>
        <w:spacing w:before="93" w:line="576" w:lineRule="exact"/>
        <w:ind w:firstLine="643" w:firstLineChars="200"/>
        <w:textAlignment w:val="auto"/>
        <w:rPr>
          <w:rStyle w:val="14"/>
          <w:rFonts w:hint="eastAsia" w:ascii="仿宋" w:hAnsi="仿宋" w:eastAsia="仿宋"/>
          <w:b w:val="0"/>
          <w:bCs/>
          <w:sz w:val="32"/>
          <w:szCs w:val="32"/>
          <w:lang w:eastAsia="zh-CN"/>
        </w:rPr>
      </w:pPr>
      <w:r>
        <w:rPr>
          <w:rStyle w:val="14"/>
          <w:rFonts w:hint="eastAsia" w:ascii="仿宋" w:hAnsi="仿宋" w:eastAsia="仿宋"/>
          <w:bCs/>
          <w:kern w:val="2"/>
          <w:sz w:val="32"/>
          <w:szCs w:val="32"/>
          <w:lang w:val="en-US" w:eastAsia="zh-CN"/>
        </w:rPr>
        <w:t>11</w:t>
      </w:r>
      <w:r>
        <w:rPr>
          <w:rStyle w:val="14"/>
          <w:rFonts w:hint="eastAsia" w:ascii="仿宋" w:hAnsi="仿宋" w:eastAsia="仿宋"/>
          <w:bCs/>
          <w:kern w:val="2"/>
          <w:sz w:val="32"/>
          <w:szCs w:val="32"/>
        </w:rPr>
        <w:t>.住房保障支出（类）住房改革支出（款）住房公积金（项） ：</w:t>
      </w:r>
      <w:r>
        <w:rPr>
          <w:rStyle w:val="14"/>
          <w:rFonts w:hint="eastAsia" w:ascii="仿宋" w:hAnsi="仿宋" w:eastAsia="仿宋"/>
          <w:b w:val="0"/>
          <w:bCs/>
          <w:sz w:val="32"/>
          <w:szCs w:val="32"/>
        </w:rPr>
        <w:t>支出决算为33.54万元，完成预算95</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,决算数小于预算数的主要原因是2021年有职工退休，缴费人员减少</w:t>
      </w:r>
      <w:r>
        <w:rPr>
          <w:rStyle w:val="14"/>
          <w:rFonts w:hint="eastAsia" w:ascii="仿宋" w:hAnsi="仿宋" w:eastAsia="仿宋"/>
          <w:b w:val="0"/>
          <w:bCs/>
          <w:sz w:val="32"/>
          <w:szCs w:val="32"/>
          <w:lang w:eastAsia="zh-CN"/>
        </w:rPr>
        <w:t>。</w:t>
      </w:r>
    </w:p>
    <w:p>
      <w:pPr>
        <w:pStyle w:val="6"/>
        <w:keepNext w:val="0"/>
        <w:keepLines w:val="0"/>
        <w:pageBreakBefore w:val="0"/>
        <w:widowControl w:val="0"/>
        <w:kinsoku/>
        <w:wordWrap/>
        <w:overflowPunct/>
        <w:topLinePunct w:val="0"/>
        <w:bidi w:val="0"/>
        <w:snapToGrid/>
        <w:spacing w:before="93" w:line="576" w:lineRule="exact"/>
        <w:ind w:firstLine="643" w:firstLineChars="200"/>
        <w:textAlignment w:val="auto"/>
        <w:rPr>
          <w:rFonts w:ascii="仿宋" w:hAnsi="仿宋" w:eastAsia="仿宋"/>
          <w:b/>
          <w:bCs/>
          <w:kern w:val="2"/>
          <w:sz w:val="32"/>
          <w:szCs w:val="32"/>
        </w:rPr>
      </w:pPr>
      <w:r>
        <w:rPr>
          <w:rStyle w:val="14"/>
          <w:rFonts w:hint="eastAsia" w:ascii="仿宋" w:hAnsi="仿宋" w:eastAsia="仿宋"/>
          <w:bCs/>
          <w:kern w:val="2"/>
          <w:sz w:val="32"/>
          <w:szCs w:val="32"/>
          <w:lang w:val="en-US" w:eastAsia="zh-CN"/>
        </w:rPr>
        <w:t>12.</w:t>
      </w:r>
      <w:r>
        <w:rPr>
          <w:rStyle w:val="14"/>
          <w:rFonts w:hint="eastAsia" w:ascii="仿宋" w:hAnsi="仿宋" w:eastAsia="仿宋"/>
          <w:bCs/>
          <w:kern w:val="2"/>
          <w:sz w:val="32"/>
          <w:szCs w:val="32"/>
        </w:rPr>
        <w:t>住房保障支出（类）住房改革支出（款）购房补贴（项）</w:t>
      </w:r>
      <w:r>
        <w:rPr>
          <w:rStyle w:val="14"/>
          <w:rFonts w:hint="eastAsia" w:ascii="仿宋" w:hAnsi="仿宋" w:eastAsia="仿宋"/>
          <w:bCs/>
          <w:sz w:val="32"/>
          <w:szCs w:val="32"/>
        </w:rPr>
        <w:t>：</w:t>
      </w:r>
      <w:r>
        <w:rPr>
          <w:rStyle w:val="14"/>
          <w:rFonts w:hint="eastAsia" w:ascii="仿宋" w:hAnsi="仿宋" w:eastAsia="仿宋"/>
          <w:b w:val="0"/>
          <w:bCs/>
          <w:sz w:val="32"/>
          <w:szCs w:val="32"/>
        </w:rPr>
        <w:t>支出决算为16万元，完成预算100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keepNext w:val="0"/>
        <w:keepLines w:val="0"/>
        <w:pageBreakBefore w:val="0"/>
        <w:widowControl w:val="0"/>
        <w:tabs>
          <w:tab w:val="right" w:pos="8306"/>
        </w:tabs>
        <w:kinsoku/>
        <w:wordWrap/>
        <w:overflowPunct/>
        <w:topLinePunct w:val="0"/>
        <w:bidi w:val="0"/>
        <w:snapToGrid/>
        <w:spacing w:line="576" w:lineRule="exact"/>
        <w:ind w:firstLine="640" w:firstLineChars="200"/>
        <w:textAlignment w:val="auto"/>
        <w:outlineLvl w:val="1"/>
        <w:rPr>
          <w:rStyle w:val="25"/>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6"/>
      <w:bookmarkEnd w:id="37"/>
      <w:r>
        <w:rPr>
          <w:rStyle w:val="25"/>
          <w:rFonts w:ascii="黑体" w:hAnsi="黑体" w:eastAsia="黑体"/>
          <w:b w:val="0"/>
        </w:rPr>
        <w:tab/>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21年一般公共预算财政拨款基本支出434.16万元，其中：</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sz w:val="32"/>
          <w:szCs w:val="32"/>
        </w:rPr>
        <w:t>399.54</w:t>
      </w:r>
      <w:r>
        <w:rPr>
          <w:rFonts w:hint="eastAsia" w:ascii="仿宋" w:hAnsi="仿宋" w:eastAsia="仿宋"/>
          <w:sz w:val="32"/>
          <w:szCs w:val="32"/>
        </w:rPr>
        <w:t>万元，主要包括：基本工资、津贴补贴、奖金、绩效工资、机关事业单位基本养老保险缴费、职业年金缴费、其他社会保障缴费、其他工资福利支出、奖励金、住房公积金。</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b/>
          <w:sz w:val="32"/>
          <w:szCs w:val="32"/>
        </w:rPr>
      </w:pPr>
      <w:r>
        <w:rPr>
          <w:rFonts w:hint="eastAsia" w:ascii="仿宋" w:hAnsi="仿宋" w:eastAsia="仿宋"/>
          <w:sz w:val="32"/>
          <w:szCs w:val="32"/>
        </w:rPr>
        <w:t>公用经费</w:t>
      </w:r>
      <w:r>
        <w:rPr>
          <w:rFonts w:ascii="仿宋" w:hAnsi="仿宋" w:eastAsia="仿宋"/>
          <w:sz w:val="32"/>
          <w:szCs w:val="32"/>
        </w:rPr>
        <w:t>34.62</w:t>
      </w:r>
      <w:r>
        <w:rPr>
          <w:rFonts w:hint="eastAsia" w:ascii="仿宋" w:hAnsi="仿宋" w:eastAsia="仿宋"/>
          <w:sz w:val="32"/>
          <w:szCs w:val="32"/>
        </w:rPr>
        <w:t>万元，主要包括：办公费、印刷费、咨询费、手续费、水费、电费、邮电费、物业管理费、差旅费、维修（护）费、培训费、公务接待费、劳务费、工会经费、福利费、公务用车运行维护费、其他交通费、其他商品和服务支出。</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bookmarkStart w:id="38" w:name="_Toc15396609"/>
      <w:bookmarkStart w:id="39"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8"/>
      <w:bookmarkEnd w:id="39"/>
    </w:p>
    <w:p>
      <w:pPr>
        <w:keepNext w:val="0"/>
        <w:keepLines w:val="0"/>
        <w:pageBreakBefore w:val="0"/>
        <w:widowControl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bookmarkStart w:id="40" w:name="_Toc15377216"/>
      <w:bookmarkStart w:id="41" w:name="_Toc15377217"/>
      <w:r>
        <w:rPr>
          <w:rFonts w:hint="eastAsia" w:ascii="仿宋" w:hAnsi="仿宋" w:eastAsia="仿宋"/>
          <w:b/>
          <w:sz w:val="32"/>
          <w:szCs w:val="32"/>
        </w:rPr>
        <w:t>（一）“三公”经费财政拨款支出决算总体情况说明</w:t>
      </w:r>
      <w:bookmarkEnd w:id="40"/>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w:t>
      </w:r>
      <w:r>
        <w:rPr>
          <w:rFonts w:ascii="仿宋" w:hAnsi="仿宋" w:eastAsia="仿宋"/>
          <w:sz w:val="32"/>
          <w:szCs w:val="32"/>
        </w:rPr>
        <w:t>1.76</w:t>
      </w:r>
      <w:r>
        <w:rPr>
          <w:rFonts w:hint="eastAsia" w:ascii="仿宋" w:hAnsi="仿宋" w:eastAsia="仿宋"/>
          <w:sz w:val="32"/>
          <w:szCs w:val="32"/>
        </w:rPr>
        <w:t>万元，完成预算74.89</w:t>
      </w:r>
      <w:r>
        <w:rPr>
          <w:rFonts w:ascii="仿宋" w:hAnsi="仿宋" w:eastAsia="仿宋"/>
          <w:sz w:val="32"/>
          <w:szCs w:val="32"/>
        </w:rPr>
        <w:t>%</w:t>
      </w:r>
      <w:r>
        <w:rPr>
          <w:rFonts w:hint="eastAsia" w:ascii="仿宋" w:hAnsi="仿宋" w:eastAsia="仿宋"/>
          <w:sz w:val="32"/>
          <w:szCs w:val="32"/>
        </w:rPr>
        <w:t>，决算数小于预算数的主要原因是：认真贯彻落实中央八项规定精神，坚持厉行节约，进一步规范公务接待，严格控制“三公”经费支出。</w:t>
      </w:r>
    </w:p>
    <w:p>
      <w:pPr>
        <w:keepNext w:val="0"/>
        <w:keepLines w:val="0"/>
        <w:pageBreakBefore w:val="0"/>
        <w:widowControl w:val="0"/>
        <w:kinsoku/>
        <w:wordWrap/>
        <w:overflowPunct/>
        <w:topLinePunct w:val="0"/>
        <w:bidi w:val="0"/>
        <w:snapToGrid/>
        <w:spacing w:line="576" w:lineRule="exact"/>
        <w:ind w:firstLine="643" w:firstLineChars="200"/>
        <w:textAlignment w:val="auto"/>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41"/>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w:t>
      </w:r>
      <w:r>
        <w:rPr>
          <w:rFonts w:hint="eastAsia" w:ascii="仿宋" w:hAnsi="仿宋" w:eastAsia="仿宋"/>
          <w:sz w:val="32"/>
          <w:szCs w:val="32"/>
          <w:highlight w:val="none"/>
        </w:rPr>
        <w:t>中，</w:t>
      </w:r>
      <w:r>
        <w:rPr>
          <w:rFonts w:hint="eastAsia" w:ascii="仿宋" w:hAnsi="仿宋" w:eastAsia="仿宋"/>
          <w:b/>
          <w:sz w:val="32"/>
          <w:szCs w:val="32"/>
          <w:highlight w:val="none"/>
        </w:rPr>
        <w:t>因公出国</w:t>
      </w:r>
      <w:r>
        <w:rPr>
          <w:rFonts w:hint="eastAsia" w:ascii="仿宋_GB2312" w:eastAsia="仿宋_GB2312"/>
          <w:b/>
          <w:sz w:val="32"/>
          <w:szCs w:val="32"/>
          <w:highlight w:val="none"/>
        </w:rPr>
        <w:t>（境）</w:t>
      </w:r>
      <w:r>
        <w:rPr>
          <w:rFonts w:hint="eastAsia" w:ascii="仿宋" w:hAnsi="仿宋" w:eastAsia="仿宋"/>
          <w:b/>
          <w:sz w:val="32"/>
          <w:szCs w:val="32"/>
          <w:highlight w:val="none"/>
        </w:rPr>
        <w:t>经费支出0万元，</w:t>
      </w:r>
      <w:r>
        <w:rPr>
          <w:rFonts w:hint="eastAsia" w:ascii="仿宋" w:hAnsi="仿宋" w:eastAsia="仿宋"/>
          <w:sz w:val="32"/>
          <w:szCs w:val="32"/>
          <w:highlight w:val="none"/>
        </w:rPr>
        <w:t>占0</w:t>
      </w:r>
      <w:r>
        <w:rPr>
          <w:rFonts w:ascii="仿宋" w:hAnsi="仿宋" w:eastAsia="仿宋"/>
          <w:sz w:val="32"/>
          <w:szCs w:val="32"/>
          <w:highlight w:val="none"/>
        </w:rPr>
        <w:t>%</w:t>
      </w:r>
      <w:r>
        <w:rPr>
          <w:rFonts w:hint="eastAsia" w:ascii="仿宋" w:hAnsi="仿宋" w:eastAsia="仿宋"/>
          <w:sz w:val="32"/>
          <w:szCs w:val="32"/>
          <w:highlight w:val="none"/>
        </w:rPr>
        <w:t>；公务用车购置及运行维护费支</w:t>
      </w:r>
      <w:r>
        <w:rPr>
          <w:rFonts w:hint="eastAsia" w:ascii="仿宋" w:hAnsi="仿宋" w:eastAsia="仿宋"/>
          <w:sz w:val="32"/>
          <w:szCs w:val="32"/>
        </w:rPr>
        <w:t>出决算1.41万元，占80.12</w:t>
      </w:r>
      <w:r>
        <w:rPr>
          <w:rFonts w:ascii="仿宋" w:hAnsi="仿宋" w:eastAsia="仿宋"/>
          <w:sz w:val="32"/>
          <w:szCs w:val="32"/>
        </w:rPr>
        <w:t>%</w:t>
      </w:r>
      <w:r>
        <w:rPr>
          <w:rFonts w:hint="eastAsia" w:ascii="仿宋" w:hAnsi="仿宋" w:eastAsia="仿宋"/>
          <w:sz w:val="32"/>
          <w:szCs w:val="32"/>
        </w:rPr>
        <w:t>；公务接待费支出决算0.35万元，占19.88</w:t>
      </w:r>
      <w:r>
        <w:rPr>
          <w:rFonts w:ascii="仿宋" w:hAnsi="仿宋" w:eastAsia="仿宋"/>
          <w:sz w:val="32"/>
          <w:szCs w:val="32"/>
        </w:rPr>
        <w:t>%</w:t>
      </w:r>
      <w:r>
        <w:rPr>
          <w:rFonts w:hint="eastAsia" w:ascii="仿宋" w:hAnsi="仿宋" w:eastAsia="仿宋"/>
          <w:sz w:val="32"/>
          <w:szCs w:val="32"/>
        </w:rPr>
        <w:t>。具体情况如下：</w:t>
      </w:r>
    </w:p>
    <w:p>
      <w:pPr>
        <w:keepNext w:val="0"/>
        <w:keepLines w:val="0"/>
        <w:pageBreakBefore w:val="0"/>
        <w:widowControl w:val="0"/>
        <w:kinsoku/>
        <w:wordWrap/>
        <w:overflowPunct/>
        <w:topLinePunct w:val="0"/>
        <w:bidi w:val="0"/>
        <w:snapToGrid/>
        <w:spacing w:line="576" w:lineRule="exact"/>
        <w:ind w:firstLine="640" w:firstLineChars="200"/>
        <w:textAlignment w:val="auto"/>
      </w:pPr>
      <w:r>
        <w:rPr>
          <w:rFonts w:hint="eastAsia" w:ascii="仿宋" w:hAnsi="仿宋" w:eastAsia="仿宋"/>
          <w:sz w:val="32"/>
          <w:szCs w:val="32"/>
        </w:rPr>
        <w:t>（图7：“三公”经费财政拨款支出结构）</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247650</wp:posOffset>
            </wp:positionH>
            <wp:positionV relativeFrom="paragraph">
              <wp:posOffset>67945</wp:posOffset>
            </wp:positionV>
            <wp:extent cx="4527550" cy="1449705"/>
            <wp:effectExtent l="4445" t="4445" r="9525" b="889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pPr>
        <w:keepNext w:val="0"/>
        <w:keepLines w:val="0"/>
        <w:pageBreakBefore w:val="0"/>
        <w:widowControl w:val="0"/>
        <w:kinsoku/>
        <w:wordWrap/>
        <w:overflowPunct/>
        <w:topLinePunct w:val="0"/>
        <w:bidi w:val="0"/>
        <w:snapToGrid/>
        <w:spacing w:line="576" w:lineRule="exact"/>
        <w:textAlignment w:val="auto"/>
        <w:rPr>
          <w:rFonts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default" w:ascii="仿宋_GB2312" w:eastAsia="仿宋"/>
          <w:sz w:val="32"/>
          <w:szCs w:val="32"/>
          <w:highlight w:val="none"/>
          <w:lang w:val="en-US" w:eastAsia="zh-CN"/>
        </w:rPr>
      </w:pPr>
      <w:bookmarkStart w:id="42" w:name="_Toc15377218"/>
      <w:bookmarkStart w:id="43" w:name="_Toc15396610"/>
      <w:r>
        <w:rPr>
          <w:rFonts w:ascii="仿宋_GB2312" w:eastAsia="仿宋_GB2312"/>
          <w:b/>
          <w:sz w:val="32"/>
          <w:szCs w:val="32"/>
        </w:rPr>
        <w:t>1</w:t>
      </w:r>
      <w:r>
        <w:rPr>
          <w:rFonts w:hint="eastAsia" w:ascii="仿宋_GB2312" w:eastAsia="仿宋_GB2312"/>
          <w:b/>
          <w:sz w:val="32"/>
          <w:szCs w:val="32"/>
        </w:rPr>
        <w:t>.</w:t>
      </w:r>
      <w:r>
        <w:rPr>
          <w:rFonts w:hint="eastAsia" w:ascii="仿宋" w:hAnsi="仿宋" w:eastAsia="仿宋"/>
          <w:b/>
          <w:sz w:val="32"/>
          <w:szCs w:val="32"/>
          <w:highlight w:val="none"/>
        </w:rPr>
        <w:t>因公出国</w:t>
      </w:r>
      <w:r>
        <w:rPr>
          <w:rFonts w:hint="eastAsia" w:ascii="仿宋_GB2312" w:eastAsia="仿宋_GB2312"/>
          <w:b/>
          <w:sz w:val="32"/>
          <w:szCs w:val="32"/>
          <w:highlight w:val="none"/>
        </w:rPr>
        <w:t>（境）</w:t>
      </w:r>
      <w:r>
        <w:rPr>
          <w:rFonts w:hint="eastAsia" w:ascii="仿宋" w:hAnsi="仿宋" w:eastAsia="仿宋"/>
          <w:b/>
          <w:sz w:val="32"/>
          <w:szCs w:val="32"/>
          <w:highlight w:val="none"/>
        </w:rPr>
        <w:t>经费支出0万元，年初未安排预算</w:t>
      </w:r>
      <w:r>
        <w:rPr>
          <w:rStyle w:val="14"/>
          <w:rFonts w:hint="eastAsia" w:ascii="仿宋" w:hAnsi="仿宋" w:eastAsia="仿宋"/>
          <w:b w:val="0"/>
          <w:bCs/>
          <w:sz w:val="32"/>
          <w:szCs w:val="32"/>
          <w:highlight w:val="none"/>
        </w:rPr>
        <w:t>。</w:t>
      </w:r>
      <w:r>
        <w:rPr>
          <w:rStyle w:val="14"/>
          <w:rFonts w:hint="eastAsia" w:ascii="仿宋" w:hAnsi="仿宋" w:eastAsia="仿宋"/>
          <w:b w:val="0"/>
          <w:bCs/>
          <w:sz w:val="32"/>
          <w:szCs w:val="32"/>
          <w:highlight w:val="none"/>
          <w:lang w:eastAsia="zh-CN"/>
        </w:rPr>
        <w:t>与</w:t>
      </w:r>
      <w:r>
        <w:rPr>
          <w:rStyle w:val="14"/>
          <w:rFonts w:hint="eastAsia" w:ascii="仿宋" w:hAnsi="仿宋" w:eastAsia="仿宋"/>
          <w:b w:val="0"/>
          <w:bCs/>
          <w:sz w:val="32"/>
          <w:szCs w:val="32"/>
          <w:highlight w:val="none"/>
          <w:lang w:val="en-US" w:eastAsia="zh-CN"/>
        </w:rPr>
        <w:t>2020年持平。</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b/>
          <w:sz w:val="32"/>
          <w:szCs w:val="32"/>
        </w:rPr>
      </w:pPr>
      <w:r>
        <w:rPr>
          <w:rFonts w:ascii="仿宋_GB2312" w:eastAsia="仿宋_GB2312"/>
          <w:b/>
          <w:sz w:val="32"/>
          <w:szCs w:val="32"/>
          <w:highlight w:val="none"/>
        </w:rPr>
        <w:t>2.</w:t>
      </w:r>
      <w:r>
        <w:rPr>
          <w:rFonts w:hint="eastAsia" w:ascii="仿宋_GB2312" w:eastAsia="仿宋_GB2312"/>
          <w:b/>
          <w:sz w:val="32"/>
          <w:szCs w:val="32"/>
          <w:highlight w:val="none"/>
        </w:rPr>
        <w:t>公务用车购置及运行维护费支出</w:t>
      </w:r>
      <w:r>
        <w:rPr>
          <w:rFonts w:hint="eastAsia" w:ascii="仿宋_GB2312" w:eastAsia="仿宋_GB2312"/>
          <w:sz w:val="32"/>
          <w:szCs w:val="32"/>
          <w:highlight w:val="none"/>
        </w:rPr>
        <w:t>1.41万元,</w:t>
      </w:r>
      <w:r>
        <w:rPr>
          <w:rStyle w:val="14"/>
          <w:rFonts w:hint="eastAsia" w:ascii="仿宋" w:hAnsi="仿宋" w:eastAsia="仿宋"/>
          <w:b w:val="0"/>
          <w:bCs/>
          <w:sz w:val="32"/>
          <w:szCs w:val="32"/>
          <w:highlight w:val="none"/>
        </w:rPr>
        <w:t>完成</w:t>
      </w:r>
      <w:r>
        <w:rPr>
          <w:rStyle w:val="14"/>
          <w:rFonts w:hint="eastAsia" w:ascii="仿宋" w:hAnsi="仿宋" w:eastAsia="仿宋"/>
          <w:b w:val="0"/>
          <w:bCs/>
          <w:sz w:val="32"/>
          <w:szCs w:val="32"/>
        </w:rPr>
        <w:t>预算</w:t>
      </w:r>
      <w:r>
        <w:rPr>
          <w:rFonts w:hint="eastAsia" w:ascii="仿宋" w:hAnsi="仿宋" w:eastAsia="仿宋"/>
          <w:sz w:val="32"/>
          <w:szCs w:val="32"/>
        </w:rPr>
        <w:t>70.5</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20年增加0.19万元，增长15.57</w:t>
      </w:r>
      <w:r>
        <w:rPr>
          <w:rFonts w:ascii="仿宋_GB2312" w:eastAsia="仿宋_GB2312"/>
          <w:sz w:val="32"/>
          <w:szCs w:val="32"/>
        </w:rPr>
        <w:t>%</w:t>
      </w:r>
      <w:r>
        <w:rPr>
          <w:rFonts w:hint="eastAsia" w:ascii="仿宋_GB2312" w:eastAsia="仿宋_GB2312"/>
          <w:sz w:val="32"/>
          <w:szCs w:val="32"/>
        </w:rPr>
        <w:t>。主要原因是公务用车使用时间较长，维修成本增加。</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月底，单位共有公务用车1辆，其中：越野车1辆。</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1.41万元。主要用</w:t>
      </w:r>
      <w:r>
        <w:rPr>
          <w:rFonts w:hint="eastAsia" w:ascii="仿宋" w:hAnsi="仿宋" w:eastAsia="仿宋"/>
          <w:color w:val="000000"/>
          <w:sz w:val="32"/>
          <w:szCs w:val="32"/>
        </w:rPr>
        <w:t>于开展日常业务活动</w:t>
      </w:r>
      <w:r>
        <w:rPr>
          <w:rFonts w:hint="eastAsia" w:ascii="仿宋_GB2312" w:eastAsia="仿宋_GB2312"/>
          <w:sz w:val="32"/>
          <w:szCs w:val="32"/>
        </w:rPr>
        <w:t>等所需的公务用车燃料费、维修费、过路过桥费、保险费等支出。</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0.35万元，</w:t>
      </w:r>
      <w:r>
        <w:rPr>
          <w:rStyle w:val="14"/>
          <w:rFonts w:hint="eastAsia" w:ascii="仿宋" w:hAnsi="仿宋" w:eastAsia="仿宋"/>
          <w:b w:val="0"/>
          <w:bCs/>
          <w:sz w:val="32"/>
          <w:szCs w:val="32"/>
        </w:rPr>
        <w:t>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20年减少0.08万元，下降18.6</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坚持厉行节约，进一步规范公务接待</w:t>
      </w:r>
      <w:r>
        <w:rPr>
          <w:rFonts w:hint="eastAsia" w:ascii="仿宋_GB2312" w:eastAsia="仿宋_GB2312"/>
          <w:sz w:val="32"/>
          <w:szCs w:val="32"/>
        </w:rPr>
        <w:t>。其中：</w:t>
      </w:r>
    </w:p>
    <w:p>
      <w:pPr>
        <w:keepNext w:val="0"/>
        <w:keepLines w:val="0"/>
        <w:pageBreakBefore w:val="0"/>
        <w:widowControl w:val="0"/>
        <w:kinsoku/>
        <w:wordWrap/>
        <w:overflowPunct/>
        <w:topLinePunct w:val="0"/>
        <w:bidi w:val="0"/>
        <w:snapToGrid/>
        <w:spacing w:line="576" w:lineRule="exact"/>
        <w:ind w:firstLine="643" w:firstLineChars="200"/>
        <w:textAlignment w:val="auto"/>
        <w:rPr>
          <w:rFonts w:hint="eastAsia"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0.35</w:t>
      </w:r>
      <w:r>
        <w:rPr>
          <w:rFonts w:hint="eastAsia" w:ascii="仿宋_GB2312" w:eastAsia="仿宋_GB2312"/>
          <w:sz w:val="32"/>
          <w:szCs w:val="32"/>
        </w:rPr>
        <w:t>万元，主要用于</w:t>
      </w:r>
      <w:r>
        <w:rPr>
          <w:rFonts w:hint="eastAsia" w:ascii="仿宋" w:hAnsi="仿宋" w:eastAsia="仿宋"/>
          <w:color w:val="000000"/>
          <w:sz w:val="32"/>
          <w:szCs w:val="32"/>
        </w:rPr>
        <w:t>主要用于开展业务活动开支的交通费、住宿费、用餐费等</w:t>
      </w:r>
      <w:r>
        <w:rPr>
          <w:rFonts w:hint="eastAsia" w:ascii="仿宋_GB2312" w:eastAsia="仿宋_GB2312"/>
          <w:sz w:val="32"/>
          <w:szCs w:val="32"/>
        </w:rPr>
        <w:t>。国内公务接待6批次，</w:t>
      </w:r>
      <w:r>
        <w:rPr>
          <w:rFonts w:hint="eastAsia" w:ascii="仿宋_GB2312" w:eastAsia="仿宋_GB2312"/>
          <w:sz w:val="32"/>
          <w:szCs w:val="32"/>
          <w:lang w:val="en-US" w:eastAsia="zh-CN"/>
        </w:rPr>
        <w:t>29</w:t>
      </w:r>
      <w:r>
        <w:rPr>
          <w:rFonts w:hint="eastAsia" w:ascii="仿宋_GB2312" w:eastAsia="仿宋_GB2312"/>
          <w:sz w:val="32"/>
          <w:szCs w:val="32"/>
        </w:rPr>
        <w:t>人次（不包括陪同人员），共计支出0.35万元，具体内容包括：省林科院指导油橄榄冬管及榨油接待0.065万元、省林科院洽谈木本油料育种与栽培合作接待0.068万元、省林科院调研广元市木本油料科研工作接待费0.066万元、省林科院育种所洽谈生态防火工程技术研究合作事宜接待用餐0.04万元、四川省林业和草原科技推广总站广元市林业科学研究院从事林业产业“10+3”产业体系创新项目培训调研工作接待费0.06万元、核桃引种驯化接待费0.051万元。</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hint="default" w:eastAsia="仿宋_GB2312"/>
          <w:lang w:val="en-US" w:eastAsia="zh-CN"/>
        </w:rPr>
      </w:pPr>
      <w:r>
        <w:rPr>
          <w:rFonts w:hint="eastAsia" w:ascii="仿宋" w:hAnsi="仿宋" w:eastAsia="仿宋" w:cs="Times New Roman"/>
          <w:b/>
          <w:kern w:val="2"/>
          <w:sz w:val="32"/>
          <w:szCs w:val="32"/>
          <w:lang w:val="en-US" w:eastAsia="zh-CN" w:bidi="ar-SA"/>
        </w:rPr>
        <w:t>外事接待支出0万元。</w:t>
      </w:r>
    </w:p>
    <w:p>
      <w:pPr>
        <w:keepNext w:val="0"/>
        <w:keepLines w:val="0"/>
        <w:pageBreakBefore w:val="0"/>
        <w:widowControl w:val="0"/>
        <w:kinsoku/>
        <w:wordWrap/>
        <w:overflowPunct/>
        <w:topLinePunct w:val="0"/>
        <w:bidi w:val="0"/>
        <w:snapToGrid/>
        <w:spacing w:line="576" w:lineRule="exact"/>
        <w:ind w:firstLine="640" w:firstLineChars="200"/>
        <w:textAlignment w:val="auto"/>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2"/>
      <w:bookmarkEnd w:id="43"/>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color w:val="000000"/>
          <w:sz w:val="32"/>
          <w:szCs w:val="32"/>
        </w:rPr>
      </w:pPr>
      <w:bookmarkStart w:id="44" w:name="_Toc15396611"/>
      <w:bookmarkStart w:id="45" w:name="_Toc15377219"/>
      <w:r>
        <w:rPr>
          <w:rFonts w:ascii="仿宋_GB2312" w:eastAsia="仿宋_GB2312"/>
          <w:sz w:val="32"/>
          <w:szCs w:val="32"/>
        </w:rPr>
        <w:t>20</w:t>
      </w:r>
      <w:r>
        <w:rPr>
          <w:rFonts w:hint="eastAsia" w:ascii="仿宋_GB2312" w:eastAsia="仿宋_GB2312"/>
          <w:sz w:val="32"/>
          <w:szCs w:val="32"/>
        </w:rPr>
        <w:t>21年政府性基金预算财政拨款支出0万元</w:t>
      </w:r>
      <w:r>
        <w:rPr>
          <w:rFonts w:hint="eastAsia" w:ascii="仿宋" w:hAnsi="仿宋" w:eastAsia="仿宋"/>
          <w:color w:val="000000"/>
          <w:sz w:val="32"/>
          <w:szCs w:val="32"/>
        </w:rPr>
        <w:t>。</w:t>
      </w:r>
      <w:r>
        <w:rPr>
          <w:rFonts w:hint="eastAsia" w:ascii="仿宋" w:hAnsi="仿宋" w:eastAsia="仿宋" w:cs="仿宋_GB2312"/>
          <w:sz w:val="32"/>
          <w:szCs w:val="32"/>
        </w:rPr>
        <w:t>2021年本单位未在政府性基金预算拨款安排“三公”经费支出。</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r>
        <w:rPr>
          <w:rStyle w:val="25"/>
          <w:rFonts w:hint="eastAsia" w:ascii="黑体" w:hAnsi="黑体" w:eastAsia="黑体"/>
          <w:b w:val="0"/>
          <w:lang w:eastAsia="zh-CN"/>
        </w:rPr>
        <w:t>九、</w:t>
      </w:r>
      <w:r>
        <w:rPr>
          <w:rStyle w:val="25"/>
          <w:rFonts w:hint="eastAsia" w:ascii="黑体" w:hAnsi="黑体" w:eastAsia="黑体"/>
          <w:b w:val="0"/>
        </w:rPr>
        <w:t>国有资本经营预算支出决算情况说明</w:t>
      </w:r>
      <w:bookmarkEnd w:id="44"/>
      <w:bookmarkEnd w:id="45"/>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bookmarkStart w:id="46" w:name="_Toc15396612"/>
      <w:bookmarkStart w:id="47" w:name="_Toc15377221"/>
      <w:r>
        <w:rPr>
          <w:rFonts w:ascii="仿宋_GB2312" w:eastAsia="仿宋_GB2312"/>
          <w:sz w:val="32"/>
          <w:szCs w:val="32"/>
        </w:rPr>
        <w:t>20</w:t>
      </w:r>
      <w:r>
        <w:rPr>
          <w:rFonts w:hint="eastAsia" w:ascii="仿宋_GB2312" w:eastAsia="仿宋_GB2312"/>
          <w:sz w:val="32"/>
          <w:szCs w:val="32"/>
        </w:rPr>
        <w:t>21年国有资本经营预算财政拨款支出0万元。</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r>
        <w:rPr>
          <w:rStyle w:val="25"/>
          <w:rFonts w:hint="eastAsia" w:ascii="黑体" w:hAnsi="黑体" w:eastAsia="黑体"/>
          <w:b w:val="0"/>
          <w:lang w:eastAsia="zh-CN"/>
        </w:rPr>
        <w:t>十、</w:t>
      </w:r>
      <w:r>
        <w:rPr>
          <w:rStyle w:val="25"/>
          <w:rFonts w:hint="eastAsia" w:ascii="黑体" w:hAnsi="黑体" w:eastAsia="黑体"/>
          <w:b w:val="0"/>
        </w:rPr>
        <w:t>预算绩效管理情况</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w:t>
      </w:r>
      <w:r>
        <w:rPr>
          <w:rFonts w:ascii="仿宋" w:hAnsi="仿宋" w:eastAsia="仿宋" w:cs="仿宋_GB2312"/>
          <w:sz w:val="32"/>
          <w:szCs w:val="32"/>
        </w:rPr>
        <w:t>专项支出油橄榄提质增效技术研究与示范</w:t>
      </w:r>
      <w:r>
        <w:rPr>
          <w:rFonts w:hint="eastAsia" w:ascii="仿宋_GB2312" w:hAnsi="仿宋_GB2312" w:eastAsia="仿宋_GB2312" w:cs="仿宋_GB2312"/>
          <w:sz w:val="32"/>
          <w:szCs w:val="32"/>
        </w:rPr>
        <w:t>项目开展了预算事前绩效评估，对1个项目编制了绩效目标，预算执行过程中，选取1个项目开展绩效监控，年终执行完毕后，对3个项目开展了绩效自评。，2021年部门预算项目绩效目标自评表见附件（第四部分）。</w:t>
      </w:r>
    </w:p>
    <w:p>
      <w:pPr>
        <w:keepNext w:val="0"/>
        <w:keepLines w:val="0"/>
        <w:pageBreakBefore w:val="0"/>
        <w:widowControl w:val="0"/>
        <w:numPr>
          <w:ilvl w:val="0"/>
          <w:numId w:val="0"/>
        </w:numPr>
        <w:kinsoku/>
        <w:wordWrap/>
        <w:overflowPunct/>
        <w:topLinePunct w:val="0"/>
        <w:bidi w:val="0"/>
        <w:snapToGrid/>
        <w:spacing w:line="576" w:lineRule="exact"/>
        <w:ind w:firstLine="640" w:firstLineChars="200"/>
        <w:textAlignment w:val="auto"/>
        <w:outlineLvl w:val="1"/>
        <w:rPr>
          <w:rStyle w:val="25"/>
          <w:rFonts w:ascii="黑体" w:hAnsi="黑体" w:eastAsia="黑体"/>
          <w:b w:val="0"/>
        </w:rPr>
      </w:pPr>
      <w:r>
        <w:rPr>
          <w:rStyle w:val="25"/>
          <w:rFonts w:hint="eastAsia" w:ascii="黑体" w:hAnsi="黑体" w:eastAsia="黑体"/>
          <w:b w:val="0"/>
          <w:lang w:eastAsia="zh-CN"/>
        </w:rPr>
        <w:t>十一、</w:t>
      </w:r>
      <w:r>
        <w:rPr>
          <w:rStyle w:val="25"/>
          <w:rFonts w:hint="eastAsia" w:ascii="黑体" w:hAnsi="黑体" w:eastAsia="黑体"/>
          <w:b w:val="0"/>
        </w:rPr>
        <w:t>其他重要事项的情况说明</w:t>
      </w:r>
      <w:bookmarkEnd w:id="46"/>
      <w:bookmarkEnd w:id="47"/>
    </w:p>
    <w:p>
      <w:pPr>
        <w:keepNext w:val="0"/>
        <w:keepLines w:val="0"/>
        <w:pageBreakBefore w:val="0"/>
        <w:widowControl w:val="0"/>
        <w:kinsoku/>
        <w:wordWrap/>
        <w:overflowPunct/>
        <w:topLinePunct w:val="0"/>
        <w:bidi w:val="0"/>
        <w:snapToGrid/>
        <w:spacing w:line="576" w:lineRule="exact"/>
        <w:ind w:firstLine="643" w:firstLineChars="200"/>
        <w:textAlignment w:val="auto"/>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2021年未发生机关运行经费支出，与2020年决算数持平</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keepNext w:val="0"/>
        <w:keepLines w:val="0"/>
        <w:pageBreakBefore w:val="0"/>
        <w:widowControl w:val="0"/>
        <w:kinsoku/>
        <w:wordWrap/>
        <w:overflowPunct/>
        <w:topLinePunct w:val="0"/>
        <w:bidi w:val="0"/>
        <w:snapToGrid/>
        <w:spacing w:line="576" w:lineRule="exact"/>
        <w:ind w:firstLine="640" w:firstLineChars="200"/>
        <w:textAlignment w:val="auto"/>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21年，政府采购支出总额1.65万元。其中：政府采购货物支出1.65万元,</w:t>
      </w:r>
      <w:r>
        <w:rPr>
          <w:rFonts w:hint="eastAsia" w:ascii="仿宋_GB2312" w:hAnsi="仿宋_GB2312" w:eastAsia="仿宋_GB2312" w:cs="仿宋_GB2312"/>
          <w:snapToGrid w:val="0"/>
          <w:kern w:val="0"/>
          <w:sz w:val="32"/>
          <w:szCs w:val="32"/>
        </w:rPr>
        <w:t xml:space="preserve"> 采购平板电脑6套用于广元、绵阳两市区域内的林产品及土壤抽检任务。</w:t>
      </w:r>
      <w:r>
        <w:rPr>
          <w:rFonts w:hint="eastAsia" w:ascii="仿宋_GB2312" w:eastAsia="仿宋_GB2312"/>
          <w:sz w:val="32"/>
          <w:szCs w:val="32"/>
        </w:rPr>
        <w:t>授予中小企业合同金额0万元。</w:t>
      </w:r>
    </w:p>
    <w:p>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left"/>
        <w:textAlignment w:val="auto"/>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left"/>
        <w:textAlignment w:val="auto"/>
        <w:rPr>
          <w:rFonts w:ascii="仿宋" w:hAnsi="仿宋" w:eastAsia="仿宋"/>
          <w:b/>
          <w:sz w:val="32"/>
          <w:szCs w:val="32"/>
        </w:rPr>
      </w:pPr>
      <w:r>
        <w:rPr>
          <w:rFonts w:hint="eastAsia" w:ascii="仿宋" w:hAnsi="仿宋" w:eastAsia="仿宋"/>
          <w:color w:val="000000"/>
          <w:sz w:val="32"/>
          <w:szCs w:val="32"/>
        </w:rPr>
        <w:t>截至</w:t>
      </w:r>
      <w:r>
        <w:rPr>
          <w:rFonts w:ascii="仿宋" w:hAnsi="仿宋" w:eastAsia="仿宋"/>
          <w:color w:val="000000"/>
          <w:sz w:val="32"/>
          <w:szCs w:val="32"/>
        </w:rPr>
        <w:t>202</w:t>
      </w:r>
      <w:r>
        <w:rPr>
          <w:rFonts w:hint="eastAsia" w:ascii="仿宋" w:hAnsi="仿宋" w:eastAsia="仿宋"/>
          <w:color w:val="000000"/>
          <w:sz w:val="32"/>
          <w:szCs w:val="32"/>
          <w:lang w:val="en-US" w:eastAsia="zh-CN"/>
        </w:rPr>
        <w:t>1</w:t>
      </w:r>
      <w:bookmarkStart w:id="69" w:name="_GoBack"/>
      <w:bookmarkEnd w:id="69"/>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w:t>
      </w:r>
      <w:r>
        <w:rPr>
          <w:rFonts w:hint="eastAsia" w:ascii="仿宋" w:hAnsi="仿宋" w:eastAsia="仿宋"/>
          <w:color w:val="000000"/>
          <w:sz w:val="32"/>
          <w:szCs w:val="32"/>
          <w:lang w:val="en-US" w:eastAsia="zh-CN"/>
        </w:rPr>
        <w:t>市林科院</w:t>
      </w:r>
      <w:r>
        <w:rPr>
          <w:rFonts w:hint="eastAsia" w:ascii="仿宋" w:hAnsi="仿宋" w:eastAsia="仿宋"/>
          <w:color w:val="000000"/>
          <w:sz w:val="32"/>
          <w:szCs w:val="32"/>
        </w:rPr>
        <w:t>共有车辆</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辆，其中：其他用车</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辆</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其他用车主要是用于</w:t>
      </w:r>
      <w:r>
        <w:rPr>
          <w:rFonts w:hint="eastAsia" w:ascii="仿宋" w:hAnsi="仿宋" w:eastAsia="仿宋"/>
          <w:color w:val="000000"/>
          <w:sz w:val="32"/>
          <w:szCs w:val="32"/>
          <w:lang w:val="en-US" w:eastAsia="zh-CN"/>
        </w:rPr>
        <w:t>开展业务活动</w:t>
      </w:r>
      <w:r>
        <w:rPr>
          <w:rFonts w:hint="eastAsia" w:ascii="仿宋" w:hAnsi="仿宋" w:eastAsia="仿宋"/>
          <w:color w:val="000000"/>
          <w:sz w:val="32"/>
          <w:szCs w:val="32"/>
        </w:rPr>
        <w:t>等。单价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台（套）。</w:t>
      </w:r>
    </w:p>
    <w:p>
      <w:pPr>
        <w:pStyle w:val="6"/>
        <w:spacing w:before="93"/>
        <w:rPr>
          <w:highlight w:val="yellow"/>
        </w:rPr>
      </w:pP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1"/>
        </w:numPr>
        <w:spacing w:line="600" w:lineRule="exact"/>
        <w:ind w:firstLine="660" w:firstLineChars="150"/>
        <w:jc w:val="center"/>
        <w:outlineLvl w:val="0"/>
        <w:rPr>
          <w:rStyle w:val="24"/>
          <w:rFonts w:ascii="黑体" w:hAnsi="黑体" w:eastAsia="黑体"/>
          <w:b w:val="0"/>
        </w:rPr>
      </w:pPr>
      <w:bookmarkStart w:id="51" w:name="_Toc15396613"/>
      <w:bookmarkStart w:id="52" w:name="_Toc15377225"/>
      <w:r>
        <w:rPr>
          <w:rFonts w:hint="eastAsia" w:ascii="黑体" w:hAnsi="黑体" w:eastAsia="黑体"/>
          <w:sz w:val="44"/>
          <w:szCs w:val="44"/>
        </w:rPr>
        <w:t>名</w:t>
      </w:r>
      <w:r>
        <w:rPr>
          <w:rStyle w:val="24"/>
          <w:rFonts w:hint="eastAsia" w:ascii="黑体" w:hAnsi="黑体" w:eastAsia="黑体"/>
          <w:b w:val="0"/>
        </w:rPr>
        <w:t>词解释</w:t>
      </w:r>
      <w:bookmarkEnd w:id="51"/>
      <w:bookmarkEnd w:id="52"/>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利息收入</w:t>
      </w:r>
      <w:r>
        <w:rPr>
          <w:rFonts w:hint="eastAsia" w:ascii="仿宋_GB2312" w:eastAsia="仿宋_GB2312"/>
          <w:color w:val="auto"/>
          <w:sz w:val="32"/>
          <w:szCs w:val="32"/>
        </w:rPr>
        <w:t>。</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.科学技术（类）科技条件与服务（款）其他科技条件与服务支出（项）:指除上述项目以外其他用于科技条件与服务方面的支出。</w:t>
      </w:r>
    </w:p>
    <w:p>
      <w:pPr>
        <w:pStyle w:val="22"/>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6.社会保障和就业（类）人力资源和社会保障管理事务（款）其他人力资源和社会保障管理事务支出（项）：</w:t>
      </w:r>
      <w:r>
        <w:rPr>
          <w:rFonts w:hint="eastAsia" w:ascii="仿宋_GB2312" w:eastAsia="仿宋_GB2312"/>
          <w:sz w:val="32"/>
          <w:szCs w:val="32"/>
        </w:rPr>
        <w:t>反映除上述项目以外其他人力资源和社会保障管理事务方面的支出。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.社会保障和就业（类）行政事业单位养老支出（款）机关事业单位基本养老保险缴费支出（项）: 反映机关事业单位 实施养老保险制度由单位缴纳的基本养老保险费支出。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.社会保障和就业（类）行政事业单位养老支出（款）机关事业单位职业年金缴费支出（项）：反映机关事业单位实施 养老保险制度由单位实际缴纳的职业年金支出。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.社会保障和就业（类）其他社会保障和就业支出（款）其他社会保障和就业支出（项）：反映除上述项目以外其他用于 社会保障和就业方面的支出。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.卫生健康（类）行政事业单位医疗（款）事业单位医疗（项）:指反映财政部门安排的</w:t>
      </w:r>
      <w:r>
        <w:rPr>
          <w:rFonts w:hint="eastAsia" w:ascii="仿宋_GB2312" w:eastAsia="仿宋_GB2312"/>
          <w:color w:val="auto"/>
          <w:sz w:val="32"/>
          <w:szCs w:val="32"/>
          <w:lang w:eastAsia="zh-CN"/>
        </w:rPr>
        <w:t>事业</w:t>
      </w:r>
      <w:r>
        <w:rPr>
          <w:rFonts w:hint="eastAsia" w:ascii="仿宋_GB2312" w:eastAsia="仿宋_GB2312"/>
          <w:color w:val="auto"/>
          <w:sz w:val="32"/>
          <w:szCs w:val="32"/>
        </w:rPr>
        <w:t>单位缴纳</w:t>
      </w:r>
      <w:r>
        <w:rPr>
          <w:rFonts w:hint="eastAsia" w:ascii="仿宋_GB2312" w:eastAsia="仿宋_GB2312"/>
          <w:color w:val="auto"/>
          <w:sz w:val="32"/>
          <w:szCs w:val="32"/>
          <w:lang w:eastAsia="zh-CN"/>
        </w:rPr>
        <w:t>的</w:t>
      </w:r>
      <w:r>
        <w:rPr>
          <w:rFonts w:hint="eastAsia" w:ascii="仿宋_GB2312" w:eastAsia="仿宋_GB2312"/>
          <w:color w:val="auto"/>
          <w:sz w:val="32"/>
          <w:szCs w:val="32"/>
        </w:rPr>
        <w:t>基本医疗经费。</w:t>
      </w:r>
    </w:p>
    <w:p>
      <w:pPr>
        <w:pStyle w:val="22"/>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11. 农林</w:t>
      </w:r>
      <w:r>
        <w:rPr>
          <w:rFonts w:hint="eastAsia" w:ascii="仿宋_GB2312" w:eastAsia="仿宋_GB2312"/>
          <w:color w:val="auto"/>
          <w:sz w:val="32"/>
          <w:szCs w:val="32"/>
        </w:rPr>
        <w:t>水支出（类）林业和草原（款）事业机构（项）：反映事业单位的基本支出，不包括行政单位(含实行公务员管理 的事业单位)后勤服务中心等附属事业单位的支出。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12.农林</w:t>
      </w:r>
      <w:r>
        <w:rPr>
          <w:rFonts w:hint="eastAsia" w:ascii="仿宋_GB2312" w:eastAsia="仿宋_GB2312"/>
          <w:color w:val="auto"/>
          <w:sz w:val="32"/>
          <w:szCs w:val="32"/>
        </w:rPr>
        <w:t>水支出（类）林业和草原（款）森林资源培育（项）：反映育苗(种)、造林、抚育、退化林修复、义务植树以及生物质 能源建设等方面的支出。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13.农林</w:t>
      </w:r>
      <w:r>
        <w:rPr>
          <w:rFonts w:hint="eastAsia" w:ascii="仿宋_GB2312" w:eastAsia="仿宋_GB2312"/>
          <w:color w:val="auto"/>
          <w:sz w:val="32"/>
          <w:szCs w:val="32"/>
        </w:rPr>
        <w:t>水支出（类）林业和草原（款）技术推广与转化（项）：指良种繁育、新技术引进、区域化试验、示范、技术推广、成果转化、科学普及等支出。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14.农林</w:t>
      </w:r>
      <w:r>
        <w:rPr>
          <w:rFonts w:hint="eastAsia" w:ascii="仿宋_GB2312" w:eastAsia="仿宋_GB2312"/>
          <w:color w:val="auto"/>
          <w:sz w:val="32"/>
          <w:szCs w:val="32"/>
        </w:rPr>
        <w:t>水支出（类）林业和草原（款）行业业务管理（项）：指行业标准、政策法规、规划规程制定，生态工程及项目的可研、评审评估、绩效评价、检查验收，资金资产监督管理，统计调查和数据分析发布，检疫检测、森林认证，林产品质量监管，新品种及知识产权保护，生物安全与遗传资源管理，重大宣传，人才发展等方面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15.农林</w:t>
      </w:r>
      <w:r>
        <w:rPr>
          <w:rFonts w:hint="eastAsia" w:ascii="仿宋_GB2312" w:eastAsia="仿宋_GB2312"/>
          <w:color w:val="auto"/>
          <w:sz w:val="32"/>
          <w:szCs w:val="32"/>
        </w:rPr>
        <w:t>水支出（类）林业和草原（款）其他林业和草原支出（项）：反映除上述项日以外其他用于林业和草原方面的支出。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.住房保障支出（类）住房改革支出（款）住房公积金（项） ：指行政事业单位按人力资源和社会保障部、财政部规定的基本工资和津贴补贴以及规定比例为职工缴纳的住房公积金。</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住房保障支出（类）住房改革支出（款）购房补贴（项）：指反映按房改政策规定，行政事业单位向符合条件职工（含离退 休人员）、军队（含武警）向转役复原离退休人员发放的用于购 买住房的补贴。</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.基本支出：指为保障机构正常运转、完成日常工作任务而发生的人员支出和公用支出。</w:t>
      </w:r>
    </w:p>
    <w:p>
      <w:pPr>
        <w:pStyle w:val="22"/>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 xml:space="preserve">.项目支出：指在基本支出之外为完成特定行政任务和事业发展目标所发生的支出。 </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numPr>
          <w:ilvl w:val="0"/>
          <w:numId w:val="0"/>
        </w:numPr>
        <w:spacing w:line="600" w:lineRule="exact"/>
        <w:ind w:leftChars="150"/>
        <w:jc w:val="center"/>
        <w:outlineLvl w:val="0"/>
        <w:rPr>
          <w:rStyle w:val="24"/>
          <w:rFonts w:hint="eastAsia" w:ascii="黑体" w:hAnsi="黑体" w:eastAsia="黑体"/>
          <w:b w:val="0"/>
        </w:rPr>
      </w:pPr>
      <w:bookmarkStart w:id="53" w:name="_Toc15377226"/>
      <w:r>
        <w:rPr>
          <w:rFonts w:ascii="宋体"/>
          <w:b/>
          <w:sz w:val="44"/>
          <w:szCs w:val="44"/>
        </w:rPr>
        <w:br w:type="page"/>
      </w:r>
      <w:bookmarkStart w:id="54" w:name="_Toc15396614"/>
      <w:r>
        <w:rPr>
          <w:rFonts w:hint="eastAsia" w:ascii="宋体"/>
          <w:b/>
          <w:sz w:val="44"/>
          <w:szCs w:val="44"/>
          <w:lang w:eastAsia="zh-CN"/>
        </w:rPr>
        <w:t>第四部分</w:t>
      </w:r>
      <w:r>
        <w:rPr>
          <w:rFonts w:hint="eastAsia" w:ascii="宋体"/>
          <w:b/>
          <w:sz w:val="44"/>
          <w:szCs w:val="44"/>
          <w:lang w:val="en-US" w:eastAsia="zh-CN"/>
        </w:rPr>
        <w:t xml:space="preserve"> </w:t>
      </w:r>
      <w:r>
        <w:rPr>
          <w:rStyle w:val="24"/>
          <w:rFonts w:hint="eastAsia" w:ascii="黑体" w:hAnsi="黑体" w:eastAsia="黑体"/>
          <w:b w:val="0"/>
        </w:rPr>
        <w:t>附件</w:t>
      </w:r>
      <w:bookmarkEnd w:id="54"/>
      <w:bookmarkStart w:id="55" w:name="_Toc15396618"/>
    </w:p>
    <w:p>
      <w:pPr>
        <w:pStyle w:val="30"/>
        <w:spacing w:line="580" w:lineRule="exact"/>
        <w:jc w:val="left"/>
        <w:rPr>
          <w:rFonts w:hint="default" w:ascii="Times New Roman" w:hAnsi="Times New Roman" w:eastAsia="黑体" w:cs="Times New Roman"/>
          <w:color w:val="auto"/>
          <w:kern w:val="2"/>
          <w:sz w:val="32"/>
          <w:szCs w:val="32"/>
          <w:lang w:val="en-US" w:eastAsia="zh-CN" w:bidi="ar-SA"/>
        </w:rPr>
      </w:pPr>
      <w:r>
        <w:rPr>
          <w:rFonts w:hint="eastAsia" w:ascii="Times New Roman" w:hAnsi="Times New Roman" w:eastAsia="黑体" w:cs="Times New Roman"/>
          <w:color w:val="auto"/>
          <w:kern w:val="2"/>
          <w:sz w:val="32"/>
          <w:szCs w:val="32"/>
          <w:lang w:val="en-US" w:eastAsia="zh-CN" w:bidi="ar-SA"/>
        </w:rPr>
        <w:t>附件1：</w:t>
      </w:r>
    </w:p>
    <w:p>
      <w:pPr>
        <w:pStyle w:val="30"/>
        <w:spacing w:line="580" w:lineRule="exact"/>
        <w:jc w:val="center"/>
        <w:rPr>
          <w:rFonts w:ascii="Times New Roman" w:hAnsi="Times New Roman" w:eastAsia="方正小标宋简体"/>
          <w:color w:val="auto"/>
          <w:sz w:val="44"/>
          <w:szCs w:val="44"/>
        </w:rPr>
      </w:pPr>
      <w:r>
        <w:rPr>
          <w:rFonts w:hint="eastAsia" w:ascii="Times New Roman" w:hAnsi="Times New Roman" w:eastAsia="方正小标宋简体"/>
          <w:color w:val="auto"/>
          <w:sz w:val="44"/>
          <w:szCs w:val="44"/>
          <w:lang w:val="en-US"/>
        </w:rPr>
        <w:t>2021年</w:t>
      </w:r>
      <w:r>
        <w:rPr>
          <w:rFonts w:hint="eastAsia" w:ascii="Times New Roman" w:hAnsi="Times New Roman" w:eastAsia="方正小标宋简体"/>
          <w:color w:val="auto"/>
          <w:sz w:val="44"/>
          <w:szCs w:val="44"/>
        </w:rPr>
        <w:t>油橄榄提质增效技术研究与示范项目绩效自评报告</w:t>
      </w:r>
    </w:p>
    <w:p>
      <w:pPr>
        <w:adjustRightInd w:val="0"/>
        <w:snapToGrid w:val="0"/>
        <w:spacing w:line="576" w:lineRule="exact"/>
        <w:ind w:firstLine="640" w:firstLineChars="200"/>
        <w:rPr>
          <w:rFonts w:eastAsia="黑体"/>
          <w:sz w:val="32"/>
          <w:szCs w:val="32"/>
        </w:rPr>
      </w:pPr>
      <w:r>
        <w:rPr>
          <w:rFonts w:hint="eastAsia" w:eastAsia="黑体"/>
          <w:sz w:val="32"/>
          <w:szCs w:val="32"/>
        </w:rPr>
        <w:t>一、项目概况</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（一）项目基本情况</w:t>
      </w:r>
    </w:p>
    <w:p>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根据2017年8月市政府办印发的《广元市推进油橄榄产业提质增效建设方案》，需持续开展油橄榄丰产栽培技术集成研究，科学示范油橄榄提质增效技术，促进基地管理，提高产量和效益，助推产区脱贫攻坚。本项目主要目标是在大石油橄榄品种试验园，开展系列油橄榄提质增效技术集成研究与示范</w:t>
      </w:r>
      <w:r>
        <w:rPr>
          <w:rFonts w:hint="eastAsia" w:ascii="仿宋" w:hAnsi="仿宋" w:eastAsia="仿宋" w:cs="仿宋_GB2312"/>
          <w:sz w:val="32"/>
          <w:szCs w:val="32"/>
        </w:rPr>
        <w:t>，该项目主要用于</w:t>
      </w:r>
      <w:r>
        <w:rPr>
          <w:rFonts w:ascii="仿宋" w:hAnsi="仿宋" w:eastAsia="仿宋" w:cs="仿宋_GB2312"/>
          <w:sz w:val="32"/>
          <w:szCs w:val="32"/>
        </w:rPr>
        <w:t>油橄榄提质增效</w:t>
      </w:r>
      <w:r>
        <w:rPr>
          <w:rFonts w:hint="eastAsia" w:ascii="仿宋" w:hAnsi="仿宋" w:eastAsia="仿宋" w:cs="仿宋_GB2312"/>
          <w:sz w:val="32"/>
          <w:szCs w:val="32"/>
        </w:rPr>
        <w:t>基地土地租金</w:t>
      </w:r>
      <w:r>
        <w:rPr>
          <w:rFonts w:ascii="仿宋" w:hAnsi="仿宋" w:eastAsia="仿宋" w:cs="仿宋_GB2312"/>
          <w:sz w:val="32"/>
          <w:szCs w:val="32"/>
        </w:rPr>
        <w:t>。</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（二）项目绩效目标</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在油橄榄提质增效基地上持续开展了油橄榄丰产栽培技术研究，完成191亩油橄榄基日常管理，产量提高到鲜果400kg/年；经济效益、社会效益及生态效益得到明显提高；完成100人次油橄榄种植及管理技术培训。</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（三）项目资金申报相符性</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项目申报内容是与具体实施内容相符、申报目标合理可行。</w:t>
      </w:r>
    </w:p>
    <w:p>
      <w:pPr>
        <w:spacing w:line="576" w:lineRule="exact"/>
        <w:ind w:firstLine="640" w:firstLineChars="200"/>
        <w:rPr>
          <w:rFonts w:eastAsia="黑体"/>
          <w:sz w:val="32"/>
          <w:szCs w:val="32"/>
        </w:rPr>
      </w:pPr>
      <w:r>
        <w:rPr>
          <w:rFonts w:hint="eastAsia" w:eastAsia="黑体"/>
          <w:sz w:val="32"/>
          <w:szCs w:val="32"/>
        </w:rPr>
        <w:t>二、项目资金申报及使用情况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eastAsia="楷体"/>
          <w:sz w:val="32"/>
          <w:szCs w:val="32"/>
          <w:lang w:val="zh-CN"/>
        </w:rPr>
        <w:t>（一）资金计划、到位及使用情况</w:t>
      </w:r>
    </w:p>
    <w:p>
      <w:pPr>
        <w:adjustRightInd w:val="0"/>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1</w:t>
      </w:r>
      <w:r>
        <w:rPr>
          <w:rFonts w:hint="eastAsia" w:ascii="仿宋" w:hAnsi="仿宋" w:eastAsia="仿宋" w:cs="仿宋_GB2312"/>
          <w:sz w:val="32"/>
          <w:szCs w:val="32"/>
        </w:rPr>
        <w:t>．资金计划。根据项目实际，向市级财政</w:t>
      </w:r>
      <w:r>
        <w:rPr>
          <w:rFonts w:ascii="仿宋" w:hAnsi="仿宋" w:eastAsia="仿宋" w:cs="仿宋_GB2312"/>
          <w:sz w:val="32"/>
          <w:szCs w:val="32"/>
        </w:rPr>
        <w:t>申报资金</w:t>
      </w:r>
      <w:r>
        <w:rPr>
          <w:rFonts w:hint="eastAsia" w:ascii="仿宋" w:hAnsi="仿宋" w:eastAsia="仿宋" w:cs="仿宋_GB2312"/>
          <w:sz w:val="32"/>
          <w:szCs w:val="32"/>
        </w:rPr>
        <w:t>10</w:t>
      </w:r>
      <w:r>
        <w:rPr>
          <w:rFonts w:ascii="仿宋" w:hAnsi="仿宋" w:eastAsia="仿宋" w:cs="仿宋_GB2312"/>
          <w:sz w:val="32"/>
          <w:szCs w:val="32"/>
        </w:rPr>
        <w:t>万元，</w:t>
      </w:r>
      <w:r>
        <w:rPr>
          <w:rFonts w:hint="eastAsia" w:ascii="仿宋" w:hAnsi="仿宋" w:eastAsia="仿宋" w:cs="仿宋_GB2312"/>
          <w:sz w:val="32"/>
          <w:szCs w:val="32"/>
        </w:rPr>
        <w:t>无其它来源资金</w:t>
      </w:r>
      <w:r>
        <w:rPr>
          <w:rFonts w:ascii="仿宋" w:hAnsi="仿宋" w:eastAsia="仿宋" w:cs="仿宋_GB2312"/>
          <w:sz w:val="32"/>
          <w:szCs w:val="32"/>
        </w:rPr>
        <w:t>。</w:t>
      </w:r>
    </w:p>
    <w:p>
      <w:pPr>
        <w:adjustRightInd w:val="0"/>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．资金到位。</w:t>
      </w:r>
      <w:r>
        <w:rPr>
          <w:rFonts w:ascii="仿宋" w:hAnsi="仿宋" w:eastAsia="仿宋" w:cs="仿宋_GB2312"/>
          <w:sz w:val="32"/>
          <w:szCs w:val="32"/>
        </w:rPr>
        <w:t>项目审核通过、备案后，资金</w:t>
      </w:r>
      <w:r>
        <w:rPr>
          <w:rFonts w:hint="eastAsia" w:ascii="仿宋" w:hAnsi="仿宋" w:eastAsia="仿宋" w:cs="仿宋_GB2312"/>
          <w:sz w:val="32"/>
          <w:szCs w:val="32"/>
        </w:rPr>
        <w:t>及时</w:t>
      </w:r>
      <w:r>
        <w:rPr>
          <w:rFonts w:ascii="仿宋" w:hAnsi="仿宋" w:eastAsia="仿宋" w:cs="仿宋_GB2312"/>
          <w:sz w:val="32"/>
          <w:szCs w:val="32"/>
        </w:rPr>
        <w:t>到位</w:t>
      </w:r>
      <w:r>
        <w:rPr>
          <w:rFonts w:hint="eastAsia" w:ascii="仿宋" w:hAnsi="仿宋" w:eastAsia="仿宋" w:cs="仿宋_GB2312"/>
          <w:sz w:val="32"/>
          <w:szCs w:val="32"/>
        </w:rPr>
        <w:t>，金额10</w:t>
      </w:r>
      <w:r>
        <w:rPr>
          <w:rFonts w:ascii="仿宋" w:hAnsi="仿宋" w:eastAsia="仿宋" w:cs="仿宋_GB2312"/>
          <w:sz w:val="32"/>
          <w:szCs w:val="32"/>
        </w:rPr>
        <w:t>万元。</w:t>
      </w:r>
      <w:r>
        <w:rPr>
          <w:rFonts w:hint="eastAsia" w:ascii="仿宋" w:hAnsi="仿宋" w:eastAsia="仿宋" w:cs="仿宋_GB2312"/>
          <w:sz w:val="32"/>
          <w:szCs w:val="32"/>
        </w:rPr>
        <w:t>资金到位率100%</w:t>
      </w:r>
      <w:r>
        <w:rPr>
          <w:rFonts w:ascii="仿宋" w:hAnsi="仿宋" w:eastAsia="仿宋" w:cs="仿宋_GB2312"/>
          <w:sz w:val="32"/>
          <w:szCs w:val="32"/>
        </w:rPr>
        <w:t>。</w:t>
      </w:r>
    </w:p>
    <w:p>
      <w:pPr>
        <w:adjustRightInd w:val="0"/>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．资金使用。该项自己用于支付油橄榄提质增效基地土地租金99637.2元</w:t>
      </w:r>
      <w:r>
        <w:rPr>
          <w:rFonts w:ascii="仿宋" w:hAnsi="仿宋" w:eastAsia="仿宋" w:cs="仿宋_GB2312"/>
          <w:sz w:val="32"/>
          <w:szCs w:val="32"/>
        </w:rPr>
        <w:t>。</w:t>
      </w:r>
      <w:r>
        <w:rPr>
          <w:rFonts w:hint="eastAsia" w:ascii="仿宋" w:hAnsi="仿宋" w:eastAsia="仿宋" w:cs="仿宋_GB2312"/>
          <w:sz w:val="32"/>
          <w:szCs w:val="32"/>
        </w:rPr>
        <w:t>我院严格</w:t>
      </w:r>
      <w:r>
        <w:rPr>
          <w:rFonts w:ascii="仿宋" w:hAnsi="仿宋" w:eastAsia="仿宋" w:cs="仿宋_GB2312"/>
          <w:sz w:val="32"/>
          <w:szCs w:val="32"/>
        </w:rPr>
        <w:t>按照项目推进进度，拨付项目资金。所有资金均严格按照项目申报范围使用</w:t>
      </w:r>
      <w:r>
        <w:rPr>
          <w:rFonts w:hint="eastAsia" w:ascii="仿宋" w:hAnsi="仿宋" w:eastAsia="仿宋" w:cs="仿宋_GB2312"/>
          <w:sz w:val="32"/>
          <w:szCs w:val="32"/>
        </w:rPr>
        <w:t>，与预算相符</w:t>
      </w:r>
      <w:r>
        <w:rPr>
          <w:rFonts w:ascii="仿宋" w:hAnsi="仿宋" w:eastAsia="仿宋" w:cs="仿宋_GB2312"/>
          <w:sz w:val="32"/>
          <w:szCs w:val="32"/>
        </w:rPr>
        <w:t>。项目资金</w:t>
      </w:r>
      <w:r>
        <w:rPr>
          <w:rFonts w:hint="eastAsia" w:ascii="仿宋" w:hAnsi="仿宋" w:eastAsia="仿宋" w:cs="仿宋_GB2312"/>
          <w:sz w:val="32"/>
          <w:szCs w:val="32"/>
        </w:rPr>
        <w:t>支付依据合规合法，</w:t>
      </w:r>
      <w:r>
        <w:rPr>
          <w:rFonts w:ascii="仿宋" w:hAnsi="仿宋" w:eastAsia="仿宋" w:cs="仿宋_GB2312"/>
          <w:sz w:val="32"/>
          <w:szCs w:val="32"/>
        </w:rPr>
        <w:t>严格执行国家财政专项资金管理办法，实行专款专用。</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（二）项目财务管理情况</w:t>
      </w:r>
    </w:p>
    <w:p>
      <w:pPr>
        <w:adjustRightInd w:val="0"/>
        <w:snapToGrid w:val="0"/>
        <w:spacing w:line="576" w:lineRule="exact"/>
        <w:ind w:firstLine="640" w:firstLineChars="200"/>
        <w:rPr>
          <w:rFonts w:eastAsia="仿宋_GB2312"/>
          <w:sz w:val="32"/>
          <w:szCs w:val="32"/>
        </w:rPr>
      </w:pPr>
      <w:r>
        <w:rPr>
          <w:rFonts w:ascii="仿宋" w:hAnsi="仿宋" w:eastAsia="仿宋" w:cs="仿宋_GB2312"/>
          <w:sz w:val="32"/>
          <w:szCs w:val="32"/>
        </w:rPr>
        <w:t>该项目实施单位财务管理制度健全，严格执行财务管理制度，账务处理及时，会计核算规范，无违规行为。</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（三）项目组织实施情况</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该项目实施专人管理，严格按照</w:t>
      </w:r>
      <w:r>
        <w:rPr>
          <w:rFonts w:ascii="仿宋" w:hAnsi="仿宋" w:eastAsia="仿宋" w:cs="仿宋_GB2312"/>
          <w:sz w:val="32"/>
          <w:szCs w:val="32"/>
        </w:rPr>
        <w:t>《广元市推进油橄榄产业提质增效建设方案》</w:t>
      </w:r>
      <w:r>
        <w:rPr>
          <w:rFonts w:hint="eastAsia" w:ascii="仿宋" w:hAnsi="仿宋" w:eastAsia="仿宋" w:cs="仿宋_GB2312"/>
          <w:sz w:val="32"/>
          <w:szCs w:val="32"/>
        </w:rPr>
        <w:t>开展相关工作。</w:t>
      </w:r>
    </w:p>
    <w:p>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本项目仅用于</w:t>
      </w:r>
      <w:r>
        <w:rPr>
          <w:rFonts w:ascii="仿宋" w:hAnsi="仿宋" w:eastAsia="仿宋" w:cs="仿宋_GB2312"/>
          <w:sz w:val="32"/>
          <w:szCs w:val="32"/>
        </w:rPr>
        <w:t>油橄榄提质增效</w:t>
      </w:r>
      <w:r>
        <w:rPr>
          <w:rFonts w:hint="eastAsia" w:ascii="仿宋" w:hAnsi="仿宋" w:eastAsia="仿宋" w:cs="仿宋_GB2312"/>
          <w:sz w:val="32"/>
          <w:szCs w:val="32"/>
        </w:rPr>
        <w:t>基地土地租金</w:t>
      </w:r>
      <w:r>
        <w:rPr>
          <w:rFonts w:ascii="仿宋" w:hAnsi="仿宋" w:eastAsia="仿宋" w:cs="仿宋_GB2312"/>
          <w:sz w:val="32"/>
          <w:szCs w:val="32"/>
        </w:rPr>
        <w:t>。按照批准的项目和用途以及项目实施方案执行，无自行改变项目内容，扩大支出范围现象。无自行调整项目支出预算问题，所有项目支出均合理合规。</w:t>
      </w:r>
    </w:p>
    <w:p>
      <w:pPr>
        <w:adjustRightInd w:val="0"/>
        <w:snapToGrid w:val="0"/>
        <w:spacing w:line="576" w:lineRule="exact"/>
        <w:ind w:firstLine="640" w:firstLineChars="200"/>
        <w:rPr>
          <w:rFonts w:hint="eastAsia" w:eastAsia="黑体"/>
          <w:sz w:val="32"/>
          <w:szCs w:val="32"/>
        </w:rPr>
      </w:pPr>
      <w:r>
        <w:rPr>
          <w:rFonts w:hint="eastAsia" w:eastAsia="黑体"/>
          <w:sz w:val="32"/>
          <w:szCs w:val="32"/>
        </w:rPr>
        <w:t>三、项目绩效情况</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（一）项目完成情况</w:t>
      </w:r>
    </w:p>
    <w:p>
      <w:pPr>
        <w:adjustRightInd w:val="0"/>
        <w:snapToGrid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持续开展了油橄榄丰产栽培技术研究，完成191亩油橄榄基日常管理，产量提高到鲜果400kg/年；经济效益、社会效益及生态效益得到明显提高；完成400人次油橄榄种植及管理技术培训。在规定的时间内基本完成了项目所有内容，实现了项目的具体绩效目标。</w:t>
      </w:r>
    </w:p>
    <w:p>
      <w:pPr>
        <w:pStyle w:val="2"/>
        <w:spacing w:line="576" w:lineRule="exact"/>
        <w:ind w:firstLine="640" w:firstLineChars="200"/>
        <w:rPr>
          <w:rFonts w:hint="eastAsia" w:eastAsia="楷体"/>
          <w:kern w:val="2"/>
          <w:sz w:val="32"/>
          <w:szCs w:val="32"/>
          <w:lang w:val="zh-CN"/>
        </w:rPr>
      </w:pPr>
      <w:r>
        <w:rPr>
          <w:rFonts w:hint="eastAsia" w:eastAsia="楷体"/>
          <w:kern w:val="2"/>
          <w:sz w:val="32"/>
          <w:szCs w:val="32"/>
          <w:lang w:val="zh-CN"/>
        </w:rPr>
        <w:t>（二）项目效益情况</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可持续影响：将基地建设为先进适用技术集成应用载体，林业科技成果推广示范基地、人才培养和技术培训基地。</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社会效益：通过培训进一步提高农民技术员的业务水平，有效的增强农户管理油橄榄的能力，强化农户发展油橄榄产业的信心和决心。</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对象满意度：各部门及参与农民满意度达到90%以上。</w:t>
      </w:r>
    </w:p>
    <w:p>
      <w:pPr>
        <w:adjustRightInd w:val="0"/>
        <w:snapToGrid w:val="0"/>
        <w:spacing w:line="576" w:lineRule="exact"/>
        <w:ind w:firstLine="640" w:firstLineChars="200"/>
        <w:rPr>
          <w:rFonts w:eastAsia="黑体"/>
          <w:sz w:val="32"/>
          <w:szCs w:val="32"/>
        </w:rPr>
      </w:pPr>
      <w:r>
        <w:rPr>
          <w:rFonts w:hint="eastAsia" w:eastAsia="黑体"/>
          <w:sz w:val="32"/>
          <w:szCs w:val="32"/>
        </w:rPr>
        <w:t>四、问题及建议</w:t>
      </w:r>
    </w:p>
    <w:p>
      <w:pPr>
        <w:pStyle w:val="2"/>
        <w:spacing w:line="576" w:lineRule="exact"/>
        <w:ind w:firstLine="640" w:firstLineChars="200"/>
        <w:rPr>
          <w:rFonts w:hint="eastAsia" w:eastAsia="楷体"/>
          <w:kern w:val="2"/>
          <w:sz w:val="32"/>
          <w:szCs w:val="32"/>
          <w:lang w:val="zh-CN"/>
        </w:rPr>
      </w:pPr>
      <w:r>
        <w:rPr>
          <w:rFonts w:hint="eastAsia" w:eastAsia="楷体"/>
          <w:kern w:val="2"/>
          <w:sz w:val="32"/>
          <w:szCs w:val="32"/>
          <w:lang w:val="zh-CN"/>
        </w:rPr>
        <w:t>（一）存在的问题</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该专项资金仅用于</w:t>
      </w:r>
      <w:r>
        <w:rPr>
          <w:rFonts w:ascii="仿宋" w:hAnsi="仿宋" w:eastAsia="仿宋" w:cs="仿宋_GB2312"/>
          <w:kern w:val="2"/>
          <w:sz w:val="32"/>
          <w:szCs w:val="32"/>
          <w:lang w:val="en-US" w:eastAsia="zh-CN"/>
        </w:rPr>
        <w:t>油橄榄提质增效</w:t>
      </w:r>
      <w:r>
        <w:rPr>
          <w:rFonts w:hint="eastAsia" w:ascii="仿宋" w:hAnsi="仿宋" w:eastAsia="仿宋" w:cs="仿宋_GB2312"/>
          <w:kern w:val="2"/>
          <w:sz w:val="32"/>
          <w:szCs w:val="32"/>
          <w:lang w:val="en-US" w:eastAsia="zh-CN"/>
        </w:rPr>
        <w:t>基地土地租金，每年年末才能进行资金拨付，导致在项目实施过程中资金支付进度较慢。</w:t>
      </w:r>
    </w:p>
    <w:p>
      <w:pPr>
        <w:pStyle w:val="2"/>
        <w:spacing w:line="576" w:lineRule="exact"/>
        <w:ind w:firstLine="640" w:firstLineChars="200"/>
        <w:rPr>
          <w:rFonts w:hint="eastAsia" w:eastAsia="楷体"/>
          <w:kern w:val="2"/>
          <w:sz w:val="32"/>
          <w:szCs w:val="32"/>
          <w:lang w:val="zh-CN"/>
        </w:rPr>
      </w:pPr>
      <w:r>
        <w:rPr>
          <w:rFonts w:hint="eastAsia" w:eastAsia="楷体"/>
          <w:kern w:val="2"/>
          <w:sz w:val="32"/>
          <w:szCs w:val="32"/>
          <w:lang w:val="zh-CN"/>
        </w:rPr>
        <w:t>（二）相关建议</w:t>
      </w:r>
    </w:p>
    <w:p>
      <w:pPr>
        <w:pStyle w:val="2"/>
        <w:spacing w:line="576" w:lineRule="exact"/>
        <w:ind w:firstLine="640" w:firstLineChars="200"/>
        <w:rPr>
          <w:rFonts w:hint="eastAsia" w:ascii="仿宋" w:hAnsi="仿宋" w:eastAsia="仿宋" w:cs="仿宋_GB2312"/>
          <w:kern w:val="2"/>
          <w:sz w:val="32"/>
          <w:szCs w:val="32"/>
          <w:lang w:val="en-US" w:eastAsia="zh-CN"/>
        </w:rPr>
        <w:sectPr>
          <w:footerReference r:id="rId8" w:type="first"/>
          <w:headerReference r:id="rId5" w:type="default"/>
          <w:footerReference r:id="rId7" w:type="default"/>
          <w:headerReference r:id="rId6" w:type="even"/>
          <w:pgSz w:w="11906" w:h="16838"/>
          <w:pgMar w:top="1440" w:right="1797" w:bottom="1440" w:left="1797" w:header="851" w:footer="992" w:gutter="0"/>
          <w:pgNumType w:fmt="numberInDash" w:start="1"/>
          <w:cols w:space="720" w:num="1"/>
          <w:titlePg/>
          <w:docGrid w:type="lines" w:linePitch="312" w:charSpace="0"/>
        </w:sectPr>
      </w:pPr>
      <w:r>
        <w:rPr>
          <w:rFonts w:hint="eastAsia" w:ascii="仿宋" w:hAnsi="仿宋" w:eastAsia="仿宋" w:cs="仿宋_GB2312"/>
          <w:kern w:val="2"/>
          <w:sz w:val="32"/>
          <w:szCs w:val="32"/>
          <w:lang w:val="en-US" w:eastAsia="zh-CN"/>
        </w:rPr>
        <w:t>建议在签订租赁协议时，双方约定按季度支付资金，提高资金使用进度。</w:t>
      </w:r>
    </w:p>
    <w:tbl>
      <w:tblPr>
        <w:tblStyle w:val="12"/>
        <w:tblW w:w="12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2"/>
        <w:gridCol w:w="1102"/>
        <w:gridCol w:w="1178"/>
        <w:gridCol w:w="3284"/>
        <w:gridCol w:w="2454"/>
        <w:gridCol w:w="3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296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95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油橄榄提质增效技术研究与示范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预算单位</w:t>
            </w:r>
          </w:p>
        </w:tc>
        <w:tc>
          <w:tcPr>
            <w:tcW w:w="95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广元市林业科学研究院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预算</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执行</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情况</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31"/>
                <w:rFonts w:hint="eastAsia" w:ascii="仿宋_GB2312" w:hAnsi="仿宋_GB2312" w:eastAsia="仿宋_GB2312" w:cs="仿宋_GB2312"/>
                <w:sz w:val="24"/>
                <w:szCs w:val="24"/>
                <w:lang w:val="en-US" w:eastAsia="zh-CN" w:bidi="ar"/>
              </w:rPr>
              <w:t>（万元）</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预算数：</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10万</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执行数：</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10万</w:t>
            </w:r>
          </w:p>
        </w:tc>
        <w:tc>
          <w:tcPr>
            <w:tcW w:w="2454" w:type="dxa"/>
            <w:tcBorders>
              <w:top w:val="single" w:color="000000" w:sz="4" w:space="0"/>
              <w:left w:val="nil"/>
              <w:bottom w:val="nil"/>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9.97万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454" w:type="dxa"/>
            <w:tcBorders>
              <w:top w:val="single" w:color="000000" w:sz="4" w:space="0"/>
              <w:left w:val="nil"/>
              <w:bottom w:val="nil"/>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9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w:t>
            </w:r>
          </w:p>
        </w:tc>
        <w:tc>
          <w:tcPr>
            <w:tcW w:w="55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预期目标</w:t>
            </w:r>
          </w:p>
        </w:tc>
        <w:tc>
          <w:tcPr>
            <w:tcW w:w="63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1" w:hRule="atLeast"/>
          <w:jc w:val="center"/>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556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2017年8月市政府办印发的《广元市推进油橄榄产业提质增效建设方案》，需持续开展油橄榄丰产栽培技术集成研究，科学示范油橄榄提质增效技术，促进基地管理，提高产量和效益，助推产区脱贫攻坚。本项目主要目标是在大石油橄榄品种试验园，开展系列油橄榄提质增效技术集成研究与示范。</w:t>
            </w:r>
          </w:p>
        </w:tc>
        <w:tc>
          <w:tcPr>
            <w:tcW w:w="630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持续开展了油橄榄丰产栽培技术研究，加强油橄榄基日常管理，产量和效益得到明显提高，示范带动作用持续发挥，组织了油橄榄栽培及日常管护培训，培养多名农民技术员。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预期指标值（包含数字及文字描述）</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项目完成指标</w:t>
            </w: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指标1：开展科研课题研究</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开展1项课题研究</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指标2：油橄榄示范基地管理</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对191亩油橄榄示范基地进行标准化管理</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对191亩油橄榄基地全部进行了标准化管理，100%完成指标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指标1：科研成果培育</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形成技术规程</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形成技术规程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指标2：示范基地管理</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管理规范，成效明显</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管理规范，成效明显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指标1：完成时间节点</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规定时间内完成，即12月底</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于2021年12月底完成，同时按照合同约定支付全部资金，100%完成指标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指标2：资金支付进度</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按照完成时间或者合同支付</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以按照合同约定，于2021年12月支付99637.2元土地租金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0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指标1：示范基地土地租金</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9.97万元</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已完成土地租金99637.2元的支付，100%完成指标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09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项目效果指标</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指标1：油橄榄鲜果产量</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500kg</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09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指标1：油橄榄管理技术提升</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达到预期目标</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通过该项目的实施，我单位技术人员及周边农户油橄榄管理技术明显提升。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109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指标2：培养农民技术员</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达到预期目标，油橄榄种植技术培训100人次以上</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油橄榄种植及管理技术培训400人次，100%完成指标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09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生态效益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指标1：改善局部生态环境</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有所改善</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周边生态环境明显得到改善，100%完成指标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7" w:hRule="atLeast"/>
          <w:jc w:val="center"/>
        </w:trPr>
        <w:tc>
          <w:tcPr>
            <w:tcW w:w="109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可持续影响</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指标1：示范基地持续发挥示范作用</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科持续发挥</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带动周边种植户加强对油橄榄基地进行标准化管理，100%完成指标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指标1：服务对象满意度</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服务对象满意度≥95%</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服务对象满意度≥95%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指标2：主管部门满意度</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主管部门满意度≥95%</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主管部门满意度≥95%</w:t>
            </w:r>
          </w:p>
        </w:tc>
      </w:tr>
    </w:tbl>
    <w:p>
      <w:pPr>
        <w:pStyle w:val="2"/>
        <w:spacing w:line="576" w:lineRule="exact"/>
        <w:ind w:firstLine="640" w:firstLineChars="200"/>
        <w:rPr>
          <w:rFonts w:hint="eastAsia" w:ascii="仿宋" w:hAnsi="仿宋" w:eastAsia="仿宋" w:cs="仿宋_GB2312"/>
          <w:kern w:val="2"/>
          <w:sz w:val="32"/>
          <w:szCs w:val="32"/>
          <w:lang w:val="en-US" w:eastAsia="zh-CN"/>
        </w:rPr>
        <w:sectPr>
          <w:pgSz w:w="16838" w:h="11906" w:orient="landscape"/>
          <w:pgMar w:top="1797" w:right="1440" w:bottom="1797" w:left="1440" w:header="851" w:footer="992" w:gutter="0"/>
          <w:pgNumType w:fmt="numberInDash"/>
          <w:cols w:space="720" w:num="1"/>
          <w:titlePg/>
          <w:docGrid w:type="lines" w:linePitch="312" w:charSpace="0"/>
        </w:sectPr>
      </w:pPr>
    </w:p>
    <w:p>
      <w:pPr>
        <w:pStyle w:val="30"/>
        <w:spacing w:line="580" w:lineRule="exact"/>
        <w:jc w:val="left"/>
        <w:rPr>
          <w:rFonts w:hint="eastAsia" w:ascii="Times New Roman" w:hAnsi="Times New Roman" w:eastAsia="方正小标宋简体"/>
          <w:color w:val="auto"/>
          <w:kern w:val="2"/>
          <w:sz w:val="44"/>
          <w:szCs w:val="44"/>
        </w:rPr>
      </w:pPr>
      <w:r>
        <w:rPr>
          <w:rFonts w:hint="eastAsia" w:ascii="Times New Roman" w:hAnsi="Times New Roman" w:eastAsia="黑体" w:cs="Times New Roman"/>
          <w:color w:val="auto"/>
          <w:kern w:val="2"/>
          <w:sz w:val="32"/>
          <w:szCs w:val="32"/>
          <w:lang w:val="en-US" w:eastAsia="zh-CN" w:bidi="ar-SA"/>
        </w:rPr>
        <w:t>附件2：</w:t>
      </w:r>
    </w:p>
    <w:p>
      <w:pPr>
        <w:pStyle w:val="30"/>
        <w:spacing w:before="93" w:line="580" w:lineRule="exact"/>
        <w:jc w:val="center"/>
        <w:rPr>
          <w:rFonts w:ascii="Times New Roman" w:hAnsi="Times New Roman" w:eastAsia="方正小标宋简体"/>
          <w:color w:val="auto"/>
          <w:kern w:val="2"/>
          <w:sz w:val="44"/>
          <w:szCs w:val="44"/>
        </w:rPr>
      </w:pPr>
      <w:r>
        <w:rPr>
          <w:rFonts w:hint="eastAsia" w:ascii="Times New Roman" w:hAnsi="Times New Roman" w:eastAsia="方正小标宋简体"/>
          <w:color w:val="auto"/>
          <w:kern w:val="2"/>
          <w:sz w:val="44"/>
          <w:szCs w:val="44"/>
        </w:rPr>
        <w:t>2021年</w:t>
      </w:r>
      <w:r>
        <w:rPr>
          <w:rFonts w:ascii="Times New Roman" w:hAnsi="Times New Roman" w:eastAsia="方正小标宋简体"/>
          <w:color w:val="auto"/>
          <w:kern w:val="2"/>
          <w:sz w:val="44"/>
          <w:szCs w:val="44"/>
        </w:rPr>
        <w:t>林产品质量安全专项支出</w:t>
      </w:r>
      <w:r>
        <w:rPr>
          <w:rFonts w:hint="eastAsia" w:ascii="Times New Roman" w:hAnsi="Times New Roman" w:eastAsia="方正小标宋简体"/>
          <w:color w:val="auto"/>
          <w:kern w:val="2"/>
          <w:sz w:val="44"/>
          <w:szCs w:val="44"/>
        </w:rPr>
        <w:t xml:space="preserve">        </w:t>
      </w:r>
      <w:r>
        <w:rPr>
          <w:rFonts w:ascii="Times New Roman" w:hAnsi="Times New Roman" w:eastAsia="方正小标宋简体"/>
          <w:color w:val="auto"/>
          <w:kern w:val="2"/>
          <w:sz w:val="44"/>
          <w:szCs w:val="44"/>
        </w:rPr>
        <w:t>绩效自评报告</w:t>
      </w:r>
    </w:p>
    <w:p>
      <w:pPr>
        <w:adjustRightInd w:val="0"/>
        <w:snapToGrid w:val="0"/>
        <w:spacing w:line="576" w:lineRule="exact"/>
        <w:ind w:firstLine="640" w:firstLineChars="200"/>
        <w:rPr>
          <w:rFonts w:eastAsia="黑体"/>
          <w:sz w:val="32"/>
          <w:szCs w:val="32"/>
        </w:rPr>
      </w:pPr>
      <w:r>
        <w:rPr>
          <w:rFonts w:hint="eastAsia" w:eastAsia="黑体"/>
          <w:sz w:val="32"/>
          <w:szCs w:val="32"/>
        </w:rPr>
        <w:t>一、项目概况</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（一）项目资金申报及批复情况</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1.</w:t>
      </w:r>
      <w:r>
        <w:rPr>
          <w:rFonts w:ascii="仿宋" w:hAnsi="仿宋" w:eastAsia="仿宋" w:cs="仿宋_GB2312"/>
          <w:kern w:val="2"/>
          <w:sz w:val="32"/>
          <w:szCs w:val="32"/>
          <w:lang w:val="en-US" w:eastAsia="zh-CN"/>
        </w:rPr>
        <w:t>项目资金申报及批复情况</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项目资金由广元市林业科学研究院申报。</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2021年10月，广元市财政局、广元市林业局下达《关于下达2021年省级林业草原改革发展专项资金的通知》（广财资环〔2021〕62号）文件，拨付省级财政林业改革发展资金（林产品质量抽检600批次样品）90万元</w:t>
      </w:r>
      <w:r>
        <w:rPr>
          <w:rFonts w:hint="eastAsia" w:ascii="仿宋" w:hAnsi="仿宋" w:eastAsia="仿宋" w:cs="仿宋_GB2312"/>
          <w:kern w:val="2"/>
          <w:sz w:val="32"/>
          <w:szCs w:val="32"/>
          <w:lang w:val="en-US" w:eastAsia="zh-CN"/>
        </w:rPr>
        <w:t>。</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项目实施过程中无调整事项。</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2.项目资金的申报和批复符合项目资金管理办法。</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（二）项目绩效目标</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1.项目主要内容</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重点开展食用林产品及其土壤的质量监测工作。</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2.项目应实现的具体绩效目标</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（1）完成广元、绵阳两市区域内的600批次林产品抽样及检测任务，并将检测结果上报省局。</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（2）监测范围涉及广元市所辖7个县区及绵阳市所辖8个县区共覆盖90余个乡镇。</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（三）项目资金申报相符性</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申报项目与实际相符，目标合理可行。</w:t>
      </w:r>
    </w:p>
    <w:p>
      <w:pPr>
        <w:adjustRightInd w:val="0"/>
        <w:snapToGrid w:val="0"/>
        <w:spacing w:line="576" w:lineRule="exact"/>
        <w:ind w:firstLine="640" w:firstLineChars="200"/>
        <w:rPr>
          <w:rFonts w:eastAsia="黑体"/>
          <w:sz w:val="32"/>
          <w:szCs w:val="32"/>
        </w:rPr>
      </w:pPr>
      <w:r>
        <w:rPr>
          <w:rFonts w:hint="eastAsia" w:eastAsia="黑体"/>
          <w:sz w:val="32"/>
          <w:szCs w:val="32"/>
        </w:rPr>
        <w:t>二、项目实施及管理情况</w:t>
      </w:r>
    </w:p>
    <w:p>
      <w:pPr>
        <w:adjustRightInd w:val="0"/>
        <w:snapToGrid w:val="0"/>
        <w:spacing w:line="576" w:lineRule="exact"/>
        <w:ind w:firstLine="640" w:firstLineChars="200"/>
        <w:rPr>
          <w:rFonts w:eastAsia="仿宋"/>
          <w:sz w:val="32"/>
          <w:szCs w:val="32"/>
        </w:rPr>
      </w:pPr>
      <w:r>
        <w:rPr>
          <w:rFonts w:hint="eastAsia" w:eastAsia="楷体"/>
          <w:sz w:val="32"/>
          <w:szCs w:val="32"/>
          <w:lang w:val="zh-CN"/>
        </w:rPr>
        <w:t>（一）资金计划、到位及使用情况</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1．资金计划及到位</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2021年到位省级财政林业改革发展资金林产品质量安全项目经费90万元，资金到位率100%</w:t>
      </w:r>
      <w:r>
        <w:rPr>
          <w:rFonts w:hint="eastAsia" w:ascii="仿宋" w:hAnsi="仿宋" w:eastAsia="仿宋" w:cs="仿宋_GB2312"/>
          <w:kern w:val="2"/>
          <w:sz w:val="32"/>
          <w:szCs w:val="32"/>
          <w:lang w:val="en-US" w:eastAsia="zh-CN"/>
        </w:rPr>
        <w:t>，该项目无其他渠道资金</w:t>
      </w:r>
      <w:r>
        <w:rPr>
          <w:rFonts w:ascii="仿宋" w:hAnsi="仿宋" w:eastAsia="仿宋" w:cs="仿宋_GB2312"/>
          <w:kern w:val="2"/>
          <w:sz w:val="32"/>
          <w:szCs w:val="32"/>
          <w:lang w:val="en-US" w:eastAsia="zh-CN"/>
        </w:rPr>
        <w:t>。</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2．资金使用</w:t>
      </w:r>
    </w:p>
    <w:p>
      <w:pPr>
        <w:pStyle w:val="2"/>
        <w:spacing w:line="576" w:lineRule="exact"/>
        <w:ind w:firstLine="640" w:firstLineChars="200"/>
        <w:rPr>
          <w:rFonts w:hint="eastAsia"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本年</w:t>
      </w:r>
      <w:r>
        <w:rPr>
          <w:rFonts w:ascii="仿宋" w:hAnsi="仿宋" w:eastAsia="仿宋" w:cs="仿宋_GB2312"/>
          <w:kern w:val="2"/>
          <w:sz w:val="32"/>
          <w:szCs w:val="32"/>
          <w:lang w:val="en-US" w:eastAsia="zh-CN"/>
        </w:rPr>
        <w:t>支出82.03万元，资金结转7.97万元，经费执率91.14%。</w:t>
      </w:r>
      <w:r>
        <w:rPr>
          <w:rFonts w:hint="eastAsia" w:ascii="仿宋" w:hAnsi="仿宋" w:eastAsia="仿宋" w:cs="仿宋_GB2312"/>
          <w:kern w:val="2"/>
          <w:sz w:val="32"/>
          <w:szCs w:val="32"/>
          <w:lang w:val="en-US" w:eastAsia="zh-CN"/>
        </w:rPr>
        <w:t>主要用于设备购置16.21万元、燃料动力费1.39万元、维修维护费4.21万元、实验室试剂耗材费7.39万元、差旅费16.99万元、劳务费5.18万元、其他交通费6.83万元、委托业务费12.5万元、培训0.47万元、专家咨询费0.8万元、宣传印刷费0.64万元、其他9.42万元。</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我院严格</w:t>
      </w:r>
      <w:r>
        <w:rPr>
          <w:rFonts w:ascii="仿宋" w:hAnsi="仿宋" w:eastAsia="仿宋" w:cs="仿宋_GB2312"/>
          <w:kern w:val="2"/>
          <w:sz w:val="32"/>
          <w:szCs w:val="32"/>
          <w:lang w:val="en-US" w:eastAsia="zh-CN"/>
        </w:rPr>
        <w:t>按照项目推进进度，拨付项目资金。所有资金均严格按照项目申报范围使用</w:t>
      </w:r>
      <w:r>
        <w:rPr>
          <w:rFonts w:hint="eastAsia" w:ascii="仿宋" w:hAnsi="仿宋" w:eastAsia="仿宋" w:cs="仿宋_GB2312"/>
          <w:kern w:val="2"/>
          <w:sz w:val="32"/>
          <w:szCs w:val="32"/>
          <w:lang w:val="en-US" w:eastAsia="zh-CN"/>
        </w:rPr>
        <w:t>，与预算相符</w:t>
      </w:r>
      <w:r>
        <w:rPr>
          <w:rFonts w:ascii="仿宋" w:hAnsi="仿宋" w:eastAsia="仿宋" w:cs="仿宋_GB2312"/>
          <w:kern w:val="2"/>
          <w:sz w:val="32"/>
          <w:szCs w:val="32"/>
          <w:lang w:val="en-US" w:eastAsia="zh-CN"/>
        </w:rPr>
        <w:t>。项目资金</w:t>
      </w:r>
      <w:r>
        <w:rPr>
          <w:rFonts w:hint="eastAsia" w:ascii="仿宋" w:hAnsi="仿宋" w:eastAsia="仿宋" w:cs="仿宋_GB2312"/>
          <w:kern w:val="2"/>
          <w:sz w:val="32"/>
          <w:szCs w:val="32"/>
          <w:lang w:val="en-US" w:eastAsia="zh-CN"/>
        </w:rPr>
        <w:t>支付依据合规合法，</w:t>
      </w:r>
      <w:r>
        <w:rPr>
          <w:rFonts w:ascii="仿宋" w:hAnsi="仿宋" w:eastAsia="仿宋" w:cs="仿宋_GB2312"/>
          <w:kern w:val="2"/>
          <w:sz w:val="32"/>
          <w:szCs w:val="32"/>
          <w:lang w:val="en-US" w:eastAsia="zh-CN"/>
        </w:rPr>
        <w:t>严格执行国家财政专项资金管理办法，实行专款专用。</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（二）项目财务管理情况</w:t>
      </w:r>
    </w:p>
    <w:p>
      <w:pPr>
        <w:adjustRightInd w:val="0"/>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院</w:t>
      </w:r>
      <w:r>
        <w:rPr>
          <w:rFonts w:ascii="仿宋" w:hAnsi="仿宋" w:eastAsia="仿宋" w:cs="仿宋_GB2312"/>
          <w:sz w:val="32"/>
          <w:szCs w:val="32"/>
        </w:rPr>
        <w:t>严格按照省、市专项资金管理要求，确保专款专用。及时、规范对收支情况进行账务处理和会计核算。</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（三）项目组织实施情况</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1.</w:t>
      </w:r>
      <w:r>
        <w:rPr>
          <w:rFonts w:ascii="仿宋" w:hAnsi="仿宋" w:eastAsia="仿宋" w:cs="仿宋_GB2312"/>
          <w:kern w:val="2"/>
          <w:sz w:val="32"/>
          <w:szCs w:val="32"/>
          <w:lang w:val="en-US" w:eastAsia="zh-CN"/>
        </w:rPr>
        <w:t>项目组织架构及实施流程</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机</w:t>
      </w:r>
      <w:r>
        <w:rPr>
          <w:rFonts w:ascii="仿宋" w:hAnsi="仿宋" w:eastAsia="仿宋" w:cs="仿宋_GB2312"/>
          <w:kern w:val="2"/>
          <w:sz w:val="32"/>
          <w:szCs w:val="32"/>
          <w:lang w:val="en-US" w:eastAsia="zh-CN"/>
        </w:rPr>
        <w:t>构现有固定检测技术人员3人，抽样人员5人。按照合同书要求及时进行样本采集及检测。</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2.</w:t>
      </w:r>
      <w:r>
        <w:rPr>
          <w:rFonts w:ascii="仿宋" w:hAnsi="仿宋" w:eastAsia="仿宋" w:cs="仿宋_GB2312"/>
          <w:kern w:val="2"/>
          <w:sz w:val="32"/>
          <w:szCs w:val="32"/>
          <w:lang w:val="en-US" w:eastAsia="zh-CN"/>
        </w:rPr>
        <w:t>项目管理情况</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项目管理均按照相关管理制度执行，按照2021年林产品质量安全监测项目合同任务书要求开展工作，建立了工作有计划、实施有方案、日常有监督的管理机制。</w:t>
      </w:r>
    </w:p>
    <w:p>
      <w:pPr>
        <w:pStyle w:val="2"/>
        <w:spacing w:line="576" w:lineRule="exact"/>
        <w:ind w:firstLine="640" w:firstLineChars="200"/>
        <w:rPr>
          <w:rFonts w:ascii="仿宋" w:hAnsi="仿宋" w:eastAsia="仿宋" w:cs="仿宋_GB2312"/>
          <w:kern w:val="2"/>
          <w:sz w:val="32"/>
          <w:szCs w:val="32"/>
          <w:lang w:val="en-US" w:eastAsia="zh-CN"/>
        </w:rPr>
      </w:pPr>
      <w:r>
        <w:rPr>
          <w:rFonts w:hint="eastAsia" w:ascii="仿宋" w:hAnsi="仿宋" w:eastAsia="仿宋" w:cs="仿宋_GB2312"/>
          <w:kern w:val="2"/>
          <w:sz w:val="32"/>
          <w:szCs w:val="32"/>
          <w:lang w:val="en-US" w:eastAsia="zh-CN"/>
        </w:rPr>
        <w:t>3.</w:t>
      </w:r>
      <w:r>
        <w:rPr>
          <w:rFonts w:ascii="仿宋" w:hAnsi="仿宋" w:eastAsia="仿宋" w:cs="仿宋_GB2312"/>
          <w:kern w:val="2"/>
          <w:sz w:val="32"/>
          <w:szCs w:val="32"/>
          <w:lang w:val="en-US" w:eastAsia="zh-CN"/>
        </w:rPr>
        <w:t>项目监管情况</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及时按照省、市主管部门要求按时报送项目完成情况及预算执行进度等资料。</w:t>
      </w:r>
    </w:p>
    <w:p>
      <w:pPr>
        <w:adjustRightInd w:val="0"/>
        <w:snapToGrid w:val="0"/>
        <w:spacing w:line="576" w:lineRule="exact"/>
        <w:ind w:firstLine="640" w:firstLineChars="200"/>
        <w:rPr>
          <w:rFonts w:eastAsia="仿宋"/>
          <w:sz w:val="32"/>
          <w:szCs w:val="32"/>
        </w:rPr>
      </w:pPr>
      <w:r>
        <w:rPr>
          <w:rFonts w:hint="eastAsia" w:eastAsia="黑体"/>
          <w:sz w:val="32"/>
          <w:szCs w:val="32"/>
        </w:rPr>
        <w:t>三、项目绩效情况</w:t>
      </w:r>
      <w:r>
        <w:rPr>
          <w:rFonts w:hint="eastAsia" w:eastAsia="黑体"/>
          <w:sz w:val="32"/>
          <w:szCs w:val="32"/>
        </w:rPr>
        <w:tab/>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（一）项目完成情况</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1.工作完成情况</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按照2021年林产品质量安全监测项目合同任务书，完成了广元、绵阳两市600批次样品的采集及实验室检测工作，其中核桃及产地土壤488批次、林下中药材产地土壤70批次，食用菌24批次、竹笋及其产地土壤18批次。监测范围涉及广元市所辖7个县区及绵阳市所辖8个县区共覆盖90余个乡镇。根据核桃及产地土壤、竹笋及其土壤、林下中药材产地土壤、食用菌安全监测的不同指标，按相关技术规程完成了全部指标的检测，本项目2021年12月已完成《林产品质量安全检测机构年度报告》，并上报省林草局，目标完成率100%。</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2.能力建设情况</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通过提升检测能力、优化改造实验室、补充采购仪器设备等，我站于2021年7月顺利通过CMA、CATL双认证，为全省10个片区站中第2家通过资质双认证的机构，涵盖土壤的铅、镉、铬、砷、汞、铜6项重金属指标，食品的总砷、铅、镉、汞4项重金属指标，甲氰菊酯、溴氰菊酯、毒死蜱、氧乐果等15项农残指标。为今后依法、科学开展监管提供了强有力保障。</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进一步加强食用林产品安全检测能力培训，提升技术人员专业水平。全年共组织交流培训9次，其中自行组织培训4次、厂家上门培训2次、参与省林草局组织培训2次、到市农检中心交流学习1次。同时，继续加强与市食品药品、质检、粮油等检测中心交流学习，切实提升了检测能力及水平。</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（二）项目效益情况</w:t>
      </w:r>
    </w:p>
    <w:p>
      <w:pPr>
        <w:pStyle w:val="2"/>
        <w:spacing w:line="576" w:lineRule="exact"/>
        <w:ind w:firstLine="640" w:firstLineChars="200"/>
        <w:rPr>
          <w:rFonts w:ascii="仿宋" w:hAnsi="仿宋" w:eastAsia="仿宋" w:cs="仿宋_GB2312"/>
          <w:kern w:val="2"/>
          <w:sz w:val="32"/>
          <w:szCs w:val="32"/>
          <w:lang w:val="en-US" w:eastAsia="zh-CN"/>
        </w:rPr>
      </w:pPr>
      <w:r>
        <w:rPr>
          <w:rFonts w:ascii="仿宋" w:hAnsi="仿宋" w:eastAsia="仿宋" w:cs="仿宋_GB2312"/>
          <w:kern w:val="2"/>
          <w:sz w:val="32"/>
          <w:szCs w:val="32"/>
          <w:lang w:val="en-US" w:eastAsia="zh-CN"/>
        </w:rPr>
        <w:t>通过不懈努力，已基本形成较强的区域食用林产品质量安全检测能力,为广元、绵阳两市人民食用绿色林产品提供了安全保障。</w:t>
      </w:r>
    </w:p>
    <w:p>
      <w:pPr>
        <w:adjustRightInd w:val="0"/>
        <w:snapToGrid w:val="0"/>
        <w:spacing w:line="576" w:lineRule="exact"/>
        <w:ind w:firstLine="640" w:firstLineChars="200"/>
        <w:rPr>
          <w:rFonts w:hint="eastAsia" w:eastAsia="黑体"/>
          <w:sz w:val="32"/>
          <w:szCs w:val="32"/>
        </w:rPr>
      </w:pPr>
      <w:r>
        <w:rPr>
          <w:rFonts w:hint="eastAsia" w:eastAsia="黑体"/>
          <w:sz w:val="32"/>
          <w:szCs w:val="32"/>
        </w:rPr>
        <w:t>四、问题及建议</w:t>
      </w:r>
    </w:p>
    <w:p>
      <w:pPr>
        <w:adjustRightInd w:val="0"/>
        <w:snapToGrid w:val="0"/>
        <w:spacing w:line="576" w:lineRule="exact"/>
        <w:ind w:firstLine="640" w:firstLineChars="200"/>
        <w:rPr>
          <w:rFonts w:eastAsia="楷体"/>
          <w:sz w:val="32"/>
          <w:szCs w:val="32"/>
          <w:lang w:val="zh-CN"/>
        </w:rPr>
      </w:pPr>
      <w:r>
        <w:rPr>
          <w:rFonts w:eastAsia="楷体"/>
          <w:sz w:val="32"/>
          <w:szCs w:val="32"/>
          <w:lang w:val="zh-CN"/>
        </w:rPr>
        <w:t>（</w:t>
      </w:r>
      <w:r>
        <w:rPr>
          <w:rFonts w:hint="eastAsia" w:eastAsia="楷体"/>
          <w:sz w:val="32"/>
          <w:szCs w:val="32"/>
          <w:lang w:val="zh-CN"/>
        </w:rPr>
        <w:t>一</w:t>
      </w:r>
      <w:r>
        <w:rPr>
          <w:rFonts w:eastAsia="楷体"/>
          <w:sz w:val="32"/>
          <w:szCs w:val="32"/>
          <w:lang w:val="zh-CN"/>
        </w:rPr>
        <w:t>）存在的问题</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1.检测仪器设备存在短板。我站现有仪器设备数量随着检测样品数增加而显得不足，大部分分析仪器都只有1台，且基本上是进口设备，一旦发生故障，维修期长，势必影响检测工作效率。现有部分仪器设备精密度不够，检出限较高，对含量较低的检测对象测定不出来，因此急需补充或升级检测仪器设备。</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2.检测人员能力仍需提高。实验室检测人员仅有一名食品科学专业的硕士研究生，目前担任检测主力的实验人员原是果树学专业，且仅有一年的检测工作经验，仍需加大人员培养力度，继续提升我站整体检测水平。</w:t>
      </w:r>
    </w:p>
    <w:p>
      <w:pPr>
        <w:adjustRightInd w:val="0"/>
        <w:snapToGrid w:val="0"/>
        <w:spacing w:line="576" w:lineRule="exact"/>
        <w:ind w:firstLine="640" w:firstLineChars="200"/>
        <w:rPr>
          <w:rFonts w:eastAsia="楷体"/>
          <w:sz w:val="32"/>
          <w:szCs w:val="32"/>
          <w:lang w:val="zh-CN"/>
        </w:rPr>
      </w:pPr>
      <w:r>
        <w:rPr>
          <w:rFonts w:eastAsia="楷体"/>
          <w:sz w:val="32"/>
          <w:szCs w:val="32"/>
          <w:lang w:val="zh-CN"/>
        </w:rPr>
        <w:t>（</w:t>
      </w:r>
      <w:r>
        <w:rPr>
          <w:rFonts w:hint="eastAsia" w:eastAsia="楷体"/>
          <w:sz w:val="32"/>
          <w:szCs w:val="32"/>
          <w:lang w:val="zh-CN"/>
        </w:rPr>
        <w:t>二</w:t>
      </w:r>
      <w:r>
        <w:rPr>
          <w:rFonts w:eastAsia="楷体"/>
          <w:sz w:val="32"/>
          <w:szCs w:val="32"/>
          <w:lang w:val="zh-CN"/>
        </w:rPr>
        <w:t>）相关建议</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1.补充采购轮换使用的检测仪器设备，包括电感耦合等离子发射光谱仪、液质联用仪、离子色谱仪等，将现有单杆气质联用仪升级为三重四级杆。</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2.规范实验室运行，提升检测人员检测能力，顺利通过各项审查，保证实验室通过资质认定后的科学运行。</w:t>
      </w:r>
    </w:p>
    <w:p>
      <w:pPr>
        <w:snapToGrid w:val="0"/>
        <w:spacing w:line="576" w:lineRule="exact"/>
        <w:ind w:firstLine="640" w:firstLineChars="200"/>
        <w:rPr>
          <w:rFonts w:hint="eastAsia" w:ascii="仿宋" w:hAnsi="仿宋" w:eastAsia="仿宋" w:cs="仿宋_GB2312"/>
          <w:sz w:val="32"/>
          <w:szCs w:val="32"/>
        </w:rPr>
        <w:sectPr>
          <w:pgSz w:w="11906" w:h="16838"/>
          <w:pgMar w:top="1440" w:right="1800" w:bottom="1440" w:left="1800" w:header="851" w:footer="992" w:gutter="0"/>
          <w:pgNumType w:fmt="numberInDash"/>
          <w:cols w:space="720" w:num="1"/>
          <w:titlePg/>
          <w:docGrid w:type="lines" w:linePitch="312" w:charSpace="0"/>
        </w:sectPr>
      </w:pPr>
      <w:r>
        <w:rPr>
          <w:rFonts w:ascii="仿宋" w:hAnsi="仿宋" w:eastAsia="仿宋" w:cs="仿宋_GB2312"/>
          <w:sz w:val="32"/>
          <w:szCs w:val="32"/>
        </w:rPr>
        <w:t>3.加大技术培训力度，确保检测结果的</w:t>
      </w:r>
      <w:r>
        <w:rPr>
          <w:rFonts w:hint="eastAsia" w:ascii="仿宋" w:hAnsi="仿宋" w:eastAsia="仿宋" w:cs="仿宋_GB2312"/>
          <w:sz w:val="32"/>
          <w:szCs w:val="32"/>
        </w:rPr>
        <w:t>准确性。</w:t>
      </w:r>
    </w:p>
    <w:tbl>
      <w:tblPr>
        <w:tblStyle w:val="12"/>
        <w:tblW w:w="129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2"/>
        <w:gridCol w:w="1102"/>
        <w:gridCol w:w="1178"/>
        <w:gridCol w:w="3284"/>
        <w:gridCol w:w="2454"/>
        <w:gridCol w:w="3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296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95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省级财政林业改革发展资金(林产品质量抽检600批次样品)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7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预算单位</w:t>
            </w:r>
          </w:p>
        </w:tc>
        <w:tc>
          <w:tcPr>
            <w:tcW w:w="95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广元市林业科学研究院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预算</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执行</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情况</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31"/>
                <w:rFonts w:hint="eastAsia" w:ascii="仿宋_GB2312" w:hAnsi="仿宋_GB2312" w:eastAsia="仿宋_GB2312" w:cs="仿宋_GB2312"/>
                <w:sz w:val="24"/>
                <w:szCs w:val="24"/>
                <w:lang w:val="en-US" w:eastAsia="zh-CN" w:bidi="ar"/>
              </w:rPr>
              <w:t>（万元）</w:t>
            </w: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预算数：</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90万</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执行数：</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90万</w:t>
            </w:r>
          </w:p>
        </w:tc>
        <w:tc>
          <w:tcPr>
            <w:tcW w:w="2454" w:type="dxa"/>
            <w:tcBorders>
              <w:top w:val="single" w:color="000000" w:sz="4" w:space="0"/>
              <w:left w:val="nil"/>
              <w:bottom w:val="nil"/>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454" w:type="dxa"/>
            <w:tcBorders>
              <w:top w:val="single" w:color="000000" w:sz="4" w:space="0"/>
              <w:left w:val="nil"/>
              <w:bottom w:val="nil"/>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9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w:t>
            </w:r>
          </w:p>
        </w:tc>
        <w:tc>
          <w:tcPr>
            <w:tcW w:w="55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预期目标</w:t>
            </w:r>
          </w:p>
        </w:tc>
        <w:tc>
          <w:tcPr>
            <w:tcW w:w="63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5564"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根据合同要求，完成广元、绵阳两市区域内的600批次林产品抽样及检测任务，并将检测结果于2021年11月31日前报省局。</w:t>
            </w:r>
          </w:p>
        </w:tc>
        <w:tc>
          <w:tcPr>
            <w:tcW w:w="6304"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完成广元、绵阳两市区域内的600批次林产品抽样及检测任务，并将检测结果于2021年11月31日前报省局。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预期指标值（包含数字及文字描述）</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项目完成指标</w:t>
            </w: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完成数量</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600批次</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监测指标</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按要求按成</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完成质量</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指标1：完成时间节点</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规定时间内完成，即12月底</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2021年12月31日前完成上报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1092"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指标1：项目经费</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90万元</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已完成支付金额82.03万元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109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项目效果指标</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指标1：油橄榄鲜果产量</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500kg</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09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推动食用林产品质量安全水平提升，带动生产主体提升经营水平</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推动食用林产品质量安全水平提升，保障群众舌尖上的安全</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0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指标1：服务对象满意度</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服务对象满意度≥95%</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服务对象满意度≥95%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2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指标2：主管部门满意度</w:t>
            </w:r>
          </w:p>
        </w:tc>
        <w:tc>
          <w:tcPr>
            <w:tcW w:w="2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主管部门满意度≥95%</w:t>
            </w:r>
          </w:p>
        </w:tc>
        <w:tc>
          <w:tcPr>
            <w:tcW w:w="3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主管部门满意度≥95%</w:t>
            </w:r>
          </w:p>
        </w:tc>
      </w:tr>
    </w:tbl>
    <w:p>
      <w:pPr>
        <w:pStyle w:val="2"/>
        <w:sectPr>
          <w:pgSz w:w="16838" w:h="11906" w:orient="landscape"/>
          <w:pgMar w:top="1800" w:right="1440" w:bottom="1800" w:left="1440" w:header="851" w:footer="992" w:gutter="0"/>
          <w:pgNumType w:fmt="numberInDash"/>
          <w:cols w:space="720" w:num="1"/>
          <w:titlePg/>
          <w:docGrid w:type="lines" w:linePitch="312" w:charSpace="0"/>
        </w:sectPr>
      </w:pPr>
    </w:p>
    <w:p>
      <w:pPr>
        <w:pStyle w:val="30"/>
        <w:spacing w:line="580" w:lineRule="exact"/>
        <w:jc w:val="left"/>
        <w:rPr>
          <w:rFonts w:hint="eastAsia" w:eastAsia="方正小标宋简体"/>
          <w:kern w:val="2"/>
          <w:sz w:val="44"/>
          <w:szCs w:val="44"/>
          <w:lang w:val="zh-CN"/>
        </w:rPr>
      </w:pPr>
      <w:r>
        <w:rPr>
          <w:rFonts w:hint="eastAsia" w:ascii="Times New Roman" w:hAnsi="Times New Roman" w:eastAsia="黑体" w:cs="Times New Roman"/>
          <w:color w:val="auto"/>
          <w:kern w:val="2"/>
          <w:sz w:val="32"/>
          <w:szCs w:val="32"/>
          <w:lang w:val="en-US" w:eastAsia="zh-CN" w:bidi="ar-SA"/>
        </w:rPr>
        <w:t>附件3：</w:t>
      </w:r>
    </w:p>
    <w:p>
      <w:pPr>
        <w:pStyle w:val="2"/>
        <w:spacing w:line="576" w:lineRule="exact"/>
        <w:ind w:firstLine="880" w:firstLineChars="200"/>
        <w:jc w:val="center"/>
        <w:rPr>
          <w:rFonts w:hint="eastAsia" w:eastAsia="方正小标宋简体"/>
          <w:kern w:val="2"/>
          <w:sz w:val="44"/>
          <w:szCs w:val="44"/>
          <w:lang w:val="zh-CN"/>
        </w:rPr>
      </w:pPr>
      <w:r>
        <w:rPr>
          <w:rFonts w:hint="eastAsia" w:eastAsia="方正小标宋简体"/>
          <w:kern w:val="2"/>
          <w:sz w:val="44"/>
          <w:szCs w:val="44"/>
          <w:lang w:val="zh-CN"/>
        </w:rPr>
        <w:t>2021年中央“三区”科技人才支持计划项目绩效自评报告</w:t>
      </w:r>
    </w:p>
    <w:p>
      <w:pPr>
        <w:adjustRightInd w:val="0"/>
        <w:snapToGrid w:val="0"/>
        <w:spacing w:line="576" w:lineRule="exact"/>
        <w:ind w:firstLine="640" w:firstLineChars="200"/>
        <w:rPr>
          <w:rFonts w:eastAsia="黑体"/>
          <w:sz w:val="32"/>
          <w:szCs w:val="32"/>
        </w:rPr>
      </w:pPr>
      <w:r>
        <w:rPr>
          <w:rFonts w:hint="eastAsia" w:eastAsia="黑体"/>
          <w:sz w:val="32"/>
          <w:szCs w:val="32"/>
        </w:rPr>
        <w:t>一、项目概况</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（一）项目资金申报及批复情况</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项目资金申报及批复情况</w:t>
      </w:r>
    </w:p>
    <w:p>
      <w:pPr>
        <w:snapToGrid w:val="0"/>
        <w:spacing w:line="576"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项目资金由广元市林业科学研究院申报。</w:t>
      </w:r>
    </w:p>
    <w:p>
      <w:pPr>
        <w:snapToGrid w:val="0"/>
        <w:spacing w:line="576"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2021年10月，广元市财政局下达《关于下达2021年</w:t>
      </w:r>
      <w:r>
        <w:rPr>
          <w:rFonts w:hint="eastAsia" w:ascii="仿宋" w:hAnsi="仿宋" w:eastAsia="仿宋" w:cs="仿宋_GB2312"/>
          <w:sz w:val="32"/>
          <w:szCs w:val="32"/>
        </w:rPr>
        <w:t>中央“三区”科技人才支持计划预算</w:t>
      </w:r>
      <w:r>
        <w:rPr>
          <w:rFonts w:ascii="仿宋" w:hAnsi="仿宋" w:eastAsia="仿宋" w:cs="仿宋_GB2312"/>
          <w:sz w:val="32"/>
          <w:szCs w:val="32"/>
        </w:rPr>
        <w:t>的通知》（广财</w:t>
      </w:r>
      <w:r>
        <w:rPr>
          <w:rFonts w:hint="eastAsia" w:ascii="仿宋" w:hAnsi="仿宋" w:eastAsia="仿宋" w:cs="仿宋_GB2312"/>
          <w:sz w:val="32"/>
          <w:szCs w:val="32"/>
        </w:rPr>
        <w:t>教</w:t>
      </w:r>
      <w:r>
        <w:rPr>
          <w:rFonts w:ascii="仿宋" w:hAnsi="仿宋" w:eastAsia="仿宋" w:cs="仿宋_GB2312"/>
          <w:sz w:val="32"/>
          <w:szCs w:val="32"/>
        </w:rPr>
        <w:t>〔2021〕</w:t>
      </w:r>
      <w:r>
        <w:rPr>
          <w:rFonts w:hint="eastAsia" w:ascii="仿宋" w:hAnsi="仿宋" w:eastAsia="仿宋" w:cs="仿宋_GB2312"/>
          <w:sz w:val="32"/>
          <w:szCs w:val="32"/>
        </w:rPr>
        <w:t>104</w:t>
      </w:r>
      <w:r>
        <w:rPr>
          <w:rFonts w:ascii="仿宋" w:hAnsi="仿宋" w:eastAsia="仿宋" w:cs="仿宋_GB2312"/>
          <w:sz w:val="32"/>
          <w:szCs w:val="32"/>
        </w:rPr>
        <w:t>号）文件，拨付</w:t>
      </w:r>
      <w:r>
        <w:rPr>
          <w:rFonts w:hint="eastAsia" w:ascii="仿宋" w:hAnsi="仿宋" w:eastAsia="仿宋" w:cs="仿宋_GB2312"/>
          <w:sz w:val="32"/>
          <w:szCs w:val="32"/>
        </w:rPr>
        <w:t>中央“三区”人才支持计划科技人员专项资金18</w:t>
      </w:r>
      <w:r>
        <w:rPr>
          <w:rFonts w:ascii="仿宋" w:hAnsi="仿宋" w:eastAsia="仿宋" w:cs="仿宋_GB2312"/>
          <w:sz w:val="32"/>
          <w:szCs w:val="32"/>
        </w:rPr>
        <w:t>万元</w:t>
      </w:r>
      <w:r>
        <w:rPr>
          <w:rFonts w:hint="eastAsia" w:ascii="仿宋" w:hAnsi="仿宋" w:eastAsia="仿宋" w:cs="仿宋_GB2312"/>
          <w:sz w:val="32"/>
          <w:szCs w:val="32"/>
        </w:rPr>
        <w:t>。</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项目实施过程中无调整事项。</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2.项目资金的申报和批复符合项目资金管理办法。</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（二）项目绩效目标</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1.项目主要内容</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紧紧围绕我市核桃、油橄榄高质量发展的目标和任务，以科技示范引领和春之梦、秋之实、科技服务活动为抓手，选派专家和科技人员深化田间地头、进村入户，开展技术培训和技术服务，推广绿色、先进、实用新产品、新技术，打造科技示范点，打造市、县（区）共建科技示范点，提高林农的科技意识和生产科技含量，推动全市核桃、油橄榄产业高质量发展，助推乡村振兴产业发展。</w:t>
      </w:r>
    </w:p>
    <w:p>
      <w:pPr>
        <w:snapToGrid w:val="0"/>
        <w:spacing w:line="576"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2.项目应实现的具体绩效目标</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（1）组织一次培训。根据实际需要开展一次专题讲座，培训对象为农业技术骨干、种植大户、专合社等。</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（2）开展一次现场指导。科技服务人员要深入田间地头，针对林农生产所需，手把手、面对面指导林农，提高核桃、油橄榄基地的综合管理实力。</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（3）解决一项实际困难。针对当地林果产业发展中存在的技术瓶颈和生产难题，科技服务人员要仔细探讨，为林农至少解决一项实际困难。</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（4）提出一条建设性建议。围绕服务村优势特色林产业和全市林产业发展中存在的问题，科技服务人员要广泛调研，至少提出一条建设性建议。</w:t>
      </w:r>
    </w:p>
    <w:p>
      <w:pPr>
        <w:adjustRightInd w:val="0"/>
        <w:snapToGrid w:val="0"/>
        <w:spacing w:line="576" w:lineRule="exact"/>
        <w:ind w:firstLine="640" w:firstLineChars="200"/>
        <w:rPr>
          <w:rFonts w:hint="eastAsia" w:eastAsia="楷体"/>
          <w:sz w:val="32"/>
          <w:szCs w:val="32"/>
          <w:lang w:val="zh-CN"/>
        </w:rPr>
      </w:pPr>
      <w:r>
        <w:rPr>
          <w:rFonts w:hint="eastAsia" w:eastAsia="楷体"/>
          <w:sz w:val="32"/>
          <w:szCs w:val="32"/>
          <w:lang w:val="zh-CN"/>
        </w:rPr>
        <w:t>（三）项目资金申报相符性</w:t>
      </w:r>
    </w:p>
    <w:p>
      <w:pPr>
        <w:snapToGrid w:val="0"/>
        <w:spacing w:line="576"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申报项目与实际相符，目标合理可行。</w:t>
      </w:r>
    </w:p>
    <w:p>
      <w:pPr>
        <w:adjustRightInd w:val="0"/>
        <w:snapToGrid w:val="0"/>
        <w:spacing w:line="576" w:lineRule="exact"/>
        <w:ind w:firstLine="640" w:firstLineChars="200"/>
        <w:rPr>
          <w:rFonts w:eastAsia="黑体"/>
          <w:sz w:val="32"/>
          <w:szCs w:val="32"/>
        </w:rPr>
      </w:pPr>
      <w:r>
        <w:rPr>
          <w:rFonts w:hint="eastAsia" w:eastAsia="黑体"/>
          <w:sz w:val="32"/>
          <w:szCs w:val="32"/>
        </w:rPr>
        <w:t>二、项目实施及管理情况</w:t>
      </w:r>
    </w:p>
    <w:p>
      <w:pPr>
        <w:adjustRightInd w:val="0"/>
        <w:snapToGrid w:val="0"/>
        <w:spacing w:line="576" w:lineRule="exact"/>
        <w:ind w:firstLine="640" w:firstLineChars="200"/>
        <w:rPr>
          <w:rFonts w:eastAsia="仿宋"/>
          <w:sz w:val="32"/>
          <w:szCs w:val="32"/>
        </w:rPr>
      </w:pPr>
      <w:r>
        <w:rPr>
          <w:rFonts w:hint="eastAsia" w:eastAsia="楷体"/>
          <w:sz w:val="32"/>
          <w:szCs w:val="32"/>
          <w:lang w:val="zh-CN"/>
        </w:rPr>
        <w:t>（一）资金计划、到位及使用情况</w:t>
      </w:r>
    </w:p>
    <w:p>
      <w:pPr>
        <w:snapToGrid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1．资金计划及到位</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2021年到位</w:t>
      </w:r>
      <w:r>
        <w:rPr>
          <w:rFonts w:hint="eastAsia" w:ascii="仿宋" w:hAnsi="仿宋" w:eastAsia="仿宋" w:cs="仿宋_GB2312"/>
          <w:sz w:val="32"/>
          <w:szCs w:val="32"/>
        </w:rPr>
        <w:t>中央“三区”人才支持计划科技人员专项资金18</w:t>
      </w:r>
      <w:r>
        <w:rPr>
          <w:rFonts w:ascii="仿宋" w:hAnsi="仿宋" w:eastAsia="仿宋" w:cs="仿宋_GB2312"/>
          <w:sz w:val="32"/>
          <w:szCs w:val="32"/>
        </w:rPr>
        <w:t>万元，资金到位率100%</w:t>
      </w:r>
      <w:r>
        <w:rPr>
          <w:rFonts w:hint="eastAsia" w:ascii="仿宋" w:hAnsi="仿宋" w:eastAsia="仿宋" w:cs="仿宋_GB2312"/>
          <w:sz w:val="32"/>
          <w:szCs w:val="32"/>
        </w:rPr>
        <w:t>，该项目无其他渠道资金</w:t>
      </w:r>
      <w:r>
        <w:rPr>
          <w:rFonts w:ascii="仿宋" w:hAnsi="仿宋" w:eastAsia="仿宋" w:cs="仿宋_GB2312"/>
          <w:sz w:val="32"/>
          <w:szCs w:val="32"/>
        </w:rPr>
        <w:t>。</w:t>
      </w:r>
    </w:p>
    <w:p>
      <w:pPr>
        <w:snapToGrid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2．资金使用</w:t>
      </w:r>
    </w:p>
    <w:p>
      <w:pPr>
        <w:snapToGrid w:val="0"/>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本年</w:t>
      </w:r>
      <w:r>
        <w:rPr>
          <w:rFonts w:ascii="仿宋" w:hAnsi="仿宋" w:eastAsia="仿宋" w:cs="仿宋_GB2312"/>
          <w:sz w:val="32"/>
          <w:szCs w:val="32"/>
        </w:rPr>
        <w:t>支出</w:t>
      </w:r>
      <w:r>
        <w:rPr>
          <w:rFonts w:hint="eastAsia" w:ascii="仿宋" w:hAnsi="仿宋" w:eastAsia="仿宋" w:cs="仿宋_GB2312"/>
          <w:sz w:val="32"/>
          <w:szCs w:val="32"/>
        </w:rPr>
        <w:t>18</w:t>
      </w:r>
      <w:r>
        <w:rPr>
          <w:rFonts w:ascii="仿宋" w:hAnsi="仿宋" w:eastAsia="仿宋" w:cs="仿宋_GB2312"/>
          <w:sz w:val="32"/>
          <w:szCs w:val="32"/>
        </w:rPr>
        <w:t>万元。</w:t>
      </w:r>
      <w:r>
        <w:rPr>
          <w:rFonts w:hint="eastAsia" w:ascii="仿宋" w:hAnsi="仿宋" w:eastAsia="仿宋" w:cs="仿宋_GB2312"/>
          <w:sz w:val="32"/>
          <w:szCs w:val="32"/>
        </w:rPr>
        <w:t>主要用于差旅费、交通费、化肥、农药等生产资料采购等。</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（二）项目财务管理情况</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我院严格</w:t>
      </w:r>
      <w:r>
        <w:rPr>
          <w:rFonts w:ascii="仿宋" w:hAnsi="仿宋" w:eastAsia="仿宋" w:cs="仿宋_GB2312"/>
          <w:sz w:val="32"/>
          <w:szCs w:val="32"/>
        </w:rPr>
        <w:t>按照项目推进进度，拨付项目资金。所有资金均严格按照项目申报范围使用</w:t>
      </w:r>
      <w:r>
        <w:rPr>
          <w:rFonts w:hint="eastAsia" w:ascii="仿宋" w:hAnsi="仿宋" w:eastAsia="仿宋" w:cs="仿宋_GB2312"/>
          <w:sz w:val="32"/>
          <w:szCs w:val="32"/>
        </w:rPr>
        <w:t>，与预算相符</w:t>
      </w:r>
      <w:r>
        <w:rPr>
          <w:rFonts w:ascii="仿宋" w:hAnsi="仿宋" w:eastAsia="仿宋" w:cs="仿宋_GB2312"/>
          <w:sz w:val="32"/>
          <w:szCs w:val="32"/>
        </w:rPr>
        <w:t>。项目资金</w:t>
      </w:r>
      <w:r>
        <w:rPr>
          <w:rFonts w:hint="eastAsia" w:ascii="仿宋" w:hAnsi="仿宋" w:eastAsia="仿宋" w:cs="仿宋_GB2312"/>
          <w:sz w:val="32"/>
          <w:szCs w:val="32"/>
        </w:rPr>
        <w:t>支付依据合规合法，</w:t>
      </w:r>
      <w:r>
        <w:rPr>
          <w:rFonts w:ascii="仿宋" w:hAnsi="仿宋" w:eastAsia="仿宋" w:cs="仿宋_GB2312"/>
          <w:sz w:val="32"/>
          <w:szCs w:val="32"/>
        </w:rPr>
        <w:t>严格执行国家财政专项资金管理办法，</w:t>
      </w:r>
      <w:r>
        <w:rPr>
          <w:rFonts w:hint="eastAsia" w:ascii="仿宋" w:hAnsi="仿宋" w:eastAsia="仿宋" w:cs="仿宋_GB2312"/>
          <w:sz w:val="32"/>
          <w:szCs w:val="32"/>
        </w:rPr>
        <w:t>确保</w:t>
      </w:r>
      <w:r>
        <w:rPr>
          <w:rFonts w:ascii="仿宋" w:hAnsi="仿宋" w:eastAsia="仿宋" w:cs="仿宋_GB2312"/>
          <w:sz w:val="32"/>
          <w:szCs w:val="32"/>
        </w:rPr>
        <w:t>专款专用。账务处理和会计核算及时、规范。</w:t>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（三）项目组织实施情况</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项目组织架构及实施流程</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（1）开展春之梦服务活动。每年3月至7月是核桃、油橄榄生长的关键时期，也是病虫害防治的黄金时期，组织专家和科技人员深入基层，开展科技服务，解决生产中的技术难题，实施科技进村入户。</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（2）开展秋之实服务活动。利用每年10月至12月冬管，扎实推广行之有效的提质增效技术，服务林产业发展。</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w:t>
      </w:r>
      <w:r>
        <w:rPr>
          <w:rFonts w:ascii="仿宋" w:hAnsi="仿宋" w:eastAsia="仿宋" w:cs="仿宋_GB2312"/>
          <w:sz w:val="32"/>
          <w:szCs w:val="32"/>
        </w:rPr>
        <w:t>项目管理情况</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项目管理均按照相关管理制度执行，建立了工作有计划、实施有方案、日常有监督的管理机制。</w:t>
      </w:r>
    </w:p>
    <w:p>
      <w:pPr>
        <w:snapToGrid w:val="0"/>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w:t>
      </w:r>
      <w:r>
        <w:rPr>
          <w:rFonts w:ascii="仿宋" w:hAnsi="仿宋" w:eastAsia="仿宋" w:cs="仿宋_GB2312"/>
          <w:sz w:val="32"/>
          <w:szCs w:val="32"/>
        </w:rPr>
        <w:t>项目监管情况</w:t>
      </w:r>
    </w:p>
    <w:p>
      <w:pPr>
        <w:snapToGrid w:val="0"/>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及时按照省、市主管部门要求按时报送项目完成情况及预算执行进度等资料。</w:t>
      </w:r>
    </w:p>
    <w:p>
      <w:pPr>
        <w:adjustRightInd w:val="0"/>
        <w:snapToGrid w:val="0"/>
        <w:spacing w:line="576" w:lineRule="exact"/>
        <w:ind w:firstLine="640" w:firstLineChars="200"/>
        <w:rPr>
          <w:rFonts w:eastAsia="仿宋"/>
          <w:sz w:val="32"/>
          <w:szCs w:val="32"/>
        </w:rPr>
      </w:pPr>
      <w:r>
        <w:rPr>
          <w:rFonts w:hint="eastAsia" w:eastAsia="黑体"/>
          <w:sz w:val="32"/>
          <w:szCs w:val="32"/>
        </w:rPr>
        <w:t>三、项目绩效情况</w:t>
      </w:r>
      <w:r>
        <w:rPr>
          <w:rFonts w:hint="eastAsia" w:eastAsia="黑体"/>
          <w:sz w:val="32"/>
          <w:szCs w:val="32"/>
        </w:rPr>
        <w:tab/>
      </w:r>
    </w:p>
    <w:p>
      <w:pPr>
        <w:adjustRightInd w:val="0"/>
        <w:snapToGrid w:val="0"/>
        <w:spacing w:line="576" w:lineRule="exact"/>
        <w:ind w:firstLine="640" w:firstLineChars="200"/>
        <w:rPr>
          <w:rFonts w:eastAsia="楷体"/>
          <w:sz w:val="32"/>
          <w:szCs w:val="32"/>
          <w:lang w:val="zh-CN"/>
        </w:rPr>
      </w:pPr>
      <w:r>
        <w:rPr>
          <w:rFonts w:hint="eastAsia" w:eastAsia="楷体"/>
          <w:sz w:val="32"/>
          <w:szCs w:val="32"/>
          <w:lang w:val="zh-CN"/>
        </w:rPr>
        <w:t>（一）项目完成情况</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(1)数量指标：我院共选派9名科技工作者参与此项工作，本年度实际选派人员为9个。（2）质量指标：项目任务完成率100%。（3）时效指标：项目实施期为2021年1月-12月。（4）成本指标：该项目选派人员工作经费补助标准为2万元/人.年，本年度资金共18万元。 </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2.效益指标 </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社会效益指标：为全市7个县区，20个已脱贫的重点扶贫村，为贫困地区发展特色优势产业提供技术支持和技术指导，促进产业发展。</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可持续影响指标：专项资金的下达，有助于推进专业人才工作积极性，加强科技人才队伍建设，充分发挥科技人员在支持“三区”经济社会发展中的积极作用。</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3.满意度指标 </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项目受益人群满意度大于90%。</w:t>
      </w:r>
    </w:p>
    <w:p>
      <w:pPr>
        <w:adjustRightInd w:val="0"/>
        <w:snapToGrid w:val="0"/>
        <w:spacing w:line="576" w:lineRule="exact"/>
        <w:ind w:firstLine="720"/>
        <w:rPr>
          <w:rFonts w:eastAsia="黑体"/>
          <w:sz w:val="32"/>
          <w:szCs w:val="32"/>
        </w:rPr>
      </w:pPr>
      <w:r>
        <w:rPr>
          <w:rFonts w:hint="eastAsia" w:eastAsia="黑体"/>
          <w:sz w:val="32"/>
          <w:szCs w:val="32"/>
        </w:rPr>
        <w:t>四、问题及建议</w:t>
      </w:r>
    </w:p>
    <w:p>
      <w:pPr>
        <w:pStyle w:val="2"/>
        <w:spacing w:line="576" w:lineRule="exact"/>
        <w:ind w:firstLine="640" w:firstLineChars="200"/>
        <w:rPr>
          <w:rFonts w:hint="eastAsia" w:eastAsia="仿宋"/>
          <w:kern w:val="2"/>
          <w:sz w:val="32"/>
          <w:szCs w:val="32"/>
          <w:lang w:val="zh-CN" w:eastAsia="zh-CN"/>
        </w:rPr>
      </w:pPr>
      <w:r>
        <w:rPr>
          <w:rFonts w:hint="eastAsia" w:eastAsia="仿宋"/>
          <w:kern w:val="2"/>
          <w:sz w:val="32"/>
          <w:szCs w:val="32"/>
          <w:lang w:val="zh-CN" w:eastAsia="zh-CN"/>
        </w:rPr>
        <w:t>无。</w:t>
      </w:r>
    </w:p>
    <w:p>
      <w:pPr>
        <w:rPr>
          <w:rFonts w:hint="eastAsia" w:eastAsia="仿宋"/>
          <w:kern w:val="2"/>
          <w:sz w:val="32"/>
          <w:szCs w:val="32"/>
          <w:lang w:val="zh-CN" w:eastAsia="zh-CN"/>
        </w:rPr>
        <w:sectPr>
          <w:pgSz w:w="11906" w:h="16838"/>
          <w:pgMar w:top="1440" w:right="1800" w:bottom="1440" w:left="1800" w:header="851" w:footer="992" w:gutter="0"/>
          <w:pgNumType w:fmt="numberInDash"/>
          <w:cols w:space="720" w:num="1"/>
          <w:titlePg/>
          <w:docGrid w:type="linesAndChars" w:linePitch="312" w:charSpace="0"/>
        </w:sectPr>
      </w:pPr>
    </w:p>
    <w:tbl>
      <w:tblPr>
        <w:tblStyle w:val="12"/>
        <w:tblW w:w="13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34"/>
        <w:gridCol w:w="1146"/>
        <w:gridCol w:w="1227"/>
        <w:gridCol w:w="3415"/>
        <w:gridCol w:w="2551"/>
        <w:gridCol w:w="40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3480" w:type="dxa"/>
            <w:gridSpan w:val="6"/>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项目支出绩效目标自评表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项目名称</w:t>
            </w:r>
          </w:p>
        </w:tc>
        <w:tc>
          <w:tcPr>
            <w:tcW w:w="99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zh-CN" w:eastAsia="zh-CN" w:bidi="ar"/>
              </w:rPr>
              <w:t>2021年中央“三区”科技人才支持计划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350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预算单位</w:t>
            </w:r>
          </w:p>
        </w:tc>
        <w:tc>
          <w:tcPr>
            <w:tcW w:w="99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广元市林业科学研究院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预算</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执行</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情况</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Style w:val="31"/>
                <w:rFonts w:hint="eastAsia" w:ascii="仿宋_GB2312" w:hAnsi="仿宋_GB2312" w:eastAsia="仿宋_GB2312" w:cs="仿宋_GB2312"/>
                <w:sz w:val="24"/>
                <w:szCs w:val="24"/>
                <w:lang w:val="en-US" w:eastAsia="zh-CN" w:bidi="ar"/>
              </w:rPr>
              <w:t>（万元）</w:t>
            </w:r>
          </w:p>
        </w:tc>
        <w:tc>
          <w:tcPr>
            <w:tcW w:w="23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预算数：</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18万</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执行数：</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3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18万</w:t>
            </w:r>
          </w:p>
        </w:tc>
        <w:tc>
          <w:tcPr>
            <w:tcW w:w="2551" w:type="dxa"/>
            <w:tcBorders>
              <w:top w:val="single" w:color="000000" w:sz="4" w:space="0"/>
              <w:left w:val="nil"/>
              <w:bottom w:val="nil"/>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其中：财政拨款</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37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2551" w:type="dxa"/>
            <w:tcBorders>
              <w:top w:val="single" w:color="000000" w:sz="4" w:space="0"/>
              <w:left w:val="nil"/>
              <w:bottom w:val="nil"/>
              <w:right w:val="single" w:color="000000" w:sz="4" w:space="0"/>
            </w:tcBorders>
            <w:noWrap w:val="0"/>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其他资金</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1134"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目标</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w:t>
            </w:r>
          </w:p>
        </w:tc>
        <w:tc>
          <w:tcPr>
            <w:tcW w:w="57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预期目标</w:t>
            </w:r>
          </w:p>
        </w:tc>
        <w:tc>
          <w:tcPr>
            <w:tcW w:w="655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7" w:hRule="atLeast"/>
          <w:jc w:val="center"/>
        </w:trPr>
        <w:tc>
          <w:tcPr>
            <w:tcW w:w="113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5788"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选派专家和科技人员深化田间地头、进村入户，开展技术培训和技术服务，推广绿色、先进、实用新产品、新技术，打造科技示范点，打造市、县（区）共建科技示范点，提高林农的科技意识和生产科技含量，推动全市核桃、油橄榄产业高质量发展，助推乡村振兴产业发展。</w:t>
            </w:r>
          </w:p>
        </w:tc>
        <w:tc>
          <w:tcPr>
            <w:tcW w:w="6558" w:type="dxa"/>
            <w:gridSpan w:val="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sz w:val="24"/>
                <w:szCs w:val="24"/>
                <w:u w:val="none"/>
                <w:lang w:eastAsia="zh-CN"/>
              </w:rPr>
            </w:pPr>
            <w:r>
              <w:rPr>
                <w:rFonts w:hint="eastAsia" w:ascii="仿宋_GB2312" w:hAnsi="仿宋_GB2312" w:eastAsia="仿宋_GB2312" w:cs="仿宋_GB2312"/>
                <w:i w:val="0"/>
                <w:iCs w:val="0"/>
                <w:color w:val="000000"/>
                <w:sz w:val="24"/>
                <w:szCs w:val="24"/>
                <w:u w:val="none"/>
                <w:lang w:eastAsia="zh-CN"/>
              </w:rPr>
              <w:t>完成指导和培训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年度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绩效</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指标</w:t>
            </w:r>
          </w:p>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情况</w:t>
            </w:r>
          </w:p>
        </w:tc>
        <w:tc>
          <w:tcPr>
            <w:tcW w:w="11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一级指标</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二级指标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三级指标</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预期指标值（包含数字及文字描述）</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项目完成指标</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完成数量</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选派9名科技工作者</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选派9名科技工作者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质量指标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完成质量</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项目任务完成率100%</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时效指标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完成时间节点</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项目实施期为2021年1月-12月</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2021年12月31日前完成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1134"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成本指标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 xml:space="preserve"> 项目经费</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18万元</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已完成支付金额18万元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1134"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项目效果指标</w:t>
            </w:r>
          </w:p>
        </w:tc>
        <w:tc>
          <w:tcPr>
            <w:tcW w:w="12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经济效益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为全市7个县区，20个已脱贫的重点扶贫村，为贫困地区发展特色优势产业提供技术支持和技术指导，促进产业发展</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不断促进</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不断促进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9" w:hRule="atLeast"/>
          <w:jc w:val="center"/>
        </w:trPr>
        <w:tc>
          <w:tcPr>
            <w:tcW w:w="1134"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continue"/>
            <w:tcBorders>
              <w:top w:val="nil"/>
              <w:left w:val="single" w:color="000000" w:sz="4" w:space="0"/>
              <w:bottom w:val="nil"/>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227"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社会效益</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有助于推进专业人才工作积极性，加强科技人才队伍建设，充分发挥科技人员在支持“三区”经济社会发展中的积极作用</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不断提高</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1134"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满意度</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指标</w:t>
            </w:r>
          </w:p>
        </w:tc>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满意度指标</w:t>
            </w: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指标1：服务对象满意度</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服务对象满意度≥95%</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服务对象满意度≥95%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14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仿宋_GB2312" w:eastAsia="仿宋_GB2312" w:cs="仿宋_GB2312"/>
                <w:i w:val="0"/>
                <w:iCs w:val="0"/>
                <w:color w:val="000000"/>
                <w:sz w:val="24"/>
                <w:szCs w:val="24"/>
                <w:u w:val="none"/>
              </w:rPr>
            </w:pPr>
          </w:p>
        </w:tc>
        <w:tc>
          <w:tcPr>
            <w:tcW w:w="34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指标2：主管部门满意度</w:t>
            </w:r>
          </w:p>
        </w:tc>
        <w:tc>
          <w:tcPr>
            <w:tcW w:w="25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主管部门满意度≥95%</w:t>
            </w:r>
          </w:p>
        </w:tc>
        <w:tc>
          <w:tcPr>
            <w:tcW w:w="4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主管部门满意度≥95%</w:t>
            </w:r>
          </w:p>
        </w:tc>
      </w:tr>
    </w:tbl>
    <w:p>
      <w:pPr>
        <w:pStyle w:val="6"/>
        <w:widowControl w:val="0"/>
        <w:numPr>
          <w:ilvl w:val="0"/>
          <w:numId w:val="0"/>
        </w:numPr>
        <w:spacing w:beforeLines="30"/>
        <w:jc w:val="both"/>
        <w:sectPr>
          <w:footerReference r:id="rId10" w:type="first"/>
          <w:footerReference r:id="rId9" w:type="default"/>
          <w:pgSz w:w="16838" w:h="11906" w:orient="landscape"/>
          <w:pgMar w:top="1800" w:right="1440" w:bottom="1800" w:left="1440" w:header="851" w:footer="992" w:gutter="0"/>
          <w:pgNumType w:fmt="numberInDash"/>
          <w:cols w:space="425" w:num="1"/>
          <w:titlePg/>
          <w:docGrid w:type="lines" w:linePitch="312" w:charSpace="0"/>
        </w:sect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3"/>
      <w:bookmarkEnd w:id="55"/>
      <w:bookmarkStart w:id="56"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25"/>
          <w:rFonts w:hint="eastAsia" w:ascii="仿宋" w:hAnsi="仿宋" w:eastAsia="仿宋"/>
          <w:b w:val="0"/>
          <w:bCs w:val="0"/>
        </w:rPr>
        <w:t>入决算表</w:t>
      </w:r>
      <w:bookmarkEnd w:id="57"/>
    </w:p>
    <w:p>
      <w:pPr>
        <w:pStyle w:val="4"/>
        <w:rPr>
          <w:rFonts w:ascii="仿宋" w:hAnsi="仿宋" w:eastAsia="仿宋"/>
        </w:rPr>
      </w:pPr>
      <w:bookmarkStart w:id="58"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9"/>
    </w:p>
    <w:p>
      <w:pPr>
        <w:pStyle w:val="4"/>
        <w:rPr>
          <w:rStyle w:val="25"/>
          <w:rFonts w:ascii="仿宋" w:hAnsi="仿宋" w:eastAsia="仿宋"/>
          <w:b w:val="0"/>
          <w:bCs w:val="0"/>
        </w:rPr>
      </w:pPr>
      <w:bookmarkStart w:id="60"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25"/>
          <w:rFonts w:hint="eastAsia" w:ascii="仿宋" w:hAnsi="仿宋" w:eastAsia="仿宋"/>
          <w:b w:val="0"/>
          <w:bCs w:val="0"/>
        </w:rPr>
        <w:t>十、</w:t>
      </w:r>
      <w:r>
        <w:rPr>
          <w:rFonts w:hint="eastAsia" w:ascii="仿宋" w:hAnsi="仿宋" w:eastAsia="仿宋"/>
          <w:b w:val="0"/>
        </w:rPr>
        <w:t>一</w:t>
      </w:r>
      <w:r>
        <w:rPr>
          <w:rStyle w:val="25"/>
          <w:rFonts w:hint="eastAsia" w:ascii="仿宋" w:hAnsi="仿宋" w:eastAsia="仿宋"/>
          <w:b w:val="0"/>
          <w:bCs w:val="0"/>
        </w:rPr>
        <w:t>般公共预算财政拨款“三公”经费支出决算表</w:t>
      </w:r>
      <w:bookmarkEnd w:id="65"/>
    </w:p>
    <w:p>
      <w:pPr>
        <w:pStyle w:val="4"/>
        <w:rPr>
          <w:rFonts w:ascii="仿宋" w:hAnsi="仿宋" w:eastAsia="仿宋"/>
        </w:rPr>
      </w:pPr>
      <w:bookmarkStart w:id="66" w:name="_Toc15396629"/>
      <w:r>
        <w:rPr>
          <w:rStyle w:val="25"/>
          <w:rFonts w:hint="eastAsia" w:ascii="仿宋" w:hAnsi="仿宋" w:eastAsia="仿宋"/>
          <w:b w:val="0"/>
          <w:bCs w:val="0"/>
        </w:rPr>
        <w:t>十一、</w:t>
      </w:r>
      <w:r>
        <w:rPr>
          <w:rFonts w:hint="eastAsia" w:ascii="仿宋" w:hAnsi="仿宋" w:eastAsia="仿宋"/>
          <w:b w:val="0"/>
        </w:rPr>
        <w:t>政</w:t>
      </w:r>
      <w:r>
        <w:rPr>
          <w:rStyle w:val="25"/>
          <w:rFonts w:hint="eastAsia" w:ascii="仿宋" w:hAnsi="仿宋" w:eastAsia="仿宋"/>
          <w:b w:val="0"/>
          <w:bCs w:val="0"/>
        </w:rPr>
        <w:t>府性基金预算财政拨款收入支出决算表</w:t>
      </w:r>
      <w:bookmarkEnd w:id="66"/>
    </w:p>
    <w:p>
      <w:pPr>
        <w:pStyle w:val="4"/>
        <w:rPr>
          <w:rFonts w:ascii="仿宋" w:hAnsi="仿宋" w:eastAsia="仿宋"/>
        </w:rPr>
      </w:pPr>
      <w:bookmarkStart w:id="67" w:name="_Toc15396630"/>
      <w:r>
        <w:rPr>
          <w:rStyle w:val="25"/>
          <w:rFonts w:hint="eastAsia" w:ascii="仿宋" w:hAnsi="仿宋" w:eastAsia="仿宋"/>
          <w:b w:val="0"/>
          <w:bCs w:val="0"/>
        </w:rPr>
        <w:t>十二、</w:t>
      </w:r>
      <w:r>
        <w:rPr>
          <w:rFonts w:hint="eastAsia" w:ascii="仿宋" w:hAnsi="仿宋" w:eastAsia="仿宋"/>
          <w:b w:val="0"/>
        </w:rPr>
        <w:t>政</w:t>
      </w:r>
      <w:r>
        <w:rPr>
          <w:rStyle w:val="25"/>
          <w:rFonts w:hint="eastAsia" w:ascii="仿宋" w:hAnsi="仿宋" w:eastAsia="仿宋"/>
          <w:b w:val="0"/>
          <w:bCs w:val="0"/>
        </w:rPr>
        <w:t>府性基金预算财政拨款“三公”经费支出决算表</w:t>
      </w:r>
      <w:bookmarkEnd w:id="67"/>
    </w:p>
    <w:p>
      <w:pPr>
        <w:pStyle w:val="4"/>
        <w:rPr>
          <w:rStyle w:val="25"/>
          <w:rFonts w:ascii="仿宋" w:hAnsi="仿宋" w:eastAsia="仿宋"/>
          <w:b w:val="0"/>
          <w:bCs w:val="0"/>
        </w:rPr>
      </w:pPr>
      <w:bookmarkStart w:id="68" w:name="_Toc15396631"/>
      <w:r>
        <w:rPr>
          <w:rStyle w:val="25"/>
          <w:rFonts w:hint="eastAsia" w:ascii="仿宋" w:hAnsi="仿宋" w:eastAsia="仿宋"/>
          <w:b w:val="0"/>
          <w:bCs w:val="0"/>
        </w:rPr>
        <w:t>十三、</w:t>
      </w:r>
      <w:r>
        <w:rPr>
          <w:rFonts w:hint="eastAsia" w:ascii="仿宋" w:hAnsi="仿宋" w:eastAsia="仿宋"/>
          <w:b w:val="0"/>
        </w:rPr>
        <w:t>国</w:t>
      </w:r>
      <w:r>
        <w:rPr>
          <w:rStyle w:val="25"/>
          <w:rFonts w:hint="eastAsia" w:ascii="仿宋" w:hAnsi="仿宋" w:eastAsia="仿宋"/>
          <w:b w:val="0"/>
          <w:bCs w:val="0"/>
        </w:rPr>
        <w:t>有资本经营预算财政拨款收入支出决算表</w:t>
      </w:r>
      <w:bookmarkEnd w:id="68"/>
    </w:p>
    <w:p>
      <w:pPr>
        <w:rPr>
          <w:rFonts w:eastAsia="仿宋"/>
        </w:rPr>
      </w:pPr>
      <w:r>
        <w:rPr>
          <w:rStyle w:val="25"/>
          <w:rFonts w:hint="eastAsia" w:ascii="仿宋" w:hAnsi="仿宋" w:eastAsia="仿宋"/>
          <w:b w:val="0"/>
          <w:bCs w:val="0"/>
        </w:rPr>
        <w:t>十四、国有资本经营预算财政拨款支出决算表</w:t>
      </w: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- 26 -</w:t>
                </w:r>
                <w:r>
                  <w:fldChar w:fldCharType="end"/>
                </w:r>
              </w:p>
            </w:txbxContent>
          </v:textbox>
        </v:shape>
      </w:pic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7" o:spid="_x0000_s3077" o:spt="202" type="#_x0000_t202" style="position:absolute;left:0pt;margin-top:0pt;height:28.95pt;width:19.4pt;mso-position-horizontal:center;mso-position-horizontal-relative:margin;z-index:251660288;mso-width-relative:page;mso-height-relative:page;" filled="f" stroked="f" coordsize="21600,21600">
          <v:path/>
          <v:fill on="f" focussize="0,0"/>
          <v:stroke on="f"/>
          <v:imagedata o:title=""/>
          <o:lock v:ext="edit" aspectratio="f"/>
          <v:textbox inset="0mm,0mm,0mm,0mm">
            <w:txbxContent>
              <w:p>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- 1 -</w:t>
                </w:r>
                <w:r>
                  <w:rPr>
                    <w:sz w:val="21"/>
                    <w:szCs w:val="21"/>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- 2 -</w:t>
                </w:r>
                <w:r>
                  <w:fldChar w:fldCharType="end"/>
                </w:r>
              </w:p>
            </w:txbxContent>
          </v:textbox>
        </v:shape>
      </w:pict>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- 33 -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YxN2NjOTVlMGM4ZjNlOTFmMjU5ZjYwMDI1YWZlYm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0EF2"/>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5992"/>
    <w:rsid w:val="006748A4"/>
    <w:rsid w:val="00681A31"/>
    <w:rsid w:val="00683E73"/>
    <w:rsid w:val="006A3141"/>
    <w:rsid w:val="006A4053"/>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F82FE2"/>
    <w:rsid w:val="07484E25"/>
    <w:rsid w:val="07832BA1"/>
    <w:rsid w:val="0A2032A3"/>
    <w:rsid w:val="0B8A37D8"/>
    <w:rsid w:val="10C055FF"/>
    <w:rsid w:val="118107EC"/>
    <w:rsid w:val="11DD6519"/>
    <w:rsid w:val="138B67A2"/>
    <w:rsid w:val="16BB723D"/>
    <w:rsid w:val="17045380"/>
    <w:rsid w:val="17661DF6"/>
    <w:rsid w:val="18015F3F"/>
    <w:rsid w:val="1A335DF3"/>
    <w:rsid w:val="1BE8440E"/>
    <w:rsid w:val="1D155CEE"/>
    <w:rsid w:val="20151BEC"/>
    <w:rsid w:val="20F57F95"/>
    <w:rsid w:val="227C6712"/>
    <w:rsid w:val="240371BF"/>
    <w:rsid w:val="25C741E6"/>
    <w:rsid w:val="273B7E94"/>
    <w:rsid w:val="27842671"/>
    <w:rsid w:val="29FD04D3"/>
    <w:rsid w:val="2ABE7A3E"/>
    <w:rsid w:val="2EFA178C"/>
    <w:rsid w:val="30B46D73"/>
    <w:rsid w:val="319F7F4E"/>
    <w:rsid w:val="353A6A92"/>
    <w:rsid w:val="39AE70AB"/>
    <w:rsid w:val="3A667F7C"/>
    <w:rsid w:val="3B79409A"/>
    <w:rsid w:val="3C0C0783"/>
    <w:rsid w:val="3CAF577A"/>
    <w:rsid w:val="3F795B0E"/>
    <w:rsid w:val="3F9F3A96"/>
    <w:rsid w:val="40350D30"/>
    <w:rsid w:val="493C27E9"/>
    <w:rsid w:val="496F39ED"/>
    <w:rsid w:val="49FF41D3"/>
    <w:rsid w:val="4A185DC8"/>
    <w:rsid w:val="4A612992"/>
    <w:rsid w:val="4BE068DB"/>
    <w:rsid w:val="4BF6002B"/>
    <w:rsid w:val="4ECE2238"/>
    <w:rsid w:val="51DB4B86"/>
    <w:rsid w:val="55333C3E"/>
    <w:rsid w:val="591C1458"/>
    <w:rsid w:val="5CAF2C65"/>
    <w:rsid w:val="5E816FD9"/>
    <w:rsid w:val="5F7306DD"/>
    <w:rsid w:val="63C811DC"/>
    <w:rsid w:val="64CA39A1"/>
    <w:rsid w:val="67DE50A0"/>
    <w:rsid w:val="6C4A05C8"/>
    <w:rsid w:val="6D265FA8"/>
    <w:rsid w:val="70C44ADB"/>
    <w:rsid w:val="72734D90"/>
    <w:rsid w:val="740242FD"/>
    <w:rsid w:val="7404142A"/>
    <w:rsid w:val="79E7B28D"/>
    <w:rsid w:val="7A7D2092"/>
    <w:rsid w:val="7C775BAB"/>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1"/>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7"/>
    <w:semiHidden/>
    <w:unhideWhenUsed/>
    <w:qFormat/>
    <w:uiPriority w:val="99"/>
    <w:rPr>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2"/>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6"/>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b/>
      <w:bCs/>
      <w:kern w:val="44"/>
      <w:sz w:val="44"/>
      <w:szCs w:val="44"/>
    </w:rPr>
  </w:style>
  <w:style w:type="character" w:customStyle="1" w:styleId="25">
    <w:name w:val="标题 2 Char"/>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8"/>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四号正文"/>
    <w:basedOn w:val="1"/>
    <w:qFormat/>
    <w:uiPriority w:val="0"/>
    <w:pPr>
      <w:spacing w:line="360" w:lineRule="auto"/>
    </w:pPr>
    <w:rPr>
      <w:rFonts w:ascii="??" w:hAnsi="??"/>
      <w:color w:val="000000"/>
      <w:kern w:val="0"/>
      <w:sz w:val="28"/>
      <w:szCs w:val="21"/>
      <w:lang w:val="zh-CN"/>
    </w:rPr>
  </w:style>
  <w:style w:type="character" w:customStyle="1" w:styleId="31">
    <w:name w:val="font51"/>
    <w:basedOn w:val="13"/>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单位：万元</c:v>
                </c:pt>
              </c:strCache>
            </c:strRef>
          </c:tx>
          <c:invertIfNegative val="0"/>
          <c:dLbls>
            <c:delete val="1"/>
          </c:dLbls>
          <c:cat>
            <c:strRef>
              <c:f>Sheet1!$A$2:$A$3</c:f>
              <c:strCache>
                <c:ptCount val="2"/>
                <c:pt idx="0">
                  <c:v>2020年</c:v>
                </c:pt>
                <c:pt idx="1">
                  <c:v>2021年</c:v>
                </c:pt>
              </c:strCache>
            </c:strRef>
          </c:cat>
          <c:val>
            <c:numRef>
              <c:f>Sheet1!$B$2:$B$3</c:f>
              <c:numCache>
                <c:formatCode>General</c:formatCode>
                <c:ptCount val="2"/>
                <c:pt idx="0">
                  <c:v>2069.2</c:v>
                </c:pt>
                <c:pt idx="1">
                  <c:v>1493.1</c:v>
                </c:pt>
              </c:numCache>
            </c:numRef>
          </c:val>
        </c:ser>
        <c:dLbls>
          <c:showLegendKey val="0"/>
          <c:showVal val="0"/>
          <c:showCatName val="0"/>
          <c:showSerName val="0"/>
          <c:showPercent val="0"/>
          <c:showBubbleSize val="0"/>
        </c:dLbls>
        <c:gapWidth val="150"/>
        <c:axId val="70133248"/>
        <c:axId val="70186112"/>
      </c:barChart>
      <c:catAx>
        <c:axId val="701332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186112"/>
        <c:crosses val="autoZero"/>
        <c:auto val="1"/>
        <c:lblAlgn val="ctr"/>
        <c:lblOffset val="100"/>
        <c:noMultiLvlLbl val="0"/>
      </c:catAx>
      <c:valAx>
        <c:axId val="7018611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013324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2"/>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其他收入</c:v>
                </c:pt>
              </c:strCache>
            </c:strRef>
          </c:cat>
          <c:val>
            <c:numRef>
              <c:f>Sheet1!$B$2:$B$3</c:f>
              <c:numCache>
                <c:formatCode>0.00%</c:formatCode>
                <c:ptCount val="2"/>
                <c:pt idx="0">
                  <c:v>0.9989</c:v>
                </c:pt>
                <c:pt idx="1">
                  <c:v>0.0011</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585070040252097"/>
          <c:y val="0.299695705367507"/>
          <c:w val="0.399655010664401"/>
          <c:h val="0.42052890799008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9417800047721"/>
          <c:y val="0.222460024600246"/>
          <c:w val="0.295223097112861"/>
          <c:h val="0.760934809348093"/>
        </c:manualLayout>
      </c:layout>
      <c:pieChart>
        <c:varyColors val="1"/>
        <c:ser>
          <c:idx val="0"/>
          <c:order val="0"/>
          <c:tx>
            <c:strRef>
              <c:f>Sheet1!$B$1</c:f>
              <c:strCache>
                <c:ptCount val="1"/>
                <c:pt idx="0">
                  <c:v>列1</c:v>
                </c:pt>
              </c:strCache>
            </c:strRef>
          </c:tx>
          <c:explosion val="0"/>
          <c:dPt>
            <c:idx val="0"/>
            <c:bubble3D val="0"/>
          </c:dPt>
          <c:dPt>
            <c:idx val="1"/>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0.4175</c:v>
                </c:pt>
                <c:pt idx="1">
                  <c:v>0.5825</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2020年</c:v>
                </c:pt>
                <c:pt idx="1">
                  <c:v>2021年</c:v>
                </c:pt>
              </c:strCache>
            </c:strRef>
          </c:cat>
          <c:val>
            <c:numRef>
              <c:f>Sheet1!$B$2:$B$3</c:f>
              <c:numCache>
                <c:formatCode>General</c:formatCode>
                <c:ptCount val="2"/>
                <c:pt idx="0">
                  <c:v>2056.33</c:v>
                </c:pt>
                <c:pt idx="1">
                  <c:v>1479.38</c:v>
                </c:pt>
              </c:numCache>
            </c:numRef>
          </c:val>
        </c:ser>
        <c:dLbls>
          <c:showLegendKey val="0"/>
          <c:showVal val="1"/>
          <c:showCatName val="0"/>
          <c:showSerName val="0"/>
          <c:showPercent val="0"/>
          <c:showBubbleSize val="0"/>
        </c:dLbls>
        <c:gapWidth val="150"/>
        <c:axId val="122029952"/>
        <c:axId val="122031488"/>
      </c:barChart>
      <c:catAx>
        <c:axId val="12202995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031488"/>
        <c:crosses val="autoZero"/>
        <c:auto val="1"/>
        <c:lblAlgn val="ctr"/>
        <c:lblOffset val="100"/>
        <c:noMultiLvlLbl val="0"/>
      </c:catAx>
      <c:valAx>
        <c:axId val="1220314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029952"/>
        <c:crosses val="autoZero"/>
        <c:crossBetween val="between"/>
      </c:valAx>
    </c:plotArea>
    <c:legend>
      <c:legendPos val="r"/>
      <c:layout>
        <c:manualLayout>
          <c:xMode val="edge"/>
          <c:yMode val="edge"/>
          <c:x val="0.806597640260053"/>
          <c:y val="0.800999163030318"/>
          <c:w val="0.161291808786363"/>
          <c:h val="0.074645669291338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2055951438374"/>
          <c:y val="0.060201579950967"/>
          <c:w val="0.715492214304566"/>
          <c:h val="0.796513211658949"/>
        </c:manualLayout>
      </c:layout>
      <c:barChart>
        <c:barDir val="col"/>
        <c:grouping val="clustered"/>
        <c:varyColors val="0"/>
        <c:ser>
          <c:idx val="0"/>
          <c:order val="0"/>
          <c:tx>
            <c:strRef>
              <c:f>Sheet1!$B$1</c:f>
              <c:strCache>
                <c:ptCount val="1"/>
                <c:pt idx="0">
                  <c:v>单位：万元</c:v>
                </c:pt>
              </c:strCache>
            </c:strRef>
          </c:tx>
          <c:invertIfNegative val="0"/>
          <c:dLbls>
            <c:delete val="1"/>
          </c:dLbls>
          <c:cat>
            <c:strRef>
              <c:f>Sheet1!$A$2:$A$3</c:f>
              <c:strCache>
                <c:ptCount val="2"/>
                <c:pt idx="0">
                  <c:v>2020年</c:v>
                </c:pt>
                <c:pt idx="1">
                  <c:v>2021年</c:v>
                </c:pt>
              </c:strCache>
            </c:strRef>
          </c:cat>
          <c:val>
            <c:numRef>
              <c:f>Sheet1!$B$2:$B$3</c:f>
              <c:numCache>
                <c:formatCode>General</c:formatCode>
                <c:ptCount val="2"/>
                <c:pt idx="0">
                  <c:v>1111.77</c:v>
                </c:pt>
                <c:pt idx="1">
                  <c:v>1040.02</c:v>
                </c:pt>
              </c:numCache>
            </c:numRef>
          </c:val>
        </c:ser>
        <c:dLbls>
          <c:showLegendKey val="0"/>
          <c:showVal val="0"/>
          <c:showCatName val="0"/>
          <c:showSerName val="0"/>
          <c:showPercent val="0"/>
          <c:showBubbleSize val="0"/>
        </c:dLbls>
        <c:gapWidth val="150"/>
        <c:axId val="122088064"/>
        <c:axId val="122360192"/>
      </c:barChart>
      <c:catAx>
        <c:axId val="12208806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360192"/>
        <c:crosses val="autoZero"/>
        <c:auto val="1"/>
        <c:lblAlgn val="ctr"/>
        <c:lblOffset val="100"/>
        <c:noMultiLvlLbl val="0"/>
      </c:catAx>
      <c:valAx>
        <c:axId val="1223601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2088064"/>
        <c:crosses val="autoZero"/>
        <c:crossBetween val="between"/>
      </c:valAx>
    </c:plotArea>
    <c:legend>
      <c:legendPos val="r"/>
      <c:layout>
        <c:manualLayout>
          <c:xMode val="edge"/>
          <c:yMode val="edge"/>
          <c:x val="0.842870072275449"/>
          <c:y val="0.0538378145875578"/>
          <c:w val="0.157129927724552"/>
          <c:h val="0.10079661865009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Pt>
            <c:idx val="3"/>
            <c:bubble3D val="0"/>
          </c:dPt>
          <c:dPt>
            <c:idx val="4"/>
            <c:bubble3D val="0"/>
          </c:dPt>
          <c:dLbls>
            <c:delete val="1"/>
          </c:dLbls>
          <c:cat>
            <c:strRef>
              <c:f>Sheet1!$A$2:$A$6</c:f>
              <c:strCache>
                <c:ptCount val="5"/>
                <c:pt idx="0">
                  <c:v>科学技术（类）</c:v>
                </c:pt>
                <c:pt idx="1">
                  <c:v>社会保障和就业（类）</c:v>
                </c:pt>
                <c:pt idx="2">
                  <c:v>卫生健康支出（类）</c:v>
                </c:pt>
                <c:pt idx="3">
                  <c:v>农林水支出（类）</c:v>
                </c:pt>
                <c:pt idx="4">
                  <c:v>住房保障支出（类）</c:v>
                </c:pt>
              </c:strCache>
            </c:strRef>
          </c:cat>
          <c:val>
            <c:numRef>
              <c:f>Sheet1!$B$2:$B$6</c:f>
              <c:numCache>
                <c:formatCode>0.00%</c:formatCode>
                <c:ptCount val="5"/>
                <c:pt idx="0">
                  <c:v>0.0014</c:v>
                </c:pt>
                <c:pt idx="1">
                  <c:v>0.0397</c:v>
                </c:pt>
                <c:pt idx="2">
                  <c:v>0.0153</c:v>
                </c:pt>
                <c:pt idx="3">
                  <c:v>0.896</c:v>
                </c:pt>
                <c:pt idx="4">
                  <c:v>0.0476</c:v>
                </c:pt>
              </c:numCache>
            </c:numRef>
          </c:val>
        </c:ser>
        <c:dLbls>
          <c:showLegendKey val="0"/>
          <c:showVal val="0"/>
          <c:showCatName val="0"/>
          <c:showSerName val="0"/>
          <c:showPercent val="0"/>
          <c:showBubbleSize val="0"/>
          <c:showLeaderLines val="1"/>
        </c:dLbls>
        <c:firstSliceAng val="0"/>
      </c:pieChart>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819080860966"/>
          <c:y val="0.10031746031746"/>
          <c:w val="0.39412449098313"/>
          <c:h val="0.86031746031746"/>
        </c:manualLayout>
      </c:layout>
      <c:pieChart>
        <c:varyColors val="1"/>
        <c:ser>
          <c:idx val="0"/>
          <c:order val="0"/>
          <c:tx>
            <c:strRef>
              <c:f>Sheet1!$B$1</c:f>
              <c:strCache>
                <c:ptCount val="1"/>
                <c:pt idx="0">
                  <c:v>销售额</c:v>
                </c:pt>
              </c:strCache>
            </c:strRef>
          </c:tx>
          <c:explosion val="0"/>
          <c:dPt>
            <c:idx val="0"/>
            <c:bubble3D val="0"/>
          </c:dPt>
          <c:dPt>
            <c:idx val="1"/>
            <c:bubble3D val="0"/>
          </c:dPt>
          <c:dPt>
            <c:idx val="2"/>
            <c:bubble3D val="0"/>
          </c:dPt>
          <c:dLbls>
            <c:delete val="1"/>
          </c:dLbls>
          <c:cat>
            <c:strRef>
              <c:f>Sheet1!$A$2:$A$4</c:f>
              <c:strCache>
                <c:ptCount val="3"/>
                <c:pt idx="0">
                  <c:v>因公出国（境）经费</c:v>
                </c:pt>
                <c:pt idx="1">
                  <c:v>公务用车购置及运行维护费</c:v>
                </c:pt>
                <c:pt idx="2">
                  <c:v>公务接待费</c:v>
                </c:pt>
              </c:strCache>
            </c:strRef>
          </c:cat>
          <c:val>
            <c:numRef>
              <c:f>Sheet1!$B$2:$B$4</c:f>
              <c:numCache>
                <c:formatCode>General</c:formatCode>
                <c:ptCount val="3"/>
                <c:pt idx="0">
                  <c:v>0</c:v>
                </c:pt>
                <c:pt idx="1" c:formatCode="0.00%">
                  <c:v>0.8012</c:v>
                </c:pt>
                <c:pt idx="2" c:formatCode="0.00%">
                  <c:v>0.1988</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textRotate="1"/>
    <customShpInfo spid="_x0000_s3077" textRotate="1"/>
    <customShpInfo spid="_x0000_s3078" textRotate="1"/>
    <customShpInfo spid="_x0000_s307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13585</Words>
  <Characters>14927</Characters>
  <Lines>70</Lines>
  <Paragraphs>19</Paragraphs>
  <TotalTime>9</TotalTime>
  <ScaleCrop>false</ScaleCrop>
  <LinksUpToDate>false</LinksUpToDate>
  <CharactersWithSpaces>15001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2022-09-26T07:58:00Z</dcterms:created>
  <dc:creator>曹颖</dc:creator>
  <cp:lastModifiedBy>℃ārЕ</cp:lastModifiedBy>
  <cp:lastPrinted>2022-09-28T09:59:00Z</cp:lastPrinted>
  <dcterms:modified xsi:type="dcterms:W3CDTF">2023-06-21T01:48:30Z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18C4299B72334D3095585539B3212D20</vt:lpwstr>
  </property>
</Properties>
</file>