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p>
    <w:p>
      <w:pPr>
        <w:spacing w:line="600" w:lineRule="exact"/>
        <w:ind w:left="-17" w:leftChars="-8" w:right="-218" w:rightChars="-104" w:firstLine="17" w:firstLineChars="0"/>
        <w:jc w:val="center"/>
        <w:outlineLvl w:val="9"/>
        <w:rPr>
          <w:rFonts w:ascii="方正小标宋简体" w:hAnsi="宋体" w:eastAsia="方正小标宋简体"/>
          <w:color w:val="000000"/>
          <w:sz w:val="72"/>
          <w:szCs w:val="72"/>
        </w:rPr>
      </w:pPr>
    </w:p>
    <w:p>
      <w:pPr>
        <w:spacing w:line="600" w:lineRule="exact"/>
        <w:ind w:left="-17" w:leftChars="-8" w:right="-218" w:rightChars="-104" w:firstLine="17" w:firstLineChars="0"/>
        <w:jc w:val="center"/>
        <w:outlineLvl w:val="9"/>
        <w:rPr>
          <w:rFonts w:ascii="方正小标宋简体" w:hAnsi="宋体" w:eastAsia="方正小标宋简体"/>
          <w:color w:val="000000"/>
          <w:sz w:val="72"/>
          <w:szCs w:val="72"/>
        </w:rPr>
      </w:pPr>
    </w:p>
    <w:p>
      <w:pPr>
        <w:spacing w:line="600" w:lineRule="exact"/>
        <w:ind w:left="-17" w:leftChars="-8" w:right="-218" w:rightChars="-104" w:firstLine="17" w:firstLineChars="0"/>
        <w:jc w:val="center"/>
        <w:outlineLvl w:val="9"/>
        <w:rPr>
          <w:rFonts w:ascii="方正小标宋简体" w:hAnsi="宋体" w:eastAsia="方正小标宋简体"/>
          <w:color w:val="000000"/>
          <w:sz w:val="72"/>
          <w:szCs w:val="72"/>
        </w:rPr>
      </w:pPr>
    </w:p>
    <w:p>
      <w:pPr>
        <w:adjustRightInd w:val="0"/>
        <w:snapToGrid w:val="0"/>
        <w:spacing w:line="360" w:lineRule="auto"/>
        <w:ind w:left="-17" w:leftChars="-8" w:right="-218" w:rightChars="-104" w:firstLine="17" w:firstLineChars="0"/>
        <w:jc w:val="center"/>
        <w:outlineLvl w:val="0"/>
        <w:rPr>
          <w:rFonts w:ascii="方正小标宋简体" w:hAnsi="宋体" w:eastAsia="方正小标宋简体"/>
          <w:color w:val="000000"/>
          <w:sz w:val="72"/>
          <w:szCs w:val="72"/>
        </w:rPr>
      </w:pPr>
      <w:bookmarkStart w:id="1" w:name="_Toc15396597"/>
      <w:bookmarkStart w:id="2" w:name="_Toc15377425"/>
      <w:bookmarkStart w:id="3" w:name="_Toc15396475"/>
      <w:bookmarkStart w:id="4" w:name="_Toc15378441"/>
      <w:bookmarkStart w:id="5" w:name="_Toc15377193"/>
      <w:bookmarkStart w:id="6" w:name="_Toc3067"/>
      <w:r>
        <w:rPr>
          <w:rFonts w:ascii="黑体" w:hAnsi="黑体" w:eastAsia="黑体"/>
          <w:color w:val="000000"/>
          <w:sz w:val="72"/>
          <w:szCs w:val="72"/>
        </w:rPr>
        <w:t>20</w:t>
      </w:r>
      <w:r>
        <w:rPr>
          <w:rFonts w:hint="eastAsia" w:ascii="黑体" w:hAnsi="黑体" w:eastAsia="黑体"/>
          <w:color w:val="000000"/>
          <w:sz w:val="72"/>
          <w:szCs w:val="72"/>
          <w:lang w:val="en-US" w:eastAsia="zh-CN"/>
        </w:rPr>
        <w:t>21</w:t>
      </w:r>
      <w:r>
        <w:rPr>
          <w:rFonts w:hint="eastAsia" w:ascii="方正小标宋简体" w:hAnsi="宋体" w:eastAsia="方正小标宋简体"/>
          <w:color w:val="000000"/>
          <w:sz w:val="72"/>
          <w:szCs w:val="72"/>
        </w:rPr>
        <w:t>年度</w:t>
      </w:r>
      <w:bookmarkEnd w:id="1"/>
      <w:bookmarkEnd w:id="2"/>
      <w:bookmarkEnd w:id="3"/>
      <w:bookmarkEnd w:id="4"/>
      <w:bookmarkEnd w:id="5"/>
      <w:bookmarkEnd w:id="6"/>
    </w:p>
    <w:bookmarkEnd w:id="0"/>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方正小标宋简体" w:hAnsi="宋体" w:eastAsia="方正小标宋简体"/>
          <w:color w:val="000000"/>
          <w:spacing w:val="-34"/>
          <w:w w:val="100"/>
          <w:sz w:val="72"/>
          <w:szCs w:val="72"/>
          <w:lang w:eastAsia="zh-CN"/>
        </w:rPr>
      </w:pPr>
      <w:bookmarkStart w:id="7" w:name="_Toc20462"/>
      <w:bookmarkStart w:id="8" w:name="_Toc15396598"/>
      <w:bookmarkStart w:id="9" w:name="_Toc15377426"/>
      <w:bookmarkStart w:id="10" w:name="_Toc15396476"/>
      <w:bookmarkStart w:id="11" w:name="_Toc15306268"/>
      <w:bookmarkStart w:id="12" w:name="_Toc15378442"/>
      <w:bookmarkStart w:id="13" w:name="_Toc15377194"/>
      <w:r>
        <w:rPr>
          <w:rFonts w:hint="eastAsia" w:ascii="方正小标宋简体" w:hAnsi="宋体" w:eastAsia="方正小标宋简体"/>
          <w:color w:val="000000"/>
          <w:spacing w:val="-34"/>
          <w:w w:val="100"/>
          <w:sz w:val="72"/>
          <w:szCs w:val="72"/>
          <w:lang w:eastAsia="zh-CN"/>
        </w:rPr>
        <w:t>川北幼儿师范高等专科学校</w:t>
      </w:r>
      <w:bookmarkEnd w:id="7"/>
    </w:p>
    <w:p>
      <w:pPr>
        <w:adjustRightInd w:val="0"/>
        <w:snapToGrid w:val="0"/>
        <w:spacing w:line="360" w:lineRule="auto"/>
        <w:ind w:left="-17" w:leftChars="-8" w:right="-218" w:rightChars="-104" w:firstLine="17" w:firstLineChars="0"/>
        <w:jc w:val="center"/>
        <w:outlineLvl w:val="1"/>
        <w:rPr>
          <w:rFonts w:ascii="方正小标宋简体" w:hAnsi="宋体" w:eastAsia="方正小标宋简体"/>
          <w:color w:val="000000"/>
          <w:sz w:val="72"/>
          <w:szCs w:val="72"/>
        </w:rPr>
      </w:pPr>
      <w:bookmarkStart w:id="14" w:name="_Toc32670"/>
      <w:r>
        <w:rPr>
          <w:rFonts w:hint="eastAsia" w:ascii="方正小标宋简体" w:hAnsi="宋体" w:eastAsia="方正小标宋简体"/>
          <w:color w:val="000000"/>
          <w:sz w:val="72"/>
          <w:szCs w:val="72"/>
        </w:rPr>
        <w:t>部门决算</w:t>
      </w:r>
      <w:bookmarkEnd w:id="8"/>
      <w:bookmarkEnd w:id="9"/>
      <w:bookmarkEnd w:id="10"/>
      <w:bookmarkEnd w:id="11"/>
      <w:bookmarkEnd w:id="12"/>
      <w:bookmarkEnd w:id="13"/>
      <w:bookmarkEnd w:id="14"/>
    </w:p>
    <w:p>
      <w:pPr>
        <w:adjustRightInd w:val="0"/>
        <w:snapToGrid w:val="0"/>
        <w:spacing w:line="360" w:lineRule="auto"/>
        <w:ind w:left="-17" w:leftChars="-8" w:right="0" w:rightChars="0" w:firstLine="17" w:firstLineChars="0"/>
        <w:jc w:val="center"/>
        <w:outlineLvl w:val="9"/>
        <w:rPr>
          <w:rFonts w:ascii="方正小标宋简体" w:hAnsi="宋体" w:eastAsia="方正小标宋简体"/>
          <w:color w:val="000000"/>
          <w:sz w:val="52"/>
          <w:szCs w:val="52"/>
        </w:rPr>
      </w:pPr>
    </w:p>
    <w:p>
      <w:pPr>
        <w:pStyle w:val="18"/>
        <w:rPr>
          <w:rFonts w:ascii="方正小标宋简体" w:hAnsi="宋体" w:eastAsia="方正小标宋简体"/>
          <w:color w:val="000000"/>
          <w:sz w:val="52"/>
          <w:szCs w:val="52"/>
        </w:rPr>
      </w:pPr>
    </w:p>
    <w:p>
      <w:pPr>
        <w:pStyle w:val="18"/>
        <w:rPr>
          <w:rFonts w:ascii="方正小标宋简体" w:hAnsi="宋体" w:eastAsia="方正小标宋简体"/>
          <w:color w:val="000000"/>
          <w:sz w:val="52"/>
          <w:szCs w:val="52"/>
        </w:rPr>
      </w:pPr>
    </w:p>
    <w:p>
      <w:pPr>
        <w:ind w:firstLine="3840" w:firstLineChars="800"/>
        <w:jc w:val="left"/>
        <w:rPr>
          <w:rFonts w:hint="eastAsia" w:ascii="黑体" w:hAnsi="黑体" w:eastAsia="黑体"/>
          <w:color w:val="000000"/>
          <w:sz w:val="48"/>
          <w:szCs w:val="48"/>
        </w:rPr>
        <w:sectPr>
          <w:headerReference r:id="rId4" w:type="first"/>
          <w:footerReference r:id="rId6" w:type="first"/>
          <w:headerReference r:id="rId3" w:type="default"/>
          <w:footerReference r:id="rId5" w:type="default"/>
          <w:pgSz w:w="11906" w:h="16838"/>
          <w:pgMar w:top="1440" w:right="2126"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bookmarkStart w:id="15" w:name="_Toc15377196"/>
      <w:bookmarkStart w:id="16" w:name="_Toc15396599"/>
    </w:p>
    <w:p>
      <w:pPr>
        <w:ind w:firstLine="3840" w:firstLineChars="800"/>
        <w:jc w:val="left"/>
        <w:rPr>
          <w:rFonts w:ascii="黑体" w:hAnsi="黑体" w:eastAsia="黑体"/>
          <w:color w:val="000000"/>
          <w:sz w:val="48"/>
          <w:szCs w:val="48"/>
        </w:rPr>
      </w:pPr>
      <w:r>
        <w:rPr>
          <w:rFonts w:hint="eastAsia" w:ascii="黑体" w:hAnsi="黑体" w:eastAsia="黑体"/>
          <w:color w:val="000000"/>
          <w:sz w:val="48"/>
          <w:szCs w:val="48"/>
        </w:rPr>
        <w:t>目录</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1"/>
        <w:keepNext w:val="0"/>
        <w:keepLines w:val="0"/>
        <w:pageBreakBefore w:val="0"/>
        <w:kinsoku/>
        <w:wordWrap/>
        <w:overflowPunct/>
        <w:topLinePunct w:val="0"/>
        <w:autoSpaceDE/>
        <w:autoSpaceDN/>
        <w:bidi w:val="0"/>
        <w:adjustRightInd/>
        <w:snapToGrid/>
        <w:spacing w:line="560" w:lineRule="exact"/>
        <w:textAlignment w:val="auto"/>
      </w:pPr>
      <w:r>
        <w:rPr>
          <w:rFonts w:hint="eastAsia"/>
        </w:rPr>
        <w:t>公开时间：20</w:t>
      </w:r>
      <w:r>
        <w:rPr>
          <w:rFonts w:hint="eastAsia"/>
          <w:lang w:val="en-US" w:eastAsia="zh-CN"/>
        </w:rPr>
        <w:t>22</w:t>
      </w:r>
      <w:r>
        <w:rPr>
          <w:rFonts w:hint="eastAsia"/>
        </w:rPr>
        <w:t>年9月</w:t>
      </w:r>
      <w:r>
        <w:rPr>
          <w:rFonts w:hint="eastAsia"/>
          <w:lang w:val="en-US" w:eastAsia="zh-CN"/>
        </w:rPr>
        <w:t>27</w:t>
      </w:r>
      <w:r>
        <w:rPr>
          <w:rFonts w:hint="eastAsia"/>
        </w:rPr>
        <w:t>日</w:t>
      </w:r>
    </w:p>
    <w:p>
      <w:pPr>
        <w:keepNext w:val="0"/>
        <w:keepLines w:val="0"/>
        <w:pageBreakBefore w:val="0"/>
        <w:kinsoku/>
        <w:wordWrap/>
        <w:overflowPunct/>
        <w:topLinePunct w:val="0"/>
        <w:autoSpaceDE/>
        <w:autoSpaceDN/>
        <w:bidi w:val="0"/>
        <w:adjustRightInd/>
        <w:snapToGrid/>
        <w:spacing w:line="560" w:lineRule="exact"/>
        <w:textAlignment w:val="auto"/>
      </w:pPr>
    </w:p>
    <w:p>
      <w:pPr>
        <w:pStyle w:val="11"/>
        <w:keepNext w:val="0"/>
        <w:keepLines w:val="0"/>
        <w:pageBreakBefore w:val="0"/>
        <w:kinsoku/>
        <w:wordWrap/>
        <w:overflowPunct/>
        <w:topLinePunct w:val="0"/>
        <w:autoSpaceDE/>
        <w:autoSpaceDN/>
        <w:bidi w:val="0"/>
        <w:adjustRightInd/>
        <w:snapToGrid/>
        <w:spacing w:line="560" w:lineRule="exact"/>
        <w:textAlignment w:val="auto"/>
      </w:pPr>
      <w:r>
        <w:rPr>
          <w:rFonts w:hint="eastAsia"/>
        </w:rPr>
        <w:fldChar w:fldCharType="begin"/>
      </w:r>
      <w:r>
        <w:instrText xml:space="preserve"> HYPERLINK \l "_Toc15396599" </w:instrText>
      </w:r>
      <w:r>
        <w:rPr>
          <w:rFonts w:hint="eastAsia"/>
        </w:rPr>
        <w:fldChar w:fldCharType="separate"/>
      </w:r>
      <w:r>
        <w:rPr>
          <w:rStyle w:val="17"/>
          <w:rFonts w:hint="eastAsia"/>
        </w:rPr>
        <w:t>第一部分部门概况</w:t>
      </w:r>
      <w:r>
        <w:tab/>
      </w:r>
      <w:r>
        <w:rPr>
          <w:rFonts w:hint="eastAsia"/>
          <w:lang w:val="en-US" w:eastAsia="zh-CN"/>
        </w:rPr>
        <w:t>1</w:t>
      </w:r>
      <w:r>
        <w:rPr>
          <w:rFonts w:hint="eastAsia"/>
        </w:rP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rPr>
        <w:fldChar w:fldCharType="begin"/>
      </w:r>
      <w:r>
        <w:instrText xml:space="preserve"> HYPERLINK \l "_Toc15396600" </w:instrText>
      </w:r>
      <w:r>
        <w:rPr>
          <w:rFonts w:hint="eastAsia"/>
        </w:rPr>
        <w:fldChar w:fldCharType="separate"/>
      </w:r>
      <w:r>
        <w:rPr>
          <w:rStyle w:val="17"/>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rPr>
      </w:pPr>
      <w:r>
        <w:fldChar w:fldCharType="begin"/>
      </w:r>
      <w:r>
        <w:instrText xml:space="preserve"> HYPERLINK \l "_Toc15396601" </w:instrText>
      </w:r>
      <w:r>
        <w:fldChar w:fldCharType="separate"/>
      </w:r>
      <w:r>
        <w:rPr>
          <w:rStyle w:val="17"/>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p>
    <w:p>
      <w:pPr>
        <w:pStyle w:val="11"/>
        <w:keepNext w:val="0"/>
        <w:keepLines w:val="0"/>
        <w:pageBreakBefore w:val="0"/>
        <w:kinsoku/>
        <w:wordWrap/>
        <w:overflowPunct/>
        <w:topLinePunct w:val="0"/>
        <w:autoSpaceDE/>
        <w:autoSpaceDN/>
        <w:bidi w:val="0"/>
        <w:adjustRightInd/>
        <w:snapToGrid/>
        <w:spacing w:line="560" w:lineRule="exact"/>
        <w:textAlignment w:val="auto"/>
      </w:pPr>
      <w:r>
        <w:fldChar w:fldCharType="begin"/>
      </w:r>
      <w:r>
        <w:instrText xml:space="preserve"> HYPERLINK \l "_Toc15396602" </w:instrText>
      </w:r>
      <w:r>
        <w:fldChar w:fldCharType="separate"/>
      </w:r>
      <w:r>
        <w:rPr>
          <w:rStyle w:val="17"/>
          <w:rFonts w:hint="eastAsia"/>
        </w:rPr>
        <w:t>第二部分</w:t>
      </w:r>
      <w:r>
        <w:rPr>
          <w:rStyle w:val="17"/>
        </w:rPr>
        <w:t xml:space="preserve"> 2</w:t>
      </w:r>
      <w:r>
        <w:rPr>
          <w:rStyle w:val="17"/>
          <w:rFonts w:hint="eastAsia"/>
          <w:lang w:val="en-US" w:eastAsia="zh-CN"/>
        </w:rPr>
        <w:t>021</w:t>
      </w:r>
      <w:r>
        <w:rPr>
          <w:rStyle w:val="17"/>
          <w:rFonts w:hint="eastAsia"/>
        </w:rPr>
        <w:t>年度部门决算情况说明</w:t>
      </w:r>
      <w:r>
        <w:tab/>
      </w:r>
      <w:r>
        <w:fldChar w:fldCharType="begin"/>
      </w:r>
      <w:r>
        <w:instrText xml:space="preserve"> PAGEREF _Toc15396602 \h </w:instrText>
      </w:r>
      <w:r>
        <w:fldChar w:fldCharType="separate"/>
      </w:r>
      <w:r>
        <w:t>3</w:t>
      </w:r>
      <w:r>
        <w:fldChar w:fldCharType="end"/>
      </w:r>
      <w: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rPr>
      </w:pPr>
      <w:r>
        <w:fldChar w:fldCharType="begin"/>
      </w:r>
      <w:r>
        <w:instrText xml:space="preserve"> HYPERLINK \l "_Toc15396603" </w:instrText>
      </w:r>
      <w:r>
        <w:fldChar w:fldCharType="separate"/>
      </w:r>
      <w:r>
        <w:rPr>
          <w:rStyle w:val="17"/>
          <w:rFonts w:hint="eastAsia" w:ascii="仿宋" w:hAnsi="仿宋" w:eastAsia="仿宋"/>
          <w:bCs/>
          <w:sz w:val="28"/>
          <w:szCs w:val="28"/>
        </w:rPr>
        <w:t>一、</w:t>
      </w:r>
      <w:r>
        <w:rPr>
          <w:rStyle w:val="17"/>
          <w:rFonts w:hint="eastAsia" w:ascii="仿宋" w:hAnsi="仿宋" w:eastAsia="仿宋"/>
          <w:sz w:val="28"/>
          <w:szCs w:val="28"/>
        </w:rPr>
        <w:t>收</w:t>
      </w:r>
      <w:r>
        <w:rPr>
          <w:rStyle w:val="17"/>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rPr>
      </w:pPr>
      <w:r>
        <w:fldChar w:fldCharType="begin"/>
      </w:r>
      <w:r>
        <w:instrText xml:space="preserve"> HYPERLINK \l "_Toc15396604" </w:instrText>
      </w:r>
      <w:r>
        <w:fldChar w:fldCharType="separate"/>
      </w:r>
      <w:r>
        <w:rPr>
          <w:rStyle w:val="17"/>
          <w:rFonts w:hint="eastAsia" w:ascii="仿宋" w:hAnsi="仿宋" w:eastAsia="仿宋"/>
          <w:bCs/>
          <w:sz w:val="28"/>
          <w:szCs w:val="28"/>
        </w:rPr>
        <w:t>二、</w:t>
      </w:r>
      <w:r>
        <w:rPr>
          <w:rStyle w:val="17"/>
          <w:rFonts w:hint="eastAsia" w:ascii="仿宋" w:hAnsi="仿宋" w:eastAsia="仿宋"/>
          <w:sz w:val="28"/>
          <w:szCs w:val="28"/>
        </w:rPr>
        <w:t>收</w:t>
      </w:r>
      <w:r>
        <w:rPr>
          <w:rStyle w:val="17"/>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rPr>
      </w:pPr>
      <w:r>
        <w:fldChar w:fldCharType="begin"/>
      </w:r>
      <w:r>
        <w:instrText xml:space="preserve"> HYPERLINK \l "_Toc15396605" </w:instrText>
      </w:r>
      <w:r>
        <w:fldChar w:fldCharType="separate"/>
      </w:r>
      <w:r>
        <w:rPr>
          <w:rStyle w:val="17"/>
          <w:rFonts w:hint="eastAsia" w:ascii="仿宋" w:hAnsi="仿宋" w:eastAsia="仿宋"/>
          <w:bCs/>
          <w:sz w:val="28"/>
          <w:szCs w:val="28"/>
        </w:rPr>
        <w:t>三、</w:t>
      </w:r>
      <w:r>
        <w:rPr>
          <w:rStyle w:val="17"/>
          <w:rFonts w:hint="eastAsia" w:ascii="仿宋" w:hAnsi="仿宋" w:eastAsia="仿宋"/>
          <w:sz w:val="28"/>
          <w:szCs w:val="28"/>
        </w:rPr>
        <w:t>支</w:t>
      </w:r>
      <w:r>
        <w:rPr>
          <w:rStyle w:val="17"/>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rPr>
      </w:pPr>
      <w:r>
        <w:fldChar w:fldCharType="begin"/>
      </w:r>
      <w:r>
        <w:instrText xml:space="preserve"> HYPERLINK \l "_Toc15396606" </w:instrText>
      </w:r>
      <w:r>
        <w:fldChar w:fldCharType="separate"/>
      </w:r>
      <w:r>
        <w:rPr>
          <w:rStyle w:val="17"/>
          <w:rFonts w:hint="eastAsia" w:ascii="仿宋" w:hAnsi="仿宋" w:eastAsia="仿宋"/>
          <w:sz w:val="28"/>
          <w:szCs w:val="28"/>
        </w:rPr>
        <w:t>四、财</w:t>
      </w:r>
      <w:r>
        <w:rPr>
          <w:rStyle w:val="17"/>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rPr>
      </w:pPr>
      <w:r>
        <w:fldChar w:fldCharType="begin"/>
      </w:r>
      <w:r>
        <w:instrText xml:space="preserve"> HYPERLINK \l "_Toc15396607" </w:instrText>
      </w:r>
      <w:r>
        <w:fldChar w:fldCharType="separate"/>
      </w:r>
      <w:r>
        <w:rPr>
          <w:rStyle w:val="17"/>
          <w:rFonts w:hint="eastAsia" w:ascii="仿宋" w:hAnsi="仿宋" w:eastAsia="仿宋"/>
          <w:sz w:val="28"/>
          <w:szCs w:val="28"/>
        </w:rPr>
        <w:t>五、一</w:t>
      </w:r>
      <w:r>
        <w:rPr>
          <w:rStyle w:val="17"/>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rPr>
      </w:pPr>
      <w:r>
        <w:fldChar w:fldCharType="begin"/>
      </w:r>
      <w:r>
        <w:instrText xml:space="preserve"> HYPERLINK \l "_Toc15396608" </w:instrText>
      </w:r>
      <w:r>
        <w:fldChar w:fldCharType="separate"/>
      </w:r>
      <w:r>
        <w:rPr>
          <w:rStyle w:val="17"/>
          <w:rFonts w:hint="eastAsia" w:ascii="仿宋" w:hAnsi="仿宋" w:eastAsia="仿宋"/>
          <w:sz w:val="28"/>
          <w:szCs w:val="28"/>
        </w:rPr>
        <w:t>六、一</w:t>
      </w:r>
      <w:r>
        <w:rPr>
          <w:rStyle w:val="17"/>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rPr>
      </w:pPr>
      <w:r>
        <w:fldChar w:fldCharType="begin"/>
      </w:r>
      <w:r>
        <w:instrText xml:space="preserve"> HYPERLINK \l "_Toc15396609" </w:instrText>
      </w:r>
      <w:r>
        <w:fldChar w:fldCharType="separate"/>
      </w:r>
      <w:r>
        <w:rPr>
          <w:rStyle w:val="17"/>
          <w:rFonts w:hint="eastAsia" w:ascii="仿宋" w:hAnsi="仿宋" w:eastAsia="仿宋"/>
          <w:sz w:val="28"/>
          <w:szCs w:val="28"/>
        </w:rPr>
        <w:t>七、</w:t>
      </w:r>
      <w:r>
        <w:rPr>
          <w:rStyle w:val="17"/>
          <w:rFonts w:ascii="仿宋" w:hAnsi="仿宋" w:eastAsia="仿宋"/>
          <w:sz w:val="28"/>
          <w:szCs w:val="28"/>
        </w:rPr>
        <w:t>“</w:t>
      </w:r>
      <w:r>
        <w:rPr>
          <w:rStyle w:val="17"/>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rPr>
      </w:pPr>
      <w:r>
        <w:fldChar w:fldCharType="begin"/>
      </w:r>
      <w:r>
        <w:instrText xml:space="preserve"> HYPERLINK \l "_Toc15396610" </w:instrText>
      </w:r>
      <w:r>
        <w:fldChar w:fldCharType="separate"/>
      </w:r>
      <w:r>
        <w:rPr>
          <w:rStyle w:val="17"/>
          <w:rFonts w:hint="eastAsia" w:ascii="仿宋" w:hAnsi="仿宋" w:eastAsia="仿宋"/>
          <w:sz w:val="28"/>
          <w:szCs w:val="28"/>
        </w:rPr>
        <w:t>八、</w:t>
      </w:r>
      <w:r>
        <w:rPr>
          <w:rStyle w:val="17"/>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rPr>
      </w:pPr>
      <w:r>
        <w:fldChar w:fldCharType="begin"/>
      </w:r>
      <w:r>
        <w:instrText xml:space="preserve"> HYPERLINK \l "_Toc15396611" </w:instrText>
      </w:r>
      <w:r>
        <w:fldChar w:fldCharType="separate"/>
      </w:r>
      <w:r>
        <w:rPr>
          <w:rStyle w:val="17"/>
          <w:rFonts w:hint="eastAsia" w:ascii="仿宋" w:hAnsi="仿宋" w:eastAsia="仿宋"/>
          <w:bCs/>
          <w:sz w:val="28"/>
          <w:szCs w:val="28"/>
        </w:rPr>
        <w:t>九、</w:t>
      </w:r>
      <w:r>
        <w:rPr>
          <w:rStyle w:val="17"/>
          <w:rFonts w:hint="eastAsia" w:ascii="仿宋" w:hAnsi="仿宋" w:eastAsia="仿宋"/>
          <w:sz w:val="28"/>
          <w:szCs w:val="28"/>
        </w:rPr>
        <w:t xml:space="preserve"> 国</w:t>
      </w:r>
      <w:r>
        <w:rPr>
          <w:rStyle w:val="17"/>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Style w:val="17"/>
          <w:rFonts w:hint="eastAsia" w:ascii="仿宋" w:hAnsi="仿宋" w:eastAsia="仿宋"/>
          <w:bCs/>
          <w:sz w:val="28"/>
          <w:szCs w:val="28"/>
        </w:rPr>
      </w:pPr>
      <w:r>
        <w:rPr>
          <w:rStyle w:val="17"/>
          <w:rFonts w:hint="eastAsia" w:ascii="仿宋" w:hAnsi="仿宋" w:eastAsia="仿宋"/>
          <w:bCs/>
          <w:sz w:val="28"/>
          <w:szCs w:val="28"/>
        </w:rPr>
        <w:fldChar w:fldCharType="begin"/>
      </w:r>
      <w:r>
        <w:rPr>
          <w:rStyle w:val="17"/>
          <w:rFonts w:hint="eastAsia" w:ascii="仿宋" w:hAnsi="仿宋" w:eastAsia="仿宋"/>
          <w:bCs/>
          <w:sz w:val="28"/>
          <w:szCs w:val="28"/>
        </w:rPr>
        <w:instrText xml:space="preserve"> HYPERLINK \l "_Toc15396611" </w:instrText>
      </w:r>
      <w:r>
        <w:rPr>
          <w:rStyle w:val="17"/>
          <w:rFonts w:hint="eastAsia" w:ascii="仿宋" w:hAnsi="仿宋" w:eastAsia="仿宋"/>
          <w:bCs/>
          <w:sz w:val="28"/>
          <w:szCs w:val="28"/>
        </w:rPr>
        <w:fldChar w:fldCharType="separate"/>
      </w:r>
      <w:r>
        <w:rPr>
          <w:rStyle w:val="17"/>
          <w:rFonts w:hint="eastAsia" w:ascii="仿宋" w:hAnsi="仿宋" w:eastAsia="仿宋"/>
          <w:bCs/>
          <w:sz w:val="28"/>
          <w:szCs w:val="28"/>
          <w:lang w:eastAsia="zh-CN"/>
        </w:rPr>
        <w:t>十</w:t>
      </w:r>
      <w:r>
        <w:rPr>
          <w:rStyle w:val="17"/>
          <w:rFonts w:hint="eastAsia" w:ascii="仿宋" w:hAnsi="仿宋" w:eastAsia="仿宋"/>
          <w:bCs/>
          <w:sz w:val="28"/>
          <w:szCs w:val="28"/>
        </w:rPr>
        <w:t xml:space="preserve">、 </w:t>
      </w:r>
      <w:r>
        <w:rPr>
          <w:rStyle w:val="17"/>
          <w:rFonts w:hint="eastAsia" w:ascii="仿宋" w:hAnsi="仿宋" w:eastAsia="仿宋"/>
          <w:bCs/>
          <w:sz w:val="28"/>
          <w:szCs w:val="28"/>
          <w:lang w:val="en-US" w:eastAsia="zh-CN"/>
        </w:rPr>
        <w:t>预算绩效管理情况</w:t>
      </w:r>
      <w:r>
        <w:rPr>
          <w:rStyle w:val="17"/>
          <w:rFonts w:hint="eastAsia" w:ascii="仿宋" w:hAnsi="仿宋" w:eastAsia="仿宋"/>
          <w:bCs/>
          <w:sz w:val="28"/>
          <w:szCs w:val="28"/>
        </w:rPr>
        <w:tab/>
      </w:r>
      <w:r>
        <w:rPr>
          <w:rStyle w:val="17"/>
          <w:rFonts w:hint="eastAsia" w:ascii="仿宋" w:hAnsi="仿宋" w:eastAsia="仿宋"/>
          <w:bCs/>
          <w:sz w:val="28"/>
          <w:szCs w:val="28"/>
        </w:rPr>
        <w:fldChar w:fldCharType="begin"/>
      </w:r>
      <w:r>
        <w:rPr>
          <w:rStyle w:val="17"/>
          <w:rFonts w:hint="eastAsia" w:ascii="仿宋" w:hAnsi="仿宋" w:eastAsia="仿宋"/>
          <w:bCs/>
          <w:sz w:val="28"/>
          <w:szCs w:val="28"/>
        </w:rPr>
        <w:instrText xml:space="preserve"> PAGEREF _Toc15396611 \h </w:instrText>
      </w:r>
      <w:r>
        <w:rPr>
          <w:rStyle w:val="17"/>
          <w:rFonts w:hint="eastAsia" w:ascii="仿宋" w:hAnsi="仿宋" w:eastAsia="仿宋"/>
          <w:bCs/>
          <w:sz w:val="28"/>
          <w:szCs w:val="28"/>
        </w:rPr>
        <w:fldChar w:fldCharType="separate"/>
      </w:r>
      <w:r>
        <w:rPr>
          <w:rStyle w:val="17"/>
          <w:rFonts w:hint="eastAsia" w:ascii="仿宋" w:hAnsi="仿宋" w:eastAsia="仿宋"/>
          <w:bCs/>
          <w:sz w:val="28"/>
          <w:szCs w:val="28"/>
        </w:rPr>
        <w:t>9</w:t>
      </w:r>
      <w:r>
        <w:rPr>
          <w:rStyle w:val="17"/>
          <w:rFonts w:hint="eastAsia" w:ascii="仿宋" w:hAnsi="仿宋" w:eastAsia="仿宋"/>
          <w:bCs/>
          <w:sz w:val="28"/>
          <w:szCs w:val="28"/>
        </w:rPr>
        <w:fldChar w:fldCharType="end"/>
      </w:r>
      <w:r>
        <w:rPr>
          <w:rStyle w:val="17"/>
          <w:rFonts w:hint="eastAsia" w:ascii="仿宋" w:hAnsi="仿宋" w:eastAsia="仿宋"/>
          <w:bCs/>
          <w:sz w:val="28"/>
          <w:szCs w:val="28"/>
        </w:rPr>
        <w:fldChar w:fldCharType="end"/>
      </w:r>
    </w:p>
    <w:p>
      <w:pPr>
        <w:pStyle w:val="12"/>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sz w:val="28"/>
          <w:szCs w:val="28"/>
          <w:lang w:val="en-US" w:eastAsia="zh-CN"/>
        </w:rPr>
      </w:pPr>
      <w:r>
        <w:rPr>
          <w:rStyle w:val="17"/>
          <w:rFonts w:hint="eastAsia" w:ascii="仿宋" w:hAnsi="仿宋" w:eastAsia="仿宋"/>
          <w:bCs/>
          <w:sz w:val="28"/>
          <w:szCs w:val="28"/>
        </w:rPr>
        <w:fldChar w:fldCharType="begin"/>
      </w:r>
      <w:r>
        <w:rPr>
          <w:rStyle w:val="17"/>
          <w:rFonts w:hint="eastAsia" w:ascii="仿宋" w:hAnsi="仿宋" w:eastAsia="仿宋"/>
          <w:bCs/>
          <w:sz w:val="28"/>
          <w:szCs w:val="28"/>
        </w:rPr>
        <w:instrText xml:space="preserve"> HYPERLINK \l "_Toc15396612" </w:instrText>
      </w:r>
      <w:r>
        <w:rPr>
          <w:rStyle w:val="17"/>
          <w:rFonts w:hint="eastAsia" w:ascii="仿宋" w:hAnsi="仿宋" w:eastAsia="仿宋"/>
          <w:bCs/>
          <w:sz w:val="28"/>
          <w:szCs w:val="28"/>
        </w:rPr>
        <w:fldChar w:fldCharType="separate"/>
      </w:r>
      <w:r>
        <w:rPr>
          <w:rStyle w:val="17"/>
          <w:rFonts w:hint="eastAsia" w:ascii="仿宋" w:hAnsi="仿宋" w:eastAsia="仿宋"/>
          <w:bCs/>
          <w:sz w:val="28"/>
          <w:szCs w:val="28"/>
          <w:lang w:eastAsia="zh-CN"/>
        </w:rPr>
        <w:t>十一</w:t>
      </w:r>
      <w:r>
        <w:rPr>
          <w:rStyle w:val="17"/>
          <w:rFonts w:hint="eastAsia" w:ascii="仿宋" w:hAnsi="仿宋" w:eastAsia="仿宋"/>
          <w:bCs/>
          <w:sz w:val="28"/>
          <w:szCs w:val="28"/>
        </w:rPr>
        <w:t>、其他重要事项的情况说明</w:t>
      </w:r>
      <w:r>
        <w:rPr>
          <w:rStyle w:val="17"/>
          <w:rFonts w:hint="eastAsia" w:ascii="仿宋" w:hAnsi="仿宋" w:eastAsia="仿宋"/>
          <w:bCs/>
          <w:sz w:val="28"/>
          <w:szCs w:val="28"/>
        </w:rPr>
        <w:tab/>
      </w:r>
      <w:r>
        <w:rPr>
          <w:rStyle w:val="17"/>
          <w:rFonts w:hint="eastAsia" w:ascii="仿宋" w:hAnsi="仿宋" w:eastAsia="仿宋"/>
          <w:bCs/>
          <w:sz w:val="28"/>
          <w:szCs w:val="28"/>
          <w:lang w:val="en-US" w:eastAsia="zh-CN"/>
        </w:rPr>
        <w:t>1</w:t>
      </w:r>
      <w:r>
        <w:rPr>
          <w:rStyle w:val="17"/>
          <w:rFonts w:hint="eastAsia" w:ascii="仿宋" w:hAnsi="仿宋" w:eastAsia="仿宋"/>
          <w:bCs/>
          <w:sz w:val="28"/>
          <w:szCs w:val="28"/>
        </w:rPr>
        <w:fldChar w:fldCharType="end"/>
      </w:r>
      <w:r>
        <w:rPr>
          <w:rStyle w:val="17"/>
          <w:rFonts w:hint="eastAsia" w:ascii="仿宋" w:hAnsi="仿宋" w:eastAsia="仿宋"/>
          <w:bCs/>
          <w:sz w:val="28"/>
          <w:szCs w:val="28"/>
          <w:lang w:val="en-US" w:eastAsia="zh-CN"/>
        </w:rPr>
        <w:t>0</w:t>
      </w:r>
    </w:p>
    <w:p>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eastAsia="仿宋"/>
          <w:lang w:val="en-US" w:eastAsia="zh-CN"/>
        </w:rPr>
      </w:pPr>
      <w:r>
        <w:fldChar w:fldCharType="begin"/>
      </w:r>
      <w:r>
        <w:instrText xml:space="preserve"> HYPERLINK \l "_Toc15396613" </w:instrText>
      </w:r>
      <w:r>
        <w:fldChar w:fldCharType="separate"/>
      </w:r>
      <w:r>
        <w:rPr>
          <w:rStyle w:val="17"/>
          <w:rFonts w:hint="eastAsia"/>
          <w:bCs/>
          <w:kern w:val="44"/>
        </w:rPr>
        <w:t>第三部分</w:t>
      </w:r>
      <w:r>
        <w:rPr>
          <w:rStyle w:val="17"/>
          <w:rFonts w:hint="eastAsia"/>
        </w:rPr>
        <w:t xml:space="preserve"> 名</w:t>
      </w:r>
      <w:r>
        <w:rPr>
          <w:rStyle w:val="17"/>
          <w:rFonts w:hint="eastAsia"/>
          <w:bCs/>
          <w:kern w:val="44"/>
        </w:rPr>
        <w:t>词解释</w:t>
      </w:r>
      <w:r>
        <w:tab/>
      </w:r>
      <w:r>
        <w:rPr>
          <w:rFonts w:hint="eastAsia"/>
          <w:lang w:val="en-US" w:eastAsia="zh-CN"/>
        </w:rPr>
        <w:t>1</w:t>
      </w:r>
      <w:r>
        <w:fldChar w:fldCharType="end"/>
      </w:r>
      <w:r>
        <w:rPr>
          <w:rFonts w:hint="eastAsia"/>
          <w:lang w:val="en-US" w:eastAsia="zh-CN"/>
        </w:rPr>
        <w:t>1</w:t>
      </w:r>
    </w:p>
    <w:p>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sz w:val="28"/>
          <w:szCs w:val="28"/>
          <w:lang w:val="en-US" w:eastAsia="zh-CN"/>
        </w:rPr>
      </w:pPr>
      <w:r>
        <w:fldChar w:fldCharType="begin"/>
      </w:r>
      <w:r>
        <w:instrText xml:space="preserve"> HYPERLINK \l "_Toc15396614" </w:instrText>
      </w:r>
      <w:r>
        <w:fldChar w:fldCharType="separate"/>
      </w:r>
      <w:r>
        <w:rPr>
          <w:rStyle w:val="17"/>
          <w:rFonts w:hint="eastAsia"/>
        </w:rPr>
        <w:t>第</w:t>
      </w:r>
      <w:r>
        <w:rPr>
          <w:rStyle w:val="17"/>
          <w:rFonts w:hint="eastAsia"/>
          <w:bCs/>
          <w:kern w:val="44"/>
        </w:rPr>
        <w:t>四部分附件</w:t>
      </w:r>
      <w:r>
        <w:tab/>
      </w:r>
      <w:r>
        <w:rPr>
          <w:rFonts w:hint="eastAsia"/>
          <w:lang w:val="en-US" w:eastAsia="zh-CN"/>
        </w:rPr>
        <w:t>1</w:t>
      </w:r>
      <w:r>
        <w:fldChar w:fldCharType="end"/>
      </w:r>
      <w:r>
        <w:rPr>
          <w:rFonts w:hint="eastAsia"/>
          <w:lang w:val="en-US" w:eastAsia="zh-CN"/>
        </w:rPr>
        <w:t>4</w:t>
      </w:r>
    </w:p>
    <w:p>
      <w:pPr>
        <w:pStyle w:val="12"/>
        <w:keepNext w:val="0"/>
        <w:keepLines w:val="0"/>
        <w:pageBreakBefore w:val="0"/>
        <w:kinsoku/>
        <w:wordWrap/>
        <w:overflowPunct/>
        <w:topLinePunct w:val="0"/>
        <w:autoSpaceDE/>
        <w:autoSpaceDN/>
        <w:bidi w:val="0"/>
        <w:adjustRightInd/>
        <w:snapToGrid/>
        <w:spacing w:line="560" w:lineRule="exact"/>
        <w:ind w:left="420" w:leftChars="0" w:hanging="420" w:hangingChars="150"/>
        <w:textAlignment w:val="auto"/>
        <w:rPr>
          <w:rStyle w:val="17"/>
          <w:rFonts w:hint="default" w:ascii="Times New Roman" w:hAnsi="Times New Roman" w:eastAsia="宋体" w:cs="Times New Roman"/>
          <w:bCs/>
          <w:kern w:val="44"/>
          <w:sz w:val="28"/>
          <w:szCs w:val="28"/>
          <w:lang w:val="en-US" w:eastAsia="zh-CN" w:bidi="ar-SA"/>
        </w:rPr>
      </w:pPr>
      <w:r>
        <w:rPr>
          <w:rStyle w:val="17"/>
          <w:rFonts w:hint="eastAsia" w:ascii="仿宋" w:hAnsi="仿宋" w:eastAsia="仿宋" w:cs="仿宋"/>
          <w:bCs/>
          <w:kern w:val="44"/>
          <w:sz w:val="28"/>
          <w:szCs w:val="28"/>
          <w:lang w:val="en-US" w:eastAsia="zh-CN" w:bidi="ar-SA"/>
        </w:rPr>
        <w:fldChar w:fldCharType="begin"/>
      </w:r>
      <w:r>
        <w:rPr>
          <w:rStyle w:val="17"/>
          <w:rFonts w:hint="eastAsia" w:ascii="仿宋" w:hAnsi="仿宋" w:eastAsia="仿宋" w:cs="仿宋"/>
          <w:bCs/>
          <w:kern w:val="44"/>
          <w:sz w:val="28"/>
          <w:szCs w:val="28"/>
          <w:lang w:val="en-US" w:eastAsia="zh-CN" w:bidi="ar-SA"/>
        </w:rPr>
        <w:instrText xml:space="preserve"> HYPERLINK \l "_Toc15396618" </w:instrText>
      </w:r>
      <w:r>
        <w:rPr>
          <w:rStyle w:val="17"/>
          <w:rFonts w:hint="eastAsia" w:ascii="仿宋" w:hAnsi="仿宋" w:eastAsia="仿宋" w:cs="仿宋"/>
          <w:bCs/>
          <w:kern w:val="44"/>
          <w:sz w:val="28"/>
          <w:szCs w:val="28"/>
          <w:lang w:val="en-US" w:eastAsia="zh-CN" w:bidi="ar-SA"/>
        </w:rPr>
        <w:fldChar w:fldCharType="separate"/>
      </w:r>
      <w:r>
        <w:rPr>
          <w:rStyle w:val="17"/>
          <w:rFonts w:hint="eastAsia" w:ascii="仿宋" w:hAnsi="仿宋" w:eastAsia="仿宋" w:cs="仿宋"/>
          <w:kern w:val="2"/>
          <w:sz w:val="28"/>
          <w:szCs w:val="28"/>
          <w:lang w:val="en-US" w:eastAsia="zh-CN" w:bidi="ar-SA"/>
        </w:rPr>
        <w:t>第五部分附表</w:t>
      </w:r>
      <w:r>
        <w:rPr>
          <w:rStyle w:val="17"/>
          <w:rFonts w:hint="eastAsia" w:ascii="仿宋" w:hAnsi="仿宋" w:eastAsia="仿宋" w:cs="仿宋"/>
          <w:bCs/>
          <w:kern w:val="44"/>
          <w:sz w:val="28"/>
          <w:szCs w:val="28"/>
          <w:lang w:val="en-US" w:eastAsia="zh-CN" w:bidi="ar-SA"/>
        </w:rPr>
        <w:tab/>
      </w:r>
      <w:r>
        <w:rPr>
          <w:rStyle w:val="17"/>
          <w:rFonts w:hint="eastAsia" w:ascii="仿宋" w:hAnsi="仿宋" w:eastAsia="仿宋" w:cs="仿宋"/>
          <w:bCs/>
          <w:kern w:val="44"/>
          <w:sz w:val="28"/>
          <w:szCs w:val="28"/>
          <w:lang w:val="en-US" w:eastAsia="zh-CN" w:bidi="ar-SA"/>
        </w:rPr>
        <w:t>4</w:t>
      </w:r>
      <w:r>
        <w:rPr>
          <w:rStyle w:val="17"/>
          <w:rFonts w:hint="eastAsia" w:ascii="仿宋" w:hAnsi="仿宋" w:eastAsia="仿宋" w:cs="仿宋"/>
          <w:bCs/>
          <w:kern w:val="44"/>
          <w:sz w:val="28"/>
          <w:szCs w:val="28"/>
          <w:lang w:val="en-US" w:eastAsia="zh-CN" w:bidi="ar-SA"/>
        </w:rPr>
        <w:fldChar w:fldCharType="end"/>
      </w:r>
      <w:r>
        <w:rPr>
          <w:rStyle w:val="17"/>
          <w:rFonts w:hint="eastAsia" w:ascii="仿宋" w:hAnsi="仿宋" w:eastAsia="仿宋" w:cs="仿宋"/>
          <w:bCs/>
          <w:kern w:val="44"/>
          <w:sz w:val="28"/>
          <w:szCs w:val="28"/>
          <w:lang w:val="en-US" w:eastAsia="zh-CN" w:bidi="ar-SA"/>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7"/>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rPr>
        <w:sectPr>
          <w:footerReference r:id="rId8" w:type="first"/>
          <w:footerReference r:id="rId7" w:type="default"/>
          <w:pgSz w:w="11906" w:h="16838"/>
          <w:pgMar w:top="1440" w:right="2126"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7"/>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7"/>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7"/>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7"/>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7"/>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7"/>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7"/>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7"/>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7"/>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7"/>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7"/>
          <w:rFonts w:hint="eastAsia" w:ascii="仿宋" w:hAnsi="仿宋" w:eastAsia="仿宋"/>
          <w:sz w:val="28"/>
          <w:szCs w:val="28"/>
        </w:rPr>
        <w:t>国有资本经营预算</w:t>
      </w:r>
      <w:r>
        <w:rPr>
          <w:rStyle w:val="17"/>
          <w:rFonts w:hint="eastAsia" w:ascii="仿宋" w:hAnsi="仿宋" w:eastAsia="仿宋"/>
          <w:sz w:val="28"/>
          <w:szCs w:val="28"/>
          <w:lang w:eastAsia="zh-CN"/>
        </w:rPr>
        <w:t>财政拨款收入</w:t>
      </w:r>
      <w:r>
        <w:rPr>
          <w:rStyle w:val="17"/>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2"/>
        <w:keepNext w:val="0"/>
        <w:keepLines w:val="0"/>
        <w:pageBreakBefore w:val="0"/>
        <w:kinsoku/>
        <w:wordWrap/>
        <w:overflowPunct/>
        <w:topLinePunct w:val="0"/>
        <w:autoSpaceDE/>
        <w:autoSpaceDN/>
        <w:bidi w:val="0"/>
        <w:adjustRightInd/>
        <w:snapToGrid/>
        <w:spacing w:line="560" w:lineRule="exact"/>
        <w:ind w:left="420" w:leftChars="200"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十</w:t>
      </w:r>
      <w:r>
        <w:rPr>
          <w:rFonts w:hint="eastAsia" w:ascii="仿宋" w:hAnsi="仿宋" w:eastAsia="仿宋"/>
          <w:sz w:val="28"/>
          <w:szCs w:val="28"/>
          <w:lang w:eastAsia="zh-CN"/>
        </w:rPr>
        <w:t>四</w:t>
      </w:r>
      <w:r>
        <w:rPr>
          <w:rFonts w:hint="eastAsia" w:ascii="仿宋" w:hAnsi="仿宋" w:eastAsia="仿宋"/>
          <w:sz w:val="28"/>
          <w:szCs w:val="28"/>
        </w:rPr>
        <w:t>、</w:t>
      </w:r>
      <w:r>
        <w:fldChar w:fldCharType="begin"/>
      </w:r>
      <w:r>
        <w:instrText xml:space="preserve"> HYPERLINK \l "_Toc15396631" </w:instrText>
      </w:r>
      <w:r>
        <w:fldChar w:fldCharType="separate"/>
      </w:r>
      <w:r>
        <w:rPr>
          <w:rStyle w:val="17"/>
          <w:rFonts w:hint="eastAsia" w:ascii="仿宋" w:hAnsi="仿宋" w:eastAsia="仿宋"/>
          <w:sz w:val="28"/>
          <w:szCs w:val="28"/>
        </w:rPr>
        <w:t>国有资本经营预算</w:t>
      </w:r>
      <w:r>
        <w:rPr>
          <w:rStyle w:val="17"/>
          <w:rFonts w:hint="eastAsia" w:ascii="仿宋" w:hAnsi="仿宋" w:eastAsia="仿宋"/>
          <w:sz w:val="28"/>
          <w:szCs w:val="28"/>
          <w:lang w:eastAsia="zh-CN"/>
        </w:rPr>
        <w:t>财政拨款</w:t>
      </w:r>
      <w:r>
        <w:rPr>
          <w:rStyle w:val="17"/>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1"/>
      </w:pPr>
    </w:p>
    <w:p>
      <w:pPr>
        <w:pStyle w:val="3"/>
        <w:jc w:val="both"/>
        <w:rPr>
          <w:rFonts w:ascii="仿宋" w:hAnsi="仿宋" w:eastAsia="仿宋"/>
          <w:color w:val="000000"/>
          <w:sz w:val="24"/>
        </w:rPr>
      </w:pPr>
      <w:r>
        <w:rPr>
          <w:rFonts w:ascii="仿宋" w:hAnsi="仿宋" w:eastAsia="仿宋"/>
          <w:color w:val="000000"/>
          <w:sz w:val="24"/>
        </w:rPr>
        <w:fldChar w:fldCharType="end"/>
      </w:r>
      <w:bookmarkStart w:id="17" w:name="_Toc14371"/>
    </w:p>
    <w:p>
      <w:pPr>
        <w:rPr>
          <w:rFonts w:ascii="仿宋" w:hAnsi="仿宋" w:eastAsia="仿宋"/>
          <w:color w:val="000000"/>
          <w:sz w:val="24"/>
        </w:rPr>
      </w:pPr>
    </w:p>
    <w:p>
      <w:pPr>
        <w:pStyle w:val="18"/>
        <w:rPr>
          <w:rFonts w:ascii="仿宋" w:hAnsi="仿宋" w:eastAsia="仿宋"/>
          <w:color w:val="000000"/>
          <w:sz w:val="24"/>
        </w:rPr>
      </w:pPr>
    </w:p>
    <w:p>
      <w:pPr>
        <w:pStyle w:val="18"/>
        <w:rPr>
          <w:rFonts w:ascii="仿宋" w:hAnsi="仿宋" w:eastAsia="仿宋"/>
          <w:color w:val="000000"/>
          <w:sz w:val="24"/>
        </w:rPr>
      </w:pPr>
    </w:p>
    <w:p>
      <w:pPr>
        <w:pStyle w:val="18"/>
        <w:rPr>
          <w:rFonts w:ascii="仿宋" w:hAnsi="仿宋" w:eastAsia="仿宋"/>
          <w:color w:val="000000"/>
          <w:sz w:val="24"/>
        </w:rPr>
      </w:pPr>
    </w:p>
    <w:p>
      <w:pPr>
        <w:pStyle w:val="18"/>
        <w:rPr>
          <w:rFonts w:ascii="仿宋" w:hAnsi="仿宋" w:eastAsia="仿宋"/>
          <w:color w:val="000000"/>
          <w:sz w:val="24"/>
        </w:rPr>
      </w:pPr>
    </w:p>
    <w:p>
      <w:pPr>
        <w:pStyle w:val="18"/>
        <w:rPr>
          <w:rFonts w:ascii="仿宋" w:hAnsi="仿宋" w:eastAsia="仿宋"/>
          <w:color w:val="000000"/>
          <w:sz w:val="24"/>
        </w:rPr>
      </w:pPr>
    </w:p>
    <w:p>
      <w:pPr>
        <w:pStyle w:val="18"/>
        <w:rPr>
          <w:rFonts w:hint="eastAsia" w:ascii="仿宋" w:hAnsi="仿宋" w:eastAsia="仿宋"/>
          <w:color w:val="000000"/>
          <w:sz w:val="24"/>
        </w:rPr>
      </w:pPr>
    </w:p>
    <w:p>
      <w:pPr>
        <w:pStyle w:val="3"/>
        <w:numPr>
          <w:ilvl w:val="0"/>
          <w:numId w:val="1"/>
        </w:numPr>
        <w:jc w:val="center"/>
        <w:sectPr>
          <w:footerReference r:id="rId9" w:type="default"/>
          <w:pgSz w:w="11906" w:h="16838"/>
          <w:pgMar w:top="1440" w:right="2126"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3"/>
        <w:numPr>
          <w:ilvl w:val="0"/>
          <w:numId w:val="1"/>
        </w:numPr>
        <w:jc w:val="center"/>
      </w:pPr>
      <w:r>
        <w:rPr>
          <w:rStyle w:val="27"/>
          <w:rFonts w:hint="eastAsia" w:ascii="黑体" w:hAnsi="黑体" w:eastAsia="黑体"/>
          <w:b w:val="0"/>
          <w:bCs w:val="0"/>
        </w:rPr>
        <w:t>部门概况</w:t>
      </w:r>
      <w:bookmarkEnd w:id="15"/>
      <w:bookmarkEnd w:id="16"/>
      <w:bookmarkEnd w:id="17"/>
    </w:p>
    <w:p>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Style w:val="28"/>
          <w:rFonts w:ascii="仿宋" w:hAnsi="仿宋" w:eastAsia="仿宋"/>
          <w:b w:val="0"/>
          <w:bCs w:val="0"/>
        </w:rPr>
      </w:pPr>
      <w:bookmarkStart w:id="18" w:name="_Toc15377197"/>
      <w:bookmarkStart w:id="19" w:name="_Toc15396600"/>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8"/>
      <w:bookmarkEnd w:id="19"/>
    </w:p>
    <w:p>
      <w:pPr>
        <w:pStyle w:val="2"/>
        <w:adjustRightInd w:val="0"/>
        <w:snapToGrid w:val="0"/>
        <w:spacing w:beforeLines="0" w:line="560" w:lineRule="exact"/>
        <w:ind w:left="0" w:leftChars="0" w:firstLine="419" w:firstLineChars="131"/>
        <w:rPr>
          <w:rFonts w:ascii="楷体_GB2312" w:eastAsia="楷体_GB2312"/>
          <w:sz w:val="32"/>
          <w:szCs w:val="32"/>
        </w:rPr>
      </w:pPr>
      <w:bookmarkStart w:id="20" w:name="_Toc15378446"/>
      <w:bookmarkStart w:id="21" w:name="_Toc15377199"/>
      <w:r>
        <w:rPr>
          <w:rFonts w:hint="eastAsia" w:ascii="楷体_GB2312" w:eastAsia="楷体_GB2312"/>
          <w:sz w:val="32"/>
          <w:szCs w:val="32"/>
        </w:rPr>
        <w:t>（一）主要职能</w:t>
      </w:r>
    </w:p>
    <w:p>
      <w:pPr>
        <w:pStyle w:val="2"/>
        <w:adjustRightInd w:val="0"/>
        <w:snapToGrid w:val="0"/>
        <w:spacing w:beforeLines="0" w:line="560" w:lineRule="exact"/>
        <w:ind w:firstLine="640" w:firstLineChars="200"/>
        <w:rPr>
          <w:rFonts w:hint="eastAsia" w:eastAsia="仿宋_GB2312"/>
          <w:bCs/>
          <w:sz w:val="32"/>
          <w:szCs w:val="32"/>
          <w:lang w:eastAsia="zh-CN"/>
        </w:rPr>
      </w:pPr>
      <w:r>
        <w:rPr>
          <w:rFonts w:hint="eastAsia"/>
          <w:bCs/>
          <w:sz w:val="32"/>
          <w:szCs w:val="32"/>
        </w:rPr>
        <w:t>川北幼儿师范高等专科学校是经四川省人民政府批准成立的公办全日制普通高等专科学校,负责</w:t>
      </w:r>
      <w:r>
        <w:rPr>
          <w:bCs/>
          <w:sz w:val="32"/>
          <w:szCs w:val="32"/>
        </w:rPr>
        <w:t>培养</w:t>
      </w:r>
      <w:r>
        <w:rPr>
          <w:rFonts w:hint="eastAsia"/>
          <w:bCs/>
          <w:sz w:val="32"/>
          <w:szCs w:val="32"/>
        </w:rPr>
        <w:t>具有普通高等</w:t>
      </w:r>
      <w:r>
        <w:rPr>
          <w:bCs/>
          <w:sz w:val="32"/>
          <w:szCs w:val="32"/>
        </w:rPr>
        <w:t>专科</w:t>
      </w:r>
      <w:r>
        <w:rPr>
          <w:rFonts w:hint="eastAsia"/>
          <w:bCs/>
          <w:sz w:val="32"/>
          <w:szCs w:val="32"/>
        </w:rPr>
        <w:t>学历</w:t>
      </w:r>
      <w:r>
        <w:rPr>
          <w:bCs/>
          <w:sz w:val="32"/>
          <w:szCs w:val="32"/>
        </w:rPr>
        <w:t>的</w:t>
      </w:r>
      <w:r>
        <w:rPr>
          <w:rFonts w:hint="eastAsia"/>
          <w:bCs/>
          <w:sz w:val="32"/>
          <w:szCs w:val="32"/>
        </w:rPr>
        <w:t>师资</w:t>
      </w:r>
      <w:r>
        <w:rPr>
          <w:bCs/>
          <w:sz w:val="32"/>
          <w:szCs w:val="32"/>
        </w:rPr>
        <w:t>人才</w:t>
      </w:r>
      <w:r>
        <w:rPr>
          <w:rFonts w:hint="eastAsia"/>
          <w:bCs/>
          <w:sz w:val="32"/>
          <w:szCs w:val="32"/>
        </w:rPr>
        <w:t>、</w:t>
      </w:r>
      <w:r>
        <w:rPr>
          <w:bCs/>
          <w:sz w:val="32"/>
          <w:szCs w:val="32"/>
        </w:rPr>
        <w:t>医药卫生人才</w:t>
      </w:r>
      <w:r>
        <w:rPr>
          <w:rFonts w:hint="eastAsia"/>
          <w:bCs/>
          <w:sz w:val="32"/>
          <w:szCs w:val="32"/>
        </w:rPr>
        <w:t>及</w:t>
      </w:r>
      <w:r>
        <w:rPr>
          <w:bCs/>
          <w:sz w:val="32"/>
          <w:szCs w:val="32"/>
        </w:rPr>
        <w:t>其他</w:t>
      </w:r>
      <w:r>
        <w:rPr>
          <w:rFonts w:hint="eastAsia"/>
          <w:bCs/>
          <w:sz w:val="32"/>
          <w:szCs w:val="32"/>
        </w:rPr>
        <w:t>职业</w:t>
      </w:r>
      <w:r>
        <w:rPr>
          <w:bCs/>
          <w:sz w:val="32"/>
          <w:szCs w:val="32"/>
        </w:rPr>
        <w:t>技术人才</w:t>
      </w:r>
      <w:r>
        <w:rPr>
          <w:rFonts w:hint="eastAsia"/>
          <w:bCs/>
          <w:sz w:val="32"/>
          <w:szCs w:val="32"/>
        </w:rPr>
        <w:t>，</w:t>
      </w:r>
      <w:r>
        <w:rPr>
          <w:bCs/>
          <w:sz w:val="32"/>
          <w:szCs w:val="32"/>
        </w:rPr>
        <w:t>负责</w:t>
      </w:r>
      <w:r>
        <w:rPr>
          <w:rFonts w:hint="eastAsia"/>
          <w:bCs/>
          <w:sz w:val="32"/>
          <w:szCs w:val="32"/>
        </w:rPr>
        <w:t>幼儿园</w:t>
      </w:r>
      <w:r>
        <w:rPr>
          <w:bCs/>
          <w:sz w:val="32"/>
          <w:szCs w:val="32"/>
        </w:rPr>
        <w:t>教师、</w:t>
      </w:r>
      <w:r>
        <w:rPr>
          <w:rFonts w:hint="eastAsia"/>
          <w:bCs/>
          <w:sz w:val="32"/>
          <w:szCs w:val="32"/>
        </w:rPr>
        <w:t>中小学</w:t>
      </w:r>
      <w:r>
        <w:rPr>
          <w:bCs/>
          <w:sz w:val="32"/>
          <w:szCs w:val="32"/>
        </w:rPr>
        <w:t>教师</w:t>
      </w:r>
      <w:r>
        <w:rPr>
          <w:rFonts w:hint="eastAsia"/>
          <w:bCs/>
          <w:sz w:val="32"/>
          <w:szCs w:val="32"/>
        </w:rPr>
        <w:t>、</w:t>
      </w:r>
      <w:r>
        <w:rPr>
          <w:bCs/>
          <w:sz w:val="32"/>
          <w:szCs w:val="32"/>
        </w:rPr>
        <w:t>基层</w:t>
      </w:r>
      <w:r>
        <w:rPr>
          <w:rFonts w:hint="eastAsia"/>
          <w:bCs/>
          <w:sz w:val="32"/>
          <w:szCs w:val="32"/>
        </w:rPr>
        <w:t>医护人员的</w:t>
      </w:r>
      <w:r>
        <w:rPr>
          <w:bCs/>
          <w:sz w:val="32"/>
          <w:szCs w:val="32"/>
        </w:rPr>
        <w:t>培训工作</w:t>
      </w:r>
      <w:r>
        <w:rPr>
          <w:rFonts w:hint="eastAsia"/>
          <w:bCs/>
          <w:sz w:val="32"/>
          <w:szCs w:val="32"/>
        </w:rPr>
        <w:t>，负责</w:t>
      </w:r>
      <w:r>
        <w:rPr>
          <w:bCs/>
          <w:sz w:val="32"/>
          <w:szCs w:val="32"/>
        </w:rPr>
        <w:t>开展</w:t>
      </w:r>
      <w:r>
        <w:rPr>
          <w:rFonts w:hint="eastAsia"/>
          <w:bCs/>
          <w:sz w:val="32"/>
          <w:szCs w:val="32"/>
          <w:lang w:eastAsia="zh-CN"/>
        </w:rPr>
        <w:t>人才培养、</w:t>
      </w:r>
      <w:r>
        <w:rPr>
          <w:rFonts w:hint="eastAsia"/>
          <w:bCs/>
          <w:sz w:val="32"/>
          <w:szCs w:val="32"/>
        </w:rPr>
        <w:t>科学</w:t>
      </w:r>
      <w:r>
        <w:rPr>
          <w:bCs/>
          <w:sz w:val="32"/>
          <w:szCs w:val="32"/>
        </w:rPr>
        <w:t>研究</w:t>
      </w:r>
      <w:r>
        <w:rPr>
          <w:rFonts w:hint="eastAsia"/>
          <w:bCs/>
          <w:sz w:val="32"/>
          <w:szCs w:val="32"/>
        </w:rPr>
        <w:t>、</w:t>
      </w:r>
      <w:r>
        <w:rPr>
          <w:rFonts w:hint="eastAsia"/>
          <w:bCs/>
          <w:sz w:val="32"/>
          <w:szCs w:val="32"/>
          <w:lang w:eastAsia="zh-CN"/>
        </w:rPr>
        <w:t>社会服务、文化传承与创新、国际交流与合作等工作。</w:t>
      </w:r>
    </w:p>
    <w:p>
      <w:pPr>
        <w:pStyle w:val="2"/>
        <w:adjustRightInd w:val="0"/>
        <w:snapToGrid w:val="0"/>
        <w:spacing w:beforeLines="0" w:line="560" w:lineRule="exact"/>
        <w:ind w:left="0" w:leftChars="0" w:firstLine="419" w:firstLineChars="131"/>
        <w:rPr>
          <w:rFonts w:ascii="楷体_GB2312" w:eastAsia="楷体_GB2312"/>
          <w:sz w:val="32"/>
          <w:szCs w:val="32"/>
        </w:rPr>
      </w:pPr>
      <w:r>
        <w:rPr>
          <w:rFonts w:hint="eastAsia" w:ascii="楷体_GB2312" w:eastAsia="楷体_GB2312"/>
          <w:sz w:val="32"/>
          <w:szCs w:val="32"/>
        </w:rPr>
        <w:t>（二）20</w:t>
      </w:r>
      <w:r>
        <w:rPr>
          <w:rFonts w:hint="eastAsia" w:ascii="楷体_GB2312" w:eastAsia="楷体_GB2312"/>
          <w:sz w:val="32"/>
          <w:szCs w:val="32"/>
          <w:lang w:val="en-US" w:eastAsia="zh-CN"/>
        </w:rPr>
        <w:t>21</w:t>
      </w:r>
      <w:r>
        <w:rPr>
          <w:rFonts w:hint="eastAsia" w:ascii="楷体_GB2312" w:eastAsia="楷体_GB2312"/>
          <w:sz w:val="32"/>
          <w:szCs w:val="32"/>
        </w:rPr>
        <w:t>年重点工作完成情况</w:t>
      </w:r>
      <w:bookmarkEnd w:id="20"/>
      <w:bookmarkEnd w:id="21"/>
    </w:p>
    <w:p>
      <w:pPr>
        <w:ind w:firstLine="602" w:firstLineChars="200"/>
        <w:rPr>
          <w:rFonts w:hint="eastAsia" w:ascii="黑体" w:eastAsia="黑体"/>
          <w:b w:val="0"/>
          <w:color w:val="000000"/>
        </w:rPr>
      </w:pPr>
      <w:bookmarkStart w:id="22" w:name="_Toc15396601"/>
      <w:bookmarkStart w:id="23" w:name="_Toc15377200"/>
      <w:r>
        <w:rPr>
          <w:rFonts w:hint="eastAsia" w:ascii="仿宋" w:hAnsi="仿宋" w:eastAsia="仿宋" w:cs="仿宋"/>
          <w:b/>
          <w:color w:val="auto"/>
          <w:kern w:val="0"/>
          <w:sz w:val="30"/>
          <w:szCs w:val="30"/>
          <w:lang w:val="en-US" w:eastAsia="zh-CN" w:bidi="ar-SA"/>
        </w:rPr>
        <w:t>一是</w:t>
      </w:r>
      <w:r>
        <w:rPr>
          <w:rFonts w:hint="eastAsia" w:ascii="仿宋" w:hAnsi="仿宋" w:eastAsia="仿宋" w:cs="仿宋"/>
          <w:b w:val="0"/>
          <w:color w:val="auto"/>
          <w:kern w:val="0"/>
          <w:sz w:val="30"/>
          <w:szCs w:val="30"/>
          <w:lang w:val="en-US" w:eastAsia="zh-CN" w:bidi="ar-SA"/>
        </w:rPr>
        <w:t>从严管党治党，提升办学治校水平。严实履行党委主体责任，强化管党治党办学治校主体责任；持续深化党史学习教育，成立学校党委党史学习教育领导小组；全面夯实基层党建基础，深化基层党组织“三项建设”；切实加强党风廉政建设。</w:t>
      </w:r>
      <w:r>
        <w:rPr>
          <w:rFonts w:hint="eastAsia" w:ascii="仿宋" w:hAnsi="仿宋" w:eastAsia="仿宋" w:cs="仿宋"/>
          <w:b/>
          <w:color w:val="auto"/>
          <w:kern w:val="0"/>
          <w:sz w:val="30"/>
          <w:szCs w:val="30"/>
          <w:lang w:val="en-US" w:eastAsia="zh-CN" w:bidi="ar-SA"/>
        </w:rPr>
        <w:t>二是</w:t>
      </w:r>
      <w:r>
        <w:rPr>
          <w:rFonts w:hint="eastAsia" w:ascii="仿宋" w:hAnsi="仿宋" w:eastAsia="仿宋" w:cs="仿宋"/>
          <w:b w:val="0"/>
          <w:color w:val="auto"/>
          <w:kern w:val="0"/>
          <w:sz w:val="30"/>
          <w:szCs w:val="30"/>
          <w:lang w:val="en-US" w:eastAsia="zh-CN" w:bidi="ar-SA"/>
        </w:rPr>
        <w:t>有效对标竞进，夯实本科创建基础。推进一流幼专行动计划对标“双高”建设和《职业教育提质培优行动计划》，大力开展“对标竞进”活动；全力争取省教育厅和市委市政府支持，落实广元市“十四五”规划关于学校创建川北幼儿师范学院的任务。</w:t>
      </w:r>
      <w:r>
        <w:rPr>
          <w:rFonts w:hint="eastAsia" w:ascii="仿宋" w:hAnsi="仿宋" w:eastAsia="仿宋" w:cs="仿宋"/>
          <w:b/>
          <w:color w:val="auto"/>
          <w:kern w:val="0"/>
          <w:sz w:val="30"/>
          <w:szCs w:val="30"/>
          <w:lang w:val="en-US" w:eastAsia="zh-CN" w:bidi="ar-SA"/>
        </w:rPr>
        <w:t>三是</w:t>
      </w:r>
      <w:r>
        <w:rPr>
          <w:rFonts w:hint="eastAsia" w:ascii="仿宋" w:hAnsi="仿宋" w:eastAsia="仿宋" w:cs="仿宋"/>
          <w:b w:val="0"/>
          <w:color w:val="auto"/>
          <w:kern w:val="0"/>
          <w:sz w:val="30"/>
          <w:szCs w:val="30"/>
          <w:lang w:val="en-US" w:eastAsia="zh-CN" w:bidi="ar-SA"/>
        </w:rPr>
        <w:t>落实立德树人，提升人才培养质量。加强思想政治教育，成立马克思主义学院，优化“三三三”思政教学模式；提升学生综合素质，学生先后取得全国高校数字艺术设计大赛一等奖、全国科学教育师范生教学技能创新大赛二等奖，学校获市“德育先进集体”；推进招生就业创业，高职高专报到率90.71%，就业去向落实率95.75%，132名定向公费生顺利就业，探索专业与创新创业融合。</w:t>
      </w:r>
      <w:r>
        <w:rPr>
          <w:rFonts w:hint="eastAsia" w:ascii="仿宋" w:hAnsi="仿宋" w:eastAsia="仿宋" w:cs="仿宋"/>
          <w:b/>
          <w:color w:val="auto"/>
          <w:kern w:val="0"/>
          <w:sz w:val="30"/>
          <w:szCs w:val="30"/>
          <w:lang w:val="en-US" w:eastAsia="zh-CN" w:bidi="ar-SA"/>
        </w:rPr>
        <w:t>四是</w:t>
      </w:r>
      <w:r>
        <w:rPr>
          <w:rFonts w:hint="eastAsia" w:ascii="仿宋" w:hAnsi="仿宋" w:eastAsia="仿宋" w:cs="仿宋"/>
          <w:b w:val="0"/>
          <w:color w:val="auto"/>
          <w:kern w:val="0"/>
          <w:sz w:val="30"/>
          <w:szCs w:val="30"/>
          <w:lang w:val="en-US" w:eastAsia="zh-CN" w:bidi="ar-SA"/>
        </w:rPr>
        <w:t>坚定教学中心，聚焦学校内涵建设。推进质量诊改，抽调精干工作人员成立学校诊改办公室；增强专业竞争力，制定《2021-2025专业建设与人才培养规划》《2021版人才培养方案》，深化学前、小教专业省级现代学徒制试点，成功申报第四批试点证书4个，组建五大专业群开设24个专业，新增婴幼儿托育服务管理专业；提升教学质量，完成199个教学班、892门课程教学任务；强化教学督导，认真开展课堂教学常规督导，严格督导考试考查。</w:t>
      </w:r>
      <w:r>
        <w:rPr>
          <w:rFonts w:hint="eastAsia" w:ascii="仿宋" w:hAnsi="仿宋" w:eastAsia="仿宋" w:cs="仿宋"/>
          <w:b/>
          <w:color w:val="auto"/>
          <w:kern w:val="0"/>
          <w:sz w:val="30"/>
          <w:szCs w:val="30"/>
          <w:lang w:val="en-US" w:eastAsia="zh-CN" w:bidi="ar-SA"/>
        </w:rPr>
        <w:t>五是</w:t>
      </w:r>
      <w:r>
        <w:rPr>
          <w:rFonts w:hint="eastAsia" w:ascii="仿宋" w:hAnsi="仿宋" w:eastAsia="仿宋" w:cs="仿宋"/>
          <w:b w:val="0"/>
          <w:color w:val="auto"/>
          <w:kern w:val="0"/>
          <w:sz w:val="30"/>
          <w:szCs w:val="30"/>
          <w:lang w:val="en-US" w:eastAsia="zh-CN" w:bidi="ar-SA"/>
        </w:rPr>
        <w:t>加强能力提升，锻造一流双师队伍。加强师德师风，开展师德专题教育；加强“双师”建设，出台《“双师”素质教师队伍建设实施方案》；加强科研带动，开展教师科研与教学成果统计和量化考核。</w:t>
      </w:r>
      <w:r>
        <w:rPr>
          <w:rFonts w:hint="eastAsia" w:ascii="仿宋" w:hAnsi="仿宋" w:eastAsia="仿宋" w:cs="仿宋"/>
          <w:b/>
          <w:color w:val="auto"/>
          <w:kern w:val="0"/>
          <w:sz w:val="30"/>
          <w:szCs w:val="30"/>
          <w:lang w:val="en-US" w:eastAsia="zh-CN" w:bidi="ar-SA"/>
        </w:rPr>
        <w:t>六是</w:t>
      </w:r>
      <w:r>
        <w:rPr>
          <w:rFonts w:hint="eastAsia" w:ascii="仿宋" w:hAnsi="仿宋" w:eastAsia="仿宋" w:cs="仿宋"/>
          <w:b w:val="0"/>
          <w:color w:val="auto"/>
          <w:kern w:val="0"/>
          <w:sz w:val="30"/>
          <w:szCs w:val="30"/>
          <w:lang w:val="en-US" w:eastAsia="zh-CN" w:bidi="ar-SA"/>
        </w:rPr>
        <w:t>聚焦协同发展，提高服务地方能力。聚力服务地方，制定《2021-2025年对口帮扶工作规划、校地合作管理办法》；深化产教融合，积极开放办学。</w:t>
      </w:r>
      <w:r>
        <w:rPr>
          <w:rFonts w:hint="eastAsia" w:ascii="仿宋" w:hAnsi="仿宋" w:eastAsia="仿宋" w:cs="仿宋"/>
          <w:b/>
          <w:color w:val="auto"/>
          <w:kern w:val="0"/>
          <w:sz w:val="30"/>
          <w:szCs w:val="30"/>
          <w:lang w:val="en-US" w:eastAsia="zh-CN" w:bidi="ar-SA"/>
        </w:rPr>
        <w:t>七是</w:t>
      </w:r>
      <w:r>
        <w:rPr>
          <w:rFonts w:hint="eastAsia" w:ascii="仿宋" w:hAnsi="仿宋" w:eastAsia="仿宋" w:cs="仿宋"/>
          <w:b w:val="0"/>
          <w:color w:val="auto"/>
          <w:kern w:val="0"/>
          <w:sz w:val="30"/>
          <w:szCs w:val="30"/>
          <w:lang w:val="en-US" w:eastAsia="zh-CN" w:bidi="ar-SA"/>
        </w:rPr>
        <w:t>升级服务管理，提升学校治理水平。健全治理体系，围绕一流幼专建设和本科院校创建核心目标，落实党委领导下的校长负责制；深化依法治校，提升后勤服务。</w:t>
      </w:r>
      <w:r>
        <w:rPr>
          <w:rFonts w:hint="eastAsia" w:ascii="仿宋" w:hAnsi="仿宋" w:eastAsia="仿宋" w:cs="仿宋"/>
          <w:b/>
          <w:color w:val="auto"/>
          <w:kern w:val="0"/>
          <w:sz w:val="30"/>
          <w:szCs w:val="30"/>
          <w:lang w:val="en-US" w:eastAsia="zh-CN" w:bidi="ar-SA"/>
        </w:rPr>
        <w:t>八是</w:t>
      </w:r>
      <w:r>
        <w:rPr>
          <w:rFonts w:hint="eastAsia" w:ascii="仿宋" w:hAnsi="仿宋" w:eastAsia="仿宋" w:cs="仿宋"/>
          <w:b w:val="0"/>
          <w:color w:val="auto"/>
          <w:kern w:val="0"/>
          <w:sz w:val="30"/>
          <w:szCs w:val="30"/>
          <w:lang w:val="en-US" w:eastAsia="zh-CN" w:bidi="ar-SA"/>
        </w:rPr>
        <w:t>优化内部环境，夯实办学基础保障。优化办学基础环境，做好疫情常态防控，推进平安校园建设。</w:t>
      </w:r>
    </w:p>
    <w:p>
      <w:pPr>
        <w:pStyle w:val="4"/>
        <w:ind w:firstLine="640" w:firstLineChars="200"/>
        <w:rPr>
          <w:rStyle w:val="28"/>
          <w:b w:val="0"/>
          <w:bCs w:val="0"/>
        </w:rPr>
      </w:pPr>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2"/>
      <w:bookmarkEnd w:id="23"/>
    </w:p>
    <w:p>
      <w:pPr>
        <w:ind w:firstLine="640" w:firstLineChars="200"/>
        <w:rPr>
          <w:rFonts w:hint="eastAsia" w:ascii="黑体" w:hAnsi="黑体" w:eastAsia="黑体"/>
          <w:b w:val="0"/>
          <w:color w:val="000000"/>
          <w:lang w:val="en-US" w:eastAsia="zh-CN"/>
        </w:rPr>
      </w:pPr>
      <w:bookmarkStart w:id="24" w:name="_Toc15378448"/>
      <w:bookmarkStart w:id="25" w:name="_Toc15377201"/>
      <w:bookmarkStart w:id="26" w:name="_Toc15306275"/>
      <w:bookmarkStart w:id="27" w:name="_Toc15377432"/>
      <w:r>
        <w:rPr>
          <w:rFonts w:hint="eastAsia" w:ascii="仿宋" w:hAnsi="仿宋" w:eastAsia="仿宋"/>
          <w:sz w:val="32"/>
          <w:szCs w:val="32"/>
        </w:rPr>
        <w:t>川北幼儿师范高等专科学校</w:t>
      </w:r>
      <w:r>
        <w:rPr>
          <w:rFonts w:hint="eastAsia" w:ascii="仿宋" w:hAnsi="仿宋" w:eastAsia="仿宋"/>
          <w:sz w:val="32"/>
          <w:szCs w:val="32"/>
          <w:lang w:eastAsia="zh-CN"/>
        </w:rPr>
        <w:t>为市级一级预算单位，</w:t>
      </w:r>
      <w:r>
        <w:rPr>
          <w:rFonts w:hint="eastAsia" w:ascii="仿宋" w:hAnsi="仿宋" w:eastAsia="仿宋"/>
          <w:sz w:val="32"/>
          <w:szCs w:val="32"/>
        </w:rPr>
        <w:t>无下属二级单位。</w:t>
      </w:r>
      <w:bookmarkEnd w:id="24"/>
      <w:bookmarkEnd w:id="25"/>
      <w:bookmarkEnd w:id="26"/>
      <w:bookmarkEnd w:id="27"/>
      <w:bookmarkStart w:id="28" w:name="_Toc15396602"/>
      <w:bookmarkStart w:id="29" w:name="_Toc18756"/>
      <w:bookmarkStart w:id="30" w:name="_Toc15377204"/>
    </w:p>
    <w:p>
      <w:pPr>
        <w:pStyle w:val="3"/>
        <w:ind w:right="440"/>
        <w:jc w:val="center"/>
      </w:pPr>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w:t>
      </w:r>
      <w:r>
        <w:rPr>
          <w:rStyle w:val="27"/>
          <w:rFonts w:hint="eastAsia" w:ascii="黑体" w:hAnsi="黑体" w:eastAsia="黑体"/>
          <w:b w:val="0"/>
          <w:bCs w:val="0"/>
          <w:lang w:val="en-US" w:eastAsia="zh-CN"/>
        </w:rPr>
        <w:t>21</w:t>
      </w:r>
      <w:r>
        <w:rPr>
          <w:rStyle w:val="27"/>
          <w:rFonts w:hint="eastAsia" w:ascii="黑体" w:hAnsi="黑体" w:eastAsia="黑体"/>
          <w:b w:val="0"/>
          <w:bCs w:val="0"/>
        </w:rPr>
        <w:t>年度部门决算情况说明</w:t>
      </w:r>
      <w:bookmarkEnd w:id="28"/>
      <w:bookmarkEnd w:id="29"/>
      <w:bookmarkEnd w:id="30"/>
    </w:p>
    <w:p>
      <w:pPr>
        <w:pStyle w:val="26"/>
        <w:numPr>
          <w:ilvl w:val="0"/>
          <w:numId w:val="2"/>
        </w:numPr>
        <w:spacing w:line="600" w:lineRule="exact"/>
        <w:ind w:firstLineChars="0"/>
        <w:outlineLvl w:val="1"/>
        <w:rPr>
          <w:rStyle w:val="28"/>
          <w:rFonts w:hint="eastAsia" w:ascii="黑体" w:hAnsi="黑体" w:eastAsia="黑体" w:cs="Times New Roman"/>
          <w:b w:val="0"/>
          <w:bCs w:val="0"/>
        </w:rPr>
      </w:pPr>
      <w:bookmarkStart w:id="31" w:name="_Toc15396603"/>
      <w:bookmarkStart w:id="32" w:name="_Toc15377205"/>
      <w:r>
        <w:rPr>
          <w:rStyle w:val="28"/>
          <w:rFonts w:hint="eastAsia" w:ascii="黑体" w:hAnsi="黑体" w:eastAsia="黑体" w:cs="Times New Roman"/>
          <w:b w:val="0"/>
          <w:bCs w:val="0"/>
        </w:rPr>
        <w:t>收入支出决算总体情况说明</w:t>
      </w:r>
      <w:bookmarkEnd w:id="31"/>
      <w:bookmarkEnd w:id="3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
          <w:lang w:val="en-US" w:eastAsia="zh-CN"/>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21524</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1585.49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7.37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2021年一般公共预算财政拨款收入和事业收入增加。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
          <w:lang w:eastAsia="zh-CN"/>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：收入、支出决算总计变动情况图</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Style w:val="28"/>
          <w:rFonts w:hint="eastAsia" w:ascii="黑体" w:hAnsi="黑体" w:eastAsia="黑体"/>
          <w:b w:val="0"/>
          <w:lang w:eastAsia="zh-CN"/>
        </w:rPr>
      </w:pPr>
      <w:bookmarkStart w:id="33" w:name="_Toc15396604"/>
      <w:bookmarkStart w:id="34" w:name="_Toc15377206"/>
      <w:r>
        <w:drawing>
          <wp:anchor distT="0" distB="0" distL="114300" distR="114300" simplePos="0" relativeHeight="251659264" behindDoc="0" locked="0" layoutInCell="1" allowOverlap="1">
            <wp:simplePos x="0" y="0"/>
            <wp:positionH relativeFrom="column">
              <wp:posOffset>423545</wp:posOffset>
            </wp:positionH>
            <wp:positionV relativeFrom="paragraph">
              <wp:posOffset>204470</wp:posOffset>
            </wp:positionV>
            <wp:extent cx="4311015" cy="2037080"/>
            <wp:effectExtent l="4445" t="4445" r="8890" b="15875"/>
            <wp:wrapSquare wrapText="bothSides"/>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firstLine="640" w:firstLineChars="200"/>
        <w:textAlignment w:val="auto"/>
        <w:outlineLvl w:val="9"/>
        <w:rPr>
          <w:rStyle w:val="28"/>
          <w:rFonts w:ascii="黑体" w:hAnsi="黑体" w:eastAsia="黑体"/>
          <w:b w:val="0"/>
        </w:rPr>
      </w:pP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firstLine="640" w:firstLineChars="200"/>
        <w:textAlignment w:val="auto"/>
        <w:outlineLvl w:val="9"/>
        <w:rPr>
          <w:rStyle w:val="28"/>
          <w:rFonts w:ascii="黑体" w:hAnsi="黑体" w:eastAsia="黑体"/>
          <w:b w:val="0"/>
        </w:rPr>
      </w:pP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firstLine="640" w:firstLineChars="200"/>
        <w:textAlignment w:val="auto"/>
        <w:outlineLvl w:val="9"/>
        <w:rPr>
          <w:rStyle w:val="28"/>
          <w:rFonts w:ascii="黑体" w:hAnsi="黑体" w:eastAsia="黑体"/>
          <w:b w:val="0"/>
        </w:rPr>
      </w:pP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firstLine="640" w:firstLineChars="200"/>
        <w:textAlignment w:val="auto"/>
        <w:outlineLvl w:val="9"/>
        <w:rPr>
          <w:rStyle w:val="28"/>
          <w:rFonts w:ascii="黑体" w:hAnsi="黑体" w:eastAsia="黑体"/>
          <w:b w:val="0"/>
        </w:rPr>
      </w:pPr>
    </w:p>
    <w:p>
      <w:pPr>
        <w:pStyle w:val="26"/>
        <w:numPr>
          <w:ilvl w:val="0"/>
          <w:numId w:val="0"/>
        </w:numPr>
        <w:spacing w:line="600" w:lineRule="exact"/>
        <w:outlineLvl w:val="1"/>
        <w:rPr>
          <w:rStyle w:val="28"/>
          <w:rFonts w:hint="eastAsia" w:ascii="黑体" w:hAnsi="黑体" w:eastAsia="黑体" w:cs="Times New Roman"/>
          <w:b w:val="0"/>
          <w:bCs w:val="0"/>
        </w:rPr>
      </w:pPr>
    </w:p>
    <w:p>
      <w:pPr>
        <w:pStyle w:val="26"/>
        <w:numPr>
          <w:ilvl w:val="0"/>
          <w:numId w:val="2"/>
        </w:numPr>
        <w:spacing w:line="600" w:lineRule="exact"/>
        <w:ind w:firstLineChars="0"/>
        <w:outlineLvl w:val="1"/>
        <w:rPr>
          <w:rStyle w:val="28"/>
          <w:rFonts w:hint="eastAsia" w:ascii="黑体" w:hAnsi="黑体" w:eastAsia="黑体" w:cs="Times New Roman"/>
          <w:b w:val="0"/>
          <w:bCs w:val="0"/>
        </w:rPr>
      </w:pPr>
      <w:r>
        <w:rPr>
          <w:rStyle w:val="28"/>
          <w:rFonts w:hint="eastAsia" w:ascii="黑体" w:hAnsi="黑体" w:eastAsia="黑体" w:cs="Times New Roman"/>
          <w:b w:val="0"/>
          <w:bCs w:val="0"/>
        </w:rPr>
        <w:t>收入决算情况说明</w:t>
      </w:r>
      <w:bookmarkEnd w:id="33"/>
      <w:bookmarkEnd w:id="34"/>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ascii="仿宋" w:hAnsi="仿宋" w:eastAsia="仿宋"/>
          <w:color w:val="000000"/>
          <w:sz w:val="32"/>
          <w:szCs w:val="32"/>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16351.44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12716.63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77.78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100.00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0.61</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3525.26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21.56</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9.55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0.05</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sz w:val="32"/>
          <w:szCs w:val="32"/>
        </w:rPr>
      </w:pPr>
      <w:bookmarkStart w:id="35" w:name="_Toc15396605"/>
      <w:bookmarkStart w:id="36" w:name="_Toc15377207"/>
      <w:r>
        <w:rPr>
          <w:rFonts w:hint="eastAsia" w:ascii="仿宋" w:hAnsi="仿宋" w:eastAsia="仿宋"/>
          <w:color w:val="000000"/>
          <w:sz w:val="32"/>
          <w:szCs w:val="32"/>
        </w:rPr>
        <w:t>图2：收入决算结构图</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firstLine="420" w:firstLineChars="200"/>
        <w:textAlignment w:val="auto"/>
        <w:outlineLvl w:val="9"/>
        <w:rPr>
          <w:rStyle w:val="28"/>
          <w:rFonts w:ascii="黑体" w:hAnsi="黑体" w:eastAsia="黑体"/>
          <w:b w:val="0"/>
        </w:rPr>
      </w:pPr>
      <w:r>
        <w:drawing>
          <wp:anchor distT="0" distB="0" distL="114300" distR="114300" simplePos="0" relativeHeight="251660288" behindDoc="0" locked="0" layoutInCell="1" allowOverlap="1">
            <wp:simplePos x="0" y="0"/>
            <wp:positionH relativeFrom="column">
              <wp:posOffset>442595</wp:posOffset>
            </wp:positionH>
            <wp:positionV relativeFrom="paragraph">
              <wp:posOffset>204470</wp:posOffset>
            </wp:positionV>
            <wp:extent cx="4328160" cy="2122170"/>
            <wp:effectExtent l="4445" t="4445" r="10795" b="698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firstLine="640" w:firstLineChars="200"/>
        <w:textAlignment w:val="auto"/>
        <w:outlineLvl w:val="9"/>
        <w:rPr>
          <w:rStyle w:val="28"/>
          <w:rFonts w:ascii="黑体" w:hAnsi="黑体" w:eastAsia="黑体"/>
          <w:b w:val="0"/>
        </w:rPr>
      </w:pP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firstLine="640" w:firstLineChars="200"/>
        <w:textAlignment w:val="auto"/>
        <w:outlineLvl w:val="9"/>
        <w:rPr>
          <w:rStyle w:val="28"/>
          <w:rFonts w:ascii="黑体" w:hAnsi="黑体" w:eastAsia="黑体"/>
          <w:b w:val="0"/>
        </w:rPr>
      </w:pP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firstLine="640" w:firstLineChars="200"/>
        <w:textAlignment w:val="auto"/>
        <w:outlineLvl w:val="9"/>
        <w:rPr>
          <w:rStyle w:val="28"/>
          <w:rFonts w:ascii="黑体" w:hAnsi="黑体" w:eastAsia="黑体"/>
          <w:b w:val="0"/>
        </w:rPr>
      </w:pP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黑体" w:hAnsi="黑体" w:eastAsia="黑体"/>
          <w:color w:val="000000"/>
          <w:sz w:val="32"/>
          <w:szCs w:val="32"/>
          <w:lang w:eastAsia="zh-CN"/>
        </w:rPr>
      </w:pP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olor w:val="000000"/>
          <w:sz w:val="32"/>
          <w:szCs w:val="32"/>
          <w:lang w:eastAsia="zh-CN"/>
        </w:rPr>
      </w:pP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olor w:val="000000"/>
          <w:sz w:val="32"/>
          <w:szCs w:val="32"/>
          <w:lang w:eastAsia="zh-CN"/>
        </w:rPr>
      </w:pPr>
    </w:p>
    <w:p>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8"/>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8"/>
          <w:rFonts w:hint="eastAsia" w:ascii="黑体" w:hAnsi="黑体" w:eastAsia="黑体"/>
          <w:b w:val="0"/>
        </w:rPr>
        <w:t>出决算情况说明</w:t>
      </w:r>
      <w:bookmarkEnd w:id="35"/>
      <w:bookmarkEnd w:id="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19626.72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10735.72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54.70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8891.00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45.30</w:t>
      </w:r>
      <w:r>
        <w:rPr>
          <w:rFonts w:ascii="仿宋" w:hAnsi="仿宋" w:eastAsia="仿宋"/>
          <w:color w:val="000000"/>
          <w:sz w:val="32"/>
          <w:szCs w:val="32"/>
        </w:rPr>
        <w:t>%</w:t>
      </w:r>
      <w:r>
        <w:rPr>
          <w:rFonts w:hint="eastAsia" w:ascii="仿宋" w:hAnsi="仿宋" w:eastAsia="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sz w:val="32"/>
          <w:szCs w:val="32"/>
        </w:rPr>
      </w:pPr>
      <w:bookmarkStart w:id="37" w:name="_Toc15396606"/>
      <w:bookmarkStart w:id="38" w:name="_Toc15377208"/>
      <w:r>
        <w:rPr>
          <w:rFonts w:hint="eastAsia" w:ascii="仿宋" w:hAnsi="仿宋" w:eastAsia="仿宋"/>
          <w:color w:val="000000"/>
          <w:sz w:val="32"/>
          <w:szCs w:val="32"/>
        </w:rPr>
        <w:t>图3：支出决算结构图</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outlineLvl w:val="9"/>
        <w:rPr>
          <w:rFonts w:hint="eastAsia" w:ascii="黑体" w:hAnsi="黑体" w:eastAsia="黑体"/>
          <w:color w:val="000000"/>
          <w:sz w:val="32"/>
          <w:szCs w:val="32"/>
        </w:rPr>
      </w:pPr>
      <w:r>
        <w:drawing>
          <wp:anchor distT="0" distB="0" distL="114300" distR="114300" simplePos="0" relativeHeight="251661312" behindDoc="0" locked="0" layoutInCell="1" allowOverlap="1">
            <wp:simplePos x="0" y="0"/>
            <wp:positionH relativeFrom="column">
              <wp:posOffset>414020</wp:posOffset>
            </wp:positionH>
            <wp:positionV relativeFrom="paragraph">
              <wp:posOffset>43815</wp:posOffset>
            </wp:positionV>
            <wp:extent cx="4405630" cy="2206625"/>
            <wp:effectExtent l="4445" t="4445" r="9525" b="17780"/>
            <wp:wrapSquare wrapText="bothSides"/>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8"/>
          <w:rFonts w:ascii="黑体" w:hAnsi="黑体" w:eastAsia="黑体"/>
          <w:b w:val="0"/>
        </w:rPr>
      </w:pPr>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7"/>
      <w:bookmarkEnd w:id="3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17101.90</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631.67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3.84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2021年</w:t>
      </w:r>
      <w:r>
        <w:rPr>
          <w:rFonts w:hint="eastAsia" w:ascii="仿宋" w:hAnsi="仿宋" w:eastAsia="仿宋"/>
          <w:color w:val="000000"/>
          <w:sz w:val="32"/>
          <w:szCs w:val="32"/>
          <w:lang w:eastAsia="zh-CN"/>
        </w:rPr>
        <w:t>学生人数增加，生均拨款收入增加。</w:t>
      </w:r>
    </w:p>
    <w:p>
      <w:pPr>
        <w:spacing w:line="600" w:lineRule="exact"/>
        <w:ind w:firstLine="640" w:firstLineChars="200"/>
        <w:rPr>
          <w:rFonts w:ascii="仿宋" w:hAnsi="仿宋" w:eastAsia="仿宋"/>
          <w:color w:val="000000"/>
          <w:sz w:val="32"/>
          <w:szCs w:val="32"/>
        </w:rPr>
      </w:pPr>
      <w:bookmarkStart w:id="39" w:name="_Toc15396607"/>
      <w:bookmarkStart w:id="40" w:name="_Toc15377209"/>
      <w:r>
        <w:rPr>
          <w:rFonts w:hint="eastAsia" w:ascii="仿宋" w:hAnsi="仿宋" w:eastAsia="仿宋"/>
          <w:color w:val="000000"/>
          <w:sz w:val="32"/>
          <w:szCs w:val="32"/>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outlineLvl w:val="9"/>
        <w:rPr>
          <w:rFonts w:hint="eastAsia" w:ascii="黑体" w:hAnsi="黑体" w:eastAsia="黑体"/>
          <w:color w:val="000000"/>
          <w:sz w:val="32"/>
          <w:szCs w:val="32"/>
        </w:rPr>
      </w:pPr>
      <w:r>
        <w:drawing>
          <wp:anchor distT="0" distB="0" distL="114300" distR="114300" simplePos="0" relativeHeight="251662336" behindDoc="0" locked="0" layoutInCell="1" allowOverlap="1">
            <wp:simplePos x="0" y="0"/>
            <wp:positionH relativeFrom="column">
              <wp:posOffset>442595</wp:posOffset>
            </wp:positionH>
            <wp:positionV relativeFrom="paragraph">
              <wp:posOffset>62865</wp:posOffset>
            </wp:positionV>
            <wp:extent cx="4348480" cy="2073275"/>
            <wp:effectExtent l="5080" t="4445" r="8890" b="17780"/>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olor w:val="000000"/>
          <w:sz w:val="32"/>
          <w:szCs w:val="32"/>
        </w:rPr>
      </w:pPr>
    </w:p>
    <w:bookmarkEnd w:id="39"/>
    <w:bookmarkEnd w:id="40"/>
    <w:p>
      <w:pPr>
        <w:spacing w:line="600" w:lineRule="exact"/>
        <w:outlineLvl w:val="1"/>
        <w:rPr>
          <w:rFonts w:hint="eastAsia" w:ascii="黑体" w:hAnsi="黑体" w:eastAsia="黑体"/>
          <w:color w:val="000000"/>
          <w:sz w:val="32"/>
          <w:szCs w:val="32"/>
        </w:rPr>
      </w:pPr>
      <w:bookmarkStart w:id="41" w:name="_Toc15377210"/>
    </w:p>
    <w:p>
      <w:pPr>
        <w:spacing w:line="600" w:lineRule="exact"/>
        <w:ind w:firstLine="640" w:firstLineChars="200"/>
        <w:outlineLvl w:val="1"/>
        <w:rPr>
          <w:rFonts w:hint="eastAsia" w:ascii="仿宋" w:hAnsi="仿宋" w:eastAsia="仿宋"/>
          <w:b/>
          <w:color w:val="000000"/>
          <w:sz w:val="32"/>
          <w:szCs w:val="32"/>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color w:val="000000"/>
          <w:sz w:val="32"/>
          <w:szCs w:val="32"/>
        </w:rPr>
      </w:pPr>
      <w:r>
        <w:rPr>
          <w:rFonts w:hint="eastAsia" w:ascii="仿宋" w:hAnsi="仿宋" w:eastAsia="仿宋"/>
          <w:b/>
          <w:color w:val="000000"/>
          <w:sz w:val="32"/>
          <w:szCs w:val="32"/>
        </w:rPr>
        <w:t>（一）一般公共预算财政拨款支出决算总体情况</w:t>
      </w:r>
      <w:bookmarkEnd w:id="4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16090.74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81.98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4641.87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40.55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2021年学校工资福利支出和工程建设支出增加。</w:t>
      </w:r>
    </w:p>
    <w:p>
      <w:pPr>
        <w:spacing w:line="600" w:lineRule="exact"/>
        <w:ind w:firstLine="640" w:firstLineChars="200"/>
      </w:pPr>
      <w:r>
        <w:rPr>
          <w:rFonts w:hint="eastAsia" w:ascii="仿宋" w:hAnsi="仿宋" w:eastAsia="仿宋"/>
          <w:color w:val="000000"/>
          <w:sz w:val="32"/>
          <w:szCs w:val="32"/>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outlineLvl w:val="9"/>
        <w:rPr>
          <w:rFonts w:hint="eastAsia" w:ascii="仿宋" w:hAnsi="仿宋" w:eastAsia="仿宋"/>
          <w:b/>
          <w:color w:val="000000"/>
          <w:sz w:val="32"/>
          <w:szCs w:val="32"/>
        </w:rPr>
      </w:pPr>
      <w:bookmarkStart w:id="42" w:name="_Toc15377211"/>
      <w:r>
        <w:drawing>
          <wp:anchor distT="0" distB="0" distL="114300" distR="114300" simplePos="0" relativeHeight="251663360" behindDoc="0" locked="0" layoutInCell="1" allowOverlap="1">
            <wp:simplePos x="0" y="0"/>
            <wp:positionH relativeFrom="column">
              <wp:posOffset>433070</wp:posOffset>
            </wp:positionH>
            <wp:positionV relativeFrom="paragraph">
              <wp:posOffset>257810</wp:posOffset>
            </wp:positionV>
            <wp:extent cx="4330065" cy="2064385"/>
            <wp:effectExtent l="4445" t="4445" r="8890" b="7620"/>
            <wp:wrapSquare wrapText="bothSides"/>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hAnsi="仿宋" w:eastAsia="仿宋"/>
          <w:b/>
          <w:color w:val="000000"/>
          <w:sz w:val="32"/>
          <w:szCs w:val="32"/>
        </w:rPr>
      </w:pP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lang w:eastAsia="zh-CN"/>
        </w:rPr>
        <w:t>（</w:t>
      </w:r>
      <w:r>
        <w:rPr>
          <w:rFonts w:hint="eastAsia" w:ascii="仿宋" w:hAnsi="仿宋" w:eastAsia="仿宋"/>
          <w:b/>
          <w:color w:val="000000"/>
          <w:sz w:val="32"/>
          <w:szCs w:val="32"/>
        </w:rPr>
        <w:t>二）一般公共预算财政拨款支出决算结构情况</w:t>
      </w:r>
      <w:bookmarkEnd w:id="4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16090.74</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教育支出</w:t>
      </w:r>
      <w:r>
        <w:rPr>
          <w:rFonts w:hint="eastAsia" w:ascii="仿宋" w:hAnsi="仿宋" w:eastAsia="仿宋"/>
          <w:color w:val="000000" w:themeColor="text1"/>
          <w:sz w:val="32"/>
          <w:szCs w:val="32"/>
          <w:lang w:val="en-US" w:eastAsia="zh-CN"/>
          <w14:textFill>
            <w14:solidFill>
              <w14:schemeClr w14:val="tx1"/>
            </w14:solidFill>
          </w14:textFill>
        </w:rPr>
        <w:t>14771.29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91.80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社会保障和就业</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520.07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3.23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205.23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1.28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594.15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3.69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 w:hAnsi="仿宋" w:eastAsia="仿宋"/>
          <w:b/>
          <w:color w:val="000000"/>
          <w:sz w:val="32"/>
          <w:szCs w:val="32"/>
        </w:rPr>
      </w:pPr>
      <w:bookmarkStart w:id="43" w:name="_Toc15377212"/>
      <w:r>
        <w:rPr>
          <w:rFonts w:hint="eastAsia" w:ascii="仿宋" w:hAnsi="仿宋" w:eastAsia="仿宋"/>
          <w:color w:val="000000"/>
          <w:sz w:val="32"/>
          <w:szCs w:val="32"/>
        </w:rPr>
        <w:t>图6：一般公共预算财政拨款支出决算结构</w:t>
      </w:r>
    </w:p>
    <w:bookmarkEnd w:id="43"/>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outlineLvl w:val="9"/>
        <w:rPr>
          <w:rFonts w:hint="eastAsia" w:ascii="仿宋" w:hAnsi="仿宋" w:eastAsia="仿宋"/>
          <w:b/>
          <w:color w:val="000000"/>
          <w:sz w:val="32"/>
          <w:szCs w:val="32"/>
        </w:rPr>
      </w:pPr>
      <w:bookmarkStart w:id="44" w:name="_Toc15377444"/>
      <w:bookmarkStart w:id="45" w:name="_Toc15377213"/>
      <w:bookmarkStart w:id="46" w:name="_Toc15378460"/>
      <w:r>
        <w:drawing>
          <wp:anchor distT="0" distB="0" distL="114300" distR="114300" simplePos="0" relativeHeight="251664384" behindDoc="0" locked="0" layoutInCell="1" allowOverlap="1">
            <wp:simplePos x="0" y="0"/>
            <wp:positionH relativeFrom="column">
              <wp:posOffset>433070</wp:posOffset>
            </wp:positionH>
            <wp:positionV relativeFrom="paragraph">
              <wp:posOffset>109220</wp:posOffset>
            </wp:positionV>
            <wp:extent cx="4386580" cy="2056130"/>
            <wp:effectExtent l="4445" t="5080" r="9525" b="15240"/>
            <wp:wrapSquare wrapText="bothSides"/>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FF0000"/>
          <w:sz w:val="32"/>
          <w:szCs w:val="32"/>
        </w:rPr>
      </w:pPr>
      <w:r>
        <w:rPr>
          <w:rFonts w:hint="eastAsia" w:ascii="仿宋" w:hAnsi="仿宋" w:eastAsia="仿宋"/>
          <w:b w:val="0"/>
          <w:bCs/>
          <w:color w:val="000000" w:themeColor="text1"/>
          <w:sz w:val="32"/>
          <w:szCs w:val="32"/>
          <w:lang w:val="en-US" w:eastAsia="zh-CN"/>
          <w14:textFill>
            <w14:solidFill>
              <w14:schemeClr w14:val="tx1"/>
            </w14:solidFill>
          </w14:textFill>
        </w:rPr>
        <w:t>2021</w:t>
      </w:r>
      <w:r>
        <w:rPr>
          <w:rFonts w:hint="eastAsia" w:ascii="仿宋" w:hAnsi="仿宋" w:eastAsia="仿宋"/>
          <w:b w:val="0"/>
          <w:bCs/>
          <w:color w:val="000000" w:themeColor="text1"/>
          <w:sz w:val="32"/>
          <w:szCs w:val="32"/>
          <w14:textFill>
            <w14:solidFill>
              <w14:schemeClr w14:val="tx1"/>
            </w14:solidFill>
          </w14:textFill>
        </w:rPr>
        <w:t>年</w:t>
      </w:r>
      <w:r>
        <w:rPr>
          <w:rFonts w:hint="eastAsia" w:ascii="仿宋" w:hAnsi="仿宋" w:eastAsia="仿宋"/>
          <w:b w:val="0"/>
          <w:bCs/>
          <w:color w:val="000000" w:themeColor="text1"/>
          <w:sz w:val="32"/>
          <w:szCs w:val="32"/>
          <w:lang w:eastAsia="zh-CN"/>
          <w14:textFill>
            <w14:solidFill>
              <w14:schemeClr w14:val="tx1"/>
            </w14:solidFill>
          </w14:textFill>
        </w:rPr>
        <w:t>一</w:t>
      </w:r>
      <w:r>
        <w:rPr>
          <w:rFonts w:hint="eastAsia" w:ascii="仿宋" w:hAnsi="仿宋" w:eastAsia="仿宋"/>
          <w:b w:val="0"/>
          <w:bCs/>
          <w:color w:val="000000" w:themeColor="text1"/>
          <w:sz w:val="32"/>
          <w:szCs w:val="32"/>
          <w14:textFill>
            <w14:solidFill>
              <w14:schemeClr w14:val="tx1"/>
            </w14:solidFill>
          </w14:textFill>
        </w:rPr>
        <w:t>般公共预算支出决算数为</w:t>
      </w:r>
      <w:r>
        <w:rPr>
          <w:rFonts w:hint="eastAsia" w:ascii="仿宋" w:hAnsi="仿宋" w:eastAsia="仿宋"/>
          <w:color w:val="000000"/>
          <w:sz w:val="32"/>
          <w:szCs w:val="32"/>
          <w:lang w:val="en-US" w:eastAsia="zh-CN"/>
        </w:rPr>
        <w:t>16090.74</w:t>
      </w:r>
      <w:r>
        <w:rPr>
          <w:rFonts w:hint="eastAsia" w:ascii="仿宋" w:hAnsi="仿宋" w:eastAsia="仿宋"/>
          <w:b w:val="0"/>
          <w:bCs/>
          <w:color w:val="000000"/>
          <w:sz w:val="32"/>
          <w:szCs w:val="32"/>
          <w:lang w:val="en-US" w:eastAsia="zh-CN"/>
        </w:rPr>
        <w:t>万元</w:t>
      </w:r>
      <w:r>
        <w:rPr>
          <w:rFonts w:hint="eastAsia" w:ascii="仿宋" w:hAnsi="仿宋" w:eastAsia="仿宋"/>
          <w:b w:val="0"/>
          <w:bCs/>
          <w:color w:val="000000" w:themeColor="text1"/>
          <w:sz w:val="32"/>
          <w:szCs w:val="32"/>
          <w14:textFill>
            <w14:solidFill>
              <w14:schemeClr w14:val="tx1"/>
            </w14:solidFill>
          </w14:textFill>
        </w:rPr>
        <w:t>，</w:t>
      </w:r>
      <w:r>
        <w:rPr>
          <w:rStyle w:val="16"/>
          <w:rFonts w:hint="eastAsia" w:ascii="仿宋" w:hAnsi="仿宋" w:eastAsia="仿宋"/>
          <w:b w:val="0"/>
          <w:bCs/>
          <w:color w:val="000000" w:themeColor="text1"/>
          <w:sz w:val="32"/>
          <w:szCs w:val="32"/>
          <w14:textFill>
            <w14:solidFill>
              <w14:schemeClr w14:val="tx1"/>
            </w14:solidFill>
          </w14:textFill>
        </w:rPr>
        <w:t>完成</w:t>
      </w:r>
      <w:r>
        <w:rPr>
          <w:rStyle w:val="16"/>
          <w:rFonts w:hint="eastAsia" w:ascii="仿宋" w:hAnsi="仿宋" w:eastAsia="仿宋"/>
          <w:b w:val="0"/>
          <w:bCs/>
          <w:color w:val="000000"/>
          <w:sz w:val="32"/>
          <w:szCs w:val="32"/>
        </w:rPr>
        <w:t>预算</w:t>
      </w:r>
      <w:r>
        <w:rPr>
          <w:rStyle w:val="16"/>
          <w:rFonts w:hint="eastAsia" w:ascii="仿宋" w:hAnsi="仿宋" w:eastAsia="仿宋"/>
          <w:b w:val="0"/>
          <w:bCs/>
          <w:color w:val="000000"/>
          <w:sz w:val="32"/>
          <w:szCs w:val="32"/>
          <w:lang w:val="en-US" w:eastAsia="zh-CN"/>
        </w:rPr>
        <w:t>94.64</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。其中：</w:t>
      </w:r>
      <w:bookmarkEnd w:id="44"/>
      <w:bookmarkEnd w:id="45"/>
      <w:bookmarkEnd w:id="4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b/>
          <w:color w:val="auto"/>
          <w:sz w:val="32"/>
          <w:szCs w:val="32"/>
          <w:lang w:eastAsia="zh-CN"/>
        </w:rPr>
      </w:pPr>
      <w:r>
        <w:rPr>
          <w:rStyle w:val="16"/>
          <w:rFonts w:hint="eastAsia" w:ascii="仿宋" w:hAnsi="仿宋" w:eastAsia="仿宋"/>
          <w:bCs/>
          <w:color w:val="000000"/>
          <w:sz w:val="32"/>
          <w:szCs w:val="32"/>
        </w:rPr>
        <w:t>1</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教育（类）职业教育（款）</w:t>
      </w:r>
      <w:r>
        <w:rPr>
          <w:rStyle w:val="16"/>
          <w:rFonts w:hint="eastAsia" w:ascii="仿宋" w:hAnsi="仿宋" w:eastAsia="仿宋"/>
          <w:bCs/>
          <w:color w:val="000000"/>
          <w:sz w:val="32"/>
          <w:szCs w:val="32"/>
          <w:lang w:eastAsia="zh-CN"/>
        </w:rPr>
        <w:t>中等</w:t>
      </w:r>
      <w:r>
        <w:rPr>
          <w:rStyle w:val="16"/>
          <w:rFonts w:hint="eastAsia" w:ascii="仿宋" w:hAnsi="仿宋" w:eastAsia="仿宋"/>
          <w:bCs/>
          <w:color w:val="000000"/>
          <w:sz w:val="32"/>
          <w:szCs w:val="32"/>
        </w:rPr>
        <w:t>职业教育（项）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14:textFill>
            <w14:solidFill>
              <w14:schemeClr w14:val="tx1"/>
            </w14:solidFill>
          </w14:textFill>
        </w:rPr>
        <w:t>116.60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default" w:ascii="仿宋" w:hAnsi="仿宋" w:eastAsia="仿宋"/>
          <w:b w:val="0"/>
          <w:bCs/>
          <w:color w:val="auto"/>
          <w:sz w:val="32"/>
          <w:szCs w:val="32"/>
          <w:lang w:val="en-US" w:eastAsia="zh-CN"/>
        </w:rPr>
      </w:pPr>
      <w:r>
        <w:rPr>
          <w:rStyle w:val="16"/>
          <w:rFonts w:hint="eastAsia" w:ascii="仿宋" w:hAnsi="仿宋" w:eastAsia="仿宋"/>
          <w:bCs/>
          <w:color w:val="000000"/>
          <w:sz w:val="32"/>
          <w:szCs w:val="32"/>
          <w:lang w:val="en-US" w:eastAsia="zh-CN"/>
        </w:rPr>
        <w:t>2</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教育（类）职业教育（款）高等职业教育（项）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14:textFill>
            <w14:solidFill>
              <w14:schemeClr w14:val="tx1"/>
            </w14:solidFill>
          </w14:textFill>
        </w:rPr>
        <w:t>14654.69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94.31</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决算数小于预算数的主要原因是</w:t>
      </w:r>
      <w:r>
        <w:rPr>
          <w:rStyle w:val="16"/>
          <w:rFonts w:hint="eastAsia" w:ascii="仿宋" w:hAnsi="仿宋" w:eastAsia="仿宋"/>
          <w:b w:val="0"/>
          <w:bCs/>
          <w:color w:val="auto"/>
          <w:sz w:val="32"/>
          <w:szCs w:val="32"/>
          <w:lang w:eastAsia="zh-CN"/>
        </w:rPr>
        <w:t>结转部分人员经费于</w:t>
      </w:r>
      <w:r>
        <w:rPr>
          <w:rStyle w:val="16"/>
          <w:rFonts w:hint="eastAsia" w:ascii="仿宋" w:hAnsi="仿宋" w:eastAsia="仿宋"/>
          <w:b w:val="0"/>
          <w:bCs/>
          <w:color w:val="auto"/>
          <w:sz w:val="32"/>
          <w:szCs w:val="32"/>
          <w:lang w:val="en-US" w:eastAsia="zh-CN"/>
        </w:rPr>
        <w:t>2022年1月发放。</w:t>
      </w:r>
    </w:p>
    <w:p>
      <w:pPr>
        <w:spacing w:line="600" w:lineRule="exact"/>
        <w:ind w:firstLine="643" w:firstLineChars="200"/>
        <w:rPr>
          <w:rStyle w:val="16"/>
          <w:rFonts w:hint="eastAsia" w:ascii="仿宋" w:hAnsi="仿宋" w:eastAsia="仿宋"/>
          <w:b w:val="0"/>
          <w:bCs/>
          <w:color w:val="000000"/>
          <w:sz w:val="32"/>
          <w:szCs w:val="32"/>
          <w:lang w:eastAsia="zh-CN"/>
        </w:rPr>
      </w:pPr>
      <w:r>
        <w:rPr>
          <w:rStyle w:val="16"/>
          <w:rFonts w:hint="eastAsia" w:ascii="仿宋" w:hAnsi="仿宋" w:eastAsia="仿宋"/>
          <w:bCs/>
          <w:color w:val="000000"/>
          <w:sz w:val="32"/>
          <w:szCs w:val="32"/>
          <w:lang w:val="en-US" w:eastAsia="zh-CN"/>
        </w:rPr>
        <w:t>3</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社会保障和就业（类）人力资源和社会保障管理事务（款）其他人力资源和社会保障管理事务支出（项）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5.1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4</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社会保障和就业（类）行政事业单位养老支出（款） 机关事业单位基本养老保险缴费支出（项）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414.89</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Cs/>
          <w:color w:val="000000"/>
          <w:sz w:val="32"/>
          <w:szCs w:val="32"/>
          <w:lang w:val="en-US" w:eastAsia="zh-CN"/>
        </w:rPr>
      </w:pPr>
      <w:r>
        <w:rPr>
          <w:rStyle w:val="16"/>
          <w:rFonts w:hint="eastAsia" w:ascii="仿宋" w:hAnsi="仿宋" w:eastAsia="仿宋"/>
          <w:bCs/>
          <w:color w:val="000000"/>
          <w:sz w:val="32"/>
          <w:szCs w:val="32"/>
          <w:lang w:val="en-US" w:eastAsia="zh-CN"/>
        </w:rPr>
        <w:t>5.</w:t>
      </w:r>
      <w:r>
        <w:rPr>
          <w:rStyle w:val="16"/>
          <w:rFonts w:hint="eastAsia" w:ascii="仿宋" w:hAnsi="仿宋" w:eastAsia="仿宋"/>
          <w:bCs/>
          <w:color w:val="000000"/>
          <w:sz w:val="32"/>
          <w:szCs w:val="32"/>
        </w:rPr>
        <w:t>社会保障和就业（类）行政事业单位养老支出（款）机关事业单位职业年金缴费支出（项）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44.46</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Cs/>
          <w:color w:val="000000"/>
          <w:sz w:val="32"/>
          <w:szCs w:val="32"/>
          <w:lang w:val="en-US" w:eastAsia="zh-CN"/>
        </w:rPr>
      </w:pPr>
      <w:r>
        <w:rPr>
          <w:rStyle w:val="16"/>
          <w:rFonts w:hint="eastAsia" w:ascii="仿宋" w:hAnsi="仿宋" w:eastAsia="仿宋"/>
          <w:bCs/>
          <w:color w:val="000000"/>
          <w:sz w:val="32"/>
          <w:szCs w:val="32"/>
          <w:lang w:val="en-US" w:eastAsia="zh-CN"/>
        </w:rPr>
        <w:t>6.</w:t>
      </w:r>
      <w:r>
        <w:rPr>
          <w:rStyle w:val="16"/>
          <w:rFonts w:hint="eastAsia" w:ascii="仿宋" w:hAnsi="仿宋" w:eastAsia="仿宋"/>
          <w:bCs/>
          <w:color w:val="000000"/>
          <w:sz w:val="32"/>
          <w:szCs w:val="32"/>
        </w:rPr>
        <w:t>社会保障和就业（类）其他社会保障和就业支出（款）其他社会保障和就业支出（项）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55.62</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Cs/>
          <w:color w:val="000000"/>
          <w:sz w:val="32"/>
          <w:szCs w:val="32"/>
          <w:lang w:val="en-US" w:eastAsia="zh-CN"/>
        </w:rPr>
      </w:pPr>
      <w:r>
        <w:rPr>
          <w:rStyle w:val="16"/>
          <w:rFonts w:hint="eastAsia" w:ascii="仿宋" w:hAnsi="仿宋" w:eastAsia="仿宋"/>
          <w:bCs/>
          <w:color w:val="000000"/>
          <w:sz w:val="32"/>
          <w:szCs w:val="32"/>
          <w:lang w:val="en-US" w:eastAsia="zh-CN"/>
        </w:rPr>
        <w:t>7</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卫生健康支出（类）公共卫生（款）</w:t>
      </w:r>
      <w:r>
        <w:rPr>
          <w:rStyle w:val="16"/>
          <w:rFonts w:hint="eastAsia" w:ascii="仿宋" w:hAnsi="仿宋" w:eastAsia="仿宋"/>
          <w:bCs/>
          <w:color w:val="000000"/>
          <w:sz w:val="32"/>
          <w:szCs w:val="32"/>
          <w:lang w:eastAsia="zh-CN"/>
        </w:rPr>
        <w:t>其他公共卫生支出</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14:textFill>
            <w14:solidFill>
              <w14:schemeClr w14:val="tx1"/>
            </w14:solidFill>
          </w14:textFill>
        </w:rPr>
        <w:t>4</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8</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卫生健康支出（类）行政事业单位医疗（款）</w:t>
      </w:r>
      <w:r>
        <w:rPr>
          <w:rStyle w:val="16"/>
          <w:rFonts w:hint="eastAsia" w:ascii="仿宋" w:hAnsi="仿宋" w:eastAsia="仿宋"/>
          <w:bCs/>
          <w:color w:val="000000"/>
          <w:sz w:val="32"/>
          <w:szCs w:val="32"/>
          <w:lang w:eastAsia="zh-CN"/>
        </w:rPr>
        <w:t>事业</w:t>
      </w:r>
      <w:r>
        <w:rPr>
          <w:rStyle w:val="16"/>
          <w:rFonts w:hint="eastAsia" w:ascii="仿宋" w:hAnsi="仿宋" w:eastAsia="仿宋"/>
          <w:bCs/>
          <w:color w:val="000000"/>
          <w:sz w:val="32"/>
          <w:szCs w:val="32"/>
        </w:rPr>
        <w:t>单位医疗（项）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14:textFill>
            <w14:solidFill>
              <w14:schemeClr w14:val="tx1"/>
            </w14:solidFill>
          </w14:textFill>
        </w:rPr>
        <w:t>201.23</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hint="eastAsia" w:ascii="黑体" w:eastAsia="黑体"/>
          <w:color w:val="000000"/>
          <w:sz w:val="32"/>
          <w:szCs w:val="32"/>
        </w:rPr>
      </w:pPr>
      <w:r>
        <w:rPr>
          <w:rStyle w:val="16"/>
          <w:rFonts w:hint="eastAsia" w:ascii="仿宋" w:hAnsi="仿宋" w:eastAsia="仿宋"/>
          <w:bCs/>
          <w:color w:val="000000"/>
          <w:sz w:val="32"/>
          <w:szCs w:val="32"/>
          <w:lang w:val="en-US" w:eastAsia="zh-CN"/>
        </w:rPr>
        <w:t>9</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住房保障支出（类）住房改革支出（款）住房公积金（项）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14:textFill>
            <w14:solidFill>
              <w14:schemeClr w14:val="tx1"/>
            </w14:solidFill>
          </w14:textFill>
        </w:rPr>
        <w:t>526.65</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bookmarkStart w:id="47" w:name="_Toc15396608"/>
      <w:bookmarkStart w:id="48" w:name="_Toc15377214"/>
    </w:p>
    <w:p>
      <w:pPr>
        <w:spacing w:line="600" w:lineRule="exact"/>
        <w:ind w:firstLine="643" w:firstLineChars="200"/>
        <w:rPr>
          <w:rFonts w:hint="eastAsia" w:ascii="黑体" w:eastAsia="黑体"/>
          <w:color w:val="000000"/>
          <w:sz w:val="32"/>
          <w:szCs w:val="32"/>
        </w:rPr>
      </w:pPr>
      <w:r>
        <w:rPr>
          <w:rStyle w:val="16"/>
          <w:rFonts w:hint="eastAsia" w:ascii="仿宋" w:hAnsi="仿宋" w:eastAsia="仿宋"/>
          <w:bCs/>
          <w:color w:val="000000"/>
          <w:sz w:val="32"/>
          <w:szCs w:val="32"/>
          <w:lang w:val="en-US" w:eastAsia="zh-CN"/>
        </w:rPr>
        <w:t>10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住房保障支出（类）住房改革支出（款）购房补贴（项）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14:textFill>
            <w14:solidFill>
              <w14:schemeClr w14:val="tx1"/>
            </w14:solidFill>
          </w14:textFill>
        </w:rPr>
        <w:t>67.5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70.98</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决算数小于预算数的主要原因是引进人才剩余安家费待服务期满发放。</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Style w:val="28"/>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7"/>
      <w:bookmarkEnd w:id="48"/>
      <w:r>
        <w:rPr>
          <w:rStyle w:val="28"/>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10320.42</w:t>
      </w:r>
      <w:r>
        <w:rPr>
          <w:rFonts w:hint="eastAsia" w:ascii="仿宋" w:hAnsi="仿宋" w:eastAsia="仿宋"/>
          <w:color w:val="000000"/>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9712.83</w:t>
      </w:r>
      <w:r>
        <w:rPr>
          <w:rFonts w:hint="eastAsia" w:ascii="仿宋" w:hAnsi="仿宋" w:eastAsia="仿宋"/>
          <w:color w:val="000000"/>
          <w:sz w:val="32"/>
          <w:szCs w:val="32"/>
        </w:rPr>
        <w:t>万元，主要包括：基本工资、津贴补贴、绩效工资、机关事业单位基本养老保险缴费、职业年金缴费、职工基本医疗保险缴费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其他社会保障缴费、住房公积金、其他工资福利支出、生活补助、</w:t>
      </w:r>
      <w:r>
        <w:rPr>
          <w:rFonts w:hint="eastAsia" w:ascii="仿宋" w:hAnsi="仿宋" w:eastAsia="仿宋"/>
          <w:color w:val="000000"/>
          <w:sz w:val="32"/>
          <w:szCs w:val="32"/>
          <w:lang w:eastAsia="zh-CN"/>
        </w:rPr>
        <w:t>助学金、</w:t>
      </w:r>
      <w:r>
        <w:rPr>
          <w:rFonts w:hint="eastAsia" w:ascii="仿宋" w:hAnsi="仿宋" w:eastAsia="仿宋"/>
          <w:color w:val="000000"/>
          <w:sz w:val="32"/>
          <w:szCs w:val="32"/>
        </w:rPr>
        <w:t>奖励金</w:t>
      </w:r>
      <w:r>
        <w:rPr>
          <w:rFonts w:hint="eastAsia" w:ascii="仿宋" w:hAnsi="仿宋" w:eastAsia="仿宋"/>
          <w:color w:val="000000"/>
          <w:sz w:val="32"/>
          <w:szCs w:val="32"/>
          <w:lang w:eastAsia="zh-CN"/>
        </w:rPr>
        <w:t>和</w:t>
      </w:r>
      <w:r>
        <w:rPr>
          <w:rFonts w:hint="eastAsia" w:ascii="仿宋" w:hAnsi="仿宋" w:eastAsia="仿宋"/>
          <w:color w:val="000000"/>
          <w:sz w:val="32"/>
          <w:szCs w:val="32"/>
        </w:rPr>
        <w:t>其他对个人和家庭的补助支出。</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607.59</w:t>
      </w:r>
      <w:r>
        <w:rPr>
          <w:rFonts w:hint="eastAsia" w:ascii="仿宋" w:hAnsi="仿宋" w:eastAsia="仿宋"/>
          <w:color w:val="000000"/>
          <w:sz w:val="32"/>
          <w:szCs w:val="32"/>
        </w:rPr>
        <w:t>万元，主要包括：办公费、印刷费</w:t>
      </w:r>
      <w:r>
        <w:rPr>
          <w:rFonts w:hint="eastAsia" w:ascii="仿宋" w:hAnsi="仿宋" w:eastAsia="仿宋"/>
          <w:color w:val="000000"/>
          <w:sz w:val="32"/>
          <w:szCs w:val="32"/>
          <w:lang w:eastAsia="zh-CN"/>
        </w:rPr>
        <w:t>、</w:t>
      </w:r>
      <w:r>
        <w:rPr>
          <w:rFonts w:hint="eastAsia" w:ascii="仿宋" w:hAnsi="仿宋" w:eastAsia="仿宋"/>
          <w:color w:val="000000"/>
          <w:sz w:val="32"/>
          <w:szCs w:val="32"/>
        </w:rPr>
        <w:t>手续费、</w:t>
      </w:r>
      <w:r>
        <w:rPr>
          <w:rFonts w:hint="eastAsia" w:ascii="仿宋" w:hAnsi="仿宋" w:eastAsia="仿宋"/>
          <w:color w:val="000000"/>
          <w:sz w:val="32"/>
          <w:szCs w:val="32"/>
          <w:lang w:eastAsia="zh-CN"/>
        </w:rPr>
        <w:t>水费、电费、邮电费、</w:t>
      </w:r>
      <w:r>
        <w:rPr>
          <w:rFonts w:hint="eastAsia" w:ascii="仿宋" w:hAnsi="仿宋" w:eastAsia="仿宋"/>
          <w:color w:val="000000"/>
          <w:sz w:val="32"/>
          <w:szCs w:val="32"/>
        </w:rPr>
        <w:t>差旅费、</w:t>
      </w:r>
      <w:r>
        <w:rPr>
          <w:rFonts w:hint="eastAsia" w:ascii="仿宋" w:hAnsi="仿宋" w:eastAsia="仿宋"/>
          <w:color w:val="000000"/>
          <w:sz w:val="32"/>
          <w:szCs w:val="32"/>
          <w:lang w:eastAsia="zh-CN"/>
        </w:rPr>
        <w:t>租赁费、</w:t>
      </w:r>
      <w:r>
        <w:rPr>
          <w:rFonts w:hint="eastAsia" w:ascii="仿宋" w:hAnsi="仿宋" w:eastAsia="仿宋"/>
          <w:color w:val="000000"/>
          <w:sz w:val="32"/>
          <w:szCs w:val="32"/>
        </w:rPr>
        <w:t>培训费</w:t>
      </w:r>
      <w:r>
        <w:rPr>
          <w:rFonts w:hint="eastAsia" w:ascii="仿宋" w:hAnsi="仿宋" w:eastAsia="仿宋"/>
          <w:color w:val="000000"/>
          <w:sz w:val="32"/>
          <w:szCs w:val="32"/>
          <w:lang w:eastAsia="zh-CN"/>
        </w:rPr>
        <w:t>、</w:t>
      </w:r>
      <w:r>
        <w:rPr>
          <w:rFonts w:hint="eastAsia" w:ascii="仿宋" w:hAnsi="仿宋" w:eastAsia="仿宋"/>
          <w:color w:val="000000"/>
          <w:sz w:val="32"/>
          <w:szCs w:val="32"/>
        </w:rPr>
        <w:t>劳务费</w:t>
      </w:r>
      <w:bookmarkStart w:id="91" w:name="_GoBack"/>
      <w:bookmarkEnd w:id="91"/>
      <w:r>
        <w:rPr>
          <w:rFonts w:hint="eastAsia" w:ascii="仿宋" w:hAnsi="仿宋" w:eastAsia="仿宋"/>
          <w:color w:val="000000"/>
          <w:sz w:val="32"/>
          <w:szCs w:val="32"/>
          <w:lang w:eastAsia="zh-CN"/>
        </w:rPr>
        <w:t>、</w:t>
      </w:r>
      <w:r>
        <w:rPr>
          <w:rFonts w:hint="eastAsia" w:ascii="仿宋" w:hAnsi="仿宋" w:eastAsia="仿宋"/>
          <w:color w:val="000000"/>
          <w:sz w:val="32"/>
          <w:szCs w:val="32"/>
        </w:rPr>
        <w:t>工会经费、福利费、其他交通费</w:t>
      </w:r>
      <w:r>
        <w:rPr>
          <w:rFonts w:hint="eastAsia" w:ascii="仿宋" w:hAnsi="仿宋" w:eastAsia="仿宋"/>
          <w:color w:val="000000"/>
          <w:sz w:val="32"/>
          <w:szCs w:val="32"/>
          <w:lang w:eastAsia="zh-CN"/>
        </w:rPr>
        <w:t>和</w:t>
      </w:r>
      <w:r>
        <w:rPr>
          <w:rFonts w:hint="eastAsia" w:ascii="仿宋" w:hAnsi="仿宋" w:eastAsia="仿宋"/>
          <w:color w:val="000000"/>
          <w:sz w:val="32"/>
          <w:szCs w:val="32"/>
        </w:rPr>
        <w:t>其他商品和服务支出。</w:t>
      </w:r>
      <w:bookmarkStart w:id="49" w:name="_Toc15377215"/>
      <w:bookmarkStart w:id="50" w:name="_Toc1539660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8"/>
          <w:rFonts w:ascii="黑体" w:hAnsi="黑体" w:eastAsia="黑体"/>
          <w:b w:val="0"/>
          <w:color w:val="auto"/>
        </w:rPr>
      </w:pPr>
      <w:r>
        <w:rPr>
          <w:rFonts w:hint="eastAsia" w:ascii="黑体" w:eastAsia="黑体"/>
          <w:color w:val="auto"/>
          <w:sz w:val="32"/>
          <w:szCs w:val="32"/>
        </w:rPr>
        <w:t>七、</w:t>
      </w:r>
      <w:r>
        <w:rPr>
          <w:rStyle w:val="28"/>
          <w:rFonts w:hint="eastAsia" w:ascii="黑体" w:hAnsi="黑体" w:eastAsia="黑体"/>
          <w:color w:val="auto"/>
        </w:rPr>
        <w:t>“</w:t>
      </w:r>
      <w:r>
        <w:rPr>
          <w:rStyle w:val="28"/>
          <w:rFonts w:hint="eastAsia" w:ascii="黑体" w:hAnsi="黑体" w:eastAsia="黑体"/>
          <w:b w:val="0"/>
          <w:color w:val="auto"/>
        </w:rPr>
        <w:t>三公”经费财政拨款支出决算情况说明</w:t>
      </w:r>
      <w:bookmarkEnd w:id="49"/>
      <w:bookmarkEnd w:id="5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color w:val="auto"/>
          <w:sz w:val="32"/>
          <w:szCs w:val="32"/>
        </w:rPr>
      </w:pPr>
      <w:bookmarkStart w:id="51" w:name="_Toc15377216"/>
      <w:r>
        <w:rPr>
          <w:rFonts w:hint="eastAsia" w:ascii="仿宋" w:hAnsi="仿宋" w:eastAsia="仿宋"/>
          <w:b/>
          <w:color w:val="auto"/>
          <w:sz w:val="32"/>
          <w:szCs w:val="32"/>
        </w:rPr>
        <w:t>（一）“三公”经费财政拨款支出决算总体情况说明</w:t>
      </w:r>
      <w:bookmarkEnd w:id="51"/>
    </w:p>
    <w:p>
      <w:pPr>
        <w:spacing w:line="560" w:lineRule="exact"/>
        <w:ind w:firstLine="640"/>
        <w:rPr>
          <w:rFonts w:ascii="仿宋" w:hAnsi="仿宋" w:eastAsia="仿宋"/>
          <w:color w:val="auto"/>
          <w:sz w:val="32"/>
          <w:szCs w:val="32"/>
        </w:rPr>
      </w:pPr>
      <w:bookmarkStart w:id="52" w:name="_Toc15377217"/>
      <w:r>
        <w:rPr>
          <w:rFonts w:ascii="仿宋" w:hAnsi="仿宋" w:eastAsia="仿宋"/>
          <w:color w:val="auto"/>
          <w:sz w:val="32"/>
          <w:szCs w:val="32"/>
        </w:rPr>
        <w:t>20</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年“三公”经费财政拨款支出决算为0万元，</w:t>
      </w:r>
      <w:r>
        <w:rPr>
          <w:rFonts w:hint="eastAsia" w:ascii="仿宋" w:hAnsi="仿宋" w:eastAsia="仿宋"/>
          <w:color w:val="auto"/>
          <w:sz w:val="32"/>
          <w:szCs w:val="32"/>
          <w:lang w:eastAsia="zh-CN"/>
        </w:rPr>
        <w:t>年初未安排</w:t>
      </w:r>
      <w:r>
        <w:rPr>
          <w:rFonts w:hint="eastAsia" w:ascii="仿宋" w:hAnsi="仿宋" w:eastAsia="仿宋"/>
          <w:color w:val="auto"/>
          <w:sz w:val="32"/>
          <w:szCs w:val="32"/>
        </w:rPr>
        <w:t>财政拨款支出</w:t>
      </w:r>
      <w:r>
        <w:rPr>
          <w:rFonts w:hint="eastAsia" w:ascii="仿宋" w:hAnsi="仿宋" w:eastAsia="仿宋"/>
          <w:color w:val="auto"/>
          <w:sz w:val="32"/>
          <w:szCs w:val="32"/>
          <w:lang w:eastAsia="zh-CN"/>
        </w:rPr>
        <w:t>预算</w:t>
      </w:r>
      <w:r>
        <w:rPr>
          <w:rFonts w:hint="eastAsia" w:ascii="仿宋" w:hAnsi="仿宋" w:eastAsia="仿宋"/>
          <w:color w:val="auto"/>
          <w:sz w:val="32"/>
          <w:szCs w:val="32"/>
        </w:rPr>
        <w:t>，“三公”经费支出均为财政专户管理资金支出</w:t>
      </w:r>
      <w:r>
        <w:rPr>
          <w:rFonts w:ascii="仿宋_GB2312" w:eastAsia="仿宋_GB2312"/>
          <w:color w:val="auto"/>
          <w:sz w:val="32"/>
          <w:szCs w:val="32"/>
        </w:rPr>
        <w:t>。</w:t>
      </w:r>
    </w:p>
    <w:p>
      <w:pPr>
        <w:spacing w:line="600" w:lineRule="exact"/>
        <w:ind w:firstLine="640"/>
        <w:outlineLvl w:val="2"/>
        <w:rPr>
          <w:rFonts w:ascii="仿宋" w:hAnsi="仿宋" w:eastAsia="仿宋"/>
          <w:b/>
          <w:color w:val="auto"/>
          <w:sz w:val="32"/>
          <w:szCs w:val="32"/>
        </w:rPr>
      </w:pPr>
      <w:r>
        <w:rPr>
          <w:rFonts w:hint="eastAsia" w:ascii="仿宋" w:hAnsi="仿宋" w:eastAsia="仿宋"/>
          <w:b/>
          <w:color w:val="auto"/>
          <w:sz w:val="32"/>
          <w:szCs w:val="32"/>
        </w:rPr>
        <w:t>（二）“三公”经费财政拨款支出决算具体情况说明</w:t>
      </w:r>
      <w:bookmarkEnd w:id="52"/>
    </w:p>
    <w:p>
      <w:pPr>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2021</w:t>
      </w:r>
      <w:r>
        <w:rPr>
          <w:rFonts w:hint="eastAsia" w:ascii="仿宋" w:hAnsi="仿宋" w:eastAsia="仿宋"/>
          <w:color w:val="auto"/>
          <w:sz w:val="32"/>
          <w:szCs w:val="32"/>
        </w:rPr>
        <w:t>年“三公”经费财政拨款支出决算中，因公出国（境）费支出决算0万元；公务用车购置及运行维护费支出决算0万元；公务接待费支出决算0万元</w:t>
      </w:r>
      <w:r>
        <w:rPr>
          <w:rFonts w:hint="eastAsia" w:ascii="仿宋" w:hAnsi="仿宋" w:eastAsia="仿宋"/>
          <w:color w:val="auto"/>
          <w:sz w:val="32"/>
          <w:szCs w:val="32"/>
          <w:lang w:eastAsia="zh-CN"/>
        </w:rPr>
        <w:t>。</w:t>
      </w:r>
    </w:p>
    <w:p>
      <w:pPr>
        <w:numPr>
          <w:ilvl w:val="0"/>
          <w:numId w:val="0"/>
        </w:numPr>
        <w:spacing w:line="600" w:lineRule="exact"/>
        <w:ind w:firstLine="643" w:firstLineChars="200"/>
        <w:rPr>
          <w:rFonts w:hint="default" w:ascii="仿宋_GB2312" w:eastAsia="仿宋_GB2312"/>
          <w:color w:val="auto"/>
          <w:sz w:val="32"/>
          <w:szCs w:val="32"/>
          <w:lang w:val="en-US" w:eastAsia="zh-CN"/>
        </w:rPr>
      </w:pPr>
      <w:r>
        <w:rPr>
          <w:rFonts w:hint="eastAsia" w:ascii="仿宋_GB2312" w:eastAsia="仿宋_GB2312"/>
          <w:b/>
          <w:bCs w:val="0"/>
          <w:color w:val="auto"/>
          <w:sz w:val="32"/>
          <w:szCs w:val="32"/>
          <w:lang w:val="en-US" w:eastAsia="zh-CN"/>
        </w:rPr>
        <w:t>1.</w:t>
      </w:r>
      <w:r>
        <w:rPr>
          <w:rFonts w:hint="eastAsia" w:ascii="仿宋_GB2312" w:eastAsia="仿宋_GB2312"/>
          <w:b w:val="0"/>
          <w:bCs/>
          <w:color w:val="auto"/>
          <w:sz w:val="32"/>
          <w:szCs w:val="32"/>
        </w:rPr>
        <w:t>因公出国（境）经费支出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，年初未安排预算，</w:t>
      </w:r>
      <w:r>
        <w:rPr>
          <w:rFonts w:hint="eastAsia" w:ascii="仿宋_GB2312" w:eastAsia="仿宋_GB2312"/>
          <w:color w:val="auto"/>
          <w:sz w:val="32"/>
          <w:szCs w:val="32"/>
        </w:rPr>
        <w:t>因公出国（境）支出决算</w:t>
      </w:r>
      <w:r>
        <w:rPr>
          <w:rFonts w:hint="eastAsia" w:ascii="仿宋_GB2312" w:eastAsia="仿宋_GB2312"/>
          <w:color w:val="auto"/>
          <w:sz w:val="32"/>
          <w:szCs w:val="32"/>
          <w:lang w:eastAsia="zh-CN"/>
        </w:rPr>
        <w:t>相</w:t>
      </w:r>
      <w:r>
        <w:rPr>
          <w:rFonts w:hint="eastAsia" w:ascii="仿宋_GB2312" w:eastAsia="仿宋_GB2312"/>
          <w:color w:val="auto"/>
          <w:sz w:val="32"/>
          <w:szCs w:val="32"/>
        </w:rPr>
        <w:t>比</w:t>
      </w: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年无变化。</w:t>
      </w:r>
      <w:r>
        <w:rPr>
          <w:rFonts w:hint="eastAsia" w:ascii="仿宋_GB2312" w:eastAsia="仿宋_GB2312"/>
          <w:color w:val="auto"/>
          <w:sz w:val="32"/>
          <w:szCs w:val="32"/>
          <w:lang w:eastAsia="zh-CN"/>
        </w:rPr>
        <w:t>主要原因是我校</w:t>
      </w:r>
      <w:r>
        <w:rPr>
          <w:rFonts w:hint="eastAsia" w:ascii="仿宋_GB2312" w:eastAsia="仿宋_GB2312"/>
          <w:color w:val="auto"/>
          <w:sz w:val="32"/>
          <w:szCs w:val="32"/>
          <w:lang w:val="en-US" w:eastAsia="zh-CN"/>
        </w:rPr>
        <w:t>2021年未开展因公出国（境）活动。</w:t>
      </w:r>
    </w:p>
    <w:p>
      <w:pPr>
        <w:numPr>
          <w:ilvl w:val="0"/>
          <w:numId w:val="0"/>
        </w:numPr>
        <w:spacing w:line="600" w:lineRule="exact"/>
        <w:ind w:firstLine="643" w:firstLineChars="200"/>
        <w:rPr>
          <w:rFonts w:hint="eastAsia" w:ascii="仿宋_GB2312" w:eastAsia="仿宋_GB2312"/>
          <w:color w:val="auto"/>
          <w:sz w:val="32"/>
          <w:szCs w:val="32"/>
          <w:highlight w:val="none"/>
        </w:rPr>
      </w:pPr>
      <w:r>
        <w:rPr>
          <w:rFonts w:hint="eastAsia" w:ascii="仿宋_GB2312" w:eastAsia="仿宋_GB2312"/>
          <w:b/>
          <w:bCs w:val="0"/>
          <w:color w:val="auto"/>
          <w:sz w:val="32"/>
          <w:szCs w:val="32"/>
          <w:lang w:val="en-US" w:eastAsia="zh-CN"/>
        </w:rPr>
        <w:t>2.</w:t>
      </w:r>
      <w:r>
        <w:rPr>
          <w:rFonts w:hint="eastAsia" w:ascii="仿宋_GB2312" w:eastAsia="仿宋_GB2312"/>
          <w:b w:val="0"/>
          <w:bCs/>
          <w:color w:val="auto"/>
          <w:sz w:val="32"/>
          <w:szCs w:val="32"/>
        </w:rPr>
        <w:t>公务用车购置及运行维护费支出</w:t>
      </w:r>
      <w:r>
        <w:rPr>
          <w:rFonts w:hint="eastAsia" w:ascii="仿宋_GB2312" w:eastAsia="仿宋_GB2312"/>
          <w:b w:val="0"/>
          <w:bCs/>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，年初未安排</w:t>
      </w:r>
      <w:r>
        <w:rPr>
          <w:rFonts w:hint="eastAsia" w:ascii="仿宋" w:hAnsi="仿宋" w:eastAsia="仿宋"/>
          <w:color w:val="auto"/>
          <w:sz w:val="32"/>
          <w:szCs w:val="32"/>
        </w:rPr>
        <w:t>财政拨款支出</w:t>
      </w:r>
      <w:r>
        <w:rPr>
          <w:rFonts w:hint="eastAsia" w:ascii="仿宋_GB2312" w:eastAsia="仿宋_GB2312"/>
          <w:color w:val="auto"/>
          <w:sz w:val="32"/>
          <w:szCs w:val="32"/>
          <w:lang w:eastAsia="zh-CN"/>
        </w:rPr>
        <w:t>预算，</w:t>
      </w:r>
      <w:r>
        <w:rPr>
          <w:rFonts w:hint="eastAsia" w:ascii="仿宋_GB2312" w:eastAsia="仿宋_GB2312"/>
          <w:color w:val="auto"/>
          <w:sz w:val="32"/>
          <w:szCs w:val="32"/>
        </w:rPr>
        <w:t>公务用车购置及运行维护费支出决算</w:t>
      </w:r>
      <w:r>
        <w:rPr>
          <w:rFonts w:hint="eastAsia" w:ascii="仿宋_GB2312" w:eastAsia="仿宋_GB2312"/>
          <w:color w:val="auto"/>
          <w:sz w:val="32"/>
          <w:szCs w:val="32"/>
          <w:lang w:eastAsia="zh-CN"/>
        </w:rPr>
        <w:t>相</w:t>
      </w:r>
      <w:r>
        <w:rPr>
          <w:rFonts w:hint="eastAsia" w:ascii="仿宋_GB2312" w:eastAsia="仿宋_GB2312"/>
          <w:color w:val="auto"/>
          <w:sz w:val="32"/>
          <w:szCs w:val="32"/>
        </w:rPr>
        <w:t>比</w:t>
      </w:r>
      <w:r>
        <w:rPr>
          <w:rFonts w:hint="eastAsia" w:ascii="仿宋_GB2312" w:eastAsia="仿宋_GB2312"/>
          <w:color w:val="auto"/>
          <w:sz w:val="32"/>
          <w:szCs w:val="32"/>
          <w:lang w:val="en-US" w:eastAsia="zh-CN"/>
        </w:rPr>
        <w:t>2020</w:t>
      </w:r>
      <w:r>
        <w:rPr>
          <w:rFonts w:hint="eastAsia" w:ascii="仿宋_GB2312" w:eastAsia="仿宋_GB2312"/>
          <w:color w:val="auto"/>
          <w:sz w:val="32"/>
          <w:szCs w:val="32"/>
        </w:rPr>
        <w:t>年</w:t>
      </w:r>
      <w:r>
        <w:rPr>
          <w:rFonts w:hint="eastAsia" w:ascii="仿宋_GB2312" w:eastAsia="仿宋_GB2312"/>
          <w:color w:val="auto"/>
          <w:sz w:val="32"/>
          <w:szCs w:val="32"/>
          <w:lang w:eastAsia="zh-CN"/>
        </w:rPr>
        <w:t>无变化。</w:t>
      </w:r>
      <w:r>
        <w:rPr>
          <w:rFonts w:hint="eastAsia" w:ascii="仿宋_GB2312" w:eastAsia="仿宋_GB2312"/>
          <w:color w:val="auto"/>
          <w:sz w:val="32"/>
          <w:szCs w:val="32"/>
          <w:highlight w:val="none"/>
        </w:rPr>
        <w:t>其中：</w:t>
      </w:r>
    </w:p>
    <w:p>
      <w:pPr>
        <w:numPr>
          <w:ilvl w:val="0"/>
          <w:numId w:val="0"/>
        </w:numPr>
        <w:spacing w:line="600" w:lineRule="exact"/>
        <w:ind w:firstLine="640" w:firstLineChars="200"/>
        <w:rPr>
          <w:rFonts w:ascii="仿宋_GB2312" w:eastAsia="仿宋_GB2312"/>
          <w:b/>
          <w:color w:val="auto"/>
          <w:sz w:val="32"/>
          <w:szCs w:val="32"/>
          <w:highlight w:val="none"/>
        </w:rPr>
      </w:pPr>
      <w:r>
        <w:rPr>
          <w:rFonts w:hint="eastAsia" w:ascii="仿宋_GB2312" w:eastAsia="仿宋_GB2312"/>
          <w:b w:val="0"/>
          <w:bCs/>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全年</w:t>
      </w:r>
      <w:r>
        <w:rPr>
          <w:rFonts w:hint="eastAsia" w:ascii="仿宋_GB2312" w:eastAsia="仿宋_GB2312"/>
          <w:color w:val="auto"/>
          <w:sz w:val="32"/>
          <w:szCs w:val="32"/>
          <w:highlight w:val="none"/>
          <w:lang w:eastAsia="zh-CN"/>
        </w:rPr>
        <w:t>未更新</w:t>
      </w:r>
      <w:r>
        <w:rPr>
          <w:rFonts w:hint="eastAsia" w:ascii="仿宋_GB2312" w:eastAsia="仿宋_GB2312"/>
          <w:color w:val="auto"/>
          <w:sz w:val="32"/>
          <w:szCs w:val="32"/>
          <w:highlight w:val="none"/>
        </w:rPr>
        <w:t>购置公务用车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包含</w:t>
      </w:r>
      <w:r>
        <w:rPr>
          <w:rFonts w:hint="eastAsia" w:ascii="仿宋_GB2312" w:eastAsia="仿宋_GB2312"/>
          <w:color w:val="auto"/>
          <w:sz w:val="32"/>
          <w:szCs w:val="32"/>
          <w:highlight w:val="none"/>
        </w:rPr>
        <w:t>轿车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numPr>
          <w:ilvl w:val="0"/>
          <w:numId w:val="0"/>
        </w:numPr>
        <w:spacing w:line="600" w:lineRule="exact"/>
        <w:ind w:firstLine="640" w:firstLineChars="200"/>
        <w:rPr>
          <w:rFonts w:hint="eastAsia"/>
          <w:lang w:val="en-US" w:eastAsia="zh-CN"/>
        </w:rPr>
      </w:pPr>
      <w:r>
        <w:rPr>
          <w:rFonts w:hint="eastAsia" w:ascii="仿宋_GB2312" w:eastAsia="仿宋_GB2312"/>
          <w:b w:val="0"/>
          <w:bCs/>
          <w:color w:val="auto"/>
          <w:sz w:val="32"/>
          <w:szCs w:val="32"/>
          <w:highlight w:val="none"/>
        </w:rPr>
        <w:t>公务用车运行维护费支出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r>
        <w:rPr>
          <w:rFonts w:hint="eastAsia" w:ascii="仿宋_GB2312" w:eastAsia="仿宋_GB2312"/>
          <w:color w:val="auto"/>
          <w:sz w:val="32"/>
          <w:szCs w:val="32"/>
        </w:rPr>
        <w:t>主要原因</w:t>
      </w:r>
      <w:r>
        <w:rPr>
          <w:rFonts w:hint="eastAsia" w:ascii="仿宋_GB2312" w:eastAsia="仿宋_GB2312"/>
          <w:color w:val="auto"/>
          <w:sz w:val="32"/>
          <w:szCs w:val="32"/>
          <w:lang w:eastAsia="zh-CN"/>
        </w:rPr>
        <w:t>是</w:t>
      </w:r>
      <w:r>
        <w:rPr>
          <w:rFonts w:hint="eastAsia" w:ascii="仿宋" w:hAnsi="仿宋" w:eastAsia="仿宋"/>
          <w:color w:val="auto"/>
          <w:sz w:val="32"/>
          <w:szCs w:val="32"/>
        </w:rPr>
        <w:t>我校</w:t>
      </w:r>
      <w:r>
        <w:rPr>
          <w:rFonts w:hint="eastAsia" w:ascii="仿宋" w:hAnsi="仿宋" w:eastAsia="仿宋"/>
          <w:color w:val="auto"/>
          <w:sz w:val="32"/>
          <w:szCs w:val="32"/>
          <w:lang w:val="en-US" w:eastAsia="zh-CN"/>
        </w:rPr>
        <w:t>2021</w:t>
      </w:r>
      <w:r>
        <w:rPr>
          <w:rFonts w:hint="eastAsia" w:ascii="仿宋_GB2312" w:eastAsia="仿宋_GB2312"/>
          <w:b w:val="0"/>
          <w:bCs/>
          <w:color w:val="auto"/>
          <w:sz w:val="32"/>
          <w:szCs w:val="32"/>
          <w:lang w:eastAsia="zh-CN"/>
        </w:rPr>
        <w:t>公务用车</w:t>
      </w:r>
      <w:r>
        <w:rPr>
          <w:rFonts w:hint="eastAsia" w:ascii="仿宋_GB2312" w:eastAsia="仿宋_GB2312"/>
          <w:b w:val="0"/>
          <w:bCs/>
          <w:color w:val="auto"/>
          <w:sz w:val="32"/>
          <w:szCs w:val="32"/>
        </w:rPr>
        <w:t>运行维护费</w:t>
      </w:r>
      <w:r>
        <w:rPr>
          <w:rFonts w:hint="eastAsia" w:ascii="仿宋" w:hAnsi="仿宋" w:eastAsia="仿宋"/>
          <w:color w:val="auto"/>
          <w:sz w:val="32"/>
          <w:szCs w:val="32"/>
        </w:rPr>
        <w:t>均为财政专户管理资金支出</w:t>
      </w:r>
      <w:r>
        <w:rPr>
          <w:rFonts w:ascii="仿宋_GB2312" w:eastAsia="仿宋_GB2312"/>
          <w:color w:val="auto"/>
          <w:sz w:val="32"/>
          <w:szCs w:val="32"/>
        </w:rPr>
        <w:t>。</w:t>
      </w:r>
    </w:p>
    <w:p>
      <w:pPr>
        <w:spacing w:line="600" w:lineRule="exact"/>
        <w:ind w:firstLine="643" w:firstLineChars="200"/>
        <w:rPr>
          <w:rFonts w:ascii="黑体" w:eastAsia="黑体"/>
          <w:color w:val="auto"/>
          <w:sz w:val="32"/>
          <w:szCs w:val="32"/>
        </w:rPr>
      </w:pPr>
      <w:r>
        <w:rPr>
          <w:rFonts w:hint="eastAsia" w:ascii="仿宋_GB2312" w:eastAsia="仿宋_GB2312"/>
          <w:b/>
          <w:color w:val="auto"/>
          <w:sz w:val="32"/>
          <w:szCs w:val="32"/>
          <w:lang w:val="en-US" w:eastAsia="zh-CN"/>
        </w:rPr>
        <w:t>3.</w:t>
      </w:r>
      <w:r>
        <w:rPr>
          <w:rFonts w:hint="eastAsia" w:ascii="仿宋_GB2312" w:eastAsia="仿宋_GB2312"/>
          <w:b w:val="0"/>
          <w:bCs/>
          <w:color w:val="auto"/>
          <w:sz w:val="32"/>
          <w:szCs w:val="32"/>
        </w:rPr>
        <w:t>公务接待费支出</w:t>
      </w:r>
      <w:r>
        <w:rPr>
          <w:rFonts w:hint="eastAsia" w:ascii="仿宋_GB2312" w:eastAsia="仿宋_GB2312"/>
          <w:b w:val="0"/>
          <w:bCs/>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，年初未安排</w:t>
      </w:r>
      <w:r>
        <w:rPr>
          <w:rFonts w:hint="eastAsia" w:ascii="仿宋" w:hAnsi="仿宋" w:eastAsia="仿宋"/>
          <w:color w:val="auto"/>
          <w:sz w:val="32"/>
          <w:szCs w:val="32"/>
        </w:rPr>
        <w:t>财政拨款支出</w:t>
      </w:r>
      <w:r>
        <w:rPr>
          <w:rFonts w:hint="eastAsia" w:ascii="仿宋_GB2312" w:eastAsia="仿宋_GB2312"/>
          <w:color w:val="auto"/>
          <w:sz w:val="32"/>
          <w:szCs w:val="32"/>
          <w:lang w:eastAsia="zh-CN"/>
        </w:rPr>
        <w:t>预算，</w:t>
      </w:r>
      <w:r>
        <w:rPr>
          <w:rFonts w:hint="eastAsia" w:ascii="仿宋_GB2312" w:eastAsia="仿宋_GB2312"/>
          <w:color w:val="auto"/>
          <w:sz w:val="32"/>
          <w:szCs w:val="32"/>
        </w:rPr>
        <w:t>公务接待费支出决算</w:t>
      </w:r>
      <w:r>
        <w:rPr>
          <w:rFonts w:hint="eastAsia" w:ascii="仿宋_GB2312" w:eastAsia="仿宋_GB2312"/>
          <w:color w:val="auto"/>
          <w:sz w:val="32"/>
          <w:szCs w:val="32"/>
          <w:lang w:eastAsia="zh-CN"/>
        </w:rPr>
        <w:t>相</w:t>
      </w:r>
      <w:r>
        <w:rPr>
          <w:rFonts w:hint="eastAsia" w:ascii="仿宋_GB2312" w:eastAsia="仿宋_GB2312"/>
          <w:color w:val="auto"/>
          <w:sz w:val="32"/>
          <w:szCs w:val="32"/>
        </w:rPr>
        <w:t>比</w:t>
      </w:r>
      <w:r>
        <w:rPr>
          <w:rFonts w:hint="eastAsia" w:ascii="仿宋_GB2312" w:eastAsia="仿宋_GB2312"/>
          <w:color w:val="auto"/>
          <w:sz w:val="32"/>
          <w:szCs w:val="32"/>
          <w:lang w:val="en-US" w:eastAsia="zh-CN"/>
        </w:rPr>
        <w:t>2020</w:t>
      </w:r>
      <w:r>
        <w:rPr>
          <w:rFonts w:hint="eastAsia" w:ascii="仿宋_GB2312" w:eastAsia="仿宋_GB2312"/>
          <w:color w:val="auto"/>
          <w:sz w:val="32"/>
          <w:szCs w:val="32"/>
        </w:rPr>
        <w:t>年</w:t>
      </w:r>
      <w:r>
        <w:rPr>
          <w:rFonts w:hint="eastAsia" w:ascii="仿宋_GB2312" w:eastAsia="仿宋_GB2312"/>
          <w:color w:val="auto"/>
          <w:sz w:val="32"/>
          <w:szCs w:val="32"/>
          <w:lang w:eastAsia="zh-CN"/>
        </w:rPr>
        <w:t>无变化</w:t>
      </w:r>
      <w:r>
        <w:rPr>
          <w:rFonts w:hint="eastAsia" w:ascii="仿宋_GB2312" w:eastAsia="仿宋_GB2312"/>
          <w:color w:val="auto"/>
          <w:sz w:val="32"/>
          <w:szCs w:val="32"/>
        </w:rPr>
        <w:t>。主要原因</w:t>
      </w:r>
      <w:r>
        <w:rPr>
          <w:rFonts w:hint="eastAsia" w:ascii="仿宋" w:hAnsi="仿宋" w:eastAsia="仿宋"/>
          <w:color w:val="auto"/>
          <w:sz w:val="32"/>
          <w:szCs w:val="32"/>
        </w:rPr>
        <w:t>我校</w:t>
      </w:r>
      <w:r>
        <w:rPr>
          <w:rFonts w:hint="eastAsia" w:ascii="仿宋" w:hAnsi="仿宋" w:eastAsia="仿宋"/>
          <w:color w:val="auto"/>
          <w:sz w:val="32"/>
          <w:szCs w:val="32"/>
          <w:lang w:val="en-US" w:eastAsia="zh-CN"/>
        </w:rPr>
        <w:t>2021</w:t>
      </w:r>
      <w:r>
        <w:rPr>
          <w:rFonts w:hint="eastAsia" w:ascii="仿宋" w:hAnsi="仿宋" w:eastAsia="仿宋"/>
          <w:color w:val="auto"/>
          <w:sz w:val="32"/>
          <w:szCs w:val="32"/>
        </w:rPr>
        <w:t>年</w:t>
      </w:r>
      <w:r>
        <w:rPr>
          <w:rFonts w:hint="eastAsia" w:ascii="仿宋" w:hAnsi="仿宋" w:eastAsia="仿宋"/>
          <w:color w:val="auto"/>
          <w:sz w:val="32"/>
          <w:szCs w:val="32"/>
          <w:lang w:eastAsia="zh-CN"/>
        </w:rPr>
        <w:t>公务接待费</w:t>
      </w:r>
      <w:r>
        <w:rPr>
          <w:rFonts w:hint="eastAsia" w:ascii="仿宋" w:hAnsi="仿宋" w:eastAsia="仿宋"/>
          <w:color w:val="auto"/>
          <w:sz w:val="32"/>
          <w:szCs w:val="32"/>
        </w:rPr>
        <w:t>均为财政专户管理资金支出</w:t>
      </w:r>
      <w:r>
        <w:rPr>
          <w:rFonts w:ascii="仿宋_GB2312" w:eastAsia="仿宋_GB2312"/>
          <w:color w:val="auto"/>
          <w:sz w:val="32"/>
          <w:szCs w:val="32"/>
        </w:rPr>
        <w:t>。</w:t>
      </w:r>
      <w:bookmarkStart w:id="53" w:name="_Toc15396610"/>
      <w:bookmarkStart w:id="54" w:name="_Toc15377218"/>
    </w:p>
    <w:p>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53"/>
      <w:bookmarkEnd w:id="54"/>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。我校</w:t>
      </w:r>
      <w:r>
        <w:rPr>
          <w:rFonts w:hint="eastAsia" w:ascii="仿宋_GB2312" w:eastAsia="仿宋_GB2312"/>
          <w:color w:val="000000"/>
          <w:sz w:val="32"/>
          <w:szCs w:val="32"/>
          <w:lang w:val="en-US" w:eastAsia="zh-CN"/>
        </w:rPr>
        <w:t>2021年未在政府性基金预算拨款安排“三公经费”支出。</w:t>
      </w:r>
    </w:p>
    <w:p>
      <w:pPr>
        <w:numPr>
          <w:ilvl w:val="0"/>
          <w:numId w:val="3"/>
        </w:numPr>
        <w:spacing w:line="600" w:lineRule="exact"/>
        <w:ind w:firstLine="640"/>
        <w:outlineLvl w:val="1"/>
        <w:rPr>
          <w:rStyle w:val="28"/>
          <w:rFonts w:ascii="黑体" w:hAnsi="黑体" w:eastAsia="黑体"/>
          <w:b w:val="0"/>
        </w:rPr>
      </w:pPr>
      <w:bookmarkStart w:id="55" w:name="_Toc15377219"/>
      <w:bookmarkStart w:id="56" w:name="_Toc15396611"/>
      <w:r>
        <w:rPr>
          <w:rStyle w:val="28"/>
          <w:rFonts w:hint="eastAsia" w:ascii="黑体" w:hAnsi="黑体" w:eastAsia="黑体"/>
          <w:b w:val="0"/>
        </w:rPr>
        <w:t>国有资本经营预算支出决算情况说明</w:t>
      </w:r>
      <w:bookmarkEnd w:id="55"/>
      <w:bookmarkEnd w:id="56"/>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8"/>
          <w:rFonts w:hint="eastAsia" w:ascii="黑体" w:hAnsi="黑体" w:eastAsia="黑体"/>
          <w:b w:val="0"/>
          <w:color w:val="auto"/>
          <w:highlight w:val="none"/>
        </w:rPr>
      </w:pPr>
      <w:bookmarkStart w:id="57" w:name="_Toc15396612"/>
      <w:bookmarkStart w:id="58" w:name="_Toc15377221"/>
      <w:r>
        <w:rPr>
          <w:rStyle w:val="28"/>
          <w:rFonts w:hint="eastAsia" w:ascii="黑体" w:hAnsi="黑体" w:eastAsia="黑体"/>
          <w:b w:val="0"/>
          <w:color w:val="auto"/>
          <w:highlight w:val="none"/>
          <w:lang w:val="en-US" w:eastAsia="zh-CN"/>
        </w:rPr>
        <w:t>预算绩效管理情况</w:t>
      </w:r>
    </w:p>
    <w:p>
      <w:pPr>
        <w:numPr>
          <w:ilvl w:val="0"/>
          <w:numId w:val="0"/>
        </w:numPr>
        <w:spacing w:line="600" w:lineRule="exact"/>
        <w:ind w:firstLine="640" w:firstLineChars="200"/>
        <w:outlineLvl w:val="1"/>
        <w:rPr>
          <w:rStyle w:val="28"/>
          <w:rFonts w:hint="eastAsia" w:ascii="黑体" w:hAnsi="黑体" w:eastAsia="黑体"/>
          <w:b w:val="0"/>
          <w:color w:val="auto"/>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预算编制阶段，组织对教学及保障设备</w:t>
      </w:r>
      <w:r>
        <w:rPr>
          <w:rFonts w:hint="eastAsia" w:ascii="仿宋_GB2312" w:hAnsi="仿宋_GB2312" w:eastAsia="仿宋_GB2312" w:cs="仿宋_GB2312"/>
          <w:color w:val="auto"/>
          <w:sz w:val="32"/>
          <w:szCs w:val="32"/>
          <w:highlight w:val="none"/>
          <w:lang w:eastAsia="zh-CN"/>
        </w:rPr>
        <w:t>、信息化建设等</w:t>
      </w:r>
      <w:r>
        <w:rPr>
          <w:rFonts w:hint="eastAsia" w:ascii="仿宋_GB2312" w:hAnsi="仿宋_GB2312" w:eastAsia="仿宋_GB2312" w:cs="仿宋_GB2312"/>
          <w:color w:val="auto"/>
          <w:sz w:val="32"/>
          <w:szCs w:val="32"/>
          <w:highlight w:val="none"/>
          <w:lang w:val="en-US" w:eastAsia="zh-CN"/>
        </w:rPr>
        <w:t>10个项目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川北幼儿师范高等专科学校</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spacing w:line="600" w:lineRule="exact"/>
        <w:ind w:firstLine="640" w:firstLineChars="200"/>
        <w:outlineLvl w:val="1"/>
        <w:rPr>
          <w:rStyle w:val="28"/>
          <w:rFonts w:ascii="黑体" w:hAnsi="黑体" w:eastAsia="黑体"/>
        </w:rPr>
      </w:pPr>
      <w:r>
        <w:rPr>
          <w:rStyle w:val="28"/>
          <w:rFonts w:hint="eastAsia" w:ascii="黑体" w:hAnsi="黑体" w:eastAsia="黑体"/>
          <w:b w:val="0"/>
        </w:rPr>
        <w:t>十</w:t>
      </w:r>
      <w:r>
        <w:rPr>
          <w:rStyle w:val="28"/>
          <w:rFonts w:hint="eastAsia" w:ascii="黑体" w:hAnsi="黑体" w:eastAsia="黑体"/>
          <w:b w:val="0"/>
          <w:lang w:eastAsia="zh-CN"/>
        </w:rPr>
        <w:t>一</w:t>
      </w:r>
      <w:r>
        <w:rPr>
          <w:rStyle w:val="28"/>
          <w:rFonts w:hint="eastAsia" w:ascii="黑体" w:hAnsi="黑体" w:eastAsia="黑体"/>
        </w:rPr>
        <w:t>、</w:t>
      </w:r>
      <w:r>
        <w:rPr>
          <w:rStyle w:val="28"/>
          <w:rFonts w:hint="eastAsia" w:ascii="黑体" w:hAnsi="黑体" w:eastAsia="黑体"/>
          <w:b w:val="0"/>
        </w:rPr>
        <w:t>其他重要事项的情况说明</w:t>
      </w:r>
      <w:bookmarkEnd w:id="57"/>
      <w:bookmarkEnd w:id="58"/>
    </w:p>
    <w:p>
      <w:pPr>
        <w:spacing w:line="600" w:lineRule="exact"/>
        <w:ind w:firstLine="643" w:firstLineChars="200"/>
        <w:outlineLvl w:val="2"/>
        <w:rPr>
          <w:rFonts w:ascii="仿宋" w:hAnsi="仿宋" w:eastAsia="仿宋"/>
          <w:color w:val="000000"/>
          <w:sz w:val="32"/>
          <w:szCs w:val="32"/>
        </w:rPr>
      </w:pPr>
      <w:bookmarkStart w:id="59" w:name="_Toc15377222"/>
      <w:r>
        <w:rPr>
          <w:rFonts w:hint="eastAsia" w:ascii="仿宋" w:hAnsi="仿宋" w:eastAsia="仿宋"/>
          <w:b/>
          <w:color w:val="000000"/>
          <w:sz w:val="32"/>
          <w:szCs w:val="32"/>
        </w:rPr>
        <w:t>（一）机关运行经费支出情况</w:t>
      </w:r>
      <w:bookmarkEnd w:id="59"/>
    </w:p>
    <w:p>
      <w:pPr>
        <w:autoSpaceDE w:val="0"/>
        <w:autoSpaceDN w:val="0"/>
        <w:adjustRightInd w:val="0"/>
        <w:spacing w:line="600" w:lineRule="exact"/>
        <w:ind w:firstLine="640" w:firstLineChars="200"/>
        <w:jc w:val="left"/>
        <w:outlineLvl w:val="2"/>
        <w:rPr>
          <w:rFonts w:hint="eastAsia" w:ascii="仿宋" w:hAnsi="仿宋" w:eastAsia="仿宋"/>
          <w:b w:val="0"/>
          <w:bCs/>
          <w:color w:val="000000"/>
          <w:sz w:val="32"/>
          <w:szCs w:val="32"/>
          <w:lang w:val="en-US" w:eastAsia="zh-CN"/>
        </w:rPr>
      </w:pPr>
      <w:bookmarkStart w:id="60" w:name="_Toc15377223"/>
      <w:r>
        <w:rPr>
          <w:rFonts w:hint="eastAsia" w:ascii="仿宋" w:hAnsi="仿宋" w:eastAsia="仿宋"/>
          <w:b w:val="0"/>
          <w:bCs/>
          <w:color w:val="000000"/>
          <w:sz w:val="32"/>
          <w:szCs w:val="32"/>
          <w:lang w:val="en-US" w:eastAsia="zh-CN"/>
        </w:rPr>
        <w:t xml:space="preserve"> 我校2021年未发生机关运行经费支出，与2020年决算数持平。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60"/>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我校</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1770.49</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1507.24</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263.25</w:t>
      </w:r>
      <w:r>
        <w:rPr>
          <w:rFonts w:hint="eastAsia" w:ascii="仿宋_GB2312" w:eastAsia="仿宋_GB2312"/>
          <w:color w:val="000000"/>
          <w:sz w:val="32"/>
          <w:szCs w:val="32"/>
        </w:rPr>
        <w:t>万元。主要用于学校</w:t>
      </w:r>
      <w:r>
        <w:rPr>
          <w:rFonts w:hint="eastAsia" w:ascii="仿宋_GB2312" w:eastAsia="仿宋_GB2312"/>
          <w:color w:val="000000"/>
          <w:sz w:val="32"/>
          <w:szCs w:val="32"/>
          <w:lang w:eastAsia="zh-CN"/>
        </w:rPr>
        <w:t>物业管理、学生</w:t>
      </w:r>
      <w:r>
        <w:rPr>
          <w:rFonts w:hint="eastAsia" w:ascii="仿宋_GB2312" w:eastAsia="仿宋_GB2312"/>
          <w:color w:val="000000"/>
          <w:sz w:val="32"/>
          <w:szCs w:val="32"/>
        </w:rPr>
        <w:t>实习</w:t>
      </w:r>
      <w:r>
        <w:rPr>
          <w:rFonts w:ascii="仿宋_GB2312" w:eastAsia="仿宋_GB2312"/>
          <w:color w:val="000000"/>
          <w:sz w:val="32"/>
          <w:szCs w:val="32"/>
        </w:rPr>
        <w:t>实训设备</w:t>
      </w:r>
      <w:r>
        <w:rPr>
          <w:rFonts w:hint="eastAsia" w:ascii="仿宋_GB2312" w:eastAsia="仿宋_GB2312"/>
          <w:color w:val="000000"/>
          <w:sz w:val="32"/>
          <w:szCs w:val="32"/>
        </w:rPr>
        <w:t>、教学</w:t>
      </w:r>
      <w:r>
        <w:rPr>
          <w:rFonts w:hint="eastAsia" w:ascii="仿宋_GB2312" w:eastAsia="仿宋_GB2312"/>
          <w:color w:val="000000"/>
          <w:sz w:val="32"/>
          <w:szCs w:val="32"/>
          <w:lang w:eastAsia="zh-CN"/>
        </w:rPr>
        <w:t>保障</w:t>
      </w:r>
      <w:r>
        <w:rPr>
          <w:rFonts w:ascii="仿宋_GB2312" w:eastAsia="仿宋_GB2312"/>
          <w:color w:val="000000"/>
          <w:sz w:val="32"/>
          <w:szCs w:val="32"/>
        </w:rPr>
        <w:t>设备</w:t>
      </w:r>
      <w:r>
        <w:rPr>
          <w:rFonts w:hint="eastAsia" w:ascii="仿宋_GB2312" w:eastAsia="仿宋_GB2312"/>
          <w:color w:val="000000"/>
          <w:sz w:val="32"/>
          <w:szCs w:val="32"/>
        </w:rPr>
        <w:t>、</w:t>
      </w:r>
      <w:r>
        <w:rPr>
          <w:rFonts w:ascii="仿宋_GB2312" w:eastAsia="仿宋_GB2312"/>
          <w:color w:val="000000"/>
          <w:sz w:val="32"/>
          <w:szCs w:val="32"/>
        </w:rPr>
        <w:t>信息化软件</w:t>
      </w:r>
      <w:r>
        <w:rPr>
          <w:rFonts w:hint="eastAsia" w:ascii="仿宋_GB2312" w:eastAsia="仿宋_GB2312"/>
          <w:color w:val="000000"/>
          <w:sz w:val="32"/>
          <w:szCs w:val="32"/>
        </w:rPr>
        <w:t>等</w:t>
      </w:r>
      <w:r>
        <w:rPr>
          <w:rFonts w:ascii="仿宋_GB2312" w:eastAsia="仿宋_GB2312"/>
          <w:color w:val="000000"/>
          <w:sz w:val="32"/>
          <w:szCs w:val="32"/>
        </w:rPr>
        <w:t>购置支出</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792.45</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44.76</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1" w:name="_Toc15377224"/>
      <w:r>
        <w:rPr>
          <w:rFonts w:hint="eastAsia" w:ascii="仿宋" w:hAnsi="仿宋" w:eastAsia="仿宋"/>
          <w:b/>
          <w:color w:val="000000"/>
          <w:sz w:val="32"/>
          <w:szCs w:val="32"/>
        </w:rPr>
        <w:t>（三）国有资产占有使用情况</w:t>
      </w:r>
      <w:bookmarkEnd w:id="61"/>
    </w:p>
    <w:p>
      <w:pPr>
        <w:autoSpaceDE w:val="0"/>
        <w:autoSpaceDN w:val="0"/>
        <w:adjustRightInd w:val="0"/>
        <w:spacing w:line="600" w:lineRule="exact"/>
        <w:ind w:firstLine="640" w:firstLineChars="200"/>
        <w:jc w:val="left"/>
        <w:rPr>
          <w:rFonts w:hint="eastAsia" w:ascii="楷体_GB2312" w:hAnsi="楷体_GB2312" w:eastAsia="仿宋_GB2312" w:cs="楷体_GB2312"/>
          <w:color w:val="FF0000"/>
          <w:sz w:val="32"/>
          <w:szCs w:val="32"/>
          <w:lang w:eastAsia="zh-CN"/>
        </w:rPr>
        <w:sectPr>
          <w:footerReference r:id="rId10" w:type="default"/>
          <w:pgSz w:w="11906" w:h="16838"/>
          <w:pgMar w:top="1440" w:right="2126"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eastAsia="仿宋_GB2312"/>
          <w:b w:val="0"/>
          <w:bCs w:val="0"/>
          <w:color w:val="auto"/>
          <w:sz w:val="32"/>
          <w:szCs w:val="32"/>
        </w:rPr>
        <w:t>截至</w:t>
      </w:r>
      <w:r>
        <w:rPr>
          <w:rFonts w:ascii="仿宋_GB2312" w:eastAsia="仿宋_GB2312"/>
          <w:b w:val="0"/>
          <w:bCs w:val="0"/>
          <w:color w:val="auto"/>
          <w:sz w:val="32"/>
          <w:szCs w:val="32"/>
        </w:rPr>
        <w:t>20</w:t>
      </w:r>
      <w:r>
        <w:rPr>
          <w:rFonts w:hint="eastAsia" w:ascii="仿宋_GB2312" w:eastAsia="仿宋_GB2312"/>
          <w:b w:val="0"/>
          <w:bCs w:val="0"/>
          <w:color w:val="auto"/>
          <w:sz w:val="32"/>
          <w:szCs w:val="32"/>
          <w:lang w:val="en-US" w:eastAsia="zh-CN"/>
        </w:rPr>
        <w:t>21</w:t>
      </w:r>
      <w:r>
        <w:rPr>
          <w:rFonts w:hint="eastAsia" w:ascii="仿宋_GB2312" w:eastAsia="仿宋_GB2312"/>
          <w:b w:val="0"/>
          <w:bCs w:val="0"/>
          <w:color w:val="auto"/>
          <w:sz w:val="32"/>
          <w:szCs w:val="32"/>
        </w:rPr>
        <w:t>年</w:t>
      </w:r>
      <w:r>
        <w:rPr>
          <w:rFonts w:ascii="仿宋_GB2312" w:eastAsia="仿宋_GB2312"/>
          <w:b w:val="0"/>
          <w:bCs w:val="0"/>
          <w:color w:val="auto"/>
          <w:sz w:val="32"/>
          <w:szCs w:val="32"/>
        </w:rPr>
        <w:t>12</w:t>
      </w:r>
      <w:r>
        <w:rPr>
          <w:rFonts w:hint="eastAsia" w:ascii="仿宋_GB2312" w:eastAsia="仿宋_GB2312"/>
          <w:b w:val="0"/>
          <w:bCs w:val="0"/>
          <w:color w:val="auto"/>
          <w:sz w:val="32"/>
          <w:szCs w:val="32"/>
        </w:rPr>
        <w:t>月</w:t>
      </w:r>
      <w:r>
        <w:rPr>
          <w:rFonts w:ascii="仿宋_GB2312" w:eastAsia="仿宋_GB2312"/>
          <w:b w:val="0"/>
          <w:bCs w:val="0"/>
          <w:color w:val="auto"/>
          <w:sz w:val="32"/>
          <w:szCs w:val="32"/>
        </w:rPr>
        <w:t>31</w:t>
      </w:r>
      <w:r>
        <w:rPr>
          <w:rFonts w:hint="eastAsia" w:ascii="仿宋_GB2312" w:eastAsia="仿宋_GB2312"/>
          <w:b w:val="0"/>
          <w:bCs w:val="0"/>
          <w:color w:val="auto"/>
          <w:sz w:val="32"/>
          <w:szCs w:val="32"/>
        </w:rPr>
        <w:t>日，</w:t>
      </w:r>
      <w:r>
        <w:rPr>
          <w:rFonts w:hint="eastAsia" w:ascii="仿宋_GB2312" w:eastAsia="仿宋_GB2312"/>
          <w:b w:val="0"/>
          <w:bCs w:val="0"/>
          <w:color w:val="auto"/>
          <w:sz w:val="32"/>
          <w:szCs w:val="32"/>
          <w:lang w:eastAsia="zh-CN"/>
        </w:rPr>
        <w:t>我校</w:t>
      </w:r>
      <w:r>
        <w:rPr>
          <w:rFonts w:hint="eastAsia" w:ascii="仿宋_GB2312" w:eastAsia="仿宋_GB2312"/>
          <w:b w:val="0"/>
          <w:bCs w:val="0"/>
          <w:color w:val="auto"/>
          <w:sz w:val="32"/>
          <w:szCs w:val="32"/>
        </w:rPr>
        <w:t>共有车辆</w:t>
      </w:r>
      <w:r>
        <w:rPr>
          <w:rFonts w:hint="eastAsia" w:ascii="仿宋_GB2312" w:eastAsia="仿宋_GB2312"/>
          <w:b w:val="0"/>
          <w:bCs w:val="0"/>
          <w:color w:val="auto"/>
          <w:sz w:val="32"/>
          <w:szCs w:val="32"/>
          <w:lang w:val="en-US" w:eastAsia="zh-CN"/>
        </w:rPr>
        <w:t>4</w:t>
      </w:r>
      <w:r>
        <w:rPr>
          <w:rFonts w:hint="eastAsia" w:ascii="仿宋_GB2312" w:eastAsia="仿宋_GB2312"/>
          <w:b w:val="0"/>
          <w:bCs w:val="0"/>
          <w:color w:val="auto"/>
          <w:sz w:val="32"/>
          <w:szCs w:val="32"/>
        </w:rPr>
        <w:t>辆，</w:t>
      </w:r>
      <w:r>
        <w:rPr>
          <w:rFonts w:hint="eastAsia" w:ascii="仿宋_GB2312" w:eastAsia="仿宋_GB2312"/>
          <w:b w:val="0"/>
          <w:bCs w:val="0"/>
          <w:color w:val="auto"/>
          <w:sz w:val="32"/>
          <w:szCs w:val="32"/>
          <w:lang w:eastAsia="zh-CN"/>
        </w:rPr>
        <w:t>均为其他用车，</w:t>
      </w:r>
      <w:r>
        <w:rPr>
          <w:rFonts w:hint="eastAsia" w:ascii="仿宋_GB2312" w:eastAsia="仿宋_GB2312"/>
          <w:b w:val="0"/>
          <w:bCs w:val="0"/>
          <w:color w:val="auto"/>
          <w:sz w:val="32"/>
          <w:szCs w:val="32"/>
          <w:highlight w:val="none"/>
        </w:rPr>
        <w:t>主要是用于</w:t>
      </w:r>
      <w:r>
        <w:rPr>
          <w:rFonts w:hint="eastAsia" w:ascii="仿宋_GB2312" w:eastAsia="仿宋_GB2312"/>
          <w:b w:val="0"/>
          <w:bCs w:val="0"/>
          <w:color w:val="auto"/>
          <w:sz w:val="32"/>
          <w:szCs w:val="32"/>
          <w:highlight w:val="none"/>
          <w:lang w:eastAsia="zh-CN"/>
        </w:rPr>
        <w:t>招生宣传、学生实习实训、教学调研、乡村振兴等业务活动</w:t>
      </w:r>
      <w:r>
        <w:rPr>
          <w:rFonts w:hint="eastAsia" w:ascii="仿宋_GB2312" w:eastAsia="仿宋_GB2312"/>
          <w:color w:val="000000"/>
          <w:sz w:val="32"/>
          <w:szCs w:val="32"/>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套</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套。</w:t>
      </w:r>
    </w:p>
    <w:p>
      <w:pPr>
        <w:numPr>
          <w:ilvl w:val="0"/>
          <w:numId w:val="4"/>
        </w:numPr>
        <w:spacing w:line="600" w:lineRule="exact"/>
        <w:ind w:firstLine="660" w:firstLineChars="150"/>
        <w:jc w:val="center"/>
        <w:outlineLvl w:val="0"/>
        <w:rPr>
          <w:rStyle w:val="27"/>
          <w:rFonts w:ascii="黑体" w:hAnsi="黑体" w:eastAsia="黑体"/>
          <w:b w:val="0"/>
        </w:rPr>
      </w:pPr>
      <w:bookmarkStart w:id="62" w:name="_Toc15377225"/>
      <w:bookmarkStart w:id="63" w:name="_Toc29059"/>
      <w:bookmarkStart w:id="64" w:name="_Toc15396613"/>
      <w:r>
        <w:rPr>
          <w:rFonts w:hint="eastAsia" w:ascii="黑体" w:hAnsi="黑体" w:eastAsia="黑体"/>
          <w:color w:val="000000"/>
          <w:sz w:val="44"/>
          <w:szCs w:val="44"/>
        </w:rPr>
        <w:t>名</w:t>
      </w:r>
      <w:r>
        <w:rPr>
          <w:rStyle w:val="27"/>
          <w:rFonts w:hint="eastAsia" w:ascii="黑体" w:hAnsi="黑体" w:eastAsia="黑体"/>
          <w:b w:val="0"/>
        </w:rPr>
        <w:t>词解释</w:t>
      </w:r>
      <w:bookmarkEnd w:id="62"/>
      <w:bookmarkEnd w:id="63"/>
      <w:bookmarkEnd w:id="64"/>
    </w:p>
    <w:p>
      <w:pPr>
        <w:spacing w:line="600" w:lineRule="exact"/>
        <w:jc w:val="left"/>
        <w:rPr>
          <w:rFonts w:ascii="宋体"/>
          <w:b/>
          <w:color w:val="000000"/>
          <w:sz w:val="44"/>
          <w:szCs w:val="44"/>
        </w:rPr>
      </w:pP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事业收入：指事业单位开展专业业务活动及辅助活动取得的收入。如学费、住宿费</w:t>
      </w:r>
      <w:r>
        <w:rPr>
          <w:rFonts w:ascii="仿宋_GB2312" w:eastAsia="仿宋_GB2312"/>
          <w:sz w:val="32"/>
          <w:szCs w:val="32"/>
        </w:rPr>
        <w:t>、短期培训费</w:t>
      </w:r>
      <w:r>
        <w:rPr>
          <w:rFonts w:hint="eastAsia" w:ascii="仿宋_GB2312" w:eastAsia="仿宋_GB2312"/>
          <w:sz w:val="32"/>
          <w:szCs w:val="32"/>
        </w:rPr>
        <w:t>等。</w:t>
      </w:r>
    </w:p>
    <w:p>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r>
        <w:rPr>
          <w:rFonts w:hint="eastAsia" w:ascii="仿宋_GB2312" w:eastAsia="仿宋_GB2312"/>
          <w:color w:val="auto"/>
          <w:sz w:val="32"/>
          <w:szCs w:val="32"/>
        </w:rPr>
        <w:t>主要是利息</w:t>
      </w:r>
      <w:r>
        <w:rPr>
          <w:rFonts w:ascii="仿宋_GB2312" w:eastAsia="仿宋_GB2312"/>
          <w:color w:val="auto"/>
          <w:sz w:val="32"/>
          <w:szCs w:val="32"/>
        </w:rPr>
        <w:t>收入、捐赠收入</w:t>
      </w:r>
      <w:r>
        <w:rPr>
          <w:rFonts w:hint="eastAsia" w:ascii="仿宋_GB2312" w:eastAsia="仿宋_GB2312"/>
          <w:color w:val="auto"/>
          <w:sz w:val="32"/>
          <w:szCs w:val="32"/>
        </w:rPr>
        <w:t>等。</w:t>
      </w:r>
    </w:p>
    <w:p>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使用非财政拨款结余：指事业单位使用以前年度积累的非财政拨款结余弥补当年收支差额的金额。</w:t>
      </w:r>
    </w:p>
    <w:p>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7.教育（类）职业教育（款）中等职业教育（项）：指各部门（不含人力资源社会保障部门）举办的中等职业教育支出。</w:t>
      </w:r>
    </w:p>
    <w:p>
      <w:pPr>
        <w:spacing w:line="560" w:lineRule="exact"/>
        <w:ind w:firstLine="640" w:firstLineChars="200"/>
        <w:rPr>
          <w:rFonts w:hint="eastAsia" w:ascii="仿宋_GB2312" w:hAnsi="Calibri" w:eastAsia="仿宋_GB2312" w:cs="仿宋"/>
          <w:color w:val="000000"/>
          <w:kern w:val="0"/>
          <w:sz w:val="32"/>
          <w:szCs w:val="32"/>
          <w:lang w:eastAsia="zh-CN"/>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ascii="仿宋_GB2312" w:hAnsi="Calibri" w:eastAsia="仿宋_GB2312" w:cs="仿宋"/>
          <w:color w:val="000000"/>
          <w:kern w:val="0"/>
          <w:sz w:val="32"/>
          <w:szCs w:val="32"/>
        </w:rPr>
        <w:t>教育（类）职业教育（款）高等职业教育（项）：</w:t>
      </w:r>
      <w:r>
        <w:rPr>
          <w:rFonts w:hint="eastAsia" w:ascii="仿宋_GB2312" w:hAnsi="Calibri" w:eastAsia="仿宋_GB2312" w:cs="仿宋"/>
          <w:color w:val="000000"/>
          <w:kern w:val="0"/>
          <w:sz w:val="32"/>
          <w:szCs w:val="32"/>
          <w:lang w:eastAsia="zh-CN"/>
        </w:rPr>
        <w:t>指各部门举办的本科、专科层次职业教育支出。</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9.社会保障和就业（类）人力资源和社会保障管理事务（款）其他人力资源和社会保障管理事务支出（项）：指其他用于人力资源和社会保障管理事务方面的支出。</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ascii="仿宋_GB2312" w:hAnsi="Calibri" w:eastAsia="仿宋_GB2312" w:cs="仿宋"/>
          <w:color w:val="000000"/>
          <w:kern w:val="0"/>
          <w:sz w:val="32"/>
          <w:szCs w:val="32"/>
        </w:rPr>
        <w:t>社会保障和就业（类）</w:t>
      </w:r>
      <w:r>
        <w:rPr>
          <w:rFonts w:hint="eastAsia" w:ascii="仿宋_GB2312" w:hAnsi="Calibri" w:eastAsia="仿宋_GB2312" w:cs="仿宋"/>
          <w:color w:val="000000"/>
          <w:kern w:val="0"/>
          <w:sz w:val="32"/>
          <w:szCs w:val="32"/>
        </w:rPr>
        <w:t>行政事业单位养老支出</w:t>
      </w:r>
      <w:r>
        <w:rPr>
          <w:rFonts w:ascii="仿宋_GB2312" w:hAnsi="Calibri" w:eastAsia="仿宋_GB2312" w:cs="仿宋"/>
          <w:color w:val="000000"/>
          <w:kern w:val="0"/>
          <w:sz w:val="32"/>
          <w:szCs w:val="32"/>
        </w:rPr>
        <w:t>（款）机关事业单位基本养老保险缴费支出（项）：指机关事业单位实施养老保险制度由单位缴纳的基本养老保险费支出。</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ascii="仿宋_GB2312" w:hAnsi="Calibri" w:eastAsia="仿宋_GB2312" w:cs="仿宋"/>
          <w:color w:val="000000"/>
          <w:kern w:val="0"/>
          <w:sz w:val="32"/>
          <w:szCs w:val="32"/>
        </w:rPr>
        <w:t>社会保障和就业（类）</w:t>
      </w:r>
      <w:r>
        <w:rPr>
          <w:rFonts w:hint="eastAsia" w:ascii="仿宋_GB2312" w:hAnsi="Calibri" w:eastAsia="仿宋_GB2312" w:cs="仿宋"/>
          <w:color w:val="000000"/>
          <w:kern w:val="0"/>
          <w:sz w:val="32"/>
          <w:szCs w:val="32"/>
        </w:rPr>
        <w:t>行政事业单位养老支出</w:t>
      </w:r>
      <w:r>
        <w:rPr>
          <w:rFonts w:ascii="仿宋_GB2312" w:hAnsi="Calibri" w:eastAsia="仿宋_GB2312" w:cs="仿宋"/>
          <w:color w:val="000000"/>
          <w:kern w:val="0"/>
          <w:sz w:val="32"/>
          <w:szCs w:val="32"/>
        </w:rPr>
        <w:t>（款）</w:t>
      </w:r>
      <w:r>
        <w:rPr>
          <w:rFonts w:hint="eastAsia" w:ascii="仿宋_GB2312" w:hAnsi="Calibri" w:eastAsia="仿宋_GB2312" w:cs="仿宋"/>
          <w:color w:val="000000"/>
          <w:kern w:val="0"/>
          <w:sz w:val="32"/>
          <w:szCs w:val="32"/>
          <w:lang w:eastAsia="zh-CN"/>
        </w:rPr>
        <w:t>机关事业单位职业年金缴费支出</w:t>
      </w:r>
      <w:r>
        <w:rPr>
          <w:rFonts w:ascii="仿宋_GB2312" w:hAnsi="Calibri" w:eastAsia="仿宋_GB2312" w:cs="仿宋"/>
          <w:color w:val="000000"/>
          <w:kern w:val="0"/>
          <w:sz w:val="32"/>
          <w:szCs w:val="32"/>
        </w:rPr>
        <w:t>（项）：指机关事业单位实施养老保险制度由单位</w:t>
      </w:r>
      <w:r>
        <w:rPr>
          <w:rFonts w:hint="eastAsia" w:ascii="仿宋_GB2312" w:hAnsi="Calibri" w:eastAsia="仿宋_GB2312" w:cs="仿宋"/>
          <w:color w:val="000000"/>
          <w:kern w:val="0"/>
          <w:sz w:val="32"/>
          <w:szCs w:val="32"/>
          <w:lang w:eastAsia="zh-CN"/>
        </w:rPr>
        <w:t>实际</w:t>
      </w:r>
      <w:r>
        <w:rPr>
          <w:rFonts w:ascii="仿宋_GB2312" w:hAnsi="Calibri" w:eastAsia="仿宋_GB2312" w:cs="仿宋"/>
          <w:color w:val="000000"/>
          <w:kern w:val="0"/>
          <w:sz w:val="32"/>
          <w:szCs w:val="32"/>
        </w:rPr>
        <w:t>缴纳的</w:t>
      </w:r>
      <w:r>
        <w:rPr>
          <w:rFonts w:hint="eastAsia" w:ascii="仿宋_GB2312" w:hAnsi="Calibri" w:eastAsia="仿宋_GB2312" w:cs="仿宋"/>
          <w:color w:val="000000"/>
          <w:kern w:val="0"/>
          <w:sz w:val="32"/>
          <w:szCs w:val="32"/>
          <w:lang w:eastAsia="zh-CN"/>
        </w:rPr>
        <w:t>职业年金</w:t>
      </w:r>
      <w:r>
        <w:rPr>
          <w:rFonts w:ascii="仿宋_GB2312" w:hAnsi="Calibri" w:eastAsia="仿宋_GB2312" w:cs="仿宋"/>
          <w:color w:val="000000"/>
          <w:kern w:val="0"/>
          <w:sz w:val="32"/>
          <w:szCs w:val="32"/>
        </w:rPr>
        <w:t>支出。</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hAnsi="Calibri" w:eastAsia="仿宋_GB2312" w:cs="仿宋"/>
          <w:color w:val="000000"/>
          <w:kern w:val="0"/>
          <w:sz w:val="32"/>
          <w:szCs w:val="32"/>
          <w:lang w:eastAsia="zh-CN"/>
        </w:rPr>
        <w:t>卫生健康支出</w:t>
      </w:r>
      <w:r>
        <w:rPr>
          <w:rFonts w:ascii="仿宋_GB2312" w:hAnsi="Calibri" w:eastAsia="仿宋_GB2312" w:cs="仿宋"/>
          <w:color w:val="000000"/>
          <w:kern w:val="0"/>
          <w:sz w:val="32"/>
          <w:szCs w:val="32"/>
        </w:rPr>
        <w:t>（类）</w:t>
      </w:r>
      <w:r>
        <w:rPr>
          <w:rFonts w:hint="eastAsia" w:ascii="仿宋_GB2312" w:hAnsi="Calibri" w:eastAsia="仿宋_GB2312" w:cs="仿宋"/>
          <w:color w:val="000000"/>
          <w:kern w:val="0"/>
          <w:sz w:val="32"/>
          <w:szCs w:val="32"/>
          <w:lang w:eastAsia="zh-CN"/>
        </w:rPr>
        <w:t>公共卫生</w:t>
      </w:r>
      <w:r>
        <w:rPr>
          <w:rFonts w:ascii="仿宋_GB2312" w:hAnsi="Calibri" w:eastAsia="仿宋_GB2312" w:cs="仿宋"/>
          <w:color w:val="000000"/>
          <w:kern w:val="0"/>
          <w:sz w:val="32"/>
          <w:szCs w:val="32"/>
        </w:rPr>
        <w:t>（款）</w:t>
      </w:r>
      <w:r>
        <w:rPr>
          <w:rFonts w:hint="eastAsia" w:ascii="仿宋_GB2312" w:hAnsi="Calibri" w:eastAsia="仿宋_GB2312" w:cs="仿宋"/>
          <w:color w:val="000000"/>
          <w:kern w:val="0"/>
          <w:sz w:val="32"/>
          <w:szCs w:val="32"/>
          <w:lang w:eastAsia="zh-CN"/>
        </w:rPr>
        <w:t>其他公共卫生</w:t>
      </w:r>
      <w:r>
        <w:rPr>
          <w:rFonts w:ascii="仿宋_GB2312" w:hAnsi="Calibri" w:eastAsia="仿宋_GB2312" w:cs="仿宋"/>
          <w:color w:val="000000"/>
          <w:kern w:val="0"/>
          <w:sz w:val="32"/>
          <w:szCs w:val="32"/>
        </w:rPr>
        <w:t>（项）</w:t>
      </w:r>
      <w:r>
        <w:rPr>
          <w:rFonts w:hint="eastAsia" w:ascii="仿宋_GB2312" w:hAnsi="Calibri" w:eastAsia="仿宋_GB2312" w:cs="仿宋"/>
          <w:color w:val="000000"/>
          <w:kern w:val="0"/>
          <w:sz w:val="32"/>
          <w:szCs w:val="32"/>
          <w:lang w:eastAsia="zh-CN"/>
        </w:rPr>
        <w:t>：指其他用于公共卫生方面的支出。</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hAnsi="Calibri" w:eastAsia="仿宋_GB2312" w:cs="仿宋"/>
          <w:color w:val="000000"/>
          <w:kern w:val="0"/>
          <w:sz w:val="32"/>
          <w:szCs w:val="32"/>
          <w:lang w:eastAsia="zh-CN"/>
        </w:rPr>
        <w:t>卫生健康支出</w:t>
      </w:r>
      <w:r>
        <w:rPr>
          <w:rFonts w:ascii="仿宋_GB2312" w:hAnsi="Calibri" w:eastAsia="仿宋_GB2312" w:cs="仿宋"/>
          <w:color w:val="000000"/>
          <w:kern w:val="0"/>
          <w:sz w:val="32"/>
          <w:szCs w:val="32"/>
        </w:rPr>
        <w:t>（类）</w:t>
      </w:r>
      <w:r>
        <w:rPr>
          <w:rFonts w:hint="eastAsia" w:ascii="仿宋_GB2312" w:hAnsi="Calibri" w:eastAsia="仿宋_GB2312" w:cs="仿宋"/>
          <w:color w:val="000000"/>
          <w:kern w:val="0"/>
          <w:sz w:val="32"/>
          <w:szCs w:val="32"/>
          <w:lang w:eastAsia="zh-CN"/>
        </w:rPr>
        <w:t>行政事业单位医疗</w:t>
      </w:r>
      <w:r>
        <w:rPr>
          <w:rFonts w:ascii="仿宋_GB2312" w:hAnsi="Calibri" w:eastAsia="仿宋_GB2312" w:cs="仿宋"/>
          <w:color w:val="000000"/>
          <w:kern w:val="0"/>
          <w:sz w:val="32"/>
          <w:szCs w:val="32"/>
        </w:rPr>
        <w:t>（款）事业单位医疗（项）：指财政部门集安排的事业单位基本医疗保险缴费经费，未参加医疗保险的事业单位的公费医疗经费，按国家规定享受离休人员待遇人员的医疗经费。</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ascii="仿宋_GB2312" w:hAnsi="Calibri" w:eastAsia="仿宋_GB2312" w:cs="仿宋"/>
          <w:color w:val="000000"/>
          <w:kern w:val="0"/>
          <w:sz w:val="32"/>
          <w:szCs w:val="32"/>
        </w:rPr>
        <w:t>住房保障（类）住房改革支出（款）住房公积金（项）：指行政事业单位按人力资源和社会保障部、财政部规定的基本工资和津贴补贴以及规定比例为职工缴纳的住房公积金。</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ascii="仿宋_GB2312" w:hAnsi="Calibri" w:eastAsia="仿宋_GB2312" w:cs="仿宋"/>
          <w:color w:val="000000"/>
          <w:kern w:val="0"/>
          <w:sz w:val="32"/>
          <w:szCs w:val="32"/>
        </w:rPr>
        <w:t>住房保障（类）住房改革支出（款）</w:t>
      </w:r>
      <w:r>
        <w:rPr>
          <w:rFonts w:hint="eastAsia" w:ascii="仿宋_GB2312" w:hAnsi="Calibri" w:eastAsia="仿宋_GB2312" w:cs="仿宋"/>
          <w:color w:val="000000"/>
          <w:kern w:val="0"/>
          <w:sz w:val="32"/>
          <w:szCs w:val="32"/>
          <w:lang w:eastAsia="zh-CN"/>
        </w:rPr>
        <w:t>购房补贴</w:t>
      </w:r>
      <w:r>
        <w:rPr>
          <w:rFonts w:ascii="仿宋_GB2312" w:hAnsi="Calibri" w:eastAsia="仿宋_GB2312" w:cs="仿宋"/>
          <w:color w:val="000000"/>
          <w:kern w:val="0"/>
          <w:sz w:val="32"/>
          <w:szCs w:val="32"/>
        </w:rPr>
        <w:t>（项）：</w:t>
      </w:r>
      <w:r>
        <w:rPr>
          <w:rFonts w:hint="eastAsia" w:ascii="仿宋_GB2312" w:hAnsi="Calibri" w:eastAsia="仿宋_GB2312" w:cs="仿宋"/>
          <w:color w:val="000000"/>
          <w:kern w:val="0"/>
          <w:sz w:val="32"/>
          <w:szCs w:val="32"/>
          <w:lang w:eastAsia="zh-CN"/>
        </w:rPr>
        <w:t>反映按房改政策规定，行政事业单位向符合条件职工（含离退休人员）、军队（含武警）向转役复员离退休人员发放的用于购买住房的补贴。</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spacing w:line="580" w:lineRule="exact"/>
        <w:ind w:firstLine="640" w:firstLineChars="200"/>
        <w:jc w:val="both"/>
        <w:rPr>
          <w:rFonts w:hint="eastAsia" w:ascii="楷体_GB2312" w:hAnsi="楷体_GB2312" w:eastAsia="仿宋_GB2312" w:cs="楷体_GB2312"/>
          <w:sz w:val="32"/>
          <w:szCs w:val="32"/>
          <w:lang w:eastAsia="zh-CN"/>
        </w:rPr>
        <w:sectPr>
          <w:pgSz w:w="11906" w:h="16838"/>
          <w:pgMar w:top="1440" w:right="2126"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sz w:val="32"/>
          <w:szCs w:val="32"/>
          <w:lang w:eastAsia="zh-CN"/>
        </w:rPr>
        <w:t>。</w:t>
      </w:r>
    </w:p>
    <w:p>
      <w:pPr>
        <w:spacing w:line="600" w:lineRule="exact"/>
        <w:jc w:val="both"/>
        <w:outlineLvl w:val="0"/>
        <w:rPr>
          <w:rFonts w:hint="eastAsia" w:ascii="黑体" w:hAnsi="黑体" w:eastAsia="黑体"/>
          <w:color w:val="000000"/>
          <w:sz w:val="44"/>
          <w:szCs w:val="44"/>
        </w:rPr>
      </w:pPr>
      <w:bookmarkStart w:id="65" w:name="_Toc719"/>
      <w:bookmarkStart w:id="66" w:name="_Toc15396614"/>
      <w:bookmarkStart w:id="67" w:name="_Toc15377226"/>
    </w:p>
    <w:p>
      <w:pPr>
        <w:spacing w:line="600" w:lineRule="exact"/>
        <w:jc w:val="center"/>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四部分 附件</w:t>
      </w:r>
      <w:bookmarkEnd w:id="65"/>
      <w:bookmarkEnd w:id="66"/>
    </w:p>
    <w:p>
      <w:pPr>
        <w:keepNext w:val="0"/>
        <w:keepLines w:val="0"/>
        <w:pageBreakBefore w:val="0"/>
        <w:kinsoku/>
        <w:wordWrap/>
        <w:overflowPunct/>
        <w:topLinePunct w:val="0"/>
        <w:autoSpaceDE/>
        <w:autoSpaceDN/>
        <w:bidi w:val="0"/>
        <w:spacing w:line="572" w:lineRule="exact"/>
        <w:jc w:val="left"/>
        <w:textAlignment w:val="auto"/>
        <w:outlineLvl w:val="0"/>
        <w:rPr>
          <w:rStyle w:val="27"/>
          <w:rFonts w:hint="eastAsia" w:ascii="黑体" w:hAnsi="黑体" w:eastAsia="黑体"/>
          <w:b w:val="0"/>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olor w:val="auto"/>
          <w:kern w:val="0"/>
          <w:sz w:val="40"/>
          <w:szCs w:val="44"/>
          <w:highlight w:val="none"/>
          <w:lang w:eastAsia="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eastAsia="zh-CN"/>
        </w:rPr>
        <w:t>川北幼儿师范高等专科学校</w:t>
      </w:r>
    </w:p>
    <w:p>
      <w:pPr>
        <w:keepNext w:val="0"/>
        <w:keepLines w:val="0"/>
        <w:pageBreakBefore w:val="0"/>
        <w:kinsoku/>
        <w:wordWrap/>
        <w:overflowPunct/>
        <w:topLinePunct w:val="0"/>
        <w:autoSpaceDE/>
        <w:autoSpaceDN/>
        <w:bidi w:val="0"/>
        <w:spacing w:line="572" w:lineRule="exact"/>
        <w:jc w:val="center"/>
        <w:textAlignment w:val="auto"/>
      </w:pPr>
      <w:r>
        <w:rPr>
          <w:rFonts w:hint="eastAsia" w:ascii="方正小标宋简体" w:hAnsi="宋体" w:eastAsia="方正小标宋简体"/>
          <w:color w:val="auto"/>
          <w:kern w:val="0"/>
          <w:sz w:val="40"/>
          <w:szCs w:val="44"/>
          <w:highlight w:val="none"/>
        </w:rPr>
        <w:t>部门整体绩效评价报告</w:t>
      </w: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宋体"/>
          <w:color w:val="auto"/>
          <w:kern w:val="0"/>
          <w:sz w:val="32"/>
          <w:szCs w:val="32"/>
          <w:highlight w:val="none"/>
          <w:shd w:val="clear" w:color="auto" w:fill="FFFFFF"/>
          <w:lang w:val="zh-CN" w:eastAsia="zh-CN" w:bidi="ar-SA"/>
        </w:rPr>
      </w:pPr>
      <w:r>
        <w:rPr>
          <w:rFonts w:hint="eastAsia" w:ascii="黑体" w:hAnsi="宋体" w:eastAsia="黑体" w:cs="宋体"/>
          <w:color w:val="auto"/>
          <w:kern w:val="0"/>
          <w:sz w:val="32"/>
          <w:szCs w:val="32"/>
          <w:highlight w:val="none"/>
          <w:shd w:val="clear" w:color="auto" w:fill="FFFFFF"/>
          <w:lang w:val="zh-CN" w:eastAsia="zh-CN" w:bidi="ar-SA"/>
        </w:rPr>
        <w:t>一、部门概况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FFFFFF"/>
          <w:lang w:val="zh-CN" w:eastAsia="zh-CN" w:bidi="ar-SA"/>
        </w:rPr>
      </w:pPr>
      <w:r>
        <w:rPr>
          <w:rFonts w:hint="eastAsia" w:ascii="仿宋_GB2312" w:hAnsi="宋体" w:eastAsia="仿宋_GB2312" w:cs="宋体"/>
          <w:color w:val="auto"/>
          <w:kern w:val="0"/>
          <w:sz w:val="32"/>
          <w:szCs w:val="32"/>
          <w:highlight w:val="none"/>
          <w:shd w:val="clear" w:color="auto" w:fill="FFFFFF"/>
          <w:lang w:val="zh-CN" w:eastAsia="zh-CN" w:bidi="ar-SA"/>
        </w:rPr>
        <w:t>（一）机构组成</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zh-CN" w:eastAsia="zh-CN"/>
        </w:rPr>
      </w:pPr>
      <w:r>
        <w:rPr>
          <w:rFonts w:hint="eastAsia"/>
          <w:sz w:val="32"/>
          <w:szCs w:val="32"/>
        </w:rPr>
        <w:t>川北幼儿师范高等专科学校是经四川省人民政府批准成立、教育部备案的公办全日制普通高等学校,是</w:t>
      </w:r>
      <w:r>
        <w:rPr>
          <w:rFonts w:hint="eastAsia"/>
          <w:sz w:val="32"/>
          <w:szCs w:val="32"/>
          <w:lang w:eastAsia="zh-CN"/>
        </w:rPr>
        <w:t>广元市人民政府主办</w:t>
      </w:r>
      <w:r>
        <w:rPr>
          <w:rFonts w:hint="eastAsia"/>
          <w:sz w:val="32"/>
          <w:szCs w:val="32"/>
        </w:rPr>
        <w:t>独立核算一级预算单位，执行</w:t>
      </w:r>
      <w:r>
        <w:rPr>
          <w:rFonts w:hint="eastAsia"/>
          <w:sz w:val="32"/>
          <w:szCs w:val="32"/>
          <w:lang w:eastAsia="zh-CN"/>
        </w:rPr>
        <w:t>政府</w:t>
      </w:r>
      <w:r>
        <w:rPr>
          <w:rFonts w:hint="eastAsia"/>
          <w:sz w:val="32"/>
          <w:szCs w:val="32"/>
        </w:rPr>
        <w:t>会计制度</w:t>
      </w:r>
      <w:r>
        <w:rPr>
          <w:rFonts w:hint="eastAsia"/>
          <w:sz w:val="32"/>
          <w:szCs w:val="32"/>
          <w:lang w:eastAsia="zh-CN"/>
        </w:rPr>
        <w:t>，无二级或下属单位。</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FFFFFF"/>
          <w:lang w:val="zh-CN" w:eastAsia="zh-CN" w:bidi="ar-SA"/>
        </w:rPr>
      </w:pPr>
      <w:r>
        <w:rPr>
          <w:rFonts w:hint="eastAsia" w:ascii="仿宋_GB2312" w:hAnsi="宋体" w:eastAsia="仿宋_GB2312" w:cs="宋体"/>
          <w:color w:val="auto"/>
          <w:kern w:val="0"/>
          <w:sz w:val="32"/>
          <w:szCs w:val="32"/>
          <w:highlight w:val="none"/>
          <w:shd w:val="clear" w:color="auto" w:fill="FFFFFF"/>
          <w:lang w:val="zh-CN" w:eastAsia="zh-CN" w:bidi="ar-SA"/>
        </w:rPr>
        <w:t>（二）机构职能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zh-CN"/>
        </w:rPr>
      </w:pPr>
      <w:r>
        <w:rPr>
          <w:rFonts w:hint="eastAsia"/>
          <w:sz w:val="32"/>
          <w:szCs w:val="32"/>
        </w:rPr>
        <w:t>学校以培养学前教育、小学教育师资人才为主，是四川省五年制学前教育、初等教育大专试点学校，是川北地区最大的职业教育基地。学校设置</w:t>
      </w:r>
      <w:r>
        <w:rPr>
          <w:sz w:val="32"/>
          <w:szCs w:val="32"/>
        </w:rPr>
        <w:t>10</w:t>
      </w:r>
      <w:r>
        <w:rPr>
          <w:rFonts w:hint="eastAsia"/>
          <w:sz w:val="32"/>
          <w:szCs w:val="32"/>
        </w:rPr>
        <w:t>个教学系部，开设</w:t>
      </w:r>
      <w:r>
        <w:rPr>
          <w:sz w:val="32"/>
          <w:szCs w:val="32"/>
        </w:rPr>
        <w:t>23</w:t>
      </w:r>
      <w:r>
        <w:rPr>
          <w:rFonts w:hint="eastAsia"/>
          <w:sz w:val="32"/>
          <w:szCs w:val="32"/>
        </w:rPr>
        <w:t>个大专专业，其中学前教育、语文教育两个专业列为中央财政支持重点建设专业。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FFFFFF"/>
          <w:lang w:val="zh-CN" w:eastAsia="zh-CN" w:bidi="ar-SA"/>
        </w:rPr>
      </w:pPr>
      <w:r>
        <w:rPr>
          <w:rFonts w:hint="eastAsia" w:ascii="仿宋_GB2312" w:hAnsi="宋体" w:eastAsia="仿宋_GB2312" w:cs="宋体"/>
          <w:color w:val="auto"/>
          <w:kern w:val="0"/>
          <w:sz w:val="32"/>
          <w:szCs w:val="32"/>
          <w:highlight w:val="none"/>
          <w:shd w:val="clear" w:color="auto" w:fill="FFFFFF"/>
          <w:lang w:val="zh-CN" w:eastAsia="zh-CN" w:bidi="ar-SA"/>
        </w:rPr>
        <w:t>（三）人员概况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r>
        <w:rPr>
          <w:rFonts w:hint="eastAsia"/>
          <w:sz w:val="32"/>
          <w:szCs w:val="32"/>
          <w:lang w:eastAsia="zh-CN"/>
        </w:rPr>
        <w:t>学校</w:t>
      </w:r>
      <w:r>
        <w:rPr>
          <w:rFonts w:hint="eastAsia"/>
          <w:sz w:val="32"/>
          <w:szCs w:val="32"/>
          <w:lang w:val="en-US" w:eastAsia="zh-CN"/>
        </w:rPr>
        <w:t>2021年末在职在编人数366人，聘用人员（同工同酬）人数91人，离退休人员160人，学生人数共计9085人。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宋体"/>
          <w:color w:val="auto"/>
          <w:kern w:val="0"/>
          <w:sz w:val="32"/>
          <w:szCs w:val="32"/>
          <w:highlight w:val="none"/>
          <w:shd w:val="clear" w:color="auto" w:fill="FFFFFF"/>
          <w:lang w:val="zh-CN" w:eastAsia="zh-CN" w:bidi="ar-SA"/>
        </w:rPr>
      </w:pPr>
      <w:r>
        <w:rPr>
          <w:rFonts w:hint="eastAsia" w:ascii="黑体" w:hAnsi="宋体" w:eastAsia="黑体" w:cs="宋体"/>
          <w:color w:val="auto"/>
          <w:kern w:val="0"/>
          <w:sz w:val="32"/>
          <w:szCs w:val="32"/>
          <w:highlight w:val="none"/>
          <w:shd w:val="clear" w:color="auto" w:fill="FFFFFF"/>
          <w:lang w:val="zh-CN" w:eastAsia="zh-CN" w:bidi="ar-SA"/>
        </w:rPr>
        <w:t>二、部门财政资金收支情况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FFFFFF"/>
          <w:lang w:val="zh-CN" w:eastAsia="zh-CN" w:bidi="ar-SA"/>
        </w:rPr>
      </w:pPr>
      <w:r>
        <w:rPr>
          <w:rFonts w:hint="eastAsia" w:ascii="仿宋_GB2312" w:hAnsi="宋体" w:eastAsia="仿宋_GB2312" w:cs="宋体"/>
          <w:color w:val="auto"/>
          <w:kern w:val="0"/>
          <w:sz w:val="32"/>
          <w:szCs w:val="32"/>
          <w:highlight w:val="none"/>
          <w:shd w:val="clear" w:color="auto" w:fill="FFFFFF"/>
          <w:lang w:val="zh-CN" w:eastAsia="zh-CN" w:bidi="ar-SA"/>
        </w:rPr>
        <w:t>（一）部门财政资金收入情况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r>
        <w:rPr>
          <w:rFonts w:hint="eastAsia"/>
          <w:sz w:val="32"/>
          <w:szCs w:val="32"/>
          <w:lang w:val="en-US" w:eastAsia="zh-CN"/>
        </w:rPr>
        <w:t>2021年我校决算总收入16351.44万元，其中一般公共预算财政拨款收入12716.63万元、政府性基金预算财政拨款收入100万元、事业收入3525.26万元、其他收入9.55万元。年初结转结余数5172.56万元。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FFFFFF"/>
          <w:lang w:val="zh-CN" w:eastAsia="zh-CN" w:bidi="ar-SA"/>
        </w:rPr>
      </w:pPr>
      <w:r>
        <w:rPr>
          <w:rFonts w:hint="eastAsia" w:ascii="仿宋_GB2312" w:hAnsi="宋体" w:eastAsia="仿宋_GB2312" w:cs="宋体"/>
          <w:color w:val="auto"/>
          <w:kern w:val="0"/>
          <w:sz w:val="32"/>
          <w:szCs w:val="32"/>
          <w:highlight w:val="none"/>
          <w:shd w:val="clear" w:color="auto" w:fill="FFFFFF"/>
          <w:lang w:val="zh-CN" w:eastAsia="zh-CN" w:bidi="ar-SA"/>
        </w:rPr>
        <w:t>（二）部门财政资金支出情况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r>
        <w:rPr>
          <w:rFonts w:hint="eastAsia"/>
          <w:sz w:val="32"/>
          <w:szCs w:val="32"/>
          <w:lang w:val="en-US" w:eastAsia="zh-CN"/>
        </w:rPr>
        <w:t>2021年我校决算总支出19626.72万元，其中教育支出18307.27万元、社会保障和就业支出520.07万元、卫生健康支出205.23万元、住房保障支出594.15万元。年末结转结余数1897.28万元。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宋体"/>
          <w:color w:val="auto"/>
          <w:kern w:val="0"/>
          <w:sz w:val="32"/>
          <w:szCs w:val="32"/>
          <w:highlight w:val="none"/>
          <w:shd w:val="clear" w:color="auto" w:fill="FFFFFF"/>
          <w:lang w:val="zh-CN" w:eastAsia="zh-CN" w:bidi="ar-SA"/>
        </w:rPr>
      </w:pPr>
      <w:r>
        <w:rPr>
          <w:rFonts w:hint="eastAsia" w:ascii="黑体" w:hAnsi="宋体" w:eastAsia="黑体" w:cs="宋体"/>
          <w:color w:val="auto"/>
          <w:kern w:val="0"/>
          <w:sz w:val="32"/>
          <w:szCs w:val="32"/>
          <w:highlight w:val="none"/>
          <w:shd w:val="clear" w:color="auto" w:fill="FFFFFF"/>
          <w:lang w:val="zh-CN" w:eastAsia="zh-CN" w:bidi="ar-SA"/>
        </w:rPr>
        <w:t>三、部门整体预算绩效管理情况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FFFFFF"/>
          <w:lang w:val="zh-CN" w:eastAsia="zh-CN" w:bidi="ar-SA"/>
        </w:rPr>
      </w:pPr>
      <w:r>
        <w:rPr>
          <w:rFonts w:hint="eastAsia" w:ascii="仿宋_GB2312" w:hAnsi="宋体" w:eastAsia="仿宋_GB2312" w:cs="宋体"/>
          <w:color w:val="auto"/>
          <w:kern w:val="0"/>
          <w:sz w:val="32"/>
          <w:szCs w:val="32"/>
          <w:highlight w:val="none"/>
          <w:shd w:val="clear" w:color="auto" w:fill="FFFFFF"/>
          <w:lang w:val="zh-CN" w:eastAsia="zh-CN" w:bidi="ar-SA"/>
        </w:rPr>
        <w:t>（一）部门预算项目绩效管理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1.绩效目标制定情况。2020年11月我校严格按照广元市财政局编制2021年预算的有关规定和要求，按时报送基础库、项目库和项目绩效目标申报表。</w:t>
      </w:r>
      <w:r>
        <w:rPr>
          <w:rFonts w:hint="eastAsia"/>
          <w:sz w:val="32"/>
          <w:szCs w:val="32"/>
          <w:lang w:val="zh-CN" w:eastAsia="zh-CN"/>
        </w:rPr>
        <w:t>我校积极转变观念、牢固树立“花钱必问效、无效必问责”的理念，将绩效管理范围覆盖所有财政资金，并深度融入预算编制、执行、监督全过程，不断完善和细化绩效管理相关措施办法，优化绩效目标设置，对预算项目支出全面实施绩效目标管理。</w:t>
      </w:r>
      <w:r>
        <w:rPr>
          <w:rFonts w:hint="eastAsia"/>
          <w:sz w:val="32"/>
          <w:szCs w:val="32"/>
          <w:lang w:val="en-US" w:eastAsia="zh-CN"/>
        </w:rPr>
        <w:t>2021年我校共制定15个绩效目标，其中包括1个整体支出绩效目标、2个年初运转类项目预算绩效目标、8个年初特定目标类项目预算绩效目标以及4个年中追加专项项目预算绩效目标。学校绩效目标按照“谁申请用资金、谁编制目标”的原则和规定的方法、程序科学合理编制，对各项目绩效目标的制定尽量做到真实、可行、科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eastAsia="zh-CN"/>
        </w:rPr>
      </w:pPr>
      <w:r>
        <w:rPr>
          <w:rFonts w:hint="eastAsia"/>
          <w:sz w:val="32"/>
          <w:szCs w:val="32"/>
          <w:lang w:val="en-US" w:eastAsia="zh-CN"/>
        </w:rPr>
        <w:t>2.预算执行情况。</w:t>
      </w:r>
      <w:r>
        <w:rPr>
          <w:rFonts w:hint="eastAsia"/>
          <w:b/>
          <w:bCs/>
          <w:sz w:val="32"/>
          <w:szCs w:val="32"/>
          <w:lang w:val="en-US" w:eastAsia="zh-CN"/>
        </w:rPr>
        <w:t>一是</w:t>
      </w:r>
      <w:r>
        <w:rPr>
          <w:rFonts w:hint="eastAsia"/>
          <w:sz w:val="32"/>
          <w:szCs w:val="32"/>
          <w:lang w:val="en-US" w:eastAsia="zh-CN"/>
        </w:rPr>
        <w:t>学校运行保障情况。我校严格按照年初预算安排,严格执行中央八项规定和省、市各项规定,厉行节约规范使用预算资金。收入上，严格执行“收支两条线”管理制度，按规定使用非税票据并直接缴入财政专户，无隐瞒收入和其他违反国家收费管理规定的行为。在支出管理中,认真执行国库集中支付、政府采购、公务卡报销、重点工作和大额支付上会集体决策等相关财务管理制度。严格控制“三公”经费支出，2021年“三公”经费开支均未超预算。认真做好每月与银行、财政国库科的对账工作，加强动态监控，保障学校日常运行工作顺利开展。</w:t>
      </w:r>
      <w:r>
        <w:rPr>
          <w:rFonts w:hint="eastAsia"/>
          <w:b/>
          <w:bCs/>
          <w:sz w:val="32"/>
          <w:szCs w:val="32"/>
          <w:lang w:val="en-US" w:eastAsia="zh-CN"/>
        </w:rPr>
        <w:t>二是</w:t>
      </w:r>
      <w:r>
        <w:rPr>
          <w:rFonts w:hint="eastAsia"/>
          <w:sz w:val="32"/>
          <w:szCs w:val="32"/>
          <w:lang w:val="en-US" w:eastAsia="zh-CN"/>
        </w:rPr>
        <w:t>学校项目开展情况。我校严格按照专项项目预算安排，稳步推进基础建设、科研及高层次引进、信息化建设、教学保障设备购置以及奖助学金发放等工作。2021年学校</w:t>
      </w:r>
      <w:r>
        <w:rPr>
          <w:rFonts w:hint="eastAsia"/>
          <w:sz w:val="32"/>
          <w:szCs w:val="32"/>
        </w:rPr>
        <w:t>坚持抓质量、促进度、保安全，完成艺术体育中心琴房、会堂二次装修工程建设，加快在建项目图书馆、校史馆建设</w:t>
      </w:r>
      <w:r>
        <w:rPr>
          <w:rFonts w:hint="eastAsia"/>
          <w:sz w:val="32"/>
          <w:szCs w:val="32"/>
          <w:lang w:eastAsia="zh-CN"/>
        </w:rPr>
        <w:t>；</w:t>
      </w:r>
      <w:r>
        <w:rPr>
          <w:rFonts w:hint="eastAsia"/>
          <w:sz w:val="32"/>
          <w:szCs w:val="32"/>
        </w:rPr>
        <w:t>树立科研与教学并重理念，突出科学研究的先导性应用性服务性</w:t>
      </w:r>
      <w:r>
        <w:rPr>
          <w:rFonts w:hint="eastAsia"/>
          <w:sz w:val="32"/>
          <w:szCs w:val="32"/>
          <w:lang w:eastAsia="zh-CN"/>
        </w:rPr>
        <w:t>；加强人才引进工作，强化学校师资力量；</w:t>
      </w:r>
      <w:r>
        <w:rPr>
          <w:rFonts w:hint="eastAsia"/>
          <w:sz w:val="32"/>
          <w:szCs w:val="32"/>
        </w:rPr>
        <w:t>实施学校IP网络广播整改与扩容项目，实施数据中心私有云存储及相关配套系统扩容项目，推进内部质量诊断与改进平台以及相关的科研管理系统、人力资源管理平台建设</w:t>
      </w:r>
      <w:r>
        <w:rPr>
          <w:rFonts w:hint="eastAsia"/>
          <w:sz w:val="32"/>
          <w:szCs w:val="32"/>
          <w:lang w:eastAsia="zh-CN"/>
        </w:rPr>
        <w:t>；</w:t>
      </w:r>
      <w:r>
        <w:rPr>
          <w:rFonts w:hint="eastAsia"/>
          <w:sz w:val="32"/>
          <w:szCs w:val="32"/>
        </w:rPr>
        <w:t>强化资产管理，规范资产运营和</w:t>
      </w:r>
      <w:r>
        <w:rPr>
          <w:rFonts w:hint="eastAsia"/>
          <w:sz w:val="32"/>
          <w:szCs w:val="32"/>
          <w:lang w:eastAsia="zh-CN"/>
        </w:rPr>
        <w:t>政府</w:t>
      </w:r>
      <w:r>
        <w:rPr>
          <w:rFonts w:hint="eastAsia"/>
          <w:sz w:val="32"/>
          <w:szCs w:val="32"/>
        </w:rPr>
        <w:t>采购项目招投标工作</w:t>
      </w:r>
      <w:r>
        <w:rPr>
          <w:rFonts w:hint="eastAsia"/>
          <w:sz w:val="32"/>
          <w:szCs w:val="32"/>
          <w:lang w:eastAsia="zh-CN"/>
        </w:rPr>
        <w:t>；落实国家、省、市各项学生资助政策，保障家庭经济困难学生受教育权利。</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r>
        <w:rPr>
          <w:rFonts w:hint="eastAsia"/>
          <w:sz w:val="32"/>
          <w:szCs w:val="32"/>
          <w:lang w:val="en-US" w:eastAsia="zh-CN"/>
        </w:rPr>
        <w:t xml:space="preserve">3.绩效目标完成情况。2021年我校一般公共财政拨款收入总计12716.63万元，实际支出12604.68万元，执行进度率为99.12%，预算执行较好，资金结余率较低；教育收费收入年初预算4867.39万元，实际支出3525.26万元，执行进度率为72.43%，资金结余率相对偏高。与此同时，2021年学校接受各类审计监督以及财政检查相关结果中，未出现部门预算管理方面违纪违规问题。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zh-CN"/>
        </w:rPr>
      </w:pPr>
      <w:r>
        <w:rPr>
          <w:rFonts w:hint="eastAsia"/>
          <w:sz w:val="32"/>
          <w:szCs w:val="32"/>
          <w:lang w:val="zh-CN"/>
        </w:rPr>
        <w:t>（二）结果应用情况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zh-CN" w:eastAsia="zh-CN"/>
        </w:rPr>
      </w:pPr>
      <w:r>
        <w:rPr>
          <w:rFonts w:hint="eastAsia"/>
          <w:sz w:val="32"/>
          <w:szCs w:val="32"/>
          <w:lang w:val="en-US" w:eastAsia="zh-CN"/>
        </w:rPr>
        <w:t xml:space="preserve">1.加强内部绩效考核。根据《川北幼儿师范高等专科学校关于开展 2021 年度部门目标考核工作的通知》（川北幼专函〔2022〕1 号）文件要求，学校明确将各职能部门以及教学系部年度职责履行、目标任务、专项工作、效能作风建设、服务对象测评和特色创新工作纳入绩效目标考核。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2.加强绩效信息公开。学校严格按照市财政局统一工作部署，突出重点，细化公开内容，</w:t>
      </w:r>
      <w:r>
        <w:rPr>
          <w:rFonts w:hint="default"/>
          <w:sz w:val="32"/>
          <w:szCs w:val="32"/>
        </w:rPr>
        <w:t>不断提高信息公开的质量和实效</w:t>
      </w:r>
      <w:r>
        <w:rPr>
          <w:rFonts w:hint="eastAsia"/>
          <w:sz w:val="32"/>
          <w:szCs w:val="32"/>
          <w:lang w:eastAsia="zh-CN"/>
        </w:rPr>
        <w:t>。2021 年3月19日我校将 2021 年初预算项目绩效批复表同部门预算一并公开在广元市人民政府官网、广元市教育官网以及我校门户网站。2021 年9月18日我校将部门整体支出绩效自评报告、项目绩效自评报告同 2020 年决算信息一并公开在广元市人民政府官网、广元市教育官网以及我校门户网站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eastAsia="zh-CN"/>
        </w:rPr>
      </w:pPr>
      <w:r>
        <w:rPr>
          <w:rFonts w:hint="eastAsia"/>
          <w:sz w:val="32"/>
          <w:szCs w:val="32"/>
          <w:lang w:val="en-US" w:eastAsia="zh-CN"/>
        </w:rPr>
        <w:t>3.加强结果反馈工作。</w:t>
      </w:r>
      <w:r>
        <w:rPr>
          <w:rFonts w:hint="eastAsia"/>
          <w:sz w:val="32"/>
          <w:szCs w:val="32"/>
          <w:lang w:val="zh-CN"/>
        </w:rPr>
        <w:t>学校高度重视绩效评价结果的运用，将绩效评价结果作为编制部门下一年度预算的重要依据，内部管理有序，项目管理体系不断完善。对于我校组织的自评项目，根据绩效评价结果，对项目进行优化，对绩效评价项目未达到预期目标的项目进行调整。与此同时，不断加强政府采购管理，</w:t>
      </w:r>
      <w:r>
        <w:rPr>
          <w:rFonts w:hint="default"/>
          <w:sz w:val="32"/>
          <w:szCs w:val="32"/>
        </w:rPr>
        <w:t>严格按照《政府采购法》和《政府采购法实施条例》等相关管理规定，根据省采购目录和财政部门预算管理要求，编制政府采购计划，</w:t>
      </w:r>
      <w:r>
        <w:rPr>
          <w:rFonts w:hint="eastAsia"/>
          <w:sz w:val="32"/>
          <w:szCs w:val="32"/>
          <w:lang w:val="en-US" w:eastAsia="zh-CN"/>
        </w:rPr>
        <w:t>2022年</w:t>
      </w:r>
      <w:r>
        <w:rPr>
          <w:rFonts w:hint="default"/>
          <w:sz w:val="32"/>
          <w:szCs w:val="32"/>
        </w:rPr>
        <w:t>将</w:t>
      </w:r>
      <w:r>
        <w:rPr>
          <w:rFonts w:hint="eastAsia"/>
          <w:sz w:val="32"/>
          <w:szCs w:val="32"/>
          <w:lang w:eastAsia="zh-CN"/>
        </w:rPr>
        <w:t>政府</w:t>
      </w:r>
      <w:r>
        <w:rPr>
          <w:rFonts w:hint="default"/>
          <w:sz w:val="32"/>
          <w:szCs w:val="32"/>
        </w:rPr>
        <w:t>采购项目全部</w:t>
      </w:r>
      <w:r>
        <w:rPr>
          <w:rFonts w:hint="eastAsia"/>
          <w:sz w:val="32"/>
          <w:szCs w:val="32"/>
          <w:lang w:eastAsia="zh-CN"/>
        </w:rPr>
        <w:t>编入年初部门预算并精确到具体品目。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r>
        <w:rPr>
          <w:rFonts w:hint="eastAsia"/>
          <w:sz w:val="32"/>
          <w:szCs w:val="32"/>
          <w:lang w:val="en-US" w:eastAsia="zh-CN"/>
        </w:rPr>
        <w:t>此外，学校积极配合市财政局开展绩效评价一系列工作，并及时提供相关材料，按时报送预算绩效监控表、绩效自评报告以及绩效管理工作考核自查报告等。</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（三）自评质量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学校按照市财政2022年部门整体支出绩效评价指标体系，逐一分析，确保自评工作质量达标，自评分数可靠不虚报。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宋体"/>
          <w:color w:val="auto"/>
          <w:kern w:val="0"/>
          <w:sz w:val="32"/>
          <w:szCs w:val="32"/>
          <w:highlight w:val="none"/>
          <w:shd w:val="clear" w:color="auto" w:fill="FFFFFF"/>
          <w:lang w:val="zh-CN" w:eastAsia="zh-CN" w:bidi="ar-SA"/>
        </w:rPr>
      </w:pPr>
      <w:r>
        <w:rPr>
          <w:rFonts w:hint="eastAsia" w:ascii="黑体" w:hAnsi="宋体" w:eastAsia="黑体" w:cs="宋体"/>
          <w:color w:val="auto"/>
          <w:kern w:val="0"/>
          <w:sz w:val="32"/>
          <w:szCs w:val="32"/>
          <w:highlight w:val="none"/>
          <w:shd w:val="clear" w:color="auto" w:fill="FFFFFF"/>
          <w:lang w:val="zh-CN" w:eastAsia="zh-CN" w:bidi="ar-SA"/>
        </w:rPr>
        <w:t>四、评价结论及建议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zh-CN"/>
        </w:rPr>
      </w:pPr>
      <w:r>
        <w:rPr>
          <w:rFonts w:hint="eastAsia"/>
          <w:sz w:val="32"/>
          <w:szCs w:val="32"/>
          <w:lang w:val="zh-CN"/>
        </w:rPr>
        <w:t>（一）评价结论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学校认真编制部门预算并严格执行，建立健全内部控制制度，加强财务和资产管理，推进财务公开，不定时接受市教育局、市财政局以及其他上级部门的监督和检查。对于审计和各类检查反馈的问题，我校积极整改落实，提高资金使用效益，促进学校良性运转。经自评，学校2021年整体支出绩效自评得分92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zh-CN"/>
        </w:rPr>
        <w:t>（二）存在问题及改进建议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rPr>
      </w:pPr>
      <w:r>
        <w:rPr>
          <w:rFonts w:hint="eastAsia"/>
          <w:sz w:val="32"/>
          <w:szCs w:val="32"/>
          <w:lang w:val="en-US" w:eastAsia="zh-CN"/>
        </w:rPr>
        <w:t>1.进一步加强专项项目预算编制。</w:t>
      </w:r>
      <w:r>
        <w:rPr>
          <w:rFonts w:hint="default"/>
          <w:sz w:val="32"/>
          <w:szCs w:val="32"/>
        </w:rPr>
        <w:t>个别项目预见性不够，对各种有碍项目实施的主客观因素带来的困难估计不足</w:t>
      </w:r>
      <w:r>
        <w:rPr>
          <w:rFonts w:hint="eastAsia"/>
          <w:sz w:val="32"/>
          <w:szCs w:val="32"/>
          <w:lang w:eastAsia="zh-CN"/>
        </w:rPr>
        <w:t>。在今后工作中</w:t>
      </w:r>
      <w:r>
        <w:rPr>
          <w:rFonts w:hint="default"/>
          <w:sz w:val="32"/>
          <w:szCs w:val="32"/>
        </w:rPr>
        <w:t>切实加强项目预算编制前期调研、论证，充分考虑各种有碍项目实施的客观因素的影响，提高项目预见性。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eastAsia="zh-CN"/>
        </w:rPr>
      </w:pPr>
      <w:r>
        <w:rPr>
          <w:rFonts w:hint="eastAsia"/>
          <w:sz w:val="32"/>
          <w:szCs w:val="32"/>
          <w:lang w:val="en-US" w:eastAsia="zh-CN"/>
        </w:rPr>
        <w:t>2.</w:t>
      </w:r>
      <w:r>
        <w:rPr>
          <w:sz w:val="32"/>
          <w:szCs w:val="32"/>
          <w:lang w:val="en-US" w:eastAsia="zh-CN"/>
        </w:rPr>
        <w:t>进一步提高绩效管理水平。</w:t>
      </w:r>
      <w:r>
        <w:rPr>
          <w:rFonts w:hint="eastAsia"/>
          <w:sz w:val="32"/>
          <w:szCs w:val="32"/>
          <w:lang w:val="en-US" w:eastAsia="zh-CN"/>
        </w:rPr>
        <w:t>学校项目预算执行的准确性有待进一步加强，分析手段和技术水平还有待提高。</w:t>
      </w:r>
      <w:r>
        <w:rPr>
          <w:rFonts w:hint="default"/>
          <w:sz w:val="32"/>
          <w:szCs w:val="32"/>
          <w:lang w:val="en-US" w:eastAsia="zh-CN"/>
        </w:rPr>
        <w:t>在今后的工作中，加强与财政部门的紧密结合，开展好整体支出及项目资金绩效目标编制和评价工作，重视绩效评估结果应用，实行预算绩效管理通报问责机制，推进预算和绩效管理一体化</w:t>
      </w:r>
      <w:r>
        <w:rPr>
          <w:rFonts w:hint="eastAsia"/>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lang w:val="en-US" w:eastAsia="zh-CN"/>
        </w:rPr>
        <w:t>3.进一步绩效管理宣传工作。学校对绩效管理宣传工作还不到位，各职能处室以及系部的绩效管理意识有待加强。在今后工作中将对我校有关预算绩效管理工作进行公示，加大宣传力度，利用公告栏、校园网等各种媒体形式，宣传预算绩效管理工作，创造良好的社会舆论氛围。</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_GBK" w:hAnsi="仿宋" w:eastAsia="方正小标宋_GBK" w:cs="仿宋"/>
          <w:b w:val="0"/>
          <w:bCs w:val="0"/>
          <w:color w:val="auto"/>
          <w:kern w:val="2"/>
          <w:sz w:val="44"/>
          <w:szCs w:val="44"/>
          <w:lang w:val="en-US" w:eastAsia="zh-CN" w:bidi="ar-SA"/>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s="Times New Roman"/>
          <w:color w:val="auto"/>
          <w:kern w:val="0"/>
          <w:sz w:val="40"/>
          <w:szCs w:val="44"/>
          <w:highlight w:val="none"/>
          <w:lang w:val="en-US" w:eastAsia="zh-CN"/>
        </w:rPr>
      </w:pPr>
      <w:r>
        <w:rPr>
          <w:rFonts w:hint="eastAsia" w:ascii="方正小标宋简体" w:hAnsi="宋体" w:eastAsia="方正小标宋简体" w:cs="Times New Roman"/>
          <w:color w:val="auto"/>
          <w:kern w:val="0"/>
          <w:sz w:val="40"/>
          <w:szCs w:val="44"/>
          <w:highlight w:val="none"/>
          <w:lang w:val="en-US" w:eastAsia="zh-CN"/>
        </w:rPr>
        <w:t>2021年</w:t>
      </w:r>
      <w:bookmarkStart w:id="68" w:name="_Hlk106204192"/>
      <w:r>
        <w:rPr>
          <w:rFonts w:hint="eastAsia" w:ascii="方正小标宋简体" w:hAnsi="宋体" w:eastAsia="方正小标宋简体" w:cs="Times New Roman"/>
          <w:color w:val="auto"/>
          <w:kern w:val="0"/>
          <w:sz w:val="40"/>
          <w:szCs w:val="44"/>
          <w:highlight w:val="none"/>
          <w:lang w:val="en-US" w:eastAsia="zh-CN"/>
        </w:rPr>
        <w:t>川北幼专普通话水平测试</w:t>
      </w:r>
      <w:bookmarkEnd w:id="68"/>
      <w:r>
        <w:rPr>
          <w:rFonts w:hint="eastAsia" w:ascii="方正小标宋简体" w:hAnsi="宋体" w:eastAsia="方正小标宋简体" w:cs="Times New Roman"/>
          <w:color w:val="auto"/>
          <w:kern w:val="0"/>
          <w:sz w:val="40"/>
          <w:szCs w:val="44"/>
          <w:highlight w:val="none"/>
          <w:lang w:val="en-US" w:eastAsia="zh-CN"/>
        </w:rPr>
        <w:t>费</w:t>
      </w:r>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s="Times New Roman"/>
          <w:color w:val="auto"/>
          <w:kern w:val="0"/>
          <w:sz w:val="40"/>
          <w:szCs w:val="44"/>
          <w:highlight w:val="none"/>
          <w:lang w:val="en-US" w:eastAsia="zh-CN"/>
        </w:rPr>
      </w:pPr>
      <w:r>
        <w:rPr>
          <w:rFonts w:hint="eastAsia" w:ascii="方正小标宋简体" w:hAnsi="宋体" w:eastAsia="方正小标宋简体" w:cs="Times New Roman"/>
          <w:color w:val="auto"/>
          <w:kern w:val="0"/>
          <w:sz w:val="40"/>
          <w:szCs w:val="44"/>
          <w:highlight w:val="none"/>
          <w:lang w:val="en-US" w:eastAsia="zh-CN"/>
        </w:rPr>
        <w:t>项目绩效自评报告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一、项目概况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我校是一所师范类高等专科学校。根据《普通话水平测试管理规定》和四川省中小学教师资格认定条件第二条第四款规定，我校的师范类学生和非师范类学生，要符合教师资格认定，就必须取得普通话证书。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针对这一情况，我校于2013年建立了川北幼专普通话水平测试站，专门对本校的师生进行普通话水平测试，以便学生在毕业前就取得普通话资格证书，从而获得教师资格的认定。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广元市区，有广元市语委下属的普通话水平测试站，主要是面对社会人员进行普通话水平测试。而我校每年大约有8000至9000人次学生需要进行普通话水平的测试工作，广元市普通话水平测试站远远不能满足我校师生普通话测试的需求，而我校的普通话水平测试站只有14个测试机位，只有增加测试的次数，才能尽量满足我校师生普通话水平测试的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为达到全年进行约9000人次测试的目标，我校全年进行6次普通话水平测试，总共12143人次参加。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二、项目资金申报及使用情况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该项目资金由广元市财政局根据《广元市财政局关于批复2021年市级部门预算的通知》（广财预〔2021〕1号）的文件通知，全年学校普通话水平测试站预算经费为18万元。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2021年川北幼专普通话水平测试站预算经费为18万元。根据《四川省教育系统考试考务行政事业性收费项目和标准》的文件规定，在校学生普通话水平测试费为25元，在校教师为50元。2021年全年川北幼专普通话水平测试站</w:t>
      </w:r>
      <w:bookmarkStart w:id="69" w:name="_Hlk106206290"/>
      <w:r>
        <w:rPr>
          <w:rFonts w:hint="eastAsia" w:ascii="仿宋" w:hAnsi="仿宋" w:eastAsia="仿宋" w:cs="仿宋"/>
          <w:b w:val="0"/>
          <w:bCs w:val="0"/>
          <w:sz w:val="32"/>
          <w:szCs w:val="32"/>
          <w:lang w:val="en-US" w:eastAsia="zh-CN"/>
        </w:rPr>
        <w:t>进行6次普通话水平测试</w:t>
      </w:r>
      <w:bookmarkEnd w:id="69"/>
      <w:r>
        <w:rPr>
          <w:rFonts w:hint="eastAsia" w:ascii="仿宋" w:hAnsi="仿宋" w:eastAsia="仿宋" w:cs="仿宋"/>
          <w:b w:val="0"/>
          <w:bCs w:val="0"/>
          <w:sz w:val="32"/>
          <w:szCs w:val="32"/>
          <w:lang w:val="en-US" w:eastAsia="zh-CN"/>
        </w:rPr>
        <w:t>，</w:t>
      </w:r>
      <w:bookmarkStart w:id="70" w:name="_Hlk106206308"/>
      <w:r>
        <w:rPr>
          <w:rFonts w:hint="eastAsia" w:ascii="仿宋" w:hAnsi="仿宋" w:eastAsia="仿宋" w:cs="仿宋"/>
          <w:b w:val="0"/>
          <w:bCs w:val="0"/>
          <w:sz w:val="32"/>
          <w:szCs w:val="32"/>
          <w:lang w:val="en-US" w:eastAsia="zh-CN"/>
        </w:rPr>
        <w:t>总共</w:t>
      </w:r>
      <w:bookmarkStart w:id="71" w:name="_Hlk106206277"/>
      <w:r>
        <w:rPr>
          <w:rFonts w:hint="eastAsia" w:ascii="仿宋" w:hAnsi="仿宋" w:eastAsia="仿宋" w:cs="仿宋"/>
          <w:b w:val="0"/>
          <w:bCs w:val="0"/>
          <w:sz w:val="32"/>
          <w:szCs w:val="32"/>
          <w:lang w:val="en-US" w:eastAsia="zh-CN"/>
        </w:rPr>
        <w:t>12143人次</w:t>
      </w:r>
      <w:bookmarkEnd w:id="71"/>
      <w:r>
        <w:rPr>
          <w:rFonts w:hint="eastAsia" w:ascii="仿宋" w:hAnsi="仿宋" w:eastAsia="仿宋" w:cs="仿宋"/>
          <w:b w:val="0"/>
          <w:bCs w:val="0"/>
          <w:sz w:val="32"/>
          <w:szCs w:val="32"/>
          <w:lang w:val="en-US" w:eastAsia="zh-CN"/>
        </w:rPr>
        <w:t>参加</w:t>
      </w:r>
      <w:bookmarkEnd w:id="70"/>
      <w:r>
        <w:rPr>
          <w:rFonts w:hint="eastAsia" w:ascii="仿宋" w:hAnsi="仿宋" w:eastAsia="仿宋" w:cs="仿宋"/>
          <w:b w:val="0"/>
          <w:bCs w:val="0"/>
          <w:sz w:val="32"/>
          <w:szCs w:val="32"/>
          <w:lang w:val="en-US" w:eastAsia="zh-CN"/>
        </w:rPr>
        <w:t>，共计收费328675元，</w:t>
      </w:r>
      <w:bookmarkStart w:id="72" w:name="_Hlk106206423"/>
      <w:r>
        <w:rPr>
          <w:rFonts w:hint="eastAsia" w:ascii="仿宋" w:hAnsi="仿宋" w:eastAsia="仿宋" w:cs="仿宋"/>
          <w:b w:val="0"/>
          <w:bCs w:val="0"/>
          <w:sz w:val="32"/>
          <w:szCs w:val="32"/>
          <w:lang w:val="en-US" w:eastAsia="zh-CN"/>
        </w:rPr>
        <w:t>超额完成预算目标。</w:t>
      </w:r>
      <w:bookmarkEnd w:id="72"/>
      <w:r>
        <w:rPr>
          <w:rFonts w:hint="eastAsia" w:ascii="仿宋" w:hAnsi="仿宋" w:eastAsia="仿宋" w:cs="仿宋"/>
          <w:b w:val="0"/>
          <w:bCs w:val="0"/>
          <w:sz w:val="32"/>
          <w:szCs w:val="32"/>
          <w:lang w:val="en-US" w:eastAsia="zh-CN"/>
        </w:rPr>
        <w:t>全年支付校外评分员、校内评分员评分酬劳、测试站监考老师监考费、上交省测中心费用、向科大讯飞公司支付技术服务费等共计支出229900元。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（三）项目财务管理情况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我校普通话水平测试站全年制定了详细的工作计划，合理安排普通话测试费预算支出，严格执行财务制度，圆满地完成年初目标。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三、项目实施及管理情况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（一）项目组织架构及实施流程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bookmarkStart w:id="73" w:name="_Hlk106205330"/>
      <w:r>
        <w:rPr>
          <w:rFonts w:hint="eastAsia" w:ascii="仿宋" w:hAnsi="仿宋" w:eastAsia="仿宋" w:cs="仿宋"/>
          <w:b w:val="0"/>
          <w:bCs w:val="0"/>
          <w:sz w:val="32"/>
          <w:szCs w:val="32"/>
          <w:lang w:val="en-US" w:eastAsia="zh-CN"/>
        </w:rPr>
        <w:t>川北幼专普通话水平测试站</w:t>
      </w:r>
      <w:bookmarkEnd w:id="73"/>
      <w:r>
        <w:rPr>
          <w:rFonts w:hint="eastAsia" w:ascii="仿宋" w:hAnsi="仿宋" w:eastAsia="仿宋" w:cs="仿宋"/>
          <w:b w:val="0"/>
          <w:bCs w:val="0"/>
          <w:sz w:val="32"/>
          <w:szCs w:val="32"/>
          <w:lang w:val="en-US" w:eastAsia="zh-CN"/>
        </w:rPr>
        <w:t>常设</w:t>
      </w:r>
      <w:bookmarkStart w:id="74" w:name="_Hlk106205343"/>
      <w:r>
        <w:rPr>
          <w:rFonts w:hint="eastAsia" w:ascii="仿宋" w:hAnsi="仿宋" w:eastAsia="仿宋" w:cs="仿宋"/>
          <w:b w:val="0"/>
          <w:bCs w:val="0"/>
          <w:sz w:val="32"/>
          <w:szCs w:val="32"/>
          <w:lang w:val="en-US" w:eastAsia="zh-CN"/>
        </w:rPr>
        <w:t>办公室</w:t>
      </w:r>
      <w:bookmarkEnd w:id="74"/>
      <w:r>
        <w:rPr>
          <w:rFonts w:hint="eastAsia" w:ascii="仿宋" w:hAnsi="仿宋" w:eastAsia="仿宋" w:cs="仿宋"/>
          <w:b w:val="0"/>
          <w:bCs w:val="0"/>
          <w:sz w:val="32"/>
          <w:szCs w:val="32"/>
          <w:lang w:val="en-US" w:eastAsia="zh-CN"/>
        </w:rPr>
        <w:t xml:space="preserve">一个，负责普通话测试流程的管理。川北幼专普通话水平测试站办公室每学期初制订本学期的普通话测试计划，根据测试计划制定每次测试的实施方案，根据测试实施方案进行普通话测试。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（二）项目管理情况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为保障</w:t>
      </w:r>
      <w:bookmarkStart w:id="75" w:name="_Hlk106206247"/>
      <w:r>
        <w:rPr>
          <w:rFonts w:hint="eastAsia" w:ascii="仿宋" w:hAnsi="仿宋" w:eastAsia="仿宋" w:cs="仿宋"/>
          <w:b w:val="0"/>
          <w:bCs w:val="0"/>
          <w:sz w:val="32"/>
          <w:szCs w:val="32"/>
          <w:lang w:val="en-US" w:eastAsia="zh-CN"/>
        </w:rPr>
        <w:t>川北幼专普通话水平测试站</w:t>
      </w:r>
      <w:bookmarkEnd w:id="75"/>
      <w:r>
        <w:rPr>
          <w:rFonts w:hint="eastAsia" w:ascii="仿宋" w:hAnsi="仿宋" w:eastAsia="仿宋" w:cs="仿宋"/>
          <w:b w:val="0"/>
          <w:bCs w:val="0"/>
          <w:sz w:val="32"/>
          <w:szCs w:val="32"/>
          <w:lang w:val="en-US" w:eastAsia="zh-CN"/>
        </w:rPr>
        <w:t>的测试工作客观、公平，学校强化以下措施：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1.加强测试工作人员的管理。测试前组织测试工作相关人员进行考风考纪培训，学习普通话水平测试有关规定。对参与测试工作各环节的工作人员要落实工作责任，要求认真履职。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2.强化教育，营造良好考试氛围。加强学生的考风考纪教育，通过日常教育和测前教育相结合，培养学生良好的学风、考风，增强诚信考试的自觉性。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3.严密组织，层层落实。测试站要认真组织测试工作，严格按照计算机辅助普通话测试规程，在考场设置、试题管理、报名、现场测试等环节责任到人，确保测试规范有序。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（三）项目监管情况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学校加强了普通话水平测试站巡视、督查工作。学校强化测试期间的巡视、督查工作，同时积极配合省测试中心巡考、督查工作。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四、项目绩效情况</w:t>
      </w:r>
      <w:r>
        <w:rPr>
          <w:rFonts w:hint="eastAsia" w:ascii="黑体" w:hAnsi="黑体" w:eastAsia="黑体" w:cs="黑体"/>
          <w:b w:val="0"/>
          <w:bCs w:val="0"/>
          <w:sz w:val="32"/>
          <w:szCs w:val="32"/>
          <w:lang w:val="en-US" w:eastAsia="zh-CN"/>
        </w:rPr>
        <w:tab/>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（一）项目完成情况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川北幼专普通话水平测试站2021年度预计全年测试9000人次，实际全年进行了6次普通话水平测试，总共12143人次参加，测试人数达到年度指标值，完成率134.8%，超额完成预算目标。</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（二）项目效益情况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2021年度，我校共计1570名师生取得了普通话二级甲等证书，其余参测师生普通话水平也取得了长足进步，我校普通话水平测试站的工作获得了师生、家长和社会的一致好评，为广元地区教育人才队伍建设、提高我校学前教育质量做出了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五、评价结论及建议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2021年度，我校普通话水平测试站在四川省普通话水平测试中心的业务指导下，在学校领导的关注和监督下，圆满地完成了年初制订的测试计划，取得了进一步的经济效益和社会效益。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我校普通话水平测试站是于2013年建成，测试设备已经使用了将近10年，某些设备跟不上测试系统的更新换代。测试机位只有14个，远远满足不了我校广大师生的普通话水平测试的要求。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en-US" w:eastAsia="zh-CN"/>
        </w:rPr>
      </w:pPr>
      <w:r>
        <w:rPr>
          <w:rFonts w:hint="eastAsia" w:hAnsi="Times New Roman" w:cs="Times New Roman"/>
          <w:sz w:val="32"/>
          <w:szCs w:val="32"/>
          <w:lang w:val="en-US" w:eastAsia="zh-CN"/>
        </w:rPr>
        <w:t>（三）相关建议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1.学校要充分利用《现代汉语》、《普通话与教师口语》等课程，加大对学生的普通话培训力度，提高普通话水平合格率。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2.通过开展中华经典诵读、诗文名篇朗诵、演讲、辩论赛、讲故事、主持人大赛等语言类活动，促使学生练普通话，提升普通话水平。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仿宋" w:hAnsi="仿宋" w:eastAsia="仿宋" w:cs="仿宋"/>
          <w:b w:val="0"/>
          <w:bCs w:val="0"/>
          <w:sz w:val="32"/>
          <w:szCs w:val="32"/>
          <w:lang w:val="en-US" w:eastAsia="zh-CN"/>
        </w:rPr>
        <w:t>3.更新测试设备，以满足新的测试系统的要求。</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14"/>
        <w:tblpPr w:leftFromText="180" w:rightFromText="180" w:vertAnchor="text" w:horzAnchor="page" w:tblpX="1225" w:tblpY="594"/>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1140"/>
        <w:gridCol w:w="1620"/>
        <w:gridCol w:w="1725"/>
        <w:gridCol w:w="2085"/>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8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普通话水平测试费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主管单位</w:t>
            </w:r>
          </w:p>
        </w:tc>
        <w:tc>
          <w:tcPr>
            <w:tcW w:w="1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市财政局、教育局</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1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川北幼儿师范高等专科学校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8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8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领取普通话测试题，普通话教师监考费发放，普通话考试其他费用。</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已超额完成了2021年普通话测试任务。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7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预期指标值</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测试次数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预计举行普通话水平测试9000人次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实际完成普通话测试12133人次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7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7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人均测试费用</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学生25元/人；教师50元/人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学生25元/人；教师50元/人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项目效果指标</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7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提高师生普通话水平</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师生普通话水平进一步提高</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师生普通话水平获得进一步提高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7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师生满意度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_GBK" w:hAnsi="仿宋" w:eastAsia="方正小标宋_GBK" w:cs="仿宋"/>
          <w:b w:val="0"/>
          <w:bCs w:val="0"/>
          <w:color w:val="auto"/>
          <w:kern w:val="2"/>
          <w:sz w:val="44"/>
          <w:szCs w:val="44"/>
          <w:lang w:val="en-US" w:eastAsia="zh-CN" w:bidi="ar-SA"/>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s="Times New Roman"/>
          <w:color w:val="auto"/>
          <w:kern w:val="0"/>
          <w:sz w:val="40"/>
          <w:szCs w:val="44"/>
          <w:highlight w:val="none"/>
          <w:lang w:val="en-US" w:eastAsia="zh-CN"/>
        </w:rPr>
      </w:pPr>
      <w:r>
        <w:rPr>
          <w:rFonts w:hint="eastAsia" w:ascii="方正小标宋简体" w:hAnsi="宋体" w:eastAsia="方正小标宋简体" w:cs="Times New Roman"/>
          <w:color w:val="auto"/>
          <w:kern w:val="0"/>
          <w:sz w:val="40"/>
          <w:szCs w:val="44"/>
          <w:highlight w:val="none"/>
          <w:lang w:val="en-US" w:eastAsia="zh-CN"/>
        </w:rPr>
        <w:t>2021年学生资助补助经费</w:t>
      </w:r>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s="Times New Roman"/>
          <w:color w:val="auto"/>
          <w:kern w:val="0"/>
          <w:sz w:val="40"/>
          <w:szCs w:val="44"/>
          <w:highlight w:val="none"/>
          <w:lang w:val="en-US" w:eastAsia="zh-CN"/>
        </w:rPr>
      </w:pPr>
      <w:r>
        <w:rPr>
          <w:rFonts w:hint="eastAsia" w:ascii="方正小标宋简体" w:hAnsi="宋体" w:eastAsia="方正小标宋简体" w:cs="Times New Roman"/>
          <w:color w:val="auto"/>
          <w:kern w:val="0"/>
          <w:sz w:val="40"/>
          <w:szCs w:val="44"/>
          <w:highlight w:val="none"/>
          <w:lang w:val="en-US" w:eastAsia="zh-CN"/>
        </w:rPr>
        <w:t>项目绩效自评报告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b w:val="0"/>
          <w:bCs w:val="0"/>
          <w:color w:val="auto"/>
          <w:kern w:val="2"/>
          <w:sz w:val="32"/>
          <w:szCs w:val="32"/>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s="Times New Roman"/>
          <w:b w:val="0"/>
          <w:bCs w:val="0"/>
          <w:sz w:val="32"/>
          <w:szCs w:val="32"/>
          <w:lang w:val="zh-CN"/>
        </w:rPr>
      </w:pPr>
      <w:r>
        <w:rPr>
          <w:rFonts w:hint="eastAsia" w:ascii="黑体" w:hAnsi="宋体" w:eastAsia="黑体" w:cs="Times New Roman"/>
          <w:b w:val="0"/>
          <w:bCs w:val="0"/>
          <w:sz w:val="32"/>
          <w:szCs w:val="32"/>
        </w:rPr>
        <w:t>一、</w:t>
      </w:r>
      <w:r>
        <w:rPr>
          <w:rFonts w:hint="eastAsia" w:ascii="黑体" w:hAnsi="宋体" w:eastAsia="黑体" w:cs="Times New Roman"/>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学生工作处按照《四川省教育厅关于做好 2021年国家奖助学金评审工作的通知》（川教函〔2021〕406号）文件要求，国家奖学金11人，奖励全日制大专二年级以上（含二年级）特别优秀的学生，奖励标准为每人每年8000元；国家励志奖学金286人，奖励全日制大专二年级以上（含二年级）中品学兼优的家庭经济困难学生，奖励标准为每人每年每人5000元。国家助学金资助全日制大专一、二、三年级学生中的家庭经济困难学生，资助标准为一档（一般困难）、二档（困难）、三档（特别困难），分别为每人每年2100元、3300元、4500元。2021年春季助学金资助人数为2602人，秋季助学金资助人数为2713人。</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我校严格按照政策规定做好大专生奖助学金的评审发放工作，确保评审程序公开、公正、公平，做到了专款专用，不截留、不挪用。</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落实国家、省各项学生资助政策，保障家庭经济困难学生受教育权利，促进教育公平，保证每一名在校家庭经济困难学生能够安心在校学习生活，顺利完成学业。</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项目资金申报相符性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s="Times New Roman"/>
          <w:b w:val="0"/>
          <w:bCs w:val="0"/>
          <w:sz w:val="32"/>
          <w:szCs w:val="32"/>
        </w:rPr>
      </w:pPr>
      <w:r>
        <w:rPr>
          <w:rFonts w:hint="eastAsia" w:ascii="黑体" w:hAnsi="宋体" w:eastAsia="黑体" w:cs="Times New Roman"/>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ab/>
      </w:r>
      <w:r>
        <w:rPr>
          <w:rFonts w:hint="eastAsia" w:ascii="仿宋_GB2312" w:hAnsi="Times New Roman" w:eastAsia="仿宋_GB2312" w:cs="Times New Roman"/>
          <w:kern w:val="0"/>
          <w:sz w:val="32"/>
          <w:szCs w:val="32"/>
          <w:lang w:val="zh-CN" w:eastAsia="zh-CN" w:bidi="ar-SA"/>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Times New Roman"/>
          <w:b w:val="0"/>
          <w:bCs w:val="0"/>
          <w:sz w:val="32"/>
          <w:szCs w:val="32"/>
          <w:lang w:val="zh-CN"/>
        </w:rPr>
      </w:pPr>
      <w:r>
        <w:rPr>
          <w:rFonts w:hint="eastAsia" w:ascii="仿宋_GB2312" w:hAnsi="仿宋_GB2312" w:eastAsia="仿宋_GB2312" w:cs="仿宋_GB2312"/>
          <w:b w:val="0"/>
          <w:bCs w:val="0"/>
          <w:sz w:val="32"/>
          <w:szCs w:val="32"/>
          <w:lang w:val="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资金计划及到位。</w:t>
      </w:r>
      <w:r>
        <w:rPr>
          <w:rFonts w:hint="eastAsia" w:ascii="仿宋_GB2312" w:hAnsi="宋体" w:eastAsia="仿宋_GB2312" w:cs="Times New Roman"/>
          <w:b w:val="0"/>
          <w:bCs w:val="0"/>
          <w:sz w:val="32"/>
          <w:szCs w:val="32"/>
          <w:lang w:val="zh-CN"/>
        </w:rPr>
        <w:t>2021年我校学生资助补助经费共计</w:t>
      </w:r>
      <w:r>
        <w:rPr>
          <w:rFonts w:hint="eastAsia" w:ascii="仿宋_GB2312" w:hAnsi="宋体" w:eastAsia="仿宋_GB2312" w:cs="Times New Roman"/>
          <w:b w:val="0"/>
          <w:bCs w:val="0"/>
          <w:sz w:val="32"/>
          <w:szCs w:val="32"/>
          <w:lang w:val="en-US" w:eastAsia="zh-CN"/>
        </w:rPr>
        <w:t>1190.18</w:t>
      </w:r>
      <w:r>
        <w:rPr>
          <w:rFonts w:hint="eastAsia" w:ascii="仿宋_GB2312" w:hAnsi="宋体" w:eastAsia="仿宋_GB2312" w:cs="Times New Roman"/>
          <w:b w:val="0"/>
          <w:bCs w:val="0"/>
          <w:sz w:val="32"/>
          <w:szCs w:val="32"/>
          <w:lang w:val="zh-CN"/>
        </w:rPr>
        <w:t>万元，在202</w:t>
      </w:r>
      <w:r>
        <w:rPr>
          <w:rFonts w:hint="eastAsia" w:ascii="仿宋_GB2312" w:hAnsi="宋体" w:eastAsia="仿宋_GB2312" w:cs="Times New Roman"/>
          <w:b w:val="0"/>
          <w:bCs w:val="0"/>
          <w:sz w:val="32"/>
          <w:szCs w:val="32"/>
          <w:lang w:val="en-US" w:eastAsia="zh-CN"/>
        </w:rPr>
        <w:t>1</w:t>
      </w:r>
      <w:r>
        <w:rPr>
          <w:rFonts w:hint="eastAsia" w:ascii="仿宋_GB2312" w:hAnsi="宋体" w:eastAsia="仿宋_GB2312" w:cs="Times New Roman"/>
          <w:b w:val="0"/>
          <w:bCs w:val="0"/>
          <w:sz w:val="32"/>
          <w:szCs w:val="32"/>
          <w:lang w:val="zh-CN"/>
        </w:rPr>
        <w:t>年奖助学金发放前全部到位。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仿宋_GB2312" w:eastAsia="仿宋_GB2312" w:cs="仿宋_GB2312"/>
          <w:b w:val="0"/>
          <w:bCs w:val="0"/>
          <w:sz w:val="32"/>
          <w:szCs w:val="32"/>
          <w:lang w:val="zh-CN"/>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资金使用。</w:t>
      </w:r>
      <w:r>
        <w:rPr>
          <w:rFonts w:hint="eastAsia" w:ascii="仿宋_GB2312" w:hAnsi="宋体" w:eastAsia="仿宋_GB2312" w:cs="Times New Roman"/>
          <w:b w:val="0"/>
          <w:bCs w:val="0"/>
          <w:sz w:val="32"/>
          <w:szCs w:val="32"/>
          <w:lang w:val="zh-CN"/>
        </w:rPr>
        <w:t>项目全年预算数为</w:t>
      </w:r>
      <w:r>
        <w:rPr>
          <w:rFonts w:hint="eastAsia" w:ascii="仿宋_GB2312" w:hAnsi="宋体" w:eastAsia="仿宋_GB2312" w:cs="Times New Roman"/>
          <w:b w:val="0"/>
          <w:bCs w:val="0"/>
          <w:sz w:val="32"/>
          <w:szCs w:val="32"/>
          <w:lang w:val="en-US" w:eastAsia="zh-CN"/>
        </w:rPr>
        <w:t>1190.18万</w:t>
      </w:r>
      <w:r>
        <w:rPr>
          <w:rFonts w:hint="eastAsia" w:ascii="仿宋_GB2312" w:hAnsi="宋体" w:eastAsia="仿宋_GB2312" w:cs="Times New Roman"/>
          <w:b w:val="0"/>
          <w:bCs w:val="0"/>
          <w:sz w:val="32"/>
          <w:szCs w:val="32"/>
          <w:lang w:val="zh-CN"/>
        </w:rPr>
        <w:t>元，全年执行数为</w:t>
      </w:r>
      <w:r>
        <w:rPr>
          <w:rFonts w:hint="eastAsia" w:ascii="仿宋_GB2312" w:hAnsi="宋体" w:eastAsia="仿宋_GB2312" w:cs="Times New Roman"/>
          <w:b w:val="0"/>
          <w:bCs w:val="0"/>
          <w:sz w:val="32"/>
          <w:szCs w:val="32"/>
          <w:lang w:val="en-US" w:eastAsia="zh-CN"/>
        </w:rPr>
        <w:t>1190.18万</w:t>
      </w:r>
      <w:r>
        <w:rPr>
          <w:rFonts w:hint="eastAsia" w:ascii="仿宋_GB2312" w:hAnsi="宋体" w:eastAsia="仿宋_GB2312" w:cs="Times New Roman"/>
          <w:b w:val="0"/>
          <w:bCs w:val="0"/>
          <w:sz w:val="32"/>
          <w:szCs w:val="32"/>
          <w:lang w:val="zh-CN"/>
        </w:rPr>
        <w:t>元，执行率100%。学校通过广元市惠民惠农财政补贴资金“一卡通”项目资金直接打入受资助学生本人社保卡中。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在项目建设过程中，认真贯彻执行国家、省关于学生奖助学金评审和发放的方针政策，根据上级相关文件、制度，制定并完善我校学生奖助学金管理办法和实施细则。专款专用，不截留、不挪用，不多发，也不漏发给每一位学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（三）项目组织实施情况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学生申请—班级初评—系部初审—系部公示5个工作日—学生工作处审核—报学校国家奖助学金评审委员会评审—报学校国家奖助学金评审领导小组审定——全校范围现公示5个工作日——报校长办公会——报省资助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Times New Roman"/>
          <w:b w:val="0"/>
          <w:bCs w:val="0"/>
          <w:sz w:val="32"/>
          <w:szCs w:val="32"/>
          <w:lang w:val="zh-CN"/>
        </w:rPr>
      </w:pPr>
      <w:r>
        <w:rPr>
          <w:rFonts w:hint="eastAsia" w:ascii="黑体" w:hAnsi="宋体" w:eastAsia="黑体" w:cs="Times New Roman"/>
          <w:b w:val="0"/>
          <w:bCs w:val="0"/>
          <w:sz w:val="32"/>
          <w:szCs w:val="32"/>
        </w:rPr>
        <w:t>三、项目绩效情况</w:t>
      </w:r>
      <w:r>
        <w:rPr>
          <w:rFonts w:hint="eastAsia" w:ascii="仿宋_GB2312" w:hAnsi="宋体" w:eastAsia="仿宋_GB2312" w:cs="Times New Roman"/>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严格按照省上要求，按时评选、按时报送，及时、全额发放补助资金。项目设定数量指标全部完成。应评选的受奖受助学生人数达到年度指标值，完成率100%，未截留指标。</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宋体" w:eastAsia="黑体" w:cs="Times New Roman"/>
          <w:b w:val="0"/>
          <w:bCs w:val="0"/>
          <w:sz w:val="32"/>
          <w:szCs w:val="32"/>
        </w:rPr>
      </w:pPr>
      <w:r>
        <w:rPr>
          <w:rFonts w:hint="eastAsia" w:ascii="仿宋_GB2312" w:hAnsi="宋体" w:eastAsia="仿宋_GB2312" w:cs="Times New Roman"/>
          <w:b w:val="0"/>
          <w:bCs w:val="0"/>
          <w:sz w:val="32"/>
          <w:szCs w:val="32"/>
          <w:lang w:val="zh-CN"/>
        </w:rPr>
        <w:t>加强政策宣传，寄发《高等学校学生资助政策简介》给录取新生；利用网站、校园广播、展板等进行政策宣传；给每一位学生印发资助管理制度，宣讲资助政策，使资助政策深入学生心中。有效减轻了贫困学生家庭负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s="Times New Roman"/>
          <w:b w:val="0"/>
          <w:bCs w:val="0"/>
          <w:sz w:val="32"/>
          <w:szCs w:val="32"/>
        </w:rPr>
      </w:pPr>
      <w:r>
        <w:rPr>
          <w:rFonts w:hint="eastAsia" w:ascii="黑体" w:hAnsi="宋体" w:eastAsia="黑体" w:cs="Times New Roman"/>
          <w:b w:val="0"/>
          <w:bCs w:val="0"/>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在发放学生资助补助经费过程中因学生社保卡未激活导致打卡失败情况较多，给发放工作带来了一定的现实阻碍，加大了后期清理的工作量。</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相关建议</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27"/>
          <w:rFonts w:ascii="黑体" w:hAnsi="黑体" w:eastAsia="黑体"/>
          <w:b w:val="0"/>
        </w:rPr>
      </w:pPr>
      <w:r>
        <w:rPr>
          <w:rFonts w:hint="eastAsia" w:ascii="仿宋_GB2312" w:hAnsi="宋体" w:eastAsia="仿宋_GB2312" w:cs="Times New Roman"/>
          <w:b w:val="0"/>
          <w:bCs w:val="0"/>
          <w:sz w:val="32"/>
          <w:szCs w:val="32"/>
          <w:lang w:val="zh-CN"/>
        </w:rPr>
        <w:t>提前通知、督促学生,办理激活社保卡金融功能。同时紧紧围绕“立德树人”这一根本宗旨，将培养青年学生全面发展作为资助育人工作的总目标，加强励志教育、诚信教育和社会责任感教育“三项教育”，培养青年学生自立自强、诚实守信、知恩感恩、勇于担当的良好品质。</w:t>
      </w:r>
    </w:p>
    <w:p>
      <w:pPr>
        <w:pStyle w:val="9"/>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sz w:val="32"/>
          <w:szCs w:val="32"/>
          <w:lang w:val="en-US" w:eastAsia="zh-CN"/>
        </w:rPr>
        <w:sectPr>
          <w:footerReference r:id="rId11"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14"/>
        <w:tblW w:w="90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989"/>
        <w:gridCol w:w="1073"/>
        <w:gridCol w:w="2280"/>
        <w:gridCol w:w="205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9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2021年学生资助补助经费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主管单位</w:t>
            </w:r>
          </w:p>
        </w:tc>
        <w:tc>
          <w:tcPr>
            <w:tcW w:w="22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市财政局、市教育局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9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川北幼儿师范高等专科学校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1190.18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1190.18</w:t>
            </w:r>
          </w:p>
        </w:tc>
        <w:tc>
          <w:tcPr>
            <w:tcW w:w="205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5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按时完成国家奖助学金发放</w:t>
            </w: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已及时发放国家奖助学金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绩效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情况</w:t>
            </w: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2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预期指标值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0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2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为地方属普通高等学校家庭经济困难学生发放大专国家助学金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春季2602人，秋季2713人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春季2602人，秋季2713人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为地方属普通高等学校家庭经济困难学生发放中专国家助学金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春季112人，秋季91人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春季112人，秋季91人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2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大专国家助学金标准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3300元/生.年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3300元/生.年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中专国家助学金标准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2000元/生.年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2000元/生.年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2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及时发放到位</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7月1日以前已发放春季助学金，11月30日以前发放秋季助学金</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按时发放到位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项目效果指标</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2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减轻普通高等学校家庭经济困难学生经济压力</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0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2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学生满意度</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家长满意度</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宋体" w:eastAsia="方正小标宋简体" w:cs="Times New Roman"/>
          <w:color w:val="auto"/>
          <w:kern w:val="0"/>
          <w:sz w:val="40"/>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r>
        <w:rPr>
          <w:rFonts w:hint="eastAsia" w:ascii="方正小标宋简体" w:hAnsi="宋体" w:eastAsia="方正小标宋简体" w:cs="Times New Roman"/>
          <w:color w:val="auto"/>
          <w:kern w:val="0"/>
          <w:sz w:val="40"/>
          <w:szCs w:val="44"/>
          <w:highlight w:val="none"/>
          <w:lang w:val="en-US" w:eastAsia="zh-CN"/>
        </w:rPr>
        <w:t xml:space="preserve"> </w:t>
      </w:r>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s="Times New Roman"/>
          <w:color w:val="auto"/>
          <w:kern w:val="0"/>
          <w:sz w:val="40"/>
          <w:szCs w:val="44"/>
          <w:highlight w:val="none"/>
          <w:lang w:val="zh-CN" w:eastAsia="zh-CN"/>
        </w:rPr>
      </w:pPr>
      <w:r>
        <w:rPr>
          <w:rFonts w:hint="eastAsia" w:ascii="方正小标宋简体" w:hAnsi="宋体" w:eastAsia="方正小标宋简体" w:cs="Times New Roman"/>
          <w:color w:val="auto"/>
          <w:kern w:val="0"/>
          <w:sz w:val="40"/>
          <w:szCs w:val="44"/>
          <w:highlight w:val="none"/>
          <w:lang w:val="en-US" w:eastAsia="zh-CN"/>
        </w:rPr>
        <w:t>2021年高校共建与发展专项资金</w:t>
      </w:r>
      <w:r>
        <w:rPr>
          <w:rFonts w:hint="eastAsia" w:ascii="方正小标宋简体" w:hAnsi="宋体" w:eastAsia="方正小标宋简体" w:cs="Times New Roman"/>
          <w:color w:val="auto"/>
          <w:kern w:val="0"/>
          <w:sz w:val="40"/>
          <w:szCs w:val="44"/>
          <w:highlight w:val="none"/>
          <w:lang w:val="zh-CN" w:eastAsia="zh-CN"/>
        </w:rPr>
        <w:t>项目</w:t>
      </w:r>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s="Times New Roman"/>
          <w:color w:val="auto"/>
          <w:kern w:val="0"/>
          <w:sz w:val="40"/>
          <w:szCs w:val="44"/>
          <w:highlight w:val="none"/>
          <w:lang w:val="en-US" w:eastAsia="zh-CN"/>
        </w:rPr>
      </w:pPr>
      <w:r>
        <w:rPr>
          <w:rFonts w:hint="eastAsia" w:ascii="方正小标宋简体" w:hAnsi="宋体" w:eastAsia="方正小标宋简体" w:cs="Times New Roman"/>
          <w:color w:val="auto"/>
          <w:kern w:val="0"/>
          <w:sz w:val="40"/>
          <w:szCs w:val="44"/>
          <w:highlight w:val="none"/>
          <w:lang w:val="en-US" w:eastAsia="zh-CN"/>
        </w:rPr>
        <w:t>困难大学生就业帮扶经费</w:t>
      </w:r>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s="Times New Roman"/>
          <w:color w:val="auto"/>
          <w:kern w:val="0"/>
          <w:sz w:val="40"/>
          <w:szCs w:val="44"/>
          <w:highlight w:val="none"/>
          <w:lang w:val="zh-CN" w:eastAsia="zh-CN"/>
        </w:rPr>
      </w:pPr>
      <w:r>
        <w:rPr>
          <w:rFonts w:hint="eastAsia" w:ascii="方正小标宋简体" w:hAnsi="宋体" w:eastAsia="方正小标宋简体" w:cs="Times New Roman"/>
          <w:color w:val="auto"/>
          <w:kern w:val="0"/>
          <w:sz w:val="40"/>
          <w:szCs w:val="44"/>
          <w:highlight w:val="none"/>
          <w:lang w:val="zh-CN" w:eastAsia="zh-CN"/>
        </w:rPr>
        <w:t>绩效自评报告</w:t>
      </w:r>
    </w:p>
    <w:p>
      <w:pPr>
        <w:pStyle w:val="9"/>
        <w:rPr>
          <w:rFonts w:hint="eastAsi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（一）项目基本情况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eastAsia="zh-CN"/>
        </w:rPr>
        <w:t>我校</w:t>
      </w:r>
      <w:r>
        <w:rPr>
          <w:rFonts w:hint="eastAsia" w:ascii="仿宋" w:hAnsi="仿宋" w:eastAsia="仿宋" w:cs="宋体"/>
          <w:color w:val="auto"/>
          <w:sz w:val="32"/>
          <w:szCs w:val="32"/>
          <w:lang w:val="en-US" w:eastAsia="zh-CN"/>
        </w:rPr>
        <w:t>2021年高校共建与发展专项资金</w:t>
      </w:r>
      <w:r>
        <w:rPr>
          <w:rFonts w:hint="eastAsia" w:ascii="仿宋" w:hAnsi="仿宋" w:eastAsia="仿宋" w:cs="宋体"/>
          <w:color w:val="auto"/>
          <w:sz w:val="32"/>
          <w:szCs w:val="32"/>
          <w:lang w:val="zh-CN" w:eastAsia="zh-CN"/>
        </w:rPr>
        <w:t>项目</w:t>
      </w:r>
      <w:r>
        <w:rPr>
          <w:rFonts w:hint="eastAsia" w:ascii="仿宋" w:hAnsi="仿宋" w:eastAsia="仿宋" w:cs="宋体"/>
          <w:color w:val="auto"/>
          <w:sz w:val="32"/>
          <w:szCs w:val="32"/>
          <w:lang w:val="en-US" w:eastAsia="zh-CN"/>
        </w:rPr>
        <w:t>（困难大学生就业帮扶与就业工作经费）</w:t>
      </w:r>
      <w:r>
        <w:rPr>
          <w:rFonts w:hint="eastAsia" w:ascii="仿宋" w:hAnsi="仿宋" w:eastAsia="仿宋" w:cs="宋体"/>
          <w:color w:val="auto"/>
          <w:sz w:val="32"/>
          <w:szCs w:val="32"/>
          <w:lang w:val="zh-CN" w:eastAsia="zh-CN"/>
        </w:rPr>
        <w:t>预算</w:t>
      </w:r>
      <w:r>
        <w:rPr>
          <w:rFonts w:hint="eastAsia" w:ascii="仿宋" w:hAnsi="仿宋" w:eastAsia="仿宋" w:cs="宋体"/>
          <w:color w:val="auto"/>
          <w:sz w:val="32"/>
          <w:szCs w:val="32"/>
          <w:lang w:val="en-US" w:eastAsia="zh-CN"/>
        </w:rPr>
        <w:t>17.28万元。高校共建与发展专项资金</w:t>
      </w:r>
      <w:r>
        <w:rPr>
          <w:rFonts w:hint="eastAsia" w:ascii="仿宋" w:hAnsi="仿宋" w:eastAsia="仿宋" w:cs="宋体"/>
          <w:color w:val="auto"/>
          <w:sz w:val="32"/>
          <w:szCs w:val="32"/>
          <w:lang w:val="zh-CN" w:eastAsia="zh-CN"/>
        </w:rPr>
        <w:t>项目</w:t>
      </w:r>
      <w:r>
        <w:rPr>
          <w:rFonts w:hint="eastAsia" w:ascii="仿宋" w:hAnsi="仿宋" w:eastAsia="仿宋" w:cs="宋体"/>
          <w:color w:val="auto"/>
          <w:sz w:val="32"/>
          <w:szCs w:val="32"/>
          <w:lang w:eastAsia="zh-CN"/>
        </w:rPr>
        <w:t>严格按照《四川省教育厅关于做好202</w:t>
      </w:r>
      <w:r>
        <w:rPr>
          <w:rFonts w:hint="eastAsia" w:ascii="仿宋" w:hAnsi="仿宋" w:eastAsia="仿宋" w:cs="宋体"/>
          <w:color w:val="auto"/>
          <w:sz w:val="32"/>
          <w:szCs w:val="32"/>
          <w:lang w:val="en-US" w:eastAsia="zh-CN"/>
        </w:rPr>
        <w:t>1</w:t>
      </w:r>
      <w:r>
        <w:rPr>
          <w:rFonts w:hint="eastAsia" w:ascii="仿宋" w:hAnsi="仿宋" w:eastAsia="仿宋" w:cs="宋体"/>
          <w:color w:val="auto"/>
          <w:sz w:val="32"/>
          <w:szCs w:val="32"/>
          <w:lang w:eastAsia="zh-CN"/>
        </w:rPr>
        <w:t>年普通高校家庭经济困难和就业困难毕业生就业帮扶经费申报工作的通知》《关于进一步加强惠民惠农财政补贴资金“一卡通”管理的通知》（川财办</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lang w:eastAsia="zh-CN"/>
        </w:rPr>
        <w:t>2021</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lang w:eastAsia="zh-CN"/>
        </w:rPr>
        <w:t>6号）《关于做好高校惠民惠农财政补贴资金社会保障卡“一卡通”管理有关工作的通知》（川财教</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lang w:eastAsia="zh-CN"/>
        </w:rPr>
        <w:t>2021</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lang w:eastAsia="zh-CN"/>
        </w:rPr>
        <w:t>163号）等文件实施，</w:t>
      </w:r>
      <w:r>
        <w:rPr>
          <w:rFonts w:hint="eastAsia" w:ascii="仿宋" w:hAnsi="仿宋" w:eastAsia="仿宋" w:cs="宋体"/>
          <w:color w:val="auto"/>
          <w:sz w:val="32"/>
          <w:szCs w:val="32"/>
          <w:lang w:val="en-US" w:eastAsia="zh-CN"/>
        </w:rPr>
        <w:t>发放对象首先确立为建档立卡贫困家庭大学毕业生就业帮扶，再兼顾城乡低保家庭、残疾残学生、签约新疆西藏艰苦地区毕业生，专项经费按每人600元的标准执行。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（二）项目绩效目标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color w:val="auto"/>
          <w:sz w:val="28"/>
          <w:szCs w:val="28"/>
        </w:rPr>
      </w:pPr>
      <w:r>
        <w:rPr>
          <w:rFonts w:hint="eastAsia" w:ascii="仿宋" w:hAnsi="仿宋" w:eastAsia="仿宋" w:cs="宋体"/>
          <w:color w:val="auto"/>
          <w:sz w:val="32"/>
          <w:szCs w:val="32"/>
          <w:lang w:val="en-US" w:eastAsia="zh-CN"/>
        </w:rPr>
        <w:t>高校共建与发展专项资金项目（困难大学生就业帮扶与就业工作经费）主要为家庭经济困难和就业困难毕业生发放就业帮扶专项经费，助推困难大学生充分就业。学校根据省市相关文件，结合我校实际情况，制定发放方案，并对项目实施过程进行严格管理，实施情况已达到了规划预期效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（一）项目资金申报及批复情况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宋体" w:eastAsia="楷体_GB2312"/>
          <w:b/>
          <w:color w:val="auto"/>
          <w:sz w:val="32"/>
          <w:szCs w:val="32"/>
          <w:lang w:val="en-US"/>
        </w:rPr>
      </w:pPr>
      <w:r>
        <w:rPr>
          <w:rFonts w:hint="eastAsia" w:ascii="仿宋" w:hAnsi="仿宋" w:eastAsia="仿宋" w:cs="宋体"/>
          <w:color w:val="auto"/>
          <w:sz w:val="32"/>
          <w:szCs w:val="32"/>
          <w:lang w:val="zh-CN" w:eastAsia="zh-CN"/>
        </w:rPr>
        <w:t>我校</w:t>
      </w:r>
      <w:r>
        <w:rPr>
          <w:rFonts w:hint="eastAsia" w:ascii="仿宋" w:hAnsi="仿宋" w:eastAsia="仿宋" w:cs="宋体"/>
          <w:color w:val="auto"/>
          <w:sz w:val="32"/>
          <w:szCs w:val="32"/>
          <w:lang w:val="en-US" w:eastAsia="zh-CN"/>
        </w:rPr>
        <w:t>2021年该</w:t>
      </w:r>
      <w:r>
        <w:rPr>
          <w:rFonts w:hint="eastAsia" w:ascii="仿宋" w:hAnsi="仿宋" w:eastAsia="仿宋" w:cs="宋体"/>
          <w:color w:val="auto"/>
          <w:sz w:val="32"/>
          <w:szCs w:val="32"/>
          <w:lang w:val="zh-CN" w:eastAsia="zh-CN"/>
        </w:rPr>
        <w:t>项目资金收入</w:t>
      </w:r>
      <w:r>
        <w:rPr>
          <w:rFonts w:hint="eastAsia" w:ascii="仿宋" w:hAnsi="仿宋" w:eastAsia="仿宋" w:cs="宋体"/>
          <w:color w:val="auto"/>
          <w:sz w:val="32"/>
          <w:szCs w:val="32"/>
          <w:lang w:val="en-US" w:eastAsia="zh-CN"/>
        </w:rPr>
        <w:t>17.28万元，为困难大学生就业帮扶与就业工作经费。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（二）资金计划、到位及使用情况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2021年7月28日，市财政局印发关于2021年省级高校共建与发展专项资金预算的通知》（广财教[</w:t>
      </w:r>
      <w:r>
        <w:rPr>
          <w:rFonts w:hint="eastAsia" w:ascii="仿宋" w:hAnsi="仿宋" w:eastAsia="仿宋" w:cs="宋体"/>
          <w:color w:val="auto"/>
          <w:sz w:val="32"/>
          <w:szCs w:val="32"/>
          <w:highlight w:val="none"/>
          <w:lang w:eastAsia="zh-CN"/>
        </w:rPr>
        <w:t>2021</w:t>
      </w:r>
      <w:r>
        <w:rPr>
          <w:rFonts w:hint="eastAsia" w:ascii="仿宋" w:hAnsi="仿宋" w:eastAsia="仿宋" w:cs="宋体"/>
          <w:color w:val="auto"/>
          <w:sz w:val="32"/>
          <w:szCs w:val="32"/>
          <w:highlight w:val="none"/>
          <w:lang w:val="en-US" w:eastAsia="zh-CN"/>
        </w:rPr>
        <w:t>]70</w:t>
      </w:r>
      <w:r>
        <w:rPr>
          <w:rFonts w:hint="eastAsia" w:ascii="仿宋" w:hAnsi="仿宋" w:eastAsia="仿宋" w:cs="宋体"/>
          <w:color w:val="auto"/>
          <w:sz w:val="32"/>
          <w:szCs w:val="32"/>
          <w:highlight w:val="none"/>
          <w:lang w:eastAsia="zh-CN"/>
        </w:rPr>
        <w:t>号</w:t>
      </w:r>
      <w:r>
        <w:rPr>
          <w:rFonts w:hint="eastAsia" w:ascii="仿宋" w:hAnsi="仿宋" w:eastAsia="仿宋" w:cs="宋体"/>
          <w:color w:val="auto"/>
          <w:sz w:val="32"/>
          <w:szCs w:val="32"/>
          <w:highlight w:val="none"/>
          <w:lang w:val="en-US" w:eastAsia="zh-CN"/>
        </w:rPr>
        <w:t>）资金文件，下达我校困难毕业生就业帮扶经费17.28万元。2021年10月学校按每人600元标准向288名毕业生发放帮扶经费，资金使用率100%。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（三）项目财务管理情况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color w:val="auto"/>
          <w:sz w:val="32"/>
          <w:szCs w:val="32"/>
          <w:u w:val="none"/>
          <w:lang w:val="zh-CN" w:eastAsia="zh-CN"/>
        </w:rPr>
      </w:pPr>
      <w:r>
        <w:rPr>
          <w:rFonts w:hint="eastAsia" w:ascii="仿宋" w:hAnsi="仿宋" w:eastAsia="仿宋" w:cs="宋体"/>
          <w:color w:val="auto"/>
          <w:sz w:val="32"/>
          <w:szCs w:val="32"/>
          <w:u w:val="none"/>
          <w:lang w:val="zh-CN" w:eastAsia="zh-CN"/>
        </w:rPr>
        <w:t>严格按照相应的业务管理制度，规范专项资金拨付。资金使用规范，符合国家财经法规和财务管理以及有关专项资金管理办法的规定；资金的拨付有完整的审批程序和手续；不存在截留、挤占、挪用、虚列支出等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（一）项目实施流程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1.学校根据省市相关文件制定具体实施方案。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2.系部根据方案筛选出符合条件的对象名单，并进行公示。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3.学校审核后并公示。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4.公示无异议后，通过“一卡通”平台发放帮扶资金。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（二）项目管理情况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b/>
          <w:color w:val="auto"/>
          <w:sz w:val="32"/>
          <w:szCs w:val="32"/>
          <w:u w:val="none"/>
          <w:lang w:val="zh-CN"/>
        </w:rPr>
      </w:pPr>
      <w:r>
        <w:rPr>
          <w:rFonts w:hint="eastAsia" w:ascii="仿宋" w:hAnsi="仿宋" w:eastAsia="仿宋" w:cs="宋体"/>
          <w:color w:val="auto"/>
          <w:sz w:val="32"/>
          <w:szCs w:val="32"/>
          <w:u w:val="none"/>
          <w:lang w:val="en-US" w:eastAsia="zh-CN"/>
        </w:rPr>
        <w:t>具有相应的项目资金管理办法，且符合相关财务会计制度的规定。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（三）项目监管情况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color w:val="auto"/>
          <w:sz w:val="32"/>
          <w:szCs w:val="32"/>
          <w:u w:val="none"/>
          <w:lang w:val="zh-CN" w:eastAsia="zh-CN"/>
        </w:rPr>
      </w:pPr>
      <w:r>
        <w:rPr>
          <w:rFonts w:hint="eastAsia" w:ascii="仿宋" w:hAnsi="仿宋" w:eastAsia="仿宋" w:cs="宋体"/>
          <w:color w:val="auto"/>
          <w:sz w:val="32"/>
          <w:szCs w:val="32"/>
          <w:u w:val="none"/>
          <w:lang w:val="zh-CN" w:eastAsia="zh-CN"/>
        </w:rPr>
        <w:t>通过对项目实施监管，帮扶对象名单申报过程符合相关文件规定，资金发放过程符合财务制度。</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olor w:val="auto"/>
          <w:sz w:val="32"/>
          <w:szCs w:val="32"/>
          <w:lang w:val="zh-CN"/>
        </w:rPr>
      </w:pPr>
      <w:r>
        <w:rPr>
          <w:rFonts w:hint="eastAsia" w:ascii="黑体" w:hAnsi="宋体" w:eastAsia="黑体"/>
          <w:color w:val="auto"/>
          <w:sz w:val="32"/>
          <w:szCs w:val="32"/>
        </w:rPr>
        <w:t>四、项目绩效情况</w:t>
      </w:r>
      <w:r>
        <w:rPr>
          <w:rFonts w:ascii="仿宋_GB2312" w:hAnsi="宋体" w:eastAsia="仿宋_GB2312"/>
          <w:color w:val="auto"/>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（一）项目完成情况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较好地完成了预设工作任务，专项项目得到有序开展。截止2021年10月底，我校288名2020届困难大学生的就业帮扶资金已全部拨付到位，项目实施完成100%。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（二）项目效益情况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en-US" w:eastAsia="zh-CN"/>
        </w:rPr>
        <w:t>有效缓解了家庭经济困难毕业生的经济压力，并帮助其顺利就业，得到学生、家长及社会的好评</w:t>
      </w:r>
      <w:r>
        <w:rPr>
          <w:rFonts w:hint="eastAsia" w:ascii="仿宋_GB2312" w:hAnsi="宋体" w:eastAsia="仿宋_GB2312" w:cs="Times New Roman"/>
          <w:color w:val="auto"/>
          <w:sz w:val="32"/>
          <w:szCs w:val="32"/>
          <w:lang w:val="zh-CN"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（一）评价结论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1.项目经费及时拨付到位，支出合理合规，实现了预定的绩效目标。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2.目标明确，项目实施工作有序开展。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3.通过对专项资金的有效管理和使用，有效减轻了家庭经济困难毕业生的经济负担，也有效缓解了高校困难毕业生就业压力。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（二）相关建议</w:t>
      </w:r>
    </w:p>
    <w:p>
      <w:pPr>
        <w:pStyle w:val="35"/>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仿宋_GB2312" w:hAnsi="宋体" w:eastAsia="仿宋_GB2312" w:cs="Times New Roman"/>
          <w:color w:val="auto"/>
          <w:kern w:val="2"/>
          <w:sz w:val="32"/>
          <w:szCs w:val="32"/>
          <w:lang w:val="en-US" w:eastAsia="zh-CN" w:bidi="ar-SA"/>
        </w:rPr>
        <w:t>建议将该项目纳入当年高校学生资助项目统一管理。</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14"/>
        <w:tblpPr w:leftFromText="180" w:rightFromText="180" w:vertAnchor="text" w:horzAnchor="page" w:tblpX="1841" w:tblpY="450"/>
        <w:tblOverlap w:val="never"/>
        <w:tblW w:w="91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9"/>
        <w:gridCol w:w="1274"/>
        <w:gridCol w:w="1305"/>
        <w:gridCol w:w="2273"/>
        <w:gridCol w:w="1509"/>
        <w:gridCol w:w="1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41"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3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2021年省级高校共建与发展专项资金-困难大学生就业帮扶经费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3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主管单位</w:t>
            </w:r>
          </w:p>
        </w:tc>
        <w:tc>
          <w:tcPr>
            <w:tcW w:w="227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市财政局、教育局</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川北幼儿师范高等专科学校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4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为家庭经济困难和就业困难毕业生发放就业帮扶专项经费，助推困难大学生充分就业。</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按时发放困难毕业生就业帮扶经费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2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预期指标值</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2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就业帮扶经费发放人数</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288人</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2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帮扶经费发放标准</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600元/生</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2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2021年底</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项目效果指标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2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减轻家庭经济困难毕业生经济压力，帮助毕业生顺利就业。</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2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学生满意度</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pPr>
        <w:pStyle w:val="2"/>
        <w:rPr>
          <w:rStyle w:val="27"/>
          <w:rFonts w:ascii="黑体" w:hAnsi="黑体" w:eastAsia="黑体"/>
          <w:b w:val="0"/>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Style w:val="27"/>
          <w:rFonts w:ascii="黑体" w:hAnsi="黑体" w:eastAsia="黑体"/>
          <w:b w:val="0"/>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方正小标宋简体" w:hAnsi="宋体" w:eastAsia="方正小标宋简体" w:cs="Times New Roman"/>
          <w:color w:val="auto"/>
          <w:kern w:val="0"/>
          <w:sz w:val="40"/>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r>
        <w:rPr>
          <w:rFonts w:hint="eastAsia" w:ascii="方正小标宋简体" w:hAnsi="宋体" w:eastAsia="方正小标宋简体" w:cs="Times New Roman"/>
          <w:b w:val="0"/>
          <w:bCs w:val="0"/>
          <w:color w:val="000000"/>
          <w:kern w:val="0"/>
          <w:sz w:val="44"/>
          <w:szCs w:val="4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0"/>
          <w:szCs w:val="44"/>
          <w:highlight w:val="none"/>
          <w:lang w:val="en-US" w:eastAsia="zh-CN"/>
        </w:rPr>
      </w:pPr>
      <w:r>
        <w:rPr>
          <w:rFonts w:hint="eastAsia" w:ascii="方正小标宋简体" w:hAnsi="宋体" w:eastAsia="方正小标宋简体" w:cs="Times New Roman"/>
          <w:color w:val="auto"/>
          <w:kern w:val="0"/>
          <w:sz w:val="40"/>
          <w:szCs w:val="44"/>
          <w:highlight w:val="none"/>
          <w:lang w:val="en-US" w:eastAsia="zh-CN"/>
        </w:rPr>
        <w:t>2021年省级高校共建与发展专项资金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0"/>
          <w:szCs w:val="44"/>
          <w:highlight w:val="none"/>
          <w:lang w:val="en-US" w:eastAsia="zh-CN"/>
        </w:rPr>
      </w:pPr>
      <w:r>
        <w:rPr>
          <w:rFonts w:hint="eastAsia" w:ascii="方正小标宋简体" w:hAnsi="宋体" w:eastAsia="方正小标宋简体" w:cs="Times New Roman"/>
          <w:color w:val="auto"/>
          <w:kern w:val="0"/>
          <w:sz w:val="40"/>
          <w:szCs w:val="44"/>
          <w:highlight w:val="none"/>
          <w:lang w:val="en-US" w:eastAsia="zh-CN"/>
        </w:rPr>
        <w:t>公费师范生培训补助经费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0"/>
          <w:szCs w:val="44"/>
          <w:highlight w:val="none"/>
          <w:lang w:val="zh-CN" w:eastAsia="zh-CN"/>
        </w:rPr>
      </w:pPr>
      <w:r>
        <w:rPr>
          <w:rFonts w:hint="eastAsia" w:ascii="方正小标宋简体" w:hAnsi="宋体" w:eastAsia="方正小标宋简体" w:cs="Times New Roman"/>
          <w:color w:val="auto"/>
          <w:kern w:val="0"/>
          <w:sz w:val="40"/>
          <w:szCs w:val="44"/>
          <w:highlight w:val="none"/>
          <w:lang w:val="en-US" w:eastAsia="zh-CN"/>
        </w:rPr>
        <w:t>绩效自评报告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0"/>
          <w:szCs w:val="44"/>
          <w:highlight w:val="none"/>
          <w:lang w:val="zh-CN" w:eastAsia="zh-CN"/>
        </w:rPr>
      </w:pP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项目概况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zh-CN" w:eastAsia="zh-CN"/>
        </w:rPr>
      </w:pPr>
      <w:r>
        <w:rPr>
          <w:rFonts w:hint="eastAsia" w:hAnsi="Times New Roman" w:cs="Times New Roman"/>
          <w:sz w:val="32"/>
          <w:szCs w:val="32"/>
          <w:lang w:val="zh-CN" w:eastAsia="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我校严格按照政策规定做好省属公费师范生生活补助发放工作，确保评审程序公开、公正、公平，做到了专款专用，不截留、不挪用。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zh-CN" w:eastAsia="zh-CN"/>
        </w:rPr>
      </w:pPr>
      <w:r>
        <w:rPr>
          <w:rFonts w:hint="eastAsia" w:hAnsi="Times New Roman" w:cs="Times New Roman"/>
          <w:sz w:val="32"/>
          <w:szCs w:val="32"/>
          <w:lang w:val="zh-CN" w:eastAsia="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落实国家、省各项学生资助政策，保障家庭经济困难学生受教育权利，促进教育公平，保证每一名在校家庭经济困难学生能够安心在校学习生活，顺利完成学业。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zh-CN" w:eastAsia="zh-CN"/>
        </w:rPr>
      </w:pPr>
      <w:r>
        <w:rPr>
          <w:rFonts w:hint="eastAsia" w:hAnsi="Times New Roman" w:cs="Times New Roman"/>
          <w:sz w:val="32"/>
          <w:szCs w:val="32"/>
          <w:lang w:val="zh-CN" w:eastAsia="zh-CN"/>
        </w:rPr>
        <w:t>（三）项目资金申报相符性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s="Times New Roman"/>
          <w:b w:val="0"/>
          <w:bCs w:val="0"/>
          <w:sz w:val="32"/>
          <w:szCs w:val="32"/>
        </w:rPr>
      </w:pPr>
      <w:r>
        <w:rPr>
          <w:rFonts w:hint="eastAsia" w:ascii="黑体" w:hAnsi="宋体" w:eastAsia="黑体" w:cs="Times New Roman"/>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cs="Times New Roman"/>
          <w:b w:val="0"/>
          <w:bCs w:val="0"/>
          <w:sz w:val="32"/>
          <w:szCs w:val="32"/>
          <w:lang w:val="zh-CN"/>
        </w:rPr>
      </w:pPr>
      <w:r>
        <w:rPr>
          <w:rFonts w:hint="eastAsia" w:ascii="仿宋_GB2312" w:hAnsi="宋体" w:eastAsia="仿宋_GB2312" w:cs="Times New Roman"/>
          <w:b w:val="0"/>
          <w:bCs w:val="0"/>
          <w:sz w:val="32"/>
          <w:szCs w:val="32"/>
          <w:lang w:val="zh-CN"/>
        </w:rPr>
        <w:tab/>
      </w:r>
      <w:r>
        <w:rPr>
          <w:rFonts w:hint="eastAsia" w:ascii="仿宋_GB2312" w:hAnsi="Times New Roman" w:eastAsia="仿宋_GB2312" w:cs="Times New Roman"/>
          <w:kern w:val="0"/>
          <w:sz w:val="32"/>
          <w:szCs w:val="32"/>
          <w:lang w:val="zh-CN" w:eastAsia="zh-CN" w:bidi="ar-SA"/>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Times New Roman"/>
          <w:b w:val="0"/>
          <w:bCs w:val="0"/>
          <w:sz w:val="32"/>
          <w:szCs w:val="32"/>
          <w:lang w:val="zh-CN"/>
        </w:rPr>
      </w:pPr>
      <w:r>
        <w:rPr>
          <w:rFonts w:hint="eastAsia" w:ascii="仿宋_GB2312" w:hAnsi="仿宋_GB2312" w:eastAsia="仿宋_GB2312" w:cs="仿宋_GB2312"/>
          <w:b w:val="0"/>
          <w:bCs w:val="0"/>
          <w:sz w:val="32"/>
          <w:szCs w:val="32"/>
          <w:lang w:val="zh-CN"/>
        </w:rPr>
        <w:t>1．资金计划及到位。</w:t>
      </w:r>
      <w:r>
        <w:rPr>
          <w:rFonts w:hint="eastAsia" w:ascii="仿宋_GB2312" w:hAnsi="宋体" w:eastAsia="仿宋_GB2312" w:cs="Times New Roman"/>
          <w:b w:val="0"/>
          <w:bCs w:val="0"/>
          <w:sz w:val="32"/>
          <w:szCs w:val="32"/>
          <w:lang w:val="zh-CN"/>
        </w:rPr>
        <w:t>2021年我校省属公费师范生生活补助经费共计</w:t>
      </w:r>
      <w:r>
        <w:rPr>
          <w:rFonts w:hint="eastAsia" w:ascii="仿宋_GB2312" w:hAnsi="宋体" w:eastAsia="仿宋_GB2312" w:cs="Times New Roman"/>
          <w:b w:val="0"/>
          <w:bCs w:val="0"/>
          <w:sz w:val="32"/>
          <w:szCs w:val="32"/>
          <w:lang w:val="en-US" w:eastAsia="zh-CN"/>
        </w:rPr>
        <w:t>203.5</w:t>
      </w:r>
      <w:r>
        <w:rPr>
          <w:rFonts w:hint="eastAsia" w:ascii="仿宋_GB2312" w:hAnsi="宋体" w:eastAsia="仿宋_GB2312" w:cs="Times New Roman"/>
          <w:b w:val="0"/>
          <w:bCs w:val="0"/>
          <w:sz w:val="32"/>
          <w:szCs w:val="32"/>
          <w:lang w:val="zh-CN"/>
        </w:rPr>
        <w:t>万元，在202</w:t>
      </w:r>
      <w:r>
        <w:rPr>
          <w:rFonts w:hint="eastAsia" w:ascii="仿宋_GB2312" w:hAnsi="宋体" w:eastAsia="仿宋_GB2312" w:cs="Times New Roman"/>
          <w:b w:val="0"/>
          <w:bCs w:val="0"/>
          <w:sz w:val="32"/>
          <w:szCs w:val="32"/>
          <w:lang w:val="en-US" w:eastAsia="zh-CN"/>
        </w:rPr>
        <w:t>1</w:t>
      </w:r>
      <w:r>
        <w:rPr>
          <w:rFonts w:hint="eastAsia" w:ascii="仿宋_GB2312" w:hAnsi="宋体" w:eastAsia="仿宋_GB2312" w:cs="Times New Roman"/>
          <w:b w:val="0"/>
          <w:bCs w:val="0"/>
          <w:sz w:val="32"/>
          <w:szCs w:val="32"/>
          <w:lang w:val="zh-CN"/>
        </w:rPr>
        <w:t>年底全部发放到位。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仿宋_GB2312" w:eastAsia="仿宋_GB2312" w:cs="仿宋_GB2312"/>
          <w:b w:val="0"/>
          <w:bCs w:val="0"/>
          <w:sz w:val="32"/>
          <w:szCs w:val="32"/>
          <w:lang w:val="zh-CN"/>
        </w:rPr>
        <w:t>2．资金使用。</w:t>
      </w:r>
      <w:r>
        <w:rPr>
          <w:rFonts w:hint="eastAsia" w:ascii="仿宋_GB2312" w:hAnsi="宋体" w:eastAsia="仿宋_GB2312" w:cs="Times New Roman"/>
          <w:b w:val="0"/>
          <w:bCs w:val="0"/>
          <w:sz w:val="32"/>
          <w:szCs w:val="32"/>
          <w:lang w:val="zh-CN"/>
        </w:rPr>
        <w:t>项目全年预算数为</w:t>
      </w:r>
      <w:r>
        <w:rPr>
          <w:rFonts w:hint="eastAsia" w:ascii="仿宋_GB2312" w:hAnsi="宋体" w:eastAsia="仿宋_GB2312" w:cs="Times New Roman"/>
          <w:b w:val="0"/>
          <w:bCs w:val="0"/>
          <w:sz w:val="32"/>
          <w:szCs w:val="32"/>
          <w:lang w:val="en-US" w:eastAsia="zh-CN"/>
        </w:rPr>
        <w:t>203.5万</w:t>
      </w:r>
      <w:r>
        <w:rPr>
          <w:rFonts w:hint="eastAsia" w:ascii="仿宋_GB2312" w:hAnsi="宋体" w:eastAsia="仿宋_GB2312" w:cs="Times New Roman"/>
          <w:b w:val="0"/>
          <w:bCs w:val="0"/>
          <w:sz w:val="32"/>
          <w:szCs w:val="32"/>
          <w:lang w:val="zh-CN"/>
        </w:rPr>
        <w:t>元，全年执行数为</w:t>
      </w:r>
      <w:r>
        <w:rPr>
          <w:rFonts w:hint="eastAsia" w:ascii="仿宋_GB2312" w:hAnsi="宋体" w:eastAsia="仿宋_GB2312" w:cs="Times New Roman"/>
          <w:b w:val="0"/>
          <w:bCs w:val="0"/>
          <w:sz w:val="32"/>
          <w:szCs w:val="32"/>
          <w:lang w:val="en-US" w:eastAsia="zh-CN"/>
        </w:rPr>
        <w:t>203.5万</w:t>
      </w:r>
      <w:r>
        <w:rPr>
          <w:rFonts w:hint="eastAsia" w:ascii="仿宋_GB2312" w:hAnsi="宋体" w:eastAsia="仿宋_GB2312" w:cs="Times New Roman"/>
          <w:b w:val="0"/>
          <w:bCs w:val="0"/>
          <w:sz w:val="32"/>
          <w:szCs w:val="32"/>
          <w:lang w:val="zh-CN"/>
        </w:rPr>
        <w:t>元，执行率100%。学校通过广元市惠民惠农财政补贴资金“一卡通”项目资金直接打入受资助学生本人社保卡中。</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zh-CN" w:eastAsia="zh-CN"/>
        </w:rPr>
      </w:pPr>
      <w:r>
        <w:rPr>
          <w:rFonts w:hint="eastAsia" w:hAnsi="Times New Roman" w:cs="Times New Roman"/>
          <w:sz w:val="32"/>
          <w:szCs w:val="32"/>
          <w:lang w:val="zh-CN" w:eastAsia="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在项目建设过程中，认真贯彻执行省属公费师范生生活补助发放的方针政策，根据上级相关文件、制度，制定并完善我校学生奖助学金管理办法和实施细则。专款专用，不截留、不挪用，不多发，也不漏发给每一位学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zh-CN" w:eastAsia="zh-CN"/>
        </w:rPr>
      </w:pPr>
      <w:r>
        <w:rPr>
          <w:rFonts w:hint="eastAsia" w:hAnsi="Times New Roman" w:cs="Times New Roman"/>
          <w:sz w:val="32"/>
          <w:szCs w:val="32"/>
          <w:lang w:val="zh-CN" w:eastAsia="zh-CN"/>
        </w:rPr>
        <w:t>（三）项目组织实施情况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zh-CN"/>
        </w:rPr>
        <w:t>根据省属公费师范生相关文件，逐月发放生活补助。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Times New Roman"/>
          <w:b w:val="0"/>
          <w:bCs w:val="0"/>
          <w:sz w:val="32"/>
          <w:szCs w:val="32"/>
          <w:lang w:val="zh-CN"/>
        </w:rPr>
      </w:pPr>
      <w:r>
        <w:rPr>
          <w:rFonts w:hint="eastAsia" w:ascii="黑体" w:hAnsi="宋体" w:eastAsia="黑体" w:cs="Times New Roman"/>
          <w:b w:val="0"/>
          <w:bCs w:val="0"/>
          <w:sz w:val="32"/>
          <w:szCs w:val="32"/>
        </w:rPr>
        <w:t>三、项目绩效情况</w:t>
      </w:r>
      <w:r>
        <w:rPr>
          <w:rFonts w:hint="eastAsia" w:ascii="仿宋_GB2312" w:hAnsi="宋体" w:eastAsia="仿宋_GB2312" w:cs="Times New Roman"/>
          <w:b w:val="0"/>
          <w:bCs w:val="0"/>
          <w:sz w:val="32"/>
          <w:szCs w:val="32"/>
          <w:lang w:val="zh-CN"/>
        </w:rPr>
        <w:tab/>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Times New Roman" w:cs="Times New Roman"/>
          <w:sz w:val="32"/>
          <w:szCs w:val="32"/>
          <w:lang w:val="zh-CN" w:eastAsia="zh-CN"/>
        </w:rPr>
      </w:pPr>
      <w:r>
        <w:rPr>
          <w:rFonts w:hint="eastAsia" w:hAnsi="Times New Roman" w:cs="Times New Roman"/>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严格按照文件要求，及时、足额发放补助资金。项目设定数量指标全部完成。应评选的受奖受助学生人数达到年度指标值，完成率100%，未截留指标。</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项目效益情况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Times New Roman"/>
          <w:b w:val="0"/>
          <w:bCs w:val="0"/>
          <w:sz w:val="32"/>
          <w:szCs w:val="32"/>
        </w:rPr>
      </w:pPr>
      <w:r>
        <w:rPr>
          <w:rFonts w:hint="eastAsia" w:ascii="仿宋_GB2312" w:hAnsi="宋体" w:eastAsia="仿宋_GB2312" w:cs="Times New Roman"/>
          <w:b w:val="0"/>
          <w:bCs w:val="0"/>
          <w:sz w:val="32"/>
          <w:szCs w:val="32"/>
          <w:lang w:val="zh-CN"/>
        </w:rPr>
        <w:t>利用网站、校园广播、展板等进行政策宣传；给每一位学生印发资助管理制度，宣讲资助政策，使资助政策深入学生心中。有效减轻了贫困学生家庭负担。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s="Times New Roman"/>
          <w:b w:val="0"/>
          <w:bCs w:val="0"/>
          <w:sz w:val="32"/>
          <w:szCs w:val="32"/>
        </w:rPr>
      </w:pPr>
      <w:r>
        <w:rPr>
          <w:rFonts w:hint="eastAsia" w:ascii="黑体" w:hAnsi="宋体" w:eastAsia="黑体" w:cs="Times New Roman"/>
          <w:b w:val="0"/>
          <w:bCs w:val="0"/>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在发放省属公费师范生生活补助过程中因学生社保卡未激活导致打卡失败情况较多，给发放工作带来了一定的现实阻碍，加大了后期清理的工作量。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（二）相关建议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cs="Times New Roman"/>
          <w:b w:val="0"/>
          <w:bCs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Times New Roman" w:eastAsia="仿宋_GB2312" w:cs="Times New Roman"/>
          <w:kern w:val="0"/>
          <w:sz w:val="32"/>
          <w:szCs w:val="32"/>
          <w:lang w:val="zh-CN" w:eastAsia="zh-CN" w:bidi="ar-SA"/>
        </w:rPr>
        <w:t>提前通知、督促</w:t>
      </w:r>
      <w:r>
        <w:rPr>
          <w:rFonts w:hint="eastAsia" w:ascii="仿宋_GB2312" w:hAnsi="宋体" w:eastAsia="仿宋_GB2312" w:cs="Times New Roman"/>
          <w:b w:val="0"/>
          <w:bCs w:val="0"/>
          <w:sz w:val="32"/>
          <w:szCs w:val="32"/>
          <w:lang w:val="zh-CN"/>
        </w:rPr>
        <w:t>学生,办理激活社保卡金融功能。同时紧紧围绕“立德树人”这一根本宗旨，将培养青年学生全面发展作为资助育人工作的总目标，加强励志教育、诚信教育和社会责任感教育“三项教育”，培养青年学生自立自强、诚实守信、知恩感恩、勇于担当的良好品质。</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14"/>
        <w:tblpPr w:leftFromText="180" w:rightFromText="180" w:vertAnchor="text" w:horzAnchor="page" w:tblpX="2066" w:tblpY="582"/>
        <w:tblOverlap w:val="neve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1139"/>
        <w:gridCol w:w="1500"/>
        <w:gridCol w:w="1749"/>
        <w:gridCol w:w="2183"/>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2021年省级高校共建与发展专项资金-公费师范生培训补助经费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主管单位</w:t>
            </w:r>
          </w:p>
        </w:tc>
        <w:tc>
          <w:tcPr>
            <w:tcW w:w="174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市财政局、教育局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川北幼儿师范高等专科学校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6"/>
                <w:sz w:val="24"/>
                <w:szCs w:val="24"/>
                <w:lang w:val="en-US" w:eastAsia="zh-CN" w:bidi="ar"/>
              </w:rPr>
              <w:t>预算</w:t>
            </w:r>
            <w:r>
              <w:rPr>
                <w:rStyle w:val="36"/>
                <w:sz w:val="24"/>
                <w:szCs w:val="24"/>
                <w:lang w:val="en-US" w:eastAsia="zh-CN" w:bidi="ar"/>
              </w:rPr>
              <w:br w:type="textWrapping"/>
            </w:r>
            <w:r>
              <w:rPr>
                <w:rStyle w:val="36"/>
                <w:sz w:val="24"/>
                <w:szCs w:val="24"/>
                <w:lang w:val="en-US" w:eastAsia="zh-CN" w:bidi="ar"/>
              </w:rPr>
              <w:t>执行</w:t>
            </w:r>
            <w:r>
              <w:rPr>
                <w:rStyle w:val="36"/>
                <w:sz w:val="24"/>
                <w:szCs w:val="24"/>
                <w:lang w:val="en-US" w:eastAsia="zh-CN" w:bidi="ar"/>
              </w:rPr>
              <w:br w:type="textWrapping"/>
            </w:r>
            <w:r>
              <w:rPr>
                <w:rStyle w:val="36"/>
                <w:sz w:val="24"/>
                <w:szCs w:val="24"/>
                <w:lang w:val="en-US" w:eastAsia="zh-CN" w:bidi="ar"/>
              </w:rPr>
              <w:t>情况</w:t>
            </w:r>
            <w:r>
              <w:rPr>
                <w:rStyle w:val="36"/>
                <w:sz w:val="24"/>
                <w:szCs w:val="24"/>
                <w:lang w:val="en-US" w:eastAsia="zh-CN" w:bidi="ar"/>
              </w:rPr>
              <w:br w:type="textWrapping"/>
            </w:r>
            <w:r>
              <w:rPr>
                <w:rStyle w:val="37"/>
                <w:sz w:val="24"/>
                <w:szCs w:val="24"/>
                <w:lang w:val="en-US" w:eastAsia="zh-CN" w:bidi="ar"/>
              </w:rPr>
              <w:t>（万元）</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203.5</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203.5</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4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按时完成省属公费师范生生活补助发放</w:t>
            </w:r>
          </w:p>
        </w:tc>
        <w:tc>
          <w:tcPr>
            <w:tcW w:w="4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已及时发放省属公费师范生生活补助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预期指标值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为省属公费师范生发放生活补助</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省属公费师范生生活补助标准</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600元/生.月</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600元/生.月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及时发放到位</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当月发放到位</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当月15</w:t>
            </w:r>
            <w:r>
              <w:rPr>
                <w:rFonts w:hint="eastAsia" w:ascii="宋体" w:hAnsi="宋体" w:cs="宋体"/>
                <w:i w:val="0"/>
                <w:iCs w:val="0"/>
                <w:color w:val="000000"/>
                <w:kern w:val="0"/>
                <w:sz w:val="24"/>
                <w:szCs w:val="24"/>
                <w:u w:val="none"/>
                <w:lang w:val="en-US" w:eastAsia="zh-CN" w:bidi="ar"/>
              </w:rPr>
              <w:t>日</w:t>
            </w:r>
            <w:r>
              <w:rPr>
                <w:rFonts w:hint="eastAsia" w:ascii="宋体" w:hAnsi="宋体" w:eastAsia="宋体" w:cs="宋体"/>
                <w:i w:val="0"/>
                <w:iCs w:val="0"/>
                <w:color w:val="000000"/>
                <w:kern w:val="0"/>
                <w:sz w:val="24"/>
                <w:szCs w:val="24"/>
                <w:u w:val="none"/>
                <w:lang w:val="en-US" w:eastAsia="zh-CN" w:bidi="ar"/>
              </w:rPr>
              <w:t>之前发放到位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项目效果指标</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减轻公费师范生经济压力，激励公费师范生成长成才</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学生满意度</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家长满意度</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pPr>
        <w:pStyle w:val="2"/>
        <w:rPr>
          <w:rStyle w:val="27"/>
          <w:rFonts w:ascii="黑体" w:hAnsi="黑体" w:eastAsia="黑体"/>
          <w:b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方正小标宋简体" w:hAnsi="宋体" w:eastAsia="方正小标宋简体" w:cs="Times New Roman"/>
          <w:b w:val="0"/>
          <w:bCs w:val="0"/>
          <w:color w:val="000000"/>
          <w:kern w:val="0"/>
          <w:sz w:val="44"/>
          <w:szCs w:val="44"/>
          <w:lang w:val="en-US" w:eastAsia="zh-CN" w:bidi="ar-SA"/>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6</w:t>
      </w:r>
      <w:r>
        <w:rPr>
          <w:rFonts w:hint="eastAsia" w:ascii="方正小标宋简体" w:hAnsi="宋体" w:eastAsia="方正小标宋简体" w:cs="Times New Roman"/>
          <w:b w:val="0"/>
          <w:bCs w:val="0"/>
          <w:color w:val="000000"/>
          <w:kern w:val="0"/>
          <w:sz w:val="44"/>
          <w:szCs w:val="4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0"/>
          <w:szCs w:val="44"/>
          <w:highlight w:val="none"/>
          <w:lang w:val="zh-CN" w:eastAsia="zh-CN"/>
        </w:rPr>
      </w:pPr>
      <w:r>
        <w:rPr>
          <w:rFonts w:hint="eastAsia" w:ascii="方正小标宋简体" w:hAnsi="宋体" w:eastAsia="方正小标宋简体" w:cs="Times New Roman"/>
          <w:color w:val="auto"/>
          <w:kern w:val="0"/>
          <w:sz w:val="40"/>
          <w:szCs w:val="44"/>
          <w:highlight w:val="none"/>
          <w:lang w:val="en-US" w:eastAsia="zh-CN"/>
        </w:rPr>
        <w:t>2021年</w:t>
      </w:r>
      <w:r>
        <w:rPr>
          <w:rFonts w:hint="eastAsia" w:ascii="方正小标宋简体" w:hAnsi="宋体" w:eastAsia="方正小标宋简体" w:cs="Times New Roman"/>
          <w:color w:val="auto"/>
          <w:kern w:val="0"/>
          <w:sz w:val="40"/>
          <w:szCs w:val="44"/>
          <w:highlight w:val="none"/>
          <w:lang w:val="zh-CN" w:eastAsia="zh-CN"/>
        </w:rPr>
        <w:t>教学及保障设备购置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0"/>
          <w:szCs w:val="44"/>
          <w:highlight w:val="none"/>
          <w:lang w:val="zh-CN" w:eastAsia="zh-CN"/>
        </w:rPr>
      </w:pPr>
      <w:r>
        <w:rPr>
          <w:rFonts w:hint="eastAsia" w:ascii="方正小标宋简体" w:hAnsi="宋体" w:eastAsia="方正小标宋简体" w:cs="Times New Roman"/>
          <w:color w:val="auto"/>
          <w:kern w:val="0"/>
          <w:sz w:val="40"/>
          <w:szCs w:val="44"/>
          <w:highlight w:val="none"/>
          <w:lang w:val="zh-CN" w:eastAsia="zh-CN"/>
        </w:rPr>
        <w:t>项目绩效自评报告</w:t>
      </w:r>
    </w:p>
    <w:p>
      <w:pPr>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eastAsia="宋体" w:cs="Times New Roman"/>
          <w:b w:val="0"/>
          <w:bCs w:val="0"/>
          <w:color w:val="auto"/>
          <w:kern w:val="2"/>
          <w:sz w:val="32"/>
          <w:szCs w:val="32"/>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s="Times New Roman"/>
          <w:b w:val="0"/>
          <w:bCs w:val="0"/>
          <w:sz w:val="32"/>
          <w:szCs w:val="32"/>
          <w:lang w:val="zh-CN"/>
        </w:rPr>
      </w:pPr>
      <w:r>
        <w:rPr>
          <w:rFonts w:hint="eastAsia" w:ascii="黑体" w:hAnsi="宋体" w:eastAsia="黑体" w:cs="Times New Roman"/>
          <w:b w:val="0"/>
          <w:bCs w:val="0"/>
          <w:sz w:val="32"/>
          <w:szCs w:val="32"/>
        </w:rPr>
        <w:t>一、</w:t>
      </w:r>
      <w:r>
        <w:rPr>
          <w:rFonts w:hint="eastAsia" w:ascii="黑体" w:hAnsi="宋体" w:eastAsia="黑体" w:cs="Times New Roman"/>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zh-CN"/>
        </w:rPr>
        <w:t>学校根据《广元市财政局关于印发〈</w:t>
      </w:r>
      <w:r>
        <w:rPr>
          <w:rFonts w:hint="eastAsia" w:ascii="仿宋_GB2312" w:hAnsi="宋体" w:eastAsia="仿宋_GB2312" w:cs="Times New Roman"/>
          <w:b w:val="0"/>
          <w:bCs w:val="0"/>
          <w:sz w:val="32"/>
          <w:szCs w:val="32"/>
          <w:lang w:val="en-US" w:eastAsia="zh-CN"/>
        </w:rPr>
        <w:t>2021年市级部门预算编制方案〉的通知</w:t>
      </w:r>
      <w:r>
        <w:rPr>
          <w:rFonts w:hint="eastAsia" w:ascii="仿宋_GB2312" w:hAnsi="宋体" w:eastAsia="仿宋_GB2312" w:cs="Times New Roman"/>
          <w:b w:val="0"/>
          <w:bCs w:val="0"/>
          <w:sz w:val="32"/>
          <w:szCs w:val="32"/>
          <w:lang w:val="zh-CN"/>
        </w:rPr>
        <w:t>》（广财预〔</w:t>
      </w:r>
      <w:r>
        <w:rPr>
          <w:rFonts w:hint="eastAsia" w:ascii="仿宋_GB2312" w:hAnsi="宋体" w:eastAsia="仿宋_GB2312" w:cs="Times New Roman"/>
          <w:b w:val="0"/>
          <w:bCs w:val="0"/>
          <w:sz w:val="32"/>
          <w:szCs w:val="32"/>
          <w:lang w:val="en-US" w:eastAsia="zh-CN"/>
        </w:rPr>
        <w:t>2020〕23号</w:t>
      </w:r>
      <w:r>
        <w:rPr>
          <w:rFonts w:hint="eastAsia" w:ascii="仿宋_GB2312" w:hAnsi="宋体" w:eastAsia="仿宋_GB2312" w:cs="Times New Roman"/>
          <w:b w:val="0"/>
          <w:bCs w:val="0"/>
          <w:sz w:val="32"/>
          <w:szCs w:val="32"/>
          <w:lang w:val="zh-CN"/>
        </w:rPr>
        <w:t>）文件精神和要求，贯彻落实</w:t>
      </w:r>
      <w:r>
        <w:rPr>
          <w:rFonts w:hint="eastAsia" w:ascii="仿宋_GB2312" w:hAnsi="宋体" w:eastAsia="仿宋_GB2312" w:cs="Times New Roman"/>
          <w:b w:val="0"/>
          <w:bCs w:val="0"/>
          <w:sz w:val="32"/>
          <w:szCs w:val="32"/>
          <w:lang w:val="en-US" w:eastAsia="zh-CN"/>
        </w:rPr>
        <w:t>2021年年初预算编制申报任务。学校计划财务处汇总各职能处室及系部有关信息化建设项目资金需求，编制2021年“教学及保障设备购置”项目预算710万元，并按时向财政局报送相关项目绩效目标申报表。2021年3月10日市财政局下达《川北幼儿师范高等专科学校2021年市级部门预算批复表》（广财预</w:t>
      </w:r>
      <w:r>
        <w:rPr>
          <w:rFonts w:hint="eastAsia" w:ascii="仿宋_GB2312" w:hAnsi="宋体" w:eastAsia="仿宋_GB2312" w:cs="Times New Roman"/>
          <w:b w:val="0"/>
          <w:bCs w:val="0"/>
          <w:sz w:val="32"/>
          <w:szCs w:val="32"/>
          <w:lang w:val="zh-CN"/>
        </w:rPr>
        <w:t>〔</w:t>
      </w:r>
      <w:r>
        <w:rPr>
          <w:rFonts w:hint="eastAsia" w:ascii="仿宋_GB2312" w:hAnsi="宋体" w:eastAsia="仿宋_GB2312" w:cs="Times New Roman"/>
          <w:b w:val="0"/>
          <w:bCs w:val="0"/>
          <w:sz w:val="32"/>
          <w:szCs w:val="32"/>
          <w:lang w:val="en-US" w:eastAsia="zh-CN"/>
        </w:rPr>
        <w:t>2021〕1号）文件对该项目进行批复。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该项目具体由数据存储扩容项目采购、家具采购、计算机教室办学条件改善项目、演奏钢琴项目采购、老年服务管理虚拟仿真实训室建设和非遗文创工坊建设</w:t>
      </w:r>
      <w:r>
        <w:rPr>
          <w:rFonts w:hint="eastAsia" w:ascii="仿宋_GB2312" w:hAnsi="宋体" w:eastAsia="仿宋_GB2312" w:cs="Times New Roman"/>
          <w:b w:val="0"/>
          <w:bCs w:val="0"/>
          <w:sz w:val="32"/>
          <w:szCs w:val="32"/>
          <w:lang w:val="en-US" w:eastAsia="zh-CN"/>
        </w:rPr>
        <w:t>6个政府采购项目</w:t>
      </w:r>
      <w:r>
        <w:rPr>
          <w:rFonts w:hint="eastAsia" w:ascii="仿宋_GB2312" w:hAnsi="宋体" w:eastAsia="仿宋_GB2312" w:cs="Times New Roman"/>
          <w:b w:val="0"/>
          <w:bCs w:val="0"/>
          <w:sz w:val="32"/>
          <w:szCs w:val="32"/>
          <w:lang w:val="zh-CN"/>
        </w:rPr>
        <w:t>构成。通过教学及保障设备采购，改善学校办学条件，完善硬件设施条件，更好地为教学及师生服务。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w:t>
      </w:r>
      <w:r>
        <w:rPr>
          <w:rFonts w:hint="eastAsia" w:ascii="仿宋_GB2312" w:hAnsi="Times New Roman" w:eastAsia="仿宋_GB2312" w:cs="Times New Roman"/>
          <w:kern w:val="0"/>
          <w:sz w:val="32"/>
          <w:szCs w:val="32"/>
          <w:lang w:val="en-US" w:eastAsia="zh-CN" w:bidi="ar-SA"/>
        </w:rPr>
        <w:t>三</w:t>
      </w:r>
      <w:r>
        <w:rPr>
          <w:rFonts w:hint="eastAsia" w:ascii="仿宋_GB2312" w:hAnsi="Times New Roman" w:eastAsia="仿宋_GB2312" w:cs="Times New Roman"/>
          <w:kern w:val="0"/>
          <w:sz w:val="32"/>
          <w:szCs w:val="32"/>
          <w:lang w:val="zh-CN" w:eastAsia="zh-CN" w:bidi="ar-SA"/>
        </w:rPr>
        <w:t>）项目资金申报相符性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s="Times New Roman"/>
          <w:b w:val="0"/>
          <w:bCs w:val="0"/>
          <w:sz w:val="32"/>
          <w:szCs w:val="32"/>
        </w:rPr>
      </w:pPr>
      <w:r>
        <w:rPr>
          <w:rFonts w:hint="eastAsia" w:ascii="黑体" w:hAnsi="宋体" w:eastAsia="黑体" w:cs="Times New Roman"/>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zh-CN" w:eastAsia="zh-CN" w:bidi="ar-SA"/>
        </w:rPr>
        <w:tab/>
      </w:r>
      <w:r>
        <w:rPr>
          <w:rFonts w:hint="eastAsia" w:ascii="仿宋_GB2312" w:hAnsi="Times New Roman" w:eastAsia="仿宋_GB2312" w:cs="Times New Roman"/>
          <w:kern w:val="0"/>
          <w:sz w:val="32"/>
          <w:szCs w:val="32"/>
          <w:lang w:val="zh-CN" w:eastAsia="zh-CN" w:bidi="ar-SA"/>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资金计划及到位。</w:t>
      </w:r>
      <w:r>
        <w:rPr>
          <w:rFonts w:hint="eastAsia" w:ascii="仿宋_GB2312" w:hAnsi="宋体" w:eastAsia="仿宋_GB2312" w:cs="Times New Roman"/>
          <w:b w:val="0"/>
          <w:bCs w:val="0"/>
          <w:sz w:val="32"/>
          <w:szCs w:val="32"/>
          <w:lang w:val="en-US" w:eastAsia="zh-CN"/>
        </w:rPr>
        <w:t>2021年3月3日，市财政局一次性下达“教学及保障设备购置”项目710万元，与预算申报金额保持一致。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zh-CN"/>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资金使用。</w:t>
      </w:r>
      <w:r>
        <w:rPr>
          <w:rFonts w:hint="eastAsia" w:ascii="仿宋_GB2312" w:hAnsi="宋体" w:eastAsia="仿宋_GB2312" w:cs="Times New Roman"/>
          <w:b w:val="0"/>
          <w:bCs w:val="0"/>
          <w:sz w:val="32"/>
          <w:szCs w:val="32"/>
          <w:lang w:val="zh-CN" w:eastAsia="zh-CN"/>
        </w:rPr>
        <w:t>截止</w:t>
      </w:r>
      <w:r>
        <w:rPr>
          <w:rFonts w:hint="eastAsia" w:ascii="仿宋_GB2312" w:hAnsi="宋体" w:eastAsia="仿宋_GB2312" w:cs="Times New Roman"/>
          <w:b w:val="0"/>
          <w:bCs w:val="0"/>
          <w:sz w:val="32"/>
          <w:szCs w:val="32"/>
          <w:lang w:val="en-US" w:eastAsia="zh-CN"/>
        </w:rPr>
        <w:t>目前，6个项目均</w:t>
      </w:r>
      <w:r>
        <w:rPr>
          <w:rFonts w:hint="eastAsia" w:ascii="仿宋_GB2312" w:hAnsi="宋体" w:eastAsia="仿宋_GB2312" w:cs="Times New Roman"/>
          <w:b w:val="0"/>
          <w:bCs w:val="0"/>
          <w:sz w:val="32"/>
          <w:szCs w:val="32"/>
          <w:lang w:val="zh-CN"/>
        </w:rPr>
        <w:t>已完成政府采购招标程序，其中</w:t>
      </w:r>
      <w:r>
        <w:rPr>
          <w:rFonts w:hint="eastAsia" w:ascii="仿宋_GB2312" w:hAnsi="宋体" w:eastAsia="仿宋_GB2312" w:cs="Times New Roman"/>
          <w:b w:val="0"/>
          <w:bCs w:val="0"/>
          <w:sz w:val="32"/>
          <w:szCs w:val="32"/>
          <w:lang w:val="en-US" w:eastAsia="zh-CN"/>
        </w:rPr>
        <w:t>数据中心私有云存储及相关配套系统扩容</w:t>
      </w:r>
      <w:r>
        <w:rPr>
          <w:rFonts w:hint="eastAsia" w:ascii="仿宋_GB2312" w:hAnsi="宋体" w:eastAsia="仿宋_GB2312" w:cs="Times New Roman"/>
          <w:b w:val="0"/>
          <w:bCs w:val="0"/>
          <w:sz w:val="32"/>
          <w:szCs w:val="32"/>
          <w:lang w:val="zh-CN"/>
        </w:rPr>
        <w:t>采购32.86万元；家具采购58.21万；计算机教室办学条件改善项目采购185.69万；演奏钢琴项目采购136万元；老年服务管理虚拟仿真实训室建设78.79万元；非遗文创工坊建设198.96万元</w:t>
      </w:r>
      <w:r>
        <w:rPr>
          <w:rFonts w:hint="eastAsia" w:ascii="仿宋_GB2312" w:hAnsi="宋体" w:eastAsia="仿宋_GB2312" w:cs="Times New Roman"/>
          <w:b w:val="0"/>
          <w:bCs w:val="0"/>
          <w:sz w:val="32"/>
          <w:szCs w:val="32"/>
          <w:lang w:val="en-US" w:eastAsia="zh-CN"/>
        </w:rPr>
        <w:t>。以上项目资金使用合计690.51万元，资金使用率为97.25%。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（二）项目财务管理情况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该</w:t>
      </w:r>
      <w:r>
        <w:rPr>
          <w:rFonts w:hint="eastAsia" w:ascii="仿宋_GB2312" w:hAnsi="宋体" w:eastAsia="仿宋_GB2312" w:cs="Times New Roman"/>
          <w:sz w:val="32"/>
          <w:szCs w:val="32"/>
          <w:lang w:val="zh-CN"/>
        </w:rPr>
        <w:t>各项支出严格执行财务管理制度</w:t>
      </w:r>
      <w:r>
        <w:rPr>
          <w:rFonts w:hint="eastAsia" w:ascii="仿宋_GB2312" w:hAnsi="宋体" w:eastAsia="仿宋_GB2312" w:cs="Times New Roman"/>
          <w:sz w:val="32"/>
          <w:szCs w:val="32"/>
          <w:lang w:val="en-US" w:eastAsia="zh-CN"/>
        </w:rPr>
        <w:t>及</w:t>
      </w:r>
      <w:r>
        <w:rPr>
          <w:rFonts w:hint="eastAsia" w:ascii="仿宋_GB2312" w:hAnsi="宋体" w:eastAsia="仿宋_GB2312" w:cs="Times New Roman"/>
          <w:sz w:val="32"/>
          <w:szCs w:val="32"/>
          <w:lang w:val="zh-CN"/>
        </w:rPr>
        <w:t>审批制度，</w:t>
      </w:r>
      <w:r>
        <w:rPr>
          <w:rFonts w:hint="eastAsia" w:ascii="仿宋_GB2312" w:hAnsi="宋体" w:eastAsia="仿宋_GB2312" w:cs="Times New Roman"/>
          <w:sz w:val="32"/>
          <w:szCs w:val="32"/>
          <w:lang w:val="en-US" w:eastAsia="zh-CN"/>
        </w:rPr>
        <w:t>根据使用的业务部门、招标办、国有资产管理处的有关意见，严格按合同约定合理支付各阶段资金，</w:t>
      </w:r>
      <w:r>
        <w:rPr>
          <w:rFonts w:hint="eastAsia" w:ascii="仿宋_GB2312" w:hAnsi="宋体" w:eastAsia="仿宋_GB2312" w:cs="Times New Roman"/>
          <w:b w:val="0"/>
          <w:bCs w:val="0"/>
          <w:sz w:val="32"/>
          <w:szCs w:val="32"/>
          <w:lang w:val="zh-CN"/>
        </w:rPr>
        <w:t>财务处理及时、会计核算规范。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（三）项目组织实施情况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b w:val="0"/>
          <w:bCs w:val="0"/>
          <w:sz w:val="32"/>
          <w:szCs w:val="32"/>
          <w:lang w:val="zh-CN"/>
        </w:rPr>
        <w:t>各个具体由使用部门拟定服务要求，</w:t>
      </w:r>
      <w:r>
        <w:rPr>
          <w:rFonts w:hint="eastAsia" w:ascii="仿宋_GB2312" w:hAnsi="宋体" w:eastAsia="仿宋_GB2312" w:cs="Times New Roman"/>
          <w:sz w:val="32"/>
          <w:szCs w:val="32"/>
          <w:lang w:val="en-US" w:eastAsia="zh-CN"/>
        </w:rPr>
        <w:t>组织相关专家开展项目需求论证。学校招投标办公室根据需求论证结果，</w:t>
      </w:r>
      <w:r>
        <w:rPr>
          <w:rFonts w:hint="eastAsia" w:ascii="仿宋_GB2312" w:hAnsi="宋体" w:eastAsia="仿宋_GB2312" w:cs="Times New Roman"/>
          <w:b w:val="0"/>
          <w:bCs w:val="0"/>
          <w:sz w:val="32"/>
          <w:szCs w:val="32"/>
          <w:lang w:val="zh-CN"/>
        </w:rPr>
        <w:t>严格按照《中华人民共和国政府采购法》以及省、市有关政府采购相关规定和招标管理流程，合法合规、按时按质完成项目招标。项目确定中标供应商后，由具体使用部门组织中标商进行供货安装，部分专业性较强的仪器设备，由中标商并</w:t>
      </w:r>
      <w:r>
        <w:rPr>
          <w:rFonts w:hint="eastAsia" w:ascii="仿宋_GB2312" w:hAnsi="宋体" w:eastAsia="仿宋_GB2312" w:cs="Times New Roman"/>
          <w:sz w:val="32"/>
          <w:szCs w:val="32"/>
          <w:lang w:val="en-US" w:eastAsia="zh-CN"/>
        </w:rPr>
        <w:t>对相关专业教师、辅导员等开展操作培训，稳步推进项目实施。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Times New Roman"/>
          <w:b w:val="0"/>
          <w:bCs w:val="0"/>
          <w:sz w:val="32"/>
          <w:szCs w:val="32"/>
          <w:lang w:val="zh-CN"/>
        </w:rPr>
      </w:pPr>
      <w:r>
        <w:rPr>
          <w:rFonts w:hint="eastAsia" w:ascii="黑体" w:hAnsi="宋体" w:eastAsia="黑体" w:cs="Times New Roman"/>
          <w:b w:val="0"/>
          <w:bCs w:val="0"/>
          <w:sz w:val="32"/>
          <w:szCs w:val="32"/>
        </w:rPr>
        <w:t>三、项目绩效情况</w:t>
      </w:r>
      <w:r>
        <w:rPr>
          <w:rFonts w:hint="eastAsia" w:ascii="仿宋_GB2312" w:hAnsi="宋体" w:eastAsia="仿宋_GB2312" w:cs="Times New Roman"/>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cs="Times New Roman"/>
          <w:b w:val="0"/>
          <w:bCs w:val="0"/>
          <w:color w:val="FF0000"/>
          <w:sz w:val="32"/>
          <w:szCs w:val="32"/>
          <w:lang w:val="en-US" w:eastAsia="zh-CN"/>
        </w:rPr>
      </w:pPr>
      <w:r>
        <w:rPr>
          <w:rFonts w:hint="eastAsia" w:ascii="仿宋_GB2312" w:hAnsi="宋体" w:eastAsia="仿宋_GB2312" w:cs="Times New Roman"/>
          <w:b w:val="0"/>
          <w:bCs w:val="0"/>
          <w:sz w:val="32"/>
          <w:szCs w:val="32"/>
          <w:lang w:val="zh-CN"/>
        </w:rPr>
        <w:t>截止目前，</w:t>
      </w:r>
      <w:r>
        <w:rPr>
          <w:rFonts w:hint="eastAsia" w:ascii="仿宋_GB2312" w:hAnsi="宋体" w:eastAsia="仿宋_GB2312" w:cs="Times New Roman"/>
          <w:b w:val="0"/>
          <w:bCs w:val="0"/>
          <w:sz w:val="32"/>
          <w:szCs w:val="32"/>
          <w:lang w:val="en-US" w:eastAsia="zh-CN"/>
        </w:rPr>
        <w:t>数据中心私有云存储及相关配套系统扩容项目</w:t>
      </w:r>
      <w:r>
        <w:rPr>
          <w:rFonts w:hint="eastAsia" w:ascii="仿宋_GB2312" w:hAnsi="宋体" w:eastAsia="仿宋_GB2312" w:cs="Times New Roman"/>
          <w:b w:val="0"/>
          <w:bCs w:val="0"/>
          <w:sz w:val="32"/>
          <w:szCs w:val="32"/>
          <w:lang w:val="zh-CN"/>
        </w:rPr>
        <w:t>已完成采购并于</w:t>
      </w:r>
      <w:r>
        <w:rPr>
          <w:rFonts w:hint="eastAsia" w:ascii="仿宋_GB2312" w:hAnsi="宋体" w:eastAsia="仿宋_GB2312" w:cs="Times New Roman"/>
          <w:b w:val="0"/>
          <w:bCs w:val="0"/>
          <w:sz w:val="32"/>
          <w:szCs w:val="32"/>
          <w:lang w:val="en-US" w:eastAsia="zh-CN"/>
        </w:rPr>
        <w:t>2021年7月</w:t>
      </w:r>
      <w:r>
        <w:rPr>
          <w:rFonts w:hint="eastAsia" w:ascii="仿宋_GB2312" w:hAnsi="宋体" w:eastAsia="仿宋_GB2312" w:cs="Times New Roman"/>
          <w:b w:val="0"/>
          <w:bCs w:val="0"/>
          <w:sz w:val="32"/>
          <w:szCs w:val="32"/>
          <w:lang w:val="zh-CN"/>
        </w:rPr>
        <w:t>验收合格，已支付</w:t>
      </w:r>
      <w:r>
        <w:rPr>
          <w:rFonts w:hint="eastAsia" w:ascii="仿宋_GB2312" w:hAnsi="宋体" w:eastAsia="仿宋_GB2312" w:cs="Times New Roman"/>
          <w:b w:val="0"/>
          <w:bCs w:val="0"/>
          <w:sz w:val="32"/>
          <w:szCs w:val="32"/>
          <w:lang w:val="en-US" w:eastAsia="zh-CN"/>
        </w:rPr>
        <w:t>95%的进度款，预留5%的质保金待服务期满支付；</w:t>
      </w:r>
      <w:r>
        <w:rPr>
          <w:rFonts w:hint="eastAsia" w:ascii="仿宋_GB2312" w:hAnsi="宋体" w:eastAsia="仿宋_GB2312" w:cs="Times New Roman"/>
          <w:b w:val="0"/>
          <w:bCs w:val="0"/>
          <w:sz w:val="32"/>
          <w:szCs w:val="32"/>
          <w:lang w:val="zh-CN"/>
        </w:rPr>
        <w:t>家具采购项目已完成采购并于</w:t>
      </w:r>
      <w:r>
        <w:rPr>
          <w:rFonts w:hint="eastAsia" w:ascii="仿宋_GB2312" w:hAnsi="宋体" w:eastAsia="仿宋_GB2312" w:cs="Times New Roman"/>
          <w:b w:val="0"/>
          <w:bCs w:val="0"/>
          <w:sz w:val="32"/>
          <w:szCs w:val="32"/>
          <w:lang w:val="en-US" w:eastAsia="zh-CN"/>
        </w:rPr>
        <w:t>2021年12月验收合格，已支付95%的进度款，预留5%的质保金待服务期满支付；</w:t>
      </w:r>
      <w:r>
        <w:rPr>
          <w:rFonts w:hint="eastAsia" w:ascii="仿宋_GB2312" w:hAnsi="宋体" w:eastAsia="仿宋_GB2312" w:cs="Times New Roman"/>
          <w:b w:val="0"/>
          <w:bCs w:val="0"/>
          <w:sz w:val="32"/>
          <w:szCs w:val="32"/>
          <w:lang w:val="zh-CN"/>
        </w:rPr>
        <w:t>计算机教室办学条件改善项目已完成采购并已支付</w:t>
      </w:r>
      <w:r>
        <w:rPr>
          <w:rFonts w:hint="eastAsia" w:ascii="仿宋_GB2312" w:hAnsi="宋体" w:eastAsia="仿宋_GB2312" w:cs="Times New Roman"/>
          <w:b w:val="0"/>
          <w:bCs w:val="0"/>
          <w:sz w:val="32"/>
          <w:szCs w:val="32"/>
          <w:lang w:val="en-US" w:eastAsia="zh-CN"/>
        </w:rPr>
        <w:t>5%的预付款，剩余进度款待验收合格后支付</w:t>
      </w:r>
      <w:r>
        <w:rPr>
          <w:rFonts w:hint="eastAsia" w:ascii="仿宋_GB2312" w:hAnsi="宋体" w:eastAsia="仿宋_GB2312" w:cs="Times New Roman"/>
          <w:b w:val="0"/>
          <w:bCs w:val="0"/>
          <w:sz w:val="32"/>
          <w:szCs w:val="32"/>
          <w:lang w:val="zh-CN"/>
        </w:rPr>
        <w:t>；演奏钢琴项目已完成招标，但由于疫情影响，</w:t>
      </w:r>
      <w:r>
        <w:rPr>
          <w:rFonts w:hint="eastAsia" w:ascii="仿宋_GB2312" w:hAnsi="宋体" w:eastAsia="仿宋_GB2312" w:cs="Times New Roman"/>
          <w:b w:val="0"/>
          <w:bCs w:val="0"/>
          <w:sz w:val="32"/>
          <w:szCs w:val="32"/>
          <w:lang w:val="en-US" w:eastAsia="zh-CN"/>
        </w:rPr>
        <w:t>中标商配送钢琴延期，导致资金支付进度较慢；</w:t>
      </w:r>
      <w:r>
        <w:rPr>
          <w:rFonts w:hint="eastAsia" w:ascii="仿宋_GB2312" w:hAnsi="宋体" w:eastAsia="仿宋_GB2312" w:cs="Times New Roman"/>
          <w:b w:val="0"/>
          <w:bCs w:val="0"/>
          <w:sz w:val="32"/>
          <w:szCs w:val="32"/>
          <w:lang w:val="zh-CN"/>
        </w:rPr>
        <w:t>老年服务管理虚拟仿真实训室建设已完成采购并于</w:t>
      </w:r>
      <w:r>
        <w:rPr>
          <w:rFonts w:hint="eastAsia" w:ascii="仿宋_GB2312" w:hAnsi="宋体" w:eastAsia="仿宋_GB2312" w:cs="Times New Roman"/>
          <w:b w:val="0"/>
          <w:bCs w:val="0"/>
          <w:sz w:val="32"/>
          <w:szCs w:val="32"/>
          <w:lang w:val="en-US" w:eastAsia="zh-CN"/>
        </w:rPr>
        <w:t>2021年12月验收合格，已支付95%的进度款，预留5%的质保金待服务期满支付；</w:t>
      </w:r>
      <w:r>
        <w:rPr>
          <w:rFonts w:hint="eastAsia" w:ascii="仿宋_GB2312" w:hAnsi="宋体" w:eastAsia="仿宋_GB2312" w:cs="Times New Roman"/>
          <w:b w:val="0"/>
          <w:bCs w:val="0"/>
          <w:sz w:val="32"/>
          <w:szCs w:val="32"/>
          <w:lang w:val="zh-CN"/>
        </w:rPr>
        <w:t>非遗文创工坊建已完成采购并于</w:t>
      </w:r>
      <w:r>
        <w:rPr>
          <w:rFonts w:hint="eastAsia" w:ascii="仿宋_GB2312" w:hAnsi="宋体" w:eastAsia="仿宋_GB2312" w:cs="Times New Roman"/>
          <w:b w:val="0"/>
          <w:bCs w:val="0"/>
          <w:sz w:val="32"/>
          <w:szCs w:val="32"/>
          <w:lang w:val="en-US" w:eastAsia="zh-CN"/>
        </w:rPr>
        <w:t>2021年12月验收合格，已支付95%的进度款，预留5%的质保金待服务期满支付。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w:t>
      </w:r>
      <w:r>
        <w:rPr>
          <w:rFonts w:hint="eastAsia" w:ascii="仿宋_GB2312" w:hAnsi="Times New Roman" w:eastAsia="仿宋_GB2312" w:cs="Times New Roman"/>
          <w:kern w:val="0"/>
          <w:sz w:val="32"/>
          <w:szCs w:val="32"/>
          <w:lang w:val="en-US" w:eastAsia="zh-CN" w:bidi="ar-SA"/>
        </w:rPr>
        <w:t>二</w:t>
      </w:r>
      <w:r>
        <w:rPr>
          <w:rFonts w:hint="eastAsia" w:ascii="仿宋_GB2312" w:hAnsi="Times New Roman" w:eastAsia="仿宋_GB2312" w:cs="Times New Roman"/>
          <w:kern w:val="0"/>
          <w:sz w:val="32"/>
          <w:szCs w:val="32"/>
          <w:lang w:val="zh-CN" w:eastAsia="zh-CN" w:bidi="ar-SA"/>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宋体" w:eastAsia="仿宋_GB2312" w:cs="Times New Roman"/>
          <w:b w:val="0"/>
          <w:bCs w:val="0"/>
          <w:sz w:val="32"/>
          <w:szCs w:val="32"/>
          <w:lang w:val="en-US" w:eastAsia="zh-CN"/>
        </w:rPr>
        <w:t>1.数据中心私有云存储及相关配套系统扩容采购满足学校对现有设备的软件、硬件的数据中心私有云数据中心的扩容升级，提供7*24H的上门及远程技术支持服务，为即将上线的各业务系统提供安装存储空间。提高整个私有云数据中心网络传输速度，保障学校业务系统稳定、高效、安全运行。</w:t>
      </w:r>
    </w:p>
    <w:p>
      <w:pPr>
        <w:keepNext w:val="0"/>
        <w:keepLines w:val="0"/>
        <w:pageBreakBefore w:val="0"/>
        <w:widowControl w:val="0"/>
        <w:kinsoku/>
        <w:wordWrap/>
        <w:overflowPunct/>
        <w:topLinePunct w:val="0"/>
        <w:autoSpaceDE/>
        <w:autoSpaceDN/>
        <w:bidi w:val="0"/>
        <w:snapToGrid w:val="0"/>
        <w:spacing w:line="560" w:lineRule="exact"/>
        <w:ind w:firstLine="360" w:firstLineChars="200"/>
        <w:jc w:val="left"/>
        <w:textAlignment w:val="auto"/>
        <w:rPr>
          <w:rFonts w:hint="eastAsia" w:ascii="Times New Roman" w:hAnsi="Times New Roman" w:eastAsia="仿宋_GB2312" w:cs="Times New Roman"/>
          <w:kern w:val="2"/>
          <w:sz w:val="18"/>
          <w:szCs w:val="1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2.家具采购主要包含教师桌椅、化学生物实验室保险柜、毒品柜以及仪器柜等，充分保障了学校教学日常运行的需求。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zh-CN" w:eastAsia="zh-CN"/>
        </w:rPr>
      </w:pPr>
      <w:r>
        <w:rPr>
          <w:rFonts w:hint="eastAsia" w:ascii="仿宋_GB2312" w:hAnsi="宋体" w:eastAsia="仿宋_GB2312" w:cs="Times New Roman"/>
          <w:b w:val="0"/>
          <w:bCs w:val="0"/>
          <w:sz w:val="32"/>
          <w:szCs w:val="32"/>
          <w:lang w:val="en-US" w:eastAsia="zh-CN"/>
        </w:rPr>
        <w:t>3.</w:t>
      </w:r>
      <w:r>
        <w:rPr>
          <w:rFonts w:hint="eastAsia" w:ascii="仿宋_GB2312" w:hAnsi="宋体" w:eastAsia="仿宋_GB2312" w:cs="Times New Roman"/>
          <w:b w:val="0"/>
          <w:bCs w:val="0"/>
          <w:sz w:val="32"/>
          <w:szCs w:val="32"/>
          <w:lang w:val="zh-CN" w:eastAsia="zh-CN"/>
        </w:rPr>
        <w:t>计算机教室办学条件改善项目有利于延长计算机设备使用价值，推动学校信息化建设，办学条件进一步提升。计算机教室面向全校开设公共课及专业课，师生满意度较高。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cs="Times New Roman"/>
          <w:b w:val="0"/>
          <w:bCs w:val="0"/>
          <w:sz w:val="32"/>
          <w:szCs w:val="32"/>
          <w:lang w:val="zh-CN"/>
        </w:rPr>
      </w:pPr>
      <w:r>
        <w:rPr>
          <w:rFonts w:hint="eastAsia" w:ascii="仿宋_GB2312" w:hAnsi="宋体" w:eastAsia="仿宋_GB2312" w:cs="Times New Roman"/>
          <w:b w:val="0"/>
          <w:bCs w:val="0"/>
          <w:sz w:val="32"/>
          <w:szCs w:val="32"/>
          <w:lang w:val="en-US" w:eastAsia="zh-CN"/>
        </w:rPr>
        <w:t>4.</w:t>
      </w:r>
      <w:r>
        <w:rPr>
          <w:rFonts w:hint="eastAsia" w:ascii="仿宋_GB2312" w:hAnsi="宋体" w:eastAsia="仿宋_GB2312" w:cs="Times New Roman"/>
          <w:b w:val="0"/>
          <w:bCs w:val="0"/>
          <w:sz w:val="32"/>
          <w:szCs w:val="32"/>
          <w:lang w:val="zh-CN"/>
        </w:rPr>
        <w:t>演奏钢琴项目推进学校教育、艺术研创、艺术交流协调发展，全力打造艺术大师的高端平台，</w:t>
      </w:r>
      <w:r>
        <w:rPr>
          <w:rFonts w:hint="eastAsia" w:ascii="仿宋_GB2312" w:hAnsi="宋体" w:eastAsia="仿宋_GB2312" w:cs="Times New Roman"/>
          <w:b w:val="0"/>
          <w:bCs w:val="0"/>
          <w:sz w:val="32"/>
          <w:szCs w:val="32"/>
          <w:lang w:val="en-US" w:eastAsia="zh-CN"/>
        </w:rPr>
        <w:t>为</w:t>
      </w:r>
      <w:r>
        <w:rPr>
          <w:rFonts w:hint="eastAsia" w:ascii="仿宋_GB2312" w:hAnsi="宋体" w:eastAsia="仿宋_GB2312" w:cs="Times New Roman"/>
          <w:b w:val="0"/>
          <w:bCs w:val="0"/>
          <w:sz w:val="32"/>
          <w:szCs w:val="32"/>
          <w:lang w:val="zh-CN"/>
        </w:rPr>
        <w:t>学校创建优秀的音乐学科，</w:t>
      </w:r>
      <w:r>
        <w:rPr>
          <w:rFonts w:hint="eastAsia" w:ascii="仿宋_GB2312" w:hAnsi="宋体" w:eastAsia="仿宋_GB2312" w:cs="Times New Roman"/>
          <w:b w:val="0"/>
          <w:bCs w:val="0"/>
          <w:sz w:val="32"/>
          <w:szCs w:val="32"/>
          <w:lang w:val="en-US" w:eastAsia="zh-CN"/>
        </w:rPr>
        <w:t>提供</w:t>
      </w:r>
      <w:r>
        <w:rPr>
          <w:rFonts w:hint="eastAsia" w:ascii="仿宋_GB2312" w:hAnsi="宋体" w:eastAsia="仿宋_GB2312" w:cs="Times New Roman"/>
          <w:b w:val="0"/>
          <w:bCs w:val="0"/>
          <w:sz w:val="32"/>
          <w:szCs w:val="32"/>
          <w:lang w:val="zh-CN"/>
        </w:rPr>
        <w:t>一流的硬件设施，以课堂教学与舞台实践相结合，以教育科研为先导，以网络为交流载体，立足教学实际，聚焦当前学科热点，打造教师培养的基地、名师展示的舞台、教学示范的窗口。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cs="Times New Roman"/>
          <w:b w:val="0"/>
          <w:bCs w:val="0"/>
          <w:sz w:val="32"/>
          <w:szCs w:val="32"/>
          <w:lang w:val="zh-CN"/>
        </w:rPr>
      </w:pPr>
      <w:r>
        <w:rPr>
          <w:rFonts w:hint="eastAsia" w:ascii="仿宋_GB2312" w:hAnsi="宋体" w:eastAsia="仿宋_GB2312" w:cs="Times New Roman"/>
          <w:b w:val="0"/>
          <w:bCs w:val="0"/>
          <w:sz w:val="32"/>
          <w:szCs w:val="32"/>
          <w:lang w:val="en-US" w:eastAsia="zh-CN"/>
        </w:rPr>
        <w:t>5.</w:t>
      </w:r>
      <w:r>
        <w:rPr>
          <w:rFonts w:hint="eastAsia" w:ascii="仿宋_GB2312" w:hAnsi="宋体" w:eastAsia="仿宋_GB2312" w:cs="Times New Roman"/>
          <w:b w:val="0"/>
          <w:bCs w:val="0"/>
          <w:sz w:val="32"/>
          <w:szCs w:val="32"/>
          <w:lang w:val="zh-CN"/>
        </w:rPr>
        <w:t>老年服务管理虚拟仿真实训室建设项目主要包括</w:t>
      </w:r>
      <w:r>
        <w:rPr>
          <w:rFonts w:hint="eastAsia" w:ascii="仿宋_GB2312" w:hAnsi="宋体" w:eastAsia="仿宋_GB2312" w:cs="Times New Roman"/>
          <w:b w:val="0"/>
          <w:bCs w:val="0"/>
          <w:sz w:val="32"/>
          <w:szCs w:val="32"/>
          <w:lang w:val="en-US" w:eastAsia="zh-CN"/>
        </w:rPr>
        <w:t>重度失智老年人喂饭及进餐照护、卧床失智老年人纸尿裤及尿袋更换照护等14个学习模块，利用虚拟现实、人机交互、数据库和网络通信等多种技术，搭建高度仿真的虚拟实验环境，学生在虚拟环境中开展实训，节约了耗材成本</w:t>
      </w:r>
      <w:r>
        <w:rPr>
          <w:rFonts w:hint="eastAsia" w:ascii="仿宋_GB2312" w:hAnsi="宋体" w:eastAsia="仿宋_GB2312" w:cs="Times New Roman"/>
          <w:b w:val="0"/>
          <w:bCs w:val="0"/>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6.</w:t>
      </w:r>
      <w:r>
        <w:rPr>
          <w:rFonts w:hint="eastAsia" w:ascii="仿宋_GB2312" w:hAnsi="宋体" w:eastAsia="仿宋_GB2312" w:cs="Times New Roman"/>
          <w:b w:val="0"/>
          <w:bCs w:val="0"/>
          <w:sz w:val="32"/>
          <w:szCs w:val="32"/>
          <w:lang w:val="zh-CN"/>
        </w:rPr>
        <w:t>非遗文创工坊建设项目利于学校探索技艺类非遗从传统手工技艺向现代数字技艺的转换路径，实现从个体劳动向流水线生产地转移，实现非遗的产业化、可持续化发展。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ascii="黑体" w:hAnsi="宋体" w:eastAsia="黑体" w:cs="Times New Roman"/>
          <w:b w:val="0"/>
          <w:bCs w:val="0"/>
          <w:sz w:val="32"/>
          <w:szCs w:val="32"/>
        </w:rPr>
      </w:pPr>
      <w:r>
        <w:rPr>
          <w:rFonts w:hint="eastAsia" w:ascii="黑体" w:hAnsi="宋体" w:eastAsia="黑体" w:cs="Times New Roman"/>
          <w:b w:val="0"/>
          <w:bCs w:val="0"/>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学校正处于发展关键期，全年涉及政府采购项目较多，由于政府采购项目须经市财政局备案并纳入政府采购中心进行集中采购，因此项目采购时间跨度较长，资金支付较晚。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（二）相关建议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充分利用现代化电子技术、进一步发展政府采购信息化建设，加强政府采购部门与政府相关部门和供应商之间的沟通交流，节约政府采购时间。</w:t>
      </w:r>
    </w:p>
    <w:p>
      <w:pPr>
        <w:pStyle w:val="2"/>
        <w:rPr>
          <w:rStyle w:val="27"/>
          <w:rFonts w:ascii="黑体" w:hAnsi="黑体" w:eastAsia="黑体"/>
          <w:b/>
          <w:bCs w:val="0"/>
        </w:rPr>
      </w:pPr>
    </w:p>
    <w:p>
      <w:pPr>
        <w:pStyle w:val="2"/>
        <w:rPr>
          <w:rStyle w:val="27"/>
          <w:rFonts w:ascii="黑体" w:hAnsi="黑体" w:eastAsia="黑体"/>
          <w:b w:val="0"/>
        </w:rPr>
      </w:pPr>
    </w:p>
    <w:p>
      <w:pPr>
        <w:pStyle w:val="2"/>
        <w:rPr>
          <w:rStyle w:val="27"/>
          <w:rFonts w:ascii="黑体" w:hAnsi="黑体" w:eastAsia="黑体"/>
          <w:b w:val="0"/>
        </w:rPr>
      </w:pPr>
    </w:p>
    <w:p>
      <w:pPr>
        <w:pStyle w:val="2"/>
        <w:rPr>
          <w:rStyle w:val="27"/>
          <w:rFonts w:ascii="黑体" w:hAnsi="黑体" w:eastAsia="黑体"/>
          <w:b w:val="0"/>
        </w:rPr>
      </w:pPr>
    </w:p>
    <w:p>
      <w:pPr>
        <w:pStyle w:val="2"/>
        <w:rPr>
          <w:rStyle w:val="27"/>
          <w:rFonts w:ascii="黑体" w:hAnsi="黑体" w:eastAsia="黑体"/>
          <w:b w:val="0"/>
        </w:rPr>
      </w:pPr>
    </w:p>
    <w:p>
      <w:pPr>
        <w:pStyle w:val="2"/>
        <w:rPr>
          <w:rStyle w:val="27"/>
          <w:rFonts w:ascii="黑体" w:hAnsi="黑体" w:eastAsia="黑体"/>
          <w:b w:val="0"/>
        </w:rPr>
      </w:pPr>
    </w:p>
    <w:p>
      <w:pPr>
        <w:pStyle w:val="2"/>
        <w:rPr>
          <w:rStyle w:val="27"/>
          <w:rFonts w:ascii="黑体" w:hAnsi="黑体" w:eastAsia="黑体"/>
          <w:b w:val="0"/>
        </w:rPr>
      </w:pPr>
    </w:p>
    <w:p>
      <w:pPr>
        <w:pStyle w:val="2"/>
        <w:rPr>
          <w:rStyle w:val="27"/>
          <w:rFonts w:ascii="黑体" w:hAnsi="黑体" w:eastAsia="黑体"/>
          <w:b w:val="0"/>
        </w:rPr>
      </w:pPr>
    </w:p>
    <w:p>
      <w:pPr>
        <w:pStyle w:val="2"/>
        <w:rPr>
          <w:rStyle w:val="27"/>
          <w:rFonts w:ascii="黑体" w:hAnsi="黑体" w:eastAsia="黑体"/>
          <w:b w:val="0"/>
        </w:rPr>
      </w:pPr>
    </w:p>
    <w:p>
      <w:pPr>
        <w:pStyle w:val="2"/>
        <w:rPr>
          <w:rStyle w:val="27"/>
          <w:rFonts w:ascii="黑体" w:hAnsi="黑体" w:eastAsia="黑体"/>
          <w:b w:val="0"/>
        </w:rPr>
      </w:pPr>
    </w:p>
    <w:p>
      <w:pPr>
        <w:pStyle w:val="2"/>
        <w:rPr>
          <w:rStyle w:val="27"/>
          <w:rFonts w:ascii="黑体" w:hAnsi="黑体" w:eastAsia="黑体"/>
          <w:b w:val="0"/>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14"/>
        <w:tblW w:w="91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7"/>
        <w:gridCol w:w="960"/>
        <w:gridCol w:w="1335"/>
        <w:gridCol w:w="1635"/>
        <w:gridCol w:w="177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57"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教学及保障设备购置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主管单位</w:t>
            </w:r>
          </w:p>
        </w:tc>
        <w:tc>
          <w:tcPr>
            <w:tcW w:w="16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市财政局、教育局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川北幼儿师范高等专科学校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1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保障学校正常教学运行，购置教学及教辅设施设备。</w:t>
            </w:r>
          </w:p>
        </w:tc>
        <w:tc>
          <w:tcPr>
            <w:tcW w:w="4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2021全年学校教学运行正常，各项教学及教辅设施设备按时完成采购。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1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采购数量</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根据各部门申报数量进行审核并实施采购</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数据存储扩容项目采购32.86万元；家具采购58.21万；计算机教室办学条件改善项目采购185.69万；演奏钢琴项目采购136万元；老年服务管理虚拟仿真实训室采购78.79万元；非遗文创工坊建设采购198.96万元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采购质量</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符合技术参数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根据合同约定及采购进度约定时间完成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2021年及2022年初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项目效果指标</w:t>
            </w:r>
          </w:p>
        </w:tc>
        <w:tc>
          <w:tcPr>
            <w:tcW w:w="13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保障各处室及系部正常开展办公及教学活动</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达到各处室及系部的要求</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采购设备的社会影响力</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使办学条件得到提升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办学条件得到提升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师生满意度</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pPr>
        <w:spacing w:line="600" w:lineRule="exact"/>
        <w:jc w:val="center"/>
        <w:outlineLvl w:val="0"/>
        <w:rPr>
          <w:rStyle w:val="27"/>
          <w:rFonts w:ascii="黑体" w:hAnsi="黑体" w:eastAsia="黑体"/>
          <w:b w:val="0"/>
        </w:rPr>
      </w:pPr>
      <w:bookmarkStart w:id="76" w:name="_Toc25388"/>
      <w:bookmarkStart w:id="77"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67"/>
      <w:bookmarkEnd w:id="76"/>
      <w:bookmarkEnd w:id="77"/>
    </w:p>
    <w:p>
      <w:pPr>
        <w:pStyle w:val="4"/>
        <w:rPr>
          <w:rFonts w:ascii="仿宋" w:hAnsi="仿宋" w:eastAsia="仿宋"/>
          <w:color w:val="000000"/>
        </w:rPr>
      </w:pPr>
      <w:bookmarkStart w:id="78"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78"/>
    </w:p>
    <w:p>
      <w:pPr>
        <w:pStyle w:val="4"/>
        <w:rPr>
          <w:rFonts w:ascii="仿宋" w:hAnsi="仿宋" w:eastAsia="仿宋"/>
          <w:color w:val="000000"/>
        </w:rPr>
      </w:pPr>
      <w:bookmarkStart w:id="79"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79"/>
    </w:p>
    <w:p>
      <w:pPr>
        <w:pStyle w:val="4"/>
        <w:rPr>
          <w:rFonts w:ascii="仿宋" w:hAnsi="仿宋" w:eastAsia="仿宋"/>
          <w:color w:val="000000"/>
        </w:rPr>
      </w:pPr>
      <w:bookmarkStart w:id="80"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80"/>
    </w:p>
    <w:p>
      <w:pPr>
        <w:pStyle w:val="4"/>
        <w:rPr>
          <w:rFonts w:ascii="仿宋" w:hAnsi="仿宋" w:eastAsia="仿宋"/>
          <w:b w:val="0"/>
          <w:color w:val="000000"/>
        </w:rPr>
      </w:pPr>
      <w:bookmarkStart w:id="81"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81"/>
    </w:p>
    <w:p>
      <w:pPr>
        <w:pStyle w:val="4"/>
        <w:rPr>
          <w:rStyle w:val="28"/>
          <w:rFonts w:ascii="仿宋" w:hAnsi="仿宋" w:eastAsia="仿宋"/>
          <w:b w:val="0"/>
          <w:bCs w:val="0"/>
        </w:rPr>
      </w:pPr>
      <w:bookmarkStart w:id="82"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82"/>
      <w:bookmarkStart w:id="83" w:name="_Toc15396624"/>
    </w:p>
    <w:p>
      <w:pPr>
        <w:pStyle w:val="4"/>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83"/>
    </w:p>
    <w:p>
      <w:pPr>
        <w:pStyle w:val="4"/>
        <w:rPr>
          <w:rFonts w:ascii="仿宋" w:hAnsi="仿宋" w:eastAsia="仿宋"/>
          <w:color w:val="000000"/>
        </w:rPr>
      </w:pPr>
      <w:bookmarkStart w:id="84"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84"/>
    </w:p>
    <w:p>
      <w:pPr>
        <w:pStyle w:val="4"/>
        <w:rPr>
          <w:rFonts w:ascii="仿宋" w:hAnsi="仿宋" w:eastAsia="仿宋"/>
          <w:color w:val="000000"/>
        </w:rPr>
      </w:pPr>
      <w:bookmarkStart w:id="85"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85"/>
    </w:p>
    <w:p>
      <w:pPr>
        <w:pStyle w:val="4"/>
        <w:rPr>
          <w:rFonts w:ascii="仿宋" w:hAnsi="仿宋" w:eastAsia="仿宋"/>
          <w:color w:val="000000"/>
        </w:rPr>
      </w:pPr>
      <w:bookmarkStart w:id="86"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86"/>
    </w:p>
    <w:p>
      <w:pPr>
        <w:pStyle w:val="4"/>
        <w:rPr>
          <w:rFonts w:ascii="仿宋" w:hAnsi="仿宋" w:eastAsia="仿宋"/>
          <w:color w:val="000000"/>
        </w:rPr>
      </w:pPr>
      <w:bookmarkStart w:id="87"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87"/>
    </w:p>
    <w:p>
      <w:pPr>
        <w:pStyle w:val="4"/>
        <w:rPr>
          <w:rFonts w:ascii="仿宋" w:hAnsi="仿宋" w:eastAsia="仿宋"/>
          <w:color w:val="000000"/>
        </w:rPr>
      </w:pPr>
      <w:bookmarkStart w:id="88"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88"/>
    </w:p>
    <w:p>
      <w:pPr>
        <w:pStyle w:val="4"/>
        <w:rPr>
          <w:rFonts w:ascii="仿宋" w:hAnsi="仿宋" w:eastAsia="仿宋"/>
          <w:color w:val="000000"/>
        </w:rPr>
      </w:pPr>
      <w:bookmarkStart w:id="89"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89"/>
    </w:p>
    <w:p>
      <w:pPr>
        <w:pStyle w:val="4"/>
        <w:rPr>
          <w:rFonts w:ascii="仿宋" w:hAnsi="仿宋" w:eastAsia="仿宋"/>
          <w:color w:val="000000" w:themeColor="text1"/>
          <w14:textFill>
            <w14:solidFill>
              <w14:schemeClr w14:val="tx1"/>
            </w14:solidFill>
          </w14:textFill>
        </w:rPr>
      </w:pPr>
      <w:bookmarkStart w:id="90"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w:t>
      </w:r>
      <w:r>
        <w:rPr>
          <w:rStyle w:val="28"/>
          <w:rFonts w:hint="eastAsia" w:ascii="仿宋" w:hAnsi="仿宋" w:eastAsia="仿宋"/>
          <w:b w:val="0"/>
          <w:bCs w:val="0"/>
          <w:lang w:eastAsia="zh-CN"/>
        </w:rPr>
        <w:t>财政拨款收入</w:t>
      </w:r>
      <w:r>
        <w:rPr>
          <w:rStyle w:val="28"/>
          <w:rFonts w:hint="eastAsia" w:ascii="仿宋" w:hAnsi="仿宋" w:eastAsia="仿宋"/>
          <w:b w:val="0"/>
          <w:bCs w:val="0"/>
        </w:rPr>
        <w:t>支出决算表</w:t>
      </w:r>
      <w:bookmarkEnd w:id="90"/>
    </w:p>
    <w:p>
      <w:pPr>
        <w:pStyle w:val="4"/>
        <w:rPr>
          <w:rFonts w:ascii="仿宋" w:hAnsi="仿宋" w:eastAsia="仿宋"/>
          <w:color w:val="000000" w:themeColor="text1"/>
          <w14:textFill>
            <w14:solidFill>
              <w14:schemeClr w14:val="tx1"/>
            </w14:solidFill>
          </w14:textFill>
        </w:rPr>
      </w:pPr>
      <w:r>
        <w:rPr>
          <w:rStyle w:val="28"/>
          <w:rFonts w:hint="eastAsia" w:ascii="仿宋" w:hAnsi="仿宋" w:eastAsia="仿宋"/>
          <w:b w:val="0"/>
          <w:bCs w:val="0"/>
        </w:rPr>
        <w:t>十</w:t>
      </w:r>
      <w:r>
        <w:rPr>
          <w:rStyle w:val="28"/>
          <w:rFonts w:hint="eastAsia" w:ascii="仿宋" w:hAnsi="仿宋" w:eastAsia="仿宋"/>
          <w:b w:val="0"/>
          <w:bCs w:val="0"/>
          <w:lang w:eastAsia="zh-CN"/>
        </w:rPr>
        <w:t>四</w:t>
      </w:r>
      <w:r>
        <w:rPr>
          <w:rStyle w:val="28"/>
          <w:rFonts w:hint="eastAsia" w:ascii="仿宋" w:hAnsi="仿宋" w:eastAsia="仿宋"/>
          <w:b w:val="0"/>
          <w:bCs w:val="0"/>
        </w:rPr>
        <w:t>、</w:t>
      </w:r>
      <w:r>
        <w:rPr>
          <w:rFonts w:hint="eastAsia" w:ascii="仿宋" w:hAnsi="仿宋" w:eastAsia="仿宋"/>
          <w:b w:val="0"/>
          <w:color w:val="000000"/>
        </w:rPr>
        <w:t>国</w:t>
      </w:r>
      <w:r>
        <w:rPr>
          <w:rStyle w:val="28"/>
          <w:rFonts w:hint="eastAsia" w:ascii="仿宋" w:hAnsi="仿宋" w:eastAsia="仿宋"/>
          <w:b w:val="0"/>
          <w:bCs w:val="0"/>
        </w:rPr>
        <w:t>有资本经营预算</w:t>
      </w:r>
      <w:r>
        <w:rPr>
          <w:rStyle w:val="28"/>
          <w:rFonts w:hint="eastAsia" w:ascii="仿宋" w:hAnsi="仿宋" w:eastAsia="仿宋"/>
          <w:b w:val="0"/>
          <w:bCs w:val="0"/>
          <w:lang w:eastAsia="zh-CN"/>
        </w:rPr>
        <w:t>财政拨款</w:t>
      </w:r>
      <w:r>
        <w:rPr>
          <w:rStyle w:val="28"/>
          <w:rFonts w:hint="eastAsia" w:ascii="仿宋" w:hAnsi="仿宋" w:eastAsia="仿宋"/>
          <w:b w:val="0"/>
          <w:bCs w:val="0"/>
        </w:rPr>
        <w:t>支出决算表</w:t>
      </w:r>
    </w:p>
    <w:sectPr>
      <w:pgSz w:w="11906" w:h="16838"/>
      <w:pgMar w:top="1440" w:right="2126"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601Ic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s&#10;sj59gBrT7gMmpuGdHzB39gM6M+1BRZu/SIhgHNU9X9WVQyIiP1qv1usKQwJj8wXx2cPzECG9l96S&#10;bDQ04viKqvz0EdKYOqfkas7faWPKCI37x4GY2cNy72OP2UrDfpgI7X17Rj49Tr6hDhedEvPBobB5&#10;SWYjzsZ+No4h6kNXtijXg3B7TNhE6S1XGGGnwjiywm5ar7wTj+8l6+GX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etNSHIAQAAmg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10"/>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UIVcg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hNieMWJ375/u3y49fl51ey&#10;zP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YlCFXIAQAAmgMAAA4AAAAAAAAAAQAgAAAAHgEAAGRycy9lMm9Eb2Mu&#10;eG1sUEsFBgAAAAAGAAYAWQEAAFgFAAAAAA==&#10;">
              <v:fill on="f" focussize="0,0"/>
              <v:stroke on="f"/>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10"/>
                    </w:pPr>
                  </w:p>
                </w:txbxContent>
              </v:textbox>
            </v:shape>
          </w:pict>
        </mc:Fallback>
      </mc:AlternateConten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E0A66"/>
    <w:multiLevelType w:val="singleLevel"/>
    <w:tmpl w:val="9C8E0A66"/>
    <w:lvl w:ilvl="0" w:tentative="0">
      <w:start w:val="2"/>
      <w:numFmt w:val="chineseCounting"/>
      <w:suff w:val="nothing"/>
      <w:lvlText w:val="（%1）"/>
      <w:lvlJc w:val="left"/>
      <w:rPr>
        <w:rFonts w:hint="eastAsia"/>
      </w:rPr>
    </w:lvl>
  </w:abstractNum>
  <w:abstractNum w:abstractNumId="1">
    <w:nsid w:val="AB99E00C"/>
    <w:multiLevelType w:val="singleLevel"/>
    <w:tmpl w:val="AB99E00C"/>
    <w:lvl w:ilvl="0" w:tentative="0">
      <w:start w:val="1"/>
      <w:numFmt w:val="chineseCounting"/>
      <w:suff w:val="space"/>
      <w:lvlText w:val="第%1部分"/>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D5E030F"/>
    <w:multiLevelType w:val="singleLevel"/>
    <w:tmpl w:val="FD5E030F"/>
    <w:lvl w:ilvl="0" w:tentative="0">
      <w:start w:val="1"/>
      <w:numFmt w:val="chineseCounting"/>
      <w:suff w:val="nothing"/>
      <w:lvlText w:val="（%1）"/>
      <w:lvlJc w:val="left"/>
      <w:rPr>
        <w:rFonts w:hint="eastAsia"/>
      </w:rPr>
    </w:lvl>
  </w:abstractNum>
  <w:abstractNum w:abstractNumId="5">
    <w:nsid w:val="07456D85"/>
    <w:multiLevelType w:val="singleLevel"/>
    <w:tmpl w:val="07456D85"/>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D673AAB"/>
    <w:multiLevelType w:val="singleLevel"/>
    <w:tmpl w:val="4D673AAB"/>
    <w:lvl w:ilvl="0" w:tentative="0">
      <w:start w:val="1"/>
      <w:numFmt w:val="chineseCounting"/>
      <w:suff w:val="nothing"/>
      <w:lvlText w:val="%1、"/>
      <w:lvlJc w:val="left"/>
      <w:rPr>
        <w:rFonts w:hint="eastAsia"/>
      </w:r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MTZiNGFkNTgzMzA4ZWE3YzU5ZjIwMjI5MDA3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A564A8"/>
    <w:rsid w:val="061F77D1"/>
    <w:rsid w:val="063E6AF7"/>
    <w:rsid w:val="06A9459F"/>
    <w:rsid w:val="07DF1103"/>
    <w:rsid w:val="08170906"/>
    <w:rsid w:val="08AF5C17"/>
    <w:rsid w:val="096C7948"/>
    <w:rsid w:val="09FA1884"/>
    <w:rsid w:val="0AA31375"/>
    <w:rsid w:val="0BE723D4"/>
    <w:rsid w:val="0C26461A"/>
    <w:rsid w:val="0E5E6A4A"/>
    <w:rsid w:val="0EBA4017"/>
    <w:rsid w:val="10C055FF"/>
    <w:rsid w:val="11B0109E"/>
    <w:rsid w:val="12B6618C"/>
    <w:rsid w:val="12BA43DD"/>
    <w:rsid w:val="13005860"/>
    <w:rsid w:val="133247C2"/>
    <w:rsid w:val="14FF7D2F"/>
    <w:rsid w:val="1568364E"/>
    <w:rsid w:val="16BB723D"/>
    <w:rsid w:val="173D2D0B"/>
    <w:rsid w:val="17436630"/>
    <w:rsid w:val="18B7713D"/>
    <w:rsid w:val="19270D7A"/>
    <w:rsid w:val="192F358A"/>
    <w:rsid w:val="1A0C7C6F"/>
    <w:rsid w:val="1A4D6352"/>
    <w:rsid w:val="1A633E94"/>
    <w:rsid w:val="1A80298A"/>
    <w:rsid w:val="1A8B4DD7"/>
    <w:rsid w:val="1AA8294D"/>
    <w:rsid w:val="1B074F85"/>
    <w:rsid w:val="1B081B5C"/>
    <w:rsid w:val="1BF06C8E"/>
    <w:rsid w:val="1C6E4A02"/>
    <w:rsid w:val="1D3346A1"/>
    <w:rsid w:val="1DB41997"/>
    <w:rsid w:val="1E702C73"/>
    <w:rsid w:val="1EC00407"/>
    <w:rsid w:val="22321F5F"/>
    <w:rsid w:val="22C73E44"/>
    <w:rsid w:val="22E47BAF"/>
    <w:rsid w:val="240371BF"/>
    <w:rsid w:val="24FD2688"/>
    <w:rsid w:val="26413BA6"/>
    <w:rsid w:val="26D13EBA"/>
    <w:rsid w:val="27C3525B"/>
    <w:rsid w:val="282F26D5"/>
    <w:rsid w:val="285952DA"/>
    <w:rsid w:val="289431E2"/>
    <w:rsid w:val="29024613"/>
    <w:rsid w:val="29047876"/>
    <w:rsid w:val="29376C13"/>
    <w:rsid w:val="29FD04D3"/>
    <w:rsid w:val="2B855E90"/>
    <w:rsid w:val="2CBC6D05"/>
    <w:rsid w:val="2DC9658E"/>
    <w:rsid w:val="2E640E0A"/>
    <w:rsid w:val="2EC228CD"/>
    <w:rsid w:val="2EC50118"/>
    <w:rsid w:val="2F015A4A"/>
    <w:rsid w:val="2FCC3BED"/>
    <w:rsid w:val="30925E10"/>
    <w:rsid w:val="319F7F4E"/>
    <w:rsid w:val="31EF085D"/>
    <w:rsid w:val="33BF662A"/>
    <w:rsid w:val="36015DD0"/>
    <w:rsid w:val="362F3A74"/>
    <w:rsid w:val="36EE233B"/>
    <w:rsid w:val="388009D0"/>
    <w:rsid w:val="395079A0"/>
    <w:rsid w:val="39BE0417"/>
    <w:rsid w:val="3A143405"/>
    <w:rsid w:val="3B124C6A"/>
    <w:rsid w:val="3E54438C"/>
    <w:rsid w:val="3F2D4086"/>
    <w:rsid w:val="3FAB6882"/>
    <w:rsid w:val="42132294"/>
    <w:rsid w:val="43644D7B"/>
    <w:rsid w:val="43982F6A"/>
    <w:rsid w:val="43A145A8"/>
    <w:rsid w:val="43E46216"/>
    <w:rsid w:val="43FF4219"/>
    <w:rsid w:val="44E40ED4"/>
    <w:rsid w:val="452D7407"/>
    <w:rsid w:val="4569183A"/>
    <w:rsid w:val="472B2A2A"/>
    <w:rsid w:val="4821057C"/>
    <w:rsid w:val="4896634B"/>
    <w:rsid w:val="49787880"/>
    <w:rsid w:val="4AAD29C8"/>
    <w:rsid w:val="4B263FC0"/>
    <w:rsid w:val="4B7722E9"/>
    <w:rsid w:val="4BCD22D3"/>
    <w:rsid w:val="4CA60F18"/>
    <w:rsid w:val="4DE31858"/>
    <w:rsid w:val="4E947FA0"/>
    <w:rsid w:val="4ECE2238"/>
    <w:rsid w:val="4EE150EF"/>
    <w:rsid w:val="4F64212B"/>
    <w:rsid w:val="50232CEA"/>
    <w:rsid w:val="50241CA4"/>
    <w:rsid w:val="50425623"/>
    <w:rsid w:val="520661A0"/>
    <w:rsid w:val="5314165E"/>
    <w:rsid w:val="533300E9"/>
    <w:rsid w:val="533922E7"/>
    <w:rsid w:val="54ED4ABE"/>
    <w:rsid w:val="55AD4D1C"/>
    <w:rsid w:val="55F65B90"/>
    <w:rsid w:val="56E30D13"/>
    <w:rsid w:val="57D54DEC"/>
    <w:rsid w:val="584B319A"/>
    <w:rsid w:val="58851970"/>
    <w:rsid w:val="595506DB"/>
    <w:rsid w:val="5985270E"/>
    <w:rsid w:val="59BF05DE"/>
    <w:rsid w:val="5A324E50"/>
    <w:rsid w:val="5A66778C"/>
    <w:rsid w:val="5BCE3D6B"/>
    <w:rsid w:val="5F9A6BA0"/>
    <w:rsid w:val="60D31665"/>
    <w:rsid w:val="628E2EDA"/>
    <w:rsid w:val="63B7613E"/>
    <w:rsid w:val="63C65DCF"/>
    <w:rsid w:val="64360B98"/>
    <w:rsid w:val="65C52414"/>
    <w:rsid w:val="66102C7D"/>
    <w:rsid w:val="66556C1A"/>
    <w:rsid w:val="672A2A0D"/>
    <w:rsid w:val="681819A8"/>
    <w:rsid w:val="690C6100"/>
    <w:rsid w:val="69355FC6"/>
    <w:rsid w:val="696C41D9"/>
    <w:rsid w:val="69FF2969"/>
    <w:rsid w:val="6AE82F0E"/>
    <w:rsid w:val="6B1643AE"/>
    <w:rsid w:val="6BB007A2"/>
    <w:rsid w:val="6C332D9A"/>
    <w:rsid w:val="6C416D91"/>
    <w:rsid w:val="6C5E5A20"/>
    <w:rsid w:val="6D011BF8"/>
    <w:rsid w:val="6D1F4355"/>
    <w:rsid w:val="6E8437AD"/>
    <w:rsid w:val="6EA76780"/>
    <w:rsid w:val="6EDD768D"/>
    <w:rsid w:val="6F0E5081"/>
    <w:rsid w:val="6F7A182F"/>
    <w:rsid w:val="6FE57399"/>
    <w:rsid w:val="6FF2428D"/>
    <w:rsid w:val="713166BB"/>
    <w:rsid w:val="72734D90"/>
    <w:rsid w:val="72E3455C"/>
    <w:rsid w:val="73AC3B2D"/>
    <w:rsid w:val="73C83858"/>
    <w:rsid w:val="73EB52B1"/>
    <w:rsid w:val="744602C3"/>
    <w:rsid w:val="748A4B84"/>
    <w:rsid w:val="74E14D71"/>
    <w:rsid w:val="752D7516"/>
    <w:rsid w:val="753B7039"/>
    <w:rsid w:val="7658000C"/>
    <w:rsid w:val="77115217"/>
    <w:rsid w:val="77443454"/>
    <w:rsid w:val="77920C33"/>
    <w:rsid w:val="785929CC"/>
    <w:rsid w:val="78EA1A6F"/>
    <w:rsid w:val="7AB0645C"/>
    <w:rsid w:val="7B231046"/>
    <w:rsid w:val="7E563668"/>
    <w:rsid w:val="7F085D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jc w:val="left"/>
    </w:pPr>
    <w:rPr>
      <w:rFonts w:ascii="宋体" w:hAnsi="宋体" w:cs="宋体"/>
      <w:kern w:val="0"/>
      <w:sz w:val="24"/>
      <w:szCs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No Spacing1"/>
    <w:qFormat/>
    <w:uiPriority w:val="0"/>
    <w:pPr>
      <w:widowControl w:val="0"/>
      <w:jc w:val="both"/>
    </w:pPr>
    <w:rPr>
      <w:rFonts w:ascii="Calibri" w:hAnsi="Calibri" w:eastAsia="宋体" w:cs="黑体"/>
      <w:kern w:val="2"/>
      <w:sz w:val="21"/>
      <w:szCs w:val="22"/>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font61"/>
    <w:basedOn w:val="15"/>
    <w:qFormat/>
    <w:uiPriority w:val="0"/>
    <w:rPr>
      <w:rFonts w:hint="eastAsia" w:ascii="宋体" w:hAnsi="宋体" w:eastAsia="宋体" w:cs="宋体"/>
      <w:color w:val="000000"/>
      <w:sz w:val="24"/>
      <w:szCs w:val="24"/>
      <w:u w:val="none"/>
    </w:rPr>
  </w:style>
  <w:style w:type="paragraph" w:customStyle="1" w:styleId="34">
    <w:name w:val="WPSOffice手动目录 1"/>
    <w:qFormat/>
    <w:uiPriority w:val="0"/>
    <w:pPr>
      <w:ind w:leftChars="0"/>
    </w:pPr>
    <w:rPr>
      <w:rFonts w:ascii="Calibri" w:hAnsi="Calibri" w:eastAsia="宋体" w:cs="Times New Roman"/>
      <w:sz w:val="20"/>
      <w:szCs w:val="20"/>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21"/>
    <w:basedOn w:val="15"/>
    <w:qFormat/>
    <w:uiPriority w:val="0"/>
    <w:rPr>
      <w:rFonts w:hint="eastAsia" w:ascii="宋体" w:hAnsi="宋体" w:eastAsia="宋体" w:cs="宋体"/>
      <w:color w:val="000000"/>
      <w:sz w:val="24"/>
      <w:szCs w:val="24"/>
      <w:u w:val="none"/>
    </w:rPr>
  </w:style>
  <w:style w:type="character" w:customStyle="1" w:styleId="37">
    <w:name w:val="font51"/>
    <w:basedOn w:val="15"/>
    <w:qFormat/>
    <w:uiPriority w:val="0"/>
    <w:rPr>
      <w:rFonts w:hint="eastAsia" w:ascii="宋体" w:hAnsi="宋体" w:eastAsia="宋体" w:cs="宋体"/>
      <w:color w:val="000000"/>
      <w:sz w:val="16"/>
      <w:szCs w:val="16"/>
      <w:u w:val="none"/>
    </w:rPr>
  </w:style>
  <w:style w:type="character" w:customStyle="1" w:styleId="38">
    <w:name w:val="font4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266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26631;.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26631;.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26631;.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26631;.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266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[图标.xls]Sheet1!$A$1:$A$2</c:f>
              <c:strCache>
                <c:ptCount val="2"/>
                <c:pt idx="0">
                  <c:v>2020年度</c:v>
                </c:pt>
                <c:pt idx="1">
                  <c:v>2021年度</c:v>
                </c:pt>
              </c:strCache>
            </c:strRef>
          </c:cat>
          <c:val>
            <c:numRef>
              <c:f>[图标.xls]Sheet1!$B$1:$B$2</c:f>
              <c:numCache>
                <c:formatCode>#,##0.00_ </c:formatCode>
                <c:ptCount val="2"/>
                <c:pt idx="0">
                  <c:v>19938.51</c:v>
                </c:pt>
                <c:pt idx="1">
                  <c:v>21524</c:v>
                </c:pt>
              </c:numCache>
            </c:numRef>
          </c:val>
        </c:ser>
        <c:dLbls>
          <c:showLegendKey val="0"/>
          <c:showVal val="1"/>
          <c:showCatName val="0"/>
          <c:showSerName val="0"/>
          <c:showPercent val="0"/>
          <c:showBubbleSize val="0"/>
        </c:dLbls>
        <c:gapWidth val="219"/>
        <c:overlap val="-27"/>
        <c:axId val="712125623"/>
        <c:axId val="952672285"/>
      </c:barChart>
      <c:catAx>
        <c:axId val="7121256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672285"/>
        <c:crosses val="autoZero"/>
        <c:auto val="1"/>
        <c:lblAlgn val="ctr"/>
        <c:lblOffset val="100"/>
        <c:noMultiLvlLbl val="0"/>
      </c:catAx>
      <c:valAx>
        <c:axId val="952672285"/>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2125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924474043550767"/>
                  <c:y val="-0.15701152321671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0755856808508898"/>
                  <c:y val="0.015878309547933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459604035407983"/>
                  <c:y val="0.024342423083925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[图标.xls]Sheet1!$A$6:$A$9</c:f>
              <c:strCache>
                <c:ptCount val="4"/>
                <c:pt idx="0">
                  <c:v>一般公共预算财政拨款收入</c:v>
                </c:pt>
                <c:pt idx="1">
                  <c:v>政府性基金预算财政拨款收入</c:v>
                </c:pt>
                <c:pt idx="2">
                  <c:v>事业收入</c:v>
                </c:pt>
                <c:pt idx="3">
                  <c:v>其他收入</c:v>
                </c:pt>
              </c:strCache>
            </c:strRef>
          </c:cat>
          <c:val>
            <c:numRef>
              <c:f>[图标.xls]Sheet1!$B$6:$B$9</c:f>
              <c:numCache>
                <c:formatCode>#,##0.00_ </c:formatCode>
                <c:ptCount val="4"/>
                <c:pt idx="0">
                  <c:v>12716.63</c:v>
                </c:pt>
                <c:pt idx="1">
                  <c:v>100</c:v>
                </c:pt>
                <c:pt idx="2">
                  <c:v>3525.26</c:v>
                </c:pt>
                <c:pt idx="3">
                  <c:v>9.55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841403198599808"/>
                  <c:y val="-0.069897519719739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0928232400304"/>
                  <c:y val="-0.051454688979718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[图标.xls]Sheet1!$A$15:$A$16</c:f>
              <c:strCache>
                <c:ptCount val="2"/>
                <c:pt idx="0">
                  <c:v>基本支出</c:v>
                </c:pt>
                <c:pt idx="1">
                  <c:v>项目支出</c:v>
                </c:pt>
              </c:strCache>
            </c:strRef>
          </c:cat>
          <c:val>
            <c:numRef>
              <c:f>[图标.xls]Sheet1!$B$15:$B$16</c:f>
              <c:numCache>
                <c:formatCode>General</c:formatCode>
                <c:ptCount val="2"/>
                <c:pt idx="0">
                  <c:v>10735.72</c:v>
                </c:pt>
                <c:pt idx="1">
                  <c:v>8891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496398647655"/>
          <c:y val="0.0734861845972957"/>
          <c:w val="0.82175510804057"/>
          <c:h val="0.79318048206937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[图标.xls]Sheet2!$A$1:$A$2</c:f>
              <c:strCache>
                <c:ptCount val="2"/>
                <c:pt idx="0">
                  <c:v>2020年</c:v>
                </c:pt>
                <c:pt idx="1">
                  <c:v>2021年</c:v>
                </c:pt>
              </c:strCache>
            </c:strRef>
          </c:cat>
          <c:val>
            <c:numRef>
              <c:f>[图标.xls]Sheet2!$B$1:$B$2</c:f>
              <c:numCache>
                <c:formatCode>#,##0.00_ </c:formatCode>
                <c:ptCount val="2"/>
                <c:pt idx="0">
                  <c:v>16470.23</c:v>
                </c:pt>
                <c:pt idx="1">
                  <c:v>17101.9</c:v>
                </c:pt>
              </c:numCache>
            </c:numRef>
          </c:val>
        </c:ser>
        <c:dLbls>
          <c:showLegendKey val="0"/>
          <c:showVal val="1"/>
          <c:showCatName val="0"/>
          <c:showSerName val="0"/>
          <c:showPercent val="0"/>
          <c:showBubbleSize val="0"/>
        </c:dLbls>
        <c:gapWidth val="219"/>
        <c:overlap val="-27"/>
        <c:axId val="254695622"/>
        <c:axId val="585164629"/>
      </c:barChart>
      <c:catAx>
        <c:axId val="2546956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5164629"/>
        <c:crosses val="autoZero"/>
        <c:auto val="1"/>
        <c:lblAlgn val="ctr"/>
        <c:lblOffset val="100"/>
        <c:noMultiLvlLbl val="0"/>
      </c:catAx>
      <c:valAx>
        <c:axId val="585164629"/>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69562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873690340066"/>
          <c:y val="0.0743244416080335"/>
          <c:w val="0.857657384987893"/>
          <c:h val="0.79845316528215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[图标.xls]Sheet2!$A$6:$A$7</c:f>
              <c:strCache>
                <c:ptCount val="2"/>
                <c:pt idx="0">
                  <c:v>2020年</c:v>
                </c:pt>
                <c:pt idx="1">
                  <c:v>2021年</c:v>
                </c:pt>
              </c:strCache>
            </c:strRef>
          </c:cat>
          <c:val>
            <c:numRef>
              <c:f>[图标.xls]Sheet2!$B$6:$B$7</c:f>
              <c:numCache>
                <c:formatCode>General</c:formatCode>
                <c:ptCount val="2"/>
                <c:pt idx="0">
                  <c:v>11448.87</c:v>
                </c:pt>
                <c:pt idx="1">
                  <c:v>16090.74</c:v>
                </c:pt>
              </c:numCache>
            </c:numRef>
          </c:val>
        </c:ser>
        <c:dLbls>
          <c:showLegendKey val="0"/>
          <c:showVal val="1"/>
          <c:showCatName val="0"/>
          <c:showSerName val="0"/>
          <c:showPercent val="0"/>
          <c:showBubbleSize val="0"/>
        </c:dLbls>
        <c:gapWidth val="219"/>
        <c:overlap val="-27"/>
        <c:axId val="328947764"/>
        <c:axId val="563324513"/>
      </c:barChart>
      <c:catAx>
        <c:axId val="3289477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324513"/>
        <c:crosses val="autoZero"/>
        <c:auto val="1"/>
        <c:lblAlgn val="ctr"/>
        <c:lblOffset val="100"/>
        <c:noMultiLvlLbl val="0"/>
      </c:catAx>
      <c:valAx>
        <c:axId val="56332451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9477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021687291059049"/>
                  <c:y val="-0.251172783634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703983904063314"/>
                  <c:y val="0.032511085057392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93961610043563"/>
                  <c:y val="-0.0090350476659471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872926230373651"/>
                  <c:y val="0.0031162568898554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[图标.xls]Sheet3!$A$1:$A$4</c:f>
              <c:strCache>
                <c:ptCount val="4"/>
                <c:pt idx="0">
                  <c:v>教育支出</c:v>
                </c:pt>
                <c:pt idx="1">
                  <c:v>社会保障和就业支出</c:v>
                </c:pt>
                <c:pt idx="2">
                  <c:v>卫生健康支出</c:v>
                </c:pt>
                <c:pt idx="3">
                  <c:v>住房保障支出</c:v>
                </c:pt>
              </c:strCache>
            </c:strRef>
          </c:cat>
          <c:val>
            <c:numRef>
              <c:f>[图标.xls]Sheet3!$B$1:$B$4</c:f>
              <c:numCache>
                <c:formatCode>General</c:formatCode>
                <c:ptCount val="4"/>
                <c:pt idx="0">
                  <c:v>14771.29</c:v>
                </c:pt>
                <c:pt idx="1">
                  <c:v>520.07</c:v>
                </c:pt>
                <c:pt idx="2">
                  <c:v>205.23</c:v>
                </c:pt>
                <c:pt idx="3">
                  <c:v>594.15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46</Pages>
  <Words>17219</Words>
  <Characters>18550</Characters>
  <Lines>7</Lines>
  <Paragraphs>17</Paragraphs>
  <TotalTime>47</TotalTime>
  <ScaleCrop>false</ScaleCrop>
  <LinksUpToDate>false</LinksUpToDate>
  <CharactersWithSpaces>18655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夏</cp:lastModifiedBy>
  <cp:lastPrinted>2022-09-21T06:58:00Z</cp:lastPrinted>
  <dcterms:modified xsi:type="dcterms:W3CDTF">2023-06-26T07:54:39Z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115A060228A54F63B1D3C9F1C68B84E8</vt:lpwstr>
  </property>
</Properties>
</file>