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spacing w:line="900" w:lineRule="exact"/>
        <w:jc w:val="center"/>
        <w:textAlignment w:val="auto"/>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26379"/>
      <w:bookmarkStart w:id="3" w:name="_Toc19505"/>
      <w:bookmarkStart w:id="4" w:name="_Toc2072"/>
      <w:bookmarkStart w:id="5" w:name="_Toc15396597"/>
      <w:bookmarkStart w:id="6" w:name="_Toc15377193"/>
      <w:bookmarkStart w:id="7" w:name="_Toc15396475"/>
      <w:bookmarkStart w:id="8"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color w:val="auto"/>
          <w:sz w:val="72"/>
          <w:szCs w:val="72"/>
          <w:highlight w:val="none"/>
          <w:lang w:val="en-US" w:eastAsia="zh-CN"/>
        </w:rPr>
      </w:pPr>
      <w:bookmarkStart w:id="9" w:name="_Toc26445"/>
      <w:bookmarkStart w:id="10" w:name="_Toc24975"/>
      <w:bookmarkStart w:id="11" w:name="_Toc30589"/>
      <w:bookmarkStart w:id="12" w:name="_Toc15396476"/>
      <w:bookmarkStart w:id="13" w:name="_Toc15377426"/>
      <w:bookmarkStart w:id="14" w:name="_Toc15377194"/>
      <w:bookmarkStart w:id="15" w:name="_Toc15378442"/>
      <w:bookmarkStart w:id="16"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7" w:name="_Toc15306268"/>
      <w:r>
        <w:rPr>
          <w:rFonts w:hint="eastAsia" w:ascii="方正小标宋简体" w:hAnsi="方正小标宋简体" w:eastAsia="方正小标宋简体" w:cs="方正小标宋简体"/>
          <w:color w:val="auto"/>
          <w:sz w:val="72"/>
          <w:szCs w:val="72"/>
          <w:highlight w:val="none"/>
          <w:lang w:val="en-US" w:eastAsia="zh-CN"/>
        </w:rPr>
        <w:t>党风廉政教育中心</w:t>
      </w:r>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18" w:name="_Toc27377"/>
      <w:bookmarkStart w:id="19" w:name="_Toc31821"/>
      <w:bookmarkStart w:id="20" w:name="_Toc21471"/>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12"/>
      <w:bookmarkEnd w:id="13"/>
      <w:bookmarkEnd w:id="14"/>
      <w:bookmarkEnd w:id="15"/>
      <w:bookmarkEnd w:id="16"/>
      <w:bookmarkEnd w:id="17"/>
      <w:bookmarkEnd w:id="18"/>
      <w:bookmarkEnd w:id="19"/>
      <w:bookmarkEnd w:id="20"/>
    </w:p>
    <w:p>
      <w:pPr>
        <w:pageBreakBefore w:val="0"/>
        <w:widowControl/>
        <w:kinsoku/>
        <w:wordWrap/>
        <w:overflowPunct/>
        <w:topLinePunct w:val="0"/>
        <w:bidi w:val="0"/>
        <w:spacing w:line="579" w:lineRule="exact"/>
        <w:ind w:left="0" w:leftChars="0" w:firstLine="480" w:firstLineChars="200"/>
        <w:jc w:val="both"/>
        <w:rPr>
          <w:rFonts w:hint="eastAsia" w:ascii="仿宋_GB2312" w:hAnsi="仿宋_GB2312" w:eastAsia="仿宋_GB2312" w:cs="仿宋_GB2312"/>
          <w:bCs/>
          <w:color w:val="auto"/>
          <w:kern w:val="44"/>
          <w:sz w:val="24"/>
          <w:highlight w:val="none"/>
        </w:rPr>
      </w:pPr>
    </w:p>
    <w:p>
      <w:pPr>
        <w:pStyle w:val="3"/>
        <w:pageBreakBefore w:val="0"/>
        <w:numPr>
          <w:ilvl w:val="0"/>
          <w:numId w:val="0"/>
        </w:numPr>
        <w:tabs>
          <w:tab w:val="center" w:pos="4422"/>
        </w:tabs>
        <w:kinsoku/>
        <w:wordWrap/>
        <w:overflowPunct/>
        <w:topLinePunct w:val="0"/>
        <w:bidi w:val="0"/>
        <w:spacing w:before="0" w:after="0" w:line="579" w:lineRule="exact"/>
        <w:ind w:right="0" w:rightChars="0"/>
        <w:jc w:val="center"/>
        <w:outlineLvl w:val="9"/>
        <w:rPr>
          <w:rFonts w:hint="eastAsia" w:ascii="方正小标宋简体" w:hAnsi="方正小标宋简体" w:eastAsia="方正小标宋简体" w:cs="方正小标宋简体"/>
          <w:b w:val="0"/>
          <w:color w:val="auto"/>
          <w:highlight w:val="none"/>
          <w:lang w:eastAsia="zh-CN"/>
        </w:rPr>
      </w:pPr>
    </w:p>
    <w:p>
      <w:pPr>
        <w:rPr>
          <w:rFonts w:hint="eastAsia" w:ascii="方正小标宋简体" w:hAnsi="方正小标宋简体" w:eastAsia="方正小标宋简体" w:cs="方正小标宋简体"/>
          <w:b w:val="0"/>
          <w:color w:val="auto"/>
          <w:highlight w:val="none"/>
          <w:lang w:eastAsia="zh-CN"/>
        </w:rPr>
      </w:pPr>
    </w:p>
    <w:p>
      <w:pPr>
        <w:pStyle w:val="17"/>
        <w:rPr>
          <w:rFonts w:hint="eastAsia" w:ascii="方正小标宋简体" w:hAnsi="方正小标宋简体" w:eastAsia="方正小标宋简体" w:cs="方正小标宋简体"/>
          <w:b w:val="0"/>
          <w:color w:val="auto"/>
          <w:highlight w:val="none"/>
          <w:lang w:eastAsia="zh-CN"/>
        </w:rPr>
      </w:pPr>
    </w:p>
    <w:p>
      <w:pPr>
        <w:rPr>
          <w:rFonts w:hint="eastAsia"/>
          <w:lang w:eastAsia="zh-CN"/>
        </w:rPr>
      </w:pPr>
    </w:p>
    <w:p>
      <w:pPr>
        <w:pStyle w:val="3"/>
        <w:pageBreakBefore w:val="0"/>
        <w:numPr>
          <w:ilvl w:val="0"/>
          <w:numId w:val="0"/>
        </w:numPr>
        <w:tabs>
          <w:tab w:val="center" w:pos="4422"/>
        </w:tabs>
        <w:kinsoku/>
        <w:wordWrap/>
        <w:overflowPunct/>
        <w:topLinePunct w:val="0"/>
        <w:bidi w:val="0"/>
        <w:spacing w:before="0" w:after="0" w:line="579" w:lineRule="exact"/>
        <w:ind w:right="0" w:rightChars="0"/>
        <w:jc w:val="center"/>
        <w:outlineLvl w:val="9"/>
        <w:rPr>
          <w:rFonts w:hint="eastAsia" w:ascii="方正小标宋简体" w:hAnsi="方正小标宋简体" w:eastAsia="方正小标宋简体" w:cs="方正小标宋简体"/>
          <w:b w:val="0"/>
          <w:color w:val="auto"/>
          <w:highlight w:val="none"/>
          <w:lang w:eastAsia="zh-CN"/>
        </w:rPr>
      </w:pPr>
    </w:p>
    <w:p>
      <w:pPr>
        <w:rPr>
          <w:rFonts w:hint="eastAsia" w:ascii="方正小标宋简体" w:hAnsi="方正小标宋简体" w:eastAsia="方正小标宋简体" w:cs="方正小标宋简体"/>
          <w:b w:val="0"/>
          <w:color w:val="auto"/>
          <w:highlight w:val="none"/>
          <w:lang w:eastAsia="zh-CN"/>
        </w:rPr>
      </w:pPr>
    </w:p>
    <w:p>
      <w:pPr>
        <w:pStyle w:val="17"/>
        <w:rPr>
          <w:rFonts w:hint="eastAsia"/>
          <w:lang w:eastAsia="zh-CN"/>
        </w:rPr>
      </w:pPr>
    </w:p>
    <w:p>
      <w:pPr>
        <w:pStyle w:val="3"/>
        <w:pageBreakBefore w:val="0"/>
        <w:numPr>
          <w:ilvl w:val="0"/>
          <w:numId w:val="0"/>
        </w:numPr>
        <w:tabs>
          <w:tab w:val="center" w:pos="4422"/>
        </w:tabs>
        <w:kinsoku/>
        <w:wordWrap/>
        <w:overflowPunct/>
        <w:topLinePunct w:val="0"/>
        <w:bidi w:val="0"/>
        <w:spacing w:before="0" w:after="0" w:line="579" w:lineRule="exact"/>
        <w:ind w:right="0" w:rightChars="0"/>
        <w:jc w:val="center"/>
        <w:outlineLvl w:val="9"/>
        <w:rPr>
          <w:rFonts w:hint="eastAsia" w:ascii="方正小标宋简体" w:hAnsi="方正小标宋简体" w:eastAsia="方正小标宋简体" w:cs="方正小标宋简体"/>
          <w:b w:val="0"/>
          <w:color w:val="auto"/>
          <w:highlight w:val="none"/>
          <w:lang w:eastAsia="zh-CN"/>
        </w:rPr>
      </w:pPr>
    </w:p>
    <w:p>
      <w:pPr>
        <w:rPr>
          <w:rFonts w:hint="eastAsia"/>
          <w:lang w:eastAsia="zh-CN"/>
        </w:rPr>
      </w:pPr>
    </w:p>
    <w:p>
      <w:pPr>
        <w:pStyle w:val="3"/>
        <w:pageBreakBefore w:val="0"/>
        <w:numPr>
          <w:ilvl w:val="0"/>
          <w:numId w:val="0"/>
        </w:numPr>
        <w:tabs>
          <w:tab w:val="center" w:pos="4422"/>
        </w:tabs>
        <w:kinsoku/>
        <w:wordWrap/>
        <w:overflowPunct/>
        <w:topLinePunct w:val="0"/>
        <w:bidi w:val="0"/>
        <w:spacing w:before="0" w:after="0" w:line="579" w:lineRule="exact"/>
        <w:ind w:right="0" w:rightChars="0"/>
        <w:jc w:val="center"/>
        <w:outlineLvl w:val="9"/>
        <w:rPr>
          <w:rFonts w:hint="eastAsia" w:ascii="方正小标宋简体" w:hAnsi="方正小标宋简体" w:eastAsia="方正小标宋简体" w:cs="方正小标宋简体"/>
          <w:b w:val="0"/>
          <w:color w:val="auto"/>
          <w:highlight w:val="none"/>
          <w:lang w:eastAsia="zh-CN"/>
        </w:rPr>
      </w:pPr>
    </w:p>
    <w:p>
      <w:pPr>
        <w:rPr>
          <w:rFonts w:hint="eastAsia" w:ascii="方正小标宋简体" w:hAnsi="方正小标宋简体" w:eastAsia="方正小标宋简体" w:cs="方正小标宋简体"/>
          <w:b w:val="0"/>
          <w:color w:val="auto"/>
          <w:highlight w:val="none"/>
          <w:lang w:eastAsia="zh-CN"/>
        </w:rPr>
      </w:pPr>
    </w:p>
    <w:p>
      <w:pPr>
        <w:pStyle w:val="17"/>
        <w:rPr>
          <w:rFonts w:hint="eastAsia"/>
          <w:lang w:eastAsia="zh-CN"/>
        </w:rPr>
      </w:pPr>
    </w:p>
    <w:p>
      <w:pPr>
        <w:keepNext w:val="0"/>
        <w:keepLines w:val="0"/>
        <w:pageBreakBefore w:val="0"/>
        <w:widowControl/>
        <w:kinsoku/>
        <w:wordWrap/>
        <w:overflowPunct/>
        <w:topLinePunct w:val="0"/>
        <w:autoSpaceDE/>
        <w:autoSpaceDN/>
        <w:bidi w:val="0"/>
        <w:adjustRightInd/>
        <w:snapToGrid/>
        <w:spacing w:line="579" w:lineRule="exact"/>
        <w:ind w:leftChars="0"/>
        <w:textAlignment w:val="auto"/>
        <w:rPr>
          <w:rFonts w:hint="eastAsia" w:ascii="黑体" w:hAnsi="黑体" w:eastAsia="黑体" w:cs="黑体"/>
          <w:kern w:val="2"/>
          <w:sz w:val="32"/>
          <w:szCs w:val="32"/>
          <w:lang w:val="en-US" w:eastAsia="zh-CN" w:bidi="ar-SA"/>
        </w:rPr>
      </w:pPr>
    </w:p>
    <w:p>
      <w:pPr>
        <w:pStyle w:val="33"/>
        <w:keepNext w:val="0"/>
        <w:keepLines w:val="0"/>
        <w:pageBreakBefore w:val="0"/>
        <w:widowControl/>
        <w:tabs>
          <w:tab w:val="right" w:leader="dot" w:pos="8845"/>
        </w:tabs>
        <w:kinsoku/>
        <w:wordWrap/>
        <w:overflowPunct/>
        <w:topLinePunct w:val="0"/>
        <w:autoSpaceDE/>
        <w:autoSpaceDN/>
        <w:bidi w:val="0"/>
        <w:adjustRightInd/>
        <w:snapToGrid/>
        <w:spacing w:line="579" w:lineRule="exact"/>
        <w:ind w:leftChars="0"/>
        <w:jc w:val="center"/>
        <w:textAlignment w:val="auto"/>
        <w:outlineLvl w:val="0"/>
        <w:rPr>
          <w:rFonts w:hint="eastAsia" w:ascii="黑体" w:hAnsi="黑体" w:eastAsia="黑体" w:cs="黑体"/>
          <w:sz w:val="44"/>
          <w:szCs w:val="44"/>
          <w:lang w:val="en-US" w:eastAsia="zh-CN"/>
        </w:rPr>
        <w:sectPr>
          <w:headerReference r:id="rId3" w:type="default"/>
          <w:pgSz w:w="11906" w:h="16838"/>
          <w:pgMar w:top="2098" w:right="1474" w:bottom="1984" w:left="1587" w:header="851" w:footer="992" w:gutter="0"/>
          <w:pgNumType w:fmt="decimal" w:start="1"/>
          <w:cols w:space="0" w:num="1"/>
          <w:rtlGutter w:val="0"/>
          <w:docGrid w:type="lines" w:linePitch="312" w:charSpace="0"/>
        </w:sectPr>
      </w:pPr>
      <w:bookmarkStart w:id="21" w:name="_Toc2889"/>
    </w:p>
    <w:p>
      <w:pPr>
        <w:pStyle w:val="33"/>
        <w:keepNext w:val="0"/>
        <w:keepLines w:val="0"/>
        <w:pageBreakBefore w:val="0"/>
        <w:widowControl/>
        <w:tabs>
          <w:tab w:val="right" w:leader="dot" w:pos="8845"/>
        </w:tabs>
        <w:kinsoku/>
        <w:wordWrap/>
        <w:overflowPunct/>
        <w:topLinePunct w:val="0"/>
        <w:autoSpaceDE/>
        <w:autoSpaceDN/>
        <w:bidi w:val="0"/>
        <w:adjustRightInd/>
        <w:snapToGrid/>
        <w:spacing w:line="579" w:lineRule="exact"/>
        <w:ind w:leftChars="0"/>
        <w:jc w:val="center"/>
        <w:textAlignment w:val="auto"/>
        <w:outlineLvl w:val="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pPr>
        <w:pStyle w:val="11"/>
        <w:rPr>
          <w:rFonts w:hint="eastAsia" w:ascii="黑体" w:hAnsi="黑体" w:eastAsia="黑体" w:cs="黑体"/>
          <w:sz w:val="44"/>
          <w:szCs w:val="44"/>
          <w:lang w:val="en-US" w:eastAsia="zh-CN"/>
        </w:rPr>
      </w:pPr>
      <w:r>
        <w:rPr>
          <w:rFonts w:hint="eastAsia"/>
        </w:rPr>
        <w:t>公开时间：</w:t>
      </w:r>
      <w:r>
        <w:t>202</w:t>
      </w:r>
      <w:r>
        <w:rPr>
          <w:rFonts w:hint="eastAsia"/>
          <w:lang w:val="en-US" w:eastAsia="zh-CN"/>
        </w:rPr>
        <w:t>2</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pStyle w:val="11"/>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_Toc20435 </w:instrText>
      </w:r>
      <w:r>
        <w:rPr>
          <w:rFonts w:hint="eastAsia" w:ascii="黑体" w:hAnsi="黑体" w:eastAsia="黑体" w:cs="黑体"/>
          <w:sz w:val="32"/>
          <w:szCs w:val="32"/>
          <w:lang w:val="en-US" w:eastAsia="zh-CN"/>
        </w:rPr>
        <w:fldChar w:fldCharType="separate"/>
      </w:r>
      <w:r>
        <w:rPr>
          <w:rFonts w:hint="eastAsia" w:ascii="方正小标宋简体" w:hAnsi="方正小标宋简体" w:eastAsia="方正小标宋简体" w:cs="方正小标宋简体"/>
          <w:sz w:val="32"/>
          <w:szCs w:val="32"/>
          <w:highlight w:val="none"/>
          <w:lang w:eastAsia="zh-CN"/>
        </w:rPr>
        <w:t>第一部分</w:t>
      </w:r>
      <w:r>
        <w:rPr>
          <w:rFonts w:hint="eastAsia" w:ascii="方正小标宋简体" w:hAnsi="方正小标宋简体" w:eastAsia="方正小标宋简体" w:cs="方正小标宋简体"/>
          <w:sz w:val="32"/>
          <w:szCs w:val="32"/>
          <w:highlight w:val="none"/>
          <w:lang w:val="en-US" w:eastAsia="zh-CN"/>
        </w:rPr>
        <w:t xml:space="preserve">  </w:t>
      </w:r>
      <w:r>
        <w:rPr>
          <w:rFonts w:hint="eastAsia" w:ascii="方正小标宋简体" w:hAnsi="方正小标宋简体" w:eastAsia="方正小标宋简体" w:cs="方正小标宋简体"/>
          <w:sz w:val="32"/>
          <w:szCs w:val="32"/>
          <w:highlight w:val="none"/>
          <w:lang w:eastAsia="zh-CN"/>
        </w:rPr>
        <w:t>单位</w:t>
      </w:r>
      <w:r>
        <w:rPr>
          <w:rFonts w:hint="eastAsia" w:ascii="方正小标宋简体" w:hAnsi="方正小标宋简体" w:eastAsia="方正小标宋简体" w:cs="方正小标宋简体"/>
          <w:bCs w:val="0"/>
          <w:sz w:val="32"/>
          <w:szCs w:val="32"/>
          <w:highlight w:val="none"/>
        </w:rPr>
        <w:t>概况</w:t>
      </w:r>
      <w:r>
        <w:rPr>
          <w:sz w:val="32"/>
          <w:szCs w:val="32"/>
        </w:rPr>
        <w:tab/>
      </w: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PAGEREF _Toc20435 \h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1</w:t>
      </w:r>
      <w:r>
        <w:rPr>
          <w:rFonts w:ascii="Times New Roman" w:hAnsi="Times New Roman" w:eastAsia="宋体" w:cs="Times New Roman"/>
          <w:kern w:val="2"/>
          <w:sz w:val="32"/>
          <w:szCs w:val="32"/>
          <w:lang w:val="en-US" w:eastAsia="zh-CN" w:bidi="ar-SA"/>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_Toc11588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rPr>
        <w:t>一、职能简介</w:t>
      </w:r>
      <w:r>
        <w:rPr>
          <w:sz w:val="32"/>
          <w:szCs w:val="32"/>
        </w:rPr>
        <w:tab/>
      </w:r>
      <w:r>
        <w:rPr>
          <w:rFonts w:eastAsia="宋体"/>
          <w:sz w:val="32"/>
          <w:szCs w:val="32"/>
        </w:rPr>
        <w:fldChar w:fldCharType="begin"/>
      </w:r>
      <w:r>
        <w:rPr>
          <w:rFonts w:eastAsia="宋体"/>
          <w:sz w:val="32"/>
          <w:szCs w:val="32"/>
        </w:rPr>
        <w:instrText xml:space="preserve"> PAGEREF _Toc11588 \h </w:instrText>
      </w:r>
      <w:r>
        <w:rPr>
          <w:rFonts w:eastAsia="宋体"/>
          <w:sz w:val="32"/>
          <w:szCs w:val="32"/>
        </w:rPr>
        <w:fldChar w:fldCharType="separate"/>
      </w:r>
      <w:r>
        <w:rPr>
          <w:rFonts w:eastAsia="宋体"/>
          <w:sz w:val="32"/>
          <w:szCs w:val="32"/>
        </w:rPr>
        <w:t>1</w:t>
      </w:r>
      <w:r>
        <w:rPr>
          <w:rFonts w:eastAsia="宋体"/>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_Toc12005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rPr>
        <w:t>二、2021年重点工作完成情况</w:t>
      </w:r>
      <w:r>
        <w:rPr>
          <w:sz w:val="32"/>
          <w:szCs w:val="32"/>
        </w:rPr>
        <w:tab/>
      </w:r>
      <w:r>
        <w:rPr>
          <w:sz w:val="32"/>
          <w:szCs w:val="32"/>
        </w:rPr>
        <w:fldChar w:fldCharType="begin"/>
      </w:r>
      <w:r>
        <w:rPr>
          <w:sz w:val="32"/>
          <w:szCs w:val="32"/>
        </w:rPr>
        <w:instrText xml:space="preserve"> PAGEREF _Toc12005 \h </w:instrText>
      </w:r>
      <w:r>
        <w:rPr>
          <w:sz w:val="32"/>
          <w:szCs w:val="32"/>
        </w:rPr>
        <w:fldChar w:fldCharType="separate"/>
      </w:r>
      <w:r>
        <w:rPr>
          <w:sz w:val="32"/>
          <w:szCs w:val="32"/>
        </w:rPr>
        <w:t>1</w:t>
      </w:r>
      <w:r>
        <w:rPr>
          <w:sz w:val="32"/>
          <w:szCs w:val="32"/>
        </w:rPr>
        <w:fldChar w:fldCharType="end"/>
      </w:r>
      <w:r>
        <w:rPr>
          <w:rFonts w:hint="eastAsia" w:ascii="黑体" w:hAnsi="黑体" w:eastAsia="黑体" w:cs="黑体"/>
          <w:sz w:val="32"/>
          <w:szCs w:val="32"/>
          <w:lang w:val="en-US" w:eastAsia="zh-CN"/>
        </w:rPr>
        <w:fldChar w:fldCharType="end"/>
      </w:r>
    </w:p>
    <w:p>
      <w:pPr>
        <w:pStyle w:val="11"/>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_Toc24795 </w:instrText>
      </w:r>
      <w:r>
        <w:rPr>
          <w:rFonts w:hint="eastAsia" w:ascii="黑体" w:hAnsi="黑体" w:eastAsia="黑体" w:cs="黑体"/>
          <w:sz w:val="32"/>
          <w:szCs w:val="32"/>
          <w:lang w:val="en-US" w:eastAsia="zh-CN"/>
        </w:rPr>
        <w:fldChar w:fldCharType="separate"/>
      </w:r>
      <w:r>
        <w:rPr>
          <w:rFonts w:hint="eastAsia" w:ascii="方正小标宋简体" w:hAnsi="方正小标宋简体" w:eastAsia="方正小标宋简体" w:cs="方正小标宋简体"/>
          <w:bCs/>
          <w:sz w:val="32"/>
          <w:szCs w:val="32"/>
          <w:highlight w:val="none"/>
        </w:rPr>
        <w:t xml:space="preserve">第二部分 </w:t>
      </w:r>
      <w:r>
        <w:rPr>
          <w:rFonts w:hint="eastAsia" w:ascii="方正小标宋简体" w:hAnsi="方正小标宋简体" w:eastAsia="方正小标宋简体" w:cs="方正小标宋简体"/>
          <w:bCs/>
          <w:sz w:val="32"/>
          <w:szCs w:val="32"/>
          <w:highlight w:val="none"/>
          <w:lang w:val="en-US" w:eastAsia="zh-CN"/>
        </w:rPr>
        <w:t>2021年度</w:t>
      </w:r>
      <w:r>
        <w:rPr>
          <w:rFonts w:hint="eastAsia" w:ascii="方正小标宋简体" w:hAnsi="方正小标宋简体" w:eastAsia="方正小标宋简体" w:cs="方正小标宋简体"/>
          <w:bCs/>
          <w:sz w:val="32"/>
          <w:szCs w:val="32"/>
          <w:highlight w:val="none"/>
          <w:lang w:eastAsia="zh-CN"/>
        </w:rPr>
        <w:t>单位</w:t>
      </w:r>
      <w:r>
        <w:rPr>
          <w:rFonts w:hint="eastAsia" w:ascii="方正小标宋简体" w:hAnsi="方正小标宋简体" w:eastAsia="方正小标宋简体" w:cs="方正小标宋简体"/>
          <w:bCs/>
          <w:sz w:val="32"/>
          <w:szCs w:val="32"/>
          <w:highlight w:val="none"/>
        </w:rPr>
        <w:t>决算情况说明</w:t>
      </w:r>
      <w:r>
        <w:rPr>
          <w:sz w:val="32"/>
          <w:szCs w:val="32"/>
        </w:rPr>
        <w:tab/>
      </w:r>
      <w:r>
        <w:rPr>
          <w:rFonts w:hint="eastAsia" w:ascii="Times New Roman" w:hAnsi="Times New Roman" w:eastAsia="宋体" w:cs="Times New Roman"/>
          <w:kern w:val="2"/>
          <w:sz w:val="32"/>
          <w:szCs w:val="32"/>
          <w:lang w:val="en-US" w:eastAsia="zh-CN" w:bidi="ar-SA"/>
        </w:rPr>
        <w:t>1</w:t>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_Toc31253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highlight w:val="none"/>
          <w:lang w:eastAsia="zh-CN"/>
        </w:rPr>
        <w:t>一、</w:t>
      </w:r>
      <w:r>
        <w:rPr>
          <w:rFonts w:hint="eastAsia" w:ascii="黑体" w:hAnsi="黑体" w:eastAsia="黑体"/>
          <w:sz w:val="32"/>
          <w:szCs w:val="32"/>
          <w:highlight w:val="none"/>
        </w:rPr>
        <w:t>收入支出决算总体情况说明</w:t>
      </w:r>
      <w:r>
        <w:rPr>
          <w:sz w:val="32"/>
          <w:szCs w:val="32"/>
        </w:rPr>
        <w:tab/>
      </w:r>
      <w:r>
        <w:rPr>
          <w:rFonts w:hint="eastAsia" w:eastAsia="宋体"/>
          <w:sz w:val="32"/>
          <w:szCs w:val="32"/>
          <w:lang w:val="en-US" w:eastAsia="zh-CN"/>
        </w:rPr>
        <w:t>1</w:t>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_Toc30659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highlight w:val="none"/>
          <w:lang w:eastAsia="zh-CN"/>
        </w:rPr>
        <w:t>二、</w:t>
      </w:r>
      <w:r>
        <w:rPr>
          <w:rFonts w:hint="eastAsia" w:ascii="黑体" w:hAnsi="黑体" w:eastAsia="黑体"/>
          <w:sz w:val="32"/>
          <w:szCs w:val="32"/>
          <w:highlight w:val="none"/>
        </w:rPr>
        <w:t>收入决算情况说明</w:t>
      </w:r>
      <w:r>
        <w:rPr>
          <w:sz w:val="32"/>
          <w:szCs w:val="32"/>
        </w:rPr>
        <w:tab/>
      </w:r>
      <w:r>
        <w:rPr>
          <w:rFonts w:eastAsia="宋体"/>
          <w:sz w:val="32"/>
          <w:szCs w:val="32"/>
        </w:rPr>
        <w:fldChar w:fldCharType="begin"/>
      </w:r>
      <w:r>
        <w:rPr>
          <w:rFonts w:eastAsia="宋体"/>
          <w:sz w:val="32"/>
          <w:szCs w:val="32"/>
        </w:rPr>
        <w:instrText xml:space="preserve"> PAGEREF _Toc30659 \h </w:instrText>
      </w:r>
      <w:r>
        <w:rPr>
          <w:rFonts w:eastAsia="宋体"/>
          <w:sz w:val="32"/>
          <w:szCs w:val="32"/>
        </w:rPr>
        <w:fldChar w:fldCharType="separate"/>
      </w:r>
      <w:r>
        <w:rPr>
          <w:rFonts w:eastAsia="宋体"/>
          <w:sz w:val="32"/>
          <w:szCs w:val="32"/>
        </w:rPr>
        <w:t>2</w:t>
      </w:r>
      <w:r>
        <w:rPr>
          <w:rFonts w:eastAsia="宋体"/>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_Toc22808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highlight w:val="none"/>
          <w:lang w:eastAsia="zh-CN"/>
        </w:rPr>
        <w:t>三、</w:t>
      </w:r>
      <w:r>
        <w:rPr>
          <w:rFonts w:hint="eastAsia" w:ascii="黑体" w:hAnsi="黑体" w:eastAsia="黑体"/>
          <w:sz w:val="32"/>
          <w:szCs w:val="32"/>
          <w:highlight w:val="none"/>
        </w:rPr>
        <w:t>支出决算情况说明</w:t>
      </w:r>
      <w:r>
        <w:rPr>
          <w:sz w:val="32"/>
          <w:szCs w:val="32"/>
        </w:rPr>
        <w:tab/>
      </w:r>
      <w:r>
        <w:rPr>
          <w:rFonts w:eastAsia="宋体"/>
          <w:sz w:val="32"/>
          <w:szCs w:val="32"/>
        </w:rPr>
        <w:fldChar w:fldCharType="begin"/>
      </w:r>
      <w:r>
        <w:rPr>
          <w:rFonts w:eastAsia="宋体"/>
          <w:sz w:val="32"/>
          <w:szCs w:val="32"/>
        </w:rPr>
        <w:instrText xml:space="preserve"> PAGEREF _Toc22808 \h </w:instrText>
      </w:r>
      <w:r>
        <w:rPr>
          <w:rFonts w:eastAsia="宋体"/>
          <w:sz w:val="32"/>
          <w:szCs w:val="32"/>
        </w:rPr>
        <w:fldChar w:fldCharType="separate"/>
      </w:r>
      <w:r>
        <w:rPr>
          <w:rFonts w:eastAsia="宋体"/>
          <w:sz w:val="32"/>
          <w:szCs w:val="32"/>
        </w:rPr>
        <w:t>3</w:t>
      </w:r>
      <w:r>
        <w:rPr>
          <w:rFonts w:eastAsia="宋体"/>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_Toc18217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highlight w:val="none"/>
        </w:rPr>
        <w:t>四、财政拨款收入支出决算总体情况说明</w:t>
      </w:r>
      <w:r>
        <w:rPr>
          <w:sz w:val="32"/>
          <w:szCs w:val="32"/>
        </w:rPr>
        <w:tab/>
      </w:r>
      <w:r>
        <w:rPr>
          <w:rFonts w:hint="eastAsia"/>
          <w:sz w:val="32"/>
          <w:szCs w:val="32"/>
          <w:lang w:val="en-US" w:eastAsia="zh-CN"/>
        </w:rPr>
        <w:t>3</w:t>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_Toc30770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highlight w:val="none"/>
        </w:rPr>
        <w:t>五、一般公共预算财政拨款支出决算情况说明</w:t>
      </w:r>
      <w:r>
        <w:rPr>
          <w:sz w:val="32"/>
          <w:szCs w:val="32"/>
        </w:rPr>
        <w:tab/>
      </w:r>
      <w:r>
        <w:rPr>
          <w:rFonts w:eastAsia="宋体"/>
          <w:sz w:val="32"/>
          <w:szCs w:val="32"/>
        </w:rPr>
        <w:fldChar w:fldCharType="begin"/>
      </w:r>
      <w:r>
        <w:rPr>
          <w:rFonts w:eastAsia="宋体"/>
          <w:sz w:val="32"/>
          <w:szCs w:val="32"/>
        </w:rPr>
        <w:instrText xml:space="preserve"> PAGEREF _Toc30770 \h </w:instrText>
      </w:r>
      <w:r>
        <w:rPr>
          <w:rFonts w:eastAsia="宋体"/>
          <w:sz w:val="32"/>
          <w:szCs w:val="32"/>
        </w:rPr>
        <w:fldChar w:fldCharType="separate"/>
      </w:r>
      <w:r>
        <w:rPr>
          <w:rFonts w:eastAsia="宋体"/>
          <w:sz w:val="32"/>
          <w:szCs w:val="32"/>
        </w:rPr>
        <w:t>4</w:t>
      </w:r>
      <w:r>
        <w:rPr>
          <w:rFonts w:eastAsia="宋体"/>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_Toc25353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rPr>
        <w:t>（一）一般公共预算财政拨款支出决算总体情况</w:t>
      </w:r>
      <w:r>
        <w:rPr>
          <w:sz w:val="32"/>
          <w:szCs w:val="32"/>
        </w:rPr>
        <w:tab/>
      </w: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PAGEREF _Toc25353 \h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4</w:t>
      </w:r>
      <w:r>
        <w:rPr>
          <w:rFonts w:ascii="Times New Roman" w:hAnsi="Times New Roman" w:eastAsia="宋体" w:cs="Times New Roman"/>
          <w:kern w:val="2"/>
          <w:sz w:val="32"/>
          <w:szCs w:val="32"/>
          <w:lang w:val="en-US" w:eastAsia="zh-CN" w:bidi="ar-SA"/>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_Toc15455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rPr>
        <w:t>（二）一般公共预算财政拨款支出决算结构情况</w:t>
      </w:r>
      <w:r>
        <w:rPr>
          <w:sz w:val="32"/>
          <w:szCs w:val="32"/>
        </w:rPr>
        <w:tab/>
      </w: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PAGEREF _Toc15455 \h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5</w:t>
      </w:r>
      <w:r>
        <w:rPr>
          <w:rFonts w:ascii="Times New Roman" w:hAnsi="Times New Roman" w:eastAsia="宋体" w:cs="Times New Roman"/>
          <w:kern w:val="2"/>
          <w:sz w:val="32"/>
          <w:szCs w:val="32"/>
          <w:lang w:val="en-US" w:eastAsia="zh-CN" w:bidi="ar-SA"/>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_Toc26552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rPr>
        <w:t>（三）一般公共预算财政拨款支出决算具体情况</w:t>
      </w:r>
      <w:r>
        <w:rPr>
          <w:sz w:val="32"/>
          <w:szCs w:val="32"/>
        </w:rPr>
        <w:tab/>
      </w:r>
      <w:r>
        <w:rPr>
          <w:rFonts w:hint="eastAsia" w:cs="Times New Roman"/>
          <w:kern w:val="2"/>
          <w:sz w:val="32"/>
          <w:szCs w:val="32"/>
          <w:lang w:val="en-US" w:eastAsia="zh-CN" w:bidi="ar-SA"/>
        </w:rPr>
        <w:t>6</w:t>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_Toc4005 </w:instrText>
      </w:r>
      <w:r>
        <w:rPr>
          <w:rFonts w:hint="eastAsia" w:ascii="黑体" w:hAnsi="黑体" w:eastAsia="黑体" w:cs="黑体"/>
          <w:sz w:val="32"/>
          <w:szCs w:val="32"/>
          <w:lang w:val="en-US" w:eastAsia="zh-CN"/>
        </w:rPr>
        <w:fldChar w:fldCharType="separate"/>
      </w:r>
      <w:r>
        <w:rPr>
          <w:rFonts w:hint="eastAsia" w:ascii="黑体" w:eastAsia="黑体"/>
          <w:sz w:val="32"/>
          <w:szCs w:val="32"/>
          <w:highlight w:val="none"/>
        </w:rPr>
        <w:t>六、</w:t>
      </w:r>
      <w:r>
        <w:rPr>
          <w:rFonts w:hint="eastAsia" w:ascii="黑体" w:hAnsi="黑体" w:eastAsia="黑体"/>
          <w:sz w:val="32"/>
          <w:szCs w:val="32"/>
          <w:highlight w:val="none"/>
        </w:rPr>
        <w:t>一般公共预算财政拨款基本支出决算情况说明</w:t>
      </w:r>
      <w:r>
        <w:rPr>
          <w:sz w:val="32"/>
          <w:szCs w:val="32"/>
        </w:rPr>
        <w:tab/>
      </w:r>
      <w:r>
        <w:rPr>
          <w:sz w:val="32"/>
          <w:szCs w:val="32"/>
        </w:rPr>
        <w:fldChar w:fldCharType="begin"/>
      </w:r>
      <w:r>
        <w:rPr>
          <w:sz w:val="32"/>
          <w:szCs w:val="32"/>
        </w:rPr>
        <w:instrText xml:space="preserve"> PAGEREF _Toc4005 \h </w:instrText>
      </w:r>
      <w:r>
        <w:rPr>
          <w:sz w:val="32"/>
          <w:szCs w:val="32"/>
        </w:rPr>
        <w:fldChar w:fldCharType="separate"/>
      </w:r>
      <w:r>
        <w:rPr>
          <w:sz w:val="32"/>
          <w:szCs w:val="32"/>
        </w:rPr>
        <w:t>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_Toc9981 </w:instrText>
      </w:r>
      <w:r>
        <w:rPr>
          <w:rFonts w:hint="eastAsia" w:ascii="黑体" w:hAnsi="黑体" w:eastAsia="黑体" w:cs="黑体"/>
          <w:sz w:val="32"/>
          <w:szCs w:val="32"/>
          <w:lang w:val="en-US" w:eastAsia="zh-CN"/>
        </w:rPr>
        <w:fldChar w:fldCharType="separate"/>
      </w:r>
      <w:r>
        <w:rPr>
          <w:rFonts w:hint="eastAsia" w:ascii="黑体" w:eastAsia="黑体"/>
          <w:sz w:val="32"/>
          <w:szCs w:val="32"/>
        </w:rPr>
        <w:t>七、</w:t>
      </w:r>
      <w:r>
        <w:rPr>
          <w:rFonts w:hint="eastAsia" w:ascii="黑体" w:hAnsi="黑体" w:eastAsia="黑体"/>
          <w:sz w:val="32"/>
          <w:szCs w:val="32"/>
        </w:rPr>
        <w:t>“三公”经费财政拨款支出决算情况说明</w:t>
      </w:r>
      <w:r>
        <w:rPr>
          <w:sz w:val="32"/>
          <w:szCs w:val="32"/>
        </w:rPr>
        <w:tab/>
      </w:r>
      <w:r>
        <w:rPr>
          <w:rFonts w:hint="eastAsia"/>
          <w:sz w:val="32"/>
          <w:szCs w:val="32"/>
          <w:lang w:val="en-US" w:eastAsia="zh-CN"/>
        </w:rPr>
        <w:t>6</w:t>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_Toc7790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rPr>
        <w:t>（一）“三公”经费财政拨款支出决算总体情况说明</w:t>
      </w:r>
      <w:r>
        <w:rPr>
          <w:sz w:val="32"/>
          <w:szCs w:val="32"/>
        </w:rPr>
        <w:tab/>
      </w:r>
      <w:r>
        <w:rPr>
          <w:rFonts w:hint="eastAsia"/>
          <w:sz w:val="32"/>
          <w:szCs w:val="32"/>
          <w:lang w:val="en-US" w:eastAsia="zh-CN"/>
        </w:rPr>
        <w:t>6</w:t>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_Toc4448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rPr>
        <w:t>（二）“三公”经费财政拨款支出决算具体情况说明</w:t>
      </w:r>
      <w:r>
        <w:rPr>
          <w:sz w:val="32"/>
          <w:szCs w:val="32"/>
        </w:rPr>
        <w:tab/>
      </w:r>
      <w:r>
        <w:rPr>
          <w:sz w:val="32"/>
          <w:szCs w:val="32"/>
        </w:rPr>
        <w:fldChar w:fldCharType="begin"/>
      </w:r>
      <w:r>
        <w:rPr>
          <w:sz w:val="32"/>
          <w:szCs w:val="32"/>
        </w:rPr>
        <w:instrText xml:space="preserve"> PAGEREF _Toc4448 \h </w:instrText>
      </w:r>
      <w:r>
        <w:rPr>
          <w:sz w:val="32"/>
          <w:szCs w:val="32"/>
        </w:rPr>
        <w:fldChar w:fldCharType="separate"/>
      </w:r>
      <w:r>
        <w:rPr>
          <w:sz w:val="32"/>
          <w:szCs w:val="32"/>
        </w:rPr>
        <w:t>7</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_Toc14248 </w:instrText>
      </w:r>
      <w:r>
        <w:rPr>
          <w:rFonts w:hint="eastAsia" w:ascii="黑体" w:hAnsi="黑体" w:eastAsia="黑体" w:cs="黑体"/>
          <w:sz w:val="32"/>
          <w:szCs w:val="32"/>
          <w:lang w:val="en-US" w:eastAsia="zh-CN"/>
        </w:rPr>
        <w:fldChar w:fldCharType="separate"/>
      </w:r>
      <w:r>
        <w:rPr>
          <w:rFonts w:hint="eastAsia" w:ascii="黑体" w:eastAsia="黑体"/>
          <w:sz w:val="32"/>
          <w:szCs w:val="32"/>
        </w:rPr>
        <w:t>八、</w:t>
      </w:r>
      <w:r>
        <w:rPr>
          <w:rFonts w:hint="eastAsia" w:ascii="黑体" w:hAnsi="黑体" w:eastAsia="黑体"/>
          <w:sz w:val="32"/>
          <w:szCs w:val="32"/>
        </w:rPr>
        <w:t>政府性基金预算支出决算情况说明</w:t>
      </w:r>
      <w:r>
        <w:rPr>
          <w:sz w:val="32"/>
          <w:szCs w:val="32"/>
        </w:rPr>
        <w:tab/>
      </w:r>
      <w:r>
        <w:rPr>
          <w:sz w:val="32"/>
          <w:szCs w:val="32"/>
        </w:rPr>
        <w:fldChar w:fldCharType="begin"/>
      </w:r>
      <w:r>
        <w:rPr>
          <w:sz w:val="32"/>
          <w:szCs w:val="32"/>
        </w:rPr>
        <w:instrText xml:space="preserve"> PAGEREF _Toc14248 \h </w:instrText>
      </w:r>
      <w:r>
        <w:rPr>
          <w:sz w:val="32"/>
          <w:szCs w:val="32"/>
        </w:rPr>
        <w:fldChar w:fldCharType="separate"/>
      </w:r>
      <w:r>
        <w:rPr>
          <w:sz w:val="32"/>
          <w:szCs w:val="32"/>
        </w:rPr>
        <w:t>7</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eastAsia" w:ascii="黑体" w:hAnsi="黑体" w:eastAsia="黑体" w:cs="黑体"/>
          <w:sz w:val="32"/>
          <w:szCs w:val="32"/>
          <w:lang w:val="en-US" w:eastAsia="zh-CN"/>
        </w:rPr>
        <w:sectPr>
          <w:footerReference r:id="rId4" w:type="default"/>
          <w:pgSz w:w="11906" w:h="16838"/>
          <w:pgMar w:top="2098" w:right="1474" w:bottom="1984" w:left="1587" w:header="851" w:footer="992" w:gutter="0"/>
          <w:pgNumType w:fmt="decimal" w:start="1"/>
          <w:cols w:space="0" w:num="1"/>
          <w:rtlGutter w:val="0"/>
          <w:docGrid w:type="lines" w:linePitch="312" w:charSpace="0"/>
        </w:sect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_Toc26279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rPr>
        <w:t>九、</w:t>
      </w:r>
      <w:r>
        <w:rPr>
          <w:rFonts w:hint="eastAsia" w:ascii="黑体" w:hAnsi="黑体" w:eastAsia="黑体"/>
          <w:sz w:val="32"/>
          <w:szCs w:val="32"/>
          <w:highlight w:val="none"/>
        </w:rPr>
        <w:t>国有资本经营预算支出决算情况说明</w:t>
      </w:r>
      <w:r>
        <w:rPr>
          <w:sz w:val="32"/>
          <w:szCs w:val="32"/>
        </w:rPr>
        <w:tab/>
      </w:r>
      <w:r>
        <w:rPr>
          <w:sz w:val="32"/>
          <w:szCs w:val="32"/>
        </w:rPr>
        <w:fldChar w:fldCharType="begin"/>
      </w:r>
      <w:r>
        <w:rPr>
          <w:sz w:val="32"/>
          <w:szCs w:val="32"/>
        </w:rPr>
        <w:instrText xml:space="preserve"> PAGEREF _Toc26279 \h </w:instrText>
      </w:r>
      <w:r>
        <w:rPr>
          <w:sz w:val="32"/>
          <w:szCs w:val="32"/>
        </w:rPr>
        <w:fldChar w:fldCharType="separate"/>
      </w:r>
      <w:r>
        <w:rPr>
          <w:sz w:val="32"/>
          <w:szCs w:val="32"/>
        </w:rPr>
        <w:t>7</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_Toc22167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rPr>
        <w:t xml:space="preserve">十、 </w:t>
      </w:r>
      <w:r>
        <w:rPr>
          <w:rFonts w:hint="eastAsia" w:ascii="黑体" w:hAnsi="黑体" w:eastAsia="黑体"/>
          <w:sz w:val="32"/>
          <w:szCs w:val="32"/>
          <w:highlight w:val="none"/>
          <w:lang w:val="en-US" w:eastAsia="zh-CN"/>
        </w:rPr>
        <w:t>预算绩效管理情况</w:t>
      </w:r>
      <w:r>
        <w:rPr>
          <w:sz w:val="32"/>
          <w:szCs w:val="32"/>
        </w:rPr>
        <w:tab/>
      </w:r>
      <w:r>
        <w:rPr>
          <w:sz w:val="32"/>
          <w:szCs w:val="32"/>
        </w:rPr>
        <w:fldChar w:fldCharType="begin"/>
      </w:r>
      <w:r>
        <w:rPr>
          <w:sz w:val="32"/>
          <w:szCs w:val="32"/>
        </w:rPr>
        <w:instrText xml:space="preserve"> PAGEREF _Toc22167 \h </w:instrText>
      </w:r>
      <w:r>
        <w:rPr>
          <w:sz w:val="32"/>
          <w:szCs w:val="32"/>
        </w:rPr>
        <w:fldChar w:fldCharType="separate"/>
      </w:r>
      <w:r>
        <w:rPr>
          <w:sz w:val="32"/>
          <w:szCs w:val="32"/>
        </w:rPr>
        <w:t>7</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_Toc10413 </w:instrText>
      </w:r>
      <w:r>
        <w:rPr>
          <w:rFonts w:hint="eastAsia" w:ascii="黑体" w:hAnsi="黑体" w:eastAsia="黑体" w:cs="黑体"/>
          <w:sz w:val="32"/>
          <w:szCs w:val="32"/>
          <w:lang w:val="en-US" w:eastAsia="zh-CN"/>
        </w:rPr>
        <w:fldChar w:fldCharType="separate"/>
      </w:r>
      <w:r>
        <w:rPr>
          <w:rFonts w:hint="eastAsia" w:ascii="黑体" w:hAnsi="黑体" w:eastAsia="黑体"/>
          <w:sz w:val="32"/>
          <w:szCs w:val="32"/>
        </w:rPr>
        <w:t xml:space="preserve">十一、 </w:t>
      </w:r>
      <w:r>
        <w:rPr>
          <w:rFonts w:hint="eastAsia" w:ascii="黑体" w:hAnsi="黑体" w:eastAsia="黑体"/>
          <w:sz w:val="32"/>
          <w:szCs w:val="32"/>
          <w:highlight w:val="none"/>
        </w:rPr>
        <w:t>其他重要事项的情况说明</w:t>
      </w:r>
      <w:r>
        <w:rPr>
          <w:sz w:val="32"/>
          <w:szCs w:val="32"/>
        </w:rPr>
        <w:tab/>
      </w:r>
      <w:r>
        <w:rPr>
          <w:rFonts w:hint="eastAsia"/>
          <w:sz w:val="32"/>
          <w:szCs w:val="32"/>
          <w:lang w:val="en-US" w:eastAsia="zh-CN"/>
        </w:rPr>
        <w:t>7</w:t>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_Toc17067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rPr>
        <w:t>（一）机关运行经费支出情况</w:t>
      </w:r>
      <w:r>
        <w:rPr>
          <w:sz w:val="32"/>
          <w:szCs w:val="32"/>
        </w:rPr>
        <w:tab/>
      </w:r>
      <w:r>
        <w:rPr>
          <w:sz w:val="32"/>
          <w:szCs w:val="32"/>
        </w:rPr>
        <w:fldChar w:fldCharType="begin"/>
      </w:r>
      <w:r>
        <w:rPr>
          <w:sz w:val="32"/>
          <w:szCs w:val="32"/>
        </w:rPr>
        <w:instrText xml:space="preserve"> PAGEREF _Toc17067 \h </w:instrText>
      </w:r>
      <w:r>
        <w:rPr>
          <w:sz w:val="32"/>
          <w:szCs w:val="32"/>
        </w:rPr>
        <w:fldChar w:fldCharType="separate"/>
      </w:r>
      <w:r>
        <w:rPr>
          <w:sz w:val="32"/>
          <w:szCs w:val="32"/>
        </w:rPr>
        <w:t>8</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_Toc8441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rPr>
        <w:t>（二）政府采购支出情况</w:t>
      </w:r>
      <w:r>
        <w:rPr>
          <w:sz w:val="32"/>
          <w:szCs w:val="32"/>
        </w:rPr>
        <w:tab/>
      </w:r>
      <w:r>
        <w:rPr>
          <w:sz w:val="32"/>
          <w:szCs w:val="32"/>
        </w:rPr>
        <w:fldChar w:fldCharType="begin"/>
      </w:r>
      <w:r>
        <w:rPr>
          <w:sz w:val="32"/>
          <w:szCs w:val="32"/>
        </w:rPr>
        <w:instrText xml:space="preserve"> PAGEREF _Toc8441 \h </w:instrText>
      </w:r>
      <w:r>
        <w:rPr>
          <w:sz w:val="32"/>
          <w:szCs w:val="32"/>
        </w:rPr>
        <w:fldChar w:fldCharType="separate"/>
      </w:r>
      <w:r>
        <w:rPr>
          <w:sz w:val="32"/>
          <w:szCs w:val="32"/>
        </w:rPr>
        <w:t>8</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_Toc7300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rPr>
        <w:t>（三）国有资产占有使用情况</w:t>
      </w:r>
      <w:r>
        <w:rPr>
          <w:sz w:val="32"/>
          <w:szCs w:val="32"/>
        </w:rPr>
        <w:tab/>
      </w:r>
      <w:r>
        <w:rPr>
          <w:sz w:val="32"/>
          <w:szCs w:val="32"/>
        </w:rPr>
        <w:fldChar w:fldCharType="begin"/>
      </w:r>
      <w:r>
        <w:rPr>
          <w:sz w:val="32"/>
          <w:szCs w:val="32"/>
        </w:rPr>
        <w:instrText xml:space="preserve"> PAGEREF _Toc7300 \h </w:instrText>
      </w:r>
      <w:r>
        <w:rPr>
          <w:sz w:val="32"/>
          <w:szCs w:val="32"/>
        </w:rPr>
        <w:fldChar w:fldCharType="separate"/>
      </w:r>
      <w:r>
        <w:rPr>
          <w:sz w:val="32"/>
          <w:szCs w:val="32"/>
        </w:rPr>
        <w:t>8</w:t>
      </w:r>
      <w:r>
        <w:rPr>
          <w:sz w:val="32"/>
          <w:szCs w:val="32"/>
        </w:rPr>
        <w:fldChar w:fldCharType="end"/>
      </w:r>
      <w:r>
        <w:rPr>
          <w:rFonts w:hint="eastAsia" w:ascii="黑体" w:hAnsi="黑体" w:eastAsia="黑体" w:cs="黑体"/>
          <w:sz w:val="32"/>
          <w:szCs w:val="32"/>
          <w:lang w:val="en-US" w:eastAsia="zh-CN"/>
        </w:rPr>
        <w:fldChar w:fldCharType="end"/>
      </w:r>
    </w:p>
    <w:p>
      <w:pPr>
        <w:pStyle w:val="11"/>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_Toc4724 </w:instrText>
      </w:r>
      <w:r>
        <w:rPr>
          <w:rFonts w:hint="eastAsia" w:ascii="黑体" w:hAnsi="黑体" w:eastAsia="黑体" w:cs="黑体"/>
          <w:sz w:val="32"/>
          <w:szCs w:val="32"/>
          <w:lang w:val="en-US" w:eastAsia="zh-CN"/>
        </w:rPr>
        <w:fldChar w:fldCharType="separate"/>
      </w:r>
      <w:r>
        <w:rPr>
          <w:rFonts w:hint="eastAsia" w:ascii="方正小标宋简体" w:hAnsi="方正小标宋简体" w:eastAsia="方正小标宋简体" w:cs="方正小标宋简体"/>
          <w:sz w:val="32"/>
          <w:szCs w:val="32"/>
          <w:highlight w:val="none"/>
          <w:lang w:val="en-US" w:eastAsia="zh-CN" w:bidi="ar-SA"/>
        </w:rPr>
        <w:t>第三部分  名词解释</w:t>
      </w:r>
      <w:r>
        <w:rPr>
          <w:sz w:val="32"/>
          <w:szCs w:val="32"/>
        </w:rPr>
        <w:tab/>
      </w: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PAGEREF _Toc4724 \h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8</w:t>
      </w:r>
      <w:r>
        <w:rPr>
          <w:rFonts w:ascii="Times New Roman" w:hAnsi="Times New Roman" w:eastAsia="宋体" w:cs="Times New Roman"/>
          <w:kern w:val="2"/>
          <w:sz w:val="32"/>
          <w:szCs w:val="32"/>
          <w:lang w:val="en-US" w:eastAsia="zh-CN" w:bidi="ar-SA"/>
        </w:rPr>
        <w:fldChar w:fldCharType="end"/>
      </w:r>
      <w:r>
        <w:rPr>
          <w:rFonts w:hint="eastAsia" w:ascii="黑体" w:hAnsi="黑体" w:eastAsia="黑体" w:cs="黑体"/>
          <w:sz w:val="32"/>
          <w:szCs w:val="32"/>
          <w:lang w:val="en-US" w:eastAsia="zh-CN"/>
        </w:rPr>
        <w:fldChar w:fldCharType="end"/>
      </w:r>
    </w:p>
    <w:p>
      <w:pPr>
        <w:pStyle w:val="11"/>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_Toc17438 </w:instrText>
      </w:r>
      <w:r>
        <w:rPr>
          <w:rFonts w:hint="eastAsia" w:ascii="黑体" w:hAnsi="黑体" w:eastAsia="黑体" w:cs="黑体"/>
          <w:sz w:val="32"/>
          <w:szCs w:val="32"/>
          <w:lang w:val="en-US" w:eastAsia="zh-CN"/>
        </w:rPr>
        <w:fldChar w:fldCharType="separate"/>
      </w:r>
      <w:r>
        <w:rPr>
          <w:rFonts w:hint="eastAsia" w:ascii="方正小标宋简体" w:hAnsi="方正小标宋简体" w:eastAsia="方正小标宋简体" w:cs="方正小标宋简体"/>
          <w:sz w:val="32"/>
          <w:szCs w:val="32"/>
          <w:highlight w:val="none"/>
        </w:rPr>
        <w:t>第四部分 附件</w:t>
      </w:r>
      <w:r>
        <w:rPr>
          <w:sz w:val="32"/>
          <w:szCs w:val="32"/>
        </w:rPr>
        <w:tab/>
      </w:r>
      <w:r>
        <w:rPr>
          <w:sz w:val="32"/>
          <w:szCs w:val="32"/>
        </w:rPr>
        <w:fldChar w:fldCharType="begin"/>
      </w:r>
      <w:r>
        <w:rPr>
          <w:sz w:val="32"/>
          <w:szCs w:val="32"/>
        </w:rPr>
        <w:instrText xml:space="preserve"> PAGEREF _Toc17438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_Toc19743 </w:instrText>
      </w:r>
      <w:r>
        <w:rPr>
          <w:rFonts w:hint="eastAsia" w:ascii="黑体" w:hAnsi="黑体" w:eastAsia="黑体" w:cs="黑体"/>
          <w:sz w:val="32"/>
          <w:szCs w:val="32"/>
          <w:lang w:val="en-US" w:eastAsia="zh-CN"/>
        </w:rPr>
        <w:fldChar w:fldCharType="separate"/>
      </w:r>
      <w:r>
        <w:rPr>
          <w:rFonts w:hint="eastAsia" w:ascii="方正小标宋简体" w:hAnsi="方正小标宋简体" w:eastAsia="方正小标宋简体" w:cs="方正小标宋简体"/>
          <w:kern w:val="2"/>
          <w:sz w:val="32"/>
          <w:szCs w:val="32"/>
          <w:highlight w:val="none"/>
          <w:lang w:val="en-US" w:eastAsia="zh-CN" w:bidi="ar-SA"/>
        </w:rPr>
        <w:t>2021年度招聘管理团队项目</w:t>
      </w:r>
      <w:r>
        <w:rPr>
          <w:rFonts w:hint="eastAsia" w:ascii="方正小标宋简体" w:hAnsi="方正小标宋简体" w:eastAsia="方正小标宋简体" w:cs="方正小标宋简体"/>
          <w:kern w:val="2"/>
          <w:sz w:val="32"/>
          <w:szCs w:val="32"/>
          <w:highlight w:val="none"/>
          <w:lang w:val="zh-CN" w:eastAsia="zh-CN" w:bidi="ar-SA"/>
        </w:rPr>
        <w:t>支出绩效自评报告</w:t>
      </w:r>
      <w:r>
        <w:rPr>
          <w:sz w:val="32"/>
          <w:szCs w:val="32"/>
        </w:rPr>
        <w:tab/>
      </w:r>
      <w:r>
        <w:rPr>
          <w:rFonts w:eastAsia="宋体"/>
          <w:sz w:val="32"/>
          <w:szCs w:val="32"/>
        </w:rPr>
        <w:fldChar w:fldCharType="begin"/>
      </w:r>
      <w:r>
        <w:rPr>
          <w:rFonts w:eastAsia="宋体"/>
          <w:sz w:val="32"/>
          <w:szCs w:val="32"/>
        </w:rPr>
        <w:instrText xml:space="preserve"> PAGEREF _Toc19743 \h </w:instrText>
      </w:r>
      <w:r>
        <w:rPr>
          <w:rFonts w:eastAsia="宋体"/>
          <w:sz w:val="32"/>
          <w:szCs w:val="32"/>
        </w:rPr>
        <w:fldChar w:fldCharType="separate"/>
      </w:r>
      <w:r>
        <w:rPr>
          <w:rFonts w:eastAsia="宋体"/>
          <w:sz w:val="32"/>
          <w:szCs w:val="32"/>
        </w:rPr>
        <w:t>11</w:t>
      </w:r>
      <w:r>
        <w:rPr>
          <w:rFonts w:eastAsia="宋体"/>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_Toc3794 </w:instrText>
      </w:r>
      <w:r>
        <w:rPr>
          <w:rFonts w:hint="eastAsia" w:ascii="黑体" w:hAnsi="黑体" w:eastAsia="黑体" w:cs="黑体"/>
          <w:sz w:val="32"/>
          <w:szCs w:val="32"/>
          <w:lang w:val="en-US" w:eastAsia="zh-CN"/>
        </w:rPr>
        <w:fldChar w:fldCharType="separate"/>
      </w:r>
      <w:r>
        <w:rPr>
          <w:rFonts w:hint="eastAsia" w:ascii="黑体" w:hAnsi="宋体" w:eastAsia="黑体" w:cs="Times New Roman"/>
          <w:sz w:val="32"/>
          <w:szCs w:val="32"/>
        </w:rPr>
        <w:t>一、</w:t>
      </w:r>
      <w:r>
        <w:rPr>
          <w:rFonts w:hint="eastAsia" w:ascii="黑体" w:hAnsi="宋体" w:eastAsia="黑体" w:cs="Times New Roman"/>
          <w:sz w:val="32"/>
          <w:szCs w:val="32"/>
          <w:lang w:val="zh-CN"/>
        </w:rPr>
        <w:t>项目概况</w:t>
      </w:r>
      <w:r>
        <w:rPr>
          <w:sz w:val="32"/>
          <w:szCs w:val="32"/>
        </w:rPr>
        <w:tab/>
      </w:r>
      <w:r>
        <w:rPr>
          <w:sz w:val="32"/>
          <w:szCs w:val="32"/>
        </w:rPr>
        <w:fldChar w:fldCharType="begin"/>
      </w:r>
      <w:r>
        <w:rPr>
          <w:sz w:val="32"/>
          <w:szCs w:val="32"/>
        </w:rPr>
        <w:instrText xml:space="preserve"> PAGEREF _Toc3794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_Toc20357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（一）项目资金申报及批复情况</w:t>
      </w:r>
      <w:r>
        <w:rPr>
          <w:sz w:val="32"/>
          <w:szCs w:val="32"/>
        </w:rPr>
        <w:tab/>
      </w:r>
      <w:r>
        <w:rPr>
          <w:sz w:val="32"/>
          <w:szCs w:val="32"/>
        </w:rPr>
        <w:fldChar w:fldCharType="begin"/>
      </w:r>
      <w:r>
        <w:rPr>
          <w:sz w:val="32"/>
          <w:szCs w:val="32"/>
        </w:rPr>
        <w:instrText xml:space="preserve"> PAGEREF _Toc20357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_Toc26677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（二）项目绩效目标</w:t>
      </w:r>
      <w:r>
        <w:rPr>
          <w:sz w:val="32"/>
          <w:szCs w:val="32"/>
        </w:rPr>
        <w:tab/>
      </w:r>
      <w:r>
        <w:rPr>
          <w:sz w:val="32"/>
          <w:szCs w:val="32"/>
        </w:rPr>
        <w:fldChar w:fldCharType="begin"/>
      </w:r>
      <w:r>
        <w:rPr>
          <w:sz w:val="32"/>
          <w:szCs w:val="32"/>
        </w:rPr>
        <w:instrText xml:space="preserve"> PAGEREF _Toc26677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_Toc2363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（三）项目资金申报相符性</w:t>
      </w:r>
      <w:r>
        <w:rPr>
          <w:sz w:val="32"/>
          <w:szCs w:val="32"/>
        </w:rPr>
        <w:tab/>
      </w:r>
      <w:r>
        <w:rPr>
          <w:sz w:val="32"/>
          <w:szCs w:val="32"/>
        </w:rPr>
        <w:fldChar w:fldCharType="begin"/>
      </w:r>
      <w:r>
        <w:rPr>
          <w:sz w:val="32"/>
          <w:szCs w:val="32"/>
        </w:rPr>
        <w:instrText xml:space="preserve"> PAGEREF _Toc2363 \h </w:instrText>
      </w:r>
      <w:r>
        <w:rPr>
          <w:sz w:val="32"/>
          <w:szCs w:val="32"/>
        </w:rPr>
        <w:fldChar w:fldCharType="separate"/>
      </w:r>
      <w:r>
        <w:rPr>
          <w:sz w:val="32"/>
          <w:szCs w:val="32"/>
        </w:rPr>
        <w:t>12</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_Toc12947 </w:instrText>
      </w:r>
      <w:r>
        <w:rPr>
          <w:rFonts w:hint="eastAsia" w:ascii="黑体" w:hAnsi="黑体" w:eastAsia="黑体" w:cs="黑体"/>
          <w:sz w:val="32"/>
          <w:szCs w:val="32"/>
          <w:lang w:val="en-US" w:eastAsia="zh-CN"/>
        </w:rPr>
        <w:fldChar w:fldCharType="separate"/>
      </w:r>
      <w:r>
        <w:rPr>
          <w:rFonts w:hint="eastAsia" w:ascii="黑体" w:hAnsi="宋体" w:eastAsia="黑体" w:cs="Times New Roman"/>
          <w:sz w:val="32"/>
          <w:szCs w:val="32"/>
        </w:rPr>
        <w:t>二、项目实施及管理情况</w:t>
      </w:r>
      <w:r>
        <w:rPr>
          <w:sz w:val="32"/>
          <w:szCs w:val="32"/>
        </w:rPr>
        <w:tab/>
      </w:r>
      <w:r>
        <w:rPr>
          <w:sz w:val="32"/>
          <w:szCs w:val="32"/>
        </w:rPr>
        <w:fldChar w:fldCharType="begin"/>
      </w:r>
      <w:r>
        <w:rPr>
          <w:sz w:val="32"/>
          <w:szCs w:val="32"/>
        </w:rPr>
        <w:instrText xml:space="preserve"> PAGEREF _Toc12947 \h </w:instrText>
      </w:r>
      <w:r>
        <w:rPr>
          <w:sz w:val="32"/>
          <w:szCs w:val="32"/>
        </w:rPr>
        <w:fldChar w:fldCharType="separate"/>
      </w:r>
      <w:r>
        <w:rPr>
          <w:sz w:val="32"/>
          <w:szCs w:val="32"/>
        </w:rPr>
        <w:t>12</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_Toc26688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（一）资金计划、到位及使用情况</w:t>
      </w:r>
      <w:r>
        <w:rPr>
          <w:sz w:val="32"/>
          <w:szCs w:val="32"/>
        </w:rPr>
        <w:tab/>
      </w:r>
      <w:r>
        <w:rPr>
          <w:sz w:val="32"/>
          <w:szCs w:val="32"/>
        </w:rPr>
        <w:fldChar w:fldCharType="begin"/>
      </w:r>
      <w:r>
        <w:rPr>
          <w:sz w:val="32"/>
          <w:szCs w:val="32"/>
        </w:rPr>
        <w:instrText xml:space="preserve"> PAGEREF _Toc26688 \h </w:instrText>
      </w:r>
      <w:r>
        <w:rPr>
          <w:sz w:val="32"/>
          <w:szCs w:val="32"/>
        </w:rPr>
        <w:fldChar w:fldCharType="separate"/>
      </w:r>
      <w:r>
        <w:rPr>
          <w:sz w:val="32"/>
          <w:szCs w:val="32"/>
        </w:rPr>
        <w:t>12</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_Toc27978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（二）项目财务管理情况</w:t>
      </w:r>
      <w:r>
        <w:rPr>
          <w:sz w:val="32"/>
          <w:szCs w:val="32"/>
        </w:rPr>
        <w:tab/>
      </w:r>
      <w:r>
        <w:rPr>
          <w:sz w:val="32"/>
          <w:szCs w:val="32"/>
        </w:rPr>
        <w:fldChar w:fldCharType="begin"/>
      </w:r>
      <w:r>
        <w:rPr>
          <w:sz w:val="32"/>
          <w:szCs w:val="32"/>
        </w:rPr>
        <w:instrText xml:space="preserve"> PAGEREF _Toc27978 \h </w:instrText>
      </w:r>
      <w:r>
        <w:rPr>
          <w:sz w:val="32"/>
          <w:szCs w:val="32"/>
        </w:rPr>
        <w:fldChar w:fldCharType="separate"/>
      </w:r>
      <w:r>
        <w:rPr>
          <w:sz w:val="32"/>
          <w:szCs w:val="32"/>
        </w:rPr>
        <w:t>12</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_Toc31339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（三）项目组织实施情况</w:t>
      </w:r>
      <w:r>
        <w:rPr>
          <w:sz w:val="32"/>
          <w:szCs w:val="32"/>
        </w:rPr>
        <w:tab/>
      </w:r>
      <w:r>
        <w:rPr>
          <w:sz w:val="32"/>
          <w:szCs w:val="32"/>
        </w:rPr>
        <w:fldChar w:fldCharType="begin"/>
      </w:r>
      <w:r>
        <w:rPr>
          <w:sz w:val="32"/>
          <w:szCs w:val="32"/>
        </w:rPr>
        <w:instrText xml:space="preserve"> PAGEREF _Toc31339 \h </w:instrText>
      </w:r>
      <w:r>
        <w:rPr>
          <w:sz w:val="32"/>
          <w:szCs w:val="32"/>
        </w:rPr>
        <w:fldChar w:fldCharType="separate"/>
      </w:r>
      <w:r>
        <w:rPr>
          <w:sz w:val="32"/>
          <w:szCs w:val="32"/>
        </w:rPr>
        <w:t>12</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_Toc4862 </w:instrText>
      </w:r>
      <w:r>
        <w:rPr>
          <w:rFonts w:hint="eastAsia" w:ascii="黑体" w:hAnsi="黑体" w:eastAsia="黑体" w:cs="黑体"/>
          <w:sz w:val="32"/>
          <w:szCs w:val="32"/>
          <w:lang w:val="en-US" w:eastAsia="zh-CN"/>
        </w:rPr>
        <w:fldChar w:fldCharType="separate"/>
      </w:r>
      <w:r>
        <w:rPr>
          <w:rFonts w:hint="eastAsia" w:ascii="黑体" w:hAnsi="宋体" w:eastAsia="黑体" w:cs="Times New Roman"/>
          <w:sz w:val="32"/>
          <w:szCs w:val="32"/>
        </w:rPr>
        <w:t>三、项目绩效情况</w:t>
      </w:r>
      <w:r>
        <w:rPr>
          <w:sz w:val="32"/>
          <w:szCs w:val="32"/>
        </w:rPr>
        <w:tab/>
      </w:r>
      <w:r>
        <w:rPr>
          <w:sz w:val="32"/>
          <w:szCs w:val="32"/>
        </w:rPr>
        <w:fldChar w:fldCharType="begin"/>
      </w:r>
      <w:r>
        <w:rPr>
          <w:sz w:val="32"/>
          <w:szCs w:val="32"/>
        </w:rPr>
        <w:instrText xml:space="preserve"> PAGEREF _Toc4862 \h </w:instrText>
      </w:r>
      <w:r>
        <w:rPr>
          <w:sz w:val="32"/>
          <w:szCs w:val="32"/>
        </w:rPr>
        <w:fldChar w:fldCharType="separate"/>
      </w:r>
      <w:r>
        <w:rPr>
          <w:sz w:val="32"/>
          <w:szCs w:val="32"/>
        </w:rPr>
        <w:t>13</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_Toc2895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（一）项目完成情况</w:t>
      </w:r>
      <w:r>
        <w:rPr>
          <w:sz w:val="32"/>
          <w:szCs w:val="32"/>
        </w:rPr>
        <w:tab/>
      </w:r>
      <w:r>
        <w:rPr>
          <w:sz w:val="32"/>
          <w:szCs w:val="32"/>
        </w:rPr>
        <w:fldChar w:fldCharType="begin"/>
      </w:r>
      <w:r>
        <w:rPr>
          <w:sz w:val="32"/>
          <w:szCs w:val="32"/>
        </w:rPr>
        <w:instrText xml:space="preserve"> PAGEREF _Toc2895 \h </w:instrText>
      </w:r>
      <w:r>
        <w:rPr>
          <w:sz w:val="32"/>
          <w:szCs w:val="32"/>
        </w:rPr>
        <w:fldChar w:fldCharType="separate"/>
      </w:r>
      <w:r>
        <w:rPr>
          <w:sz w:val="32"/>
          <w:szCs w:val="32"/>
        </w:rPr>
        <w:t>13</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_Toc5744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（二）项目效益情况</w:t>
      </w:r>
      <w:r>
        <w:rPr>
          <w:sz w:val="32"/>
          <w:szCs w:val="32"/>
        </w:rPr>
        <w:tab/>
      </w:r>
      <w:r>
        <w:rPr>
          <w:sz w:val="32"/>
          <w:szCs w:val="32"/>
        </w:rPr>
        <w:fldChar w:fldCharType="begin"/>
      </w:r>
      <w:r>
        <w:rPr>
          <w:sz w:val="32"/>
          <w:szCs w:val="32"/>
        </w:rPr>
        <w:instrText xml:space="preserve"> PAGEREF _Toc5744 \h </w:instrText>
      </w:r>
      <w:r>
        <w:rPr>
          <w:sz w:val="32"/>
          <w:szCs w:val="32"/>
        </w:rPr>
        <w:fldChar w:fldCharType="separate"/>
      </w:r>
      <w:r>
        <w:rPr>
          <w:sz w:val="32"/>
          <w:szCs w:val="32"/>
        </w:rPr>
        <w:t>13</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_Toc10812 </w:instrText>
      </w:r>
      <w:r>
        <w:rPr>
          <w:rFonts w:hint="eastAsia" w:ascii="黑体" w:hAnsi="黑体" w:eastAsia="黑体" w:cs="黑体"/>
          <w:sz w:val="32"/>
          <w:szCs w:val="32"/>
          <w:lang w:val="en-US" w:eastAsia="zh-CN"/>
        </w:rPr>
        <w:fldChar w:fldCharType="separate"/>
      </w:r>
      <w:r>
        <w:rPr>
          <w:rFonts w:hint="eastAsia" w:ascii="黑体" w:hAnsi="宋体" w:eastAsia="黑体" w:cs="Times New Roman"/>
          <w:sz w:val="32"/>
          <w:szCs w:val="32"/>
        </w:rPr>
        <w:t>四、问题及建议</w:t>
      </w:r>
      <w:r>
        <w:rPr>
          <w:sz w:val="32"/>
          <w:szCs w:val="32"/>
        </w:rPr>
        <w:tab/>
      </w:r>
      <w:r>
        <w:rPr>
          <w:sz w:val="32"/>
          <w:szCs w:val="32"/>
        </w:rPr>
        <w:fldChar w:fldCharType="begin"/>
      </w:r>
      <w:r>
        <w:rPr>
          <w:sz w:val="32"/>
          <w:szCs w:val="32"/>
        </w:rPr>
        <w:instrText xml:space="preserve"> PAGEREF _Toc10812 \h </w:instrText>
      </w:r>
      <w:r>
        <w:rPr>
          <w:sz w:val="32"/>
          <w:szCs w:val="32"/>
        </w:rPr>
        <w:fldChar w:fldCharType="separate"/>
      </w:r>
      <w:r>
        <w:rPr>
          <w:sz w:val="32"/>
          <w:szCs w:val="32"/>
        </w:rPr>
        <w:t>13</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_Toc23292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（一）存在的问题</w:t>
      </w:r>
      <w:r>
        <w:rPr>
          <w:sz w:val="32"/>
          <w:szCs w:val="32"/>
        </w:rPr>
        <w:tab/>
      </w:r>
      <w:r>
        <w:rPr>
          <w:sz w:val="32"/>
          <w:szCs w:val="32"/>
        </w:rPr>
        <w:fldChar w:fldCharType="begin"/>
      </w:r>
      <w:r>
        <w:rPr>
          <w:sz w:val="32"/>
          <w:szCs w:val="32"/>
        </w:rPr>
        <w:instrText xml:space="preserve"> PAGEREF _Toc23292 \h </w:instrText>
      </w:r>
      <w:r>
        <w:rPr>
          <w:sz w:val="32"/>
          <w:szCs w:val="32"/>
        </w:rPr>
        <w:fldChar w:fldCharType="separate"/>
      </w:r>
      <w:r>
        <w:rPr>
          <w:sz w:val="32"/>
          <w:szCs w:val="32"/>
        </w:rPr>
        <w:t>13</w:t>
      </w:r>
      <w:r>
        <w:rPr>
          <w:sz w:val="32"/>
          <w:szCs w:val="32"/>
        </w:rPr>
        <w:fldChar w:fldCharType="end"/>
      </w:r>
      <w:r>
        <w:rPr>
          <w:rFonts w:hint="eastAsia" w:ascii="黑体" w:hAnsi="黑体" w:eastAsia="黑体" w:cs="黑体"/>
          <w:sz w:val="32"/>
          <w:szCs w:val="32"/>
          <w:lang w:val="en-US" w:eastAsia="zh-CN"/>
        </w:rPr>
        <w:fldChar w:fldCharType="end"/>
      </w: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eastAsia" w:ascii="黑体" w:hAnsi="黑体" w:eastAsia="黑体" w:cs="黑体"/>
          <w:sz w:val="32"/>
          <w:szCs w:val="32"/>
          <w:lang w:val="en-US" w:eastAsia="zh-CN"/>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p>
      <w:pPr>
        <w:pStyle w:val="7"/>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_Toc8515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sz w:val="32"/>
          <w:szCs w:val="32"/>
          <w:highlight w:val="none"/>
          <w:lang w:val="zh-CN" w:eastAsia="zh-CN"/>
        </w:rPr>
        <w:t>（二）相关建议</w:t>
      </w:r>
      <w:r>
        <w:rPr>
          <w:sz w:val="32"/>
          <w:szCs w:val="32"/>
        </w:rPr>
        <w:tab/>
      </w:r>
      <w:r>
        <w:rPr>
          <w:sz w:val="32"/>
          <w:szCs w:val="32"/>
        </w:rPr>
        <w:fldChar w:fldCharType="begin"/>
      </w:r>
      <w:r>
        <w:rPr>
          <w:sz w:val="32"/>
          <w:szCs w:val="32"/>
        </w:rPr>
        <w:instrText xml:space="preserve"> PAGEREF _Toc8515 \h </w:instrText>
      </w:r>
      <w:r>
        <w:rPr>
          <w:sz w:val="32"/>
          <w:szCs w:val="32"/>
        </w:rPr>
        <w:fldChar w:fldCharType="separate"/>
      </w:r>
      <w:r>
        <w:rPr>
          <w:sz w:val="32"/>
          <w:szCs w:val="32"/>
        </w:rPr>
        <w:t>13</w:t>
      </w:r>
      <w:r>
        <w:rPr>
          <w:sz w:val="32"/>
          <w:szCs w:val="32"/>
        </w:rPr>
        <w:fldChar w:fldCharType="end"/>
      </w:r>
      <w:r>
        <w:rPr>
          <w:rFonts w:hint="eastAsia" w:ascii="黑体" w:hAnsi="黑体" w:eastAsia="黑体" w:cs="黑体"/>
          <w:sz w:val="32"/>
          <w:szCs w:val="32"/>
          <w:lang w:val="en-US" w:eastAsia="zh-CN"/>
        </w:rPr>
        <w:fldChar w:fldCharType="end"/>
      </w:r>
    </w:p>
    <w:p>
      <w:pPr>
        <w:pStyle w:val="11"/>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_Toc11781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highlight w:val="none"/>
        </w:rPr>
        <w:t>附</w:t>
      </w:r>
      <w:r>
        <w:rPr>
          <w:rFonts w:hint="eastAsia" w:ascii="黑体" w:hAnsi="黑体" w:eastAsia="黑体" w:cs="黑体"/>
          <w:sz w:val="32"/>
          <w:szCs w:val="32"/>
          <w:highlight w:val="none"/>
          <w:lang w:val="en-US" w:eastAsia="zh-CN"/>
        </w:rPr>
        <w:t>表</w:t>
      </w:r>
      <w:r>
        <w:rPr>
          <w:sz w:val="32"/>
          <w:szCs w:val="32"/>
        </w:rPr>
        <w:tab/>
      </w: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PAGEREF _Toc11781 \h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14</w:t>
      </w:r>
      <w:r>
        <w:rPr>
          <w:rFonts w:ascii="Times New Roman" w:hAnsi="Times New Roman" w:eastAsia="宋体" w:cs="Times New Roman"/>
          <w:kern w:val="2"/>
          <w:sz w:val="32"/>
          <w:szCs w:val="32"/>
          <w:lang w:val="en-US" w:eastAsia="zh-CN" w:bidi="ar-SA"/>
        </w:rPr>
        <w:fldChar w:fldCharType="end"/>
      </w:r>
      <w:r>
        <w:rPr>
          <w:rFonts w:hint="eastAsia" w:ascii="黑体" w:hAnsi="黑体" w:eastAsia="黑体" w:cs="黑体"/>
          <w:sz w:val="32"/>
          <w:szCs w:val="32"/>
          <w:lang w:val="en-US" w:eastAsia="zh-CN"/>
        </w:rPr>
        <w:fldChar w:fldCharType="end"/>
      </w:r>
    </w:p>
    <w:p>
      <w:pPr>
        <w:pStyle w:val="11"/>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default"/>
          <w:sz w:val="32"/>
          <w:szCs w:val="32"/>
          <w:lang w:val="en-US"/>
        </w:rPr>
      </w:pPr>
      <w:r>
        <w:rPr>
          <w:rFonts w:hint="eastAsia" w:ascii="黑体" w:hAnsi="黑体" w:eastAsia="黑体" w:cs="黑体"/>
          <w:b/>
          <w:bCs/>
          <w:sz w:val="32"/>
          <w:szCs w:val="32"/>
          <w:lang w:val="en-US" w:eastAsia="zh-CN"/>
        </w:rPr>
        <w:fldChar w:fldCharType="begin"/>
      </w:r>
      <w:r>
        <w:rPr>
          <w:rFonts w:hint="eastAsia" w:ascii="黑体" w:hAnsi="黑体" w:eastAsia="黑体" w:cs="黑体"/>
          <w:b/>
          <w:bCs/>
          <w:sz w:val="32"/>
          <w:szCs w:val="32"/>
          <w:lang w:val="en-US" w:eastAsia="zh-CN"/>
        </w:rPr>
        <w:instrText xml:space="preserve"> HYPERLINK \l _Toc28013 </w:instrText>
      </w:r>
      <w:r>
        <w:rPr>
          <w:rFonts w:hint="eastAsia" w:ascii="黑体" w:hAnsi="黑体" w:eastAsia="黑体" w:cs="黑体"/>
          <w:b/>
          <w:bCs/>
          <w:sz w:val="32"/>
          <w:szCs w:val="32"/>
          <w:lang w:val="en-US" w:eastAsia="zh-CN"/>
        </w:rPr>
        <w:fldChar w:fldCharType="separate"/>
      </w:r>
      <w:r>
        <w:rPr>
          <w:rFonts w:hint="eastAsia" w:ascii="方正小标宋简体" w:hAnsi="方正小标宋简体" w:eastAsia="方正小标宋简体" w:cs="方正小标宋简体"/>
          <w:b w:val="0"/>
          <w:bCs w:val="0"/>
          <w:sz w:val="32"/>
          <w:szCs w:val="32"/>
          <w:highlight w:val="none"/>
          <w:lang w:eastAsia="zh-CN"/>
        </w:rPr>
        <w:t>第五部分</w:t>
      </w:r>
      <w:r>
        <w:rPr>
          <w:rFonts w:hint="eastAsia" w:ascii="方正小标宋简体" w:hAnsi="方正小标宋简体" w:eastAsia="方正小标宋简体" w:cs="方正小标宋简体"/>
          <w:b w:val="0"/>
          <w:bCs w:val="0"/>
          <w:sz w:val="32"/>
          <w:szCs w:val="32"/>
          <w:highlight w:val="none"/>
          <w:lang w:val="en-US" w:eastAsia="zh-CN"/>
        </w:rPr>
        <w:t xml:space="preserve">  </w:t>
      </w:r>
      <w:r>
        <w:rPr>
          <w:rFonts w:hint="eastAsia" w:ascii="方正小标宋简体" w:hAnsi="方正小标宋简体" w:eastAsia="方正小标宋简体" w:cs="方正小标宋简体"/>
          <w:b w:val="0"/>
          <w:bCs w:val="0"/>
          <w:sz w:val="32"/>
          <w:szCs w:val="32"/>
          <w:highlight w:val="none"/>
        </w:rPr>
        <w:t>附表</w:t>
      </w:r>
      <w:r>
        <w:rPr>
          <w:b w:val="0"/>
          <w:bCs w:val="0"/>
          <w:sz w:val="32"/>
          <w:szCs w:val="32"/>
        </w:rPr>
        <w:tab/>
      </w:r>
      <w:r>
        <w:rPr>
          <w:rFonts w:hint="eastAsia" w:ascii="Times New Roman" w:hAnsi="Times New Roman" w:eastAsia="宋体" w:cs="Times New Roman"/>
          <w:kern w:val="2"/>
          <w:sz w:val="32"/>
          <w:szCs w:val="32"/>
          <w:lang w:val="en-US" w:eastAsia="zh-CN" w:bidi="ar-SA"/>
        </w:rPr>
        <w:t>1</w:t>
      </w:r>
      <w:r>
        <w:rPr>
          <w:rFonts w:hint="eastAsia" w:ascii="Times New Roman" w:hAnsi="Times New Roman" w:eastAsia="宋体" w:cs="Times New Roman"/>
          <w:kern w:val="2"/>
          <w:sz w:val="32"/>
          <w:szCs w:val="32"/>
          <w:lang w:val="en-US" w:eastAsia="zh-CN" w:bidi="ar-SA"/>
        </w:rPr>
        <w:fldChar w:fldCharType="end"/>
      </w:r>
      <w:r>
        <w:rPr>
          <w:rFonts w:hint="eastAsia" w:ascii="Times New Roman" w:hAnsi="Times New Roman" w:eastAsia="宋体" w:cs="Times New Roman"/>
          <w:kern w:val="2"/>
          <w:sz w:val="32"/>
          <w:szCs w:val="32"/>
          <w:lang w:val="en-US" w:eastAsia="zh-CN" w:bidi="ar-SA"/>
        </w:rPr>
        <w:t>6</w:t>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default"/>
          <w:sz w:val="32"/>
          <w:szCs w:val="32"/>
          <w:lang w:val="en-US"/>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_Toc12511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sz w:val="32"/>
          <w:szCs w:val="32"/>
          <w:highlight w:val="none"/>
        </w:rPr>
        <w:t>一、收</w:t>
      </w:r>
      <w:r>
        <w:rPr>
          <w:rFonts w:hint="eastAsia" w:ascii="仿宋_GB2312" w:hAnsi="仿宋_GB2312" w:eastAsia="仿宋_GB2312" w:cs="仿宋_GB2312"/>
          <w:bCs w:val="0"/>
          <w:sz w:val="32"/>
          <w:szCs w:val="32"/>
          <w:highlight w:val="none"/>
        </w:rPr>
        <w:t>入支出决算总表</w:t>
      </w:r>
      <w:r>
        <w:rPr>
          <w:sz w:val="32"/>
          <w:szCs w:val="32"/>
        </w:rPr>
        <w:tab/>
      </w:r>
      <w:r>
        <w:rPr>
          <w:rFonts w:hint="eastAsia"/>
          <w:sz w:val="32"/>
          <w:szCs w:val="32"/>
          <w:lang w:val="en-US" w:eastAsia="zh-CN"/>
        </w:rPr>
        <w:t>1</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6</w:t>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default"/>
          <w:sz w:val="32"/>
          <w:szCs w:val="32"/>
          <w:lang w:val="en-US"/>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_Toc2427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sz w:val="32"/>
          <w:szCs w:val="32"/>
          <w:highlight w:val="none"/>
        </w:rPr>
        <w:t>二、收</w:t>
      </w:r>
      <w:r>
        <w:rPr>
          <w:rFonts w:hint="eastAsia" w:ascii="仿宋_GB2312" w:hAnsi="仿宋_GB2312" w:eastAsia="仿宋_GB2312" w:cs="仿宋_GB2312"/>
          <w:bCs w:val="0"/>
          <w:sz w:val="32"/>
          <w:szCs w:val="32"/>
          <w:highlight w:val="none"/>
        </w:rPr>
        <w:t>入决算表</w:t>
      </w:r>
      <w:r>
        <w:rPr>
          <w:sz w:val="32"/>
          <w:szCs w:val="32"/>
        </w:rPr>
        <w:tab/>
      </w:r>
      <w:r>
        <w:rPr>
          <w:rFonts w:hint="eastAsia"/>
          <w:sz w:val="32"/>
          <w:szCs w:val="32"/>
          <w:lang w:val="en-US" w:eastAsia="zh-CN"/>
        </w:rPr>
        <w:t>1</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6</w:t>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default"/>
          <w:sz w:val="32"/>
          <w:szCs w:val="32"/>
          <w:lang w:val="en-US"/>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_Toc24314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三、</w:t>
      </w:r>
      <w:r>
        <w:rPr>
          <w:rFonts w:hint="eastAsia" w:ascii="仿宋_GB2312" w:hAnsi="仿宋_GB2312" w:eastAsia="仿宋_GB2312" w:cs="仿宋_GB2312"/>
          <w:sz w:val="32"/>
          <w:szCs w:val="32"/>
          <w:highlight w:val="none"/>
        </w:rPr>
        <w:t>支</w:t>
      </w:r>
      <w:r>
        <w:rPr>
          <w:rFonts w:hint="eastAsia" w:ascii="仿宋_GB2312" w:hAnsi="仿宋_GB2312" w:eastAsia="仿宋_GB2312" w:cs="仿宋_GB2312"/>
          <w:bCs w:val="0"/>
          <w:sz w:val="32"/>
          <w:szCs w:val="32"/>
          <w:highlight w:val="none"/>
        </w:rPr>
        <w:t>出决算表</w:t>
      </w:r>
      <w:r>
        <w:rPr>
          <w:sz w:val="32"/>
          <w:szCs w:val="32"/>
        </w:rPr>
        <w:tab/>
      </w:r>
      <w:r>
        <w:rPr>
          <w:rFonts w:hint="eastAsia"/>
          <w:sz w:val="32"/>
          <w:szCs w:val="32"/>
          <w:lang w:val="en-US" w:eastAsia="zh-CN"/>
        </w:rPr>
        <w:t>1</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6</w:t>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default"/>
          <w:sz w:val="32"/>
          <w:szCs w:val="32"/>
          <w:lang w:val="en-US"/>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_Toc10229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四、</w:t>
      </w:r>
      <w:r>
        <w:rPr>
          <w:rFonts w:hint="eastAsia" w:ascii="仿宋_GB2312" w:hAnsi="仿宋_GB2312" w:eastAsia="仿宋_GB2312" w:cs="仿宋_GB2312"/>
          <w:sz w:val="32"/>
          <w:szCs w:val="32"/>
          <w:highlight w:val="none"/>
        </w:rPr>
        <w:t>财</w:t>
      </w:r>
      <w:r>
        <w:rPr>
          <w:rFonts w:hint="eastAsia" w:ascii="仿宋_GB2312" w:hAnsi="仿宋_GB2312" w:eastAsia="仿宋_GB2312" w:cs="仿宋_GB2312"/>
          <w:bCs w:val="0"/>
          <w:sz w:val="32"/>
          <w:szCs w:val="32"/>
          <w:highlight w:val="none"/>
        </w:rPr>
        <w:t>政拨款收入支出决算总表</w:t>
      </w:r>
      <w:r>
        <w:rPr>
          <w:sz w:val="32"/>
          <w:szCs w:val="32"/>
        </w:rPr>
        <w:tab/>
      </w:r>
      <w:r>
        <w:rPr>
          <w:rFonts w:hint="eastAsia"/>
          <w:sz w:val="32"/>
          <w:szCs w:val="32"/>
          <w:lang w:val="en-US" w:eastAsia="zh-CN"/>
        </w:rPr>
        <w:t>1</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6</w:t>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default"/>
          <w:sz w:val="32"/>
          <w:szCs w:val="32"/>
          <w:lang w:val="en-US"/>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_Toc31313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五、</w:t>
      </w:r>
      <w:r>
        <w:rPr>
          <w:rFonts w:hint="eastAsia" w:ascii="仿宋_GB2312" w:hAnsi="仿宋_GB2312" w:eastAsia="仿宋_GB2312" w:cs="仿宋_GB2312"/>
          <w:sz w:val="32"/>
          <w:szCs w:val="32"/>
          <w:highlight w:val="none"/>
        </w:rPr>
        <w:t>财</w:t>
      </w:r>
      <w:r>
        <w:rPr>
          <w:rFonts w:hint="eastAsia" w:ascii="仿宋_GB2312" w:hAnsi="仿宋_GB2312" w:eastAsia="仿宋_GB2312" w:cs="仿宋_GB2312"/>
          <w:bCs w:val="0"/>
          <w:sz w:val="32"/>
          <w:szCs w:val="32"/>
          <w:highlight w:val="none"/>
        </w:rPr>
        <w:t>政拨款支出决算明细表</w:t>
      </w:r>
      <w:r>
        <w:rPr>
          <w:sz w:val="32"/>
          <w:szCs w:val="32"/>
        </w:rPr>
        <w:tab/>
      </w:r>
      <w:r>
        <w:rPr>
          <w:rFonts w:hint="eastAsia"/>
          <w:sz w:val="32"/>
          <w:szCs w:val="32"/>
          <w:lang w:val="en-US" w:eastAsia="zh-CN"/>
        </w:rPr>
        <w:t>1</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6</w:t>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rFonts w:hint="default"/>
          <w:sz w:val="32"/>
          <w:szCs w:val="32"/>
          <w:lang w:val="en-US"/>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_Toc7752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六、</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般公共预算财政拨款支出决算表</w:t>
      </w:r>
      <w:r>
        <w:rPr>
          <w:sz w:val="32"/>
          <w:szCs w:val="32"/>
        </w:rPr>
        <w:tab/>
      </w:r>
      <w:r>
        <w:rPr>
          <w:rFonts w:hint="eastAsia"/>
          <w:sz w:val="32"/>
          <w:szCs w:val="32"/>
          <w:lang w:val="en-US" w:eastAsia="zh-CN"/>
        </w:rPr>
        <w:t>1</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6</w:t>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_Toc14447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七、</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般公共预算财政拨款支出决算明细表</w:t>
      </w:r>
      <w:r>
        <w:rPr>
          <w:sz w:val="32"/>
          <w:szCs w:val="32"/>
        </w:rPr>
        <w:tab/>
      </w:r>
      <w:r>
        <w:rPr>
          <w:sz w:val="32"/>
          <w:szCs w:val="32"/>
        </w:rPr>
        <w:fldChar w:fldCharType="begin"/>
      </w:r>
      <w:r>
        <w:rPr>
          <w:sz w:val="32"/>
          <w:szCs w:val="32"/>
        </w:rPr>
        <w:instrText xml:space="preserve"> PAGEREF _Toc14447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_Toc4678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八、</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般公共预算财政拨款基本支出决算表</w:t>
      </w:r>
      <w:r>
        <w:rPr>
          <w:sz w:val="32"/>
          <w:szCs w:val="32"/>
        </w:rPr>
        <w:tab/>
      </w:r>
      <w:r>
        <w:rPr>
          <w:sz w:val="32"/>
          <w:szCs w:val="32"/>
        </w:rPr>
        <w:fldChar w:fldCharType="begin"/>
      </w:r>
      <w:r>
        <w:rPr>
          <w:sz w:val="32"/>
          <w:szCs w:val="32"/>
        </w:rPr>
        <w:instrText xml:space="preserve"> PAGEREF _Toc4678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_Toc7306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九、</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般公共预算财政拨款项目支出决算表</w:t>
      </w:r>
      <w:r>
        <w:rPr>
          <w:sz w:val="32"/>
          <w:szCs w:val="32"/>
        </w:rPr>
        <w:tab/>
      </w:r>
      <w:r>
        <w:rPr>
          <w:sz w:val="32"/>
          <w:szCs w:val="32"/>
        </w:rPr>
        <w:fldChar w:fldCharType="begin"/>
      </w:r>
      <w:r>
        <w:rPr>
          <w:sz w:val="32"/>
          <w:szCs w:val="32"/>
        </w:rPr>
        <w:instrText xml:space="preserve"> PAGEREF _Toc7306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_Toc17486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十、</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bCs w:val="0"/>
          <w:sz w:val="32"/>
          <w:szCs w:val="32"/>
          <w:highlight w:val="none"/>
        </w:rPr>
        <w:t>般公共预算财政拨款“三公”经费支出决算表</w:t>
      </w:r>
      <w:r>
        <w:rPr>
          <w:sz w:val="32"/>
          <w:szCs w:val="32"/>
        </w:rPr>
        <w:tab/>
      </w:r>
      <w:r>
        <w:rPr>
          <w:sz w:val="32"/>
          <w:szCs w:val="32"/>
        </w:rPr>
        <w:fldChar w:fldCharType="begin"/>
      </w:r>
      <w:r>
        <w:rPr>
          <w:sz w:val="32"/>
          <w:szCs w:val="32"/>
        </w:rPr>
        <w:instrText xml:space="preserve"> PAGEREF _Toc17486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_Toc3971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十一、</w:t>
      </w:r>
      <w:r>
        <w:rPr>
          <w:rFonts w:hint="eastAsia" w:ascii="仿宋_GB2312" w:hAnsi="仿宋_GB2312" w:eastAsia="仿宋_GB2312" w:cs="仿宋_GB2312"/>
          <w:sz w:val="32"/>
          <w:szCs w:val="32"/>
          <w:highlight w:val="none"/>
        </w:rPr>
        <w:t>政</w:t>
      </w:r>
      <w:r>
        <w:rPr>
          <w:rFonts w:hint="eastAsia" w:ascii="仿宋_GB2312" w:hAnsi="仿宋_GB2312" w:eastAsia="仿宋_GB2312" w:cs="仿宋_GB2312"/>
          <w:bCs w:val="0"/>
          <w:sz w:val="32"/>
          <w:szCs w:val="32"/>
          <w:highlight w:val="none"/>
        </w:rPr>
        <w:t>府性基金预算财政拨款收入支出决算表</w:t>
      </w:r>
      <w:r>
        <w:rPr>
          <w:sz w:val="32"/>
          <w:szCs w:val="32"/>
        </w:rPr>
        <w:tab/>
      </w:r>
      <w:r>
        <w:rPr>
          <w:sz w:val="32"/>
          <w:szCs w:val="32"/>
        </w:rPr>
        <w:fldChar w:fldCharType="begin"/>
      </w:r>
      <w:r>
        <w:rPr>
          <w:sz w:val="32"/>
          <w:szCs w:val="32"/>
        </w:rPr>
        <w:instrText xml:space="preserve"> PAGEREF _Toc3971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_Toc25556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lang w:eastAsia="zh-CN"/>
        </w:rPr>
        <w:t>十</w:t>
      </w:r>
      <w:r>
        <w:rPr>
          <w:rFonts w:hint="eastAsia" w:ascii="仿宋_GB2312" w:hAnsi="仿宋_GB2312" w:eastAsia="仿宋_GB2312" w:cs="仿宋_GB2312"/>
          <w:bCs w:val="0"/>
          <w:sz w:val="32"/>
          <w:szCs w:val="32"/>
          <w:highlight w:val="none"/>
        </w:rPr>
        <w:t>二、</w:t>
      </w:r>
      <w:r>
        <w:rPr>
          <w:rFonts w:hint="eastAsia" w:ascii="仿宋_GB2312" w:hAnsi="仿宋_GB2312" w:eastAsia="仿宋_GB2312" w:cs="仿宋_GB2312"/>
          <w:sz w:val="32"/>
          <w:szCs w:val="32"/>
          <w:highlight w:val="none"/>
        </w:rPr>
        <w:t>政</w:t>
      </w:r>
      <w:r>
        <w:rPr>
          <w:rFonts w:hint="eastAsia" w:ascii="仿宋_GB2312" w:hAnsi="仿宋_GB2312" w:eastAsia="仿宋_GB2312" w:cs="仿宋_GB2312"/>
          <w:bCs w:val="0"/>
          <w:sz w:val="32"/>
          <w:szCs w:val="32"/>
          <w:highlight w:val="none"/>
        </w:rPr>
        <w:t>府性基金预算财政拨款“三公”经费支出决算表</w:t>
      </w:r>
      <w:r>
        <w:rPr>
          <w:sz w:val="32"/>
          <w:szCs w:val="32"/>
        </w:rPr>
        <w:tab/>
      </w:r>
      <w:r>
        <w:rPr>
          <w:sz w:val="32"/>
          <w:szCs w:val="32"/>
        </w:rPr>
        <w:fldChar w:fldCharType="begin"/>
      </w:r>
      <w:r>
        <w:rPr>
          <w:sz w:val="32"/>
          <w:szCs w:val="32"/>
        </w:rPr>
        <w:instrText xml:space="preserve"> PAGEREF _Toc25556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_Toc3271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rPr>
        <w:t>十三、</w:t>
      </w:r>
      <w:r>
        <w:rPr>
          <w:rFonts w:hint="eastAsia" w:ascii="仿宋_GB2312" w:hAnsi="仿宋_GB2312" w:eastAsia="仿宋_GB2312" w:cs="仿宋_GB2312"/>
          <w:sz w:val="32"/>
          <w:szCs w:val="32"/>
          <w:highlight w:val="none"/>
        </w:rPr>
        <w:t>国</w:t>
      </w:r>
      <w:r>
        <w:rPr>
          <w:rFonts w:hint="eastAsia" w:ascii="仿宋_GB2312" w:hAnsi="仿宋_GB2312" w:eastAsia="仿宋_GB2312" w:cs="仿宋_GB2312"/>
          <w:bCs w:val="0"/>
          <w:sz w:val="32"/>
          <w:szCs w:val="32"/>
          <w:highlight w:val="none"/>
        </w:rPr>
        <w:t>有资本经营预算</w:t>
      </w:r>
      <w:r>
        <w:rPr>
          <w:rFonts w:hint="eastAsia" w:ascii="仿宋_GB2312" w:hAnsi="仿宋_GB2312" w:eastAsia="仿宋_GB2312" w:cs="仿宋_GB2312"/>
          <w:bCs w:val="0"/>
          <w:sz w:val="32"/>
          <w:szCs w:val="32"/>
          <w:highlight w:val="none"/>
          <w:lang w:eastAsia="zh-CN"/>
        </w:rPr>
        <w:t>财政拨款收入</w:t>
      </w:r>
      <w:r>
        <w:rPr>
          <w:rFonts w:hint="eastAsia" w:ascii="仿宋_GB2312" w:hAnsi="仿宋_GB2312" w:eastAsia="仿宋_GB2312" w:cs="仿宋_GB2312"/>
          <w:bCs w:val="0"/>
          <w:sz w:val="32"/>
          <w:szCs w:val="32"/>
          <w:highlight w:val="none"/>
        </w:rPr>
        <w:t>支出决算表</w:t>
      </w:r>
      <w:r>
        <w:rPr>
          <w:sz w:val="32"/>
          <w:szCs w:val="32"/>
        </w:rPr>
        <w:tab/>
      </w:r>
      <w:r>
        <w:rPr>
          <w:sz w:val="32"/>
          <w:szCs w:val="32"/>
        </w:rPr>
        <w:fldChar w:fldCharType="begin"/>
      </w:r>
      <w:r>
        <w:rPr>
          <w:sz w:val="32"/>
          <w:szCs w:val="32"/>
        </w:rPr>
        <w:instrText xml:space="preserve"> PAGEREF _Toc3271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p>
      <w:pPr>
        <w:pStyle w:val="12"/>
        <w:keepNext w:val="0"/>
        <w:keepLines w:val="0"/>
        <w:pageBreakBefore w:val="0"/>
        <w:tabs>
          <w:tab w:val="right" w:leader="dot" w:pos="8845"/>
          <w:tab w:val="clear" w:pos="8296"/>
        </w:tabs>
        <w:kinsoku/>
        <w:wordWrap/>
        <w:overflowPunct/>
        <w:topLinePunct w:val="0"/>
        <w:autoSpaceDE/>
        <w:autoSpaceDN/>
        <w:bidi w:val="0"/>
        <w:adjustRightInd/>
        <w:snapToGrid/>
        <w:spacing w:line="579" w:lineRule="exact"/>
        <w:ind w:left="0" w:leftChars="0"/>
        <w:textAlignment w:val="auto"/>
        <w:rPr>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_Toc2350 </w:instrText>
      </w:r>
      <w:r>
        <w:rPr>
          <w:rFonts w:hint="eastAsia" w:ascii="黑体" w:hAnsi="黑体" w:eastAsia="黑体" w:cs="黑体"/>
          <w:sz w:val="32"/>
          <w:szCs w:val="32"/>
          <w:lang w:val="en-US" w:eastAsia="zh-CN"/>
        </w:rPr>
        <w:fldChar w:fldCharType="separate"/>
      </w:r>
      <w:r>
        <w:rPr>
          <w:rFonts w:hint="eastAsia" w:ascii="仿宋_GB2312" w:hAnsi="仿宋_GB2312" w:eastAsia="仿宋_GB2312" w:cs="仿宋_GB2312"/>
          <w:bCs w:val="0"/>
          <w:sz w:val="32"/>
          <w:szCs w:val="32"/>
          <w:highlight w:val="none"/>
          <w:lang w:eastAsia="zh-CN"/>
        </w:rPr>
        <w:t>十四、国有资本经营预算财政拨款支出决算表</w:t>
      </w:r>
      <w:r>
        <w:rPr>
          <w:sz w:val="32"/>
          <w:szCs w:val="32"/>
        </w:rPr>
        <w:tab/>
      </w:r>
      <w:r>
        <w:rPr>
          <w:sz w:val="32"/>
          <w:szCs w:val="32"/>
        </w:rPr>
        <w:fldChar w:fldCharType="begin"/>
      </w:r>
      <w:r>
        <w:rPr>
          <w:sz w:val="32"/>
          <w:szCs w:val="32"/>
        </w:rPr>
        <w:instrText xml:space="preserve"> PAGEREF _Toc2350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z w:val="32"/>
          <w:szCs w:val="32"/>
          <w:lang w:val="en-US" w:eastAsia="zh-CN"/>
        </w:rPr>
        <w:fldChar w:fldCharType="end"/>
      </w:r>
    </w:p>
    <w:bookmarkEnd w:id="21"/>
    <w:p>
      <w:pPr>
        <w:pStyle w:val="3"/>
        <w:pageBreakBefore w:val="0"/>
        <w:numPr>
          <w:ilvl w:val="0"/>
          <w:numId w:val="0"/>
        </w:numPr>
        <w:tabs>
          <w:tab w:val="center" w:pos="4422"/>
        </w:tabs>
        <w:kinsoku/>
        <w:wordWrap/>
        <w:overflowPunct/>
        <w:topLinePunct w:val="0"/>
        <w:bidi w:val="0"/>
        <w:spacing w:before="0" w:after="0" w:line="579" w:lineRule="exact"/>
        <w:ind w:right="0" w:rightChars="0"/>
        <w:jc w:val="center"/>
        <w:outlineLvl w:val="0"/>
        <w:rPr>
          <w:rFonts w:hint="eastAsia" w:ascii="方正小标宋简体" w:hAnsi="方正小标宋简体" w:eastAsia="方正小标宋简体" w:cs="方正小标宋简体"/>
          <w:b w:val="0"/>
          <w:color w:val="auto"/>
          <w:highlight w:val="none"/>
          <w:lang w:eastAsia="zh-CN"/>
        </w:rPr>
        <w:sectPr>
          <w:footerReference r:id="rId6" w:type="default"/>
          <w:pgSz w:w="11906" w:h="16838"/>
          <w:pgMar w:top="2098" w:right="1474" w:bottom="1984" w:left="1587" w:header="851" w:footer="992" w:gutter="0"/>
          <w:pgNumType w:fmt="decimal" w:start="1"/>
          <w:cols w:space="0" w:num="1"/>
          <w:rtlGutter w:val="0"/>
          <w:docGrid w:type="lines" w:linePitch="312" w:charSpace="0"/>
        </w:sectPr>
      </w:pPr>
      <w:bookmarkStart w:id="22" w:name="_Toc25688"/>
      <w:bookmarkStart w:id="23" w:name="_Toc20435"/>
      <w:bookmarkStart w:id="24" w:name="_Toc30087"/>
    </w:p>
    <w:p>
      <w:pPr>
        <w:pStyle w:val="3"/>
        <w:pageBreakBefore w:val="0"/>
        <w:numPr>
          <w:ilvl w:val="0"/>
          <w:numId w:val="0"/>
        </w:numPr>
        <w:tabs>
          <w:tab w:val="center" w:pos="4422"/>
        </w:tabs>
        <w:kinsoku/>
        <w:wordWrap/>
        <w:overflowPunct/>
        <w:topLinePunct w:val="0"/>
        <w:bidi w:val="0"/>
        <w:spacing w:before="0" w:after="0" w:line="579" w:lineRule="exact"/>
        <w:ind w:right="0" w:rightChars="0"/>
        <w:jc w:val="center"/>
        <w:outlineLvl w:val="0"/>
        <w:rPr>
          <w:rStyle w:val="26"/>
          <w:rFonts w:hint="eastAsia" w:ascii="方正小标宋简体" w:hAnsi="方正小标宋简体" w:eastAsia="方正小标宋简体" w:cs="方正小标宋简体"/>
          <w:b w:val="0"/>
          <w:bCs w:val="0"/>
          <w:color w:val="auto"/>
          <w:highlight w:val="none"/>
          <w:lang w:eastAsia="zh-CN"/>
        </w:rPr>
      </w:pPr>
      <w:r>
        <w:rPr>
          <w:rFonts w:hint="eastAsia" w:ascii="方正小标宋简体" w:hAnsi="方正小标宋简体" w:eastAsia="方正小标宋简体" w:cs="方正小标宋简体"/>
          <w:b w:val="0"/>
          <w:color w:val="auto"/>
          <w:highlight w:val="none"/>
          <w:lang w:eastAsia="zh-CN"/>
        </w:rPr>
        <w:t>第一部分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lang w:eastAsia="zh-CN"/>
        </w:rPr>
        <w:t>单位</w:t>
      </w:r>
      <w:r>
        <w:rPr>
          <w:rStyle w:val="26"/>
          <w:rFonts w:hint="eastAsia" w:ascii="方正小标宋简体" w:hAnsi="方正小标宋简体" w:eastAsia="方正小标宋简体" w:cs="方正小标宋简体"/>
          <w:b w:val="0"/>
          <w:bCs w:val="0"/>
          <w:color w:val="auto"/>
          <w:highlight w:val="none"/>
        </w:rPr>
        <w:t>概况</w:t>
      </w:r>
      <w:bookmarkEnd w:id="22"/>
      <w:bookmarkEnd w:id="23"/>
      <w:bookmarkEnd w:id="24"/>
    </w:p>
    <w:p>
      <w:pPr>
        <w:pageBreakBefore w:val="0"/>
        <w:numPr>
          <w:ilvl w:val="0"/>
          <w:numId w:val="0"/>
        </w:numPr>
        <w:kinsoku/>
        <w:wordWrap/>
        <w:overflowPunct/>
        <w:topLinePunct w:val="0"/>
        <w:bidi w:val="0"/>
        <w:spacing w:line="579" w:lineRule="exact"/>
        <w:ind w:left="0" w:leftChars="0" w:firstLine="420" w:firstLineChars="200"/>
        <w:jc w:val="both"/>
        <w:rPr>
          <w:rFonts w:hint="eastAsia"/>
        </w:rPr>
      </w:pPr>
    </w:p>
    <w:p>
      <w:pPr>
        <w:pStyle w:val="4"/>
        <w:pageBreakBefore w:val="0"/>
        <w:kinsoku/>
        <w:wordWrap/>
        <w:overflowPunct/>
        <w:topLinePunct w:val="0"/>
        <w:bidi w:val="0"/>
        <w:spacing w:before="0" w:after="0" w:line="579" w:lineRule="exact"/>
        <w:ind w:left="0" w:leftChars="0" w:firstLine="640" w:firstLineChars="200"/>
        <w:jc w:val="both"/>
        <w:rPr>
          <w:rFonts w:hint="eastAsia" w:ascii="黑体" w:hAnsi="黑体" w:eastAsia="黑体"/>
          <w:b w:val="0"/>
          <w:color w:val="auto"/>
        </w:rPr>
      </w:pPr>
      <w:bookmarkStart w:id="25" w:name="_Toc11588"/>
      <w:bookmarkStart w:id="26" w:name="_Toc6131"/>
      <w:bookmarkStart w:id="27" w:name="_Toc12932"/>
      <w:bookmarkStart w:id="28" w:name="_Toc15396600"/>
      <w:bookmarkStart w:id="29" w:name="_Toc15377197"/>
      <w:r>
        <w:rPr>
          <w:rFonts w:hint="eastAsia" w:ascii="黑体" w:hAnsi="黑体" w:eastAsia="黑体"/>
          <w:b w:val="0"/>
          <w:color w:val="auto"/>
        </w:rPr>
        <w:t>一、职能简介</w:t>
      </w:r>
      <w:bookmarkEnd w:id="25"/>
    </w:p>
    <w:bookmarkEnd w:id="26"/>
    <w:bookmarkEnd w:id="27"/>
    <w:p>
      <w:pPr>
        <w:pStyle w:val="4"/>
        <w:pageBreakBefore w:val="0"/>
        <w:numPr>
          <w:ilvl w:val="0"/>
          <w:numId w:val="0"/>
        </w:numPr>
        <w:kinsoku/>
        <w:wordWrap/>
        <w:overflowPunct/>
        <w:topLinePunct w:val="0"/>
        <w:bidi w:val="0"/>
        <w:spacing w:before="0" w:after="0" w:line="579" w:lineRule="exact"/>
        <w:ind w:left="0" w:leftChars="0" w:right="0" w:firstLine="640" w:firstLineChars="200"/>
        <w:jc w:val="both"/>
        <w:rPr>
          <w:rFonts w:hint="eastAsia" w:ascii="仿宋_GB2312" w:hAnsi="仿宋_GB2312" w:eastAsia="仿宋_GB2312" w:cs="仿宋_GB2312"/>
          <w:b w:val="0"/>
          <w:bCs/>
          <w:color w:val="000000"/>
          <w:sz w:val="32"/>
          <w:szCs w:val="32"/>
          <w:highlight w:val="none"/>
          <w:lang w:val="en-US" w:eastAsia="zh-CN"/>
        </w:rPr>
      </w:pPr>
      <w:bookmarkStart w:id="30" w:name="_Toc22577"/>
      <w:bookmarkStart w:id="31" w:name="_Toc18336"/>
      <w:bookmarkStart w:id="32" w:name="_Toc11124"/>
      <w:r>
        <w:rPr>
          <w:rFonts w:hint="eastAsia" w:ascii="仿宋_GB2312" w:hAnsi="仿宋_GB2312" w:eastAsia="仿宋_GB2312" w:cs="仿宋_GB2312"/>
          <w:b w:val="0"/>
          <w:bCs/>
          <w:color w:val="000000"/>
          <w:sz w:val="32"/>
          <w:szCs w:val="32"/>
          <w:highlight w:val="none"/>
          <w:lang w:val="en-US" w:eastAsia="zh-CN"/>
        </w:rPr>
        <w:t>主要职能为审查调查工作提供后勤保障</w:t>
      </w:r>
      <w:bookmarkEnd w:id="30"/>
      <w:bookmarkEnd w:id="31"/>
      <w:bookmarkEnd w:id="32"/>
      <w:bookmarkStart w:id="33" w:name="_Toc18968"/>
      <w:bookmarkStart w:id="34" w:name="_Toc658"/>
      <w:bookmarkStart w:id="35" w:name="_Toc28100"/>
      <w:r>
        <w:rPr>
          <w:rFonts w:hint="eastAsia" w:ascii="仿宋_GB2312" w:hAnsi="仿宋_GB2312" w:eastAsia="仿宋_GB2312" w:cs="仿宋_GB2312"/>
          <w:b w:val="0"/>
          <w:bCs/>
          <w:color w:val="000000"/>
          <w:sz w:val="32"/>
          <w:szCs w:val="32"/>
          <w:highlight w:val="none"/>
          <w:lang w:val="en-US" w:eastAsia="zh-CN"/>
        </w:rPr>
        <w:t>。负责全市纪检监察机关查办重大违纪案件的后勤保障和服务管理工作，为市、县（区）纪委监察查办案件、实施留置措施提供专用工作区硬件支持和服务保障。</w:t>
      </w:r>
      <w:bookmarkEnd w:id="33"/>
      <w:bookmarkEnd w:id="34"/>
      <w:bookmarkEnd w:id="35"/>
    </w:p>
    <w:bookmarkEnd w:id="28"/>
    <w:bookmarkEnd w:id="29"/>
    <w:p>
      <w:pPr>
        <w:pStyle w:val="4"/>
        <w:pageBreakBefore w:val="0"/>
        <w:kinsoku/>
        <w:wordWrap/>
        <w:overflowPunct/>
        <w:topLinePunct w:val="0"/>
        <w:bidi w:val="0"/>
        <w:spacing w:before="0" w:after="0" w:line="579" w:lineRule="exact"/>
        <w:ind w:left="0" w:leftChars="0" w:firstLine="640" w:firstLineChars="200"/>
        <w:jc w:val="both"/>
        <w:rPr>
          <w:rFonts w:hint="eastAsia" w:ascii="黑体" w:hAnsi="黑体" w:eastAsia="黑体"/>
          <w:b w:val="0"/>
          <w:color w:val="auto"/>
        </w:rPr>
      </w:pPr>
      <w:bookmarkStart w:id="36" w:name="_Toc12005"/>
      <w:bookmarkStart w:id="37" w:name="_Toc31510"/>
      <w:bookmarkStart w:id="38" w:name="_Toc5963"/>
      <w:r>
        <w:rPr>
          <w:rFonts w:hint="eastAsia" w:ascii="黑体" w:hAnsi="黑体" w:eastAsia="黑体"/>
          <w:b w:val="0"/>
          <w:color w:val="auto"/>
        </w:rPr>
        <w:t>二、2021年重点工作完成情况</w:t>
      </w:r>
      <w:bookmarkEnd w:id="36"/>
    </w:p>
    <w:p>
      <w:pPr>
        <w:pStyle w:val="6"/>
        <w:pageBreakBefore w:val="0"/>
        <w:kinsoku/>
        <w:wordWrap/>
        <w:overflowPunct/>
        <w:topLinePunct w:val="0"/>
        <w:bidi w:val="0"/>
        <w:adjustRightInd w:val="0"/>
        <w:snapToGrid w:val="0"/>
        <w:spacing w:beforeLines="0" w:line="579" w:lineRule="exact"/>
        <w:ind w:left="0" w:leftChars="0" w:firstLine="640" w:firstLineChars="200"/>
        <w:jc w:val="both"/>
        <w:outlineLvl w:val="2"/>
        <w:rPr>
          <w:rFonts w:hint="eastAsia" w:ascii="仿宋_GB2312" w:hAnsi="仿宋_GB2312" w:eastAsia="仿宋_GB2312" w:cs="仿宋_GB2312"/>
          <w:sz w:val="32"/>
          <w:szCs w:val="32"/>
          <w:lang w:eastAsia="zh-CN"/>
        </w:rPr>
      </w:pPr>
      <w:bookmarkStart w:id="39" w:name="_Toc22339"/>
      <w:r>
        <w:rPr>
          <w:rFonts w:hint="eastAsia" w:ascii="仿宋_GB2312" w:hAnsi="仿宋_GB2312" w:eastAsia="仿宋_GB2312" w:cs="仿宋_GB2312"/>
          <w:sz w:val="32"/>
          <w:szCs w:val="32"/>
        </w:rPr>
        <w:t>2021年,在市纪委监委的坚强领导下,党风廉政教育中心</w:t>
      </w:r>
      <w:r>
        <w:rPr>
          <w:rFonts w:hint="eastAsia" w:ascii="仿宋_GB2312" w:hAnsi="仿宋_GB2312" w:eastAsia="仿宋_GB2312" w:cs="仿宋_GB2312"/>
          <w:bCs/>
          <w:color w:val="000000"/>
          <w:kern w:val="0"/>
          <w:sz w:val="32"/>
          <w:szCs w:val="32"/>
          <w:lang w:val="en-US" w:eastAsia="zh-CN" w:bidi="ar-SA"/>
        </w:rPr>
        <w:t>鲜明“四高四专”工作理念，落实“四心四不”工作要求，推动各项工作稳中求进、创新发展。</w:t>
      </w:r>
      <w:r>
        <w:rPr>
          <w:rFonts w:hint="eastAsia" w:ascii="仿宋_GB2312" w:hAnsi="仿宋_GB2312" w:eastAsia="仿宋_GB2312" w:cs="仿宋_GB2312"/>
          <w:sz w:val="32"/>
          <w:szCs w:val="32"/>
        </w:rPr>
        <w:t>建立健全规章制度，干部精神状态得以提振，服务保障能力得以提高，规范管理要求得以提升，安全、高效、有序地保障了</w:t>
      </w:r>
      <w:r>
        <w:rPr>
          <w:rFonts w:hint="eastAsia" w:hAnsi="仿宋_GB2312" w:cs="仿宋_GB2312"/>
          <w:sz w:val="32"/>
          <w:szCs w:val="32"/>
          <w:lang w:val="en-US" w:eastAsia="zh-CN"/>
        </w:rPr>
        <w:t>以</w:t>
      </w:r>
      <w:r>
        <w:rPr>
          <w:rFonts w:hint="eastAsia" w:ascii="仿宋_GB2312" w:hAnsi="仿宋_GB2312" w:eastAsia="仿宋_GB2312" w:cs="仿宋_GB2312"/>
          <w:sz w:val="32"/>
          <w:szCs w:val="32"/>
        </w:rPr>
        <w:t>审查调查为中心的各项工作</w:t>
      </w:r>
      <w:bookmarkEnd w:id="37"/>
      <w:bookmarkEnd w:id="38"/>
      <w:bookmarkStart w:id="40" w:name="_Toc15377200"/>
      <w:bookmarkStart w:id="41" w:name="_Toc15396601"/>
      <w:bookmarkStart w:id="42" w:name="_Toc16333"/>
      <w:bookmarkStart w:id="43" w:name="_Toc2656"/>
      <w:r>
        <w:rPr>
          <w:rFonts w:hint="eastAsia" w:ascii="仿宋_GB2312" w:hAnsi="仿宋_GB2312" w:eastAsia="仿宋_GB2312" w:cs="仿宋_GB2312"/>
          <w:sz w:val="32"/>
          <w:szCs w:val="32"/>
          <w:lang w:eastAsia="zh-CN"/>
        </w:rPr>
        <w:t>。</w:t>
      </w:r>
      <w:bookmarkEnd w:id="39"/>
      <w:bookmarkEnd w:id="40"/>
      <w:bookmarkEnd w:id="41"/>
      <w:bookmarkEnd w:id="42"/>
      <w:bookmarkEnd w:id="43"/>
      <w:bookmarkStart w:id="44" w:name="_Toc24795"/>
      <w:bookmarkStart w:id="45" w:name="_Toc15377204"/>
      <w:bookmarkStart w:id="46" w:name="_Toc1846"/>
      <w:bookmarkStart w:id="47" w:name="_Toc15396602"/>
      <w:bookmarkStart w:id="48" w:name="_Toc19973"/>
    </w:p>
    <w:p>
      <w:pPr>
        <w:pStyle w:val="6"/>
        <w:pageBreakBefore w:val="0"/>
        <w:kinsoku/>
        <w:wordWrap/>
        <w:overflowPunct/>
        <w:topLinePunct w:val="0"/>
        <w:bidi w:val="0"/>
        <w:adjustRightInd w:val="0"/>
        <w:snapToGrid w:val="0"/>
        <w:spacing w:beforeLines="0" w:line="579" w:lineRule="exact"/>
        <w:ind w:left="0" w:leftChars="0" w:firstLine="640" w:firstLineChars="200"/>
        <w:jc w:val="both"/>
        <w:outlineLvl w:val="2"/>
        <w:rPr>
          <w:rFonts w:hint="eastAsia" w:ascii="仿宋_GB2312" w:hAnsi="仿宋_GB2312" w:eastAsia="仿宋_GB2312" w:cs="仿宋_GB2312"/>
          <w:sz w:val="32"/>
          <w:szCs w:val="32"/>
          <w:lang w:eastAsia="zh-CN"/>
        </w:rPr>
      </w:pPr>
    </w:p>
    <w:p>
      <w:pPr>
        <w:pStyle w:val="3"/>
        <w:pageBreakBefore w:val="0"/>
        <w:kinsoku/>
        <w:wordWrap/>
        <w:overflowPunct/>
        <w:topLinePunct w:val="0"/>
        <w:bidi w:val="0"/>
        <w:spacing w:before="0" w:after="0" w:line="579" w:lineRule="exact"/>
        <w:ind w:right="0"/>
        <w:jc w:val="center"/>
        <w:rPr>
          <w:rStyle w:val="26"/>
          <w:rFonts w:hint="eastAsia" w:ascii="方正小标宋简体" w:hAnsi="方正小标宋简体" w:eastAsia="方正小标宋简体" w:cs="方正小标宋简体"/>
          <w:b w:val="0"/>
          <w:bCs/>
          <w:color w:val="auto"/>
          <w:highlight w:val="none"/>
        </w:rPr>
      </w:pPr>
      <w:r>
        <w:rPr>
          <w:rFonts w:hint="eastAsia" w:ascii="方正小标宋简体" w:hAnsi="方正小标宋简体" w:eastAsia="方正小标宋简体" w:cs="方正小标宋简体"/>
          <w:b w:val="0"/>
          <w:bCs/>
          <w:color w:val="auto"/>
          <w:highlight w:val="none"/>
        </w:rPr>
        <w:t xml:space="preserve">第二部分 </w:t>
      </w:r>
      <w:r>
        <w:rPr>
          <w:rFonts w:hint="eastAsia" w:ascii="方正小标宋简体" w:hAnsi="方正小标宋简体" w:eastAsia="方正小标宋简体" w:cs="方正小标宋简体"/>
          <w:b w:val="0"/>
          <w:bCs/>
          <w:color w:val="auto"/>
          <w:highlight w:val="none"/>
          <w:lang w:val="en-US" w:eastAsia="zh-CN"/>
        </w:rPr>
        <w:t>2021年度</w:t>
      </w:r>
      <w:r>
        <w:rPr>
          <w:rStyle w:val="26"/>
          <w:rFonts w:hint="eastAsia" w:ascii="方正小标宋简体" w:hAnsi="方正小标宋简体" w:eastAsia="方正小标宋简体" w:cs="方正小标宋简体"/>
          <w:b w:val="0"/>
          <w:bCs/>
          <w:color w:val="auto"/>
          <w:highlight w:val="none"/>
          <w:lang w:eastAsia="zh-CN"/>
        </w:rPr>
        <w:t>单位</w:t>
      </w:r>
      <w:r>
        <w:rPr>
          <w:rStyle w:val="26"/>
          <w:rFonts w:hint="eastAsia" w:ascii="方正小标宋简体" w:hAnsi="方正小标宋简体" w:eastAsia="方正小标宋简体" w:cs="方正小标宋简体"/>
          <w:b w:val="0"/>
          <w:bCs/>
          <w:color w:val="auto"/>
          <w:highlight w:val="none"/>
        </w:rPr>
        <w:t>决算情况说明</w:t>
      </w:r>
      <w:bookmarkEnd w:id="44"/>
      <w:bookmarkEnd w:id="45"/>
      <w:bookmarkEnd w:id="46"/>
      <w:bookmarkEnd w:id="47"/>
      <w:bookmarkEnd w:id="48"/>
    </w:p>
    <w:p>
      <w:pPr>
        <w:pageBreakBefore w:val="0"/>
        <w:kinsoku/>
        <w:wordWrap/>
        <w:overflowPunct/>
        <w:topLinePunct w:val="0"/>
        <w:bidi w:val="0"/>
        <w:spacing w:line="579" w:lineRule="exact"/>
        <w:ind w:left="0" w:leftChars="0" w:right="0" w:firstLine="420" w:firstLineChars="200"/>
        <w:jc w:val="both"/>
        <w:rPr>
          <w:color w:val="auto"/>
          <w:highlight w:val="none"/>
        </w:rPr>
      </w:pPr>
    </w:p>
    <w:p>
      <w:pPr>
        <w:pStyle w:val="25"/>
        <w:pageBreakBefore w:val="0"/>
        <w:numPr>
          <w:ilvl w:val="0"/>
          <w:numId w:val="0"/>
        </w:numPr>
        <w:kinsoku/>
        <w:wordWrap/>
        <w:overflowPunct/>
        <w:topLinePunct w:val="0"/>
        <w:bidi w:val="0"/>
        <w:spacing w:line="579" w:lineRule="exact"/>
        <w:ind w:left="0" w:leftChars="0" w:right="0" w:rightChars="0" w:firstLine="640" w:firstLineChars="200"/>
        <w:jc w:val="both"/>
        <w:outlineLvl w:val="1"/>
        <w:rPr>
          <w:rStyle w:val="27"/>
          <w:rFonts w:hint="eastAsia" w:ascii="黑体" w:hAnsi="黑体" w:eastAsia="黑体"/>
          <w:b w:val="0"/>
          <w:color w:val="auto"/>
          <w:highlight w:val="none"/>
          <w:lang w:eastAsia="zh-CN"/>
        </w:rPr>
      </w:pPr>
      <w:bookmarkStart w:id="49" w:name="_Toc5305"/>
      <w:bookmarkStart w:id="50" w:name="_Toc15377205"/>
      <w:bookmarkStart w:id="51" w:name="_Toc31253"/>
      <w:bookmarkStart w:id="52" w:name="_Toc15396603"/>
      <w:bookmarkStart w:id="53" w:name="_Toc701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49"/>
      <w:bookmarkEnd w:id="50"/>
      <w:bookmarkEnd w:id="51"/>
      <w:bookmarkEnd w:id="52"/>
      <w:bookmarkEnd w:id="53"/>
    </w:p>
    <w:p>
      <w:pPr>
        <w:pageBreakBefore w:val="0"/>
        <w:kinsoku/>
        <w:wordWrap/>
        <w:overflowPunct/>
        <w:topLinePunct w:val="0"/>
        <w:bidi w:val="0"/>
        <w:spacing w:line="579" w:lineRule="exact"/>
        <w:ind w:left="0" w:leftChars="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年度收、支总计1892.95万元。与20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w:t>
      </w:r>
      <w:r>
        <w:rPr>
          <w:rFonts w:hint="eastAsia" w:ascii="仿宋_GB2312" w:hAnsi="仿宋_GB2312" w:eastAsia="仿宋_GB2312" w:cs="仿宋_GB2312"/>
          <w:bCs/>
          <w:kern w:val="2"/>
          <w:sz w:val="32"/>
          <w:szCs w:val="32"/>
          <w:highlight w:val="none"/>
          <w:lang w:val="en-US" w:eastAsia="zh-CN" w:bidi="ar-SA"/>
        </w:rPr>
        <w:t>支总计各增加873.92万元，增长85.76%。主要变动原因：2021年新增纪律审查业务用房改扩建项目经费883.63万元。</w:t>
      </w: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r>
        <w:rPr>
          <w:rStyle w:val="27"/>
          <w:rFonts w:hint="eastAsia" w:ascii="黑体" w:hAnsi="黑体" w:eastAsia="黑体"/>
          <w:b w:val="0"/>
          <w:color w:val="auto"/>
          <w:highlight w:val="none"/>
          <w:lang w:eastAsia="zh-CN"/>
        </w:rPr>
        <w:drawing>
          <wp:anchor distT="0" distB="0" distL="114300" distR="114300" simplePos="0" relativeHeight="251666432" behindDoc="0" locked="0" layoutInCell="1" allowOverlap="1">
            <wp:simplePos x="0" y="0"/>
            <wp:positionH relativeFrom="column">
              <wp:posOffset>135890</wp:posOffset>
            </wp:positionH>
            <wp:positionV relativeFrom="paragraph">
              <wp:posOffset>-314960</wp:posOffset>
            </wp:positionV>
            <wp:extent cx="5499735" cy="3011170"/>
            <wp:effectExtent l="4445" t="4445" r="20320" b="1333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right="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pPr>
        <w:pStyle w:val="25"/>
        <w:pageBreakBefore w:val="0"/>
        <w:numPr>
          <w:ilvl w:val="0"/>
          <w:numId w:val="0"/>
        </w:numPr>
        <w:kinsoku/>
        <w:wordWrap/>
        <w:overflowPunct/>
        <w:topLinePunct w:val="0"/>
        <w:bidi w:val="0"/>
        <w:spacing w:line="579" w:lineRule="exact"/>
        <w:ind w:left="0" w:leftChars="0" w:right="0" w:rightChars="0" w:firstLine="640" w:firstLineChars="200"/>
        <w:jc w:val="both"/>
        <w:outlineLvl w:val="1"/>
        <w:rPr>
          <w:rStyle w:val="27"/>
          <w:rFonts w:ascii="黑体" w:hAnsi="黑体" w:eastAsia="黑体"/>
          <w:b w:val="0"/>
          <w:color w:val="auto"/>
          <w:highlight w:val="none"/>
        </w:rPr>
      </w:pPr>
      <w:bookmarkStart w:id="54" w:name="_Toc30659"/>
      <w:bookmarkStart w:id="55" w:name="_Toc6431"/>
      <w:bookmarkStart w:id="56" w:name="_Toc15396604"/>
      <w:bookmarkStart w:id="57" w:name="_Toc15377206"/>
      <w:bookmarkStart w:id="58" w:name="_Toc7485"/>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54"/>
      <w:bookmarkEnd w:id="55"/>
      <w:bookmarkEnd w:id="56"/>
      <w:bookmarkEnd w:id="57"/>
      <w:bookmarkEnd w:id="58"/>
    </w:p>
    <w:p>
      <w:pPr>
        <w:pageBreakBefore w:val="0"/>
        <w:kinsoku/>
        <w:wordWrap/>
        <w:overflowPunct/>
        <w:topLinePunct w:val="0"/>
        <w:bidi w:val="0"/>
        <w:spacing w:line="579" w:lineRule="exact"/>
        <w:ind w:left="0" w:leftChars="0" w:right="0" w:firstLine="640" w:firstLineChars="200"/>
        <w:jc w:val="both"/>
        <w:rPr>
          <w:rFonts w:hint="eastAsia" w:ascii="仿宋_GB2312" w:hAnsi="仿宋_GB2312" w:eastAsia="仿宋_GB2312" w:cs="仿宋_GB2312"/>
          <w:bCs/>
          <w:kern w:val="2"/>
          <w:sz w:val="32"/>
          <w:szCs w:val="32"/>
          <w:highlight w:val="none"/>
          <w:lang w:val="en-US" w:eastAsia="zh-CN" w:bidi="ar-SA"/>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432435</wp:posOffset>
            </wp:positionH>
            <wp:positionV relativeFrom="paragraph">
              <wp:posOffset>1097915</wp:posOffset>
            </wp:positionV>
            <wp:extent cx="4992370" cy="3101340"/>
            <wp:effectExtent l="4445" t="4445" r="6985" b="571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bCs/>
          <w:kern w:val="2"/>
          <w:sz w:val="32"/>
          <w:szCs w:val="32"/>
          <w:highlight w:val="none"/>
          <w:lang w:val="en-US" w:eastAsia="zh-CN" w:bidi="ar-SA"/>
        </w:rPr>
        <w:t>2021年本年收入合计1856.12万元，其中：一般公共预算财政拨款收入1007.21万元，占54.26%；其他收入848.92万元，占45.74%。</w:t>
      </w:r>
    </w:p>
    <w:p>
      <w:pPr>
        <w:pStyle w:val="17"/>
        <w:rPr>
          <w:rFonts w:hint="eastAsia"/>
        </w:rPr>
      </w:pPr>
    </w:p>
    <w:p>
      <w:pPr>
        <w:pageBreakBefore w:val="0"/>
        <w:kinsoku/>
        <w:wordWrap/>
        <w:overflowPunct/>
        <w:topLinePunct w:val="0"/>
        <w:bidi w:val="0"/>
        <w:spacing w:line="579" w:lineRule="exact"/>
        <w:ind w:left="0" w:leftChars="0" w:right="0" w:firstLine="640" w:firstLineChars="200"/>
        <w:jc w:val="both"/>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00" w:firstLineChars="200"/>
        <w:jc w:val="both"/>
        <w:rPr>
          <w:rFonts w:hint="eastAsia"/>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lang w:eastAsia="zh-CN"/>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right="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right="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（图2：收入决算结构图）（饼状图）</w:t>
      </w:r>
    </w:p>
    <w:p>
      <w:pPr>
        <w:pStyle w:val="25"/>
        <w:pageBreakBefore w:val="0"/>
        <w:numPr>
          <w:ilvl w:val="0"/>
          <w:numId w:val="0"/>
        </w:numPr>
        <w:kinsoku/>
        <w:wordWrap/>
        <w:overflowPunct/>
        <w:topLinePunct w:val="0"/>
        <w:bidi w:val="0"/>
        <w:spacing w:line="579" w:lineRule="exact"/>
        <w:ind w:left="0" w:leftChars="0" w:right="0" w:rightChars="0" w:firstLine="640" w:firstLineChars="200"/>
        <w:jc w:val="both"/>
        <w:outlineLvl w:val="1"/>
        <w:rPr>
          <w:rStyle w:val="27"/>
          <w:rFonts w:ascii="黑体" w:hAnsi="黑体" w:eastAsia="黑体"/>
          <w:b w:val="0"/>
          <w:color w:val="auto"/>
          <w:highlight w:val="none"/>
        </w:rPr>
      </w:pPr>
      <w:bookmarkStart w:id="59" w:name="_Toc22808"/>
      <w:bookmarkStart w:id="60" w:name="_Toc6679"/>
      <w:bookmarkStart w:id="61" w:name="_Toc15377207"/>
      <w:bookmarkStart w:id="62" w:name="_Toc15396605"/>
      <w:bookmarkStart w:id="63" w:name="_Toc14511"/>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59"/>
      <w:bookmarkEnd w:id="60"/>
      <w:bookmarkEnd w:id="61"/>
      <w:bookmarkEnd w:id="62"/>
      <w:bookmarkEnd w:id="63"/>
    </w:p>
    <w:p>
      <w:pPr>
        <w:pageBreakBefore w:val="0"/>
        <w:kinsoku/>
        <w:wordWrap/>
        <w:overflowPunct/>
        <w:topLinePunct w:val="0"/>
        <w:bidi w:val="0"/>
        <w:spacing w:line="579" w:lineRule="exact"/>
        <w:ind w:left="0" w:leftChars="0" w:right="0" w:firstLine="640" w:firstLineChars="200"/>
        <w:jc w:val="both"/>
        <w:outlineLvl w:val="1"/>
        <w:rPr>
          <w:rFonts w:hint="eastAsia" w:ascii="仿宋_GB2312" w:hAnsi="仿宋_GB2312" w:eastAsia="仿宋_GB2312" w:cs="仿宋_GB2312"/>
          <w:color w:val="auto"/>
          <w:sz w:val="32"/>
          <w:szCs w:val="32"/>
          <w:highlight w:val="none"/>
          <w:shd w:val="pct10" w:color="auto" w:fill="FFFFFF"/>
        </w:rPr>
      </w:pPr>
      <w:bookmarkStart w:id="64" w:name="_Toc12013"/>
      <w:bookmarkStart w:id="65" w:name="_Toc26021"/>
      <w:bookmarkStart w:id="66" w:name="_Toc17068"/>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1892.94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94.30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4.98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1798.64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95.02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bookmarkEnd w:id="64"/>
      <w:bookmarkEnd w:id="65"/>
      <w:bookmarkEnd w:id="66"/>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499745</wp:posOffset>
            </wp:positionH>
            <wp:positionV relativeFrom="paragraph">
              <wp:posOffset>66675</wp:posOffset>
            </wp:positionV>
            <wp:extent cx="4682490" cy="2711450"/>
            <wp:effectExtent l="4445" t="4445" r="12065" b="1460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shd w:val="pct10" w:color="auto" w:fill="FFFFFF"/>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shd w:val="pct10" w:color="auto" w:fill="FFFFFF"/>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shd w:val="pct10" w:color="auto" w:fill="FFFFFF"/>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shd w:val="pct10" w:color="auto" w:fill="FFFFFF"/>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shd w:val="pct10" w:color="auto" w:fill="FFFFFF"/>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shd w:val="pct10" w:color="auto" w:fill="FFFFFF"/>
          <w:lang w:eastAsia="zh-CN"/>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shd w:val="pct10" w:color="auto" w:fill="FFFFFF"/>
        </w:rPr>
      </w:pPr>
    </w:p>
    <w:p>
      <w:pPr>
        <w:pageBreakBefore w:val="0"/>
        <w:kinsoku/>
        <w:wordWrap/>
        <w:overflowPunct/>
        <w:topLinePunct w:val="0"/>
        <w:bidi w:val="0"/>
        <w:spacing w:line="579" w:lineRule="exact"/>
        <w:ind w:right="0"/>
        <w:jc w:val="center"/>
        <w:rPr>
          <w:rFonts w:hint="eastAsia"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bookmarkStart w:id="67" w:name="_Toc15396606"/>
      <w:bookmarkStart w:id="68" w:name="_Toc15377208"/>
    </w:p>
    <w:p>
      <w:pPr>
        <w:pageBreakBefore w:val="0"/>
        <w:kinsoku/>
        <w:wordWrap/>
        <w:overflowPunct/>
        <w:topLinePunct w:val="0"/>
        <w:bidi w:val="0"/>
        <w:spacing w:line="579" w:lineRule="exact"/>
        <w:ind w:left="0" w:leftChars="0" w:right="0" w:firstLine="640" w:firstLineChars="200"/>
        <w:jc w:val="both"/>
        <w:outlineLvl w:val="1"/>
        <w:rPr>
          <w:rStyle w:val="27"/>
          <w:rFonts w:ascii="黑体" w:hAnsi="黑体" w:eastAsia="黑体"/>
          <w:b w:val="0"/>
          <w:color w:val="auto"/>
          <w:highlight w:val="none"/>
        </w:rPr>
      </w:pPr>
      <w:bookmarkStart w:id="69" w:name="_Toc18217"/>
      <w:bookmarkStart w:id="70" w:name="_Toc12327"/>
      <w:bookmarkStart w:id="71" w:name="_Toc27855"/>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67"/>
      <w:bookmarkEnd w:id="68"/>
      <w:bookmarkEnd w:id="69"/>
      <w:bookmarkEnd w:id="70"/>
      <w:bookmarkEnd w:id="71"/>
    </w:p>
    <w:p>
      <w:pPr>
        <w:pageBreakBefore w:val="0"/>
        <w:kinsoku/>
        <w:wordWrap/>
        <w:overflowPunct/>
        <w:topLinePunct w:val="0"/>
        <w:bidi w:val="0"/>
        <w:spacing w:line="579" w:lineRule="exact"/>
        <w:ind w:left="0" w:leftChars="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1044.03</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855.22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452.95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主要变动原因：</w:t>
      </w:r>
      <w:r>
        <w:rPr>
          <w:rFonts w:hint="eastAsia" w:ascii="仿宋_GB2312" w:hAnsi="仿宋_GB2312" w:eastAsia="仿宋_GB2312" w:cs="仿宋_GB2312"/>
          <w:bCs/>
          <w:color w:val="000000"/>
          <w:kern w:val="0"/>
          <w:sz w:val="32"/>
          <w:szCs w:val="32"/>
          <w:lang w:val="en-US" w:eastAsia="zh-CN" w:bidi="ar-SA"/>
        </w:rPr>
        <w:t>2021年新增</w:t>
      </w:r>
      <w:r>
        <w:rPr>
          <w:rFonts w:hint="eastAsia" w:ascii="仿宋_GB2312" w:hAnsi="仿宋_GB2312" w:eastAsia="仿宋_GB2312" w:cs="仿宋_GB2312"/>
          <w:color w:val="auto"/>
          <w:sz w:val="32"/>
          <w:szCs w:val="32"/>
          <w:highlight w:val="none"/>
          <w:lang w:val="en-US" w:eastAsia="zh-CN"/>
        </w:rPr>
        <w:t>纪律审查业务用房改扩建项目经费883.63万元。</w:t>
      </w: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lang w:eastAsia="zh-CN"/>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618490</wp:posOffset>
            </wp:positionH>
            <wp:positionV relativeFrom="paragraph">
              <wp:posOffset>25400</wp:posOffset>
            </wp:positionV>
            <wp:extent cx="4420235" cy="3818890"/>
            <wp:effectExtent l="4445" t="4445" r="7620" b="1206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jc w:val="both"/>
        <w:rPr>
          <w:rFonts w:ascii="仿宋" w:hAnsi="仿宋" w:eastAsia="仿宋"/>
          <w:color w:val="auto"/>
          <w:sz w:val="32"/>
          <w:szCs w:val="32"/>
          <w:highlight w:val="none"/>
        </w:rPr>
      </w:pPr>
    </w:p>
    <w:p>
      <w:pPr>
        <w:pStyle w:val="6"/>
        <w:pageBreakBefore w:val="0"/>
        <w:kinsoku/>
        <w:wordWrap/>
        <w:overflowPunct/>
        <w:topLinePunct w:val="0"/>
        <w:bidi w:val="0"/>
        <w:spacing w:beforeLines="0" w:line="579" w:lineRule="exact"/>
        <w:jc w:val="both"/>
        <w:rPr>
          <w:rFonts w:ascii="仿宋" w:hAnsi="仿宋" w:eastAsia="仿宋"/>
          <w:color w:val="auto"/>
          <w:sz w:val="32"/>
          <w:szCs w:val="32"/>
          <w:highlight w:val="none"/>
        </w:rPr>
      </w:pPr>
    </w:p>
    <w:p>
      <w:pPr>
        <w:pageBreakBefore w:val="0"/>
        <w:kinsoku/>
        <w:wordWrap/>
        <w:overflowPunct/>
        <w:topLinePunct w:val="0"/>
        <w:bidi w:val="0"/>
        <w:spacing w:line="579" w:lineRule="exact"/>
        <w:ind w:right="0"/>
        <w:jc w:val="center"/>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79" w:lineRule="exact"/>
        <w:ind w:right="0"/>
        <w:jc w:val="center"/>
        <w:rPr>
          <w:rFonts w:hint="eastAsia" w:ascii="仿宋_GB2312" w:hAnsi="仿宋_GB2312" w:eastAsia="仿宋_GB2312" w:cs="仿宋_GB2312"/>
          <w:color w:val="auto"/>
          <w:sz w:val="32"/>
          <w:szCs w:val="32"/>
          <w:highlight w:val="none"/>
        </w:rPr>
      </w:pPr>
    </w:p>
    <w:p>
      <w:pPr>
        <w:pageBreakBefore w:val="0"/>
        <w:kinsoku/>
        <w:wordWrap/>
        <w:overflowPunct/>
        <w:topLinePunct w:val="0"/>
        <w:bidi w:val="0"/>
        <w:spacing w:line="579" w:lineRule="exact"/>
        <w:ind w:right="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（图4：财政拨款收、支决算总计变动情况）（柱状图）</w:t>
      </w:r>
    </w:p>
    <w:p>
      <w:pPr>
        <w:pageBreakBefore w:val="0"/>
        <w:kinsoku/>
        <w:wordWrap/>
        <w:overflowPunct/>
        <w:topLinePunct w:val="0"/>
        <w:bidi w:val="0"/>
        <w:spacing w:line="579" w:lineRule="exact"/>
        <w:ind w:left="0" w:leftChars="0" w:right="0" w:firstLine="640" w:firstLineChars="200"/>
        <w:jc w:val="both"/>
        <w:outlineLvl w:val="1"/>
        <w:rPr>
          <w:rStyle w:val="27"/>
          <w:rFonts w:ascii="黑体" w:hAnsi="黑体" w:eastAsia="黑体"/>
          <w:b w:val="0"/>
          <w:color w:val="auto"/>
          <w:highlight w:val="none"/>
        </w:rPr>
      </w:pPr>
      <w:bookmarkStart w:id="72" w:name="_Toc23104"/>
      <w:bookmarkStart w:id="73" w:name="_Toc15377209"/>
      <w:bookmarkStart w:id="74" w:name="_Toc15396607"/>
      <w:bookmarkStart w:id="75" w:name="_Toc30770"/>
      <w:bookmarkStart w:id="76" w:name="_Toc192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72"/>
      <w:bookmarkEnd w:id="73"/>
      <w:bookmarkEnd w:id="74"/>
      <w:bookmarkEnd w:id="75"/>
      <w:bookmarkEnd w:id="76"/>
    </w:p>
    <w:p>
      <w:pPr>
        <w:pageBreakBefore w:val="0"/>
        <w:kinsoku/>
        <w:wordWrap/>
        <w:overflowPunct/>
        <w:topLinePunct w:val="0"/>
        <w:bidi w:val="0"/>
        <w:spacing w:line="579" w:lineRule="exact"/>
        <w:ind w:left="0" w:leftChars="0" w:right="0" w:firstLine="640" w:firstLineChars="200"/>
        <w:jc w:val="both"/>
        <w:outlineLvl w:val="2"/>
        <w:rPr>
          <w:rFonts w:hint="eastAsia" w:ascii="楷体_GB2312" w:hAnsi="楷体_GB2312" w:eastAsia="楷体_GB2312" w:cs="楷体_GB2312"/>
          <w:b w:val="0"/>
          <w:bCs/>
          <w:color w:val="auto"/>
          <w:sz w:val="32"/>
          <w:szCs w:val="32"/>
          <w:highlight w:val="none"/>
        </w:rPr>
      </w:pPr>
      <w:bookmarkStart w:id="77" w:name="_Toc25353"/>
      <w:bookmarkStart w:id="78" w:name="_Toc15377210"/>
      <w:bookmarkStart w:id="79" w:name="_Toc1997"/>
      <w:bookmarkStart w:id="80" w:name="_Toc7010"/>
      <w:r>
        <w:rPr>
          <w:rFonts w:hint="eastAsia" w:ascii="楷体_GB2312" w:hAnsi="楷体_GB2312" w:eastAsia="楷体_GB2312" w:cs="楷体_GB2312"/>
          <w:b w:val="0"/>
          <w:bCs/>
          <w:color w:val="auto"/>
          <w:sz w:val="32"/>
          <w:szCs w:val="32"/>
          <w:highlight w:val="none"/>
        </w:rPr>
        <w:t>（一）一般公共预算财政拨款支出决算总体情况</w:t>
      </w:r>
      <w:bookmarkEnd w:id="77"/>
      <w:bookmarkEnd w:id="78"/>
      <w:bookmarkEnd w:id="79"/>
      <w:bookmarkEnd w:id="80"/>
    </w:p>
    <w:p>
      <w:pPr>
        <w:pageBreakBefore w:val="0"/>
        <w:kinsoku/>
        <w:wordWrap/>
        <w:overflowPunct/>
        <w:topLinePunct w:val="0"/>
        <w:bidi w:val="0"/>
        <w:spacing w:line="579" w:lineRule="exact"/>
        <w:ind w:left="0" w:leftChars="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1044.03</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55.15</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892.04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586.91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000000"/>
          <w:kern w:val="0"/>
          <w:sz w:val="32"/>
          <w:szCs w:val="32"/>
          <w:lang w:val="en-US" w:eastAsia="zh-CN" w:bidi="ar-SA"/>
        </w:rPr>
        <w:t>主要变动原因:2021年新增纪律审查业务用房改扩建项目883.63万元。</w:t>
      </w: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481330</wp:posOffset>
            </wp:positionH>
            <wp:positionV relativeFrom="paragraph">
              <wp:posOffset>-174625</wp:posOffset>
            </wp:positionV>
            <wp:extent cx="4770755" cy="2558415"/>
            <wp:effectExtent l="4445" t="4445" r="12700" b="1524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ascii="仿宋" w:hAnsi="仿宋" w:eastAsia="仿宋"/>
          <w:color w:val="auto"/>
          <w:sz w:val="28"/>
          <w:szCs w:val="28"/>
          <w:highlight w:val="none"/>
        </w:rPr>
      </w:pPr>
      <w:r>
        <w:rPr>
          <w:rFonts w:hint="eastAsia" w:ascii="仿宋" w:hAnsi="仿宋" w:eastAsia="仿宋"/>
          <w:color w:val="auto"/>
          <w:sz w:val="32"/>
          <w:szCs w:val="32"/>
          <w:highlight w:val="none"/>
        </w:rPr>
        <w:t>（图5：一般公共预算财政拨款支出决算变动情况）</w:t>
      </w:r>
      <w:r>
        <w:rPr>
          <w:rFonts w:hint="eastAsia" w:ascii="仿宋" w:hAnsi="仿宋" w:eastAsia="仿宋"/>
          <w:color w:val="auto"/>
          <w:sz w:val="28"/>
          <w:szCs w:val="28"/>
          <w:highlight w:val="none"/>
        </w:rPr>
        <w:t>（柱状图）</w:t>
      </w:r>
    </w:p>
    <w:p>
      <w:pPr>
        <w:pageBreakBefore w:val="0"/>
        <w:kinsoku/>
        <w:wordWrap/>
        <w:overflowPunct/>
        <w:topLinePunct w:val="0"/>
        <w:bidi w:val="0"/>
        <w:spacing w:line="579" w:lineRule="exact"/>
        <w:ind w:left="0" w:leftChars="0" w:right="0" w:firstLine="640" w:firstLineChars="200"/>
        <w:jc w:val="both"/>
        <w:outlineLvl w:val="2"/>
        <w:rPr>
          <w:rFonts w:hint="eastAsia" w:ascii="楷体_GB2312" w:hAnsi="楷体_GB2312" w:eastAsia="楷体_GB2312" w:cs="楷体_GB2312"/>
          <w:b w:val="0"/>
          <w:bCs/>
          <w:color w:val="auto"/>
          <w:sz w:val="32"/>
          <w:szCs w:val="32"/>
          <w:highlight w:val="none"/>
        </w:rPr>
      </w:pPr>
      <w:bookmarkStart w:id="81" w:name="_Toc15377211"/>
      <w:bookmarkStart w:id="82" w:name="_Toc24950"/>
      <w:bookmarkStart w:id="83" w:name="_Toc15455"/>
      <w:bookmarkStart w:id="84" w:name="_Toc20560"/>
      <w:r>
        <w:rPr>
          <w:rFonts w:hint="eastAsia" w:ascii="楷体_GB2312" w:hAnsi="楷体_GB2312" w:eastAsia="楷体_GB2312" w:cs="楷体_GB2312"/>
          <w:b w:val="0"/>
          <w:bCs/>
          <w:color w:val="auto"/>
          <w:sz w:val="32"/>
          <w:szCs w:val="32"/>
          <w:highlight w:val="none"/>
        </w:rPr>
        <w:t>（二）一般公共预算财政拨款支出决算结构情况</w:t>
      </w:r>
      <w:bookmarkEnd w:id="81"/>
      <w:bookmarkEnd w:id="82"/>
      <w:bookmarkEnd w:id="83"/>
      <w:bookmarkEnd w:id="84"/>
    </w:p>
    <w:p>
      <w:pPr>
        <w:pageBreakBefore w:val="0"/>
        <w:kinsoku/>
        <w:wordWrap/>
        <w:overflowPunct/>
        <w:topLinePunct w:val="0"/>
        <w:bidi w:val="0"/>
        <w:spacing w:line="579" w:lineRule="exact"/>
        <w:ind w:left="0" w:leftChars="0" w:right="0"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1044.03</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1020.60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97.76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8.09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0.77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4.45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0.43</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10.88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1.04</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201930</wp:posOffset>
            </wp:positionH>
            <wp:positionV relativeFrom="paragraph">
              <wp:posOffset>166370</wp:posOffset>
            </wp:positionV>
            <wp:extent cx="5161280" cy="2762885"/>
            <wp:effectExtent l="4445" t="4445" r="15875" b="1397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lang w:eastAsia="zh-CN"/>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lang w:eastAsia="zh-CN"/>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r>
        <w:rPr>
          <w:sz w:val="32"/>
        </w:rPr>
        <mc:AlternateContent>
          <mc:Choice Requires="wps">
            <w:drawing>
              <wp:anchor distT="0" distB="0" distL="114300" distR="114300" simplePos="0" relativeHeight="251665408" behindDoc="0" locked="0" layoutInCell="1" allowOverlap="1">
                <wp:simplePos x="0" y="0"/>
                <wp:positionH relativeFrom="column">
                  <wp:posOffset>2001520</wp:posOffset>
                </wp:positionH>
                <wp:positionV relativeFrom="paragraph">
                  <wp:posOffset>315595</wp:posOffset>
                </wp:positionV>
                <wp:extent cx="732790" cy="171450"/>
                <wp:effectExtent l="0" t="4445" r="3810" b="14605"/>
                <wp:wrapNone/>
                <wp:docPr id="14" name="肘形连接符 14"/>
                <wp:cNvGraphicFramePr/>
                <a:graphic xmlns:a="http://schemas.openxmlformats.org/drawingml/2006/main">
                  <a:graphicData uri="http://schemas.microsoft.com/office/word/2010/wordprocessingShape">
                    <wps:wsp>
                      <wps:cNvCnPr/>
                      <wps:spPr>
                        <a:xfrm rot="10800000">
                          <a:off x="2639060" y="2312035"/>
                          <a:ext cx="732790" cy="171450"/>
                        </a:xfrm>
                        <a:prstGeom prst="bentConnector3">
                          <a:avLst>
                            <a:gd name="adj1" fmla="val 49913"/>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57.6pt;margin-top:24.85pt;height:13.5pt;width:57.7pt;rotation:11796480f;z-index:251665408;mso-width-relative:page;mso-height-relative:page;" filled="f" stroked="t" coordsize="21600,21600" o:gfxdata="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wyqizaAAAACQEA&#10;AA8AAAAAAAAAAQAgAAAAIgAAAGRycy9kb3ducmV2LnhtbFBLAQIUABQAAAAIAIdO4kDQe+4sGAIA&#10;APIDAAAOAAAAAAAAAAEAIAAAACkBAABkcnMvZTJvRG9jLnhtbFBLBQYAAAAABgAGAFkBAACzBQAA&#10;AAA=&#10;" adj="10781">
                <v:fill on="f" focussize="0,0"/>
                <v:stroke color="#FFFF00 [3204]" joinstyle="round"/>
                <v:imagedata o:title=""/>
                <o:lock v:ext="edit" aspectratio="f"/>
              </v:shape>
            </w:pict>
          </mc:Fallback>
        </mc:AlternateContent>
      </w:r>
      <w:bookmarkStart w:id="238" w:name="_GoBack"/>
      <w:r>
        <w:rPr>
          <w:sz w:val="32"/>
        </w:rPr>
        <mc:AlternateContent>
          <mc:Choice Requires="wps">
            <w:drawing>
              <wp:anchor distT="0" distB="0" distL="114300" distR="114300" simplePos="0" relativeHeight="251664384" behindDoc="0" locked="0" layoutInCell="1" allowOverlap="1">
                <wp:simplePos x="0" y="0"/>
                <wp:positionH relativeFrom="column">
                  <wp:posOffset>2811780</wp:posOffset>
                </wp:positionH>
                <wp:positionV relativeFrom="paragraph">
                  <wp:posOffset>183515</wp:posOffset>
                </wp:positionV>
                <wp:extent cx="1138555" cy="146685"/>
                <wp:effectExtent l="0" t="4445" r="4445" b="13970"/>
                <wp:wrapNone/>
                <wp:docPr id="13" name="肘形连接符 13"/>
                <wp:cNvGraphicFramePr/>
                <a:graphic xmlns:a="http://schemas.openxmlformats.org/drawingml/2006/main">
                  <a:graphicData uri="http://schemas.microsoft.com/office/word/2010/wordprocessingShape">
                    <wps:wsp>
                      <wps:cNvCnPr/>
                      <wps:spPr>
                        <a:xfrm>
                          <a:off x="3502025" y="2388870"/>
                          <a:ext cx="1138555" cy="146685"/>
                        </a:xfrm>
                        <a:prstGeom prst="bentConnector3">
                          <a:avLst>
                            <a:gd name="adj1" fmla="val 50028"/>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21.4pt;margin-top:14.45pt;height:11.55pt;width:89.65pt;z-index:251664384;mso-width-relative:page;mso-height-relative:page;" filled="f" stroked="t" coordsize="21600,21600" o:gfxdata="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J/tR0OAQAACQEAAA8AAAAAAAAAAQAgAAAA&#10;IgAAAGRycy9kb3ducmV2LnhtbFBLAQIUABQAAAAIAIdO4kDj3kQZDgIAAOQDAAAOAAAAAAAAAAEA&#10;IAAAAF0BAABkcnMvZTJvRG9jLnhtbFBLBQYAAAAABgAGAFkBAADdBQAAAAA=&#10;" adj="10806">
                <v:fill on="f" focussize="0,0"/>
                <v:stroke color="#FFFF00 [3204]" joinstyle="round"/>
                <v:imagedata o:title=""/>
                <o:lock v:ext="edit" aspectratio="f"/>
              </v:shape>
            </w:pict>
          </mc:Fallback>
        </mc:AlternateContent>
      </w:r>
      <w:bookmarkEnd w:id="238"/>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Style w:val="6"/>
        <w:pageBreakBefore w:val="0"/>
        <w:kinsoku/>
        <w:wordWrap/>
        <w:overflowPunct/>
        <w:topLinePunct w:val="0"/>
        <w:bidi w:val="0"/>
        <w:spacing w:beforeLines="0" w:line="579" w:lineRule="exact"/>
        <w:ind w:left="0" w:leftChars="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hint="eastAsia" w:ascii="仿宋" w:hAnsi="仿宋" w:eastAsia="仿宋"/>
          <w:color w:val="auto"/>
          <w:sz w:val="32"/>
          <w:szCs w:val="32"/>
          <w:highlight w:val="none"/>
        </w:rPr>
      </w:pPr>
    </w:p>
    <w:p>
      <w:pPr>
        <w:pageBreakBefore w:val="0"/>
        <w:kinsoku/>
        <w:wordWrap/>
        <w:overflowPunct/>
        <w:topLinePunct w:val="0"/>
        <w:bidi w:val="0"/>
        <w:spacing w:line="579" w:lineRule="exact"/>
        <w:ind w:left="0" w:leftChars="0" w:right="0"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ageBreakBefore w:val="0"/>
        <w:kinsoku/>
        <w:wordWrap/>
        <w:overflowPunct/>
        <w:topLinePunct w:val="0"/>
        <w:bidi w:val="0"/>
        <w:spacing w:line="579" w:lineRule="exact"/>
        <w:ind w:left="0" w:leftChars="0" w:right="0" w:firstLine="640" w:firstLineChars="200"/>
        <w:jc w:val="both"/>
        <w:outlineLvl w:val="2"/>
        <w:rPr>
          <w:rFonts w:hint="eastAsia" w:ascii="楷体_GB2312" w:hAnsi="楷体_GB2312" w:eastAsia="楷体_GB2312" w:cs="楷体_GB2312"/>
          <w:b w:val="0"/>
          <w:bCs/>
          <w:color w:val="auto"/>
          <w:sz w:val="32"/>
          <w:szCs w:val="32"/>
          <w:highlight w:val="none"/>
        </w:rPr>
      </w:pPr>
      <w:bookmarkStart w:id="85" w:name="_Toc8638"/>
      <w:bookmarkStart w:id="86" w:name="_Toc15377212"/>
      <w:bookmarkStart w:id="87" w:name="_Toc25801"/>
      <w:bookmarkStart w:id="88" w:name="_Toc26552"/>
      <w:r>
        <w:rPr>
          <w:rFonts w:hint="eastAsia" w:ascii="楷体_GB2312" w:hAnsi="楷体_GB2312" w:eastAsia="楷体_GB2312" w:cs="楷体_GB2312"/>
          <w:b w:val="0"/>
          <w:bCs/>
          <w:color w:val="auto"/>
          <w:sz w:val="32"/>
          <w:szCs w:val="32"/>
          <w:highlight w:val="none"/>
        </w:rPr>
        <w:t>（三）一般公共预算财政拨款支出决算具体情况</w:t>
      </w:r>
      <w:bookmarkEnd w:id="85"/>
      <w:bookmarkEnd w:id="86"/>
      <w:bookmarkEnd w:id="87"/>
      <w:bookmarkEnd w:id="88"/>
    </w:p>
    <w:p>
      <w:pPr>
        <w:pageBreakBefore w:val="0"/>
        <w:kinsoku/>
        <w:wordWrap/>
        <w:overflowPunct/>
        <w:topLinePunct w:val="0"/>
        <w:bidi w:val="0"/>
        <w:spacing w:line="579" w:lineRule="exact"/>
        <w:ind w:left="0" w:leftChars="0" w:right="0" w:firstLine="640" w:firstLineChars="200"/>
        <w:jc w:val="both"/>
        <w:outlineLvl w:val="2"/>
        <w:rPr>
          <w:rFonts w:ascii="仿宋" w:hAnsi="仿宋" w:eastAsia="仿宋"/>
          <w:color w:val="auto"/>
          <w:sz w:val="32"/>
          <w:szCs w:val="32"/>
          <w:highlight w:val="none"/>
        </w:rPr>
      </w:pPr>
      <w:bookmarkStart w:id="89" w:name="_Toc15377444"/>
      <w:bookmarkStart w:id="90" w:name="_Toc16258"/>
      <w:bookmarkStart w:id="91" w:name="_Toc28879"/>
      <w:bookmarkStart w:id="92" w:name="_Toc15378460"/>
      <w:bookmarkStart w:id="93" w:name="_Toc23696"/>
      <w:bookmarkStart w:id="94"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1044.03万元</w:t>
      </w:r>
      <w:r>
        <w:rPr>
          <w:rFonts w:hint="eastAsia" w:ascii="仿宋" w:hAnsi="仿宋" w:eastAsia="仿宋"/>
          <w:b/>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89"/>
      <w:bookmarkEnd w:id="90"/>
      <w:bookmarkEnd w:id="91"/>
      <w:bookmarkEnd w:id="92"/>
      <w:bookmarkEnd w:id="93"/>
      <w:bookmarkEnd w:id="94"/>
    </w:p>
    <w:p>
      <w:pPr>
        <w:pageBreakBefore w:val="0"/>
        <w:kinsoku/>
        <w:wordWrap/>
        <w:overflowPunct/>
        <w:topLinePunct w:val="0"/>
        <w:bidi w:val="0"/>
        <w:spacing w:line="579" w:lineRule="exact"/>
        <w:ind w:left="0" w:leftChars="0" w:right="0" w:firstLine="640" w:firstLineChars="200"/>
        <w:jc w:val="both"/>
        <w:outlineLvl w:val="2"/>
        <w:rPr>
          <w:rFonts w:hint="eastAsia" w:ascii="仿宋_GB2312" w:hAnsi="仿宋_GB2312" w:eastAsia="仿宋_GB2312" w:cs="仿宋_GB2312"/>
          <w:color w:val="000000"/>
          <w:sz w:val="32"/>
          <w:szCs w:val="32"/>
          <w:highlight w:val="none"/>
          <w:lang w:eastAsia="zh-CN"/>
        </w:rPr>
      </w:pPr>
      <w:bookmarkStart w:id="95" w:name="_Toc24727"/>
      <w:bookmarkStart w:id="96" w:name="_Toc4377"/>
      <w:r>
        <w:rPr>
          <w:rStyle w:val="15"/>
          <w:rFonts w:hint="eastAsia" w:ascii="仿宋_GB2312" w:hAnsi="仿宋_GB2312" w:eastAsia="仿宋_GB2312" w:cs="仿宋_GB2312"/>
          <w:bCs/>
          <w:color w:val="auto"/>
          <w:sz w:val="32"/>
          <w:szCs w:val="32"/>
          <w:highlight w:val="none"/>
          <w:lang w:val="en-US" w:eastAsia="zh-CN"/>
        </w:rPr>
        <w:t>1.</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eastAsia="zh-CN"/>
        </w:rPr>
        <w:t>纪检监察事务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eastAsia="zh-CN"/>
        </w:rPr>
        <w:t>一般行政管理实务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66.09</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Cs/>
          <w:color w:val="000000"/>
          <w:sz w:val="32"/>
          <w:szCs w:val="32"/>
        </w:rPr>
        <w:t>事业运行</w:t>
      </w:r>
      <w:r>
        <w:rPr>
          <w:rStyle w:val="15"/>
          <w:rFonts w:hint="eastAsia" w:ascii="仿宋_GB2312" w:hAnsi="仿宋_GB2312" w:eastAsia="仿宋_GB2312" w:cs="仿宋_GB2312"/>
          <w:bCs/>
          <w:color w:val="000000"/>
          <w:sz w:val="32"/>
          <w:szCs w:val="32"/>
          <w:lang w:val="en-US" w:eastAsia="zh-CN"/>
        </w:rPr>
        <w:t>支出</w:t>
      </w:r>
      <w:r>
        <w:rPr>
          <w:rStyle w:val="15"/>
          <w:rFonts w:hint="eastAsia" w:ascii="仿宋_GB2312" w:hAnsi="仿宋_GB2312" w:eastAsia="仿宋_GB2312" w:cs="仿宋_GB2312"/>
          <w:bCs/>
          <w:color w:val="000000"/>
          <w:sz w:val="32"/>
          <w:szCs w:val="32"/>
        </w:rPr>
        <w:t>（项）:</w:t>
      </w:r>
      <w:r>
        <w:rPr>
          <w:rFonts w:hint="eastAsia" w:ascii="仿宋_GB2312" w:hAnsi="仿宋_GB2312" w:eastAsia="仿宋_GB2312" w:cs="仿宋_GB2312"/>
          <w:color w:val="000000"/>
          <w:sz w:val="32"/>
          <w:szCs w:val="32"/>
          <w:highlight w:val="none"/>
          <w:lang w:eastAsia="zh-CN"/>
        </w:rPr>
        <w:t>支出决算为</w:t>
      </w:r>
      <w:r>
        <w:rPr>
          <w:rFonts w:hint="eastAsia" w:ascii="仿宋_GB2312" w:hAnsi="仿宋_GB2312" w:eastAsia="仿宋_GB2312" w:cs="仿宋_GB2312"/>
          <w:color w:val="000000"/>
          <w:sz w:val="32"/>
          <w:szCs w:val="32"/>
          <w:highlight w:val="none"/>
          <w:lang w:val="en-US" w:eastAsia="zh-CN"/>
        </w:rPr>
        <w:t>70.88</w:t>
      </w:r>
      <w:r>
        <w:rPr>
          <w:rFonts w:hint="eastAsia" w:ascii="仿宋_GB2312" w:hAnsi="仿宋_GB2312" w:eastAsia="仿宋_GB2312" w:cs="仿宋_GB2312"/>
          <w:color w:val="000000"/>
          <w:sz w:val="32"/>
          <w:szCs w:val="32"/>
          <w:highlight w:val="none"/>
          <w:lang w:eastAsia="zh-CN"/>
        </w:rPr>
        <w:t>万元，完成预算</w:t>
      </w:r>
      <w:r>
        <w:rPr>
          <w:rFonts w:hint="eastAsia" w:ascii="仿宋_GB2312" w:hAnsi="仿宋_GB2312" w:eastAsia="仿宋_GB2312" w:cs="仿宋_GB2312"/>
          <w:color w:val="000000"/>
          <w:sz w:val="32"/>
          <w:szCs w:val="32"/>
          <w:highlight w:val="none"/>
          <w:lang w:val="en-US" w:eastAsia="zh-CN"/>
        </w:rPr>
        <w:t xml:space="preserve">100 </w:t>
      </w:r>
      <w:r>
        <w:rPr>
          <w:rFonts w:hint="eastAsia" w:ascii="仿宋_GB2312" w:hAnsi="仿宋_GB2312" w:eastAsia="仿宋_GB2312" w:cs="仿宋_GB2312"/>
          <w:color w:val="000000"/>
          <w:sz w:val="32"/>
          <w:szCs w:val="32"/>
          <w:highlight w:val="none"/>
          <w:lang w:eastAsia="zh-CN"/>
        </w:rPr>
        <w:t>%。</w:t>
      </w:r>
      <w:r>
        <w:rPr>
          <w:rStyle w:val="15"/>
          <w:rFonts w:hint="eastAsia" w:ascii="仿宋_GB2312" w:hAnsi="仿宋_GB2312" w:eastAsia="仿宋_GB2312" w:cs="仿宋_GB2312"/>
          <w:b/>
          <w:bCs/>
          <w:color w:val="000000"/>
          <w:sz w:val="32"/>
          <w:szCs w:val="32"/>
        </w:rPr>
        <w:t>其他纪检监察事务支出（项）</w:t>
      </w:r>
      <w:r>
        <w:rPr>
          <w:rFonts w:hint="eastAsia" w:ascii="仿宋_GB2312" w:hAnsi="仿宋_GB2312" w:eastAsia="仿宋_GB2312" w:cs="仿宋_GB2312"/>
          <w:bCs/>
          <w:color w:val="000000"/>
          <w:kern w:val="0"/>
          <w:sz w:val="32"/>
          <w:szCs w:val="32"/>
          <w:lang w:val="en-US" w:eastAsia="zh-CN" w:bidi="ar-SA"/>
        </w:rPr>
        <w:t>支出决算为883.63万元，完成预算100 %。</w:t>
      </w:r>
      <w:bookmarkEnd w:id="95"/>
      <w:bookmarkEnd w:id="96"/>
    </w:p>
    <w:p>
      <w:pPr>
        <w:pageBreakBefore w:val="0"/>
        <w:numPr>
          <w:ilvl w:val="0"/>
          <w:numId w:val="0"/>
        </w:numPr>
        <w:kinsoku/>
        <w:wordWrap/>
        <w:overflowPunct/>
        <w:topLinePunct w:val="0"/>
        <w:bidi w:val="0"/>
        <w:spacing w:line="579" w:lineRule="exact"/>
        <w:ind w:left="0" w:leftChars="0" w:firstLine="640" w:firstLineChars="200"/>
        <w:jc w:val="both"/>
        <w:rPr>
          <w:rFonts w:hint="eastAsia" w:ascii="仿宋_GB2312" w:hAnsi="仿宋_GB2312" w:eastAsia="仿宋_GB2312" w:cs="仿宋_GB2312"/>
          <w:color w:val="000000"/>
          <w:sz w:val="32"/>
          <w:szCs w:val="32"/>
          <w:highlight w:val="none"/>
          <w:lang w:eastAsia="zh-CN"/>
        </w:rPr>
      </w:pPr>
      <w:r>
        <w:rPr>
          <w:rStyle w:val="15"/>
          <w:rFonts w:hint="eastAsia" w:ascii="仿宋_GB2312" w:hAnsi="仿宋_GB2312" w:eastAsia="仿宋_GB2312" w:cs="仿宋_GB2312"/>
          <w:bCs/>
          <w:color w:val="000000"/>
          <w:sz w:val="32"/>
          <w:szCs w:val="32"/>
          <w:lang w:val="en-US" w:eastAsia="zh-CN"/>
        </w:rPr>
        <w:t>2.</w:t>
      </w:r>
      <w:r>
        <w:rPr>
          <w:rStyle w:val="15"/>
          <w:rFonts w:hint="eastAsia" w:ascii="仿宋_GB2312" w:hAnsi="仿宋_GB2312" w:eastAsia="仿宋_GB2312" w:cs="仿宋_GB2312"/>
          <w:bCs/>
          <w:color w:val="000000"/>
          <w:sz w:val="32"/>
          <w:szCs w:val="32"/>
        </w:rPr>
        <w:t>社会保障和就业（类）行政事业单位养老支出（款）机关事业单位基本养老保险缴费支出（项）:</w:t>
      </w:r>
      <w:r>
        <w:rPr>
          <w:rStyle w:val="15"/>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color w:val="000000"/>
          <w:sz w:val="32"/>
          <w:szCs w:val="32"/>
          <w:highlight w:val="none"/>
          <w:lang w:eastAsia="zh-CN"/>
        </w:rPr>
        <w:t>支出决算为</w:t>
      </w:r>
      <w:r>
        <w:rPr>
          <w:rFonts w:hint="eastAsia" w:ascii="仿宋_GB2312" w:hAnsi="仿宋_GB2312" w:eastAsia="仿宋_GB2312" w:cs="仿宋_GB2312"/>
          <w:color w:val="000000"/>
          <w:sz w:val="32"/>
          <w:szCs w:val="32"/>
          <w:highlight w:val="none"/>
          <w:lang w:val="en-US" w:eastAsia="zh-CN"/>
        </w:rPr>
        <w:t>8.09</w:t>
      </w:r>
      <w:r>
        <w:rPr>
          <w:rFonts w:hint="eastAsia" w:ascii="仿宋_GB2312" w:hAnsi="仿宋_GB2312" w:eastAsia="仿宋_GB2312" w:cs="仿宋_GB2312"/>
          <w:color w:val="000000"/>
          <w:sz w:val="32"/>
          <w:szCs w:val="32"/>
          <w:highlight w:val="none"/>
          <w:lang w:eastAsia="zh-CN"/>
        </w:rPr>
        <w:t>万元，完成预算</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lang w:eastAsia="zh-CN"/>
        </w:rPr>
        <w:t>%。</w:t>
      </w:r>
    </w:p>
    <w:p>
      <w:pPr>
        <w:pageBreakBefore w:val="0"/>
        <w:kinsoku/>
        <w:wordWrap/>
        <w:overflowPunct/>
        <w:topLinePunct w:val="0"/>
        <w:bidi w:val="0"/>
        <w:spacing w:line="579" w:lineRule="exact"/>
        <w:ind w:left="0" w:leftChars="0" w:right="0" w:firstLine="640" w:firstLineChars="200"/>
        <w:jc w:val="both"/>
        <w:outlineLvl w:val="2"/>
        <w:rPr>
          <w:rFonts w:hint="eastAsia" w:ascii="仿宋_GB2312" w:hAnsi="仿宋_GB2312" w:eastAsia="仿宋_GB2312" w:cs="仿宋_GB2312"/>
          <w:b/>
          <w:color w:val="auto"/>
          <w:sz w:val="32"/>
          <w:szCs w:val="32"/>
          <w:highlight w:val="none"/>
          <w:lang w:eastAsia="zh-CN"/>
        </w:rPr>
      </w:pPr>
      <w:bookmarkStart w:id="97" w:name="_Toc14464"/>
      <w:bookmarkStart w:id="98" w:name="_Toc10947"/>
      <w:r>
        <w:rPr>
          <w:rStyle w:val="15"/>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（类）行政事业单位医疗（款）：行政单位医疗（项）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4.45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Style w:val="15"/>
          <w:rFonts w:hint="eastAsia" w:ascii="仿宋_GB2312" w:hAnsi="仿宋_GB2312" w:eastAsia="仿宋_GB2312" w:cs="仿宋_GB2312"/>
          <w:b w:val="0"/>
          <w:bCs/>
          <w:color w:val="auto"/>
          <w:sz w:val="32"/>
          <w:szCs w:val="32"/>
          <w:highlight w:val="none"/>
          <w:lang w:eastAsia="zh-CN"/>
        </w:rPr>
        <w:t>。</w:t>
      </w:r>
      <w:bookmarkEnd w:id="97"/>
      <w:bookmarkEnd w:id="98"/>
    </w:p>
    <w:p>
      <w:pPr>
        <w:pageBreakBefore w:val="0"/>
        <w:numPr>
          <w:ilvl w:val="0"/>
          <w:numId w:val="0"/>
        </w:numPr>
        <w:kinsoku/>
        <w:wordWrap/>
        <w:overflowPunct/>
        <w:topLinePunct w:val="0"/>
        <w:bidi w:val="0"/>
        <w:spacing w:line="579" w:lineRule="exact"/>
        <w:ind w:left="0" w:leftChars="0" w:firstLine="640" w:firstLineChars="200"/>
        <w:jc w:val="both"/>
        <w:rPr>
          <w:rFonts w:ascii="仿宋" w:hAnsi="仿宋" w:eastAsia="仿宋"/>
          <w:b/>
          <w:color w:val="000000"/>
          <w:sz w:val="32"/>
          <w:szCs w:val="32"/>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住房保障支出</w:t>
      </w:r>
      <w:r>
        <w:rPr>
          <w:rStyle w:val="15"/>
          <w:rFonts w:hint="eastAsia" w:ascii="仿宋_GB2312" w:hAnsi="仿宋_GB2312" w:eastAsia="仿宋_GB2312" w:cs="仿宋_GB2312"/>
          <w:bCs/>
          <w:color w:val="000000"/>
          <w:sz w:val="32"/>
          <w:szCs w:val="32"/>
        </w:rPr>
        <w:t>（类）住房改革支出（款）住房公积金（项）:</w:t>
      </w:r>
      <w:r>
        <w:rPr>
          <w:rFonts w:hint="eastAsia" w:ascii="仿宋_GB2312" w:hAnsi="仿宋_GB2312" w:eastAsia="仿宋_GB2312" w:cs="仿宋_GB2312"/>
          <w:color w:val="000000"/>
          <w:sz w:val="32"/>
          <w:szCs w:val="32"/>
          <w:highlight w:val="none"/>
          <w:lang w:eastAsia="zh-CN"/>
        </w:rPr>
        <w:t>支出决算为</w:t>
      </w:r>
      <w:r>
        <w:rPr>
          <w:rFonts w:hint="eastAsia" w:ascii="仿宋_GB2312" w:hAnsi="仿宋_GB2312" w:eastAsia="仿宋_GB2312" w:cs="仿宋_GB2312"/>
          <w:color w:val="000000"/>
          <w:sz w:val="32"/>
          <w:szCs w:val="32"/>
          <w:highlight w:val="none"/>
          <w:lang w:val="en-US" w:eastAsia="zh-CN"/>
        </w:rPr>
        <w:t>10.88</w:t>
      </w:r>
      <w:r>
        <w:rPr>
          <w:rFonts w:hint="eastAsia" w:ascii="仿宋_GB2312" w:hAnsi="仿宋_GB2312" w:eastAsia="仿宋_GB2312" w:cs="仿宋_GB2312"/>
          <w:color w:val="000000"/>
          <w:sz w:val="32"/>
          <w:szCs w:val="32"/>
          <w:highlight w:val="none"/>
          <w:lang w:eastAsia="zh-CN"/>
        </w:rPr>
        <w:t>万元，完成预算</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lang w:eastAsia="zh-CN"/>
        </w:rPr>
        <w:t>%。</w:t>
      </w:r>
    </w:p>
    <w:p>
      <w:pPr>
        <w:pageBreakBefore w:val="0"/>
        <w:tabs>
          <w:tab w:val="right" w:pos="8306"/>
        </w:tabs>
        <w:kinsoku/>
        <w:wordWrap/>
        <w:overflowPunct/>
        <w:topLinePunct w:val="0"/>
        <w:bidi w:val="0"/>
        <w:spacing w:line="579" w:lineRule="exact"/>
        <w:ind w:left="0" w:leftChars="0" w:right="0" w:firstLine="640" w:firstLineChars="200"/>
        <w:jc w:val="both"/>
        <w:outlineLvl w:val="1"/>
        <w:rPr>
          <w:rStyle w:val="27"/>
          <w:color w:val="auto"/>
          <w:highlight w:val="none"/>
        </w:rPr>
      </w:pPr>
      <w:bookmarkStart w:id="99" w:name="_Toc27002"/>
      <w:bookmarkStart w:id="100" w:name="_Toc20171"/>
      <w:bookmarkStart w:id="101" w:name="_Toc4005"/>
      <w:bookmarkStart w:id="102" w:name="_Toc15377214"/>
      <w:bookmarkStart w:id="103"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99"/>
      <w:bookmarkEnd w:id="100"/>
      <w:bookmarkEnd w:id="101"/>
      <w:bookmarkEnd w:id="102"/>
      <w:bookmarkEnd w:id="103"/>
    </w:p>
    <w:p>
      <w:pPr>
        <w:pageBreakBefore w:val="0"/>
        <w:numPr>
          <w:ilvl w:val="0"/>
          <w:numId w:val="0"/>
        </w:numPr>
        <w:kinsoku/>
        <w:wordWrap/>
        <w:overflowPunct/>
        <w:topLinePunct w:val="0"/>
        <w:bidi w:val="0"/>
        <w:spacing w:line="579" w:lineRule="exact"/>
        <w:ind w:left="0" w:leftChars="0"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年一般公共预算财政拨款基本支出</w:t>
      </w:r>
      <w:r>
        <w:rPr>
          <w:rFonts w:hint="eastAsia" w:ascii="仿宋_GB2312" w:hAnsi="仿宋_GB2312" w:eastAsia="仿宋_GB2312" w:cs="仿宋_GB2312"/>
          <w:color w:val="000000"/>
          <w:sz w:val="32"/>
          <w:szCs w:val="32"/>
          <w:highlight w:val="none"/>
          <w:lang w:val="en-US" w:eastAsia="zh-CN"/>
        </w:rPr>
        <w:t>94.3</w:t>
      </w:r>
      <w:r>
        <w:rPr>
          <w:rFonts w:hint="eastAsia" w:ascii="仿宋_GB2312" w:hAnsi="仿宋_GB2312" w:eastAsia="仿宋_GB2312" w:cs="仿宋_GB2312"/>
          <w:color w:val="000000"/>
          <w:sz w:val="32"/>
          <w:szCs w:val="32"/>
          <w:highlight w:val="none"/>
          <w:lang w:eastAsia="zh-CN"/>
        </w:rPr>
        <w:t>万元，其中：</w:t>
      </w:r>
    </w:p>
    <w:p>
      <w:pPr>
        <w:pageBreakBefore w:val="0"/>
        <w:numPr>
          <w:ilvl w:val="0"/>
          <w:numId w:val="0"/>
        </w:numPr>
        <w:kinsoku/>
        <w:wordWrap/>
        <w:overflowPunct/>
        <w:topLinePunct w:val="0"/>
        <w:bidi w:val="0"/>
        <w:spacing w:line="579" w:lineRule="exact"/>
        <w:ind w:left="0" w:leftChars="0"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人员经费</w:t>
      </w:r>
      <w:r>
        <w:rPr>
          <w:rFonts w:hint="eastAsia" w:ascii="仿宋_GB2312" w:hAnsi="仿宋_GB2312" w:eastAsia="仿宋_GB2312" w:cs="仿宋_GB2312"/>
          <w:color w:val="000000"/>
          <w:sz w:val="32"/>
          <w:szCs w:val="32"/>
          <w:highlight w:val="none"/>
          <w:lang w:val="en-US" w:eastAsia="zh-CN"/>
        </w:rPr>
        <w:t>75.67</w:t>
      </w:r>
      <w:r>
        <w:rPr>
          <w:rFonts w:hint="eastAsia" w:ascii="仿宋_GB2312" w:hAnsi="仿宋_GB2312" w:eastAsia="仿宋_GB2312" w:cs="仿宋_GB2312"/>
          <w:color w:val="000000"/>
          <w:sz w:val="32"/>
          <w:szCs w:val="32"/>
          <w:highlight w:val="none"/>
          <w:lang w:eastAsia="zh-CN"/>
        </w:rPr>
        <w:t>万元，主要包括：基本工资、津贴补贴、绩效工资、机关事业单位基本养老保险缴费、职工基本医疗保险缴费、其他社会保障缴费、住房公积金、其他工资福利支出等。</w:t>
      </w:r>
    </w:p>
    <w:p>
      <w:pPr>
        <w:pageBreakBefore w:val="0"/>
        <w:numPr>
          <w:ilvl w:val="0"/>
          <w:numId w:val="0"/>
        </w:numPr>
        <w:kinsoku/>
        <w:wordWrap/>
        <w:overflowPunct/>
        <w:topLinePunct w:val="0"/>
        <w:bidi w:val="0"/>
        <w:spacing w:line="579" w:lineRule="exact"/>
        <w:ind w:left="0" w:leftChars="0" w:firstLine="640" w:firstLineChars="200"/>
        <w:jc w:val="both"/>
        <w:rPr>
          <w:rFonts w:ascii="仿宋" w:hAnsi="仿宋" w:eastAsia="仿宋"/>
          <w:b/>
          <w:color w:val="auto"/>
          <w:sz w:val="32"/>
          <w:szCs w:val="32"/>
          <w:highlight w:val="none"/>
        </w:rPr>
      </w:pPr>
      <w:r>
        <w:rPr>
          <w:rFonts w:hint="eastAsia" w:ascii="仿宋_GB2312" w:hAnsi="仿宋_GB2312" w:eastAsia="仿宋_GB2312" w:cs="仿宋_GB2312"/>
          <w:color w:val="000000"/>
          <w:sz w:val="32"/>
          <w:szCs w:val="32"/>
          <w:highlight w:val="none"/>
          <w:lang w:eastAsia="zh-CN"/>
        </w:rPr>
        <w:t>日常公用经费</w:t>
      </w:r>
      <w:r>
        <w:rPr>
          <w:rFonts w:hint="eastAsia" w:ascii="仿宋_GB2312" w:hAnsi="仿宋_GB2312" w:eastAsia="仿宋_GB2312" w:cs="仿宋_GB2312"/>
          <w:color w:val="000000"/>
          <w:sz w:val="32"/>
          <w:szCs w:val="32"/>
          <w:highlight w:val="none"/>
          <w:lang w:val="en-US" w:eastAsia="zh-CN"/>
        </w:rPr>
        <w:t>18.63</w:t>
      </w:r>
      <w:r>
        <w:rPr>
          <w:rFonts w:hint="eastAsia" w:ascii="仿宋_GB2312" w:hAnsi="仿宋_GB2312" w:eastAsia="仿宋_GB2312" w:cs="仿宋_GB2312"/>
          <w:color w:val="000000"/>
          <w:sz w:val="32"/>
          <w:szCs w:val="32"/>
          <w:highlight w:val="none"/>
          <w:lang w:eastAsia="zh-CN"/>
        </w:rPr>
        <w:t>万元，主要包括：办公费、水费、电费、邮电费、差旅费、培训费等。</w:t>
      </w:r>
    </w:p>
    <w:p>
      <w:pPr>
        <w:pageBreakBefore w:val="0"/>
        <w:kinsoku/>
        <w:wordWrap/>
        <w:overflowPunct/>
        <w:topLinePunct w:val="0"/>
        <w:bidi w:val="0"/>
        <w:spacing w:line="579" w:lineRule="exact"/>
        <w:ind w:left="0" w:leftChars="0" w:firstLine="640" w:firstLineChars="200"/>
        <w:jc w:val="both"/>
        <w:outlineLvl w:val="1"/>
        <w:rPr>
          <w:rStyle w:val="27"/>
          <w:rFonts w:ascii="黑体" w:hAnsi="黑体" w:eastAsia="黑体"/>
          <w:b w:val="0"/>
        </w:rPr>
      </w:pPr>
      <w:bookmarkStart w:id="104" w:name="_Toc15663"/>
      <w:bookmarkStart w:id="105" w:name="_Toc11759"/>
      <w:bookmarkStart w:id="106" w:name="_Toc15377215"/>
      <w:bookmarkStart w:id="107" w:name="_Toc9981"/>
      <w:bookmarkStart w:id="108" w:name="_Toc15396609"/>
      <w:bookmarkStart w:id="109" w:name="_Toc3826"/>
      <w:bookmarkStart w:id="110" w:name="_Toc15377218"/>
      <w:bookmarkStart w:id="111" w:name="_Toc15396610"/>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104"/>
      <w:bookmarkEnd w:id="105"/>
      <w:bookmarkEnd w:id="106"/>
      <w:bookmarkEnd w:id="107"/>
      <w:bookmarkEnd w:id="108"/>
      <w:bookmarkEnd w:id="109"/>
    </w:p>
    <w:p>
      <w:pPr>
        <w:pageBreakBefore w:val="0"/>
        <w:kinsoku/>
        <w:wordWrap/>
        <w:overflowPunct/>
        <w:topLinePunct w:val="0"/>
        <w:bidi w:val="0"/>
        <w:spacing w:line="579" w:lineRule="exact"/>
        <w:ind w:left="0" w:leftChars="0" w:firstLine="640" w:firstLineChars="200"/>
        <w:jc w:val="both"/>
        <w:outlineLvl w:val="2"/>
        <w:rPr>
          <w:rFonts w:hint="eastAsia" w:ascii="楷体_GB2312" w:hAnsi="楷体_GB2312" w:eastAsia="楷体_GB2312" w:cs="楷体_GB2312"/>
          <w:b w:val="0"/>
          <w:bCs/>
          <w:color w:val="000000"/>
          <w:sz w:val="32"/>
          <w:szCs w:val="32"/>
        </w:rPr>
      </w:pPr>
      <w:bookmarkStart w:id="112" w:name="_Toc7790"/>
      <w:bookmarkStart w:id="113" w:name="_Toc13203"/>
      <w:bookmarkStart w:id="114" w:name="_Toc15377216"/>
      <w:bookmarkStart w:id="115" w:name="_Toc19753"/>
      <w:r>
        <w:rPr>
          <w:rFonts w:hint="eastAsia" w:ascii="楷体_GB2312" w:hAnsi="楷体_GB2312" w:eastAsia="楷体_GB2312" w:cs="楷体_GB2312"/>
          <w:b w:val="0"/>
          <w:bCs/>
          <w:color w:val="000000"/>
          <w:sz w:val="32"/>
          <w:szCs w:val="32"/>
        </w:rPr>
        <w:t>（一）“三公”经费财政拨款支出决算总体情况说明</w:t>
      </w:r>
      <w:bookmarkEnd w:id="112"/>
      <w:bookmarkEnd w:id="113"/>
      <w:bookmarkEnd w:id="114"/>
      <w:bookmarkEnd w:id="115"/>
    </w:p>
    <w:p>
      <w:pPr>
        <w:pageBreakBefore w:val="0"/>
        <w:numPr>
          <w:ilvl w:val="0"/>
          <w:numId w:val="0"/>
        </w:numPr>
        <w:kinsoku/>
        <w:wordWrap/>
        <w:overflowPunct/>
        <w:topLinePunct w:val="0"/>
        <w:bidi w:val="0"/>
        <w:spacing w:line="579" w:lineRule="exact"/>
        <w:ind w:left="0" w:leftChars="0"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年“三公”经费财政拨款支出决算为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lang w:eastAsia="zh-CN"/>
        </w:rPr>
        <w:t>万元，年初未安排预算，与</w:t>
      </w:r>
      <w:r>
        <w:rPr>
          <w:rFonts w:hint="eastAsia" w:ascii="仿宋_GB2312" w:hAnsi="仿宋_GB2312" w:eastAsia="仿宋_GB2312" w:cs="仿宋_GB2312"/>
          <w:color w:val="000000"/>
          <w:sz w:val="32"/>
          <w:szCs w:val="32"/>
          <w:highlight w:val="none"/>
          <w:lang w:val="en-US" w:eastAsia="zh-CN"/>
        </w:rPr>
        <w:t>2020年持平。</w:t>
      </w:r>
    </w:p>
    <w:p>
      <w:pPr>
        <w:pageBreakBefore w:val="0"/>
        <w:kinsoku/>
        <w:wordWrap/>
        <w:overflowPunct/>
        <w:topLinePunct w:val="0"/>
        <w:bidi w:val="0"/>
        <w:spacing w:line="579" w:lineRule="exact"/>
        <w:ind w:left="0" w:leftChars="0" w:firstLine="640" w:firstLineChars="200"/>
        <w:jc w:val="both"/>
        <w:outlineLvl w:val="2"/>
        <w:rPr>
          <w:rFonts w:hint="eastAsia" w:ascii="楷体_GB2312" w:hAnsi="楷体_GB2312" w:eastAsia="楷体_GB2312" w:cs="楷体_GB2312"/>
          <w:b w:val="0"/>
          <w:bCs/>
          <w:color w:val="000000"/>
          <w:sz w:val="32"/>
          <w:szCs w:val="32"/>
        </w:rPr>
      </w:pPr>
      <w:bookmarkStart w:id="116" w:name="_Toc24080"/>
      <w:bookmarkStart w:id="117" w:name="_Toc15377217"/>
      <w:bookmarkStart w:id="118" w:name="_Toc3315"/>
      <w:bookmarkStart w:id="119" w:name="_Toc4448"/>
      <w:r>
        <w:rPr>
          <w:rFonts w:hint="eastAsia" w:ascii="楷体_GB2312" w:hAnsi="楷体_GB2312" w:eastAsia="楷体_GB2312" w:cs="楷体_GB2312"/>
          <w:b w:val="0"/>
          <w:bCs/>
          <w:color w:val="000000"/>
          <w:sz w:val="32"/>
          <w:szCs w:val="32"/>
        </w:rPr>
        <w:t>（二）“三公”经费财政拨款支出决算具体情况说明</w:t>
      </w:r>
      <w:bookmarkEnd w:id="116"/>
      <w:bookmarkEnd w:id="117"/>
      <w:bookmarkEnd w:id="118"/>
      <w:bookmarkEnd w:id="119"/>
    </w:p>
    <w:p>
      <w:pPr>
        <w:pageBreakBefore w:val="0"/>
        <w:numPr>
          <w:ilvl w:val="0"/>
          <w:numId w:val="0"/>
        </w:numPr>
        <w:kinsoku/>
        <w:wordWrap/>
        <w:overflowPunct/>
        <w:topLinePunct w:val="0"/>
        <w:bidi w:val="0"/>
        <w:spacing w:line="579" w:lineRule="exact"/>
        <w:ind w:left="0" w:leftChars="0"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年“三公”经费财政拨款支出决算中，因公出国（境）费支出决算</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lang w:eastAsia="zh-CN"/>
        </w:rPr>
        <w:t>万元；公务用车购置及运行维护费支出决算</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lang w:eastAsia="zh-CN"/>
        </w:rPr>
        <w:t>万元；公务接待费支出决算</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lang w:eastAsia="zh-CN"/>
        </w:rPr>
        <w:t>万元。具体情况如下：</w:t>
      </w:r>
    </w:p>
    <w:p>
      <w:pPr>
        <w:pageBreakBefore w:val="0"/>
        <w:kinsoku/>
        <w:wordWrap/>
        <w:overflowPunct/>
        <w:topLinePunct w:val="0"/>
        <w:bidi w:val="0"/>
        <w:spacing w:line="579" w:lineRule="exact"/>
        <w:ind w:left="0" w:leftChars="0"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bCs/>
          <w:color w:val="000000"/>
          <w:sz w:val="32"/>
          <w:szCs w:val="32"/>
        </w:rPr>
        <w:t>因公出国（境）费支出</w:t>
      </w:r>
      <w:r>
        <w:rPr>
          <w:rFonts w:hint="eastAsia" w:ascii="仿宋_GB2312" w:hAnsi="仿宋_GB2312" w:eastAsia="仿宋_GB2312" w:cs="仿宋_GB2312"/>
          <w:bCs/>
          <w:color w:val="000000"/>
          <w:kern w:val="0"/>
          <w:sz w:val="32"/>
          <w:szCs w:val="32"/>
          <w:lang w:val="en-US" w:eastAsia="zh-CN" w:bidi="ar-SA"/>
        </w:rPr>
        <w:t>0万元，年初未安排预算。因公出国（境）支出决算较2020年无变化。</w:t>
      </w:r>
    </w:p>
    <w:p>
      <w:pPr>
        <w:pageBreakBefore w:val="0"/>
        <w:kinsoku/>
        <w:wordWrap/>
        <w:overflowPunct/>
        <w:topLinePunct w:val="0"/>
        <w:bidi w:val="0"/>
        <w:spacing w:line="579" w:lineRule="exact"/>
        <w:ind w:left="0" w:leftChars="0" w:firstLine="640" w:firstLineChars="200"/>
        <w:jc w:val="both"/>
        <w:rPr>
          <w:rFonts w:hint="eastAsia" w:ascii="仿宋_GB2312" w:hAnsi="仿宋_GB2312" w:eastAsia="仿宋_GB2312" w:cs="仿宋_GB2312"/>
          <w:b/>
          <w:color w:val="000000"/>
          <w:sz w:val="32"/>
          <w:szCs w:val="32"/>
          <w:lang w:val="en" w:eastAsia="zh-CN"/>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年初未安排预算，与上年持平。</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79" w:lineRule="exact"/>
        <w:ind w:left="0" w:leftChars="0"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15"/>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lang w:eastAsia="zh-CN"/>
        </w:rPr>
        <w:t>年初未安排预算，与上年持平。</w:t>
      </w:r>
    </w:p>
    <w:bookmarkEnd w:id="110"/>
    <w:bookmarkEnd w:id="111"/>
    <w:p>
      <w:pPr>
        <w:pageBreakBefore w:val="0"/>
        <w:kinsoku/>
        <w:wordWrap/>
        <w:overflowPunct/>
        <w:topLinePunct w:val="0"/>
        <w:bidi w:val="0"/>
        <w:spacing w:line="579" w:lineRule="exact"/>
        <w:ind w:left="0" w:leftChars="0" w:firstLine="640" w:firstLineChars="200"/>
        <w:jc w:val="both"/>
        <w:outlineLvl w:val="1"/>
        <w:rPr>
          <w:rStyle w:val="27"/>
          <w:rFonts w:ascii="黑体" w:hAnsi="黑体" w:eastAsia="黑体"/>
        </w:rPr>
      </w:pPr>
      <w:bookmarkStart w:id="120" w:name="_Toc14248"/>
      <w:bookmarkStart w:id="121" w:name="_Toc20239"/>
      <w:bookmarkStart w:id="122" w:name="_Toc15094"/>
      <w:bookmarkStart w:id="123" w:name="_Toc15377219"/>
      <w:bookmarkStart w:id="124" w:name="_Toc15396611"/>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120"/>
      <w:bookmarkEnd w:id="121"/>
      <w:bookmarkEnd w:id="122"/>
    </w:p>
    <w:p>
      <w:pPr>
        <w:pageBreakBefore w:val="0"/>
        <w:kinsoku/>
        <w:wordWrap/>
        <w:overflowPunct/>
        <w:topLinePunct w:val="0"/>
        <w:bidi w:val="0"/>
        <w:spacing w:line="579" w:lineRule="exact"/>
        <w:ind w:left="0" w:leftChars="0" w:firstLine="640" w:firstLineChars="200"/>
        <w:jc w:val="both"/>
        <w:rPr>
          <w:rFonts w:hint="eastAsia" w:ascii="仿宋_GB2312" w:eastAsia="仿宋"/>
          <w:color w:val="000000"/>
          <w:sz w:val="32"/>
          <w:szCs w:val="32"/>
          <w:lang w:eastAsia="zh-CN"/>
        </w:rPr>
      </w:pPr>
      <w:r>
        <w:rPr>
          <w:rFonts w:hint="eastAsia" w:ascii="仿宋_GB2312" w:hAnsi="仿宋_GB2312" w:eastAsia="仿宋_GB2312" w:cs="仿宋_GB2312"/>
          <w:bCs/>
          <w:color w:val="000000"/>
          <w:kern w:val="0"/>
          <w:sz w:val="32"/>
          <w:szCs w:val="32"/>
          <w:lang w:val="en-US" w:eastAsia="zh-CN" w:bidi="ar-SA"/>
        </w:rPr>
        <w:t>2021年政府性基金预算拨款支出0万元。2021年本单位未在政府性基金预算拨款安排“三公经费”支出。</w:t>
      </w:r>
    </w:p>
    <w:p>
      <w:pPr>
        <w:pageBreakBefore w:val="0"/>
        <w:numPr>
          <w:ilvl w:val="0"/>
          <w:numId w:val="1"/>
        </w:numPr>
        <w:kinsoku/>
        <w:wordWrap/>
        <w:overflowPunct/>
        <w:topLinePunct w:val="0"/>
        <w:bidi w:val="0"/>
        <w:spacing w:line="579" w:lineRule="exact"/>
        <w:ind w:left="0" w:leftChars="0" w:right="0" w:firstLine="640" w:firstLineChars="200"/>
        <w:jc w:val="both"/>
        <w:outlineLvl w:val="1"/>
        <w:rPr>
          <w:rStyle w:val="27"/>
          <w:rFonts w:ascii="黑体" w:hAnsi="黑体" w:eastAsia="黑体"/>
          <w:b w:val="0"/>
          <w:color w:val="auto"/>
          <w:highlight w:val="none"/>
        </w:rPr>
      </w:pPr>
      <w:bookmarkStart w:id="125" w:name="_Toc26279"/>
      <w:bookmarkStart w:id="126" w:name="_Toc4791"/>
      <w:bookmarkStart w:id="127" w:name="_Toc674"/>
      <w:r>
        <w:rPr>
          <w:rStyle w:val="27"/>
          <w:rFonts w:hint="eastAsia" w:ascii="黑体" w:hAnsi="黑体" w:eastAsia="黑体"/>
          <w:b w:val="0"/>
          <w:color w:val="auto"/>
          <w:highlight w:val="none"/>
        </w:rPr>
        <w:t>国有资本经营预算支出决算情况说明</w:t>
      </w:r>
      <w:bookmarkEnd w:id="123"/>
      <w:bookmarkEnd w:id="124"/>
      <w:bookmarkEnd w:id="125"/>
      <w:bookmarkEnd w:id="126"/>
      <w:bookmarkEnd w:id="127"/>
    </w:p>
    <w:p>
      <w:pPr>
        <w:pageBreakBefore w:val="0"/>
        <w:kinsoku/>
        <w:wordWrap/>
        <w:overflowPunct/>
        <w:topLinePunct w:val="0"/>
        <w:bidi w:val="0"/>
        <w:spacing w:line="579" w:lineRule="exact"/>
        <w:ind w:left="0" w:leftChars="0" w:right="0"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1"/>
        </w:numPr>
        <w:kinsoku/>
        <w:wordWrap/>
        <w:overflowPunct/>
        <w:topLinePunct w:val="0"/>
        <w:bidi w:val="0"/>
        <w:spacing w:line="579" w:lineRule="exact"/>
        <w:ind w:left="0" w:leftChars="0" w:right="0" w:firstLine="640" w:firstLineChars="200"/>
        <w:jc w:val="both"/>
        <w:outlineLvl w:val="1"/>
        <w:rPr>
          <w:rStyle w:val="27"/>
          <w:rFonts w:hint="eastAsia" w:ascii="黑体" w:hAnsi="黑体" w:eastAsia="黑体"/>
          <w:b w:val="0"/>
          <w:color w:val="auto"/>
          <w:highlight w:val="none"/>
        </w:rPr>
      </w:pPr>
      <w:bookmarkStart w:id="128" w:name="_Toc3175"/>
      <w:bookmarkStart w:id="129" w:name="_Toc22167"/>
      <w:bookmarkStart w:id="130" w:name="_Toc10309"/>
      <w:bookmarkStart w:id="131" w:name="_Toc15377221"/>
      <w:bookmarkStart w:id="132" w:name="_Toc15396612"/>
      <w:r>
        <w:rPr>
          <w:rStyle w:val="27"/>
          <w:rFonts w:hint="eastAsia" w:ascii="黑体" w:hAnsi="黑体" w:eastAsia="黑体"/>
          <w:b w:val="0"/>
          <w:color w:val="auto"/>
          <w:highlight w:val="none"/>
          <w:lang w:val="en-US" w:eastAsia="zh-CN"/>
        </w:rPr>
        <w:t>预算绩效管理情况</w:t>
      </w:r>
      <w:bookmarkEnd w:id="128"/>
      <w:bookmarkEnd w:id="129"/>
      <w:bookmarkEnd w:id="130"/>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bCs/>
          <w:color w:val="000000"/>
          <w:kern w:val="0"/>
          <w:sz w:val="32"/>
          <w:szCs w:val="32"/>
          <w:lang w:val="en-US" w:eastAsia="zh-CN" w:bidi="ar-SA"/>
        </w:rPr>
        <w:t>市招聘管理团队专项经费1个项目开展了预算事前绩效评估，对1个项目编制了绩效目标，预算执行过程中，选取1个项目开展绩效监控</w:t>
      </w:r>
      <w:r>
        <w:rPr>
          <w:rFonts w:hint="eastAsia" w:ascii="仿宋_GB2312" w:hAnsi="仿宋_GB2312" w:eastAsia="仿宋_GB2312" w:cs="仿宋_GB2312"/>
          <w:color w:val="auto"/>
          <w:sz w:val="32"/>
          <w:szCs w:val="32"/>
          <w:highlight w:val="none"/>
        </w:rPr>
        <w:t>，年终执行完毕后，</w:t>
      </w:r>
      <w:r>
        <w:rPr>
          <w:rFonts w:hint="eastAsia" w:ascii="仿宋_GB2312" w:hAnsi="仿宋_GB2312" w:eastAsia="仿宋_GB2312" w:cs="仿宋_GB2312"/>
          <w:bCs/>
          <w:color w:val="000000"/>
          <w:kern w:val="0"/>
          <w:sz w:val="32"/>
          <w:szCs w:val="32"/>
          <w:lang w:val="en-US" w:eastAsia="zh-CN" w:bidi="ar-SA"/>
        </w:rPr>
        <w:t>对1个项目开展了绩效目标完成情况自评。</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ageBreakBefore w:val="0"/>
        <w:numPr>
          <w:ilvl w:val="0"/>
          <w:numId w:val="1"/>
        </w:numPr>
        <w:kinsoku/>
        <w:wordWrap/>
        <w:overflowPunct/>
        <w:topLinePunct w:val="0"/>
        <w:bidi w:val="0"/>
        <w:spacing w:line="579" w:lineRule="exact"/>
        <w:ind w:left="0" w:leftChars="0" w:right="0" w:firstLine="640" w:firstLineChars="200"/>
        <w:jc w:val="both"/>
        <w:outlineLvl w:val="1"/>
        <w:rPr>
          <w:rStyle w:val="27"/>
          <w:rFonts w:hint="eastAsia" w:ascii="黑体" w:hAnsi="黑体" w:eastAsia="黑体"/>
          <w:b w:val="0"/>
          <w:color w:val="auto"/>
          <w:highlight w:val="none"/>
        </w:rPr>
      </w:pPr>
      <w:bookmarkStart w:id="133" w:name="_Toc6412"/>
      <w:bookmarkStart w:id="134" w:name="_Toc10413"/>
      <w:bookmarkStart w:id="135" w:name="_Toc2715"/>
      <w:r>
        <w:rPr>
          <w:rStyle w:val="27"/>
          <w:rFonts w:hint="eastAsia" w:ascii="黑体" w:hAnsi="黑体" w:eastAsia="黑体"/>
          <w:b w:val="0"/>
          <w:color w:val="auto"/>
          <w:highlight w:val="none"/>
        </w:rPr>
        <w:t>其他重要事项的情况说明</w:t>
      </w:r>
      <w:bookmarkEnd w:id="131"/>
      <w:bookmarkEnd w:id="132"/>
      <w:bookmarkEnd w:id="133"/>
      <w:bookmarkEnd w:id="134"/>
      <w:bookmarkEnd w:id="135"/>
    </w:p>
    <w:p>
      <w:pPr>
        <w:pageBreakBefore w:val="0"/>
        <w:kinsoku/>
        <w:wordWrap/>
        <w:overflowPunct/>
        <w:topLinePunct w:val="0"/>
        <w:bidi w:val="0"/>
        <w:spacing w:line="579" w:lineRule="exact"/>
        <w:ind w:left="0" w:leftChars="0" w:right="0" w:firstLine="640" w:firstLineChars="200"/>
        <w:jc w:val="both"/>
        <w:outlineLvl w:val="2"/>
        <w:rPr>
          <w:rFonts w:hint="eastAsia" w:ascii="楷体_GB2312" w:hAnsi="楷体_GB2312" w:eastAsia="楷体_GB2312" w:cs="楷体_GB2312"/>
          <w:b w:val="0"/>
          <w:bCs/>
          <w:color w:val="auto"/>
          <w:sz w:val="32"/>
          <w:szCs w:val="32"/>
          <w:highlight w:val="none"/>
        </w:rPr>
      </w:pPr>
      <w:bookmarkStart w:id="136" w:name="_Toc20039"/>
      <w:bookmarkStart w:id="137" w:name="_Toc17067"/>
      <w:bookmarkStart w:id="138" w:name="_Toc15377222"/>
      <w:bookmarkStart w:id="139" w:name="_Toc28405"/>
      <w:r>
        <w:rPr>
          <w:rFonts w:hint="eastAsia" w:ascii="楷体_GB2312" w:hAnsi="楷体_GB2312" w:eastAsia="楷体_GB2312" w:cs="楷体_GB2312"/>
          <w:b w:val="0"/>
          <w:bCs/>
          <w:color w:val="auto"/>
          <w:sz w:val="32"/>
          <w:szCs w:val="32"/>
          <w:highlight w:val="none"/>
        </w:rPr>
        <w:t>（一）机关运行经费支出情况</w:t>
      </w:r>
      <w:bookmarkEnd w:id="136"/>
      <w:bookmarkEnd w:id="137"/>
      <w:bookmarkEnd w:id="138"/>
      <w:bookmarkEnd w:id="139"/>
    </w:p>
    <w:p>
      <w:pPr>
        <w:pageBreakBefore w:val="0"/>
        <w:kinsoku/>
        <w:wordWrap/>
        <w:overflowPunct/>
        <w:topLinePunct w:val="0"/>
        <w:bidi w:val="0"/>
        <w:spacing w:line="579" w:lineRule="exact"/>
        <w:ind w:left="0" w:leftChars="0" w:right="0" w:firstLine="640" w:firstLineChars="200"/>
        <w:jc w:val="both"/>
        <w:rPr>
          <w:rFonts w:hint="eastAsia" w:ascii="仿宋_GB2312" w:hAnsi="仿宋_GB2312" w:eastAsia="仿宋_GB2312" w:cs="仿宋_GB2312"/>
          <w:color w:val="000000"/>
          <w:sz w:val="32"/>
          <w:szCs w:val="32"/>
          <w:highlight w:val="none"/>
          <w:lang w:val="en-US" w:eastAsia="zh-CN"/>
        </w:rPr>
      </w:pPr>
      <w:bookmarkStart w:id="140" w:name="_Toc8732"/>
      <w:bookmarkStart w:id="141" w:name="_Toc15377223"/>
      <w:bookmarkStart w:id="142" w:name="_Toc19616"/>
      <w:bookmarkStart w:id="143" w:name="_Toc2093"/>
      <w:r>
        <w:rPr>
          <w:rFonts w:hint="eastAsia" w:ascii="仿宋_GB2312" w:hAnsi="仿宋_GB2312" w:eastAsia="仿宋_GB2312" w:cs="仿宋_GB2312"/>
          <w:color w:val="000000"/>
          <w:sz w:val="32"/>
          <w:szCs w:val="32"/>
          <w:highlight w:val="none"/>
          <w:lang w:val="en-US" w:eastAsia="zh-CN"/>
        </w:rPr>
        <w:t>2021年未发生机关运行经费支出，与2020年决算数持平。</w:t>
      </w:r>
      <w:bookmarkEnd w:id="140"/>
    </w:p>
    <w:p>
      <w:pPr>
        <w:pageBreakBefore w:val="0"/>
        <w:kinsoku/>
        <w:wordWrap/>
        <w:overflowPunct/>
        <w:topLinePunct w:val="0"/>
        <w:bidi w:val="0"/>
        <w:spacing w:line="579" w:lineRule="exact"/>
        <w:ind w:left="0" w:leftChars="0" w:right="0" w:firstLine="640" w:firstLineChars="200"/>
        <w:jc w:val="both"/>
        <w:outlineLvl w:val="2"/>
        <w:rPr>
          <w:rFonts w:hint="eastAsia" w:ascii="楷体_GB2312" w:hAnsi="楷体_GB2312" w:eastAsia="楷体_GB2312" w:cs="楷体_GB2312"/>
          <w:b w:val="0"/>
          <w:bCs/>
          <w:color w:val="auto"/>
          <w:sz w:val="32"/>
          <w:szCs w:val="32"/>
          <w:highlight w:val="none"/>
        </w:rPr>
      </w:pPr>
      <w:bookmarkStart w:id="144" w:name="_Toc8441"/>
      <w:r>
        <w:rPr>
          <w:rFonts w:hint="eastAsia" w:ascii="楷体_GB2312" w:hAnsi="楷体_GB2312" w:eastAsia="楷体_GB2312" w:cs="楷体_GB2312"/>
          <w:b w:val="0"/>
          <w:bCs/>
          <w:color w:val="auto"/>
          <w:sz w:val="32"/>
          <w:szCs w:val="32"/>
          <w:highlight w:val="none"/>
        </w:rPr>
        <w:t>（二）政府采购支出情况</w:t>
      </w:r>
      <w:bookmarkEnd w:id="141"/>
      <w:bookmarkEnd w:id="142"/>
      <w:bookmarkEnd w:id="143"/>
      <w:bookmarkEnd w:id="144"/>
    </w:p>
    <w:p>
      <w:pPr>
        <w:pageBreakBefore w:val="0"/>
        <w:kinsoku/>
        <w:wordWrap/>
        <w:overflowPunct/>
        <w:topLinePunct w:val="0"/>
        <w:bidi w:val="0"/>
        <w:spacing w:line="579" w:lineRule="exact"/>
        <w:ind w:left="0" w:leftChars="0" w:right="0"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000000"/>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270.99</w:t>
      </w:r>
      <w:r>
        <w:rPr>
          <w:rFonts w:hint="eastAsia" w:ascii="仿宋_GB2312" w:eastAsia="仿宋_GB2312"/>
          <w:color w:val="auto"/>
          <w:sz w:val="32"/>
          <w:szCs w:val="32"/>
          <w:highlight w:val="none"/>
        </w:rPr>
        <w:t>万元，其中：政府采购服务支出</w:t>
      </w:r>
      <w:r>
        <w:rPr>
          <w:rFonts w:hint="eastAsia" w:ascii="仿宋_GB2312" w:eastAsia="仿宋_GB2312"/>
          <w:color w:val="auto"/>
          <w:sz w:val="32"/>
          <w:szCs w:val="32"/>
          <w:highlight w:val="none"/>
          <w:lang w:val="en-US" w:eastAsia="zh-CN"/>
        </w:rPr>
        <w:t>270.99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招聘管理团队服务支出</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1.49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0.55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1.49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0.55</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bidi w:val="0"/>
        <w:spacing w:line="579" w:lineRule="exact"/>
        <w:ind w:left="0" w:leftChars="0" w:right="0" w:firstLine="640" w:firstLineChars="200"/>
        <w:jc w:val="both"/>
        <w:outlineLvl w:val="2"/>
        <w:rPr>
          <w:rFonts w:hint="eastAsia" w:ascii="楷体_GB2312" w:hAnsi="楷体_GB2312" w:eastAsia="楷体_GB2312" w:cs="楷体_GB2312"/>
          <w:b w:val="0"/>
          <w:bCs/>
          <w:color w:val="auto"/>
          <w:sz w:val="32"/>
          <w:szCs w:val="32"/>
          <w:highlight w:val="none"/>
        </w:rPr>
      </w:pPr>
      <w:bookmarkStart w:id="145" w:name="_Toc15377224"/>
      <w:bookmarkStart w:id="146" w:name="_Toc7300"/>
      <w:bookmarkStart w:id="147" w:name="_Toc15596"/>
      <w:bookmarkStart w:id="148" w:name="_Toc23704"/>
      <w:r>
        <w:rPr>
          <w:rFonts w:hint="eastAsia" w:ascii="楷体_GB2312" w:hAnsi="楷体_GB2312" w:eastAsia="楷体_GB2312" w:cs="楷体_GB2312"/>
          <w:b w:val="0"/>
          <w:bCs/>
          <w:color w:val="auto"/>
          <w:sz w:val="32"/>
          <w:szCs w:val="32"/>
          <w:highlight w:val="none"/>
        </w:rPr>
        <w:t>（三）国有资产占有使用情况</w:t>
      </w:r>
      <w:bookmarkEnd w:id="145"/>
      <w:bookmarkEnd w:id="146"/>
      <w:bookmarkEnd w:id="147"/>
      <w:bookmarkEnd w:id="148"/>
    </w:p>
    <w:p>
      <w:pPr>
        <w:spacing w:line="600" w:lineRule="exact"/>
        <w:ind w:firstLine="640" w:firstLineChars="200"/>
        <w:rPr>
          <w:rFonts w:hint="eastAsia" w:ascii="仿宋_GB2312" w:hAnsi="仿宋_GB2312" w:eastAsia="仿宋_GB2312" w:cs="仿宋_GB2312"/>
          <w:bCs/>
          <w:color w:val="000000"/>
          <w:kern w:val="0"/>
          <w:sz w:val="32"/>
          <w:szCs w:val="32"/>
          <w:lang w:val="en-US" w:eastAsia="zh-CN" w:bidi="ar-SA"/>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w:t>
      </w:r>
      <w:r>
        <w:rPr>
          <w:rFonts w:hint="eastAsia" w:ascii="仿宋_GB2312" w:hAnsi="仿宋_GB2312" w:eastAsia="仿宋_GB2312" w:cs="仿宋_GB2312"/>
          <w:color w:val="000000"/>
          <w:sz w:val="32"/>
          <w:szCs w:val="32"/>
          <w:highlight w:val="none"/>
          <w:lang w:val="en-US" w:eastAsia="zh-CN"/>
        </w:rPr>
        <w:t>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bCs/>
          <w:color w:val="000000"/>
          <w:kern w:val="0"/>
          <w:sz w:val="32"/>
          <w:szCs w:val="32"/>
          <w:lang w:val="en-US" w:eastAsia="zh-CN" w:bidi="ar-SA"/>
        </w:rPr>
        <w:t>单价50万元以上通用设备0台（套），单价100万元以上专用设备0台（套）。</w:t>
      </w:r>
    </w:p>
    <w:p>
      <w:pPr>
        <w:pStyle w:val="17"/>
        <w:ind w:left="0" w:leftChars="0" w:firstLine="0" w:firstLineChars="0"/>
        <w:rPr>
          <w:rFonts w:hint="eastAsia"/>
        </w:rPr>
      </w:pPr>
    </w:p>
    <w:p>
      <w:pPr>
        <w:rPr>
          <w:rFonts w:hint="eastAsia"/>
        </w:rPr>
      </w:pPr>
    </w:p>
    <w:p>
      <w:pPr>
        <w:pageBreakBefore w:val="0"/>
        <w:numPr>
          <w:ilvl w:val="0"/>
          <w:numId w:val="0"/>
        </w:numPr>
        <w:kinsoku/>
        <w:wordWrap/>
        <w:overflowPunct/>
        <w:topLinePunct w:val="0"/>
        <w:bidi w:val="0"/>
        <w:spacing w:line="579" w:lineRule="exact"/>
        <w:ind w:right="0" w:rightChars="0"/>
        <w:jc w:val="center"/>
        <w:outlineLvl w:val="0"/>
        <w:rPr>
          <w:rStyle w:val="26"/>
          <w:rFonts w:hint="eastAsia" w:ascii="方正小标宋简体" w:hAnsi="方正小标宋简体" w:eastAsia="方正小标宋简体" w:cs="方正小标宋简体"/>
          <w:b w:val="0"/>
          <w:color w:val="auto"/>
          <w:highlight w:val="none"/>
          <w:lang w:val="en-US" w:eastAsia="zh-CN" w:bidi="ar-SA"/>
        </w:rPr>
      </w:pPr>
      <w:bookmarkStart w:id="149" w:name="_Toc7225"/>
      <w:bookmarkStart w:id="150" w:name="_Toc4724"/>
      <w:bookmarkStart w:id="151" w:name="_Toc15377225"/>
      <w:bookmarkStart w:id="152" w:name="_Toc25550"/>
      <w:bookmarkStart w:id="153" w:name="_Toc15396613"/>
      <w:r>
        <w:rPr>
          <w:rStyle w:val="26"/>
          <w:rFonts w:hint="eastAsia" w:ascii="方正小标宋简体" w:hAnsi="方正小标宋简体" w:eastAsia="方正小标宋简体" w:cs="方正小标宋简体"/>
          <w:b w:val="0"/>
          <w:color w:val="auto"/>
          <w:highlight w:val="none"/>
          <w:lang w:val="en-US" w:eastAsia="zh-CN" w:bidi="ar-SA"/>
        </w:rPr>
        <w:t>第三部分  名词解释</w:t>
      </w:r>
      <w:bookmarkEnd w:id="149"/>
      <w:bookmarkEnd w:id="150"/>
      <w:bookmarkEnd w:id="151"/>
      <w:bookmarkEnd w:id="152"/>
      <w:bookmarkEnd w:id="153"/>
    </w:p>
    <w:p>
      <w:pPr>
        <w:pageBreakBefore w:val="0"/>
        <w:kinsoku/>
        <w:wordWrap/>
        <w:overflowPunct/>
        <w:topLinePunct w:val="0"/>
        <w:bidi w:val="0"/>
        <w:spacing w:line="579" w:lineRule="exact"/>
        <w:ind w:left="0" w:leftChars="0" w:right="0" w:firstLine="881" w:firstLineChars="200"/>
        <w:jc w:val="both"/>
        <w:rPr>
          <w:rFonts w:ascii="宋体"/>
          <w:b/>
          <w:color w:val="auto"/>
          <w:sz w:val="44"/>
          <w:szCs w:val="44"/>
          <w:highlight w:val="none"/>
        </w:rPr>
      </w:pPr>
    </w:p>
    <w:p>
      <w:pPr>
        <w:pStyle w:val="24"/>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w:t>
      </w:r>
      <w:r>
        <w:rPr>
          <w:rFonts w:hint="eastAsia" w:ascii="仿宋_GB2312" w:eastAsia="仿宋_GB2312"/>
          <w:sz w:val="32"/>
          <w:szCs w:val="32"/>
        </w:rPr>
        <w:t>指单位从同级财政部门取得的财政预算资金。</w:t>
      </w:r>
    </w:p>
    <w:p>
      <w:pPr>
        <w:pStyle w:val="24"/>
        <w:pageBreakBefore w:val="0"/>
        <w:kinsoku/>
        <w:wordWrap/>
        <w:overflowPunct/>
        <w:topLinePunct w:val="0"/>
        <w:bidi w:val="0"/>
        <w:spacing w:line="579" w:lineRule="exact"/>
        <w:ind w:left="0" w:leftChars="0" w:right="0"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p>
    <w:p>
      <w:pPr>
        <w:pStyle w:val="24"/>
        <w:pageBreakBefore w:val="0"/>
        <w:kinsoku/>
        <w:wordWrap/>
        <w:overflowPunct/>
        <w:topLinePunct w:val="0"/>
        <w:bidi w:val="0"/>
        <w:spacing w:line="579" w:lineRule="exact"/>
        <w:ind w:left="0" w:leftChars="0" w:right="0"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24"/>
        <w:pageBreakBefore w:val="0"/>
        <w:kinsoku/>
        <w:wordWrap/>
        <w:overflowPunct/>
        <w:topLinePunct w:val="0"/>
        <w:bidi w:val="0"/>
        <w:spacing w:line="579" w:lineRule="exact"/>
        <w:ind w:left="0" w:leftChars="0" w:right="0"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ageBreakBefore w:val="0"/>
        <w:kinsoku/>
        <w:wordWrap/>
        <w:overflowPunct/>
        <w:topLinePunct w:val="0"/>
        <w:bidi w:val="0"/>
        <w:spacing w:line="576" w:lineRule="exact"/>
        <w:ind w:firstLine="640" w:firstLineChars="200"/>
        <w:rPr>
          <w:rFonts w:hint="default" w:ascii="仿宋_GB2312" w:eastAsia="仿宋_GB2312"/>
          <w:color w:val="auto"/>
          <w:sz w:val="32"/>
          <w:szCs w:val="32"/>
          <w:highlight w:val="yellow"/>
          <w:lang w:val="en-US" w:eastAsia="zh-CN"/>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000000"/>
          <w:sz w:val="32"/>
          <w:szCs w:val="32"/>
        </w:rPr>
        <w:t>一般公共服务（类）纪检监察事务（款）一般行政管理事务（项）：反映行政单位未单独设置项级科目的其他项目支出。</w:t>
      </w:r>
      <w:r>
        <w:rPr>
          <w:rFonts w:hint="eastAsia" w:ascii="仿宋_GB2312" w:eastAsia="仿宋_GB2312"/>
          <w:color w:val="000000"/>
          <w:sz w:val="32"/>
          <w:szCs w:val="32"/>
          <w:lang w:val="en-US" w:eastAsia="zh-CN"/>
        </w:rPr>
        <w:t xml:space="preserve">     </w:t>
      </w:r>
    </w:p>
    <w:p>
      <w:pPr>
        <w:pageBreakBefore w:val="0"/>
        <w:kinsoku/>
        <w:wordWrap/>
        <w:overflowPunct/>
        <w:topLinePunct w:val="0"/>
        <w:bidi w:val="0"/>
        <w:spacing w:line="576" w:lineRule="exact"/>
        <w:ind w:firstLine="640" w:firstLineChars="200"/>
        <w:rPr>
          <w:rFonts w:hint="eastAsia" w:ascii="仿宋_GB2312" w:eastAsia="仿宋_GB2312"/>
          <w:color w:val="000000"/>
          <w:sz w:val="32"/>
          <w:szCs w:val="32"/>
        </w:rPr>
      </w:pPr>
      <w:r>
        <w:rPr>
          <w:rFonts w:hint="eastAsia" w:ascii="仿宋_GB2312" w:eastAsia="仿宋_GB2312"/>
          <w:color w:val="auto"/>
          <w:sz w:val="32"/>
          <w:szCs w:val="32"/>
          <w:highlight w:val="none"/>
          <w:lang w:val="en-US" w:eastAsia="zh-CN"/>
        </w:rPr>
        <w:t>6.</w:t>
      </w:r>
      <w:r>
        <w:rPr>
          <w:rStyle w:val="15"/>
          <w:rFonts w:hint="eastAsia" w:ascii="仿宋" w:hAnsi="仿宋" w:eastAsia="仿宋"/>
          <w:b w:val="0"/>
          <w:bCs w:val="0"/>
          <w:color w:val="000000"/>
          <w:sz w:val="32"/>
          <w:szCs w:val="32"/>
          <w:highlight w:val="none"/>
        </w:rPr>
        <w:t>一</w:t>
      </w:r>
      <w:r>
        <w:rPr>
          <w:rStyle w:val="15"/>
          <w:rFonts w:hint="eastAsia" w:ascii="仿宋" w:hAnsi="仿宋" w:eastAsia="仿宋"/>
          <w:b w:val="0"/>
          <w:bCs w:val="0"/>
          <w:color w:val="000000"/>
          <w:sz w:val="32"/>
          <w:szCs w:val="32"/>
        </w:rPr>
        <w:t>般公共服务（类）纪检监察事务（款）事业运行（项）</w:t>
      </w:r>
      <w:r>
        <w:rPr>
          <w:rStyle w:val="15"/>
          <w:rFonts w:ascii="仿宋" w:hAnsi="仿宋" w:eastAsia="仿宋"/>
          <w:b w:val="0"/>
          <w:bCs w:val="0"/>
          <w:color w:val="000000"/>
          <w:sz w:val="32"/>
          <w:szCs w:val="32"/>
        </w:rPr>
        <w:t>:</w:t>
      </w:r>
      <w:r>
        <w:rPr>
          <w:rFonts w:hint="eastAsia" w:ascii="仿宋_GB2312" w:eastAsia="仿宋_GB2312"/>
          <w:color w:val="000000"/>
          <w:sz w:val="32"/>
          <w:szCs w:val="32"/>
        </w:rPr>
        <w:t>反映事业单位的基本支出。</w:t>
      </w:r>
    </w:p>
    <w:p>
      <w:pPr>
        <w:pageBreakBefore w:val="0"/>
        <w:kinsoku/>
        <w:wordWrap/>
        <w:overflowPunct/>
        <w:topLinePunct w:val="0"/>
        <w:bidi w:val="0"/>
        <w:spacing w:line="579" w:lineRule="exact"/>
        <w:ind w:left="0" w:leftChars="0" w:right="0" w:firstLine="640" w:firstLineChars="200"/>
        <w:jc w:val="both"/>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7.一般公共服务（类）纪检监察事务（款）其他纪检监察事务支出（项）:</w:t>
      </w:r>
      <w:r>
        <w:rPr>
          <w:rFonts w:hint="eastAsia" w:ascii="仿宋_GB2312" w:eastAsia="仿宋_GB2312"/>
          <w:color w:val="auto"/>
          <w:sz w:val="32"/>
          <w:szCs w:val="32"/>
          <w:highlight w:val="none"/>
          <w:lang w:eastAsia="zh-CN"/>
        </w:rPr>
        <w:t>用于招聘管理团队服务支出。</w:t>
      </w:r>
    </w:p>
    <w:p>
      <w:pPr>
        <w:pageBreakBefore w:val="0"/>
        <w:kinsoku/>
        <w:wordWrap/>
        <w:overflowPunct/>
        <w:topLinePunct w:val="0"/>
        <w:bidi w:val="0"/>
        <w:spacing w:line="579" w:lineRule="exact"/>
        <w:ind w:left="0" w:leftChars="0" w:right="0" w:firstLine="640" w:firstLineChars="200"/>
        <w:jc w:val="both"/>
        <w:rPr>
          <w:rFonts w:hint="eastAsia" w:ascii="仿宋_GB2312" w:eastAsia="仿宋_GB2312"/>
          <w:color w:val="000000"/>
          <w:sz w:val="32"/>
          <w:szCs w:val="32"/>
        </w:rPr>
      </w:pPr>
      <w:r>
        <w:rPr>
          <w:rFonts w:hint="eastAsia" w:ascii="仿宋_GB2312" w:eastAsia="仿宋_GB2312"/>
          <w:color w:val="auto"/>
          <w:sz w:val="32"/>
          <w:szCs w:val="32"/>
          <w:highlight w:val="none"/>
          <w:lang w:val="en-US" w:eastAsia="zh-CN"/>
        </w:rPr>
        <w:t>8.</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pPr>
        <w:pageBreakBefore w:val="0"/>
        <w:kinsoku/>
        <w:wordWrap/>
        <w:overflowPunct/>
        <w:topLinePunct w:val="0"/>
        <w:bidi w:val="0"/>
        <w:spacing w:line="576" w:lineRule="exact"/>
        <w:ind w:firstLine="640" w:firstLineChars="200"/>
        <w:rPr>
          <w:rStyle w:val="15"/>
          <w:rFonts w:ascii="仿宋" w:hAnsi="仿宋" w:eastAsia="仿宋"/>
          <w:b w:val="0"/>
          <w:bCs w:val="0"/>
          <w:color w:val="000000"/>
          <w:sz w:val="32"/>
          <w:szCs w:val="32"/>
        </w:rPr>
      </w:pPr>
      <w:r>
        <w:rPr>
          <w:rFonts w:hint="eastAsia" w:ascii="仿宋_GB2312" w:eastAsia="仿宋_GB2312"/>
          <w:color w:val="000000"/>
          <w:sz w:val="32"/>
          <w:szCs w:val="32"/>
          <w:lang w:val="en-US" w:eastAsia="zh-CN"/>
        </w:rPr>
        <w:t>9.</w:t>
      </w:r>
      <w:r>
        <w:rPr>
          <w:rFonts w:hint="eastAsia" w:ascii="仿宋" w:hAnsi="仿宋" w:eastAsia="仿宋"/>
          <w:b w:val="0"/>
          <w:bCs w:val="0"/>
          <w:color w:val="000000"/>
          <w:sz w:val="32"/>
          <w:szCs w:val="32"/>
        </w:rPr>
        <w:t>卫生健康</w:t>
      </w:r>
      <w:r>
        <w:rPr>
          <w:rStyle w:val="15"/>
          <w:rFonts w:hint="eastAsia" w:ascii="仿宋" w:hAnsi="仿宋" w:eastAsia="仿宋"/>
          <w:b w:val="0"/>
          <w:bCs w:val="0"/>
          <w:color w:val="000000"/>
          <w:sz w:val="32"/>
          <w:szCs w:val="32"/>
        </w:rPr>
        <w:t>（类）行政事业单位医疗（款）事业单位医疗（项）</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指反映财政部门集中安排的事业单位医疗保险缴费经费，未参加医疗保险的事业单位的公费医疗经费，按国家规定享受离休人员待遇的医疗经费。</w:t>
      </w:r>
    </w:p>
    <w:p>
      <w:pPr>
        <w:pageBreakBefore w:val="0"/>
        <w:kinsoku/>
        <w:wordWrap/>
        <w:overflowPunct/>
        <w:topLinePunct w:val="0"/>
        <w:bidi w:val="0"/>
        <w:spacing w:line="576" w:lineRule="exact"/>
        <w:ind w:firstLine="640" w:firstLineChars="200"/>
        <w:rPr>
          <w:rFonts w:hint="eastAsia" w:ascii="仿宋_GB2312" w:hAnsi="Calibri" w:eastAsia="仿宋_GB2312" w:cs="仿宋"/>
          <w:color w:val="000000"/>
          <w:kern w:val="0"/>
          <w:sz w:val="32"/>
          <w:szCs w:val="32"/>
        </w:rPr>
      </w:pPr>
      <w:r>
        <w:rPr>
          <w:rFonts w:hint="eastAsia" w:ascii="仿宋" w:hAnsi="仿宋" w:eastAsia="仿宋"/>
          <w:b w:val="0"/>
          <w:bCs w:val="0"/>
          <w:color w:val="000000"/>
          <w:sz w:val="32"/>
          <w:szCs w:val="32"/>
          <w:lang w:val="en-US" w:eastAsia="zh-CN"/>
        </w:rPr>
        <w:t>10.</w:t>
      </w:r>
      <w:r>
        <w:rPr>
          <w:rFonts w:hint="eastAsia" w:ascii="仿宋" w:hAnsi="仿宋" w:eastAsia="仿宋"/>
          <w:b w:val="0"/>
          <w:bCs w:val="0"/>
          <w:color w:val="000000"/>
          <w:sz w:val="32"/>
          <w:szCs w:val="32"/>
        </w:rPr>
        <w:t>住房保障支出</w:t>
      </w:r>
      <w:r>
        <w:rPr>
          <w:rStyle w:val="15"/>
          <w:rFonts w:hint="eastAsia" w:ascii="仿宋" w:hAnsi="仿宋" w:eastAsia="仿宋"/>
          <w:b w:val="0"/>
          <w:bCs w:val="0"/>
          <w:color w:val="000000"/>
          <w:sz w:val="32"/>
          <w:szCs w:val="32"/>
        </w:rPr>
        <w:t>（类）住房改革支出（款）住房公积金（项）</w:t>
      </w:r>
      <w:r>
        <w:rPr>
          <w:rStyle w:val="15"/>
          <w:rFonts w:ascii="仿宋" w:hAnsi="仿宋" w:eastAsia="仿宋"/>
          <w:b w:val="0"/>
          <w:bCs w:val="0"/>
          <w:color w:val="000000"/>
          <w:sz w:val="32"/>
          <w:szCs w:val="32"/>
        </w:rPr>
        <w:t>:</w:t>
      </w:r>
      <w:r>
        <w:rPr>
          <w:rFonts w:hint="eastAsia" w:ascii="仿宋_GB2312" w:hAnsi="Calibri" w:eastAsia="仿宋_GB2312" w:cs="仿宋"/>
          <w:color w:val="000000"/>
          <w:kern w:val="0"/>
          <w:sz w:val="32"/>
          <w:szCs w:val="32"/>
        </w:rPr>
        <w:t>指反映行政事业单位按人力资源和社会保障部、财政部规定的基本工资和津贴补贴以及规定比例为职工缴纳的住房公积金。</w:t>
      </w:r>
    </w:p>
    <w:p>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lang w:val="en-US" w:eastAsia="zh-CN"/>
        </w:rPr>
        <w:t>11.</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4"/>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rPr>
          <w:rFonts w:hint="default" w:eastAsia="仿宋_GB2312"/>
          <w:lang w:val="en-US" w:eastAsia="zh-CN"/>
        </w:rPr>
      </w:pPr>
    </w:p>
    <w:p>
      <w:pPr>
        <w:rPr>
          <w:rFonts w:hint="default" w:eastAsia="仿宋_GB2312"/>
          <w:lang w:val="en-US" w:eastAsia="zh-CN"/>
        </w:rPr>
      </w:pPr>
    </w:p>
    <w:p>
      <w:pPr>
        <w:pStyle w:val="17"/>
        <w:rPr>
          <w:rFonts w:hint="default" w:eastAsia="仿宋_GB2312"/>
          <w:lang w:val="en-US" w:eastAsia="zh-CN"/>
        </w:rPr>
      </w:pPr>
    </w:p>
    <w:p>
      <w:pPr>
        <w:rPr>
          <w:rFonts w:hint="default" w:eastAsia="仿宋_GB2312"/>
          <w:lang w:val="en-US" w:eastAsia="zh-CN"/>
        </w:rPr>
      </w:pPr>
    </w:p>
    <w:p>
      <w:pPr>
        <w:pStyle w:val="17"/>
        <w:rPr>
          <w:rFonts w:hint="default" w:eastAsia="仿宋_GB2312"/>
          <w:lang w:val="en-US" w:eastAsia="zh-CN"/>
        </w:rPr>
      </w:pPr>
    </w:p>
    <w:p>
      <w:pPr>
        <w:rPr>
          <w:rFonts w:hint="default" w:eastAsia="仿宋_GB2312"/>
          <w:lang w:val="en-US" w:eastAsia="zh-CN"/>
        </w:rPr>
      </w:pPr>
    </w:p>
    <w:p>
      <w:pPr>
        <w:pStyle w:val="17"/>
        <w:rPr>
          <w:rFonts w:hint="default" w:eastAsia="仿宋_GB2312"/>
          <w:lang w:val="en-US" w:eastAsia="zh-CN"/>
        </w:rPr>
      </w:pPr>
    </w:p>
    <w:p>
      <w:pPr>
        <w:rPr>
          <w:rFonts w:hint="default" w:eastAsia="仿宋_GB2312"/>
          <w:lang w:val="en-US" w:eastAsia="zh-CN"/>
        </w:rPr>
      </w:pPr>
    </w:p>
    <w:p>
      <w:pPr>
        <w:pStyle w:val="17"/>
        <w:rPr>
          <w:rFonts w:hint="default" w:eastAsia="仿宋_GB2312"/>
          <w:lang w:val="en-US" w:eastAsia="zh-CN"/>
        </w:rPr>
      </w:pPr>
    </w:p>
    <w:p>
      <w:pPr>
        <w:rPr>
          <w:rFonts w:hint="default" w:eastAsia="仿宋_GB2312"/>
          <w:lang w:val="en-US" w:eastAsia="zh-CN"/>
        </w:rPr>
      </w:pPr>
    </w:p>
    <w:p>
      <w:pPr>
        <w:pStyle w:val="17"/>
        <w:rPr>
          <w:rFonts w:hint="default" w:eastAsia="仿宋_GB2312"/>
          <w:lang w:val="en-US" w:eastAsia="zh-CN"/>
        </w:rPr>
      </w:pPr>
    </w:p>
    <w:p>
      <w:pPr>
        <w:rPr>
          <w:rFonts w:hint="default" w:eastAsia="仿宋_GB2312"/>
          <w:lang w:val="en-US" w:eastAsia="zh-CN"/>
        </w:rPr>
      </w:pPr>
    </w:p>
    <w:p>
      <w:pPr>
        <w:pStyle w:val="17"/>
        <w:rPr>
          <w:rFonts w:hint="default" w:eastAsia="仿宋_GB2312"/>
          <w:lang w:val="en-US" w:eastAsia="zh-CN"/>
        </w:rPr>
      </w:pPr>
    </w:p>
    <w:p>
      <w:pPr>
        <w:rPr>
          <w:rFonts w:hint="default" w:eastAsia="仿宋_GB2312"/>
          <w:lang w:val="en-US" w:eastAsia="zh-CN"/>
        </w:rPr>
      </w:pPr>
    </w:p>
    <w:p>
      <w:pPr>
        <w:pStyle w:val="17"/>
        <w:rPr>
          <w:rFonts w:hint="default"/>
          <w:lang w:val="en-US" w:eastAsia="zh-CN"/>
        </w:rPr>
      </w:pPr>
    </w:p>
    <w:p>
      <w:pPr>
        <w:pStyle w:val="2"/>
        <w:ind w:left="949" w:leftChars="352" w:hanging="210" w:hangingChars="100"/>
        <w:rPr>
          <w:rFonts w:hint="default" w:eastAsia="仿宋_GB2312"/>
          <w:lang w:val="en-US" w:eastAsia="zh-CN"/>
        </w:rPr>
      </w:pPr>
    </w:p>
    <w:p>
      <w:pPr>
        <w:rPr>
          <w:rFonts w:hint="default" w:eastAsia="仿宋_GB2312"/>
          <w:lang w:val="en-US" w:eastAsia="zh-CN"/>
        </w:rPr>
      </w:pPr>
    </w:p>
    <w:p>
      <w:pPr>
        <w:pStyle w:val="2"/>
        <w:rPr>
          <w:rFonts w:hint="default" w:eastAsia="仿宋_GB2312"/>
          <w:lang w:val="en-US" w:eastAsia="zh-CN"/>
        </w:rPr>
      </w:pPr>
    </w:p>
    <w:p>
      <w:pPr>
        <w:rPr>
          <w:rFonts w:hint="default" w:eastAsia="仿宋_GB2312"/>
          <w:lang w:val="en-US" w:eastAsia="zh-CN"/>
        </w:rPr>
      </w:pPr>
    </w:p>
    <w:p>
      <w:pPr>
        <w:pStyle w:val="2"/>
        <w:rPr>
          <w:rFonts w:hint="default" w:eastAsia="仿宋_GB2312"/>
          <w:lang w:val="en-US" w:eastAsia="zh-CN"/>
        </w:rPr>
      </w:pPr>
    </w:p>
    <w:p>
      <w:pPr>
        <w:rPr>
          <w:rFonts w:hint="default" w:eastAsia="仿宋_GB2312"/>
          <w:lang w:val="en-US" w:eastAsia="zh-CN"/>
        </w:rPr>
      </w:pPr>
    </w:p>
    <w:p>
      <w:pPr>
        <w:pStyle w:val="2"/>
        <w:rPr>
          <w:rFonts w:hint="default" w:eastAsia="仿宋_GB2312"/>
          <w:lang w:val="en-US" w:eastAsia="zh-CN"/>
        </w:rPr>
      </w:pPr>
    </w:p>
    <w:p>
      <w:pPr>
        <w:rPr>
          <w:rFonts w:hint="default" w:eastAsia="仿宋_GB2312"/>
          <w:lang w:val="en-US" w:eastAsia="zh-CN"/>
        </w:rPr>
      </w:pPr>
    </w:p>
    <w:p>
      <w:pPr>
        <w:pStyle w:val="2"/>
        <w:rPr>
          <w:rFonts w:hint="default" w:eastAsia="仿宋_GB2312"/>
          <w:lang w:val="en-US" w:eastAsia="zh-CN"/>
        </w:rPr>
      </w:pPr>
    </w:p>
    <w:p>
      <w:pPr>
        <w:rPr>
          <w:rFonts w:hint="default" w:eastAsia="仿宋_GB2312"/>
          <w:lang w:val="en-US" w:eastAsia="zh-CN"/>
        </w:rPr>
      </w:pPr>
    </w:p>
    <w:p>
      <w:pPr>
        <w:pStyle w:val="2"/>
        <w:rPr>
          <w:rFonts w:hint="default"/>
          <w:lang w:val="en-US" w:eastAsia="zh-CN"/>
        </w:rPr>
      </w:pPr>
    </w:p>
    <w:p>
      <w:pPr>
        <w:pageBreakBefore w:val="0"/>
        <w:kinsoku/>
        <w:wordWrap/>
        <w:overflowPunct/>
        <w:topLinePunct w:val="0"/>
        <w:bidi w:val="0"/>
        <w:spacing w:line="579" w:lineRule="exact"/>
        <w:ind w:right="0" w:firstLine="3080" w:firstLineChars="700"/>
        <w:jc w:val="both"/>
        <w:outlineLvl w:val="0"/>
        <w:rPr>
          <w:rStyle w:val="26"/>
          <w:rFonts w:ascii="黑体" w:hAnsi="黑体" w:eastAsia="黑体"/>
          <w:b w:val="0"/>
          <w:color w:val="auto"/>
          <w:highlight w:val="none"/>
        </w:rPr>
      </w:pPr>
      <w:bookmarkStart w:id="154" w:name="_Toc17438"/>
      <w:bookmarkStart w:id="155" w:name="_Toc3947"/>
      <w:bookmarkStart w:id="156" w:name="_Toc15396614"/>
      <w:bookmarkStart w:id="157" w:name="_Toc6779"/>
      <w:bookmarkStart w:id="158" w:name="_Toc15377226"/>
      <w:r>
        <w:rPr>
          <w:rFonts w:hint="eastAsia" w:ascii="方正小标宋简体" w:hAnsi="方正小标宋简体" w:eastAsia="方正小标宋简体" w:cs="方正小标宋简体"/>
          <w:color w:val="auto"/>
          <w:sz w:val="44"/>
          <w:szCs w:val="44"/>
          <w:highlight w:val="none"/>
        </w:rPr>
        <w:t>第</w:t>
      </w:r>
      <w:r>
        <w:rPr>
          <w:rStyle w:val="26"/>
          <w:rFonts w:hint="eastAsia" w:ascii="方正小标宋简体" w:hAnsi="方正小标宋简体" w:eastAsia="方正小标宋简体" w:cs="方正小标宋简体"/>
          <w:b w:val="0"/>
          <w:color w:val="auto"/>
          <w:highlight w:val="none"/>
        </w:rPr>
        <w:t>四部分 附件</w:t>
      </w:r>
      <w:bookmarkEnd w:id="154"/>
      <w:bookmarkEnd w:id="155"/>
      <w:bookmarkEnd w:id="156"/>
      <w:bookmarkEnd w:id="157"/>
    </w:p>
    <w:p>
      <w:pPr>
        <w:pStyle w:val="36"/>
        <w:keepNext w:val="0"/>
        <w:keepLines w:val="0"/>
        <w:pageBreakBefore w:val="0"/>
        <w:widowControl w:val="0"/>
        <w:kinsoku/>
        <w:wordWrap/>
        <w:overflowPunct/>
        <w:topLinePunct w:val="0"/>
        <w:autoSpaceDE/>
        <w:autoSpaceDN/>
        <w:bidi w:val="0"/>
        <w:spacing w:line="576" w:lineRule="exact"/>
        <w:jc w:val="left"/>
        <w:textAlignment w:val="auto"/>
        <w:rPr>
          <w:rStyle w:val="32"/>
          <w:rFonts w:hint="default" w:ascii="黑体" w:hAnsi="宋体" w:eastAsia="黑体" w:cs="Times New Roman"/>
          <w:color w:val="auto"/>
          <w:sz w:val="32"/>
          <w:szCs w:val="32"/>
          <w:lang w:val="en-US" w:eastAsia="zh-CN"/>
        </w:rPr>
      </w:pPr>
      <w:bookmarkStart w:id="159" w:name="_Toc17513"/>
      <w:bookmarkStart w:id="160" w:name="_Toc19743"/>
      <w:bookmarkStart w:id="161" w:name="_Toc23938"/>
      <w:r>
        <w:rPr>
          <w:rStyle w:val="32"/>
          <w:rFonts w:hint="eastAsia" w:ascii="黑体" w:hAnsi="宋体" w:eastAsia="黑体" w:cs="Times New Roman"/>
          <w:color w:val="auto"/>
          <w:sz w:val="32"/>
          <w:szCs w:val="32"/>
          <w:lang w:val="en-US" w:eastAsia="zh-CN"/>
        </w:rPr>
        <w:t>附件</w:t>
      </w:r>
    </w:p>
    <w:p>
      <w:pPr>
        <w:pStyle w:val="36"/>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en-US" w:eastAsia="zh-CN"/>
        </w:rPr>
      </w:pPr>
      <w:r>
        <w:rPr>
          <w:rFonts w:hint="eastAsia" w:ascii="方正小标宋简体" w:hAnsi="宋体" w:eastAsia="方正小标宋简体"/>
          <w:b w:val="0"/>
          <w:bCs w:val="0"/>
          <w:sz w:val="44"/>
          <w:szCs w:val="44"/>
          <w:lang w:val="en-US" w:eastAsia="zh-CN"/>
        </w:rPr>
        <w:t>2021年度招聘管理团队项目</w:t>
      </w:r>
    </w:p>
    <w:p>
      <w:pPr>
        <w:pStyle w:val="36"/>
        <w:keepNext w:val="0"/>
        <w:keepLines w:val="0"/>
        <w:pageBreakBefore w:val="0"/>
        <w:widowControl w:val="0"/>
        <w:kinsoku/>
        <w:wordWrap/>
        <w:overflowPunct/>
        <w:topLinePunct w:val="0"/>
        <w:autoSpaceDE/>
        <w:autoSpaceDN/>
        <w:bidi w:val="0"/>
        <w:spacing w:line="576" w:lineRule="exact"/>
        <w:jc w:val="center"/>
        <w:textAlignment w:val="auto"/>
        <w:rPr>
          <w:rFonts w:hint="default" w:ascii="方正小标宋简体" w:hAnsi="宋体" w:eastAsia="方正小标宋简体"/>
          <w:b w:val="0"/>
          <w:bCs w:val="0"/>
          <w:sz w:val="44"/>
          <w:szCs w:val="44"/>
          <w:lang w:val="en-US" w:eastAsia="zh-CN"/>
        </w:rPr>
      </w:pPr>
      <w:r>
        <w:rPr>
          <w:rFonts w:hint="eastAsia" w:ascii="方正小标宋简体" w:hAnsi="宋体" w:eastAsia="方正小标宋简体"/>
          <w:b w:val="0"/>
          <w:bCs w:val="0"/>
          <w:sz w:val="44"/>
          <w:szCs w:val="44"/>
          <w:lang w:val="zh-CN" w:eastAsia="zh-CN"/>
        </w:rPr>
        <w:t>支出绩效自评报告</w:t>
      </w:r>
      <w:bookmarkEnd w:id="159"/>
      <w:bookmarkEnd w:id="160"/>
      <w:bookmarkEnd w:id="161"/>
    </w:p>
    <w:p>
      <w:pPr>
        <w:pStyle w:val="36"/>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rPr>
      </w:pPr>
    </w:p>
    <w:p>
      <w:pPr>
        <w:snapToGrid w:val="0"/>
        <w:spacing w:line="576" w:lineRule="exact"/>
        <w:ind w:firstLine="640" w:firstLineChars="200"/>
        <w:textAlignment w:val="baseline"/>
        <w:outlineLvl w:val="1"/>
        <w:rPr>
          <w:rStyle w:val="32"/>
          <w:rFonts w:hint="eastAsia" w:ascii="黑体" w:hAnsi="宋体" w:eastAsia="黑体" w:cs="Times New Roman"/>
          <w:sz w:val="32"/>
          <w:szCs w:val="32"/>
          <w:lang w:val="zh-CN"/>
        </w:rPr>
      </w:pPr>
      <w:bookmarkStart w:id="162" w:name="_Toc3794"/>
      <w:r>
        <w:rPr>
          <w:rStyle w:val="32"/>
          <w:rFonts w:hint="eastAsia" w:ascii="黑体" w:hAnsi="宋体" w:eastAsia="黑体" w:cs="Times New Roman"/>
          <w:sz w:val="32"/>
          <w:szCs w:val="32"/>
        </w:rPr>
        <w:t>一、</w:t>
      </w:r>
      <w:r>
        <w:rPr>
          <w:rStyle w:val="32"/>
          <w:rFonts w:hint="eastAsia" w:ascii="黑体" w:hAnsi="宋体" w:eastAsia="黑体" w:cs="Times New Roman"/>
          <w:sz w:val="32"/>
          <w:szCs w:val="32"/>
          <w:lang w:val="zh-CN"/>
        </w:rPr>
        <w:t>项目概况</w:t>
      </w:r>
      <w:bookmarkEnd w:id="16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63" w:name="_Toc20357"/>
      <w:r>
        <w:rPr>
          <w:rStyle w:val="32"/>
          <w:rFonts w:hint="eastAsia" w:ascii="楷体_GB2312" w:hAnsi="宋体" w:eastAsia="楷体_GB2312" w:cs="Times New Roman"/>
          <w:bCs/>
          <w:sz w:val="32"/>
          <w:szCs w:val="32"/>
          <w:lang w:val="zh-CN" w:eastAsia="zh-CN"/>
        </w:rPr>
        <w:t>（一）项目资金申报及批复情况</w:t>
      </w:r>
      <w:bookmarkEnd w:id="163"/>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default" w:ascii="仿宋_GB2312" w:hAnsi="宋体" w:eastAsia="仿宋_GB2312"/>
          <w:b w:val="0"/>
          <w:bCs w:val="0"/>
          <w:lang w:val="en-US" w:eastAsia="zh-CN"/>
        </w:rPr>
      </w:pPr>
      <w:r>
        <w:rPr>
          <w:rFonts w:hint="eastAsia" w:ascii="仿宋_GB2312" w:hAnsi="宋体"/>
          <w:b w:val="0"/>
          <w:bCs w:val="0"/>
          <w:lang w:val="en-US" w:eastAsia="zh-CN"/>
        </w:rPr>
        <w:t xml:space="preserve">     </w:t>
      </w:r>
      <w:r>
        <w:rPr>
          <w:rStyle w:val="32"/>
          <w:rFonts w:hint="eastAsia" w:ascii="仿宋_GB2312" w:hAnsi="仿宋_GB2312" w:eastAsia="仿宋_GB2312" w:cs="仿宋_GB2312"/>
          <w:sz w:val="32"/>
          <w:szCs w:val="32"/>
          <w:lang w:val="en-US" w:eastAsia="zh-CN"/>
        </w:rPr>
        <w:t>我单位招聘管理团队项目资金共计2,709,870.2元，其中208,170.75元为财政一般公共预算资金，2,501,699.45元为我单位自有资金（财政代管）。财政资金208,170.75元为采购计划资金，由两部分组成，200,000.00元为本年预算申报并批复（发文文号：部门预算0902号），8,170.75元为上年结余资金（发文文号：广财返（2021）0139号）。相关程序符合资金管理办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64" w:name="_Toc26677"/>
      <w:r>
        <w:rPr>
          <w:rStyle w:val="32"/>
          <w:rFonts w:hint="eastAsia" w:ascii="楷体_GB2312" w:hAnsi="宋体" w:eastAsia="楷体_GB2312" w:cs="Times New Roman"/>
          <w:bCs/>
          <w:sz w:val="32"/>
          <w:szCs w:val="32"/>
          <w:lang w:val="zh-CN" w:eastAsia="zh-CN"/>
        </w:rPr>
        <w:t>（二）项目绩效目标</w:t>
      </w:r>
      <w:bookmarkEnd w:id="164"/>
    </w:p>
    <w:p>
      <w:pPr>
        <w:adjustRightInd w:val="0"/>
        <w:snapToGrid w:val="0"/>
        <w:spacing w:line="600" w:lineRule="exact"/>
        <w:ind w:firstLine="720"/>
        <w:rPr>
          <w:rStyle w:val="32"/>
          <w:rFonts w:hint="default" w:ascii="仿宋_GB2312" w:hAnsi="仿宋_GB2312" w:eastAsia="仿宋_GB2312" w:cs="仿宋_GB2312"/>
          <w:sz w:val="32"/>
          <w:szCs w:val="32"/>
          <w:lang w:val="en-US" w:eastAsia="zh-CN"/>
        </w:rPr>
      </w:pPr>
      <w:r>
        <w:rPr>
          <w:rStyle w:val="32"/>
          <w:rFonts w:hint="eastAsia" w:ascii="仿宋_GB2312" w:hAnsi="仿宋_GB2312" w:eastAsia="仿宋_GB2312" w:cs="仿宋_GB2312"/>
          <w:sz w:val="32"/>
          <w:szCs w:val="32"/>
          <w:lang w:val="zh-CN" w:eastAsia="zh-CN"/>
        </w:rPr>
        <w:t>我中心职能之一是负责全市纪检监察机关查办重大违纪案件的后勤保障和服务管理工作。招聘管理团队是为切实保障办案工作而实施的重要项目，</w:t>
      </w:r>
      <w:r>
        <w:rPr>
          <w:rStyle w:val="32"/>
          <w:rFonts w:hint="eastAsia" w:ascii="仿宋_GB2312" w:hAnsi="仿宋_GB2312" w:eastAsia="仿宋_GB2312" w:cs="仿宋_GB2312"/>
          <w:sz w:val="32"/>
          <w:szCs w:val="32"/>
          <w:lang w:val="en-US" w:eastAsia="zh-CN"/>
        </w:rPr>
        <w:t>通过该项目聘请到专业的服务人员进行保障，具体分为综合部、客房部、餐饮部、工程部、安保部五个职能板块，全面保障后勤服务。</w:t>
      </w:r>
    </w:p>
    <w:p>
      <w:pPr>
        <w:adjustRightInd w:val="0"/>
        <w:snapToGrid w:val="0"/>
        <w:spacing w:line="600" w:lineRule="exact"/>
        <w:ind w:firstLine="720"/>
        <w:rPr>
          <w:rStyle w:val="32"/>
          <w:rFonts w:hint="eastAsia" w:ascii="仿宋_GB2312" w:hAnsi="仿宋_GB2312" w:eastAsia="仿宋_GB2312" w:cs="仿宋_GB2312"/>
          <w:sz w:val="32"/>
          <w:szCs w:val="32"/>
          <w:lang w:val="zh-CN" w:eastAsia="zh-CN"/>
        </w:rPr>
      </w:pPr>
      <w:r>
        <w:rPr>
          <w:rStyle w:val="32"/>
          <w:rFonts w:hint="eastAsia" w:ascii="仿宋_GB2312" w:hAnsi="仿宋_GB2312" w:eastAsia="仿宋_GB2312" w:cs="仿宋_GB2312"/>
          <w:sz w:val="32"/>
          <w:szCs w:val="32"/>
          <w:lang w:val="zh-CN" w:eastAsia="zh-CN"/>
        </w:rPr>
        <w:t>绩效量化指标主要有五项。一是数量指标，目标是招聘一支不少于49人的专业化服务队伍，做好办案服务工作。二是质量指标，目标是办案服务水准的提升。三是时效指标，目标是提供全年365天的服务保障。四是社会效益指标，目标是保障案件查办工作高效推进。五是满意度指标，目标是办案人员的满意度达到95%及以上。</w:t>
      </w:r>
    </w:p>
    <w:p>
      <w:pPr>
        <w:adjustRightInd w:val="0"/>
        <w:snapToGrid w:val="0"/>
        <w:spacing w:line="600" w:lineRule="exact"/>
        <w:ind w:firstLine="720"/>
        <w:rPr>
          <w:rStyle w:val="32"/>
          <w:rFonts w:hint="eastAsia" w:ascii="仿宋_GB2312" w:hAnsi="仿宋_GB2312" w:eastAsia="仿宋_GB2312" w:cs="仿宋_GB2312"/>
          <w:sz w:val="32"/>
          <w:szCs w:val="32"/>
          <w:lang w:val="zh-CN" w:eastAsia="zh-CN"/>
        </w:rPr>
      </w:pPr>
      <w:r>
        <w:rPr>
          <w:rStyle w:val="32"/>
          <w:rFonts w:hint="eastAsia" w:ascii="仿宋_GB2312" w:hAnsi="仿宋_GB2312" w:eastAsia="仿宋_GB2312" w:cs="仿宋_GB2312"/>
          <w:sz w:val="32"/>
          <w:szCs w:val="32"/>
          <w:lang w:val="zh-CN" w:eastAsia="zh-CN"/>
        </w:rPr>
        <w:t>目前项目</w:t>
      </w:r>
      <w:r>
        <w:rPr>
          <w:rStyle w:val="32"/>
          <w:rFonts w:hint="eastAsia" w:ascii="仿宋_GB2312" w:hAnsi="仿宋_GB2312" w:eastAsia="仿宋_GB2312" w:cs="仿宋_GB2312"/>
          <w:sz w:val="32"/>
          <w:szCs w:val="32"/>
          <w:lang w:val="en-US" w:eastAsia="zh-CN"/>
        </w:rPr>
        <w:t>仍持续开展中</w:t>
      </w:r>
      <w:r>
        <w:rPr>
          <w:rStyle w:val="32"/>
          <w:rFonts w:hint="eastAsia" w:ascii="仿宋_GB2312" w:hAnsi="仿宋_GB2312" w:eastAsia="仿宋_GB2312" w:cs="仿宋_GB2312"/>
          <w:sz w:val="32"/>
          <w:szCs w:val="32"/>
          <w:lang w:val="zh-CN" w:eastAsia="zh-CN"/>
        </w:rPr>
        <w:t>，</w:t>
      </w:r>
      <w:r>
        <w:rPr>
          <w:rStyle w:val="32"/>
          <w:rFonts w:hint="eastAsia" w:ascii="仿宋_GB2312" w:hAnsi="仿宋_GB2312" w:eastAsia="仿宋_GB2312" w:cs="仿宋_GB2312"/>
          <w:sz w:val="32"/>
          <w:szCs w:val="32"/>
          <w:lang w:val="en-US" w:eastAsia="zh-CN"/>
        </w:rPr>
        <w:t>2021年度已完成且</w:t>
      </w:r>
      <w:r>
        <w:rPr>
          <w:rStyle w:val="32"/>
          <w:rFonts w:hint="eastAsia" w:ascii="仿宋_GB2312" w:hAnsi="仿宋_GB2312" w:eastAsia="仿宋_GB2312" w:cs="仿宋_GB2312"/>
          <w:sz w:val="32"/>
          <w:szCs w:val="32"/>
          <w:lang w:val="zh-CN" w:eastAsia="zh-CN"/>
        </w:rPr>
        <w:t>各项指标均达标。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65" w:name="_Toc2363"/>
      <w:r>
        <w:rPr>
          <w:rStyle w:val="32"/>
          <w:rFonts w:hint="eastAsia" w:ascii="楷体_GB2312" w:hAnsi="宋体" w:eastAsia="楷体_GB2312" w:cs="Times New Roman"/>
          <w:bCs/>
          <w:sz w:val="32"/>
          <w:szCs w:val="32"/>
          <w:lang w:val="zh-CN" w:eastAsia="zh-CN"/>
        </w:rPr>
        <w:t>（三）项目资金申报相符性</w:t>
      </w:r>
      <w:bookmarkEnd w:id="165"/>
    </w:p>
    <w:p>
      <w:pPr>
        <w:adjustRightInd w:val="0"/>
        <w:snapToGrid w:val="0"/>
        <w:spacing w:line="600" w:lineRule="exact"/>
        <w:ind w:firstLine="720"/>
        <w:rPr>
          <w:rStyle w:val="32"/>
          <w:rFonts w:hint="default" w:ascii="仿宋_GB2312" w:hAnsi="仿宋_GB2312" w:eastAsia="仿宋_GB2312" w:cs="仿宋_GB2312"/>
          <w:sz w:val="32"/>
          <w:szCs w:val="32"/>
          <w:lang w:val="en-US" w:eastAsia="zh-CN"/>
        </w:rPr>
      </w:pPr>
      <w:r>
        <w:rPr>
          <w:rStyle w:val="32"/>
          <w:rFonts w:hint="eastAsia" w:ascii="仿宋_GB2312" w:hAnsi="仿宋_GB2312" w:eastAsia="仿宋_GB2312" w:cs="仿宋_GB2312"/>
          <w:sz w:val="32"/>
          <w:szCs w:val="32"/>
          <w:lang w:val="zh-CN" w:eastAsia="zh-CN"/>
        </w:rPr>
        <w:t>项目申报内容与具体实施内容相符。</w:t>
      </w:r>
      <w:r>
        <w:rPr>
          <w:rStyle w:val="32"/>
          <w:rFonts w:hint="eastAsia" w:ascii="仿宋_GB2312" w:hAnsi="仿宋_GB2312" w:eastAsia="仿宋_GB2312" w:cs="仿宋_GB2312"/>
          <w:sz w:val="32"/>
          <w:szCs w:val="32"/>
          <w:lang w:val="en-US" w:eastAsia="zh-CN"/>
        </w:rPr>
        <w:t>申报目标合理可行。</w:t>
      </w:r>
    </w:p>
    <w:p>
      <w:pPr>
        <w:snapToGrid w:val="0"/>
        <w:spacing w:line="576" w:lineRule="exact"/>
        <w:ind w:firstLine="640" w:firstLineChars="200"/>
        <w:textAlignment w:val="baseline"/>
        <w:outlineLvl w:val="1"/>
        <w:rPr>
          <w:rStyle w:val="32"/>
          <w:rFonts w:hint="eastAsia" w:ascii="黑体" w:hAnsi="宋体" w:eastAsia="黑体" w:cs="Times New Roman"/>
          <w:sz w:val="32"/>
          <w:szCs w:val="32"/>
        </w:rPr>
      </w:pPr>
      <w:bookmarkStart w:id="166" w:name="_Toc12947"/>
      <w:r>
        <w:rPr>
          <w:rStyle w:val="32"/>
          <w:rFonts w:hint="eastAsia" w:ascii="黑体" w:hAnsi="宋体" w:eastAsia="黑体" w:cs="Times New Roman"/>
          <w:sz w:val="32"/>
          <w:szCs w:val="32"/>
        </w:rPr>
        <w:t>二、项目实施及管理情况</w:t>
      </w:r>
      <w:bookmarkEnd w:id="16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67" w:name="_Toc26688"/>
      <w:r>
        <w:rPr>
          <w:rStyle w:val="32"/>
          <w:rFonts w:hint="eastAsia" w:ascii="楷体_GB2312" w:hAnsi="宋体" w:eastAsia="楷体_GB2312" w:cs="Times New Roman"/>
          <w:bCs/>
          <w:sz w:val="32"/>
          <w:szCs w:val="32"/>
          <w:lang w:val="zh-CN" w:eastAsia="zh-CN"/>
        </w:rPr>
        <w:t>（一）资金计划、到位及使用情况</w:t>
      </w:r>
      <w:bookmarkEnd w:id="167"/>
    </w:p>
    <w:p>
      <w:pPr>
        <w:adjustRightInd w:val="0"/>
        <w:snapToGrid w:val="0"/>
        <w:spacing w:line="600" w:lineRule="exact"/>
        <w:ind w:firstLine="720"/>
        <w:rPr>
          <w:rStyle w:val="32"/>
          <w:rFonts w:hint="default" w:ascii="仿宋_GB2312" w:hAnsi="仿宋_GB2312" w:eastAsia="仿宋_GB2312" w:cs="仿宋_GB2312"/>
          <w:sz w:val="32"/>
          <w:szCs w:val="32"/>
          <w:lang w:val="en-US" w:eastAsia="zh-CN"/>
        </w:rPr>
      </w:pPr>
      <w:r>
        <w:rPr>
          <w:rStyle w:val="32"/>
          <w:rFonts w:hint="eastAsia" w:ascii="仿宋_GB2312" w:hAnsi="仿宋_GB2312" w:eastAsia="仿宋_GB2312" w:cs="仿宋_GB2312"/>
          <w:sz w:val="32"/>
          <w:szCs w:val="32"/>
          <w:lang w:val="en-US" w:eastAsia="zh-CN"/>
        </w:rPr>
        <w:t>1.</w:t>
      </w:r>
      <w:r>
        <w:rPr>
          <w:rStyle w:val="32"/>
          <w:rFonts w:hint="eastAsia" w:ascii="仿宋_GB2312" w:hAnsi="仿宋_GB2312" w:eastAsia="仿宋_GB2312" w:cs="仿宋_GB2312"/>
          <w:sz w:val="32"/>
          <w:szCs w:val="32"/>
          <w:lang w:val="zh-CN" w:eastAsia="zh-CN"/>
        </w:rPr>
        <w:t>资金计划及到位。</w:t>
      </w:r>
      <w:r>
        <w:rPr>
          <w:rStyle w:val="32"/>
          <w:rFonts w:hint="eastAsia" w:ascii="仿宋_GB2312" w:hAnsi="仿宋_GB2312" w:eastAsia="仿宋_GB2312" w:cs="仿宋_GB2312"/>
          <w:sz w:val="32"/>
          <w:szCs w:val="32"/>
          <w:lang w:val="en-US" w:eastAsia="zh-CN"/>
        </w:rPr>
        <w:t>该项目各类资金计划均按时到位。</w:t>
      </w:r>
      <w:r>
        <w:rPr>
          <w:rStyle w:val="32"/>
          <w:rFonts w:hint="eastAsia" w:ascii="仿宋_GB2312" w:hAnsi="仿宋_GB2312" w:eastAsia="仿宋_GB2312" w:cs="仿宋_GB2312"/>
          <w:sz w:val="32"/>
          <w:szCs w:val="32"/>
          <w:lang w:val="zh-CN" w:eastAsia="zh-CN"/>
        </w:rPr>
        <w:t>资金到位率</w:t>
      </w:r>
      <w:r>
        <w:rPr>
          <w:rStyle w:val="32"/>
          <w:rFonts w:hint="eastAsia" w:ascii="仿宋_GB2312" w:hAnsi="仿宋_GB2312" w:eastAsia="仿宋_GB2312" w:cs="仿宋_GB2312"/>
          <w:sz w:val="32"/>
          <w:szCs w:val="32"/>
          <w:lang w:val="en-US" w:eastAsia="zh-CN"/>
        </w:rPr>
        <w:t>100%</w:t>
      </w:r>
      <w:r>
        <w:rPr>
          <w:rStyle w:val="32"/>
          <w:rFonts w:hint="eastAsia" w:ascii="仿宋_GB2312" w:hAnsi="仿宋_GB2312" w:eastAsia="仿宋_GB2312" w:cs="仿宋_GB2312"/>
          <w:sz w:val="32"/>
          <w:szCs w:val="32"/>
          <w:lang w:val="zh-CN" w:eastAsia="zh-CN"/>
        </w:rPr>
        <w:t>、到位及时性</w:t>
      </w:r>
      <w:r>
        <w:rPr>
          <w:rStyle w:val="32"/>
          <w:rFonts w:hint="eastAsia" w:ascii="仿宋_GB2312" w:hAnsi="仿宋_GB2312" w:eastAsia="仿宋_GB2312" w:cs="仿宋_GB2312"/>
          <w:sz w:val="32"/>
          <w:szCs w:val="32"/>
          <w:lang w:val="en-US" w:eastAsia="zh-CN"/>
        </w:rPr>
        <w:t>100%。</w:t>
      </w:r>
    </w:p>
    <w:p>
      <w:pPr>
        <w:adjustRightInd w:val="0"/>
        <w:snapToGrid w:val="0"/>
        <w:spacing w:line="600" w:lineRule="exact"/>
        <w:ind w:firstLine="720"/>
        <w:rPr>
          <w:rStyle w:val="32"/>
          <w:rFonts w:hint="default" w:ascii="仿宋_GB2312" w:hAnsi="仿宋_GB2312" w:eastAsia="仿宋_GB2312" w:cs="仿宋_GB2312"/>
          <w:sz w:val="32"/>
          <w:szCs w:val="32"/>
          <w:lang w:val="en-US" w:eastAsia="zh-CN"/>
        </w:rPr>
      </w:pPr>
      <w:r>
        <w:rPr>
          <w:rStyle w:val="32"/>
          <w:rFonts w:hint="eastAsia" w:ascii="仿宋_GB2312" w:hAnsi="仿宋_GB2312" w:eastAsia="仿宋_GB2312" w:cs="仿宋_GB2312"/>
          <w:sz w:val="32"/>
          <w:szCs w:val="32"/>
          <w:lang w:val="en-US" w:eastAsia="zh-CN"/>
        </w:rPr>
        <w:t>2.</w:t>
      </w:r>
      <w:r>
        <w:rPr>
          <w:rStyle w:val="32"/>
          <w:rFonts w:hint="eastAsia" w:ascii="仿宋_GB2312" w:hAnsi="仿宋_GB2312" w:eastAsia="仿宋_GB2312" w:cs="仿宋_GB2312"/>
          <w:sz w:val="32"/>
          <w:szCs w:val="32"/>
          <w:lang w:val="zh-CN" w:eastAsia="zh-CN"/>
        </w:rPr>
        <w:t>资金使用。</w:t>
      </w:r>
      <w:r>
        <w:rPr>
          <w:rStyle w:val="32"/>
          <w:rFonts w:hint="eastAsia" w:ascii="仿宋_GB2312" w:hAnsi="仿宋_GB2312" w:eastAsia="仿宋_GB2312" w:cs="仿宋_GB2312"/>
          <w:sz w:val="32"/>
          <w:szCs w:val="32"/>
          <w:lang w:val="en-US" w:eastAsia="zh-CN"/>
        </w:rPr>
        <w:t>该项目资金2,709,870.2元在本年度已全额拨付，用于支付团队工资。按合同每月支付当月工资，结算及时，支付进度100%。资金支付与预算相符。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68" w:name="_Toc27978"/>
      <w:r>
        <w:rPr>
          <w:rStyle w:val="32"/>
          <w:rFonts w:hint="eastAsia" w:ascii="楷体_GB2312" w:hAnsi="宋体" w:eastAsia="楷体_GB2312" w:cs="Times New Roman"/>
          <w:bCs/>
          <w:sz w:val="32"/>
          <w:szCs w:val="32"/>
          <w:lang w:val="zh-CN" w:eastAsia="zh-CN"/>
        </w:rPr>
        <w:t>（二）项目财务管理情况</w:t>
      </w:r>
      <w:bookmarkEnd w:id="168"/>
    </w:p>
    <w:p>
      <w:pPr>
        <w:adjustRightInd w:val="0"/>
        <w:snapToGrid w:val="0"/>
        <w:spacing w:line="600" w:lineRule="exact"/>
        <w:ind w:firstLine="720"/>
        <w:rPr>
          <w:rStyle w:val="32"/>
          <w:rFonts w:hint="default" w:ascii="仿宋_GB2312" w:hAnsi="仿宋_GB2312" w:eastAsia="仿宋_GB2312" w:cs="仿宋_GB2312"/>
          <w:sz w:val="32"/>
          <w:szCs w:val="32"/>
          <w:lang w:val="en-US" w:eastAsia="zh-CN"/>
        </w:rPr>
      </w:pPr>
      <w:r>
        <w:rPr>
          <w:rStyle w:val="32"/>
          <w:rFonts w:hint="eastAsia" w:ascii="仿宋_GB2312" w:hAnsi="仿宋_GB2312" w:eastAsia="仿宋_GB2312" w:cs="仿宋_GB2312"/>
          <w:sz w:val="32"/>
          <w:szCs w:val="32"/>
          <w:lang w:val="en-US" w:eastAsia="zh-CN"/>
        </w:rPr>
        <w:t>该项目严格按照《会计法》、《预算法》及单位财务制度等有关规定，规范支出管理，严格审批流程。支付后及时账务处理，会计核算规范。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69" w:name="_Toc31339"/>
      <w:r>
        <w:rPr>
          <w:rStyle w:val="32"/>
          <w:rFonts w:hint="eastAsia" w:ascii="楷体_GB2312" w:hAnsi="宋体" w:eastAsia="楷体_GB2312" w:cs="Times New Roman"/>
          <w:bCs/>
          <w:sz w:val="32"/>
          <w:szCs w:val="32"/>
          <w:lang w:val="zh-CN" w:eastAsia="zh-CN"/>
        </w:rPr>
        <w:t>（三）项目组织实施情况</w:t>
      </w:r>
      <w:bookmarkEnd w:id="169"/>
    </w:p>
    <w:p>
      <w:pPr>
        <w:adjustRightInd w:val="0"/>
        <w:snapToGrid w:val="0"/>
        <w:spacing w:line="600" w:lineRule="exact"/>
        <w:ind w:firstLine="720"/>
        <w:rPr>
          <w:rStyle w:val="32"/>
          <w:rFonts w:hint="default" w:ascii="仿宋_GB2312" w:hAnsi="仿宋_GB2312" w:eastAsia="仿宋_GB2312" w:cs="仿宋_GB2312"/>
          <w:sz w:val="32"/>
          <w:szCs w:val="32"/>
          <w:lang w:val="en-US" w:eastAsia="zh-CN"/>
        </w:rPr>
      </w:pPr>
      <w:r>
        <w:rPr>
          <w:rStyle w:val="32"/>
          <w:rFonts w:hint="eastAsia" w:ascii="仿宋_GB2312" w:hAnsi="仿宋_GB2312" w:eastAsia="仿宋_GB2312" w:cs="仿宋_GB2312"/>
          <w:sz w:val="32"/>
          <w:szCs w:val="32"/>
          <w:lang w:val="en-US" w:eastAsia="zh-CN"/>
        </w:rPr>
        <w:t>招聘管理团队项目于2019年通过政府采购相关程序（项目编号：5108012019000310）招标采购确认当前中标服务公司，甲乙双方依据《采购法》、《合同法》等法律规定订立合同，合同期限为2019年11月10日至2022年11月9日。合同期间，服务团队人员在中心履行相应职责，在我单位人员监管下工作。履约完成后，我单位按合同约定及时支付费用。</w:t>
      </w:r>
    </w:p>
    <w:p>
      <w:pPr>
        <w:snapToGrid w:val="0"/>
        <w:spacing w:line="576" w:lineRule="exact"/>
        <w:ind w:firstLine="640" w:firstLineChars="200"/>
        <w:textAlignment w:val="baseline"/>
        <w:outlineLvl w:val="1"/>
        <w:rPr>
          <w:rStyle w:val="32"/>
          <w:rFonts w:hint="eastAsia" w:ascii="黑体" w:hAnsi="宋体" w:eastAsia="黑体" w:cs="Times New Roman"/>
          <w:sz w:val="32"/>
          <w:szCs w:val="32"/>
          <w:lang w:val="zh-CN"/>
        </w:rPr>
      </w:pPr>
      <w:bookmarkStart w:id="170" w:name="_Toc4862"/>
      <w:r>
        <w:rPr>
          <w:rStyle w:val="32"/>
          <w:rFonts w:hint="eastAsia" w:ascii="黑体" w:hAnsi="宋体" w:eastAsia="黑体" w:cs="Times New Roman"/>
          <w:sz w:val="32"/>
          <w:szCs w:val="32"/>
        </w:rPr>
        <w:t>三、项目绩效情况</w:t>
      </w:r>
      <w:bookmarkEnd w:id="170"/>
      <w:r>
        <w:rPr>
          <w:rStyle w:val="32"/>
          <w:rFonts w:hint="eastAsia" w:ascii="黑体" w:hAnsi="宋体" w:eastAsia="黑体"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71" w:name="_Toc2895"/>
      <w:r>
        <w:rPr>
          <w:rStyle w:val="32"/>
          <w:rFonts w:hint="eastAsia" w:ascii="楷体_GB2312" w:hAnsi="宋体" w:eastAsia="楷体_GB2312" w:cs="Times New Roman"/>
          <w:bCs/>
          <w:sz w:val="32"/>
          <w:szCs w:val="32"/>
          <w:lang w:val="zh-CN" w:eastAsia="zh-CN"/>
        </w:rPr>
        <w:t>（一）项目完成情况</w:t>
      </w:r>
      <w:bookmarkEnd w:id="171"/>
    </w:p>
    <w:p>
      <w:pPr>
        <w:adjustRightInd w:val="0"/>
        <w:snapToGrid w:val="0"/>
        <w:spacing w:line="600" w:lineRule="exact"/>
        <w:ind w:firstLine="720"/>
        <w:rPr>
          <w:rStyle w:val="32"/>
          <w:rFonts w:hint="default" w:ascii="仿宋_GB2312" w:hAnsi="仿宋_GB2312" w:eastAsia="仿宋_GB2312" w:cs="仿宋_GB2312"/>
          <w:sz w:val="32"/>
          <w:szCs w:val="32"/>
          <w:lang w:val="en-US" w:eastAsia="zh-CN"/>
        </w:rPr>
      </w:pPr>
      <w:r>
        <w:rPr>
          <w:rStyle w:val="32"/>
          <w:rFonts w:hint="eastAsia" w:ascii="仿宋_GB2312" w:hAnsi="仿宋_GB2312" w:eastAsia="仿宋_GB2312" w:cs="仿宋_GB2312"/>
          <w:sz w:val="32"/>
          <w:szCs w:val="32"/>
          <w:lang w:val="en-US" w:eastAsia="zh-CN"/>
        </w:rPr>
        <w:t>该项目2021年部分已完成，各项指标均达标。其中，</w:t>
      </w:r>
      <w:r>
        <w:rPr>
          <w:rStyle w:val="32"/>
          <w:rFonts w:hint="eastAsia" w:ascii="仿宋_GB2312" w:hAnsi="仿宋_GB2312" w:eastAsia="仿宋_GB2312" w:cs="仿宋_GB2312"/>
          <w:sz w:val="32"/>
          <w:szCs w:val="32"/>
          <w:lang w:val="zh-CN" w:eastAsia="zh-CN"/>
        </w:rPr>
        <w:t>数量指标</w:t>
      </w:r>
      <w:r>
        <w:rPr>
          <w:rStyle w:val="32"/>
          <w:rFonts w:hint="eastAsia" w:ascii="仿宋_GB2312" w:hAnsi="仿宋_GB2312" w:eastAsia="仿宋_GB2312" w:cs="仿宋_GB2312"/>
          <w:sz w:val="32"/>
          <w:szCs w:val="32"/>
          <w:lang w:val="en-US" w:eastAsia="zh-CN"/>
        </w:rPr>
        <w:t>完成，</w:t>
      </w:r>
      <w:r>
        <w:rPr>
          <w:rStyle w:val="32"/>
          <w:rFonts w:hint="eastAsia" w:ascii="仿宋_GB2312" w:hAnsi="仿宋_GB2312" w:eastAsia="仿宋_GB2312" w:cs="仿宋_GB2312"/>
          <w:sz w:val="32"/>
          <w:szCs w:val="32"/>
          <w:lang w:val="zh-CN" w:eastAsia="zh-CN"/>
        </w:rPr>
        <w:t>一支49人的专业化服务队伍</w:t>
      </w:r>
      <w:r>
        <w:rPr>
          <w:rStyle w:val="32"/>
          <w:rFonts w:hint="eastAsia" w:ascii="仿宋_GB2312" w:hAnsi="仿宋_GB2312" w:eastAsia="仿宋_GB2312" w:cs="仿宋_GB2312"/>
          <w:sz w:val="32"/>
          <w:szCs w:val="32"/>
          <w:lang w:val="en-US" w:eastAsia="zh-CN"/>
        </w:rPr>
        <w:t>在我单位</w:t>
      </w:r>
      <w:r>
        <w:rPr>
          <w:rStyle w:val="32"/>
          <w:rFonts w:hint="eastAsia" w:ascii="仿宋_GB2312" w:hAnsi="仿宋_GB2312" w:eastAsia="仿宋_GB2312" w:cs="仿宋_GB2312"/>
          <w:sz w:val="32"/>
          <w:szCs w:val="32"/>
          <w:lang w:val="zh-CN" w:eastAsia="zh-CN"/>
        </w:rPr>
        <w:t>做好</w:t>
      </w:r>
      <w:r>
        <w:rPr>
          <w:rStyle w:val="32"/>
          <w:rFonts w:hint="eastAsia" w:ascii="仿宋_GB2312" w:hAnsi="仿宋_GB2312" w:eastAsia="仿宋_GB2312" w:cs="仿宋_GB2312"/>
          <w:sz w:val="32"/>
          <w:szCs w:val="32"/>
          <w:lang w:val="en-US" w:eastAsia="zh-CN"/>
        </w:rPr>
        <w:t>了</w:t>
      </w:r>
      <w:r>
        <w:rPr>
          <w:rStyle w:val="32"/>
          <w:rFonts w:hint="eastAsia" w:ascii="仿宋_GB2312" w:hAnsi="仿宋_GB2312" w:eastAsia="仿宋_GB2312" w:cs="仿宋_GB2312"/>
          <w:sz w:val="32"/>
          <w:szCs w:val="32"/>
          <w:lang w:val="zh-CN" w:eastAsia="zh-CN"/>
        </w:rPr>
        <w:t>办案服务工作；质量指标</w:t>
      </w:r>
      <w:r>
        <w:rPr>
          <w:rStyle w:val="32"/>
          <w:rFonts w:hint="eastAsia" w:ascii="仿宋_GB2312" w:hAnsi="仿宋_GB2312" w:eastAsia="仿宋_GB2312" w:cs="仿宋_GB2312"/>
          <w:sz w:val="32"/>
          <w:szCs w:val="32"/>
          <w:lang w:val="en-US" w:eastAsia="zh-CN"/>
        </w:rPr>
        <w:t>完成</w:t>
      </w:r>
      <w:r>
        <w:rPr>
          <w:rStyle w:val="32"/>
          <w:rFonts w:hint="eastAsia" w:ascii="仿宋_GB2312" w:hAnsi="仿宋_GB2312" w:eastAsia="仿宋_GB2312" w:cs="仿宋_GB2312"/>
          <w:sz w:val="32"/>
          <w:szCs w:val="32"/>
          <w:lang w:val="zh-CN" w:eastAsia="zh-CN"/>
        </w:rPr>
        <w:t>，</w:t>
      </w:r>
      <w:r>
        <w:rPr>
          <w:rStyle w:val="32"/>
          <w:rFonts w:hint="eastAsia" w:ascii="仿宋_GB2312" w:hAnsi="仿宋_GB2312" w:eastAsia="仿宋_GB2312" w:cs="仿宋_GB2312"/>
          <w:sz w:val="32"/>
          <w:szCs w:val="32"/>
          <w:lang w:val="en-US" w:eastAsia="zh-CN"/>
        </w:rPr>
        <w:t>全年</w:t>
      </w:r>
      <w:r>
        <w:rPr>
          <w:rStyle w:val="32"/>
          <w:rFonts w:hint="eastAsia" w:ascii="仿宋_GB2312" w:hAnsi="仿宋_GB2312" w:eastAsia="仿宋_GB2312" w:cs="仿宋_GB2312"/>
          <w:sz w:val="32"/>
          <w:szCs w:val="32"/>
          <w:lang w:val="zh-CN" w:eastAsia="zh-CN"/>
        </w:rPr>
        <w:t>办案服务水准</w:t>
      </w:r>
      <w:r>
        <w:rPr>
          <w:rStyle w:val="32"/>
          <w:rFonts w:hint="eastAsia" w:ascii="仿宋_GB2312" w:hAnsi="仿宋_GB2312" w:eastAsia="仿宋_GB2312" w:cs="仿宋_GB2312"/>
          <w:sz w:val="32"/>
          <w:szCs w:val="32"/>
          <w:lang w:val="en-US" w:eastAsia="zh-CN"/>
        </w:rPr>
        <w:t>有所</w:t>
      </w:r>
      <w:r>
        <w:rPr>
          <w:rStyle w:val="32"/>
          <w:rFonts w:hint="eastAsia" w:ascii="仿宋_GB2312" w:hAnsi="仿宋_GB2312" w:eastAsia="仿宋_GB2312" w:cs="仿宋_GB2312"/>
          <w:sz w:val="32"/>
          <w:szCs w:val="32"/>
          <w:lang w:val="zh-CN" w:eastAsia="zh-CN"/>
        </w:rPr>
        <w:t>提升；时效指标</w:t>
      </w:r>
      <w:r>
        <w:rPr>
          <w:rStyle w:val="32"/>
          <w:rFonts w:hint="eastAsia" w:ascii="仿宋_GB2312" w:hAnsi="仿宋_GB2312" w:eastAsia="仿宋_GB2312" w:cs="仿宋_GB2312"/>
          <w:sz w:val="32"/>
          <w:szCs w:val="32"/>
          <w:lang w:val="en-US" w:eastAsia="zh-CN"/>
        </w:rPr>
        <w:t>完成</w:t>
      </w:r>
      <w:r>
        <w:rPr>
          <w:rStyle w:val="32"/>
          <w:rFonts w:hint="eastAsia" w:ascii="仿宋_GB2312" w:hAnsi="仿宋_GB2312" w:eastAsia="仿宋_GB2312" w:cs="仿宋_GB2312"/>
          <w:sz w:val="32"/>
          <w:szCs w:val="32"/>
          <w:lang w:val="zh-CN" w:eastAsia="zh-CN"/>
        </w:rPr>
        <w:t>，提供</w:t>
      </w:r>
      <w:r>
        <w:rPr>
          <w:rStyle w:val="32"/>
          <w:rFonts w:hint="eastAsia" w:ascii="仿宋_GB2312" w:hAnsi="仿宋_GB2312" w:eastAsia="仿宋_GB2312" w:cs="仿宋_GB2312"/>
          <w:sz w:val="32"/>
          <w:szCs w:val="32"/>
          <w:lang w:val="en-US" w:eastAsia="zh-CN"/>
        </w:rPr>
        <w:t>了</w:t>
      </w:r>
      <w:r>
        <w:rPr>
          <w:rStyle w:val="32"/>
          <w:rFonts w:hint="eastAsia" w:ascii="仿宋_GB2312" w:hAnsi="仿宋_GB2312" w:eastAsia="仿宋_GB2312" w:cs="仿宋_GB2312"/>
          <w:sz w:val="32"/>
          <w:szCs w:val="32"/>
          <w:lang w:val="zh-CN" w:eastAsia="zh-CN"/>
        </w:rPr>
        <w:t>全年365天的服务保障。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default" w:ascii="楷体_GB2312" w:hAnsi="宋体" w:eastAsia="楷体_GB2312" w:cs="Times New Roman"/>
          <w:bCs/>
          <w:sz w:val="32"/>
          <w:szCs w:val="32"/>
          <w:lang w:val="en-US" w:eastAsia="zh-CN"/>
        </w:rPr>
      </w:pPr>
      <w:bookmarkStart w:id="172" w:name="_Toc5744"/>
      <w:r>
        <w:rPr>
          <w:rStyle w:val="32"/>
          <w:rFonts w:hint="eastAsia" w:ascii="楷体_GB2312" w:hAnsi="宋体" w:eastAsia="楷体_GB2312" w:cs="Times New Roman"/>
          <w:bCs/>
          <w:sz w:val="32"/>
          <w:szCs w:val="32"/>
          <w:lang w:val="zh-CN" w:eastAsia="zh-CN"/>
        </w:rPr>
        <w:t>（二）项目效益情况</w:t>
      </w:r>
      <w:bookmarkEnd w:id="172"/>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default" w:ascii="仿宋_GB2312" w:hAnsi="宋体" w:eastAsia="仿宋_GB2312"/>
          <w:b w:val="0"/>
          <w:bCs w:val="0"/>
          <w:lang w:val="en-US" w:eastAsia="zh-CN"/>
        </w:rPr>
      </w:pPr>
      <w:r>
        <w:rPr>
          <w:rFonts w:hint="eastAsia" w:ascii="仿宋_GB2312" w:hAnsi="宋体"/>
          <w:b w:val="0"/>
          <w:bCs w:val="0"/>
          <w:lang w:val="en-US" w:eastAsia="zh-CN"/>
        </w:rPr>
        <w:t xml:space="preserve">     </w:t>
      </w:r>
      <w:r>
        <w:rPr>
          <w:rStyle w:val="32"/>
          <w:rFonts w:hint="eastAsia" w:ascii="仿宋_GB2312" w:hAnsi="仿宋_GB2312" w:eastAsia="仿宋_GB2312" w:cs="仿宋_GB2312"/>
          <w:sz w:val="32"/>
          <w:szCs w:val="32"/>
          <w:lang w:val="en-US" w:eastAsia="zh-CN"/>
        </w:rPr>
        <w:t>项目具有可持续性效益。从当前进行情况来看，</w:t>
      </w:r>
      <w:r>
        <w:rPr>
          <w:rStyle w:val="32"/>
          <w:rFonts w:hint="eastAsia" w:ascii="仿宋_GB2312" w:hAnsi="仿宋_GB2312" w:eastAsia="仿宋_GB2312" w:cs="仿宋_GB2312"/>
          <w:sz w:val="32"/>
          <w:szCs w:val="32"/>
          <w:lang w:val="zh-CN" w:eastAsia="zh-CN"/>
        </w:rPr>
        <w:t>社会效益指标</w:t>
      </w:r>
      <w:r>
        <w:rPr>
          <w:rStyle w:val="32"/>
          <w:rFonts w:hint="eastAsia" w:ascii="仿宋_GB2312" w:hAnsi="仿宋_GB2312" w:eastAsia="仿宋_GB2312" w:cs="仿宋_GB2312"/>
          <w:sz w:val="32"/>
          <w:szCs w:val="32"/>
          <w:lang w:val="en-US" w:eastAsia="zh-CN"/>
        </w:rPr>
        <w:t>完成</w:t>
      </w:r>
      <w:r>
        <w:rPr>
          <w:rStyle w:val="32"/>
          <w:rFonts w:hint="eastAsia" w:ascii="仿宋_GB2312" w:hAnsi="仿宋_GB2312" w:eastAsia="仿宋_GB2312" w:cs="仿宋_GB2312"/>
          <w:sz w:val="32"/>
          <w:szCs w:val="32"/>
          <w:lang w:val="zh-CN" w:eastAsia="zh-CN"/>
        </w:rPr>
        <w:t>，保障</w:t>
      </w:r>
      <w:r>
        <w:rPr>
          <w:rStyle w:val="32"/>
          <w:rFonts w:hint="eastAsia" w:ascii="仿宋_GB2312" w:hAnsi="仿宋_GB2312" w:eastAsia="仿宋_GB2312" w:cs="仿宋_GB2312"/>
          <w:sz w:val="32"/>
          <w:szCs w:val="32"/>
          <w:lang w:val="en-US" w:eastAsia="zh-CN"/>
        </w:rPr>
        <w:t>了</w:t>
      </w:r>
      <w:r>
        <w:rPr>
          <w:rStyle w:val="32"/>
          <w:rFonts w:hint="eastAsia" w:ascii="仿宋_GB2312" w:hAnsi="仿宋_GB2312" w:eastAsia="仿宋_GB2312" w:cs="仿宋_GB2312"/>
          <w:sz w:val="32"/>
          <w:szCs w:val="32"/>
          <w:lang w:val="zh-CN" w:eastAsia="zh-CN"/>
        </w:rPr>
        <w:t>案件查办工作高效推进；满意度指标</w:t>
      </w:r>
      <w:r>
        <w:rPr>
          <w:rStyle w:val="32"/>
          <w:rFonts w:hint="eastAsia" w:ascii="仿宋_GB2312" w:hAnsi="仿宋_GB2312" w:eastAsia="仿宋_GB2312" w:cs="仿宋_GB2312"/>
          <w:sz w:val="32"/>
          <w:szCs w:val="32"/>
          <w:lang w:val="en-US" w:eastAsia="zh-CN"/>
        </w:rPr>
        <w:t>完成，</w:t>
      </w:r>
      <w:r>
        <w:rPr>
          <w:rStyle w:val="32"/>
          <w:rFonts w:hint="eastAsia" w:ascii="仿宋_GB2312" w:hAnsi="仿宋_GB2312" w:eastAsia="仿宋_GB2312" w:cs="仿宋_GB2312"/>
          <w:sz w:val="32"/>
          <w:szCs w:val="32"/>
          <w:lang w:val="zh-CN" w:eastAsia="zh-CN"/>
        </w:rPr>
        <w:t>办案人员满意度</w:t>
      </w:r>
      <w:r>
        <w:rPr>
          <w:rStyle w:val="32"/>
          <w:rFonts w:hint="eastAsia" w:ascii="仿宋_GB2312" w:hAnsi="仿宋_GB2312" w:eastAsia="仿宋_GB2312" w:cs="仿宋_GB2312"/>
          <w:sz w:val="32"/>
          <w:szCs w:val="32"/>
          <w:lang w:val="en-US" w:eastAsia="zh-CN"/>
        </w:rPr>
        <w:t>95%</w:t>
      </w:r>
      <w:r>
        <w:rPr>
          <w:rStyle w:val="32"/>
          <w:rFonts w:hint="eastAsia" w:ascii="仿宋_GB2312" w:hAnsi="仿宋_GB2312" w:eastAsia="仿宋_GB2312" w:cs="仿宋_GB2312"/>
          <w:sz w:val="32"/>
          <w:szCs w:val="32"/>
          <w:lang w:val="zh-CN" w:eastAsia="zh-CN"/>
        </w:rPr>
        <w:t>。</w:t>
      </w:r>
    </w:p>
    <w:p>
      <w:pPr>
        <w:snapToGrid w:val="0"/>
        <w:spacing w:line="576" w:lineRule="exact"/>
        <w:ind w:firstLine="640" w:firstLineChars="200"/>
        <w:textAlignment w:val="baseline"/>
        <w:outlineLvl w:val="1"/>
        <w:rPr>
          <w:rStyle w:val="32"/>
          <w:rFonts w:hint="eastAsia" w:ascii="黑体" w:hAnsi="宋体" w:eastAsia="黑体" w:cs="Times New Roman"/>
          <w:sz w:val="32"/>
          <w:szCs w:val="32"/>
        </w:rPr>
      </w:pPr>
      <w:bookmarkStart w:id="173" w:name="_Toc10812"/>
      <w:r>
        <w:rPr>
          <w:rStyle w:val="32"/>
          <w:rFonts w:hint="eastAsia" w:ascii="黑体" w:hAnsi="宋体" w:eastAsia="黑体" w:cs="Times New Roman"/>
          <w:sz w:val="32"/>
          <w:szCs w:val="32"/>
        </w:rPr>
        <w:t>四、问题及建议</w:t>
      </w:r>
      <w:bookmarkEnd w:id="17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74" w:name="_Toc23292"/>
      <w:r>
        <w:rPr>
          <w:rStyle w:val="32"/>
          <w:rFonts w:hint="eastAsia" w:ascii="楷体_GB2312" w:hAnsi="宋体" w:eastAsia="楷体_GB2312" w:cs="Times New Roman"/>
          <w:bCs/>
          <w:sz w:val="32"/>
          <w:szCs w:val="32"/>
          <w:lang w:val="zh-CN" w:eastAsia="zh-CN"/>
        </w:rPr>
        <w:t>（一）存在的问题</w:t>
      </w:r>
      <w:bookmarkEnd w:id="174"/>
    </w:p>
    <w:p>
      <w:pPr>
        <w:adjustRightInd w:val="0"/>
        <w:snapToGrid w:val="0"/>
        <w:spacing w:line="600" w:lineRule="exact"/>
        <w:ind w:firstLine="720"/>
        <w:rPr>
          <w:rFonts w:hint="eastAsia" w:ascii="楷体_GB2312" w:hAnsi="宋体" w:eastAsia="楷体_GB2312"/>
          <w:b w:val="0"/>
          <w:bCs w:val="0"/>
          <w:lang w:val="zh-CN"/>
        </w:rPr>
      </w:pPr>
      <w:r>
        <w:rPr>
          <w:rStyle w:val="32"/>
          <w:rFonts w:hint="eastAsia" w:ascii="仿宋_GB2312" w:hAnsi="仿宋_GB2312" w:eastAsia="仿宋_GB2312" w:cs="仿宋_GB2312"/>
          <w:sz w:val="32"/>
          <w:szCs w:val="32"/>
          <w:lang w:val="en-US" w:eastAsia="zh-CN"/>
        </w:rPr>
        <w:t>我中心近年来，服务对象人数增多，现有服务团队力量保障吃力，在人员配置方面，下一步考虑做出更加规范科学的调整。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2"/>
        <w:rPr>
          <w:rStyle w:val="32"/>
          <w:rFonts w:hint="eastAsia" w:ascii="楷体_GB2312" w:hAnsi="宋体" w:eastAsia="楷体_GB2312" w:cs="Times New Roman"/>
          <w:bCs/>
          <w:sz w:val="32"/>
          <w:szCs w:val="32"/>
          <w:lang w:val="zh-CN" w:eastAsia="zh-CN"/>
        </w:rPr>
      </w:pPr>
      <w:bookmarkStart w:id="175" w:name="_Toc8515"/>
      <w:r>
        <w:rPr>
          <w:rStyle w:val="32"/>
          <w:rFonts w:hint="eastAsia" w:ascii="楷体_GB2312" w:hAnsi="宋体" w:eastAsia="楷体_GB2312" w:cs="Times New Roman"/>
          <w:bCs/>
          <w:sz w:val="32"/>
          <w:szCs w:val="32"/>
          <w:lang w:val="zh-CN" w:eastAsia="zh-CN"/>
        </w:rPr>
        <w:t>（二）相关建议</w:t>
      </w:r>
      <w:bookmarkEnd w:id="175"/>
    </w:p>
    <w:p>
      <w:pPr>
        <w:adjustRightInd w:val="0"/>
        <w:snapToGrid w:val="0"/>
        <w:spacing w:line="600" w:lineRule="exact"/>
        <w:ind w:firstLine="720"/>
        <w:rPr>
          <w:rFonts w:ascii="仿宋_GB2312" w:hAnsi="宋体" w:eastAsia="仿宋_GB2312" w:cs="Times New Roman"/>
          <w:color w:val="auto"/>
          <w:sz w:val="32"/>
          <w:szCs w:val="32"/>
          <w:highlight w:val="yellow"/>
          <w:lang w:val="zh-CN"/>
        </w:rPr>
      </w:pPr>
      <w:r>
        <w:rPr>
          <w:rStyle w:val="32"/>
          <w:rFonts w:hint="eastAsia" w:ascii="仿宋_GB2312" w:hAnsi="仿宋_GB2312" w:eastAsia="仿宋_GB2312" w:cs="仿宋_GB2312"/>
          <w:sz w:val="32"/>
          <w:szCs w:val="32"/>
          <w:lang w:val="en-US" w:eastAsia="zh-CN"/>
        </w:rPr>
        <w:t>无。</w:t>
      </w:r>
    </w:p>
    <w:p>
      <w:pPr>
        <w:keepNext w:val="0"/>
        <w:keepLines w:val="0"/>
        <w:pageBreakBefore w:val="0"/>
        <w:kinsoku/>
        <w:wordWrap/>
        <w:overflowPunct/>
        <w:topLinePunct w:val="0"/>
        <w:autoSpaceDE/>
        <w:autoSpaceDN/>
        <w:bidi w:val="0"/>
        <w:spacing w:line="579" w:lineRule="exact"/>
        <w:ind w:left="0" w:leftChars="0" w:right="0" w:firstLine="640" w:firstLineChars="200"/>
        <w:jc w:val="both"/>
        <w:textAlignment w:val="auto"/>
        <w:outlineLvl w:val="0"/>
        <w:rPr>
          <w:rFonts w:hint="eastAsia" w:ascii="仿宋_GB2312" w:hAnsi="仿宋_GB2312" w:eastAsia="黑体" w:cs="仿宋_GB2312"/>
          <w:color w:val="auto"/>
          <w:sz w:val="32"/>
          <w:szCs w:val="32"/>
          <w:highlight w:val="none"/>
          <w:lang w:val="en-US" w:eastAsia="zh-CN"/>
        </w:rPr>
      </w:pPr>
      <w:bookmarkStart w:id="176" w:name="_Toc11781"/>
      <w:bookmarkStart w:id="177" w:name="_Toc28964"/>
      <w:bookmarkStart w:id="178" w:name="_Toc23944"/>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76"/>
      <w:bookmarkEnd w:id="177"/>
      <w:bookmarkEnd w:id="178"/>
    </w:p>
    <w:tbl>
      <w:tblPr>
        <w:tblStyle w:val="13"/>
        <w:tblpPr w:leftFromText="180" w:rightFromText="180" w:vertAnchor="text" w:horzAnchor="page" w:tblpXSpec="center" w:tblpY="660"/>
        <w:tblOverlap w:val="never"/>
        <w:tblW w:w="9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5"/>
        <w:gridCol w:w="1135"/>
        <w:gridCol w:w="1625"/>
        <w:gridCol w:w="1182"/>
        <w:gridCol w:w="1928"/>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20"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b/>
                <w:i w:val="0"/>
                <w:color w:val="auto"/>
                <w:kern w:val="0"/>
                <w:sz w:val="32"/>
                <w:szCs w:val="32"/>
                <w:highlight w:val="none"/>
                <w:u w:val="none"/>
                <w:lang w:val="en-US" w:eastAsia="zh-CN" w:bidi="ar"/>
              </w:rPr>
            </w:pPr>
            <w:bookmarkStart w:id="179" w:name="_Toc15396618"/>
            <w:r>
              <w:rPr>
                <w:rFonts w:hint="eastAsia" w:ascii="黑体" w:hAnsi="黑体" w:eastAsia="黑体" w:cs="黑体"/>
                <w:b w:val="0"/>
                <w:bCs/>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主管部门及代码</w:t>
            </w:r>
          </w:p>
        </w:tc>
        <w:tc>
          <w:tcPr>
            <w:tcW w:w="2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中共广元市纪律检查委员会304001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实施单位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lang w:eastAsia="zh-CN"/>
              </w:rPr>
            </w:pPr>
            <w:r>
              <w:rPr>
                <w:rFonts w:hint="eastAsia" w:ascii="仿宋_GB2312" w:hAnsi="仿宋_GB2312" w:eastAsia="仿宋_GB2312" w:cs="仿宋_GB2312"/>
                <w:i w:val="0"/>
                <w:color w:val="auto"/>
                <w:sz w:val="28"/>
                <w:szCs w:val="28"/>
                <w:highlight w:val="none"/>
                <w:u w:val="none"/>
                <w:lang w:eastAsia="zh-CN"/>
              </w:rPr>
              <w:t>广元市党风廉政教育中心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（万元）</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预算数：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lang w:val="en-US" w:eastAsia="zh-CN"/>
              </w:rPr>
              <w:t>270.99</w:t>
            </w:r>
            <w:r>
              <w:rPr>
                <w:rFonts w:hint="eastAsia" w:ascii="宋体" w:cs="宋体"/>
                <w:color w:val="000000"/>
                <w:szCs w:val="21"/>
                <w:highlight w:val="none"/>
              </w:rPr>
              <w:t>万元</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执行数：</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lang w:val="en-US" w:eastAsia="zh-CN"/>
              </w:rPr>
              <w:t>270.99</w:t>
            </w:r>
            <w:r>
              <w:rPr>
                <w:rFonts w:hint="eastAsia" w:ascii="宋体" w:cs="宋体"/>
                <w:color w:val="000000"/>
                <w:szCs w:val="21"/>
                <w:highlight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财政拨款</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lang w:val="en-US" w:eastAsia="zh-CN"/>
              </w:rPr>
              <w:t>20</w:t>
            </w:r>
            <w:r>
              <w:rPr>
                <w:rFonts w:hint="eastAsia" w:ascii="宋体" w:cs="宋体"/>
                <w:color w:val="000000"/>
                <w:szCs w:val="21"/>
                <w:highlight w:val="none"/>
              </w:rPr>
              <w:t>万元</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财政拨款</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lang w:val="en-US" w:eastAsia="zh-CN"/>
              </w:rPr>
              <w:t>20</w:t>
            </w:r>
            <w:r>
              <w:rPr>
                <w:rFonts w:hint="eastAsia" w:ascii="宋体" w:cs="宋体"/>
                <w:color w:val="000000"/>
                <w:szCs w:val="21"/>
                <w:highlight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其他资金</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lang w:val="en-US" w:eastAsia="zh-CN"/>
              </w:rPr>
              <w:t>250.99万元</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其他资金</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lang w:val="en-US" w:eastAsia="zh-CN"/>
              </w:rPr>
              <w:t>250.99万元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完成情况</w:t>
            </w:r>
          </w:p>
        </w:tc>
        <w:tc>
          <w:tcPr>
            <w:tcW w:w="3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预期目标</w:t>
            </w:r>
          </w:p>
        </w:tc>
        <w:tc>
          <w:tcPr>
            <w:tcW w:w="3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39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top"/>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通过招聘一个49余人的管理团队，提高办案场所人员的生活质量、住宿条件等日常后勤管理工作。</w:t>
            </w:r>
          </w:p>
        </w:tc>
        <w:tc>
          <w:tcPr>
            <w:tcW w:w="3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top"/>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通过政府采购服务招聘了一</w:t>
            </w:r>
            <w:r>
              <w:rPr>
                <w:rFonts w:hint="eastAsia" w:ascii="宋体" w:cs="宋体"/>
                <w:color w:val="000000"/>
                <w:szCs w:val="21"/>
                <w:highlight w:val="none"/>
                <w:lang w:val="en-US" w:eastAsia="zh-CN"/>
              </w:rPr>
              <w:t>个</w:t>
            </w:r>
            <w:r>
              <w:rPr>
                <w:rFonts w:hint="eastAsia" w:ascii="宋体" w:cs="宋体"/>
                <w:color w:val="000000"/>
                <w:szCs w:val="21"/>
                <w:highlight w:val="none"/>
              </w:rPr>
              <w:t>49人的服务团队，保障了审查调查人员的饮食、住宿、生活，为审查调查工作提供优质的环境及坚实的后勤保障。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管理团队人数</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49人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49人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团队服务质量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提高</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大幅度提高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完成时间</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202</w:t>
            </w:r>
            <w:r>
              <w:rPr>
                <w:rFonts w:hint="eastAsia" w:ascii="宋体" w:cs="宋体"/>
                <w:color w:val="000000"/>
                <w:szCs w:val="21"/>
                <w:highlight w:val="none"/>
                <w:lang w:val="en-US" w:eastAsia="zh-CN"/>
              </w:rPr>
              <w:t>1</w:t>
            </w:r>
            <w:r>
              <w:rPr>
                <w:rFonts w:hint="eastAsia" w:ascii="宋体" w:cs="宋体"/>
                <w:color w:val="000000"/>
                <w:szCs w:val="21"/>
                <w:highlight w:val="none"/>
              </w:rPr>
              <w:t>年12月31日前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202</w:t>
            </w:r>
            <w:r>
              <w:rPr>
                <w:rFonts w:hint="eastAsia" w:ascii="宋体" w:cs="宋体"/>
                <w:color w:val="000000"/>
                <w:szCs w:val="21"/>
                <w:highlight w:val="none"/>
                <w:lang w:val="en-US" w:eastAsia="zh-CN"/>
              </w:rPr>
              <w:t>1</w:t>
            </w:r>
            <w:r>
              <w:rPr>
                <w:rFonts w:hint="eastAsia" w:ascii="宋体" w:cs="宋体"/>
                <w:color w:val="000000"/>
                <w:szCs w:val="21"/>
                <w:highlight w:val="none"/>
              </w:rPr>
              <w:t>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案件查办后勤保障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查办案件工作效率提高</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工作效率大幅度提高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firstLine="0" w:firstLineChars="0"/>
              <w:jc w:val="center"/>
              <w:rPr>
                <w:rFonts w:hint="eastAsia" w:ascii="仿宋_GB2312" w:hAnsi="仿宋_GB2312" w:eastAsia="仿宋_GB2312" w:cs="仿宋_GB2312"/>
                <w:i w:val="0"/>
                <w:color w:val="auto"/>
                <w:sz w:val="28"/>
                <w:szCs w:val="28"/>
                <w:highlight w:val="none"/>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firstLine="0" w:firstLineChars="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宋体" w:cs="宋体"/>
                <w:color w:val="000000"/>
                <w:szCs w:val="21"/>
                <w:highlight w:val="none"/>
              </w:rPr>
              <w:t>办案人员满意度</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东文宋体" w:hAnsi="东文宋体" w:eastAsia="东文宋体" w:cs="东文宋体"/>
                <w:color w:val="000000"/>
                <w:szCs w:val="21"/>
                <w:highlight w:val="none"/>
              </w:rPr>
              <w:t>≥</w:t>
            </w:r>
            <w:r>
              <w:rPr>
                <w:rFonts w:hint="eastAsia" w:ascii="宋体" w:eastAsia="东文宋体" w:cs="宋体"/>
                <w:color w:val="000000"/>
                <w:szCs w:val="21"/>
                <w:highlight w:val="none"/>
              </w:rPr>
              <w:t>9</w:t>
            </w:r>
            <w:r>
              <w:rPr>
                <w:rFonts w:hint="eastAsia" w:ascii="宋体" w:eastAsia="东文宋体" w:cs="宋体"/>
                <w:color w:val="000000"/>
                <w:szCs w:val="21"/>
                <w:highlight w:val="none"/>
                <w:lang w:val="en-US" w:eastAsia="zh-CN"/>
              </w:rPr>
              <w:t>5</w:t>
            </w:r>
            <w:r>
              <w:rPr>
                <w:rFonts w:hint="eastAsia" w:ascii="宋体" w:eastAsia="东文宋体" w:cs="宋体"/>
                <w:color w:val="000000"/>
                <w:szCs w:val="21"/>
                <w:highlight w:val="none"/>
              </w:rPr>
              <w:t>%</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highlight w:val="none"/>
                <w:u w:val="none"/>
              </w:rPr>
            </w:pPr>
            <w:r>
              <w:rPr>
                <w:rFonts w:hint="eastAsia" w:ascii="东文宋体" w:hAnsi="东文宋体" w:eastAsia="东文宋体" w:cs="东文宋体"/>
                <w:color w:val="000000"/>
                <w:szCs w:val="21"/>
                <w:highlight w:val="none"/>
              </w:rPr>
              <w:t>≥</w:t>
            </w:r>
            <w:r>
              <w:rPr>
                <w:rFonts w:hint="eastAsia" w:ascii="宋体" w:eastAsia="东文宋体" w:cs="宋体"/>
                <w:color w:val="000000"/>
                <w:szCs w:val="21"/>
                <w:highlight w:val="none"/>
              </w:rPr>
              <w:t>95%</w:t>
            </w:r>
          </w:p>
        </w:tc>
      </w:tr>
    </w:tbl>
    <w:p>
      <w:pPr>
        <w:pageBreakBefore w:val="0"/>
        <w:kinsoku/>
        <w:wordWrap/>
        <w:overflowPunct/>
        <w:topLinePunct w:val="0"/>
        <w:bidi w:val="0"/>
        <w:spacing w:line="579" w:lineRule="exact"/>
        <w:ind w:left="0" w:leftChars="0" w:right="0" w:firstLine="560" w:firstLineChars="200"/>
        <w:jc w:val="both"/>
        <w:outlineLvl w:val="9"/>
        <w:rPr>
          <w:rFonts w:hint="eastAsia" w:ascii="仿宋_GB2312" w:hAnsi="仿宋_GB2312" w:eastAsia="仿宋_GB2312" w:cs="仿宋_GB2312"/>
          <w:color w:val="auto"/>
          <w:sz w:val="28"/>
          <w:szCs w:val="28"/>
          <w:highlight w:val="none"/>
        </w:rPr>
      </w:pPr>
    </w:p>
    <w:p>
      <w:pPr>
        <w:pageBreakBefore w:val="0"/>
        <w:widowControl/>
        <w:kinsoku/>
        <w:wordWrap/>
        <w:overflowPunct/>
        <w:topLinePunct w:val="0"/>
        <w:bidi w:val="0"/>
        <w:adjustRightInd w:val="0"/>
        <w:snapToGrid w:val="0"/>
        <w:spacing w:line="579" w:lineRule="exact"/>
        <w:ind w:left="0" w:leftChars="0" w:right="0" w:firstLine="640" w:firstLineChars="200"/>
        <w:contextualSpacing/>
        <w:jc w:val="both"/>
        <w:rPr>
          <w:highlight w:val="yellow"/>
        </w:rPr>
      </w:pPr>
      <w:r>
        <w:rPr>
          <w:rFonts w:hint="eastAsia" w:ascii="仿宋_GB2312" w:hAnsi="宋体" w:eastAsia="仿宋_GB2312" w:cs="宋体"/>
          <w:color w:val="000000"/>
          <w:kern w:val="0"/>
          <w:sz w:val="32"/>
          <w:szCs w:val="32"/>
          <w:highlight w:val="none"/>
          <w:shd w:val="clear" w:color="auto" w:fill="FFFFFF"/>
          <w:lang w:val="en-US" w:eastAsia="zh-CN"/>
        </w:rPr>
        <w:t>（注：</w:t>
      </w:r>
      <w:r>
        <w:rPr>
          <w:rFonts w:hint="eastAsia" w:ascii="仿宋_GB2312" w:hAnsi="宋体" w:eastAsia="仿宋_GB2312" w:cs="宋体"/>
          <w:color w:val="auto"/>
          <w:kern w:val="0"/>
          <w:sz w:val="32"/>
          <w:szCs w:val="32"/>
          <w:highlight w:val="none"/>
          <w:shd w:val="clear" w:color="auto" w:fill="FFFFFF"/>
          <w:lang w:val="en-US" w:eastAsia="zh-CN"/>
        </w:rPr>
        <w:t>有三个以下部门预算项目的，</w:t>
      </w:r>
      <w:r>
        <w:rPr>
          <w:rFonts w:hint="eastAsia" w:ascii="仿宋_GB2312" w:hAnsi="宋体" w:eastAsia="仿宋_GB2312" w:cs="宋体"/>
          <w:color w:val="000000"/>
          <w:kern w:val="0"/>
          <w:sz w:val="32"/>
          <w:szCs w:val="32"/>
          <w:highlight w:val="none"/>
          <w:shd w:val="clear" w:color="auto" w:fill="FFFFFF"/>
          <w:lang w:val="en-US" w:eastAsia="zh-CN"/>
        </w:rPr>
        <w:t>需分别公开绩效目标自评表；</w:t>
      </w:r>
      <w:r>
        <w:rPr>
          <w:rFonts w:hint="eastAsia" w:ascii="仿宋_GB2312" w:hAnsi="宋体" w:eastAsia="仿宋_GB2312" w:cs="宋体"/>
          <w:color w:val="auto"/>
          <w:kern w:val="0"/>
          <w:sz w:val="32"/>
          <w:szCs w:val="32"/>
          <w:highlight w:val="none"/>
          <w:shd w:val="clear" w:color="auto" w:fill="FFFFFF"/>
          <w:lang w:val="en-US" w:eastAsia="zh-CN"/>
        </w:rPr>
        <w:t>有五个以下，三个以上部门预算项目的，选择三个项目公开</w:t>
      </w:r>
      <w:r>
        <w:rPr>
          <w:rFonts w:hint="eastAsia" w:ascii="仿宋_GB2312" w:hAnsi="宋体" w:eastAsia="仿宋_GB2312" w:cs="宋体"/>
          <w:color w:val="000000"/>
          <w:kern w:val="0"/>
          <w:sz w:val="32"/>
          <w:szCs w:val="32"/>
          <w:highlight w:val="none"/>
          <w:shd w:val="clear" w:color="auto" w:fill="FFFFFF"/>
          <w:lang w:val="en-US" w:eastAsia="zh-CN"/>
        </w:rPr>
        <w:t>绩效目标自评表；</w:t>
      </w:r>
      <w:r>
        <w:rPr>
          <w:rFonts w:hint="eastAsia" w:ascii="仿宋_GB2312" w:hAnsi="宋体" w:eastAsia="仿宋_GB2312" w:cs="宋体"/>
          <w:color w:val="auto"/>
          <w:kern w:val="0"/>
          <w:sz w:val="32"/>
          <w:szCs w:val="32"/>
          <w:highlight w:val="none"/>
          <w:shd w:val="clear" w:color="auto" w:fill="FFFFFF"/>
          <w:lang w:val="en-US" w:eastAsia="zh-CN"/>
        </w:rPr>
        <w:t>有五个以上部门预算项目的，选择五个项目公开绩效目标自评表</w:t>
      </w:r>
      <w:r>
        <w:rPr>
          <w:rFonts w:hint="eastAsia" w:ascii="仿宋_GB2312" w:hAnsi="宋体" w:eastAsia="仿宋_GB2312" w:cs="宋体"/>
          <w:color w:val="000000"/>
          <w:kern w:val="0"/>
          <w:sz w:val="32"/>
          <w:szCs w:val="32"/>
          <w:highlight w:val="none"/>
          <w:shd w:val="clear" w:color="auto" w:fill="FFFFFF"/>
          <w:lang w:val="en-US" w:eastAsia="zh-CN"/>
        </w:rPr>
        <w:t>）</w:t>
      </w:r>
    </w:p>
    <w:p>
      <w:pPr>
        <w:pageBreakBefore w:val="0"/>
        <w:kinsoku/>
        <w:wordWrap/>
        <w:overflowPunct/>
        <w:topLinePunct w:val="0"/>
        <w:bidi w:val="0"/>
        <w:spacing w:line="579" w:lineRule="exact"/>
        <w:ind w:left="0" w:leftChars="0" w:right="0" w:firstLine="880" w:firstLineChars="200"/>
        <w:jc w:val="both"/>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rPr>
      </w:pPr>
    </w:p>
    <w:p>
      <w:pPr>
        <w:rPr>
          <w:rFonts w:hint="eastAsia" w:ascii="黑体" w:hAnsi="黑体" w:eastAsia="黑体"/>
          <w:color w:val="auto"/>
          <w:sz w:val="44"/>
          <w:szCs w:val="44"/>
          <w:highlight w:val="none"/>
        </w:rPr>
      </w:pPr>
    </w:p>
    <w:p>
      <w:pPr>
        <w:pStyle w:val="2"/>
        <w:rPr>
          <w:rFonts w:hint="eastAsia"/>
        </w:rPr>
      </w:pPr>
    </w:p>
    <w:p>
      <w:pPr>
        <w:pageBreakBefore w:val="0"/>
        <w:numPr>
          <w:ilvl w:val="0"/>
          <w:numId w:val="0"/>
        </w:numPr>
        <w:kinsoku/>
        <w:wordWrap/>
        <w:overflowPunct/>
        <w:topLinePunct w:val="0"/>
        <w:bidi w:val="0"/>
        <w:spacing w:line="579" w:lineRule="exact"/>
        <w:ind w:right="0" w:rightChars="0"/>
        <w:jc w:val="center"/>
        <w:outlineLvl w:val="0"/>
        <w:rPr>
          <w:rStyle w:val="26"/>
          <w:rFonts w:hint="eastAsia" w:ascii="方正小标宋简体" w:hAnsi="方正小标宋简体" w:eastAsia="方正小标宋简体" w:cs="方正小标宋简体"/>
          <w:b w:val="0"/>
          <w:color w:val="auto"/>
          <w:highlight w:val="none"/>
        </w:rPr>
      </w:pPr>
      <w:bookmarkStart w:id="180" w:name="_Toc28013"/>
      <w:bookmarkStart w:id="181" w:name="_Toc6333"/>
      <w:bookmarkStart w:id="182" w:name="_Toc8038"/>
      <w:r>
        <w:rPr>
          <w:rStyle w:val="26"/>
          <w:rFonts w:hint="eastAsia" w:ascii="方正小标宋简体" w:hAnsi="方正小标宋简体" w:eastAsia="方正小标宋简体" w:cs="方正小标宋简体"/>
          <w:b w:val="0"/>
          <w:color w:val="auto"/>
          <w:highlight w:val="none"/>
          <w:lang w:eastAsia="zh-CN"/>
        </w:rPr>
        <w:t>第五部分</w:t>
      </w:r>
      <w:r>
        <w:rPr>
          <w:rStyle w:val="26"/>
          <w:rFonts w:hint="eastAsia" w:ascii="方正小标宋简体" w:hAnsi="方正小标宋简体" w:eastAsia="方正小标宋简体" w:cs="方正小标宋简体"/>
          <w:b w:val="0"/>
          <w:color w:val="auto"/>
          <w:highlight w:val="none"/>
          <w:lang w:val="en-US" w:eastAsia="zh-CN"/>
        </w:rPr>
        <w:t xml:space="preserve">  </w:t>
      </w:r>
      <w:r>
        <w:rPr>
          <w:rStyle w:val="26"/>
          <w:rFonts w:hint="eastAsia" w:ascii="方正小标宋简体" w:hAnsi="方正小标宋简体" w:eastAsia="方正小标宋简体" w:cs="方正小标宋简体"/>
          <w:b w:val="0"/>
          <w:color w:val="auto"/>
          <w:highlight w:val="none"/>
        </w:rPr>
        <w:t>附表</w:t>
      </w:r>
      <w:bookmarkEnd w:id="158"/>
      <w:bookmarkEnd w:id="179"/>
      <w:bookmarkEnd w:id="180"/>
      <w:bookmarkEnd w:id="181"/>
      <w:bookmarkEnd w:id="182"/>
      <w:bookmarkStart w:id="183" w:name="_Toc15396619"/>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仿宋_GB2312" w:eastAsia="仿宋_GB2312" w:cs="仿宋_GB2312"/>
          <w:b w:val="0"/>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Fonts w:hint="eastAsia" w:ascii="仿宋_GB2312" w:hAnsi="仿宋_GB2312" w:eastAsia="仿宋_GB2312" w:cs="仿宋_GB2312"/>
          <w:color w:val="auto"/>
          <w:sz w:val="32"/>
          <w:szCs w:val="32"/>
          <w:highlight w:val="none"/>
        </w:rPr>
      </w:pPr>
      <w:bookmarkStart w:id="184" w:name="_Toc13610"/>
      <w:bookmarkStart w:id="185" w:name="_Toc18280"/>
      <w:bookmarkStart w:id="186" w:name="_Toc12511"/>
      <w:r>
        <w:rPr>
          <w:rFonts w:hint="eastAsia" w:ascii="仿宋_GB2312" w:hAnsi="仿宋_GB2312" w:eastAsia="仿宋_GB2312" w:cs="仿宋_GB2312"/>
          <w:b w:val="0"/>
          <w:color w:val="auto"/>
          <w:sz w:val="32"/>
          <w:szCs w:val="32"/>
          <w:highlight w:val="none"/>
        </w:rPr>
        <w:t>一、收</w:t>
      </w:r>
      <w:r>
        <w:rPr>
          <w:rStyle w:val="27"/>
          <w:rFonts w:hint="eastAsia" w:ascii="仿宋_GB2312" w:hAnsi="仿宋_GB2312" w:eastAsia="仿宋_GB2312" w:cs="仿宋_GB2312"/>
          <w:b w:val="0"/>
          <w:bCs w:val="0"/>
          <w:color w:val="auto"/>
          <w:sz w:val="32"/>
          <w:szCs w:val="32"/>
          <w:highlight w:val="none"/>
        </w:rPr>
        <w:t>入支出决算总表</w:t>
      </w:r>
      <w:bookmarkEnd w:id="183"/>
      <w:bookmarkEnd w:id="184"/>
      <w:bookmarkEnd w:id="185"/>
      <w:bookmarkEnd w:id="186"/>
      <w:bookmarkStart w:id="187" w:name="_Toc15396620"/>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188" w:name="_Toc2427"/>
      <w:bookmarkStart w:id="189" w:name="_Toc15655"/>
      <w:bookmarkStart w:id="190" w:name="_Toc30337"/>
      <w:r>
        <w:rPr>
          <w:rFonts w:hint="eastAsia" w:ascii="仿宋_GB2312" w:hAnsi="仿宋_GB2312" w:eastAsia="仿宋_GB2312" w:cs="仿宋_GB2312"/>
          <w:b w:val="0"/>
          <w:color w:val="auto"/>
          <w:sz w:val="32"/>
          <w:szCs w:val="32"/>
          <w:highlight w:val="none"/>
        </w:rPr>
        <w:t>二、收</w:t>
      </w:r>
      <w:r>
        <w:rPr>
          <w:rStyle w:val="27"/>
          <w:rFonts w:hint="eastAsia" w:ascii="仿宋_GB2312" w:hAnsi="仿宋_GB2312" w:eastAsia="仿宋_GB2312" w:cs="仿宋_GB2312"/>
          <w:b w:val="0"/>
          <w:bCs w:val="0"/>
          <w:color w:val="auto"/>
          <w:sz w:val="32"/>
          <w:szCs w:val="32"/>
          <w:highlight w:val="none"/>
        </w:rPr>
        <w:t>入决算表</w:t>
      </w:r>
      <w:bookmarkEnd w:id="187"/>
      <w:bookmarkEnd w:id="188"/>
      <w:bookmarkEnd w:id="189"/>
      <w:bookmarkEnd w:id="190"/>
      <w:bookmarkStart w:id="191" w:name="_Toc15396621"/>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192" w:name="_Toc24314"/>
      <w:bookmarkStart w:id="193" w:name="_Toc2195"/>
      <w:bookmarkStart w:id="194" w:name="_Toc25611"/>
      <w:r>
        <w:rPr>
          <w:rStyle w:val="27"/>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7"/>
          <w:rFonts w:hint="eastAsia" w:ascii="仿宋_GB2312" w:hAnsi="仿宋_GB2312" w:eastAsia="仿宋_GB2312" w:cs="仿宋_GB2312"/>
          <w:b w:val="0"/>
          <w:bCs w:val="0"/>
          <w:color w:val="auto"/>
          <w:sz w:val="32"/>
          <w:szCs w:val="32"/>
          <w:highlight w:val="none"/>
        </w:rPr>
        <w:t>出决算表</w:t>
      </w:r>
      <w:bookmarkEnd w:id="191"/>
      <w:bookmarkEnd w:id="192"/>
      <w:bookmarkEnd w:id="193"/>
      <w:bookmarkEnd w:id="194"/>
      <w:bookmarkStart w:id="195" w:name="_Toc15396622"/>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196" w:name="_Toc10229"/>
      <w:bookmarkStart w:id="197" w:name="_Toc6750"/>
      <w:bookmarkStart w:id="198" w:name="_Toc19100"/>
      <w:r>
        <w:rPr>
          <w:rStyle w:val="27"/>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7"/>
          <w:rFonts w:hint="eastAsia" w:ascii="仿宋_GB2312" w:hAnsi="仿宋_GB2312" w:eastAsia="仿宋_GB2312" w:cs="仿宋_GB2312"/>
          <w:b w:val="0"/>
          <w:bCs w:val="0"/>
          <w:color w:val="auto"/>
          <w:sz w:val="32"/>
          <w:szCs w:val="32"/>
          <w:highlight w:val="none"/>
        </w:rPr>
        <w:t>政拨款收入支出决算总表</w:t>
      </w:r>
      <w:bookmarkEnd w:id="195"/>
      <w:bookmarkEnd w:id="196"/>
      <w:bookmarkEnd w:id="197"/>
      <w:bookmarkEnd w:id="198"/>
      <w:bookmarkStart w:id="199" w:name="_Toc15396623"/>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00" w:name="_Toc27714"/>
      <w:bookmarkStart w:id="201" w:name="_Toc31313"/>
      <w:bookmarkStart w:id="202" w:name="_Toc27719"/>
      <w:r>
        <w:rPr>
          <w:rStyle w:val="27"/>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7"/>
          <w:rFonts w:hint="eastAsia" w:ascii="仿宋_GB2312" w:hAnsi="仿宋_GB2312" w:eastAsia="仿宋_GB2312" w:cs="仿宋_GB2312"/>
          <w:b w:val="0"/>
          <w:bCs w:val="0"/>
          <w:color w:val="auto"/>
          <w:sz w:val="32"/>
          <w:szCs w:val="32"/>
          <w:highlight w:val="none"/>
        </w:rPr>
        <w:t>政拨款支出决算明细表</w:t>
      </w:r>
      <w:bookmarkEnd w:id="199"/>
      <w:bookmarkEnd w:id="200"/>
      <w:bookmarkEnd w:id="201"/>
      <w:bookmarkEnd w:id="202"/>
      <w:bookmarkStart w:id="203" w:name="_Toc15396624"/>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04" w:name="_Toc748"/>
      <w:bookmarkStart w:id="205" w:name="_Toc4574"/>
      <w:bookmarkStart w:id="206" w:name="_Toc7752"/>
      <w:r>
        <w:rPr>
          <w:rStyle w:val="27"/>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般公共预算财政拨款支出决算表</w:t>
      </w:r>
      <w:bookmarkEnd w:id="203"/>
      <w:bookmarkEnd w:id="204"/>
      <w:bookmarkEnd w:id="205"/>
      <w:bookmarkEnd w:id="206"/>
      <w:bookmarkStart w:id="207" w:name="_Toc15396625"/>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08" w:name="_Toc31615"/>
      <w:bookmarkStart w:id="209" w:name="_Toc6429"/>
      <w:bookmarkStart w:id="210" w:name="_Toc14447"/>
      <w:r>
        <w:rPr>
          <w:rStyle w:val="27"/>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般公共预算财政拨款支出决算明细表</w:t>
      </w:r>
      <w:bookmarkEnd w:id="207"/>
      <w:bookmarkEnd w:id="208"/>
      <w:bookmarkEnd w:id="209"/>
      <w:bookmarkEnd w:id="210"/>
      <w:bookmarkStart w:id="211" w:name="_Toc15396626"/>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12" w:name="_Toc219"/>
      <w:bookmarkStart w:id="213" w:name="_Toc4678"/>
      <w:bookmarkStart w:id="214" w:name="_Toc2672"/>
      <w:r>
        <w:rPr>
          <w:rStyle w:val="27"/>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般公共预算财政拨款基本支出决算表</w:t>
      </w:r>
      <w:bookmarkEnd w:id="211"/>
      <w:bookmarkEnd w:id="212"/>
      <w:bookmarkEnd w:id="213"/>
      <w:bookmarkEnd w:id="214"/>
      <w:bookmarkStart w:id="215" w:name="_Toc15396627"/>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16" w:name="_Toc4979"/>
      <w:bookmarkStart w:id="217" w:name="_Toc30139"/>
      <w:bookmarkStart w:id="218" w:name="_Toc7306"/>
      <w:r>
        <w:rPr>
          <w:rStyle w:val="27"/>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般公共预算财政拨款项目支出决算表</w:t>
      </w:r>
      <w:bookmarkEnd w:id="215"/>
      <w:bookmarkEnd w:id="216"/>
      <w:bookmarkEnd w:id="217"/>
      <w:bookmarkEnd w:id="218"/>
      <w:bookmarkStart w:id="219" w:name="_Toc15396628"/>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20" w:name="_Toc17486"/>
      <w:bookmarkStart w:id="221" w:name="_Toc14180"/>
      <w:bookmarkStart w:id="222" w:name="_Toc25906"/>
      <w:r>
        <w:rPr>
          <w:rStyle w:val="27"/>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27"/>
          <w:rFonts w:hint="eastAsia" w:ascii="仿宋_GB2312" w:hAnsi="仿宋_GB2312" w:eastAsia="仿宋_GB2312" w:cs="仿宋_GB2312"/>
          <w:b w:val="0"/>
          <w:bCs w:val="0"/>
          <w:color w:val="auto"/>
          <w:sz w:val="32"/>
          <w:szCs w:val="32"/>
          <w:highlight w:val="none"/>
        </w:rPr>
        <w:t>般公共预算财政拨款“三公”经费支出决算表</w:t>
      </w:r>
      <w:bookmarkEnd w:id="219"/>
      <w:bookmarkEnd w:id="220"/>
      <w:bookmarkEnd w:id="221"/>
      <w:bookmarkEnd w:id="222"/>
      <w:bookmarkStart w:id="223" w:name="_Toc15396629"/>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24" w:name="_Toc21941"/>
      <w:bookmarkStart w:id="225" w:name="_Toc19668"/>
      <w:bookmarkStart w:id="226" w:name="_Toc3971"/>
      <w:r>
        <w:rPr>
          <w:rStyle w:val="27"/>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27"/>
          <w:rFonts w:hint="eastAsia" w:ascii="仿宋_GB2312" w:hAnsi="仿宋_GB2312" w:eastAsia="仿宋_GB2312" w:cs="仿宋_GB2312"/>
          <w:b w:val="0"/>
          <w:bCs w:val="0"/>
          <w:color w:val="auto"/>
          <w:sz w:val="32"/>
          <w:szCs w:val="32"/>
          <w:highlight w:val="none"/>
        </w:rPr>
        <w:t>府性基金预算财政拨款收入支出决算表</w:t>
      </w:r>
      <w:bookmarkEnd w:id="223"/>
      <w:bookmarkEnd w:id="224"/>
      <w:bookmarkEnd w:id="225"/>
      <w:bookmarkEnd w:id="226"/>
      <w:bookmarkStart w:id="227" w:name="_Toc15396630"/>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28" w:name="_Toc3049"/>
      <w:bookmarkStart w:id="229" w:name="_Toc3628"/>
      <w:bookmarkStart w:id="230" w:name="_Toc25556"/>
      <w:r>
        <w:rPr>
          <w:rStyle w:val="27"/>
          <w:rFonts w:hint="eastAsia" w:ascii="仿宋_GB2312" w:hAnsi="仿宋_GB2312" w:eastAsia="仿宋_GB2312" w:cs="仿宋_GB2312"/>
          <w:b w:val="0"/>
          <w:bCs w:val="0"/>
          <w:color w:val="auto"/>
          <w:sz w:val="32"/>
          <w:szCs w:val="32"/>
          <w:highlight w:val="none"/>
          <w:lang w:eastAsia="zh-CN"/>
        </w:rPr>
        <w:t>十</w:t>
      </w:r>
      <w:r>
        <w:rPr>
          <w:rStyle w:val="27"/>
          <w:rFonts w:hint="eastAsia" w:ascii="仿宋_GB2312" w:hAnsi="仿宋_GB2312" w:eastAsia="仿宋_GB2312" w:cs="仿宋_GB2312"/>
          <w:b w:val="0"/>
          <w:bCs w:val="0"/>
          <w:color w:val="auto"/>
          <w:sz w:val="32"/>
          <w:szCs w:val="32"/>
          <w:highlight w:val="none"/>
        </w:rPr>
        <w:t>二、</w:t>
      </w:r>
      <w:r>
        <w:rPr>
          <w:rFonts w:hint="eastAsia" w:ascii="仿宋_GB2312" w:hAnsi="仿宋_GB2312" w:eastAsia="仿宋_GB2312" w:cs="仿宋_GB2312"/>
          <w:b w:val="0"/>
          <w:color w:val="auto"/>
          <w:sz w:val="32"/>
          <w:szCs w:val="32"/>
          <w:highlight w:val="none"/>
        </w:rPr>
        <w:t>政</w:t>
      </w:r>
      <w:r>
        <w:rPr>
          <w:rStyle w:val="27"/>
          <w:rFonts w:hint="eastAsia" w:ascii="仿宋_GB2312" w:hAnsi="仿宋_GB2312" w:eastAsia="仿宋_GB2312" w:cs="仿宋_GB2312"/>
          <w:b w:val="0"/>
          <w:bCs w:val="0"/>
          <w:color w:val="auto"/>
          <w:sz w:val="32"/>
          <w:szCs w:val="32"/>
          <w:highlight w:val="none"/>
        </w:rPr>
        <w:t>府性基金预算财政拨款“三公”经费支出决算表</w:t>
      </w:r>
      <w:bookmarkEnd w:id="227"/>
      <w:bookmarkEnd w:id="228"/>
      <w:bookmarkEnd w:id="229"/>
      <w:bookmarkEnd w:id="230"/>
      <w:bookmarkStart w:id="231" w:name="_Toc15396631"/>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Style w:val="27"/>
          <w:rFonts w:hint="eastAsia" w:ascii="仿宋_GB2312" w:hAnsi="仿宋_GB2312" w:eastAsia="仿宋_GB2312" w:cs="仿宋_GB2312"/>
          <w:b w:val="0"/>
          <w:bCs w:val="0"/>
          <w:color w:val="auto"/>
          <w:sz w:val="32"/>
          <w:szCs w:val="32"/>
          <w:highlight w:val="none"/>
        </w:rPr>
      </w:pPr>
      <w:bookmarkStart w:id="232" w:name="_Toc17607"/>
      <w:bookmarkStart w:id="233" w:name="_Toc3271"/>
      <w:bookmarkStart w:id="234" w:name="_Toc29916"/>
      <w:r>
        <w:rPr>
          <w:rStyle w:val="27"/>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27"/>
          <w:rFonts w:hint="eastAsia" w:ascii="仿宋_GB2312" w:hAnsi="仿宋_GB2312" w:eastAsia="仿宋_GB2312" w:cs="仿宋_GB2312"/>
          <w:b w:val="0"/>
          <w:bCs w:val="0"/>
          <w:color w:val="auto"/>
          <w:sz w:val="32"/>
          <w:szCs w:val="32"/>
          <w:highlight w:val="none"/>
        </w:rPr>
        <w:t>有资本经营预算</w:t>
      </w:r>
      <w:r>
        <w:rPr>
          <w:rStyle w:val="27"/>
          <w:rFonts w:hint="eastAsia" w:ascii="仿宋_GB2312" w:hAnsi="仿宋_GB2312" w:eastAsia="仿宋_GB2312" w:cs="仿宋_GB2312"/>
          <w:b w:val="0"/>
          <w:bCs w:val="0"/>
          <w:color w:val="auto"/>
          <w:sz w:val="32"/>
          <w:szCs w:val="32"/>
          <w:highlight w:val="none"/>
          <w:lang w:eastAsia="zh-CN"/>
        </w:rPr>
        <w:t>财政拨款收入</w:t>
      </w:r>
      <w:r>
        <w:rPr>
          <w:rStyle w:val="27"/>
          <w:rFonts w:hint="eastAsia" w:ascii="仿宋_GB2312" w:hAnsi="仿宋_GB2312" w:eastAsia="仿宋_GB2312" w:cs="仿宋_GB2312"/>
          <w:b w:val="0"/>
          <w:bCs w:val="0"/>
          <w:color w:val="auto"/>
          <w:sz w:val="32"/>
          <w:szCs w:val="32"/>
          <w:highlight w:val="none"/>
        </w:rPr>
        <w:t>支出决算表</w:t>
      </w:r>
      <w:bookmarkEnd w:id="231"/>
      <w:bookmarkEnd w:id="232"/>
      <w:bookmarkEnd w:id="233"/>
      <w:bookmarkEnd w:id="234"/>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1"/>
        <w:rPr>
          <w:rFonts w:hint="eastAsia" w:ascii="仿宋_GB2312" w:hAnsi="仿宋_GB2312" w:eastAsia="仿宋_GB2312" w:cs="仿宋_GB2312"/>
          <w:sz w:val="32"/>
          <w:szCs w:val="32"/>
          <w:lang w:eastAsia="zh-CN"/>
        </w:rPr>
      </w:pPr>
      <w:bookmarkStart w:id="235" w:name="_Toc28593"/>
      <w:bookmarkStart w:id="236" w:name="_Toc29078"/>
      <w:bookmarkStart w:id="237" w:name="_Toc2350"/>
      <w:r>
        <w:rPr>
          <w:rStyle w:val="27"/>
          <w:rFonts w:hint="eastAsia" w:ascii="仿宋_GB2312" w:hAnsi="仿宋_GB2312" w:eastAsia="仿宋_GB2312" w:cs="仿宋_GB2312"/>
          <w:b w:val="0"/>
          <w:bCs w:val="0"/>
          <w:color w:val="auto"/>
          <w:sz w:val="32"/>
          <w:szCs w:val="32"/>
          <w:highlight w:val="none"/>
          <w:lang w:eastAsia="zh-CN"/>
        </w:rPr>
        <w:t>十四、国有资本经营预算财政拨款支出决算表</w:t>
      </w:r>
      <w:bookmarkEnd w:id="235"/>
      <w:bookmarkEnd w:id="236"/>
      <w:bookmarkEnd w:id="237"/>
    </w:p>
    <w:sectPr>
      <w:footerReference r:id="rId7"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仿宋_GB2312">
    <w:altName w:val="Arial"/>
    <w:panose1 w:val="02010609030101010101"/>
    <w:charset w:val="86"/>
    <w:family w:val="modern"/>
    <w:pitch w:val="default"/>
    <w:sig w:usb0="00000000" w:usb1="00000000" w:usb2="00000000" w:usb3="00000000" w:csb0="00040000" w:csb1="00000000"/>
  </w:font>
  <w:font w:name="仿宋">
    <w:altName w:val="Arial"/>
    <w:panose1 w:val="02010609060101010101"/>
    <w:charset w:val="86"/>
    <w:family w:val="auto"/>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方正小标宋简体">
    <w:altName w:val="Arial"/>
    <w:panose1 w:val="02000000000000000000"/>
    <w:charset w:val="86"/>
    <w:family w:val="script"/>
    <w:pitch w:val="default"/>
    <w:sig w:usb0="00000000" w:usb1="00000000" w:usb2="00000012"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东文宋体">
    <w:altName w:val="汉仪书宋二KW"/>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2VmYTE5NjQzOTFhNDA2MDUxMzg1YTYxOWM0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32A46"/>
    <w:rsid w:val="046235B3"/>
    <w:rsid w:val="068C2110"/>
    <w:rsid w:val="07995860"/>
    <w:rsid w:val="07E6312F"/>
    <w:rsid w:val="07ED5534"/>
    <w:rsid w:val="08C41D93"/>
    <w:rsid w:val="08CB7608"/>
    <w:rsid w:val="08FD7416"/>
    <w:rsid w:val="09256E7F"/>
    <w:rsid w:val="0A06668B"/>
    <w:rsid w:val="0A2032A3"/>
    <w:rsid w:val="0B8A37D8"/>
    <w:rsid w:val="0E39434A"/>
    <w:rsid w:val="0E3F4BF5"/>
    <w:rsid w:val="0ECF54F7"/>
    <w:rsid w:val="10C055FF"/>
    <w:rsid w:val="111927C8"/>
    <w:rsid w:val="118107EC"/>
    <w:rsid w:val="11DD6519"/>
    <w:rsid w:val="122C008F"/>
    <w:rsid w:val="15542020"/>
    <w:rsid w:val="15A57A38"/>
    <w:rsid w:val="16732AED"/>
    <w:rsid w:val="16A87485"/>
    <w:rsid w:val="16BB723D"/>
    <w:rsid w:val="18015F3F"/>
    <w:rsid w:val="190E24E6"/>
    <w:rsid w:val="19535BD1"/>
    <w:rsid w:val="196831C6"/>
    <w:rsid w:val="199B5145"/>
    <w:rsid w:val="19FA6126"/>
    <w:rsid w:val="1BE8440E"/>
    <w:rsid w:val="1D155CEE"/>
    <w:rsid w:val="1D7C7E39"/>
    <w:rsid w:val="1DEA6579"/>
    <w:rsid w:val="1E534D5D"/>
    <w:rsid w:val="1E7761E3"/>
    <w:rsid w:val="1F334A54"/>
    <w:rsid w:val="1FAD0CAB"/>
    <w:rsid w:val="201211AD"/>
    <w:rsid w:val="20F57F95"/>
    <w:rsid w:val="231B3D1E"/>
    <w:rsid w:val="231E495D"/>
    <w:rsid w:val="232474D6"/>
    <w:rsid w:val="239860B7"/>
    <w:rsid w:val="240371BF"/>
    <w:rsid w:val="256524CF"/>
    <w:rsid w:val="25C741E6"/>
    <w:rsid w:val="261B1770"/>
    <w:rsid w:val="26847A1C"/>
    <w:rsid w:val="26C07133"/>
    <w:rsid w:val="27842671"/>
    <w:rsid w:val="27D25752"/>
    <w:rsid w:val="28081174"/>
    <w:rsid w:val="29165954"/>
    <w:rsid w:val="29995DFC"/>
    <w:rsid w:val="29F10517"/>
    <w:rsid w:val="29FD04D3"/>
    <w:rsid w:val="2A9F03D2"/>
    <w:rsid w:val="2AA60FF3"/>
    <w:rsid w:val="2ABE7A3E"/>
    <w:rsid w:val="2B514BE0"/>
    <w:rsid w:val="2CC03124"/>
    <w:rsid w:val="2D777015"/>
    <w:rsid w:val="2DB82660"/>
    <w:rsid w:val="2DBA3BA6"/>
    <w:rsid w:val="2E945C4A"/>
    <w:rsid w:val="2EFA178C"/>
    <w:rsid w:val="2FDD65FD"/>
    <w:rsid w:val="2FE5626F"/>
    <w:rsid w:val="30B46D73"/>
    <w:rsid w:val="312132A7"/>
    <w:rsid w:val="319F7F4E"/>
    <w:rsid w:val="31A2350C"/>
    <w:rsid w:val="31FC6632"/>
    <w:rsid w:val="32A47CEB"/>
    <w:rsid w:val="33995376"/>
    <w:rsid w:val="33D730E9"/>
    <w:rsid w:val="36005597"/>
    <w:rsid w:val="36435A6D"/>
    <w:rsid w:val="3752054A"/>
    <w:rsid w:val="37565710"/>
    <w:rsid w:val="37B33FF0"/>
    <w:rsid w:val="39616936"/>
    <w:rsid w:val="396D1C04"/>
    <w:rsid w:val="39AE70AB"/>
    <w:rsid w:val="3B30113B"/>
    <w:rsid w:val="3BDEC381"/>
    <w:rsid w:val="3BF42FCA"/>
    <w:rsid w:val="3BF734B5"/>
    <w:rsid w:val="3C0C0783"/>
    <w:rsid w:val="3C574020"/>
    <w:rsid w:val="3C9C04B9"/>
    <w:rsid w:val="3CCA6B71"/>
    <w:rsid w:val="3E0E6961"/>
    <w:rsid w:val="3E2D328B"/>
    <w:rsid w:val="3E734A07"/>
    <w:rsid w:val="3F130221"/>
    <w:rsid w:val="3F795B0E"/>
    <w:rsid w:val="3F9F3A96"/>
    <w:rsid w:val="3FFE4873"/>
    <w:rsid w:val="40350D30"/>
    <w:rsid w:val="41210E69"/>
    <w:rsid w:val="41B146FE"/>
    <w:rsid w:val="43087E22"/>
    <w:rsid w:val="43AE7A61"/>
    <w:rsid w:val="44C45FCB"/>
    <w:rsid w:val="44D25867"/>
    <w:rsid w:val="46C31C10"/>
    <w:rsid w:val="474F4E44"/>
    <w:rsid w:val="48517A61"/>
    <w:rsid w:val="493C27E9"/>
    <w:rsid w:val="496F39ED"/>
    <w:rsid w:val="49F81D23"/>
    <w:rsid w:val="49FF41D3"/>
    <w:rsid w:val="4A185DC8"/>
    <w:rsid w:val="4AE21DB4"/>
    <w:rsid w:val="4BE068DB"/>
    <w:rsid w:val="4BF6002B"/>
    <w:rsid w:val="4D4759EB"/>
    <w:rsid w:val="4E064079"/>
    <w:rsid w:val="4ECE2238"/>
    <w:rsid w:val="50091503"/>
    <w:rsid w:val="5017691C"/>
    <w:rsid w:val="50251F66"/>
    <w:rsid w:val="51DB4B86"/>
    <w:rsid w:val="53382C72"/>
    <w:rsid w:val="539F5587"/>
    <w:rsid w:val="55333C3E"/>
    <w:rsid w:val="554577BF"/>
    <w:rsid w:val="55743D09"/>
    <w:rsid w:val="55770325"/>
    <w:rsid w:val="559053F9"/>
    <w:rsid w:val="568426AB"/>
    <w:rsid w:val="56BA06D6"/>
    <w:rsid w:val="57923D07"/>
    <w:rsid w:val="580328B6"/>
    <w:rsid w:val="58E478D5"/>
    <w:rsid w:val="58FA1B64"/>
    <w:rsid w:val="594A0E70"/>
    <w:rsid w:val="59FC4D37"/>
    <w:rsid w:val="5B8053D4"/>
    <w:rsid w:val="5B8E58AF"/>
    <w:rsid w:val="5C283F6C"/>
    <w:rsid w:val="5CB0180A"/>
    <w:rsid w:val="5D9F228A"/>
    <w:rsid w:val="5F350550"/>
    <w:rsid w:val="64CA39A1"/>
    <w:rsid w:val="683505C8"/>
    <w:rsid w:val="6A0300B7"/>
    <w:rsid w:val="6AF932D6"/>
    <w:rsid w:val="6BC77FCB"/>
    <w:rsid w:val="6BFD2293"/>
    <w:rsid w:val="6C4A05C8"/>
    <w:rsid w:val="6DB7DBE0"/>
    <w:rsid w:val="6DE05374"/>
    <w:rsid w:val="6EE10094"/>
    <w:rsid w:val="6F667E90"/>
    <w:rsid w:val="7081140A"/>
    <w:rsid w:val="721F2756"/>
    <w:rsid w:val="72396198"/>
    <w:rsid w:val="72734D90"/>
    <w:rsid w:val="72807126"/>
    <w:rsid w:val="751C4AB5"/>
    <w:rsid w:val="758B206A"/>
    <w:rsid w:val="762436BA"/>
    <w:rsid w:val="764D731F"/>
    <w:rsid w:val="76AC01E1"/>
    <w:rsid w:val="77484D69"/>
    <w:rsid w:val="77AF2A11"/>
    <w:rsid w:val="77E15DAE"/>
    <w:rsid w:val="77FF40C9"/>
    <w:rsid w:val="78A05779"/>
    <w:rsid w:val="791F31F5"/>
    <w:rsid w:val="79E7B28D"/>
    <w:rsid w:val="7B963516"/>
    <w:rsid w:val="7BF24BF0"/>
    <w:rsid w:val="7C775BAB"/>
    <w:rsid w:val="7C8A0232"/>
    <w:rsid w:val="7DE812DF"/>
    <w:rsid w:val="7E9E5ABC"/>
    <w:rsid w:val="7EB204C1"/>
    <w:rsid w:val="7F08472B"/>
    <w:rsid w:val="7F9F20EE"/>
    <w:rsid w:val="7FCFFC37"/>
    <w:rsid w:val="7FFA80DE"/>
    <w:rsid w:val="7FFCF056"/>
    <w:rsid w:val="9E3A10E2"/>
    <w:rsid w:val="AFFB7FB4"/>
    <w:rsid w:val="BFDEAC52"/>
    <w:rsid w:val="D7CE8653"/>
    <w:rsid w:val="D7FF80EA"/>
    <w:rsid w:val="DDFC3F6D"/>
    <w:rsid w:val="F2E1F9D4"/>
    <w:rsid w:val="F7880819"/>
    <w:rsid w:val="FFBB70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ToCaption"/>
    <w:basedOn w:val="1"/>
    <w:next w:val="1"/>
    <w:qFormat/>
    <w:uiPriority w:val="0"/>
    <w:pPr>
      <w:suppressAutoHyphens/>
      <w:ind w:leftChars="200" w:hanging="200" w:hangingChars="200"/>
      <w:jc w:val="both"/>
      <w:textAlignment w:val="baseline"/>
    </w:p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NormalCharacter"/>
    <w:qFormat/>
    <w:uiPriority w:val="0"/>
    <w:rPr>
      <w:rFonts w:ascii="Times New Roman" w:hAnsi="Times New Roman"/>
      <w:kern w:val="2"/>
      <w:sz w:val="21"/>
      <w:szCs w:val="24"/>
      <w:lang w:val="en-US" w:eastAsia="zh-CN" w:bidi="ar-SA"/>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图1：收、支决算总计变动情况图</a:t>
            </a:r>
            <a:endParaRPr>
              <a:latin typeface="黑体" panose="02010609060101010101" charset="-122"/>
              <a:ea typeface="黑体" panose="02010609060101010101" charset="-122"/>
              <a:cs typeface="黑体" panose="02010609060101010101" charset="-122"/>
            </a:endParaRPr>
          </a:p>
        </c:rich>
      </c:tx>
      <c:layout/>
      <c:overlay val="0"/>
      <c:spPr>
        <a:noFill/>
        <a:ln>
          <a:noFill/>
        </a:ln>
        <a:effectLst/>
      </c:spPr>
    </c:title>
    <c:autoTitleDeleted val="0"/>
    <c:plotArea>
      <c:layout>
        <c:manualLayout>
          <c:layoutTarget val="inner"/>
          <c:xMode val="edge"/>
          <c:yMode val="edge"/>
          <c:x val="0.121325"/>
          <c:y val="0.125666666666667"/>
          <c:w val="0.858925"/>
          <c:h val="0.646733333333333"/>
        </c:manualLayout>
      </c:layout>
      <c:barChart>
        <c:barDir val="col"/>
        <c:grouping val="clustered"/>
        <c:varyColors val="0"/>
        <c:ser>
          <c:idx val="0"/>
          <c:order val="0"/>
          <c:tx>
            <c:strRef>
              <c:f>Sheet1!$B$1</c:f>
              <c:strCache>
                <c:ptCount val="1"/>
                <c:pt idx="0">
                  <c:v>图1：收、支决算总计变动情况图</c:v>
                </c:pt>
              </c:strCache>
            </c:strRef>
          </c:tx>
          <c:spPr>
            <a:solidFill>
              <a:srgbClr val="FF0000"/>
            </a:solidFill>
            <a:ln>
              <a:noFill/>
            </a:ln>
            <a:effectLst/>
          </c:spPr>
          <c:invertIfNegative val="0"/>
          <c:dPt>
            <c:idx val="0"/>
            <c:invertIfNegative val="0"/>
            <c:bubble3D val="0"/>
            <c:spPr>
              <a:solidFill>
                <a:srgbClr val="0070C0"/>
              </a:solidFill>
              <a:ln>
                <a:noFill/>
              </a:ln>
              <a:effectLst/>
            </c:spPr>
          </c:dPt>
          <c:dPt>
            <c:idx val="1"/>
            <c:invertIfNegative val="0"/>
            <c:bubble3D val="0"/>
            <c:spPr>
              <a:solidFill>
                <a:srgbClr val="0070C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2020年收支总计</c:v>
                </c:pt>
                <c:pt idx="1">
                  <c:v>2021年收支总计</c:v>
                </c:pt>
              </c:strCache>
            </c:strRef>
          </c:cat>
          <c:val>
            <c:numRef>
              <c:f>Sheet1!$B$2:$B$3</c:f>
              <c:numCache>
                <c:formatCode>General</c:formatCode>
                <c:ptCount val="2"/>
                <c:pt idx="0">
                  <c:v>1019.03</c:v>
                </c:pt>
                <c:pt idx="1">
                  <c:v>1892.95</c:v>
                </c:pt>
              </c:numCache>
            </c:numRef>
          </c:val>
        </c:ser>
        <c:dLbls>
          <c:showLegendKey val="0"/>
          <c:showVal val="1"/>
          <c:showCatName val="0"/>
          <c:showSerName val="0"/>
          <c:showPercent val="0"/>
          <c:showBubbleSize val="0"/>
        </c:dLbls>
        <c:gapWidth val="219"/>
        <c:overlap val="-27"/>
        <c:axId val="608988122"/>
        <c:axId val="653171988"/>
      </c:barChart>
      <c:catAx>
        <c:axId val="60898812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171988"/>
        <c:crosses val="autoZero"/>
        <c:auto val="1"/>
        <c:lblAlgn val="ctr"/>
        <c:lblOffset val="100"/>
        <c:noMultiLvlLbl val="0"/>
      </c:catAx>
      <c:valAx>
        <c:axId val="6531719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988122"/>
        <c:crosses val="autoZero"/>
        <c:crossBetween val="between"/>
      </c:valAx>
      <c:spPr>
        <a:noFill/>
        <a:ln>
          <a:noFill/>
        </a:ln>
        <a:effectLst/>
      </c:spPr>
    </c:plotArea>
    <c:legend>
      <c:legendPos val="b"/>
      <c:layout>
        <c:manualLayout>
          <c:xMode val="edge"/>
          <c:yMode val="edge"/>
          <c:x val="0.341292134831461"/>
          <c:y val="0.8959713342108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cs typeface="黑体" panose="02010609060101010101" charset="-122"/>
              </a:rPr>
              <a:t>图2：收入决算结构图</a:t>
            </a:r>
            <a:endParaRPr>
              <a:latin typeface="黑体" panose="02010609060101010101" charset="-122"/>
              <a:ea typeface="黑体" panose="02010609060101010101" charset="-122"/>
              <a:cs typeface="黑体" panose="02010609060101010101" charset="-122"/>
            </a:endParaRPr>
          </a:p>
        </c:rich>
      </c:tx>
      <c:layout>
        <c:manualLayout>
          <c:xMode val="edge"/>
          <c:yMode val="edge"/>
          <c:x val="0.3225"/>
          <c:y val="0.0645"/>
        </c:manualLayout>
      </c:layout>
      <c:overlay val="0"/>
      <c:spPr>
        <a:noFill/>
        <a:ln>
          <a:noFill/>
        </a:ln>
        <a:effectLst/>
      </c:spPr>
    </c:title>
    <c:autoTitleDeleted val="0"/>
    <c:plotArea>
      <c:layout/>
      <c:pieChart>
        <c:varyColors val="1"/>
        <c:ser>
          <c:idx val="0"/>
          <c:order val="0"/>
          <c:tx>
            <c:strRef>
              <c:f>Sheet1!$B$1</c:f>
              <c:strCache>
                <c:ptCount val="1"/>
                <c:pt idx="0">
                  <c:v>图2：收入决算结构图</c:v>
                </c:pt>
              </c:strCache>
            </c:strRef>
          </c:tx>
          <c:spPr/>
          <c:explosion val="0"/>
          <c:dPt>
            <c:idx val="0"/>
            <c:bubble3D val="0"/>
            <c:spPr>
              <a:solidFill>
                <a:srgbClr val="0070C0"/>
              </a:solidFill>
              <a:ln w="19050">
                <a:solidFill>
                  <a:schemeClr val="lt1"/>
                </a:solidFill>
              </a:ln>
              <a:effectLst/>
            </c:spPr>
          </c:dPt>
          <c:dPt>
            <c:idx val="1"/>
            <c:bubble3D val="0"/>
            <c:spPr>
              <a:solidFill>
                <a:srgbClr val="FF0000"/>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200"/>
                      <a:t>一般公共预算财政拨款收入54</a:t>
                    </a:r>
                    <a:r>
                      <a:rPr lang="en-US" altLang="zh-CN" sz="1200"/>
                      <a:t>.26</a:t>
                    </a:r>
                    <a:r>
                      <a:rPr sz="1200"/>
                      <a:t>%</a:t>
                    </a:r>
                    <a:endParaRPr sz="1200"/>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200"/>
                      <a:t>其他收入4</a:t>
                    </a:r>
                    <a:r>
                      <a:rPr lang="en-US" altLang="zh-CN" sz="1200"/>
                      <a:t>5.74</a:t>
                    </a:r>
                    <a:r>
                      <a:rPr sz="1200"/>
                      <a:t>%</a:t>
                    </a:r>
                    <a:endParaRPr sz="1200"/>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1007.21</c:v>
                </c:pt>
                <c:pt idx="1">
                  <c:v>848.92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570125"/>
          <c:y val="0.9434755527872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sz="1200">
                <a:latin typeface="黑体" panose="02010609060101010101" charset="-122"/>
                <a:ea typeface="黑体" panose="02010609060101010101" charset="-122"/>
                <a:cs typeface="黑体" panose="02010609060101010101" charset="-122"/>
              </a:rPr>
              <a:t>图3：支出决算结构图</a:t>
            </a:r>
            <a:endParaRPr sz="1200">
              <a:latin typeface="黑体" panose="02010609060101010101" charset="-122"/>
              <a:ea typeface="黑体" panose="02010609060101010101" charset="-122"/>
              <a:cs typeface="黑体" panose="02010609060101010101" charset="-122"/>
            </a:endParaRPr>
          </a:p>
        </c:rich>
      </c:tx>
      <c:layout>
        <c:manualLayout>
          <c:xMode val="edge"/>
          <c:yMode val="edge"/>
          <c:x val="0.3789375"/>
          <c:y val="0.0281762295081967"/>
        </c:manualLayout>
      </c:layout>
      <c:overlay val="0"/>
      <c:spPr>
        <a:noFill/>
        <a:ln>
          <a:noFill/>
        </a:ln>
        <a:effectLst/>
      </c:spPr>
    </c:title>
    <c:autoTitleDeleted val="0"/>
    <c:plotArea>
      <c:layout/>
      <c:pieChart>
        <c:varyColors val="1"/>
        <c:ser>
          <c:idx val="0"/>
          <c:order val="0"/>
          <c:tx>
            <c:strRef>
              <c:f>Sheet1!$B$1</c:f>
              <c:strCache>
                <c:ptCount val="1"/>
                <c:pt idx="0">
                  <c:v>图3：支出决算结构图</c:v>
                </c:pt>
              </c:strCache>
            </c:strRef>
          </c:tx>
          <c:spPr>
            <a:solidFill>
              <a:srgbClr val="0070C0"/>
            </a:solidFill>
          </c:spPr>
          <c:explosion val="0"/>
          <c:dPt>
            <c:idx val="0"/>
            <c:bubble3D val="0"/>
            <c:spPr>
              <a:solidFill>
                <a:srgbClr val="FF0000"/>
              </a:solidFill>
              <a:ln w="19050">
                <a:solidFill>
                  <a:schemeClr val="lt1"/>
                </a:solidFill>
              </a:ln>
              <a:effectLst/>
            </c:spPr>
          </c:dPt>
          <c:dPt>
            <c:idx val="1"/>
            <c:bubble3D val="0"/>
            <c:spPr>
              <a:solidFill>
                <a:srgbClr val="0070C0"/>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800" b="0" i="0" u="none" strike="noStrike" kern="1200" baseline="0">
                        <a:solidFill>
                          <a:schemeClr val="tx1">
                            <a:lumMod val="75000"/>
                            <a:lumOff val="25000"/>
                          </a:schemeClr>
                        </a:solidFill>
                        <a:latin typeface="+mn-lt"/>
                        <a:ea typeface="+mn-ea"/>
                        <a:cs typeface="+mn-cs"/>
                      </a:defRPr>
                    </a:pPr>
                    <a:r>
                      <a:rPr sz="800"/>
                      <a:t>基本</a:t>
                    </a:r>
                    <a:endParaRPr sz="800"/>
                  </a:p>
                  <a:p>
                    <a:pPr defTabSz="914400">
                      <a:defRPr lang="zh-CN" sz="800" b="0" i="0" u="none" strike="noStrike" kern="1200" baseline="0">
                        <a:solidFill>
                          <a:schemeClr val="tx1">
                            <a:lumMod val="75000"/>
                            <a:lumOff val="25000"/>
                          </a:schemeClr>
                        </a:solidFill>
                        <a:latin typeface="+mn-lt"/>
                        <a:ea typeface="+mn-ea"/>
                        <a:cs typeface="+mn-cs"/>
                      </a:defRPr>
                    </a:pPr>
                    <a:r>
                      <a:rPr sz="800"/>
                      <a:t>支出</a:t>
                    </a:r>
                    <a:endParaRPr sz="800"/>
                  </a:p>
                  <a:p>
                    <a:pPr defTabSz="914400">
                      <a:defRPr lang="zh-CN" sz="800" b="0" i="0" u="none" strike="noStrike" kern="1200" baseline="0">
                        <a:solidFill>
                          <a:schemeClr val="tx1">
                            <a:lumMod val="75000"/>
                            <a:lumOff val="25000"/>
                          </a:schemeClr>
                        </a:solidFill>
                        <a:latin typeface="+mn-lt"/>
                        <a:ea typeface="+mn-ea"/>
                        <a:cs typeface="+mn-cs"/>
                      </a:defRPr>
                    </a:pPr>
                    <a:r>
                      <a:rPr sz="800"/>
                      <a:t> 94.3</a:t>
                    </a:r>
                    <a:endParaRPr sz="800"/>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498280797721532"/>
                  <c:y val="-0.166993193341545"/>
                </c:manualLayout>
              </c:layout>
              <c:tx>
                <c:rich>
                  <a:bodyPr rot="0" spcFirstLastPara="0" vertOverflow="ellipsis" vert="horz" wrap="square" lIns="38100" tIns="19050" rIns="38100" bIns="19050" anchor="ctr" anchorCtr="1"/>
                  <a:lstStyle/>
                  <a:p>
                    <a:pPr defTabSz="914400">
                      <a:defRPr lang="zh-CN" sz="800" b="0" i="0" u="none" strike="noStrike" kern="1200" baseline="0">
                        <a:solidFill>
                          <a:schemeClr val="tx1">
                            <a:lumMod val="75000"/>
                            <a:lumOff val="25000"/>
                          </a:schemeClr>
                        </a:solidFill>
                        <a:latin typeface="+mn-lt"/>
                        <a:ea typeface="+mn-ea"/>
                        <a:cs typeface="+mn-cs"/>
                      </a:defRPr>
                    </a:pPr>
                    <a:r>
                      <a:rPr sz="1000">
                        <a:latin typeface="仿宋_GB2312" panose="02010609030101010101" pitchFamily="3" charset="-122"/>
                        <a:ea typeface="仿宋_GB2312" panose="02010609030101010101" pitchFamily="3" charset="-122"/>
                        <a:cs typeface="仿宋_GB2312" panose="02010609030101010101" pitchFamily="3" charset="-122"/>
                      </a:rPr>
                      <a:t>项目支出, 1798.64</a:t>
                    </a:r>
                    <a:endParaRPr sz="1000">
                      <a:latin typeface="仿宋_GB2312" panose="02010609030101010101" pitchFamily="3" charset="-122"/>
                      <a:ea typeface="仿宋_GB2312" panose="02010609030101010101" pitchFamily="3" charset="-122"/>
                      <a:cs typeface="仿宋_GB2312" panose="02010609030101010101" pitchFamily="3"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9625"/>
                      <c:h val="0.122"/>
                    </c:manualLayout>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基本支出4.98%</c:v>
                </c:pt>
                <c:pt idx="1">
                  <c:v>项目支出95.02%</c:v>
                </c:pt>
              </c:strCache>
            </c:strRef>
          </c:cat>
          <c:val>
            <c:numRef>
              <c:f>Sheet1!$B$2:$B$3</c:f>
              <c:numCache>
                <c:formatCode>General</c:formatCode>
                <c:ptCount val="2"/>
                <c:pt idx="0">
                  <c:v>94.3</c:v>
                </c:pt>
                <c:pt idx="1">
                  <c:v>1798.64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1518459991381"/>
          <c:y val="0.025773195876288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31518459991381"/>
          <c:y val="0.158796142334553"/>
          <c:w val="0.877948570607671"/>
          <c:h val="0.792384436315264"/>
        </c:manualLayout>
      </c:layout>
      <c:barChart>
        <c:barDir val="col"/>
        <c:grouping val="clustered"/>
        <c:varyColors val="0"/>
        <c:ser>
          <c:idx val="0"/>
          <c:order val="0"/>
          <c:tx>
            <c:strRef>
              <c:f>Sheet1!$B$1</c:f>
              <c:strCache>
                <c:ptCount val="1"/>
                <c:pt idx="0">
                  <c:v>图4：财政拨款收、支决算总计变动情况</c:v>
                </c:pt>
              </c:strCache>
            </c:strRef>
          </c:tx>
          <c:spPr>
            <a:solidFill>
              <a:srgbClr val="0070C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188.81</c:v>
                </c:pt>
                <c:pt idx="1">
                  <c:v>1044.03</c:v>
                </c:pt>
              </c:numCache>
            </c:numRef>
          </c:val>
        </c:ser>
        <c:dLbls>
          <c:showLegendKey val="0"/>
          <c:showVal val="0"/>
          <c:showCatName val="0"/>
          <c:showSerName val="0"/>
          <c:showPercent val="0"/>
          <c:showBubbleSize val="0"/>
        </c:dLbls>
        <c:gapWidth val="75"/>
        <c:overlap val="40"/>
        <c:axId val="264681111"/>
        <c:axId val="288767506"/>
      </c:barChart>
      <c:catAx>
        <c:axId val="2646811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767506"/>
        <c:crosses val="autoZero"/>
        <c:auto val="1"/>
        <c:lblAlgn val="ctr"/>
        <c:lblOffset val="100"/>
        <c:noMultiLvlLbl val="0"/>
      </c:catAx>
      <c:valAx>
        <c:axId val="2887675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681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259171153123826"/>
          <c:y val="0.191282533709627"/>
          <c:w val="0.944910479529235"/>
          <c:h val="0.732894324239573"/>
        </c:manualLayout>
      </c:layout>
      <c:barChart>
        <c:barDir val="col"/>
        <c:grouping val="clustered"/>
        <c:varyColors val="0"/>
        <c:ser>
          <c:idx val="0"/>
          <c:order val="0"/>
          <c:tx>
            <c:strRef>
              <c:f>Sheet1!$B$1</c:f>
              <c:strCache>
                <c:ptCount val="1"/>
                <c:pt idx="0">
                  <c:v>图6：一般公共预算财政拨款支出决算结构</c:v>
                </c:pt>
              </c:strCache>
            </c:strRef>
          </c:tx>
          <c:spPr>
            <a:solidFill>
              <a:srgbClr val="0070C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151.99</c:v>
                </c:pt>
                <c:pt idx="1">
                  <c:v>1044.03</c:v>
                </c:pt>
              </c:numCache>
            </c:numRef>
          </c:val>
        </c:ser>
        <c:dLbls>
          <c:showLegendKey val="0"/>
          <c:showVal val="0"/>
          <c:showCatName val="0"/>
          <c:showSerName val="0"/>
          <c:showPercent val="0"/>
          <c:showBubbleSize val="0"/>
        </c:dLbls>
        <c:gapWidth val="150"/>
        <c:overlap val="-25"/>
        <c:axId val="805085487"/>
        <c:axId val="862900001"/>
      </c:barChart>
      <c:catAx>
        <c:axId val="8050854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900001"/>
        <c:crosses val="autoZero"/>
        <c:auto val="1"/>
        <c:lblAlgn val="ctr"/>
        <c:lblOffset val="100"/>
        <c:noMultiLvlLbl val="0"/>
      </c:catAx>
      <c:valAx>
        <c:axId val="86290000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508548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3124459093812"/>
                  <c:y val="-0.24086149366176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一般公共服务（类）支出</a:t>
                    </a:r>
                    <a:r>
                      <a:rPr lang="en-US" altLang="zh-CN"/>
                      <a:t>1044.03</a:t>
                    </a:r>
                    <a:r>
                      <a:rPr altLang="en-US"/>
                      <a:t>万元</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07787570240951"/>
                  <c:y val="0.1960875505663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社会保障和就业（类）支出</a:t>
                    </a:r>
                    <a:r>
                      <a:rPr lang="en-US" altLang="zh-CN"/>
                      <a:t>8.09</a:t>
                    </a:r>
                    <a:r>
                      <a:rPr altLang="en-US"/>
                      <a:t>万元</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27675"/>
                      <c:h val="0.152727272727273"/>
                    </c:manualLayout>
                  </c15:layout>
                </c:ext>
              </c:extLst>
            </c:dLbl>
            <c:dLbl>
              <c:idx val="2"/>
              <c:layout>
                <c:manualLayout>
                  <c:x val="-0.186399130589313"/>
                  <c:y val="0.060514254177296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卫生健康支出</a:t>
                    </a:r>
                    <a:r>
                      <a:rPr lang="en-US" altLang="zh-CN"/>
                      <a:t>4.45</a:t>
                    </a:r>
                    <a:r>
                      <a:rPr altLang="en-US"/>
                      <a:t>万元</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1465"/>
                      <c:h val="0.0816528925619835"/>
                    </c:manualLayout>
                  </c15:layout>
                </c:ext>
              </c:extLst>
            </c:dLbl>
            <c:dLbl>
              <c:idx val="3"/>
              <c:layout>
                <c:manualLayout>
                  <c:x val="0.292355293690172"/>
                  <c:y val="0.18697382280923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住房保障支出</a:t>
                    </a:r>
                    <a:r>
                      <a:rPr lang="en-US" altLang="zh-CN"/>
                      <a:t>10.88</a:t>
                    </a:r>
                    <a:r>
                      <a:rPr altLang="en-US"/>
                      <a:t>万元</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manualLayout>
                      <c:w val="0.19475"/>
                      <c:h val="0.1170247933884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一般公共服务（类）支出占97.76%</c:v>
                </c:pt>
                <c:pt idx="1">
                  <c:v>社会保障和就业（类）支出占0.77%</c:v>
                </c:pt>
                <c:pt idx="2">
                  <c:v>卫生健康支出占0.43%</c:v>
                </c:pt>
                <c:pt idx="3">
                  <c:v>住房保障支出占1.04%</c:v>
                </c:pt>
              </c:strCache>
            </c:strRef>
          </c:cat>
          <c:val>
            <c:numRef>
              <c:f>Sheet1!$B$2:$B$5</c:f>
              <c:numCache>
                <c:formatCode>General</c:formatCode>
                <c:ptCount val="4"/>
                <c:pt idx="0">
                  <c:v>1020.6</c:v>
                </c:pt>
                <c:pt idx="1">
                  <c:v>8.09</c:v>
                </c:pt>
                <c:pt idx="2">
                  <c:v>4.45</c:v>
                </c:pt>
                <c:pt idx="3">
                  <c:v>10.88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20</Pages>
  <Words>5736</Words>
  <Characters>6331</Characters>
  <Lines>61</Lines>
  <Paragraphs>17</Paragraphs>
  <TotalTime>6</TotalTime>
  <ScaleCrop>false</ScaleCrop>
  <LinksUpToDate>false</LinksUpToDate>
  <CharactersWithSpaces>6430</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Joyce ✨</cp:lastModifiedBy>
  <cp:lastPrinted>2023-06-27T15:12:00Z</cp:lastPrinted>
  <dcterms:modified xsi:type="dcterms:W3CDTF">2023-07-17T16:27:07Z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E3667D001C1149D0AA7AA10712BB8836</vt:lpwstr>
  </property>
</Properties>
</file>