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7425"/>
      <w:bookmarkStart w:id="1" w:name="_Toc15377193"/>
      <w:bookmarkStart w:id="2" w:name="_Toc15378441"/>
      <w:bookmarkStart w:id="3" w:name="_Toc15396475"/>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78442"/>
      <w:bookmarkStart w:id="8" w:name="_Toc15377194"/>
      <w:bookmarkStart w:id="9" w:name="_Toc15396598"/>
      <w:bookmarkStart w:id="10" w:name="_Toc15396476"/>
      <w:r>
        <w:rPr>
          <w:rFonts w:hint="eastAsia" w:ascii="方正小标宋简体" w:hAnsi="方正小标宋简体" w:eastAsia="方正小标宋简体" w:cs="方正小标宋简体"/>
          <w:color w:val="auto"/>
          <w:sz w:val="72"/>
          <w:szCs w:val="72"/>
          <w:highlight w:val="none"/>
          <w:lang w:val="en-US" w:eastAsia="zh-CN"/>
        </w:rPr>
        <w:t>中共广元市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委统战部</w:t>
      </w:r>
      <w:r>
        <w:rPr>
          <w:rFonts w:hint="eastAsia" w:ascii="方正小标宋简体" w:hAnsi="方正小标宋简体" w:eastAsia="方正小标宋简体" w:cs="方正小标宋简体"/>
          <w:color w:val="auto"/>
          <w:sz w:val="72"/>
          <w:szCs w:val="72"/>
          <w:highlight w:val="none"/>
        </w:rPr>
        <w:t>部门</w:t>
      </w:r>
    </w:p>
    <w:p>
      <w:pPr>
        <w:adjustRightInd w:val="0"/>
        <w:snapToGrid w:val="0"/>
        <w:spacing w:line="360" w:lineRule="auto"/>
        <w:jc w:val="center"/>
        <w:outlineLvl w:val="0"/>
        <w:rPr>
          <w:rFonts w:ascii="方正小标宋简体" w:hAnsi="宋体" w:eastAsia="方正小标宋简体"/>
          <w:color w:val="auto"/>
          <w:sz w:val="52"/>
          <w:szCs w:val="52"/>
          <w:highlight w:val="none"/>
        </w:rPr>
      </w:pP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3"/>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23</w:t>
      </w:r>
      <w:r>
        <w:rPr>
          <w:rFonts w:hint="eastAsia"/>
          <w:color w:val="auto"/>
          <w:highlight w:val="none"/>
        </w:rPr>
        <w:t>日</w:t>
      </w:r>
    </w:p>
    <w:p>
      <w:pPr>
        <w:rPr>
          <w:color w:val="auto"/>
          <w:highlight w:val="none"/>
        </w:rPr>
      </w:pPr>
    </w:p>
    <w:p>
      <w:pPr>
        <w:pStyle w:val="13"/>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eastAsia="zh-CN"/>
        </w:rPr>
        <w:t>………………………………………………………………………</w:t>
      </w:r>
      <w:r>
        <w:rPr>
          <w:rFonts w:hint="eastAsia"/>
          <w:color w:val="auto"/>
          <w:sz w:val="24"/>
          <w:highlight w:val="none"/>
          <w:lang w:val="en-US" w:eastAsia="zh-CN"/>
        </w:rPr>
        <w:t>1</w:t>
      </w:r>
    </w:p>
    <w:p>
      <w:pPr>
        <w:pStyle w:val="14"/>
        <w:adjustRightInd w:val="0"/>
        <w:snapToGrid w:val="0"/>
        <w:spacing w:line="440" w:lineRule="exact"/>
        <w:jc w:val="left"/>
        <w:rPr>
          <w:rFonts w:hint="default" w:ascii="仿宋" w:hAnsi="仿宋" w:eastAsia="宋体"/>
          <w:color w:val="auto"/>
          <w:sz w:val="24"/>
          <w:highlight w:val="none"/>
          <w:lang w:val="en-US" w:eastAsia="zh-CN"/>
        </w:rPr>
      </w:pPr>
      <w:r>
        <w:rPr>
          <w:rFonts w:hint="eastAsia"/>
          <w:color w:val="auto"/>
          <w:sz w:val="24"/>
          <w:highlight w:val="none"/>
        </w:rPr>
        <w:t>一、基本职能及主要工作</w:t>
      </w:r>
      <w:r>
        <w:rPr>
          <w:rFonts w:hint="eastAsia"/>
          <w:color w:val="auto"/>
          <w:sz w:val="24"/>
          <w:highlight w:val="none"/>
          <w:lang w:eastAsia="zh-CN"/>
        </w:rPr>
        <w:t>……………………………………………………………</w:t>
      </w:r>
      <w:r>
        <w:rPr>
          <w:rFonts w:hint="eastAsia"/>
          <w:color w:val="auto"/>
          <w:sz w:val="24"/>
          <w:highlight w:val="none"/>
          <w:lang w:val="en-US" w:eastAsia="zh-CN"/>
        </w:rPr>
        <w:t xml:space="preserve">1                       </w:t>
      </w:r>
    </w:p>
    <w:p>
      <w:pPr>
        <w:pStyle w:val="14"/>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二、机构设置</w:t>
      </w:r>
      <w:r>
        <w:rPr>
          <w:rFonts w:hint="eastAsia"/>
          <w:color w:val="auto"/>
          <w:sz w:val="24"/>
          <w:highlight w:val="none"/>
          <w:lang w:eastAsia="zh-CN"/>
        </w:rPr>
        <w:t>…………………………………………………………………………</w:t>
      </w:r>
      <w:r>
        <w:rPr>
          <w:rFonts w:hint="eastAsia"/>
          <w:color w:val="auto"/>
          <w:sz w:val="24"/>
          <w:highlight w:val="none"/>
          <w:lang w:val="en-US" w:eastAsia="zh-CN"/>
        </w:rPr>
        <w:t>4</w:t>
      </w:r>
    </w:p>
    <w:p>
      <w:pPr>
        <w:pStyle w:val="13"/>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r>
        <w:rPr>
          <w:rFonts w:hint="eastAsia"/>
          <w:color w:val="auto"/>
          <w:sz w:val="24"/>
          <w:highlight w:val="none"/>
          <w:lang w:eastAsia="zh-CN"/>
        </w:rPr>
        <w:t>…………………………………………………</w:t>
      </w:r>
      <w:r>
        <w:rPr>
          <w:rFonts w:hint="eastAsia"/>
          <w:color w:val="auto"/>
          <w:sz w:val="24"/>
          <w:highlight w:val="none"/>
          <w:lang w:val="en-US" w:eastAsia="zh-CN"/>
        </w:rPr>
        <w:t>5</w:t>
      </w:r>
    </w:p>
    <w:p>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5</w:t>
      </w:r>
    </w:p>
    <w:p>
      <w:pPr>
        <w:pStyle w:val="14"/>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5</w:t>
      </w:r>
    </w:p>
    <w:p>
      <w:pPr>
        <w:pStyle w:val="14"/>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6</w:t>
      </w:r>
    </w:p>
    <w:p>
      <w:pPr>
        <w:pStyle w:val="14"/>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6</w:t>
      </w:r>
    </w:p>
    <w:p>
      <w:pPr>
        <w:pStyle w:val="14"/>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4"/>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10</w:t>
      </w: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eastAsia="zh-CN"/>
        </w:rPr>
        <w:t>……………………………………</w:t>
      </w:r>
      <w:r>
        <w:rPr>
          <w:rFonts w:hint="eastAsia"/>
          <w:color w:val="auto"/>
          <w:sz w:val="24"/>
          <w:highlight w:val="none"/>
          <w:lang w:val="en-US" w:eastAsia="zh-CN"/>
        </w:rPr>
        <w:t>11</w:t>
      </w:r>
    </w:p>
    <w:p>
      <w:pPr>
        <w:pStyle w:val="14"/>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13</w:t>
      </w:r>
    </w:p>
    <w:p>
      <w:pPr>
        <w:pStyle w:val="14"/>
        <w:adjustRightInd w:val="0"/>
        <w:snapToGrid w:val="0"/>
        <w:spacing w:line="440" w:lineRule="exact"/>
        <w:ind w:leftChars="0"/>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color w:val="auto"/>
          <w:sz w:val="24"/>
          <w:highlight w:val="none"/>
          <w:lang w:eastAsia="zh-CN"/>
        </w:rPr>
        <w:t>…………………………………………</w:t>
      </w:r>
      <w:r>
        <w:rPr>
          <w:rFonts w:hint="eastAsia"/>
          <w:color w:val="auto"/>
          <w:sz w:val="24"/>
          <w:highlight w:val="none"/>
          <w:lang w:val="en-US" w:eastAsia="zh-CN"/>
        </w:rPr>
        <w:t>13</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lang w:val="en-US"/>
        </w:rPr>
      </w:pPr>
      <w:r>
        <w:rPr>
          <w:rStyle w:val="20"/>
          <w:rFonts w:hint="eastAsia" w:asciiTheme="minorEastAsia" w:hAnsiTheme="minorEastAsia" w:eastAsiaTheme="minorEastAsia" w:cstheme="minorEastAsia"/>
          <w:color w:val="auto"/>
          <w:sz w:val="24"/>
          <w:highlight w:val="none"/>
          <w:u w:val="none"/>
          <w:lang w:eastAsia="zh-CN"/>
        </w:rPr>
        <w:t>十</w:t>
      </w:r>
      <w:r>
        <w:rPr>
          <w:rStyle w:val="20"/>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asciiTheme="minorEastAsia" w:hAnsiTheme="minorEastAsia" w:eastAsiaTheme="minorEastAsia" w:cstheme="minorEastAsia"/>
          <w:color w:val="auto"/>
          <w:sz w:val="24"/>
          <w:highlight w:val="none"/>
        </w:rPr>
        <w:tab/>
      </w:r>
      <w:r>
        <w:rPr>
          <w:rFonts w:hint="eastAsia"/>
          <w:color w:val="auto"/>
          <w:sz w:val="24"/>
          <w:highlight w:val="none"/>
          <w:lang w:eastAsia="zh-CN"/>
        </w:rPr>
        <w:t>……………………………………………………………</w:t>
      </w:r>
      <w:r>
        <w:rPr>
          <w:rFonts w:hint="eastAsia"/>
          <w:color w:val="auto"/>
          <w:sz w:val="24"/>
          <w:highlight w:val="none"/>
          <w:lang w:val="en-US" w:eastAsia="zh-CN"/>
        </w:rPr>
        <w:t>13</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eastAsiaTheme="minorEastAsia"/>
          <w:lang w:val="en-US" w:eastAsia="zh-CN"/>
        </w:rPr>
      </w:pPr>
      <w:r>
        <w:rPr>
          <w:rFonts w:hint="eastAsia" w:asciiTheme="minorEastAsia" w:hAnsiTheme="minorEastAsia" w:eastAsiaTheme="minorEastAsia" w:cstheme="minorEastAsia"/>
          <w:color w:val="auto"/>
          <w:sz w:val="24"/>
          <w:highlight w:val="none"/>
          <w:lang w:val="en-US" w:eastAsia="zh-CN"/>
        </w:rPr>
        <w:t>十一、</w:t>
      </w:r>
      <w:r>
        <w:rPr>
          <w:rFonts w:hint="eastAsia" w:asciiTheme="minorEastAsia" w:hAnsiTheme="minorEastAsia" w:eastAsiaTheme="minorEastAsia" w:cstheme="minorEastAsia"/>
          <w:color w:val="auto"/>
          <w:sz w:val="24"/>
          <w:highlight w:val="none"/>
        </w:rPr>
        <w:t>其他重要事项的情况说明</w:t>
      </w:r>
      <w:r>
        <w:rPr>
          <w:rFonts w:hint="eastAsia"/>
          <w:color w:val="auto"/>
          <w:sz w:val="24"/>
          <w:highlight w:val="none"/>
          <w:lang w:eastAsia="zh-CN"/>
        </w:rPr>
        <w:t>……………………………………………………</w:t>
      </w:r>
      <w:r>
        <w:rPr>
          <w:rFonts w:hint="eastAsia"/>
          <w:color w:val="auto"/>
          <w:sz w:val="24"/>
          <w:highlight w:val="none"/>
          <w:lang w:val="en-US" w:eastAsia="zh-CN"/>
        </w:rPr>
        <w:t>14</w:t>
      </w:r>
    </w:p>
    <w:p>
      <w:pPr>
        <w:pStyle w:val="13"/>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16</w:t>
      </w:r>
    </w:p>
    <w:p>
      <w:pPr>
        <w:pStyle w:val="13"/>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20</w:t>
      </w:r>
    </w:p>
    <w:p>
      <w:pPr>
        <w:pStyle w:val="13"/>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仿宋" w:hAnsi="仿宋" w:eastAsia="仿宋" w:cstheme="minorBidi"/>
          <w:color w:val="auto"/>
          <w:sz w:val="24"/>
          <w:highlight w:val="none"/>
          <w:lang w:val="en-US"/>
        </w:rPr>
      </w:pPr>
      <w:r>
        <w:rPr>
          <w:rFonts w:hint="eastAsia" w:ascii="仿宋" w:hAnsi="仿宋" w:eastAsia="仿宋"/>
          <w:color w:val="auto"/>
          <w:sz w:val="24"/>
          <w:highlight w:val="none"/>
        </w:rPr>
        <w:t>一、</w:t>
      </w:r>
      <w:r>
        <w:rPr>
          <w:rFonts w:hint="eastAsia"/>
          <w:color w:val="auto"/>
          <w:sz w:val="24"/>
          <w:highlight w:val="none"/>
        </w:rPr>
        <w:t>收入支出决算总表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二、收入决算表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三、支出决算表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四、财政拨款收入支出决算总表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五、财政拨款支出决算明细表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六、一般公共预算财政拨款支出决算表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七、一般公共预算财政拨款支出决算明细表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color w:val="auto"/>
          <w:sz w:val="24"/>
          <w:highlight w:val="none"/>
          <w:lang w:val="en-US" w:eastAsia="zh-CN"/>
        </w:rPr>
      </w:pPr>
      <w:r>
        <w:rPr>
          <w:rFonts w:hint="eastAsia" w:asciiTheme="minorEastAsia" w:hAnsiTheme="minorEastAsia" w:eastAsiaTheme="minorEastAsia" w:cstheme="minorEastAsia"/>
          <w:color w:val="auto"/>
          <w:sz w:val="24"/>
          <w:highlight w:val="none"/>
        </w:rPr>
        <w:t>八、一般公共预算财政拨款基本支出决算表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九、一般公共预算财政拨款项目支出决算表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十、一般公共预算财政拨款“三公”经费支出决算表</w:t>
      </w:r>
      <w:r>
        <w:rPr>
          <w:rFonts w:hint="eastAsia"/>
          <w:color w:val="auto"/>
          <w:sz w:val="24"/>
          <w:highlight w:val="none"/>
          <w:lang w:eastAsia="zh-CN"/>
        </w:rPr>
        <w:t>……………………………</w:t>
      </w:r>
      <w:r>
        <w:rPr>
          <w:rFonts w:hint="eastAsia"/>
          <w:color w:val="auto"/>
          <w:sz w:val="24"/>
          <w:highlight w:val="none"/>
          <w:lang w:val="en-US" w:eastAsia="zh-CN"/>
        </w:rPr>
        <w:t>54</w:t>
      </w:r>
      <w:r>
        <w:rPr>
          <w:rFonts w:hint="eastAsia" w:asciiTheme="minorEastAsia" w:hAnsiTheme="minorEastAsia" w:eastAsiaTheme="minorEastAsia" w:cstheme="minorEastAsia"/>
          <w:color w:val="auto"/>
          <w:sz w:val="24"/>
          <w:highlight w:val="none"/>
        </w:rPr>
        <w:t>十一、政府性基金预算财政拨款收入支出决算表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十二、政府性基金预算财政拨款“三公”经费支出决算表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r>
        <w:rPr>
          <w:rFonts w:hint="eastAsia"/>
          <w:color w:val="auto"/>
          <w:sz w:val="24"/>
          <w:highlight w:val="none"/>
          <w:lang w:eastAsia="zh-CN"/>
        </w:rPr>
        <w:t>………………………………</w:t>
      </w:r>
      <w:r>
        <w:rPr>
          <w:rFonts w:hint="eastAsia"/>
          <w:color w:val="auto"/>
          <w:sz w:val="24"/>
          <w:highlight w:val="none"/>
          <w:lang w:val="en-US" w:eastAsia="zh-CN"/>
        </w:rPr>
        <w:t>54</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r>
        <w:rPr>
          <w:rFonts w:hint="eastAsia"/>
          <w:color w:val="auto"/>
          <w:sz w:val="24"/>
          <w:highlight w:val="none"/>
          <w:lang w:eastAsia="zh-CN"/>
        </w:rPr>
        <w:t>……………………………………</w:t>
      </w:r>
      <w:r>
        <w:rPr>
          <w:rFonts w:hint="eastAsia"/>
          <w:color w:val="auto"/>
          <w:sz w:val="24"/>
          <w:highlight w:val="none"/>
          <w:lang w:val="en-US" w:eastAsia="zh-CN"/>
        </w:rPr>
        <w:t>54</w:t>
      </w:r>
    </w:p>
    <w:p>
      <w:pPr>
        <w:widowControl/>
        <w:spacing w:line="440" w:lineRule="exact"/>
        <w:jc w:val="left"/>
        <w:rPr>
          <w:rFonts w:ascii="仿宋" w:hAnsi="仿宋" w:eastAsia="仿宋"/>
          <w:b/>
          <w:color w:val="auto"/>
          <w:sz w:val="24"/>
          <w:highlight w:val="none"/>
        </w:rPr>
        <w:sectPr>
          <w:headerReference r:id="rId3" w:type="default"/>
          <w:footerReference r:id="rId4" w:type="default"/>
          <w:pgSz w:w="11906" w:h="16838"/>
          <w:pgMar w:top="2098" w:right="1474" w:bottom="1984" w:left="1587" w:header="851" w:footer="1417" w:gutter="0"/>
          <w:pgBorders>
            <w:top w:val="none" w:sz="0" w:space="0"/>
            <w:left w:val="none" w:sz="0" w:space="0"/>
            <w:bottom w:val="none" w:sz="0" w:space="0"/>
            <w:right w:val="none" w:sz="0" w:space="0"/>
          </w:pgBorders>
          <w:pgNumType w:start="1"/>
          <w:cols w:space="0" w:num="1"/>
          <w:titlePg/>
          <w:rtlGutter w:val="0"/>
          <w:docGrid w:type="lines" w:linePitch="312" w:charSpace="0"/>
        </w:sectPr>
      </w:pPr>
      <w:bookmarkStart w:id="12" w:name="_Toc15377196"/>
      <w:bookmarkStart w:id="13" w:name="_Toc15396599"/>
      <w:r>
        <w:rPr>
          <w:rFonts w:ascii="仿宋" w:hAnsi="仿宋" w:eastAsia="仿宋"/>
          <w:b/>
          <w:color w:val="auto"/>
          <w:sz w:val="24"/>
          <w:highlight w:val="none"/>
        </w:rPr>
        <w:br w:type="page"/>
      </w:r>
    </w:p>
    <w:p>
      <w:pPr>
        <w:pStyle w:val="11"/>
      </w:pPr>
    </w:p>
    <w:p>
      <w:pPr>
        <w:pStyle w:val="4"/>
        <w:jc w:val="center"/>
        <w:rPr>
          <w:rStyle w:val="2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1"/>
          <w:rFonts w:hint="eastAsia" w:ascii="黑体" w:hAnsi="黑体" w:eastAsia="黑体"/>
          <w:b w:val="0"/>
          <w:bCs w:val="0"/>
          <w:color w:val="auto"/>
          <w:highlight w:val="none"/>
        </w:rPr>
        <w:t>部门概况</w:t>
      </w:r>
      <w:bookmarkEnd w:id="12"/>
      <w:bookmarkEnd w:id="13"/>
    </w:p>
    <w:p>
      <w:pPr>
        <w:pStyle w:val="5"/>
        <w:pageBreakBefore w:val="0"/>
        <w:kinsoku/>
        <w:wordWrap/>
        <w:topLinePunct w:val="0"/>
        <w:bidi w:val="0"/>
        <w:spacing w:before="0" w:after="0" w:line="576" w:lineRule="exact"/>
        <w:ind w:firstLine="640" w:firstLineChars="200"/>
        <w:textAlignment w:val="auto"/>
        <w:rPr>
          <w:rStyle w:val="22"/>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2"/>
          <w:rFonts w:hint="eastAsia" w:ascii="黑体" w:hAnsi="黑体" w:eastAsia="黑体"/>
          <w:b w:val="0"/>
          <w:bCs w:val="0"/>
          <w:color w:val="auto"/>
          <w:highlight w:val="none"/>
        </w:rPr>
        <w:t>本职能及主要工作</w:t>
      </w:r>
      <w:bookmarkEnd w:id="14"/>
      <w:bookmarkEnd w:id="15"/>
    </w:p>
    <w:p>
      <w:pPr>
        <w:pageBreakBefore w:val="0"/>
        <w:kinsoku/>
        <w:wordWrap/>
        <w:topLinePunct w:val="0"/>
        <w:bidi w:val="0"/>
        <w:spacing w:line="576" w:lineRule="exact"/>
        <w:ind w:firstLine="640" w:firstLineChars="200"/>
        <w:textAlignment w:val="auto"/>
        <w:rPr>
          <w:rFonts w:ascii="仿宋_GB2312" w:hAnsi="仿宋_GB2312" w:eastAsia="仿宋_GB2312" w:cs="仿宋_GB2312"/>
          <w:color w:val="auto"/>
          <w:sz w:val="32"/>
          <w:szCs w:val="32"/>
        </w:rPr>
      </w:pPr>
      <w:bookmarkStart w:id="16" w:name="_Toc15378445"/>
      <w:bookmarkStart w:id="17" w:name="_Toc15377198"/>
      <w:r>
        <w:rPr>
          <w:rFonts w:hint="eastAsia" w:ascii="方正楷体_GBK" w:hAnsi="方正楷体_GBK" w:eastAsia="方正楷体_GBK" w:cs="方正楷体_GBK"/>
          <w:bCs/>
          <w:color w:val="auto"/>
          <w:sz w:val="32"/>
          <w:szCs w:val="32"/>
          <w:highlight w:val="none"/>
        </w:rPr>
        <w:t>（一）主要职能。</w:t>
      </w:r>
      <w:bookmarkEnd w:id="16"/>
      <w:bookmarkEnd w:id="17"/>
      <w:bookmarkStart w:id="18" w:name="_Toc15378446"/>
      <w:bookmarkStart w:id="19" w:name="_Toc15377199"/>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贯彻落实党中央、省委、市委关于统一战线工作重大决策部署，协调统一战线各方面关系，组织落实巩固壮大最广泛的统一战线。</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深入调查研究，及时向市委报告统一战线工作情况并提出建议。统筹协调和指导各县区、各部门（单位）统一战线工作。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负责发现、培养党外代表人士，制定党外干部培养规划。反映和协调解决党外代表人士工作、生活中的实际困难。</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贯彻落实党的宣传工作方针，统筹推进全市统一战线宣传和意识形态工作，落实党中央、省委、市委统一战线宣传工作政策和规划，统筹推进网络人士统战工作。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负责联系各民主党派，通报情况、反映意见、制定年度政党协商计划，贯彻落实中国共产党领导的多党合作和政治协商制度以及对民主党派的方针政策，支持、协助民主党派加强中国特色社会主义参政党建设。</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贯彻落实党的民族工作方针，统筹协调做好少数民族干部工作。依法管理民族事务，全面促进民族事业发展。</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贯彻落实党的宗教工作基本方针和政策。依法管理宗教事务，保护公民宗教信仰自由和正常的宗教活动，维护宗教界合法权益。</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负责联系、培养无党派代表人士，联系、培养党外知识分子代表人士，指导高等学校、科研院所、国有企业等有关单位开展统战工作。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t>负责联系、培养新的社会阶层代表人士。调查研究全市新的社会阶层人士情况并提出政策建议，指导社会组织开展新的社会阶层人士统战工作。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做好非公有制经济领域统战工作，负责全市非公有制经济代表人士工作，参与制定、推动落实鼓励支持引导非公有制经济发展的政策，调查研究全市非公有制经济人士的意见，团结、服务、引导、教育非公有制经济人士，促进非公有制经济健康发展和非公有制经济人士健康成长。</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t>贯彻落实党的海外统战工作政策和规划并组织协调、督促检查落实，联系香港、澳门有关党派、团体及代表人士。</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贯彻落实党的对台工作方针政策。指导、协调、检查市级部门（单位）和各县（区）及大企业对台工作。开展广台交流联络活动，协调指导有关部门开展对台经贸工作和金融、文化、学术、体育、科技、卫生等各个领域的交流与合作，以及广台人员来往、考察、研讨等工作。会同有关部门依法开展涉台权益保护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t>贯彻落实党的侨务工作方针政策，管理侨务事务，统筹协调有关部门和社会团体涉侨工作，联系海外有关侨团和代表人士，指导推动涉侨宣传、文化交流、华文教育工作等，保护华侨和归侨侨眷在市内的合法权利和利益。</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t>负责县区统战部负责人培训工作。受市委委托，领导市工商联党组，指导工商联工作。指导市党外知识分子联谊会、市新的社会阶层人士联谊会、市中华职业教育社等工作。指导市社会主义学院工作。做好统一战线有关单位和团体及事业单位的管理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完成市委交办的其他任务。</w:t>
      </w:r>
    </w:p>
    <w:p>
      <w:pPr>
        <w:pStyle w:val="7"/>
        <w:pageBreakBefore w:val="0"/>
        <w:kinsoku/>
        <w:wordWrap/>
        <w:topLinePunct w:val="0"/>
        <w:bidi w:val="0"/>
        <w:adjustRightInd w:val="0"/>
        <w:snapToGrid w:val="0"/>
        <w:spacing w:beforeLines="0" w:line="576" w:lineRule="exact"/>
        <w:ind w:firstLine="672" w:firstLineChars="210"/>
        <w:textAlignment w:val="auto"/>
        <w:outlineLvl w:val="2"/>
        <w:rPr>
          <w:rFonts w:hint="eastAsia" w:ascii="方正楷体_GBK" w:hAnsi="方正楷体_GBK" w:eastAsia="方正楷体_GBK" w:cs="方正楷体_GBK"/>
          <w:bCs/>
          <w:color w:val="auto"/>
          <w:kern w:val="2"/>
          <w:sz w:val="32"/>
          <w:szCs w:val="32"/>
          <w:highlight w:val="none"/>
          <w:lang w:val="en-US" w:eastAsia="zh-CN" w:bidi="ar-SA"/>
        </w:rPr>
      </w:pPr>
      <w:r>
        <w:rPr>
          <w:rFonts w:hint="eastAsia" w:ascii="方正楷体_GBK" w:hAnsi="方正楷体_GBK" w:eastAsia="方正楷体_GBK" w:cs="方正楷体_GBK"/>
          <w:bCs/>
          <w:color w:val="auto"/>
          <w:kern w:val="2"/>
          <w:sz w:val="32"/>
          <w:szCs w:val="32"/>
          <w:highlight w:val="none"/>
          <w:lang w:val="en-US" w:eastAsia="zh-CN" w:bidi="ar-SA"/>
        </w:rPr>
        <w:t>（二）2021年重点工作完成情况。</w:t>
      </w:r>
      <w:bookmarkEnd w:id="18"/>
      <w:bookmarkEnd w:id="19"/>
    </w:p>
    <w:p>
      <w:pPr>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outlineLvl w:val="9"/>
        <w:rPr>
          <w:rFonts w:hint="eastAsia" w:ascii="仿宋" w:hAnsi="仿宋" w:eastAsia="仿宋"/>
          <w:bCs/>
          <w:color w:val="auto"/>
          <w:sz w:val="32"/>
          <w:szCs w:val="32"/>
          <w:highlight w:val="none"/>
          <w:lang w:eastAsia="zh-CN"/>
        </w:rPr>
      </w:pPr>
      <w:r>
        <w:rPr>
          <w:rFonts w:hint="eastAsia" w:ascii="仿宋_GB2312" w:hAnsi="仿宋_GB2312" w:eastAsia="仿宋_GB2312" w:cs="仿宋_GB2312"/>
          <w:b w:val="0"/>
          <w:bCs w:val="0"/>
          <w:color w:val="auto"/>
          <w:sz w:val="32"/>
          <w:szCs w:val="32"/>
          <w:u w:val="none"/>
          <w:lang w:val="en-US" w:eastAsia="zh-CN"/>
        </w:rPr>
        <w:t>2021年，在市委坚强领导下，市委统战部坚定以习近平新时代中国特色社会主义思想为指导，深入学习党的十九届五中、六中全会及省委十一届九次、十次全会精神，全面贯彻落实市第八次党代会决策部署，以学习贯彻习近平总书记关于加强和改进统一战线工作的重要思想为主线，以贯彻落实《中国共产党统一战线工作条例》为重点，以进一步发挥新时代统一战线法宝作用为目标，坚持“四心”定位、坚持系统观念、坚持守正创新，扎实推动新时代广元统战工作高质量发展，全市统战工作呈现出全面发力、多点突破、蓬勃奋进的良好局面。一是坚持和加强党对统一战线工作的领导，全市大统战工作格局和整体效能进一步提升；二是</w:t>
      </w:r>
      <w:r>
        <w:rPr>
          <w:rFonts w:hint="default" w:ascii="仿宋_GB2312" w:hAnsi="仿宋_GB2312" w:eastAsia="仿宋_GB2312" w:cs="仿宋_GB2312"/>
          <w:b w:val="0"/>
          <w:bCs w:val="0"/>
          <w:color w:val="auto"/>
          <w:sz w:val="32"/>
          <w:szCs w:val="32"/>
          <w:u w:val="none"/>
          <w:lang w:val="en-US" w:eastAsia="zh-CN"/>
        </w:rPr>
        <w:t>坚持用党的创新理论武装统一战线，筑牢新时代团结奋斗的共同思想政治基础</w:t>
      </w:r>
      <w:r>
        <w:rPr>
          <w:rFonts w:hint="eastAsia" w:ascii="仿宋_GB2312" w:hAnsi="仿宋_GB2312" w:eastAsia="仿宋_GB2312" w:cs="仿宋_GB2312"/>
          <w:b w:val="0"/>
          <w:bCs w:val="0"/>
          <w:color w:val="auto"/>
          <w:sz w:val="32"/>
          <w:szCs w:val="32"/>
          <w:u w:val="none"/>
          <w:lang w:val="en-US" w:eastAsia="zh-CN"/>
        </w:rPr>
        <w:t>；三是聚焦重点领域和关键环节，奋力推动全市统一战线各项工作再上新台阶；四是</w:t>
      </w:r>
      <w:r>
        <w:rPr>
          <w:rFonts w:hint="default" w:ascii="仿宋_GB2312" w:hAnsi="仿宋_GB2312" w:eastAsia="仿宋_GB2312" w:cs="仿宋_GB2312"/>
          <w:b w:val="0"/>
          <w:bCs w:val="0"/>
          <w:color w:val="auto"/>
          <w:sz w:val="32"/>
          <w:szCs w:val="32"/>
          <w:u w:val="none"/>
          <w:lang w:val="en-US" w:eastAsia="zh-CN"/>
        </w:rPr>
        <w:t>全面贯彻党的民族政策</w:t>
      </w:r>
      <w:r>
        <w:rPr>
          <w:rFonts w:hint="eastAsia" w:ascii="仿宋_GB2312" w:hAnsi="仿宋_GB2312" w:eastAsia="仿宋_GB2312" w:cs="仿宋_GB2312"/>
          <w:b w:val="0"/>
          <w:bCs w:val="0"/>
          <w:color w:val="auto"/>
          <w:sz w:val="32"/>
          <w:szCs w:val="32"/>
          <w:u w:val="none"/>
          <w:lang w:val="en-US" w:eastAsia="zh-CN"/>
        </w:rPr>
        <w:t>和</w:t>
      </w:r>
      <w:r>
        <w:rPr>
          <w:rFonts w:hint="default" w:ascii="仿宋_GB2312" w:hAnsi="仿宋_GB2312" w:eastAsia="仿宋_GB2312" w:cs="仿宋_GB2312"/>
          <w:b w:val="0"/>
          <w:bCs w:val="0"/>
          <w:color w:val="auto"/>
          <w:sz w:val="32"/>
          <w:szCs w:val="32"/>
          <w:u w:val="none"/>
          <w:lang w:val="en-US" w:eastAsia="zh-CN"/>
        </w:rPr>
        <w:t>宗教工作方针</w:t>
      </w:r>
      <w:r>
        <w:rPr>
          <w:rFonts w:hint="eastAsia" w:ascii="仿宋_GB2312" w:hAnsi="仿宋_GB2312" w:eastAsia="仿宋_GB2312" w:cs="仿宋_GB2312"/>
          <w:b w:val="0"/>
          <w:bCs w:val="0"/>
          <w:color w:val="auto"/>
          <w:sz w:val="32"/>
          <w:szCs w:val="32"/>
          <w:u w:val="none"/>
          <w:lang w:val="en-US" w:eastAsia="zh-CN"/>
        </w:rPr>
        <w:t>，扎实做好新时代</w:t>
      </w:r>
      <w:r>
        <w:rPr>
          <w:rFonts w:hint="default" w:ascii="仿宋_GB2312" w:hAnsi="仿宋_GB2312" w:eastAsia="仿宋_GB2312" w:cs="仿宋_GB2312"/>
          <w:b w:val="0"/>
          <w:bCs w:val="0"/>
          <w:color w:val="auto"/>
          <w:sz w:val="32"/>
          <w:szCs w:val="32"/>
          <w:u w:val="none"/>
          <w:lang w:val="en-US" w:eastAsia="zh-CN"/>
        </w:rPr>
        <w:t>民族宗教工作</w:t>
      </w:r>
      <w:r>
        <w:rPr>
          <w:rFonts w:hint="eastAsia" w:ascii="仿宋_GB2312" w:hAnsi="仿宋_GB2312" w:eastAsia="仿宋_GB2312" w:cs="仿宋_GB2312"/>
          <w:b w:val="0"/>
          <w:bCs w:val="0"/>
          <w:color w:val="auto"/>
          <w:sz w:val="32"/>
          <w:szCs w:val="32"/>
          <w:u w:val="none"/>
          <w:lang w:val="en-US" w:eastAsia="zh-CN"/>
        </w:rPr>
        <w:t>。</w:t>
      </w:r>
    </w:p>
    <w:p>
      <w:pPr>
        <w:pStyle w:val="5"/>
        <w:pageBreakBefore w:val="0"/>
        <w:kinsoku/>
        <w:wordWrap/>
        <w:topLinePunct w:val="0"/>
        <w:bidi w:val="0"/>
        <w:spacing w:before="0" w:after="0" w:line="576" w:lineRule="exact"/>
        <w:ind w:firstLine="640" w:firstLineChars="200"/>
        <w:textAlignment w:val="auto"/>
        <w:rPr>
          <w:rStyle w:val="22"/>
          <w:b w:val="0"/>
          <w:bCs w:val="0"/>
          <w:color w:val="auto"/>
          <w:highlight w:val="none"/>
        </w:rPr>
      </w:pPr>
      <w:bookmarkStart w:id="20" w:name="_Toc15377200"/>
      <w:bookmarkStart w:id="2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2"/>
          <w:rFonts w:hint="eastAsia" w:ascii="黑体" w:hAnsi="黑体" w:eastAsia="黑体"/>
          <w:b w:val="0"/>
          <w:bCs w:val="0"/>
          <w:color w:val="auto"/>
          <w:highlight w:val="none"/>
        </w:rPr>
        <w:t>构设置</w:t>
      </w:r>
      <w:bookmarkEnd w:id="20"/>
      <w:bookmarkEnd w:id="21"/>
    </w:p>
    <w:p>
      <w:pPr>
        <w:pStyle w:val="7"/>
        <w:pageBreakBefore w:val="0"/>
        <w:kinsoku/>
        <w:wordWrap/>
        <w:topLinePunct w:val="0"/>
        <w:bidi w:val="0"/>
        <w:adjustRightInd w:val="0"/>
        <w:snapToGrid w:val="0"/>
        <w:spacing w:beforeLines="0" w:line="576" w:lineRule="exact"/>
        <w:ind w:firstLine="672" w:firstLineChars="210"/>
        <w:textAlignment w:val="auto"/>
        <w:rPr>
          <w:rFonts w:hint="eastAsia" w:ascii="仿宋_GB2312" w:hAnsi="Times New Roman" w:eastAsia="仿宋_GB2312" w:cs="仿宋_GB2312"/>
          <w:i w:val="0"/>
          <w:caps w:val="0"/>
          <w:color w:val="auto"/>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市委统战部下属二级预算单位7个，其中行政单位</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7</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个，市委统战部本级含下属事业单位</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3</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个。</w:t>
      </w:r>
    </w:p>
    <w:p>
      <w:pPr>
        <w:pStyle w:val="7"/>
        <w:pageBreakBefore w:val="0"/>
        <w:kinsoku/>
        <w:wordWrap/>
        <w:topLinePunct w:val="0"/>
        <w:bidi w:val="0"/>
        <w:adjustRightInd w:val="0"/>
        <w:snapToGrid w:val="0"/>
        <w:spacing w:beforeLines="0" w:line="576" w:lineRule="exact"/>
        <w:ind w:firstLine="672" w:firstLineChars="210"/>
        <w:textAlignment w:val="auto"/>
        <w:rPr>
          <w:rFonts w:hint="eastAsia" w:ascii="仿宋_GB2312" w:hAnsi="Times New Roman" w:eastAsia="仿宋_GB2312" w:cs="仿宋_GB2312"/>
          <w:i w:val="0"/>
          <w:caps w:val="0"/>
          <w:color w:val="auto"/>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纳入市委统战部2021年度部门决算编制范围的二级预算单位包括：</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市委统战部本</w:t>
      </w:r>
      <w:r>
        <w:rPr>
          <w:rFonts w:hint="eastAsia" w:ascii="仿宋_GB2312" w:hAnsi="仿宋_GB2312" w:eastAsia="仿宋_GB2312" w:cs="仿宋_GB2312"/>
          <w:color w:val="auto"/>
          <w:kern w:val="0"/>
          <w:sz w:val="32"/>
          <w:szCs w:val="32"/>
          <w:lang w:eastAsia="zh-CN"/>
        </w:rPr>
        <w:t>级</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民革广元市委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rPr>
        <w:t>民盟广元市委</w:t>
      </w:r>
      <w:r>
        <w:rPr>
          <w:rFonts w:ascii="仿宋_GB2312" w:hAnsi="仿宋_GB2312" w:eastAsia="仿宋_GB2312" w:cs="仿宋_GB2312"/>
          <w:color w:val="auto"/>
          <w:kern w:val="0"/>
          <w:sz w:val="32"/>
          <w:szCs w:val="32"/>
        </w:rPr>
        <w:t xml:space="preserve"> </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rPr>
        <w:t>民建广元市委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rPr>
        <w:t>民进广元市委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rPr>
        <w:t>农工党广元市委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rPr>
        <w:t>九三学社广元市委</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rStyle w:val="21"/>
          <w:rFonts w:ascii="黑体" w:hAnsi="黑体" w:eastAsia="黑体"/>
          <w:b w:val="0"/>
          <w:bCs/>
          <w:color w:val="auto"/>
          <w:highlight w:val="none"/>
        </w:rPr>
      </w:pPr>
      <w:bookmarkStart w:id="22" w:name="_Toc15396602"/>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1"/>
          <w:rFonts w:hint="eastAsia" w:ascii="黑体" w:hAnsi="黑体" w:eastAsia="黑体"/>
          <w:b w:val="0"/>
          <w:bCs/>
          <w:color w:val="auto"/>
          <w:highlight w:val="none"/>
        </w:rPr>
        <w:t>部门决算情况说明</w:t>
      </w:r>
      <w:bookmarkEnd w:id="22"/>
      <w:bookmarkEnd w:id="23"/>
    </w:p>
    <w:p>
      <w:pPr>
        <w:rPr>
          <w:color w:val="auto"/>
          <w:highlight w:val="none"/>
        </w:rPr>
      </w:pPr>
    </w:p>
    <w:p>
      <w:pPr>
        <w:pStyle w:val="31"/>
        <w:numPr>
          <w:ilvl w:val="0"/>
          <w:numId w:val="0"/>
        </w:numPr>
        <w:spacing w:line="600" w:lineRule="exact"/>
        <w:ind w:firstLine="640" w:firstLineChars="200"/>
        <w:outlineLvl w:val="1"/>
        <w:rPr>
          <w:rStyle w:val="22"/>
          <w:rFonts w:ascii="黑体" w:hAnsi="黑体" w:eastAsia="黑体"/>
          <w:b w:val="0"/>
          <w:color w:val="auto"/>
          <w:highlight w:val="none"/>
        </w:rPr>
      </w:pPr>
      <w:bookmarkStart w:id="24" w:name="_Toc15396603"/>
      <w:bookmarkStart w:id="25"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24"/>
      <w:bookmarkEnd w:id="25"/>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年度收、支总计1588.12万元。与20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年相比，收、支总计各增加</w:t>
      </w:r>
      <w:r>
        <w:rPr>
          <w:rFonts w:hint="eastAsia" w:ascii="仿宋_GB2312" w:hAnsi="仿宋_GB2312" w:eastAsia="仿宋_GB2312" w:cs="仿宋_GB2312"/>
          <w:color w:val="auto"/>
          <w:kern w:val="0"/>
          <w:sz w:val="32"/>
          <w:szCs w:val="32"/>
          <w:lang w:val="en-US" w:eastAsia="zh-CN"/>
        </w:rPr>
        <w:t>200.23</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lang w:val="en-US" w:eastAsia="zh-CN"/>
        </w:rPr>
        <w:t>14</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。主要变动原因</w:t>
      </w:r>
      <w:r>
        <w:rPr>
          <w:rFonts w:hint="eastAsia" w:ascii="仿宋_GB2312" w:hAnsi="仿宋_GB2312" w:eastAsia="仿宋_GB2312" w:cs="仿宋_GB2312"/>
          <w:color w:val="auto"/>
          <w:kern w:val="0"/>
          <w:sz w:val="32"/>
          <w:szCs w:val="32"/>
          <w:lang w:eastAsia="zh-CN"/>
        </w:rPr>
        <w:t>一是</w:t>
      </w:r>
      <w:r>
        <w:rPr>
          <w:rFonts w:hint="eastAsia" w:ascii="仿宋_GB2312" w:hAnsi="仿宋_GB2312" w:eastAsia="仿宋_GB2312" w:cs="仿宋_GB2312"/>
          <w:color w:val="auto"/>
          <w:kern w:val="0"/>
          <w:sz w:val="32"/>
          <w:szCs w:val="32"/>
          <w:lang w:val="en-US" w:eastAsia="zh-CN"/>
        </w:rPr>
        <w:t>2021年市级6大民主党派换届及市政协换届增加相应换届工作经费；二是2021年年初结转和结余数据大。</w:t>
      </w:r>
    </w:p>
    <w:p>
      <w:pPr>
        <w:spacing w:line="24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4876800" cy="2838450"/>
            <wp:effectExtent l="0" t="0" r="0" b="0"/>
            <wp:docPr id="1" name="图片 1" descr="81762E37B18789DA6B6AD6D0408FB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762E37B18789DA6B6AD6D0408FBFD9"/>
                    <pic:cNvPicPr>
                      <a:picLocks noChangeAspect="1"/>
                    </pic:cNvPicPr>
                  </pic:nvPicPr>
                  <pic:blipFill>
                    <a:blip r:embed="rId8"/>
                    <a:stretch>
                      <a:fillRect/>
                    </a:stretch>
                  </pic:blipFill>
                  <pic:spPr>
                    <a:xfrm>
                      <a:off x="0" y="0"/>
                      <a:ext cx="4876800" cy="2838450"/>
                    </a:xfrm>
                    <a:prstGeom prst="rect">
                      <a:avLst/>
                    </a:prstGeom>
                  </pic:spPr>
                </pic:pic>
              </a:graphicData>
            </a:graphic>
          </wp:inline>
        </w:drawing>
      </w:r>
    </w:p>
    <w:p>
      <w:pPr>
        <w:spacing w:line="24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1"/>
        <w:numPr>
          <w:ilvl w:val="0"/>
          <w:numId w:val="0"/>
        </w:numPr>
        <w:spacing w:line="600" w:lineRule="exact"/>
        <w:ind w:firstLine="640" w:firstLineChars="200"/>
        <w:outlineLvl w:val="1"/>
        <w:rPr>
          <w:rStyle w:val="22"/>
          <w:rFonts w:ascii="黑体" w:hAnsi="黑体" w:eastAsia="黑体"/>
          <w:b w:val="0"/>
          <w:color w:val="auto"/>
          <w:highlight w:val="none"/>
        </w:rPr>
      </w:pPr>
      <w:bookmarkStart w:id="26" w:name="_Toc15377206"/>
      <w:bookmarkStart w:id="27" w:name="_Toc1539660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26"/>
      <w:bookmarkEnd w:id="27"/>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2021年本年收入合计1494.6万元，其中：一般公共预算财政拨款收入1486.44万元，占99%；其他收入8.16万元，占1%。</w:t>
      </w:r>
    </w:p>
    <w:p>
      <w:pPr>
        <w:spacing w:line="240" w:lineRule="auto"/>
        <w:jc w:val="center"/>
        <w:outlineLvl w:val="1"/>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drawing>
          <wp:inline distT="0" distB="0" distL="114300" distR="114300">
            <wp:extent cx="4844415" cy="2858770"/>
            <wp:effectExtent l="0" t="0" r="0" b="17780"/>
            <wp:docPr id="2" name="图片 2" descr="QQ图片2022091910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20919100654"/>
                    <pic:cNvPicPr>
                      <a:picLocks noChangeAspect="1"/>
                    </pic:cNvPicPr>
                  </pic:nvPicPr>
                  <pic:blipFill>
                    <a:blip r:embed="rId9"/>
                    <a:stretch>
                      <a:fillRect/>
                    </a:stretch>
                  </pic:blipFill>
                  <pic:spPr>
                    <a:xfrm>
                      <a:off x="0" y="0"/>
                      <a:ext cx="4844415" cy="2858770"/>
                    </a:xfrm>
                    <a:prstGeom prst="rect">
                      <a:avLst/>
                    </a:prstGeom>
                  </pic:spPr>
                </pic:pic>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31"/>
        <w:numPr>
          <w:ilvl w:val="0"/>
          <w:numId w:val="0"/>
        </w:numPr>
        <w:spacing w:line="600" w:lineRule="exact"/>
        <w:ind w:firstLine="640" w:firstLineChars="200"/>
        <w:outlineLvl w:val="1"/>
        <w:rPr>
          <w:rStyle w:val="22"/>
          <w:rFonts w:ascii="黑体" w:hAnsi="黑体" w:eastAsia="黑体"/>
          <w:b w:val="0"/>
          <w:color w:val="auto"/>
          <w:highlight w:val="none"/>
        </w:rPr>
      </w:pPr>
      <w:bookmarkStart w:id="28" w:name="_Toc15396605"/>
      <w:bookmarkStart w:id="29"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28"/>
      <w:bookmarkEnd w:id="29"/>
    </w:p>
    <w:p>
      <w:pPr>
        <w:spacing w:line="600" w:lineRule="exact"/>
        <w:ind w:firstLine="640" w:firstLineChars="200"/>
        <w:outlineLvl w:val="1"/>
        <w:rPr>
          <w:rFonts w:ascii="仿宋" w:hAnsi="仿宋" w:eastAsia="仿宋"/>
          <w:color w:val="auto"/>
          <w:sz w:val="32"/>
          <w:szCs w:val="32"/>
          <w:highlight w:val="none"/>
        </w:rPr>
      </w:pPr>
      <w:r>
        <w:rPr>
          <w:rFonts w:hint="eastAsia" w:ascii="仿宋_GB2312" w:hAnsi="仿宋_GB2312" w:eastAsia="仿宋_GB2312" w:cs="仿宋_GB2312"/>
          <w:color w:val="auto"/>
          <w:kern w:val="0"/>
          <w:sz w:val="32"/>
          <w:szCs w:val="32"/>
          <w:lang w:val="en-US" w:eastAsia="zh-CN"/>
        </w:rPr>
        <w:t>2021年本年支出合计1480.78万元，其中：基本支出1130.5万元，占76%；项目支出350.29万元，占24%。</w:t>
      </w:r>
    </w:p>
    <w:p>
      <w:pPr>
        <w:spacing w:line="24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4886325" cy="2657475"/>
            <wp:effectExtent l="0" t="0" r="9525" b="9525"/>
            <wp:docPr id="3" name="图片 3" descr="51A93BA79181E8442E407CA153DA2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A93BA79181E8442E407CA153DA24E0"/>
                    <pic:cNvPicPr>
                      <a:picLocks noChangeAspect="1"/>
                    </pic:cNvPicPr>
                  </pic:nvPicPr>
                  <pic:blipFill>
                    <a:blip r:embed="rId10"/>
                    <a:stretch>
                      <a:fillRect/>
                    </a:stretch>
                  </pic:blipFill>
                  <pic:spPr>
                    <a:xfrm>
                      <a:off x="0" y="0"/>
                      <a:ext cx="4886325" cy="2657475"/>
                    </a:xfrm>
                    <a:prstGeom prst="rect">
                      <a:avLst/>
                    </a:prstGeom>
                  </pic:spPr>
                </pic:pic>
              </a:graphicData>
            </a:graphic>
          </wp:inline>
        </w:drawing>
      </w:r>
    </w:p>
    <w:p>
      <w:pPr>
        <w:spacing w:line="24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2"/>
          <w:rFonts w:ascii="黑体" w:hAnsi="黑体" w:eastAsia="黑体"/>
          <w:b w:val="0"/>
          <w:color w:val="auto"/>
          <w:highlight w:val="none"/>
        </w:rPr>
      </w:pPr>
      <w:bookmarkStart w:id="30" w:name="_Toc15377208"/>
      <w:bookmarkStart w:id="31" w:name="_Toc15396606"/>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30"/>
      <w:bookmarkEnd w:id="31"/>
    </w:p>
    <w:p>
      <w:p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2021年财政拨款收、支总计1577.53万元。与2020年相比，财政拨款收、支总计各增加256.37万元，增长19%。主要变动原因一是2021年市级6大民主党派换届及市政协换届增加相应换届工作经费；二是2021年年初结转和结余数据大。</w:t>
      </w:r>
    </w:p>
    <w:p>
      <w:pPr>
        <w:spacing w:line="240" w:lineRule="auto"/>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drawing>
          <wp:inline distT="0" distB="0" distL="114300" distR="114300">
            <wp:extent cx="4876800" cy="2838450"/>
            <wp:effectExtent l="0" t="0" r="0" b="0"/>
            <wp:docPr id="4" name="图片 4" descr="B01E974266B3CEB09C505894C01B36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01E974266B3CEB09C505894C01B36ED"/>
                    <pic:cNvPicPr>
                      <a:picLocks noChangeAspect="1"/>
                    </pic:cNvPicPr>
                  </pic:nvPicPr>
                  <pic:blipFill>
                    <a:blip r:embed="rId11"/>
                    <a:stretch>
                      <a:fillRect/>
                    </a:stretch>
                  </pic:blipFill>
                  <pic:spPr>
                    <a:xfrm>
                      <a:off x="0" y="0"/>
                      <a:ext cx="4876800" cy="2838450"/>
                    </a:xfrm>
                    <a:prstGeom prst="rect">
                      <a:avLst/>
                    </a:prstGeom>
                  </pic:spPr>
                </pic:pic>
              </a:graphicData>
            </a:graphic>
          </wp:inline>
        </w:drawing>
      </w:r>
    </w:p>
    <w:p>
      <w:pPr>
        <w:spacing w:line="600" w:lineRule="exact"/>
        <w:jc w:val="center"/>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2"/>
          <w:rFonts w:ascii="黑体" w:hAnsi="黑体" w:eastAsia="黑体"/>
          <w:b w:val="0"/>
          <w:color w:val="auto"/>
          <w:highlight w:val="none"/>
        </w:rPr>
      </w:pPr>
      <w:bookmarkStart w:id="32" w:name="_Toc15377209"/>
      <w:bookmarkStart w:id="3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32"/>
      <w:bookmarkEnd w:id="33"/>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rPr>
      </w:pPr>
      <w:bookmarkStart w:id="34" w:name="_Toc15377210"/>
      <w:r>
        <w:rPr>
          <w:rFonts w:hint="eastAsia" w:ascii="方正楷体_GBK" w:hAnsi="方正楷体_GBK" w:eastAsia="方正楷体_GBK" w:cs="方正楷体_GBK"/>
          <w:bCs/>
          <w:color w:val="auto"/>
          <w:sz w:val="32"/>
          <w:szCs w:val="32"/>
          <w:highlight w:val="none"/>
        </w:rPr>
        <w:t>（一）一般公共预算财政拨款支出决算总体情况</w:t>
      </w:r>
      <w:bookmarkEnd w:id="34"/>
    </w:p>
    <w:p>
      <w:p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2021年一般公共预算财政拨款支出1470.73万元，占本年支出合计的99.32%。与2020年相比，一般公共预算财政拨款支出增加257.21万元，增长21%。主要变动原因一是2021年市级6大民主党派换届及市政协换届增加相应换届工作经费；二是2021年年初结转和结余数据大。</w:t>
      </w:r>
    </w:p>
    <w:p>
      <w:pPr>
        <w:spacing w:line="240" w:lineRule="auto"/>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204970" cy="2447925"/>
            <wp:effectExtent l="0" t="0" r="5080" b="9525"/>
            <wp:docPr id="5" name="图片 5" descr="BC29D9DA66EE2EDBB70EEFBB3F69F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C29D9DA66EE2EDBB70EEFBB3F69FB69"/>
                    <pic:cNvPicPr>
                      <a:picLocks noChangeAspect="1"/>
                    </pic:cNvPicPr>
                  </pic:nvPicPr>
                  <pic:blipFill>
                    <a:blip r:embed="rId12"/>
                    <a:stretch>
                      <a:fillRect/>
                    </a:stretch>
                  </pic:blipFill>
                  <pic:spPr>
                    <a:xfrm>
                      <a:off x="0" y="0"/>
                      <a:ext cx="4204970" cy="2447925"/>
                    </a:xfrm>
                    <a:prstGeom prst="rect">
                      <a:avLst/>
                    </a:prstGeom>
                  </pic:spPr>
                </pic:pic>
              </a:graphicData>
            </a:graphic>
          </wp:inline>
        </w:drawing>
      </w:r>
    </w:p>
    <w:p>
      <w:pPr>
        <w:spacing w:line="600" w:lineRule="exact"/>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（图5：一般公共预算财政拨款支出决算变动情况）</w:t>
      </w:r>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rPr>
      </w:pPr>
      <w:bookmarkStart w:id="35" w:name="_Toc15377211"/>
      <w:r>
        <w:rPr>
          <w:rFonts w:hint="eastAsia" w:ascii="方正楷体_GBK" w:hAnsi="方正楷体_GBK" w:eastAsia="方正楷体_GBK" w:cs="方正楷体_GBK"/>
          <w:bCs/>
          <w:color w:val="auto"/>
          <w:sz w:val="32"/>
          <w:szCs w:val="32"/>
          <w:highlight w:val="none"/>
        </w:rPr>
        <w:t>（二）一般公共预算财政拨款支出决算结构情况</w:t>
      </w:r>
      <w:bookmarkEnd w:id="35"/>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kern w:val="0"/>
          <w:sz w:val="32"/>
          <w:szCs w:val="32"/>
          <w:lang w:val="en-US" w:eastAsia="zh-CN"/>
        </w:rPr>
        <w:t>1470.73</w:t>
      </w:r>
      <w:r>
        <w:rPr>
          <w:rFonts w:hint="eastAsia" w:ascii="仿宋_GB2312" w:hAnsi="仿宋_GB2312" w:eastAsia="仿宋_GB2312" w:cs="仿宋_GB2312"/>
          <w:b w:val="0"/>
          <w:bCs w:val="0"/>
          <w:color w:val="auto"/>
          <w:sz w:val="32"/>
          <w:szCs w:val="32"/>
          <w:highlight w:val="none"/>
        </w:rPr>
        <w:t>万元，主要用于以下方面:一般公共服务（类）支出1193.41万元，占</w:t>
      </w:r>
      <w:r>
        <w:rPr>
          <w:rFonts w:hint="eastAsia" w:ascii="仿宋_GB2312" w:hAnsi="仿宋_GB2312" w:eastAsia="仿宋_GB2312" w:cs="仿宋_GB2312"/>
          <w:b w:val="0"/>
          <w:bCs w:val="0"/>
          <w:color w:val="auto"/>
          <w:sz w:val="32"/>
          <w:szCs w:val="32"/>
          <w:highlight w:val="none"/>
          <w:lang w:val="en-US" w:eastAsia="zh-CN"/>
        </w:rPr>
        <w:t>81</w:t>
      </w:r>
      <w:r>
        <w:rPr>
          <w:rFonts w:hint="eastAsia" w:ascii="仿宋_GB2312" w:hAnsi="仿宋_GB2312" w:eastAsia="仿宋_GB2312" w:cs="仿宋_GB2312"/>
          <w:b w:val="0"/>
          <w:bCs w:val="0"/>
          <w:color w:val="auto"/>
          <w:sz w:val="32"/>
          <w:szCs w:val="32"/>
          <w:highlight w:val="none"/>
        </w:rPr>
        <w:t>%；社会保障和就业（类）支出171.7</w:t>
      </w:r>
      <w:r>
        <w:rPr>
          <w:rFonts w:hint="default" w:ascii="仿宋_GB2312" w:hAnsi="仿宋_GB2312" w:eastAsia="仿宋_GB2312" w:cs="仿宋_GB2312"/>
          <w:b w:val="0"/>
          <w:bCs w:val="0"/>
          <w:color w:val="auto"/>
          <w:sz w:val="32"/>
          <w:szCs w:val="32"/>
          <w:highlight w:val="none"/>
          <w:lang w:val="en"/>
        </w:rPr>
        <w:t>6</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%；卫生健康支出35.67万元，占</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%；住房保障支出69.88万元，占</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w:t>
      </w:r>
    </w:p>
    <w:p>
      <w:pPr>
        <w:spacing w:line="240" w:lineRule="auto"/>
        <w:jc w:val="center"/>
        <w:rPr>
          <w:rFonts w:hint="default" w:ascii="仿宋" w:hAnsi="仿宋" w:eastAsia="仿宋"/>
          <w:color w:val="auto"/>
          <w:sz w:val="32"/>
          <w:szCs w:val="32"/>
          <w:highlight w:val="none"/>
          <w:lang w:val="en"/>
        </w:rPr>
      </w:pPr>
      <w:r>
        <w:rPr>
          <w:rFonts w:hint="default" w:ascii="仿宋" w:hAnsi="仿宋" w:eastAsia="仿宋"/>
          <w:color w:val="auto"/>
          <w:sz w:val="32"/>
          <w:szCs w:val="32"/>
          <w:highlight w:val="none"/>
          <w:lang w:val="en"/>
        </w:rPr>
        <w:drawing>
          <wp:inline distT="0" distB="0" distL="114300" distR="114300">
            <wp:extent cx="4553585" cy="2670175"/>
            <wp:effectExtent l="0" t="0" r="18415" b="15875"/>
            <wp:docPr id="8" name="图片 8" descr="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323"/>
                    <pic:cNvPicPr>
                      <a:picLocks noChangeAspect="1"/>
                    </pic:cNvPicPr>
                  </pic:nvPicPr>
                  <pic:blipFill>
                    <a:blip r:embed="rId13"/>
                    <a:stretch>
                      <a:fillRect/>
                    </a:stretch>
                  </pic:blipFill>
                  <pic:spPr>
                    <a:xfrm>
                      <a:off x="0" y="0"/>
                      <a:ext cx="4553585" cy="2670175"/>
                    </a:xfrm>
                    <a:prstGeom prst="rect">
                      <a:avLst/>
                    </a:prstGeom>
                  </pic:spPr>
                </pic:pic>
              </a:graphicData>
            </a:graphic>
          </wp:inline>
        </w:drawing>
      </w:r>
    </w:p>
    <w:p>
      <w:pPr>
        <w:spacing w:line="24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outlineLvl w:val="2"/>
        <w:rPr>
          <w:rFonts w:hint="eastAsia" w:ascii="方正楷体_GBK" w:hAnsi="方正楷体_GBK" w:eastAsia="方正楷体_GBK" w:cs="方正楷体_GBK"/>
          <w:bCs/>
          <w:color w:val="auto"/>
          <w:sz w:val="32"/>
          <w:szCs w:val="32"/>
          <w:highlight w:val="none"/>
        </w:rPr>
      </w:pPr>
      <w:bookmarkStart w:id="36" w:name="_Toc15377212"/>
      <w:r>
        <w:rPr>
          <w:rFonts w:hint="eastAsia" w:ascii="方正楷体_GBK" w:hAnsi="方正楷体_GBK" w:eastAsia="方正楷体_GBK" w:cs="方正楷体_GBK"/>
          <w:bCs/>
          <w:color w:val="auto"/>
          <w:sz w:val="32"/>
          <w:szCs w:val="32"/>
          <w:highlight w:val="none"/>
        </w:rPr>
        <w:t>（三）一般公共预算财政拨款支出决算具体情况</w:t>
      </w:r>
      <w:bookmarkEnd w:id="36"/>
    </w:p>
    <w:p>
      <w:pPr>
        <w:spacing w:line="600" w:lineRule="exact"/>
        <w:ind w:firstLine="640"/>
        <w:rPr>
          <w:rFonts w:hint="eastAsia" w:ascii="仿宋_GB2312" w:hAnsi="仿宋_GB2312" w:eastAsia="仿宋_GB2312" w:cs="仿宋_GB2312"/>
          <w:b w:val="0"/>
          <w:bCs w:val="0"/>
          <w:color w:val="auto"/>
          <w:sz w:val="32"/>
          <w:szCs w:val="32"/>
          <w:highlight w:val="none"/>
        </w:rPr>
      </w:pPr>
      <w:bookmarkStart w:id="37" w:name="_Toc15378460"/>
      <w:bookmarkStart w:id="38" w:name="_Toc15377213"/>
      <w:bookmarkStart w:id="39" w:name="_Toc15377444"/>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般公共预算支出决算数为</w:t>
      </w:r>
      <w:r>
        <w:rPr>
          <w:rFonts w:hint="eastAsia" w:ascii="仿宋_GB2312" w:hAnsi="仿宋_GB2312" w:eastAsia="仿宋_GB2312" w:cs="仿宋_GB2312"/>
          <w:b w:val="0"/>
          <w:bCs w:val="0"/>
          <w:color w:val="auto"/>
          <w:sz w:val="32"/>
          <w:szCs w:val="32"/>
          <w:highlight w:val="none"/>
          <w:lang w:val="en-US" w:eastAsia="zh-CN"/>
        </w:rPr>
        <w:t>1470.73</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93</w:t>
      </w:r>
      <w:r>
        <w:rPr>
          <w:rFonts w:hint="eastAsia" w:ascii="仿宋_GB2312" w:hAnsi="仿宋_GB2312" w:eastAsia="仿宋_GB2312" w:cs="仿宋_GB2312"/>
          <w:b w:val="0"/>
          <w:bCs w:val="0"/>
          <w:color w:val="auto"/>
          <w:sz w:val="32"/>
          <w:szCs w:val="32"/>
          <w:highlight w:val="none"/>
        </w:rPr>
        <w:t>%。其中：</w:t>
      </w:r>
      <w:bookmarkEnd w:id="37"/>
      <w:bookmarkEnd w:id="38"/>
      <w:bookmarkEnd w:id="39"/>
    </w:p>
    <w:p>
      <w:pPr>
        <w:numPr>
          <w:ilvl w:val="0"/>
          <w:numId w:val="0"/>
        </w:numPr>
        <w:spacing w:line="600" w:lineRule="exact"/>
        <w:ind w:firstLine="643" w:firstLineChars="200"/>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bCs/>
          <w:color w:val="auto"/>
          <w:sz w:val="32"/>
          <w:szCs w:val="32"/>
          <w:highlight w:val="none"/>
          <w:lang w:val="en"/>
        </w:rPr>
        <w:t>1.</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val="en-US" w:eastAsia="zh-CN"/>
        </w:rPr>
        <w:t>201</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民主党派及工商联事务</w:t>
      </w:r>
      <w:r>
        <w:rPr>
          <w:rFonts w:hint="eastAsia" w:ascii="仿宋_GB2312" w:hAnsi="仿宋_GB2312" w:eastAsia="仿宋_GB2312" w:cs="仿宋_GB2312"/>
          <w:b/>
          <w:bCs/>
          <w:color w:val="auto"/>
          <w:sz w:val="32"/>
          <w:szCs w:val="32"/>
          <w:highlight w:val="none"/>
          <w:lang w:val="en-US" w:eastAsia="zh-CN"/>
        </w:rPr>
        <w:t>28</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行政运行</w:t>
      </w:r>
      <w:r>
        <w:rPr>
          <w:rFonts w:hint="eastAsia" w:ascii="仿宋_GB2312" w:hAnsi="仿宋_GB2312" w:eastAsia="仿宋_GB2312" w:cs="仿宋_GB2312"/>
          <w:b/>
          <w:bCs/>
          <w:color w:val="auto"/>
          <w:sz w:val="32"/>
          <w:szCs w:val="32"/>
          <w:highlight w:val="none"/>
          <w:lang w:val="en-US" w:eastAsia="zh-CN"/>
        </w:rPr>
        <w:t>01</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 xml:space="preserve"> 支出决算为</w:t>
      </w:r>
      <w:r>
        <w:rPr>
          <w:rFonts w:hint="eastAsia" w:ascii="仿宋_GB2312" w:hAnsi="仿宋_GB2312" w:eastAsia="仿宋_GB2312" w:cs="仿宋_GB2312"/>
          <w:b w:val="0"/>
          <w:bCs w:val="0"/>
          <w:color w:val="auto"/>
          <w:sz w:val="32"/>
          <w:szCs w:val="32"/>
          <w:highlight w:val="none"/>
          <w:lang w:val="en-US" w:eastAsia="zh-CN"/>
        </w:rPr>
        <w:t>220.8</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96.68</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决算数小于预算数的主要原因是进一步落实好市委关于过紧日子十三条措施，同时加强经费审核管理</w:t>
      </w:r>
      <w:r>
        <w:rPr>
          <w:rFonts w:hint="eastAsia" w:ascii="仿宋_GB2312" w:hAnsi="仿宋_GB2312" w:eastAsia="仿宋_GB2312" w:cs="仿宋_GB2312"/>
          <w:b w:val="0"/>
          <w:bCs w:val="0"/>
          <w:color w:val="auto"/>
          <w:sz w:val="32"/>
          <w:szCs w:val="32"/>
          <w:highlight w:val="none"/>
        </w:rPr>
        <w:t>。</w:t>
      </w:r>
    </w:p>
    <w:p>
      <w:pPr>
        <w:numPr>
          <w:ilvl w:val="0"/>
          <w:numId w:val="0"/>
        </w:numPr>
        <w:spacing w:line="600" w:lineRule="exact"/>
        <w:ind w:firstLine="643"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2.一般公共服务</w:t>
      </w:r>
      <w:r>
        <w:rPr>
          <w:rFonts w:hint="eastAsia" w:ascii="仿宋_GB2312" w:hAnsi="仿宋_GB2312" w:eastAsia="仿宋_GB2312" w:cs="仿宋_GB2312"/>
          <w:b/>
          <w:bCs/>
          <w:color w:val="auto"/>
          <w:sz w:val="32"/>
          <w:szCs w:val="32"/>
          <w:highlight w:val="none"/>
          <w:lang w:val="en-US" w:eastAsia="zh-CN"/>
        </w:rPr>
        <w:t>201</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民主党派及工商联事务</w:t>
      </w:r>
      <w:r>
        <w:rPr>
          <w:rFonts w:hint="eastAsia" w:ascii="仿宋_GB2312" w:hAnsi="仿宋_GB2312" w:eastAsia="仿宋_GB2312" w:cs="仿宋_GB2312"/>
          <w:b/>
          <w:bCs/>
          <w:color w:val="auto"/>
          <w:sz w:val="32"/>
          <w:szCs w:val="32"/>
          <w:highlight w:val="none"/>
          <w:lang w:val="en-US" w:eastAsia="zh-CN"/>
        </w:rPr>
        <w:t>28</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一般行政管理事务</w:t>
      </w:r>
      <w:r>
        <w:rPr>
          <w:rFonts w:hint="eastAsia" w:ascii="仿宋_GB2312" w:hAnsi="仿宋_GB2312" w:eastAsia="仿宋_GB2312" w:cs="仿宋_GB2312"/>
          <w:b/>
          <w:bCs/>
          <w:color w:val="auto"/>
          <w:sz w:val="32"/>
          <w:szCs w:val="32"/>
          <w:highlight w:val="none"/>
          <w:lang w:val="en-US" w:eastAsia="zh-CN"/>
        </w:rPr>
        <w:t>02</w:t>
      </w:r>
      <w:r>
        <w:rPr>
          <w:rFonts w:hint="eastAsia" w:ascii="仿宋_GB2312" w:hAnsi="仿宋_GB2312" w:eastAsia="仿宋_GB2312" w:cs="仿宋_GB2312"/>
          <w:b/>
          <w:bCs/>
          <w:color w:val="auto"/>
          <w:sz w:val="32"/>
          <w:szCs w:val="32"/>
          <w:highlight w:val="none"/>
        </w:rPr>
        <w:t xml:space="preserve">（项）: </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142.11</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99.4</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3.一般公共服务</w:t>
      </w:r>
      <w:r>
        <w:rPr>
          <w:rFonts w:hint="eastAsia" w:ascii="仿宋_GB2312" w:hAnsi="仿宋_GB2312" w:eastAsia="仿宋_GB2312" w:cs="仿宋_GB2312"/>
          <w:b/>
          <w:bCs/>
          <w:color w:val="auto"/>
          <w:sz w:val="32"/>
          <w:szCs w:val="32"/>
          <w:highlight w:val="none"/>
          <w:lang w:val="en-US" w:eastAsia="zh-CN"/>
        </w:rPr>
        <w:t>201</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统战事务</w:t>
      </w:r>
      <w:r>
        <w:rPr>
          <w:rFonts w:hint="eastAsia" w:ascii="仿宋_GB2312" w:hAnsi="仿宋_GB2312" w:eastAsia="仿宋_GB2312" w:cs="仿宋_GB2312"/>
          <w:b/>
          <w:bCs/>
          <w:color w:val="auto"/>
          <w:sz w:val="32"/>
          <w:szCs w:val="32"/>
          <w:highlight w:val="none"/>
          <w:lang w:val="en-US" w:eastAsia="zh-CN"/>
        </w:rPr>
        <w:t>34</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行政运行</w:t>
      </w:r>
      <w:r>
        <w:rPr>
          <w:rFonts w:hint="eastAsia" w:ascii="仿宋_GB2312" w:hAnsi="仿宋_GB2312" w:eastAsia="仿宋_GB2312" w:cs="仿宋_GB2312"/>
          <w:b/>
          <w:bCs/>
          <w:color w:val="auto"/>
          <w:sz w:val="32"/>
          <w:szCs w:val="32"/>
          <w:highlight w:val="none"/>
          <w:lang w:val="en-US" w:eastAsia="zh-CN"/>
        </w:rPr>
        <w:t>01</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 xml:space="preserve"> 支出决算为</w:t>
      </w:r>
      <w:r>
        <w:rPr>
          <w:rFonts w:hint="eastAsia" w:ascii="仿宋_GB2312" w:hAnsi="仿宋_GB2312" w:eastAsia="仿宋_GB2312" w:cs="仿宋_GB2312"/>
          <w:b w:val="0"/>
          <w:bCs w:val="0"/>
          <w:color w:val="auto"/>
          <w:sz w:val="32"/>
          <w:szCs w:val="32"/>
          <w:highlight w:val="none"/>
          <w:lang w:val="en-US" w:eastAsia="zh-CN"/>
        </w:rPr>
        <w:t>529.44</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97.5</w:t>
      </w:r>
      <w:r>
        <w:rPr>
          <w:rFonts w:hint="eastAsia" w:ascii="仿宋_GB2312" w:hAnsi="仿宋_GB2312" w:eastAsia="仿宋_GB2312" w:cs="仿宋_GB2312"/>
          <w:b w:val="0"/>
          <w:bCs w:val="0"/>
          <w:color w:val="auto"/>
          <w:sz w:val="32"/>
          <w:szCs w:val="32"/>
          <w:highlight w:val="none"/>
        </w:rPr>
        <w:t>%，决算数小于预算数的主要原因是</w:t>
      </w:r>
      <w:r>
        <w:rPr>
          <w:rFonts w:hint="eastAsia" w:ascii="仿宋_GB2312" w:hAnsi="仿宋_GB2312" w:eastAsia="仿宋_GB2312" w:cs="仿宋_GB2312"/>
          <w:b w:val="0"/>
          <w:bCs w:val="0"/>
          <w:color w:val="auto"/>
          <w:sz w:val="32"/>
          <w:szCs w:val="32"/>
          <w:highlight w:val="none"/>
          <w:lang w:eastAsia="zh-CN"/>
        </w:rPr>
        <w:t>进一步落实好市委关于过紧日子十三条措施，同时加强经费审核管理</w:t>
      </w:r>
      <w:r>
        <w:rPr>
          <w:rFonts w:hint="eastAsia" w:ascii="仿宋_GB2312" w:hAnsi="仿宋_GB2312" w:eastAsia="仿宋_GB2312" w:cs="仿宋_GB2312"/>
          <w:b w:val="0"/>
          <w:bCs w:val="0"/>
          <w:color w:val="auto"/>
          <w:sz w:val="32"/>
          <w:szCs w:val="32"/>
          <w:highlight w:val="none"/>
        </w:rPr>
        <w:t>。</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4.一般公共服务</w:t>
      </w:r>
      <w:r>
        <w:rPr>
          <w:rFonts w:hint="eastAsia" w:ascii="仿宋_GB2312" w:hAnsi="仿宋_GB2312" w:eastAsia="仿宋_GB2312" w:cs="仿宋_GB2312"/>
          <w:b/>
          <w:bCs/>
          <w:color w:val="auto"/>
          <w:sz w:val="32"/>
          <w:szCs w:val="32"/>
          <w:highlight w:val="none"/>
          <w:lang w:val="en-US" w:eastAsia="zh-CN"/>
        </w:rPr>
        <w:t>201</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统战事务</w:t>
      </w:r>
      <w:r>
        <w:rPr>
          <w:rFonts w:hint="eastAsia" w:ascii="仿宋_GB2312" w:hAnsi="仿宋_GB2312" w:eastAsia="仿宋_GB2312" w:cs="仿宋_GB2312"/>
          <w:b/>
          <w:bCs/>
          <w:color w:val="auto"/>
          <w:sz w:val="32"/>
          <w:szCs w:val="32"/>
          <w:highlight w:val="none"/>
          <w:lang w:val="en-US" w:eastAsia="zh-CN"/>
        </w:rPr>
        <w:t>34</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一般行政管理事务</w:t>
      </w:r>
      <w:r>
        <w:rPr>
          <w:rFonts w:hint="eastAsia" w:ascii="仿宋_GB2312" w:hAnsi="仿宋_GB2312" w:eastAsia="仿宋_GB2312" w:cs="仿宋_GB2312"/>
          <w:b/>
          <w:bCs/>
          <w:color w:val="auto"/>
          <w:sz w:val="32"/>
          <w:szCs w:val="32"/>
          <w:highlight w:val="none"/>
          <w:lang w:val="en-US" w:eastAsia="zh-CN"/>
        </w:rPr>
        <w:t>02</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 xml:space="preserve"> 支出决算为</w:t>
      </w:r>
      <w:r>
        <w:rPr>
          <w:rFonts w:hint="eastAsia" w:ascii="仿宋_GB2312" w:hAnsi="仿宋_GB2312" w:eastAsia="仿宋_GB2312" w:cs="仿宋_GB2312"/>
          <w:b w:val="0"/>
          <w:bCs w:val="0"/>
          <w:color w:val="auto"/>
          <w:sz w:val="32"/>
          <w:szCs w:val="32"/>
          <w:highlight w:val="none"/>
          <w:lang w:val="en-US" w:eastAsia="zh-CN"/>
        </w:rPr>
        <w:t>203.37</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55</w:t>
      </w:r>
      <w:r>
        <w:rPr>
          <w:rFonts w:hint="eastAsia" w:ascii="仿宋_GB2312" w:hAnsi="仿宋_GB2312" w:eastAsia="仿宋_GB2312" w:cs="仿宋_GB2312"/>
          <w:b w:val="0"/>
          <w:bCs w:val="0"/>
          <w:color w:val="auto"/>
          <w:sz w:val="32"/>
          <w:szCs w:val="32"/>
          <w:highlight w:val="none"/>
        </w:rPr>
        <w:t>%，决算数小于预算数的主要原因是</w:t>
      </w:r>
      <w:r>
        <w:rPr>
          <w:rFonts w:hint="eastAsia" w:ascii="仿宋_GB2312" w:hAnsi="仿宋_GB2312" w:eastAsia="仿宋_GB2312" w:cs="仿宋_GB2312"/>
          <w:b w:val="0"/>
          <w:bCs w:val="0"/>
          <w:color w:val="auto"/>
          <w:sz w:val="32"/>
          <w:szCs w:val="32"/>
          <w:highlight w:val="none"/>
          <w:lang w:eastAsia="zh-CN"/>
        </w:rPr>
        <w:t>受新冠疫情的影响部分工作不能如期开展，另是进一步落实好市委关于过紧日子十三条措施</w:t>
      </w:r>
      <w:r>
        <w:rPr>
          <w:rFonts w:hint="eastAsia" w:ascii="仿宋_GB2312" w:hAnsi="仿宋_GB2312" w:eastAsia="仿宋_GB2312" w:cs="仿宋_GB2312"/>
          <w:b w:val="0"/>
          <w:bCs w:val="0"/>
          <w:color w:val="auto"/>
          <w:sz w:val="32"/>
          <w:szCs w:val="32"/>
          <w:highlight w:val="none"/>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val="en-US" w:eastAsia="zh-CN"/>
        </w:rPr>
        <w:t>201</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统战事务</w:t>
      </w:r>
      <w:r>
        <w:rPr>
          <w:rFonts w:hint="eastAsia" w:ascii="仿宋_GB2312" w:hAnsi="仿宋_GB2312" w:eastAsia="仿宋_GB2312" w:cs="仿宋_GB2312"/>
          <w:b/>
          <w:bCs/>
          <w:color w:val="auto"/>
          <w:sz w:val="32"/>
          <w:szCs w:val="32"/>
          <w:highlight w:val="none"/>
          <w:lang w:val="en-US" w:eastAsia="zh-CN"/>
        </w:rPr>
        <w:t>34</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事业运行</w:t>
      </w:r>
      <w:r>
        <w:rPr>
          <w:rFonts w:hint="eastAsia" w:ascii="仿宋_GB2312" w:hAnsi="仿宋_GB2312" w:eastAsia="仿宋_GB2312" w:cs="仿宋_GB2312"/>
          <w:b/>
          <w:bCs/>
          <w:color w:val="auto"/>
          <w:sz w:val="32"/>
          <w:szCs w:val="32"/>
          <w:highlight w:val="none"/>
          <w:lang w:val="en-US" w:eastAsia="zh-CN"/>
        </w:rPr>
        <w:t>03</w:t>
      </w:r>
      <w:r>
        <w:rPr>
          <w:rFonts w:hint="eastAsia" w:ascii="仿宋_GB2312" w:hAnsi="仿宋_GB2312" w:eastAsia="仿宋_GB2312" w:cs="仿宋_GB2312"/>
          <w:b/>
          <w:bCs/>
          <w:color w:val="auto"/>
          <w:sz w:val="32"/>
          <w:szCs w:val="32"/>
          <w:highlight w:val="none"/>
        </w:rPr>
        <w:t xml:space="preserve">（项）: </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97.69</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.社会保障和就业</w:t>
      </w:r>
      <w:r>
        <w:rPr>
          <w:rFonts w:hint="eastAsia" w:ascii="仿宋_GB2312" w:hAnsi="仿宋_GB2312" w:eastAsia="仿宋_GB2312" w:cs="仿宋_GB2312"/>
          <w:b/>
          <w:bCs/>
          <w:color w:val="auto"/>
          <w:sz w:val="32"/>
          <w:szCs w:val="32"/>
          <w:highlight w:val="none"/>
          <w:lang w:val="en-US" w:eastAsia="zh-CN"/>
        </w:rPr>
        <w:t>208</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lang w:val="en-US" w:eastAsia="zh-CN"/>
        </w:rPr>
        <w:t>05</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行政单位离退休</w:t>
      </w:r>
      <w:r>
        <w:rPr>
          <w:rFonts w:hint="eastAsia" w:ascii="仿宋_GB2312" w:hAnsi="仿宋_GB2312" w:eastAsia="仿宋_GB2312" w:cs="仿宋_GB2312"/>
          <w:b/>
          <w:bCs/>
          <w:color w:val="auto"/>
          <w:sz w:val="32"/>
          <w:szCs w:val="32"/>
          <w:highlight w:val="none"/>
          <w:lang w:val="en-US" w:eastAsia="zh-CN"/>
        </w:rPr>
        <w:t>01</w:t>
      </w:r>
      <w:r>
        <w:rPr>
          <w:rFonts w:hint="eastAsia" w:ascii="仿宋_GB2312" w:hAnsi="仿宋_GB2312" w:eastAsia="仿宋_GB2312" w:cs="仿宋_GB2312"/>
          <w:b/>
          <w:bCs/>
          <w:color w:val="auto"/>
          <w:sz w:val="32"/>
          <w:szCs w:val="32"/>
          <w:highlight w:val="none"/>
        </w:rPr>
        <w:t xml:space="preserve">（项）: </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13.87</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.社会保障和就业</w:t>
      </w:r>
      <w:r>
        <w:rPr>
          <w:rFonts w:hint="eastAsia" w:ascii="仿宋_GB2312" w:hAnsi="仿宋_GB2312" w:eastAsia="仿宋_GB2312" w:cs="仿宋_GB2312"/>
          <w:b/>
          <w:bCs/>
          <w:color w:val="auto"/>
          <w:sz w:val="32"/>
          <w:szCs w:val="32"/>
          <w:highlight w:val="none"/>
          <w:lang w:val="en-US" w:eastAsia="zh-CN"/>
        </w:rPr>
        <w:t>208</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lang w:val="en-US" w:eastAsia="zh-CN"/>
        </w:rPr>
        <w:t>05</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机关事业单位养老保险缴费支出</w:t>
      </w:r>
      <w:r>
        <w:rPr>
          <w:rFonts w:hint="eastAsia" w:ascii="仿宋_GB2312" w:hAnsi="仿宋_GB2312" w:eastAsia="仿宋_GB2312" w:cs="仿宋_GB2312"/>
          <w:b/>
          <w:bCs/>
          <w:color w:val="auto"/>
          <w:sz w:val="32"/>
          <w:szCs w:val="32"/>
          <w:highlight w:val="none"/>
          <w:lang w:val="en-US" w:eastAsia="zh-CN"/>
        </w:rPr>
        <w:t>02</w:t>
      </w:r>
      <w:r>
        <w:rPr>
          <w:rFonts w:hint="eastAsia" w:ascii="仿宋_GB2312" w:hAnsi="仿宋_GB2312" w:eastAsia="仿宋_GB2312" w:cs="仿宋_GB2312"/>
          <w:b/>
          <w:bCs/>
          <w:color w:val="auto"/>
          <w:sz w:val="32"/>
          <w:szCs w:val="32"/>
          <w:highlight w:val="none"/>
        </w:rPr>
        <w:t xml:space="preserve">（项）: </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65.16</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.社会保障和就业</w:t>
      </w:r>
      <w:r>
        <w:rPr>
          <w:rFonts w:hint="eastAsia" w:ascii="仿宋_GB2312" w:hAnsi="仿宋_GB2312" w:eastAsia="仿宋_GB2312" w:cs="仿宋_GB2312"/>
          <w:b/>
          <w:bCs/>
          <w:color w:val="auto"/>
          <w:sz w:val="32"/>
          <w:szCs w:val="32"/>
          <w:highlight w:val="none"/>
          <w:lang w:val="en-US" w:eastAsia="zh-CN"/>
        </w:rPr>
        <w:t>208</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lang w:val="en-US" w:eastAsia="zh-CN"/>
        </w:rPr>
        <w:t>05</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机关事业单位职业年金缴费支出</w:t>
      </w:r>
      <w:r>
        <w:rPr>
          <w:rFonts w:hint="eastAsia" w:ascii="仿宋_GB2312" w:hAnsi="仿宋_GB2312" w:eastAsia="仿宋_GB2312" w:cs="仿宋_GB2312"/>
          <w:b/>
          <w:bCs/>
          <w:color w:val="auto"/>
          <w:sz w:val="32"/>
          <w:szCs w:val="32"/>
          <w:highlight w:val="none"/>
          <w:lang w:val="en-US" w:eastAsia="zh-CN"/>
        </w:rPr>
        <w:t>03</w:t>
      </w:r>
      <w:r>
        <w:rPr>
          <w:rFonts w:hint="eastAsia" w:ascii="仿宋_GB2312" w:hAnsi="仿宋_GB2312" w:eastAsia="仿宋_GB2312" w:cs="仿宋_GB2312"/>
          <w:b/>
          <w:bCs/>
          <w:color w:val="auto"/>
          <w:sz w:val="32"/>
          <w:szCs w:val="32"/>
          <w:highlight w:val="none"/>
        </w:rPr>
        <w:t xml:space="preserve">（项）: </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27.3</w:t>
      </w:r>
      <w:r>
        <w:rPr>
          <w:rFonts w:hint="default" w:ascii="仿宋_GB2312" w:hAnsi="仿宋_GB2312" w:eastAsia="仿宋_GB2312" w:cs="仿宋_GB2312"/>
          <w:b w:val="0"/>
          <w:bCs w:val="0"/>
          <w:color w:val="auto"/>
          <w:sz w:val="32"/>
          <w:szCs w:val="32"/>
          <w:highlight w:val="none"/>
          <w:lang w:val="en" w:eastAsia="zh-CN"/>
        </w:rPr>
        <w:t>4</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.社会保障和就业</w:t>
      </w:r>
      <w:r>
        <w:rPr>
          <w:rFonts w:hint="eastAsia" w:ascii="仿宋_GB2312" w:hAnsi="仿宋_GB2312" w:eastAsia="仿宋_GB2312" w:cs="仿宋_GB2312"/>
          <w:b/>
          <w:bCs/>
          <w:color w:val="auto"/>
          <w:sz w:val="32"/>
          <w:szCs w:val="32"/>
          <w:highlight w:val="none"/>
          <w:lang w:val="en-US" w:eastAsia="zh-CN"/>
        </w:rPr>
        <w:t>208</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抚恤</w:t>
      </w:r>
      <w:r>
        <w:rPr>
          <w:rFonts w:hint="eastAsia" w:ascii="仿宋_GB2312" w:hAnsi="仿宋_GB2312" w:eastAsia="仿宋_GB2312" w:cs="仿宋_GB2312"/>
          <w:b/>
          <w:bCs/>
          <w:color w:val="auto"/>
          <w:sz w:val="32"/>
          <w:szCs w:val="32"/>
          <w:highlight w:val="none"/>
          <w:lang w:val="en-US" w:eastAsia="zh-CN"/>
        </w:rPr>
        <w:t>08</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死亡抚恤</w:t>
      </w:r>
      <w:r>
        <w:rPr>
          <w:rFonts w:hint="eastAsia" w:ascii="仿宋_GB2312" w:hAnsi="仿宋_GB2312" w:eastAsia="仿宋_GB2312" w:cs="仿宋_GB2312"/>
          <w:b/>
          <w:bCs/>
          <w:color w:val="auto"/>
          <w:sz w:val="32"/>
          <w:szCs w:val="32"/>
          <w:highlight w:val="none"/>
          <w:lang w:val="en-US" w:eastAsia="zh-CN"/>
        </w:rPr>
        <w:t>01</w:t>
      </w:r>
      <w:r>
        <w:rPr>
          <w:rFonts w:hint="eastAsia" w:ascii="仿宋_GB2312" w:hAnsi="仿宋_GB2312" w:eastAsia="仿宋_GB2312" w:cs="仿宋_GB2312"/>
          <w:b/>
          <w:bCs/>
          <w:color w:val="auto"/>
          <w:sz w:val="32"/>
          <w:szCs w:val="32"/>
          <w:highlight w:val="none"/>
        </w:rPr>
        <w:t xml:space="preserve">（项）: </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43.92</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.社会保障和就业</w:t>
      </w:r>
      <w:r>
        <w:rPr>
          <w:rFonts w:hint="eastAsia" w:ascii="仿宋_GB2312" w:hAnsi="仿宋_GB2312" w:eastAsia="仿宋_GB2312" w:cs="仿宋_GB2312"/>
          <w:b/>
          <w:bCs/>
          <w:color w:val="auto"/>
          <w:sz w:val="32"/>
          <w:szCs w:val="32"/>
          <w:highlight w:val="none"/>
          <w:lang w:val="en-US" w:eastAsia="zh-CN"/>
        </w:rPr>
        <w:t>208</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其他社会保障和就业支出</w:t>
      </w:r>
      <w:r>
        <w:rPr>
          <w:rFonts w:hint="eastAsia" w:ascii="仿宋_GB2312" w:hAnsi="仿宋_GB2312" w:eastAsia="仿宋_GB2312" w:cs="仿宋_GB2312"/>
          <w:b/>
          <w:bCs/>
          <w:color w:val="auto"/>
          <w:sz w:val="32"/>
          <w:szCs w:val="32"/>
          <w:highlight w:val="none"/>
          <w:lang w:val="en-US" w:eastAsia="zh-CN"/>
        </w:rPr>
        <w:t>99</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其他社会保障和就业支出</w:t>
      </w:r>
      <w:r>
        <w:rPr>
          <w:rFonts w:hint="eastAsia" w:ascii="仿宋_GB2312" w:hAnsi="仿宋_GB2312" w:eastAsia="仿宋_GB2312" w:cs="仿宋_GB2312"/>
          <w:b/>
          <w:bCs/>
          <w:color w:val="auto"/>
          <w:sz w:val="32"/>
          <w:szCs w:val="32"/>
          <w:highlight w:val="none"/>
          <w:lang w:val="en-US" w:eastAsia="zh-CN"/>
        </w:rPr>
        <w:t>99</w:t>
      </w:r>
      <w:r>
        <w:rPr>
          <w:rFonts w:hint="eastAsia" w:ascii="仿宋_GB2312" w:hAnsi="仿宋_GB2312" w:eastAsia="仿宋_GB2312" w:cs="仿宋_GB2312"/>
          <w:b/>
          <w:bCs/>
          <w:color w:val="auto"/>
          <w:sz w:val="32"/>
          <w:szCs w:val="32"/>
          <w:highlight w:val="none"/>
        </w:rPr>
        <w:t xml:space="preserve">（项）: </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21.47</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bCs/>
          <w:color w:val="auto"/>
          <w:sz w:val="32"/>
          <w:szCs w:val="32"/>
          <w:highlight w:val="none"/>
          <w:lang w:val="en-US" w:eastAsia="zh-CN"/>
        </w:rPr>
        <w:t>210</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行政单位医疗</w:t>
      </w:r>
      <w:r>
        <w:rPr>
          <w:rFonts w:hint="eastAsia" w:ascii="仿宋_GB2312" w:hAnsi="仿宋_GB2312" w:eastAsia="仿宋_GB2312" w:cs="仿宋_GB2312"/>
          <w:b/>
          <w:bCs/>
          <w:color w:val="auto"/>
          <w:sz w:val="32"/>
          <w:szCs w:val="32"/>
          <w:highlight w:val="none"/>
          <w:lang w:val="en-US" w:eastAsia="zh-CN"/>
        </w:rPr>
        <w:t>01</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35.67</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住房保障支出</w:t>
      </w:r>
      <w:r>
        <w:rPr>
          <w:rFonts w:hint="eastAsia" w:ascii="仿宋_GB2312" w:hAnsi="仿宋_GB2312" w:eastAsia="仿宋_GB2312" w:cs="仿宋_GB2312"/>
          <w:b/>
          <w:bCs/>
          <w:color w:val="auto"/>
          <w:sz w:val="32"/>
          <w:szCs w:val="32"/>
          <w:highlight w:val="none"/>
          <w:lang w:val="en-US" w:eastAsia="zh-CN"/>
        </w:rPr>
        <w:t>221</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住房改革支出</w:t>
      </w:r>
      <w:r>
        <w:rPr>
          <w:rFonts w:hint="eastAsia" w:ascii="仿宋_GB2312" w:hAnsi="仿宋_GB2312" w:eastAsia="仿宋_GB2312" w:cs="仿宋_GB2312"/>
          <w:b/>
          <w:bCs/>
          <w:color w:val="auto"/>
          <w:sz w:val="32"/>
          <w:szCs w:val="32"/>
          <w:highlight w:val="none"/>
          <w:lang w:val="en-US" w:eastAsia="zh-CN"/>
        </w:rPr>
        <w:t>02</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住房公积金</w:t>
      </w:r>
      <w:r>
        <w:rPr>
          <w:rFonts w:hint="eastAsia" w:ascii="仿宋_GB2312" w:hAnsi="仿宋_GB2312" w:eastAsia="仿宋_GB2312" w:cs="仿宋_GB2312"/>
          <w:b/>
          <w:bCs/>
          <w:color w:val="auto"/>
          <w:sz w:val="32"/>
          <w:szCs w:val="32"/>
          <w:highlight w:val="none"/>
          <w:lang w:val="en-US" w:eastAsia="zh-CN"/>
        </w:rPr>
        <w:t>01</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支出决算为</w:t>
      </w:r>
      <w:r>
        <w:rPr>
          <w:rFonts w:hint="eastAsia" w:ascii="仿宋_GB2312" w:hAnsi="仿宋_GB2312" w:eastAsia="仿宋_GB2312" w:cs="仿宋_GB2312"/>
          <w:b w:val="0"/>
          <w:bCs w:val="0"/>
          <w:color w:val="auto"/>
          <w:sz w:val="32"/>
          <w:szCs w:val="32"/>
          <w:highlight w:val="none"/>
          <w:lang w:val="en-US" w:eastAsia="zh-CN"/>
        </w:rPr>
        <w:t>69.88</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bookmarkStart w:id="40" w:name="_Toc15396608"/>
      <w:bookmarkStart w:id="41" w:name="_Toc15377214"/>
      <w:r>
        <w:rPr>
          <w:rFonts w:hint="eastAsia" w:ascii="仿宋_GB2312" w:hAnsi="仿宋_GB2312" w:eastAsia="仿宋_GB2312" w:cs="仿宋_GB2312"/>
          <w:b w:val="0"/>
          <w:bCs w:val="0"/>
          <w:color w:val="auto"/>
          <w:sz w:val="32"/>
          <w:szCs w:val="32"/>
          <w:highlight w:val="none"/>
          <w:lang w:eastAsia="zh-CN"/>
        </w:rPr>
        <w:t>。</w:t>
      </w:r>
    </w:p>
    <w:p>
      <w:pPr>
        <w:tabs>
          <w:tab w:val="right" w:pos="8306"/>
        </w:tabs>
        <w:spacing w:line="600" w:lineRule="exact"/>
        <w:ind w:firstLine="640"/>
        <w:outlineLvl w:val="1"/>
        <w:rPr>
          <w:rStyle w:val="22"/>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40"/>
      <w:bookmarkEnd w:id="41"/>
      <w:r>
        <w:rPr>
          <w:rStyle w:val="22"/>
          <w:rFonts w:ascii="黑体" w:hAnsi="黑体" w:eastAsia="黑体"/>
          <w:b w:val="0"/>
          <w:color w:val="auto"/>
          <w:highlight w:val="none"/>
        </w:rPr>
        <w:tab/>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年一般公共预算财政拨款基本支出</w:t>
      </w:r>
      <w:r>
        <w:rPr>
          <w:rFonts w:hint="eastAsia" w:ascii="仿宋_GB2312" w:hAnsi="仿宋_GB2312" w:eastAsia="仿宋_GB2312" w:cs="仿宋_GB2312"/>
          <w:b w:val="0"/>
          <w:bCs w:val="0"/>
          <w:color w:val="auto"/>
          <w:sz w:val="32"/>
          <w:szCs w:val="32"/>
          <w:highlight w:val="none"/>
          <w:lang w:val="en-US" w:eastAsia="zh-CN"/>
        </w:rPr>
        <w:t>1125.25</w:t>
      </w:r>
      <w:r>
        <w:rPr>
          <w:rFonts w:hint="eastAsia" w:ascii="仿宋_GB2312" w:hAnsi="仿宋_GB2312" w:eastAsia="仿宋_GB2312" w:cs="仿宋_GB2312"/>
          <w:b w:val="0"/>
          <w:bCs w:val="0"/>
          <w:color w:val="auto"/>
          <w:sz w:val="32"/>
          <w:szCs w:val="32"/>
          <w:highlight w:val="none"/>
        </w:rPr>
        <w:t>万元，其中：</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人员经费</w:t>
      </w:r>
      <w:r>
        <w:rPr>
          <w:rFonts w:hint="eastAsia" w:ascii="仿宋_GB2312" w:hAnsi="仿宋_GB2312" w:eastAsia="仿宋_GB2312" w:cs="仿宋_GB2312"/>
          <w:b w:val="0"/>
          <w:bCs w:val="0"/>
          <w:color w:val="auto"/>
          <w:sz w:val="32"/>
          <w:szCs w:val="32"/>
          <w:highlight w:val="none"/>
          <w:lang w:val="en-US" w:eastAsia="zh-CN"/>
        </w:rPr>
        <w:t>962.7</w:t>
      </w:r>
      <w:r>
        <w:rPr>
          <w:rFonts w:hint="eastAsia" w:ascii="仿宋_GB2312" w:hAnsi="仿宋_GB2312" w:eastAsia="仿宋_GB2312" w:cs="仿宋_GB2312"/>
          <w:b w:val="0"/>
          <w:bCs w:val="0"/>
          <w:color w:val="auto"/>
          <w:sz w:val="32"/>
          <w:szCs w:val="32"/>
          <w:highlight w:val="none"/>
        </w:rPr>
        <w:t>万元，主要包括：基本工资、津贴补贴、奖金、伙食补助费、绩效工资、机关事业单位基本养老保险缴费、职业年金缴费、</w:t>
      </w:r>
      <w:r>
        <w:rPr>
          <w:rFonts w:hint="eastAsia" w:ascii="仿宋_GB2312" w:hAnsi="仿宋_GB2312" w:eastAsia="仿宋_GB2312" w:cs="仿宋_GB2312"/>
          <w:b w:val="0"/>
          <w:bCs w:val="0"/>
          <w:color w:val="auto"/>
          <w:sz w:val="32"/>
          <w:szCs w:val="32"/>
          <w:highlight w:val="none"/>
          <w:lang w:eastAsia="zh-CN"/>
        </w:rPr>
        <w:t>职工基本医疗保险缴费、</w:t>
      </w:r>
      <w:r>
        <w:rPr>
          <w:rFonts w:hint="eastAsia" w:ascii="仿宋_GB2312" w:hAnsi="仿宋_GB2312" w:eastAsia="仿宋_GB2312" w:cs="仿宋_GB2312"/>
          <w:b w:val="0"/>
          <w:bCs w:val="0"/>
          <w:color w:val="auto"/>
          <w:sz w:val="32"/>
          <w:szCs w:val="32"/>
          <w:highlight w:val="none"/>
        </w:rPr>
        <w:t>其他社会保障缴费、离休费、抚恤金、生活补助、奖励金、住房公积金、其他对个人和家庭的补助支出等。</w:t>
      </w:r>
      <w:r>
        <w:rPr>
          <w:rFonts w:hint="eastAsia" w:ascii="仿宋_GB2312" w:hAnsi="仿宋_GB2312" w:eastAsia="仿宋_GB2312" w:cs="仿宋_GB2312"/>
          <w:b w:val="0"/>
          <w:bCs w:val="0"/>
          <w:color w:val="auto"/>
          <w:sz w:val="32"/>
          <w:szCs w:val="32"/>
          <w:highlight w:val="none"/>
        </w:rPr>
        <w:br w:type="textWrapping"/>
      </w:r>
      <w:r>
        <w:rPr>
          <w:rFonts w:hint="eastAsia" w:ascii="仿宋_GB2312" w:hAnsi="仿宋_GB2312" w:eastAsia="仿宋_GB2312" w:cs="仿宋_GB2312"/>
          <w:b w:val="0"/>
          <w:bCs w:val="0"/>
          <w:color w:val="auto"/>
          <w:sz w:val="32"/>
          <w:szCs w:val="32"/>
          <w:highlight w:val="none"/>
        </w:rPr>
        <w:t>　　</w:t>
      </w:r>
      <w:r>
        <w:rPr>
          <w:rFonts w:hint="eastAsia" w:ascii="仿宋_GB2312" w:hAnsi="仿宋_GB2312" w:eastAsia="仿宋_GB2312" w:cs="仿宋_GB2312"/>
          <w:b/>
          <w:bCs/>
          <w:color w:val="auto"/>
          <w:sz w:val="32"/>
          <w:szCs w:val="32"/>
          <w:highlight w:val="none"/>
        </w:rPr>
        <w:t>公用经费</w:t>
      </w:r>
      <w:r>
        <w:rPr>
          <w:rFonts w:hint="eastAsia" w:ascii="仿宋_GB2312" w:hAnsi="仿宋_GB2312" w:eastAsia="仿宋_GB2312" w:cs="仿宋_GB2312"/>
          <w:b w:val="0"/>
          <w:bCs w:val="0"/>
          <w:color w:val="auto"/>
          <w:sz w:val="32"/>
          <w:szCs w:val="32"/>
          <w:highlight w:val="none"/>
          <w:lang w:val="en-US" w:eastAsia="zh-CN"/>
        </w:rPr>
        <w:t>162.54</w:t>
      </w:r>
      <w:r>
        <w:rPr>
          <w:rFonts w:hint="eastAsia" w:ascii="仿宋_GB2312" w:hAnsi="仿宋_GB2312" w:eastAsia="仿宋_GB2312" w:cs="仿宋_GB2312"/>
          <w:b w:val="0"/>
          <w:bCs w:val="0"/>
          <w:color w:val="auto"/>
          <w:sz w:val="32"/>
          <w:szCs w:val="32"/>
          <w:highlight w:val="none"/>
        </w:rPr>
        <w:t>万元，主要包括：办公费、印刷费、咨询费、手续费、水费、电费、邮电费、物业管理费、差旅费、维修（护）费、租赁费、会议费、培训费、公务接待费、劳务费、委托业务费、工会经费、福利费、公务用车运行维护费、其他交通费、其他商品和服务支出。</w:t>
      </w:r>
      <w:bookmarkStart w:id="42" w:name="_Toc15377215"/>
      <w:bookmarkStart w:id="43" w:name="_Toc15396609"/>
    </w:p>
    <w:p>
      <w:pPr>
        <w:spacing w:line="600" w:lineRule="exact"/>
        <w:ind w:firstLine="640"/>
        <w:outlineLvl w:val="1"/>
        <w:rPr>
          <w:rStyle w:val="22"/>
          <w:rFonts w:ascii="黑体" w:hAnsi="黑体" w:eastAsia="黑体"/>
          <w:b w:val="0"/>
          <w:color w:val="auto"/>
          <w:highlight w:val="none"/>
        </w:rPr>
      </w:pPr>
      <w:r>
        <w:rPr>
          <w:rFonts w:hint="eastAsia" w:ascii="黑体" w:eastAsia="黑体"/>
          <w:color w:val="auto"/>
          <w:sz w:val="32"/>
          <w:szCs w:val="32"/>
          <w:highlight w:val="none"/>
        </w:rPr>
        <w:t>七、</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三公”经费财政拨款支出决算情况说明</w:t>
      </w:r>
      <w:bookmarkEnd w:id="42"/>
      <w:bookmarkEnd w:id="43"/>
    </w:p>
    <w:p>
      <w:pPr>
        <w:spacing w:line="600" w:lineRule="exact"/>
        <w:ind w:firstLine="640"/>
        <w:outlineLvl w:val="2"/>
        <w:rPr>
          <w:rFonts w:hint="eastAsia" w:ascii="方正楷体_GBK" w:hAnsi="方正楷体_GBK" w:eastAsia="方正楷体_GBK" w:cs="方正楷体_GBK"/>
          <w:bCs/>
          <w:color w:val="auto"/>
          <w:sz w:val="32"/>
          <w:szCs w:val="32"/>
          <w:highlight w:val="none"/>
        </w:rPr>
      </w:pPr>
      <w:bookmarkStart w:id="44" w:name="_Toc15377216"/>
      <w:r>
        <w:rPr>
          <w:rFonts w:hint="eastAsia" w:ascii="方正楷体_GBK" w:hAnsi="方正楷体_GBK" w:eastAsia="方正楷体_GBK" w:cs="方正楷体_GBK"/>
          <w:bCs/>
          <w:color w:val="auto"/>
          <w:sz w:val="32"/>
          <w:szCs w:val="32"/>
          <w:highlight w:val="none"/>
        </w:rPr>
        <w:t>（一）“三公”经费财政拨款支出决算总体情况说明</w:t>
      </w:r>
      <w:bookmarkEnd w:id="44"/>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年“三公”经费财政拨款支出决算为</w:t>
      </w:r>
      <w:r>
        <w:rPr>
          <w:rFonts w:hint="eastAsia" w:ascii="仿宋_GB2312" w:hAnsi="仿宋_GB2312" w:eastAsia="仿宋_GB2312" w:cs="仿宋_GB2312"/>
          <w:b w:val="0"/>
          <w:bCs w:val="0"/>
          <w:color w:val="auto"/>
          <w:sz w:val="32"/>
          <w:szCs w:val="32"/>
          <w:highlight w:val="none"/>
          <w:lang w:val="en-US" w:eastAsia="zh-CN"/>
        </w:rPr>
        <w:t>14.27</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85</w:t>
      </w:r>
      <w:r>
        <w:rPr>
          <w:rFonts w:hint="eastAsia" w:ascii="仿宋_GB2312" w:hAnsi="仿宋_GB2312" w:eastAsia="仿宋_GB2312" w:cs="仿宋_GB2312"/>
          <w:b w:val="0"/>
          <w:bCs w:val="0"/>
          <w:color w:val="auto"/>
          <w:sz w:val="32"/>
          <w:szCs w:val="32"/>
          <w:highlight w:val="none"/>
        </w:rPr>
        <w:t>%，决算数小于预算数的主要原因是</w:t>
      </w:r>
      <w:r>
        <w:rPr>
          <w:rFonts w:hint="eastAsia" w:ascii="仿宋_GB2312" w:hAnsi="仿宋_GB2312" w:eastAsia="仿宋_GB2312" w:cs="仿宋_GB2312"/>
          <w:b w:val="0"/>
          <w:bCs w:val="0"/>
          <w:color w:val="auto"/>
          <w:sz w:val="32"/>
          <w:szCs w:val="32"/>
          <w:highlight w:val="none"/>
          <w:lang w:eastAsia="zh-CN"/>
        </w:rPr>
        <w:t>受新冠疫情的影响，因公出国出（境）工作未能如期开展，另进一步落实相关文件精神，严格公务接待标准和公务用车运行管理审核</w:t>
      </w:r>
      <w:r>
        <w:rPr>
          <w:rFonts w:hint="eastAsia" w:ascii="仿宋_GB2312" w:hAnsi="仿宋_GB2312" w:eastAsia="仿宋_GB2312" w:cs="仿宋_GB2312"/>
          <w:b w:val="0"/>
          <w:bCs w:val="0"/>
          <w:color w:val="auto"/>
          <w:sz w:val="32"/>
          <w:szCs w:val="32"/>
          <w:highlight w:val="none"/>
        </w:rPr>
        <w:t>。</w:t>
      </w:r>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rPr>
      </w:pPr>
      <w:bookmarkStart w:id="45" w:name="_Toc15377217"/>
      <w:r>
        <w:rPr>
          <w:rFonts w:hint="eastAsia" w:ascii="方正楷体_GBK" w:hAnsi="方正楷体_GBK" w:eastAsia="方正楷体_GBK" w:cs="方正楷体_GBK"/>
          <w:bCs/>
          <w:color w:val="auto"/>
          <w:sz w:val="32"/>
          <w:szCs w:val="32"/>
          <w:highlight w:val="none"/>
        </w:rPr>
        <w:t>（二）“三公”经费财政拨款支出决算具体情况说明</w:t>
      </w:r>
      <w:bookmarkEnd w:id="45"/>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年“三公”经费财政拨款支出决算中，因公出国（境）费支出决算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%；公务用车购置及运行维护费支出决算</w:t>
      </w:r>
      <w:r>
        <w:rPr>
          <w:rFonts w:hint="eastAsia" w:ascii="仿宋_GB2312" w:hAnsi="仿宋_GB2312" w:eastAsia="仿宋_GB2312" w:cs="仿宋_GB2312"/>
          <w:b w:val="0"/>
          <w:bCs w:val="0"/>
          <w:color w:val="auto"/>
          <w:sz w:val="32"/>
          <w:szCs w:val="32"/>
          <w:highlight w:val="none"/>
          <w:lang w:val="en-US" w:eastAsia="zh-CN"/>
        </w:rPr>
        <w:t>3.85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27</w:t>
      </w:r>
      <w:r>
        <w:rPr>
          <w:rFonts w:hint="eastAsia" w:ascii="仿宋_GB2312" w:hAnsi="仿宋_GB2312" w:eastAsia="仿宋_GB2312" w:cs="仿宋_GB2312"/>
          <w:b w:val="0"/>
          <w:bCs w:val="0"/>
          <w:color w:val="auto"/>
          <w:sz w:val="32"/>
          <w:szCs w:val="32"/>
          <w:highlight w:val="none"/>
        </w:rPr>
        <w:t>%；公务接待费支出决算</w:t>
      </w:r>
      <w:r>
        <w:rPr>
          <w:rFonts w:hint="eastAsia" w:ascii="仿宋_GB2312" w:hAnsi="仿宋_GB2312" w:eastAsia="仿宋_GB2312" w:cs="仿宋_GB2312"/>
          <w:b w:val="0"/>
          <w:bCs w:val="0"/>
          <w:color w:val="auto"/>
          <w:sz w:val="32"/>
          <w:szCs w:val="32"/>
          <w:highlight w:val="none"/>
          <w:lang w:val="en-US" w:eastAsia="zh-CN"/>
        </w:rPr>
        <w:t>10.42</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73</w:t>
      </w:r>
      <w:r>
        <w:rPr>
          <w:rFonts w:hint="eastAsia" w:ascii="仿宋_GB2312" w:hAnsi="仿宋_GB2312" w:eastAsia="仿宋_GB2312" w:cs="仿宋_GB2312"/>
          <w:b w:val="0"/>
          <w:bCs w:val="0"/>
          <w:color w:val="auto"/>
          <w:sz w:val="32"/>
          <w:szCs w:val="32"/>
          <w:highlight w:val="none"/>
        </w:rPr>
        <w:t>%。具体情况如下：</w:t>
      </w:r>
    </w:p>
    <w:p>
      <w:pPr>
        <w:pStyle w:val="11"/>
        <w:jc w:val="center"/>
        <w:rPr>
          <w:rFonts w:hint="eastAsia" w:eastAsia="仿宋"/>
          <w:lang w:eastAsia="zh-CN"/>
        </w:rPr>
      </w:pPr>
      <w:r>
        <w:rPr>
          <w:rFonts w:hint="eastAsia" w:eastAsia="仿宋"/>
          <w:lang w:eastAsia="zh-CN"/>
        </w:rPr>
        <w:drawing>
          <wp:inline distT="0" distB="0" distL="114300" distR="114300">
            <wp:extent cx="4905375" cy="2952750"/>
            <wp:effectExtent l="0" t="0" r="9525" b="0"/>
            <wp:docPr id="7" name="图片 7" descr="2746D36B1E62A42D7FBE055C21C337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746D36B1E62A42D7FBE055C21C3374F"/>
                    <pic:cNvPicPr>
                      <a:picLocks noChangeAspect="1"/>
                    </pic:cNvPicPr>
                  </pic:nvPicPr>
                  <pic:blipFill>
                    <a:blip r:embed="rId14"/>
                    <a:stretch>
                      <a:fillRect/>
                    </a:stretch>
                  </pic:blipFill>
                  <pic:spPr>
                    <a:xfrm>
                      <a:off x="0" y="0"/>
                      <a:ext cx="4905375" cy="2952750"/>
                    </a:xfrm>
                    <a:prstGeom prst="rect">
                      <a:avLst/>
                    </a:prstGeom>
                  </pic:spPr>
                </pic:pic>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1.因公出国（境）</w:t>
      </w:r>
      <w:r>
        <w:rPr>
          <w:rFonts w:hint="eastAsia" w:ascii="仿宋_GB2312" w:hAnsi="仿宋_GB2312" w:eastAsia="仿宋_GB2312" w:cs="仿宋_GB2312"/>
          <w:b w:val="0"/>
          <w:bCs w:val="0"/>
          <w:color w:val="auto"/>
          <w:sz w:val="32"/>
          <w:szCs w:val="32"/>
          <w:highlight w:val="none"/>
        </w:rPr>
        <w:t>经费支出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占</w:t>
      </w:r>
      <w:r>
        <w:rPr>
          <w:rFonts w:hint="eastAsia" w:ascii="仿宋_GB2312" w:hAnsi="仿宋_GB2312" w:eastAsia="仿宋_GB2312" w:cs="仿宋_GB2312"/>
          <w:b w:val="0"/>
          <w:bCs w:val="0"/>
          <w:color w:val="auto"/>
          <w:sz w:val="32"/>
          <w:szCs w:val="32"/>
          <w:highlight w:val="none"/>
          <w:lang w:val="en-US" w:eastAsia="zh-CN"/>
        </w:rPr>
        <w:t>0%（预算数2万元）</w:t>
      </w:r>
      <w:r>
        <w:rPr>
          <w:rFonts w:hint="eastAsia" w:ascii="仿宋_GB2312" w:hAnsi="仿宋_GB2312" w:eastAsia="仿宋_GB2312" w:cs="仿宋_GB2312"/>
          <w:b w:val="0"/>
          <w:bCs w:val="0"/>
          <w:color w:val="auto"/>
          <w:sz w:val="32"/>
          <w:szCs w:val="32"/>
          <w:highlight w:val="none"/>
        </w:rPr>
        <w:t>。因公出国（境）支出决算</w:t>
      </w:r>
      <w:r>
        <w:rPr>
          <w:rFonts w:hint="eastAsia" w:ascii="仿宋_GB2312" w:hAnsi="仿宋_GB2312" w:eastAsia="仿宋_GB2312" w:cs="仿宋_GB2312"/>
          <w:b w:val="0"/>
          <w:bCs w:val="0"/>
          <w:color w:val="auto"/>
          <w:sz w:val="32"/>
          <w:szCs w:val="32"/>
          <w:highlight w:val="none"/>
          <w:lang w:eastAsia="zh-CN"/>
        </w:rPr>
        <w:t>较</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无变化</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eastAsia="zh-CN"/>
        </w:rPr>
        <w:t>受新冠疫情影响，因公出国出（境）工作未能如期开展。</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2.公务用车购置及运行维护</w:t>
      </w:r>
      <w:r>
        <w:rPr>
          <w:rFonts w:hint="eastAsia" w:ascii="仿宋_GB2312" w:hAnsi="仿宋_GB2312" w:eastAsia="仿宋_GB2312" w:cs="仿宋_GB2312"/>
          <w:b w:val="0"/>
          <w:bCs w:val="0"/>
          <w:color w:val="auto"/>
          <w:sz w:val="32"/>
          <w:szCs w:val="32"/>
          <w:highlight w:val="none"/>
        </w:rPr>
        <w:t>费支出</w:t>
      </w:r>
      <w:r>
        <w:rPr>
          <w:rFonts w:hint="eastAsia" w:ascii="仿宋_GB2312" w:hAnsi="仿宋_GB2312" w:eastAsia="仿宋_GB2312" w:cs="仿宋_GB2312"/>
          <w:b w:val="0"/>
          <w:bCs w:val="0"/>
          <w:color w:val="auto"/>
          <w:sz w:val="32"/>
          <w:szCs w:val="32"/>
          <w:highlight w:val="none"/>
          <w:lang w:val="en-US" w:eastAsia="zh-CN"/>
        </w:rPr>
        <w:t>3.85</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99</w:t>
      </w:r>
      <w:r>
        <w:rPr>
          <w:rFonts w:hint="eastAsia" w:ascii="仿宋_GB2312" w:hAnsi="仿宋_GB2312" w:eastAsia="仿宋_GB2312" w:cs="仿宋_GB2312"/>
          <w:b w:val="0"/>
          <w:bCs w:val="0"/>
          <w:color w:val="auto"/>
          <w:sz w:val="32"/>
          <w:szCs w:val="32"/>
          <w:highlight w:val="none"/>
        </w:rPr>
        <w:t>%。公务用车购置及运行维护费支出决算比20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年减少</w:t>
      </w:r>
      <w:r>
        <w:rPr>
          <w:rFonts w:hint="eastAsia" w:ascii="仿宋_GB2312" w:hAnsi="仿宋_GB2312" w:eastAsia="仿宋_GB2312" w:cs="仿宋_GB2312"/>
          <w:b w:val="0"/>
          <w:bCs w:val="0"/>
          <w:color w:val="auto"/>
          <w:sz w:val="32"/>
          <w:szCs w:val="32"/>
          <w:highlight w:val="none"/>
          <w:lang w:val="en-US" w:eastAsia="zh-CN"/>
        </w:rPr>
        <w:t>3.33</w:t>
      </w:r>
      <w:r>
        <w:rPr>
          <w:rFonts w:hint="eastAsia" w:ascii="仿宋_GB2312" w:hAnsi="仿宋_GB2312" w:eastAsia="仿宋_GB2312" w:cs="仿宋_GB2312"/>
          <w:b w:val="0"/>
          <w:bCs w:val="0"/>
          <w:color w:val="auto"/>
          <w:sz w:val="32"/>
          <w:szCs w:val="32"/>
          <w:highlight w:val="none"/>
        </w:rPr>
        <w:t>万元，下降</w:t>
      </w:r>
      <w:r>
        <w:rPr>
          <w:rFonts w:hint="eastAsia" w:ascii="仿宋_GB2312" w:hAnsi="仿宋_GB2312" w:eastAsia="仿宋_GB2312" w:cs="仿宋_GB2312"/>
          <w:b w:val="0"/>
          <w:bCs w:val="0"/>
          <w:color w:val="auto"/>
          <w:sz w:val="32"/>
          <w:szCs w:val="32"/>
          <w:highlight w:val="none"/>
          <w:lang w:val="en-US" w:eastAsia="zh-CN"/>
        </w:rPr>
        <w:t>46</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eastAsia="zh-CN"/>
        </w:rPr>
        <w:t>单位现如今只有一辆公务用车，原委托代管公务用车费用不在我部支付</w:t>
      </w:r>
      <w:r>
        <w:rPr>
          <w:rFonts w:hint="eastAsia" w:ascii="仿宋_GB2312" w:hAnsi="仿宋_GB2312" w:eastAsia="仿宋_GB2312" w:cs="仿宋_GB2312"/>
          <w:b w:val="0"/>
          <w:bCs w:val="0"/>
          <w:color w:val="auto"/>
          <w:sz w:val="32"/>
          <w:szCs w:val="32"/>
          <w:highlight w:val="none"/>
        </w:rPr>
        <w:t>。</w:t>
      </w:r>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其中：公务用车购置支出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万元。截至20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年12月底，单位共有公务用车</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辆，其中：越野车</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辆</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公务用车运行维护费支出</w:t>
      </w:r>
      <w:r>
        <w:rPr>
          <w:rFonts w:hint="eastAsia" w:ascii="仿宋_GB2312" w:hAnsi="仿宋_GB2312" w:eastAsia="仿宋_GB2312" w:cs="仿宋_GB2312"/>
          <w:b w:val="0"/>
          <w:bCs w:val="0"/>
          <w:color w:val="auto"/>
          <w:sz w:val="32"/>
          <w:szCs w:val="32"/>
          <w:highlight w:val="none"/>
          <w:lang w:val="en-US" w:eastAsia="zh-CN"/>
        </w:rPr>
        <w:t>3.85</w:t>
      </w:r>
      <w:r>
        <w:rPr>
          <w:rFonts w:hint="eastAsia" w:ascii="仿宋_GB2312" w:hAnsi="仿宋_GB2312" w:eastAsia="仿宋_GB2312" w:cs="仿宋_GB2312"/>
          <w:b w:val="0"/>
          <w:bCs w:val="0"/>
          <w:color w:val="auto"/>
          <w:sz w:val="32"/>
          <w:szCs w:val="32"/>
          <w:highlight w:val="none"/>
        </w:rPr>
        <w:t>万元。主要用于</w:t>
      </w:r>
      <w:r>
        <w:rPr>
          <w:rFonts w:hint="eastAsia" w:ascii="仿宋_GB2312" w:hAnsi="仿宋_GB2312" w:eastAsia="仿宋_GB2312" w:cs="仿宋_GB2312"/>
          <w:b w:val="0"/>
          <w:bCs w:val="0"/>
          <w:color w:val="auto"/>
          <w:sz w:val="32"/>
          <w:szCs w:val="32"/>
          <w:highlight w:val="none"/>
          <w:lang w:eastAsia="zh-CN"/>
        </w:rPr>
        <w:t>外出考察调研、民族宗教应急处突</w:t>
      </w:r>
      <w:r>
        <w:rPr>
          <w:rFonts w:hint="eastAsia" w:ascii="仿宋_GB2312" w:hAnsi="仿宋_GB2312" w:eastAsia="仿宋_GB2312" w:cs="仿宋_GB2312"/>
          <w:b w:val="0"/>
          <w:bCs w:val="0"/>
          <w:color w:val="auto"/>
          <w:sz w:val="32"/>
          <w:szCs w:val="32"/>
          <w:highlight w:val="none"/>
        </w:rPr>
        <w:t>等所需的公务用车燃料费、维修费、过路过桥费、保险费等支出。</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.公务接待</w:t>
      </w:r>
      <w:r>
        <w:rPr>
          <w:rFonts w:hint="eastAsia" w:ascii="仿宋_GB2312" w:hAnsi="仿宋_GB2312" w:eastAsia="仿宋_GB2312" w:cs="仿宋_GB2312"/>
          <w:b w:val="0"/>
          <w:bCs w:val="0"/>
          <w:color w:val="auto"/>
          <w:sz w:val="32"/>
          <w:szCs w:val="32"/>
          <w:highlight w:val="none"/>
        </w:rPr>
        <w:t>费支出</w:t>
      </w:r>
      <w:r>
        <w:rPr>
          <w:rFonts w:hint="eastAsia" w:ascii="仿宋_GB2312" w:hAnsi="仿宋_GB2312" w:eastAsia="仿宋_GB2312" w:cs="仿宋_GB2312"/>
          <w:b w:val="0"/>
          <w:bCs w:val="0"/>
          <w:color w:val="auto"/>
          <w:sz w:val="32"/>
          <w:szCs w:val="32"/>
          <w:highlight w:val="none"/>
          <w:lang w:val="en-US" w:eastAsia="zh-CN"/>
        </w:rPr>
        <w:t>10.42</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96</w:t>
      </w:r>
      <w:r>
        <w:rPr>
          <w:rFonts w:hint="eastAsia" w:ascii="仿宋_GB2312" w:hAnsi="仿宋_GB2312" w:eastAsia="仿宋_GB2312" w:cs="仿宋_GB2312"/>
          <w:b w:val="0"/>
          <w:bCs w:val="0"/>
          <w:color w:val="auto"/>
          <w:sz w:val="32"/>
          <w:szCs w:val="32"/>
          <w:highlight w:val="none"/>
        </w:rPr>
        <w:t>%。公务接待费支出决算比20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年增加</w:t>
      </w:r>
      <w:r>
        <w:rPr>
          <w:rFonts w:hint="eastAsia" w:ascii="仿宋_GB2312" w:hAnsi="仿宋_GB2312" w:eastAsia="仿宋_GB2312" w:cs="仿宋_GB2312"/>
          <w:b w:val="0"/>
          <w:bCs w:val="0"/>
          <w:color w:val="auto"/>
          <w:sz w:val="32"/>
          <w:szCs w:val="32"/>
          <w:highlight w:val="none"/>
          <w:lang w:val="en-US" w:eastAsia="zh-CN"/>
        </w:rPr>
        <w:t>1.71</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19</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val="en-US" w:eastAsia="zh-CN"/>
        </w:rPr>
        <w:t>2021年相关系统组织来广考察调研增多，加之2021年是换届之年，上级领导来广考察干部、指导民主党派换届增多，故接待费用较去年增加</w:t>
      </w:r>
      <w:r>
        <w:rPr>
          <w:rFonts w:hint="eastAsia" w:ascii="仿宋_GB2312" w:hAnsi="仿宋_GB2312" w:eastAsia="仿宋_GB2312" w:cs="仿宋_GB2312"/>
          <w:b w:val="0"/>
          <w:bCs w:val="0"/>
          <w:color w:val="auto"/>
          <w:sz w:val="32"/>
          <w:szCs w:val="32"/>
          <w:highlight w:val="none"/>
        </w:rPr>
        <w:t>。其中：</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国内公务接待</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b w:val="0"/>
          <w:bCs w:val="0"/>
          <w:color w:val="auto"/>
          <w:sz w:val="32"/>
          <w:szCs w:val="32"/>
          <w:highlight w:val="none"/>
          <w:lang w:val="en-US" w:eastAsia="zh-CN"/>
        </w:rPr>
        <w:t>10.42</w:t>
      </w:r>
      <w:r>
        <w:rPr>
          <w:rFonts w:hint="eastAsia" w:ascii="仿宋_GB2312" w:hAnsi="仿宋_GB2312" w:eastAsia="仿宋_GB2312" w:cs="仿宋_GB2312"/>
          <w:b w:val="0"/>
          <w:bCs w:val="0"/>
          <w:color w:val="auto"/>
          <w:sz w:val="32"/>
          <w:szCs w:val="32"/>
          <w:highlight w:val="none"/>
        </w:rPr>
        <w:t>万元，主要用于</w:t>
      </w:r>
      <w:r>
        <w:rPr>
          <w:rFonts w:hint="eastAsia" w:ascii="仿宋_GB2312" w:hAnsi="仿宋_GB2312" w:eastAsia="仿宋_GB2312" w:cs="仿宋_GB2312"/>
          <w:b w:val="0"/>
          <w:bCs w:val="0"/>
          <w:color w:val="auto"/>
          <w:sz w:val="32"/>
          <w:szCs w:val="32"/>
          <w:highlight w:val="none"/>
          <w:lang w:eastAsia="zh-CN"/>
        </w:rPr>
        <w:t>开展公务活动交流</w:t>
      </w:r>
      <w:r>
        <w:rPr>
          <w:rFonts w:hint="eastAsia" w:ascii="仿宋_GB2312" w:hAnsi="仿宋_GB2312" w:eastAsia="仿宋_GB2312" w:cs="仿宋_GB2312"/>
          <w:b w:val="0"/>
          <w:bCs w:val="0"/>
          <w:color w:val="auto"/>
          <w:sz w:val="32"/>
          <w:szCs w:val="32"/>
          <w:highlight w:val="none"/>
        </w:rPr>
        <w:t>(执行公务、开展业务活动开支的交通费、住宿费、用餐费等)。国内公务接待</w:t>
      </w:r>
      <w:r>
        <w:rPr>
          <w:rFonts w:hint="eastAsia" w:ascii="仿宋_GB2312" w:hAnsi="仿宋_GB2312" w:eastAsia="仿宋_GB2312" w:cs="仿宋_GB2312"/>
          <w:b w:val="0"/>
          <w:bCs w:val="0"/>
          <w:color w:val="auto"/>
          <w:sz w:val="32"/>
          <w:szCs w:val="32"/>
          <w:highlight w:val="none"/>
          <w:lang w:val="en-US" w:eastAsia="zh-CN"/>
        </w:rPr>
        <w:t>93</w:t>
      </w:r>
      <w:r>
        <w:rPr>
          <w:rFonts w:hint="eastAsia" w:ascii="仿宋_GB2312" w:hAnsi="仿宋_GB2312" w:eastAsia="仿宋_GB2312" w:cs="仿宋_GB2312"/>
          <w:b w:val="0"/>
          <w:bCs w:val="0"/>
          <w:color w:val="auto"/>
          <w:sz w:val="32"/>
          <w:szCs w:val="32"/>
          <w:highlight w:val="none"/>
        </w:rPr>
        <w:t>批次，</w:t>
      </w:r>
      <w:r>
        <w:rPr>
          <w:rFonts w:hint="eastAsia" w:ascii="仿宋_GB2312" w:hAnsi="仿宋_GB2312" w:eastAsia="仿宋_GB2312" w:cs="仿宋_GB2312"/>
          <w:b w:val="0"/>
          <w:bCs w:val="0"/>
          <w:color w:val="auto"/>
          <w:sz w:val="32"/>
          <w:szCs w:val="32"/>
          <w:highlight w:val="none"/>
          <w:lang w:val="en-US" w:eastAsia="zh-CN"/>
        </w:rPr>
        <w:t>1000余</w:t>
      </w:r>
      <w:r>
        <w:rPr>
          <w:rFonts w:hint="eastAsia" w:ascii="仿宋_GB2312" w:hAnsi="仿宋_GB2312" w:eastAsia="仿宋_GB2312" w:cs="仿宋_GB2312"/>
          <w:b w:val="0"/>
          <w:bCs w:val="0"/>
          <w:color w:val="auto"/>
          <w:sz w:val="32"/>
          <w:szCs w:val="32"/>
          <w:highlight w:val="none"/>
        </w:rPr>
        <w:t>人次（不包括陪同人员），共计支出</w:t>
      </w:r>
      <w:r>
        <w:rPr>
          <w:rFonts w:hint="eastAsia" w:ascii="仿宋_GB2312" w:hAnsi="仿宋_GB2312" w:eastAsia="仿宋_GB2312" w:cs="仿宋_GB2312"/>
          <w:b w:val="0"/>
          <w:bCs w:val="0"/>
          <w:color w:val="auto"/>
          <w:sz w:val="32"/>
          <w:szCs w:val="32"/>
          <w:highlight w:val="none"/>
          <w:lang w:val="en-US" w:eastAsia="zh-CN"/>
        </w:rPr>
        <w:t>10.42</w:t>
      </w:r>
      <w:r>
        <w:rPr>
          <w:rFonts w:hint="eastAsia" w:ascii="仿宋_GB2312" w:hAnsi="仿宋_GB2312" w:eastAsia="仿宋_GB2312" w:cs="仿宋_GB2312"/>
          <w:b w:val="0"/>
          <w:bCs w:val="0"/>
          <w:color w:val="auto"/>
          <w:sz w:val="32"/>
          <w:szCs w:val="32"/>
          <w:highlight w:val="none"/>
        </w:rPr>
        <w:t>万元，具体内容包括：</w:t>
      </w:r>
      <w:r>
        <w:rPr>
          <w:rFonts w:hint="eastAsia" w:ascii="仿宋_GB2312" w:hAnsi="仿宋_GB2312" w:eastAsia="仿宋_GB2312" w:cs="仿宋_GB2312"/>
          <w:b w:val="0"/>
          <w:bCs w:val="0"/>
          <w:color w:val="auto"/>
          <w:sz w:val="32"/>
          <w:szCs w:val="32"/>
          <w:highlight w:val="none"/>
          <w:lang w:eastAsia="zh-CN"/>
        </w:rPr>
        <w:t>统一战线（民宗）系统各级组织来广考察调研，各民主党派各级组织来广考察调研</w:t>
      </w:r>
      <w:r>
        <w:rPr>
          <w:rFonts w:hint="eastAsia" w:ascii="仿宋_GB2312" w:hAnsi="仿宋_GB2312" w:eastAsia="仿宋_GB2312" w:cs="仿宋_GB2312"/>
          <w:b w:val="0"/>
          <w:bCs w:val="0"/>
          <w:color w:val="auto"/>
          <w:sz w:val="32"/>
          <w:szCs w:val="32"/>
          <w:highlight w:val="none"/>
        </w:rPr>
        <w:t>。</w:t>
      </w:r>
      <w:bookmarkStart w:id="46" w:name="_Toc15396610"/>
      <w:bookmarkStart w:id="47" w:name="_Toc15377218"/>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外事接待</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万元，外事接待</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批次，</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人，共计支出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76" w:lineRule="exact"/>
        <w:ind w:firstLine="640"/>
        <w:textAlignment w:val="auto"/>
        <w:outlineLvl w:val="1"/>
        <w:rPr>
          <w:rStyle w:val="22"/>
          <w:rFonts w:ascii="黑体" w:hAnsi="黑体" w:eastAsia="黑体"/>
          <w:color w:val="auto"/>
          <w:highlight w:val="none"/>
        </w:rPr>
      </w:pPr>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46"/>
      <w:bookmarkEnd w:id="47"/>
    </w:p>
    <w:p>
      <w:pPr>
        <w:keepNext w:val="0"/>
        <w:keepLines w:val="0"/>
        <w:pageBreakBefore w:val="0"/>
        <w:widowControl w:val="0"/>
        <w:kinsoku/>
        <w:wordWrap/>
        <w:overflowPunct/>
        <w:topLinePunct w:val="0"/>
        <w:autoSpaceDE/>
        <w:autoSpaceDN/>
        <w:bidi w:val="0"/>
        <w:adjustRightInd/>
        <w:spacing w:line="576" w:lineRule="exact"/>
        <w:ind w:firstLine="640"/>
        <w:textAlignment w:val="auto"/>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1"/>
        </w:numPr>
        <w:spacing w:line="600" w:lineRule="exact"/>
        <w:ind w:firstLine="640"/>
        <w:outlineLvl w:val="1"/>
        <w:rPr>
          <w:rStyle w:val="22"/>
          <w:rFonts w:ascii="黑体" w:hAnsi="黑体" w:eastAsia="黑体"/>
          <w:b w:val="0"/>
          <w:color w:val="auto"/>
          <w:highlight w:val="none"/>
        </w:rPr>
      </w:pPr>
      <w:bookmarkStart w:id="48" w:name="_Toc15377219"/>
      <w:bookmarkStart w:id="49" w:name="_Toc15396611"/>
      <w:r>
        <w:rPr>
          <w:rStyle w:val="22"/>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0" w:name="_Toc15377221"/>
      <w:bookmarkStart w:id="51" w:name="_Toc15396612"/>
    </w:p>
    <w:p>
      <w:pPr>
        <w:numPr>
          <w:ilvl w:val="0"/>
          <w:numId w:val="1"/>
        </w:numPr>
        <w:spacing w:line="600" w:lineRule="exact"/>
        <w:ind w:firstLine="640"/>
        <w:outlineLvl w:val="1"/>
        <w:rPr>
          <w:rStyle w:val="22"/>
          <w:rFonts w:hint="eastAsia" w:ascii="黑体" w:hAnsi="黑体" w:eastAsia="黑体"/>
          <w:b w:val="0"/>
          <w:color w:val="auto"/>
          <w:highlight w:val="none"/>
        </w:rPr>
      </w:pPr>
      <w:r>
        <w:rPr>
          <w:rStyle w:val="22"/>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统一战线服务经济社会发展工作经费、中华职业教育社工作经费、民族宗教服务中心工作经费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市委统战部</w:t>
      </w:r>
      <w:r>
        <w:rPr>
          <w:rFonts w:hint="eastAsia" w:ascii="仿宋_GB2312" w:hAnsi="仿宋_GB2312" w:eastAsia="仿宋_GB2312" w:cs="仿宋_GB2312"/>
          <w:color w:val="auto"/>
          <w:sz w:val="32"/>
          <w:szCs w:val="32"/>
          <w:highlight w:val="none"/>
        </w:rPr>
        <w:t>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numPr>
          <w:ilvl w:val="0"/>
          <w:numId w:val="1"/>
        </w:numPr>
        <w:spacing w:line="600" w:lineRule="exact"/>
        <w:ind w:firstLine="640"/>
        <w:outlineLvl w:val="1"/>
        <w:rPr>
          <w:rStyle w:val="22"/>
          <w:rFonts w:hint="eastAsia" w:ascii="黑体" w:hAnsi="黑体" w:eastAsia="黑体"/>
          <w:b w:val="0"/>
          <w:color w:val="auto"/>
          <w:highlight w:val="none"/>
        </w:rPr>
      </w:pPr>
      <w:r>
        <w:rPr>
          <w:rStyle w:val="22"/>
          <w:rFonts w:hint="eastAsia" w:ascii="黑体" w:hAnsi="黑体" w:eastAsia="黑体"/>
          <w:b w:val="0"/>
          <w:color w:val="auto"/>
          <w:highlight w:val="none"/>
        </w:rPr>
        <w:t>其他重要事项的情况说明</w:t>
      </w:r>
      <w:bookmarkEnd w:id="50"/>
      <w:bookmarkEnd w:id="51"/>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rPr>
      </w:pPr>
      <w:bookmarkStart w:id="52" w:name="_Toc15377222"/>
      <w:r>
        <w:rPr>
          <w:rFonts w:hint="eastAsia" w:ascii="方正楷体_GBK" w:hAnsi="方正楷体_GBK" w:eastAsia="方正楷体_GBK" w:cs="方正楷体_GBK"/>
          <w:bCs/>
          <w:color w:val="auto"/>
          <w:sz w:val="32"/>
          <w:szCs w:val="32"/>
          <w:highlight w:val="none"/>
        </w:rPr>
        <w:t>（一）机关运行经费支出情况</w:t>
      </w:r>
      <w:bookmarkEnd w:id="52"/>
    </w:p>
    <w:p>
      <w:pPr>
        <w:spacing w:line="600" w:lineRule="exact"/>
        <w:ind w:firstLine="640" w:firstLineChars="200"/>
        <w:rPr>
          <w:rFonts w:hint="eastAsia" w:ascii="仿宋" w:hAnsi="仿宋" w:eastAsia="仿宋" w:cs="仿宋"/>
          <w:b/>
          <w:bCs w:val="0"/>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市委统战部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162.54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4.17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进一步落实市委过紧日子“十三条措施”，压紧压实部门开支。</w:t>
      </w:r>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rPr>
      </w:pPr>
      <w:bookmarkStart w:id="53" w:name="_Toc15377223"/>
      <w:r>
        <w:rPr>
          <w:rFonts w:hint="eastAsia" w:ascii="方正楷体_GBK" w:hAnsi="方正楷体_GBK" w:eastAsia="方正楷体_GBK" w:cs="方正楷体_GBK"/>
          <w:bCs/>
          <w:color w:val="auto"/>
          <w:sz w:val="32"/>
          <w:szCs w:val="32"/>
          <w:highlight w:val="none"/>
        </w:rPr>
        <w:t>（二）政府采购支出情况</w:t>
      </w:r>
      <w:bookmarkEnd w:id="53"/>
    </w:p>
    <w:p>
      <w:pPr>
        <w:spacing w:line="600" w:lineRule="exact"/>
        <w:ind w:firstLine="640" w:firstLineChars="200"/>
        <w:rPr>
          <w:rFonts w:hint="eastAsia" w:ascii="仿宋" w:hAnsi="仿宋" w:eastAsia="仿宋_GB2312"/>
          <w:b/>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市委统战部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00B0F0"/>
          <w:sz w:val="32"/>
          <w:szCs w:val="32"/>
          <w:highlight w:val="none"/>
          <w:lang w:val="en-US" w:eastAsia="zh-CN"/>
        </w:rPr>
        <w:t>.</w:t>
      </w:r>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rPr>
      </w:pPr>
      <w:bookmarkStart w:id="54" w:name="_Toc15377224"/>
      <w:r>
        <w:rPr>
          <w:rFonts w:hint="eastAsia" w:ascii="方正楷体_GBK" w:hAnsi="方正楷体_GBK" w:eastAsia="方正楷体_GBK" w:cs="方正楷体_GBK"/>
          <w:bCs/>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市委统战部</w:t>
      </w:r>
      <w:r>
        <w:rPr>
          <w:rFonts w:hint="eastAsia" w:ascii="仿宋_GB2312" w:eastAsia="仿宋_GB2312"/>
          <w:color w:val="auto"/>
          <w:sz w:val="32"/>
          <w:szCs w:val="32"/>
          <w:highlight w:val="none"/>
        </w:rPr>
        <w:t>共有车辆</w:t>
      </w:r>
      <w:r>
        <w:rPr>
          <w:rFonts w:hint="default" w:ascii="仿宋_GB2312" w:eastAsia="仿宋_GB2312"/>
          <w:color w:val="auto"/>
          <w:sz w:val="32"/>
          <w:szCs w:val="32"/>
          <w:highlight w:val="none"/>
          <w:lang w:val="en"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default" w:ascii="仿宋_GB2312" w:eastAsia="仿宋_GB2312"/>
          <w:color w:val="auto"/>
          <w:sz w:val="32"/>
          <w:szCs w:val="32"/>
          <w:highlight w:val="none"/>
          <w:lang w:val="en"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日常外出考察调研、检查工作、宗教应急处突等事项。</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2"/>
        </w:numPr>
        <w:spacing w:line="600" w:lineRule="exact"/>
        <w:ind w:firstLine="660" w:firstLineChars="150"/>
        <w:jc w:val="center"/>
        <w:outlineLvl w:val="0"/>
        <w:rPr>
          <w:rStyle w:val="21"/>
          <w:rFonts w:ascii="黑体" w:hAnsi="黑体" w:eastAsia="黑体"/>
          <w:b w:val="0"/>
          <w:color w:val="auto"/>
          <w:highlight w:val="none"/>
        </w:rPr>
      </w:pPr>
      <w:bookmarkStart w:id="55" w:name="_Toc15396613"/>
      <w:bookmarkStart w:id="56" w:name="_Toc15377225"/>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55"/>
      <w:bookmarkEnd w:id="56"/>
    </w:p>
    <w:p>
      <w:pPr>
        <w:spacing w:line="600" w:lineRule="exact"/>
        <w:jc w:val="left"/>
        <w:rPr>
          <w:rFonts w:ascii="宋体"/>
          <w:b/>
          <w:color w:val="auto"/>
          <w:sz w:val="44"/>
          <w:szCs w:val="44"/>
          <w:highlight w:val="none"/>
        </w:rPr>
      </w:pPr>
    </w:p>
    <w:p>
      <w:pPr>
        <w:pStyle w:val="30"/>
        <w:spacing w:line="560" w:lineRule="exact"/>
        <w:ind w:firstLine="643" w:firstLineChars="200"/>
        <w:rPr>
          <w:rFonts w:hint="eastAsia" w:ascii="仿宋_GB2312" w:hAnsi="仿宋_GB2312" w:eastAsia="仿宋_GB2312" w:cs="仿宋_GB2312"/>
          <w:color w:val="auto"/>
          <w:sz w:val="32"/>
          <w:szCs w:val="32"/>
          <w:highlight w:val="none"/>
        </w:rPr>
      </w:pPr>
      <w:r>
        <w:rPr>
          <w:rStyle w:val="19"/>
          <w:rFonts w:hint="eastAsia" w:ascii="仿宋_GB2312" w:hAnsi="仿宋_GB2312" w:eastAsia="仿宋_GB2312" w:cs="仿宋_GB2312"/>
          <w:bCs/>
          <w:color w:val="auto"/>
          <w:kern w:val="2"/>
          <w:sz w:val="32"/>
          <w:szCs w:val="32"/>
          <w:highlight w:val="none"/>
          <w:lang w:val="en-US" w:eastAsia="zh-CN" w:bidi="ar-SA"/>
        </w:rPr>
        <w:t>1.财政拨款收入：</w:t>
      </w:r>
      <w:r>
        <w:rPr>
          <w:rFonts w:hint="eastAsia" w:ascii="仿宋_GB2312" w:hAnsi="仿宋_GB2312" w:eastAsia="仿宋_GB2312" w:cs="仿宋_GB2312"/>
          <w:color w:val="auto"/>
          <w:sz w:val="32"/>
          <w:szCs w:val="32"/>
          <w:highlight w:val="none"/>
        </w:rPr>
        <w:t>指单位从同级财政部门取得的财政预算资金。</w:t>
      </w:r>
    </w:p>
    <w:p>
      <w:pPr>
        <w:pStyle w:val="30"/>
        <w:spacing w:line="560" w:lineRule="exact"/>
        <w:ind w:firstLine="643" w:firstLineChars="200"/>
        <w:rPr>
          <w:rFonts w:hint="eastAsia" w:ascii="仿宋_GB2312" w:hAnsi="仿宋_GB2312" w:eastAsia="仿宋_GB2312" w:cs="仿宋_GB2312"/>
          <w:color w:val="auto"/>
          <w:sz w:val="32"/>
          <w:szCs w:val="32"/>
          <w:highlight w:val="none"/>
          <w:lang w:eastAsia="zh-CN"/>
        </w:rPr>
      </w:pPr>
      <w:r>
        <w:rPr>
          <w:rStyle w:val="19"/>
          <w:rFonts w:hint="eastAsia" w:ascii="仿宋_GB2312" w:hAnsi="仿宋_GB2312" w:eastAsia="仿宋_GB2312" w:cs="仿宋_GB2312"/>
          <w:bCs/>
          <w:color w:val="auto"/>
          <w:kern w:val="2"/>
          <w:sz w:val="32"/>
          <w:szCs w:val="32"/>
          <w:highlight w:val="none"/>
          <w:lang w:val="en" w:eastAsia="zh-CN" w:bidi="ar-SA"/>
        </w:rPr>
        <w:t>2</w:t>
      </w:r>
      <w:r>
        <w:rPr>
          <w:rStyle w:val="19"/>
          <w:rFonts w:hint="eastAsia" w:ascii="仿宋_GB2312" w:hAnsi="仿宋_GB2312" w:eastAsia="仿宋_GB2312" w:cs="仿宋_GB2312"/>
          <w:bCs/>
          <w:color w:val="auto"/>
          <w:kern w:val="2"/>
          <w:sz w:val="32"/>
          <w:szCs w:val="32"/>
          <w:highlight w:val="none"/>
          <w:lang w:val="en-US" w:eastAsia="zh-CN" w:bidi="ar-SA"/>
        </w:rPr>
        <w:t>.其他收入：</w:t>
      </w:r>
      <w:r>
        <w:rPr>
          <w:rFonts w:hint="eastAsia" w:ascii="仿宋_GB2312" w:hAnsi="仿宋_GB2312" w:eastAsia="仿宋_GB2312" w:cs="仿宋_GB2312"/>
          <w:color w:val="auto"/>
          <w:sz w:val="32"/>
          <w:szCs w:val="32"/>
          <w:highlight w:val="none"/>
        </w:rPr>
        <w:t>指单位取得的除上述收入以外的各项收入。</w:t>
      </w:r>
      <w:r>
        <w:rPr>
          <w:rFonts w:hint="eastAsia" w:ascii="仿宋_GB2312" w:hAnsi="仿宋_GB2312" w:eastAsia="仿宋_GB2312" w:cs="仿宋_GB2312"/>
          <w:color w:val="auto"/>
          <w:sz w:val="32"/>
          <w:szCs w:val="32"/>
          <w:highlight w:val="none"/>
          <w:lang w:eastAsia="zh-CN"/>
        </w:rPr>
        <w:t>如，利息收入。</w:t>
      </w:r>
    </w:p>
    <w:p>
      <w:pPr>
        <w:pStyle w:val="30"/>
        <w:spacing w:line="560" w:lineRule="exact"/>
        <w:ind w:firstLine="643" w:firstLineChars="200"/>
        <w:rPr>
          <w:rFonts w:hint="eastAsia" w:ascii="仿宋_GB2312" w:hAnsi="仿宋_GB2312" w:eastAsia="仿宋_GB2312" w:cs="仿宋_GB2312"/>
          <w:color w:val="auto"/>
          <w:sz w:val="32"/>
          <w:szCs w:val="32"/>
          <w:highlight w:val="none"/>
        </w:rPr>
      </w:pPr>
      <w:r>
        <w:rPr>
          <w:rStyle w:val="19"/>
          <w:rFonts w:hint="eastAsia" w:ascii="仿宋_GB2312" w:hAnsi="仿宋_GB2312" w:eastAsia="仿宋_GB2312" w:cs="仿宋_GB2312"/>
          <w:bCs/>
          <w:color w:val="auto"/>
          <w:kern w:val="2"/>
          <w:sz w:val="32"/>
          <w:szCs w:val="32"/>
          <w:highlight w:val="none"/>
          <w:lang w:val="en" w:eastAsia="zh-CN" w:bidi="ar-SA"/>
        </w:rPr>
        <w:t>3</w:t>
      </w:r>
      <w:r>
        <w:rPr>
          <w:rStyle w:val="19"/>
          <w:rFonts w:hint="eastAsia" w:ascii="仿宋_GB2312" w:hAnsi="仿宋_GB2312" w:eastAsia="仿宋_GB2312" w:cs="仿宋_GB2312"/>
          <w:bCs/>
          <w:color w:val="auto"/>
          <w:kern w:val="2"/>
          <w:sz w:val="32"/>
          <w:szCs w:val="32"/>
          <w:highlight w:val="none"/>
          <w:lang w:val="en-US" w:eastAsia="zh-CN" w:bidi="ar-SA"/>
        </w:rPr>
        <w:t>.年初结转和结余：</w:t>
      </w:r>
      <w:r>
        <w:rPr>
          <w:rFonts w:hint="eastAsia" w:ascii="仿宋_GB2312" w:hAnsi="仿宋_GB2312" w:eastAsia="仿宋_GB2312" w:cs="仿宋_GB2312"/>
          <w:color w:val="auto"/>
          <w:sz w:val="32"/>
          <w:szCs w:val="32"/>
          <w:highlight w:val="none"/>
        </w:rPr>
        <w:t xml:space="preserve">指以前年度尚未完成、结转到本年按有关规定继续使用的资金。 </w:t>
      </w:r>
    </w:p>
    <w:p>
      <w:pPr>
        <w:pStyle w:val="30"/>
        <w:spacing w:line="560" w:lineRule="exact"/>
        <w:ind w:firstLine="643" w:firstLineChars="200"/>
        <w:rPr>
          <w:rFonts w:hint="eastAsia" w:ascii="仿宋_GB2312" w:hAnsi="仿宋_GB2312" w:eastAsia="仿宋_GB2312" w:cs="仿宋_GB2312"/>
          <w:color w:val="auto"/>
          <w:sz w:val="32"/>
          <w:szCs w:val="32"/>
          <w:highlight w:val="none"/>
        </w:rPr>
      </w:pPr>
      <w:r>
        <w:rPr>
          <w:rStyle w:val="19"/>
          <w:rFonts w:hint="eastAsia" w:ascii="仿宋_GB2312" w:hAnsi="仿宋_GB2312" w:eastAsia="仿宋_GB2312" w:cs="仿宋_GB2312"/>
          <w:bCs/>
          <w:color w:val="auto"/>
          <w:kern w:val="2"/>
          <w:sz w:val="32"/>
          <w:szCs w:val="32"/>
          <w:highlight w:val="none"/>
          <w:lang w:val="en" w:eastAsia="zh-CN" w:bidi="ar-SA"/>
        </w:rPr>
        <w:t>4</w:t>
      </w:r>
      <w:r>
        <w:rPr>
          <w:rStyle w:val="19"/>
          <w:rFonts w:hint="eastAsia" w:ascii="仿宋_GB2312" w:hAnsi="仿宋_GB2312" w:eastAsia="仿宋_GB2312" w:cs="仿宋_GB2312"/>
          <w:bCs/>
          <w:color w:val="auto"/>
          <w:kern w:val="2"/>
          <w:sz w:val="32"/>
          <w:szCs w:val="32"/>
          <w:highlight w:val="none"/>
          <w:lang w:val="en-US" w:eastAsia="zh-CN" w:bidi="ar-SA"/>
        </w:rPr>
        <w:t>.年末结转和结余：</w:t>
      </w:r>
      <w:r>
        <w:rPr>
          <w:rFonts w:hint="eastAsia" w:ascii="仿宋_GB2312" w:hAnsi="仿宋_GB2312" w:eastAsia="仿宋_GB2312" w:cs="仿宋_GB2312"/>
          <w:color w:val="auto"/>
          <w:sz w:val="32"/>
          <w:szCs w:val="32"/>
          <w:highlight w:val="none"/>
        </w:rPr>
        <w:t>指单位按有关规定结转到下年或以后年度继续使用的资金。</w:t>
      </w:r>
    </w:p>
    <w:p>
      <w:pPr>
        <w:spacing w:line="600" w:lineRule="exact"/>
        <w:ind w:firstLine="643" w:firstLineChars="200"/>
        <w:rPr>
          <w:rFonts w:hint="eastAsia" w:ascii="仿宋_GB2312" w:hAnsi="仿宋_GB2312" w:eastAsia="仿宋_GB2312" w:cs="仿宋_GB2312"/>
          <w:b/>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lang w:val="en"/>
        </w:rPr>
        <w:t>5</w:t>
      </w:r>
      <w:r>
        <w:rPr>
          <w:rStyle w:val="19"/>
          <w:rFonts w:hint="eastAsia" w:ascii="仿宋_GB2312" w:hAnsi="仿宋_GB2312" w:eastAsia="仿宋_GB2312" w:cs="仿宋_GB2312"/>
          <w:bCs/>
          <w:color w:val="auto"/>
          <w:sz w:val="32"/>
          <w:szCs w:val="32"/>
          <w:highlight w:val="none"/>
        </w:rPr>
        <w:t>.一般公共服务</w:t>
      </w:r>
      <w:r>
        <w:rPr>
          <w:rStyle w:val="19"/>
          <w:rFonts w:hint="eastAsia" w:ascii="仿宋_GB2312" w:hAnsi="仿宋_GB2312" w:eastAsia="仿宋_GB2312" w:cs="仿宋_GB2312"/>
          <w:bCs/>
          <w:color w:val="auto"/>
          <w:sz w:val="32"/>
          <w:szCs w:val="32"/>
          <w:highlight w:val="none"/>
          <w:lang w:val="en-US" w:eastAsia="zh-CN"/>
        </w:rPr>
        <w:t>201</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民主党派及工商联事务</w:t>
      </w:r>
      <w:r>
        <w:rPr>
          <w:rStyle w:val="19"/>
          <w:rFonts w:hint="eastAsia" w:ascii="仿宋_GB2312" w:hAnsi="仿宋_GB2312" w:eastAsia="仿宋_GB2312" w:cs="仿宋_GB2312"/>
          <w:bCs/>
          <w:color w:val="auto"/>
          <w:sz w:val="32"/>
          <w:szCs w:val="32"/>
          <w:highlight w:val="none"/>
          <w:lang w:val="en-US" w:eastAsia="zh-CN"/>
        </w:rPr>
        <w:t>28</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行政运行</w:t>
      </w:r>
      <w:r>
        <w:rPr>
          <w:rStyle w:val="19"/>
          <w:rFonts w:hint="eastAsia" w:ascii="仿宋_GB2312" w:hAnsi="仿宋_GB2312" w:eastAsia="仿宋_GB2312" w:cs="仿宋_GB2312"/>
          <w:bCs/>
          <w:color w:val="auto"/>
          <w:sz w:val="32"/>
          <w:szCs w:val="32"/>
          <w:highlight w:val="none"/>
          <w:lang w:val="en-US" w:eastAsia="zh-CN"/>
        </w:rPr>
        <w:t>01</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指反映行政单位（包括实行公务员管理的事业单位）的基本支出。</w:t>
      </w:r>
    </w:p>
    <w:p>
      <w:pPr>
        <w:spacing w:line="600" w:lineRule="exact"/>
        <w:ind w:firstLine="643" w:firstLineChars="200"/>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lang w:val="en"/>
        </w:rPr>
        <w:t>6</w:t>
      </w:r>
      <w:r>
        <w:rPr>
          <w:rStyle w:val="19"/>
          <w:rFonts w:hint="eastAsia" w:ascii="仿宋_GB2312" w:hAnsi="仿宋_GB2312" w:eastAsia="仿宋_GB2312" w:cs="仿宋_GB2312"/>
          <w:bCs/>
          <w:color w:val="auto"/>
          <w:sz w:val="32"/>
          <w:szCs w:val="32"/>
          <w:highlight w:val="none"/>
        </w:rPr>
        <w:t>.一般公共服务</w:t>
      </w:r>
      <w:r>
        <w:rPr>
          <w:rStyle w:val="19"/>
          <w:rFonts w:hint="eastAsia" w:ascii="仿宋_GB2312" w:hAnsi="仿宋_GB2312" w:eastAsia="仿宋_GB2312" w:cs="仿宋_GB2312"/>
          <w:bCs/>
          <w:color w:val="auto"/>
          <w:sz w:val="32"/>
          <w:szCs w:val="32"/>
          <w:highlight w:val="none"/>
          <w:lang w:val="en-US" w:eastAsia="zh-CN"/>
        </w:rPr>
        <w:t>201</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民主党派及工商联事务</w:t>
      </w:r>
      <w:r>
        <w:rPr>
          <w:rStyle w:val="19"/>
          <w:rFonts w:hint="eastAsia" w:ascii="仿宋_GB2312" w:hAnsi="仿宋_GB2312" w:eastAsia="仿宋_GB2312" w:cs="仿宋_GB2312"/>
          <w:bCs/>
          <w:color w:val="auto"/>
          <w:sz w:val="32"/>
          <w:szCs w:val="32"/>
          <w:highlight w:val="none"/>
          <w:lang w:val="en-US" w:eastAsia="zh-CN"/>
        </w:rPr>
        <w:t>28</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一般行政管理事务</w:t>
      </w:r>
      <w:r>
        <w:rPr>
          <w:rStyle w:val="19"/>
          <w:rFonts w:hint="eastAsia" w:ascii="仿宋_GB2312" w:hAnsi="仿宋_GB2312" w:eastAsia="仿宋_GB2312" w:cs="仿宋_GB2312"/>
          <w:bCs/>
          <w:color w:val="auto"/>
          <w:sz w:val="32"/>
          <w:szCs w:val="32"/>
          <w:highlight w:val="none"/>
          <w:lang w:val="en-US" w:eastAsia="zh-CN"/>
        </w:rPr>
        <w:t>02</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指反映行政单位（包括实行公务员管理的事业单位）未单独设置项级科目的其他项目支出。</w:t>
      </w:r>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9"/>
          <w:rFonts w:hint="eastAsia" w:ascii="仿宋_GB2312" w:hAnsi="仿宋_GB2312" w:eastAsia="仿宋_GB2312" w:cs="仿宋_GB2312"/>
          <w:bCs/>
          <w:color w:val="auto"/>
          <w:sz w:val="32"/>
          <w:szCs w:val="32"/>
          <w:highlight w:val="none"/>
          <w:lang w:val="en" w:eastAsia="zh-CN"/>
        </w:rPr>
        <w:t>７</w:t>
      </w:r>
      <w:r>
        <w:rPr>
          <w:rStyle w:val="19"/>
          <w:rFonts w:hint="eastAsia" w:ascii="仿宋_GB2312" w:hAnsi="仿宋_GB2312" w:eastAsia="仿宋_GB2312" w:cs="仿宋_GB2312"/>
          <w:bCs/>
          <w:color w:val="auto"/>
          <w:sz w:val="32"/>
          <w:szCs w:val="32"/>
          <w:highlight w:val="none"/>
        </w:rPr>
        <w:t>.一般公共服务</w:t>
      </w:r>
      <w:r>
        <w:rPr>
          <w:rStyle w:val="19"/>
          <w:rFonts w:hint="eastAsia" w:ascii="仿宋_GB2312" w:hAnsi="仿宋_GB2312" w:eastAsia="仿宋_GB2312" w:cs="仿宋_GB2312"/>
          <w:bCs/>
          <w:color w:val="auto"/>
          <w:sz w:val="32"/>
          <w:szCs w:val="32"/>
          <w:highlight w:val="none"/>
          <w:lang w:val="en-US" w:eastAsia="zh-CN"/>
        </w:rPr>
        <w:t>201</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民主党派及工商联事务</w:t>
      </w:r>
      <w:r>
        <w:rPr>
          <w:rStyle w:val="19"/>
          <w:rFonts w:hint="eastAsia" w:ascii="仿宋_GB2312" w:hAnsi="仿宋_GB2312" w:eastAsia="仿宋_GB2312" w:cs="仿宋_GB2312"/>
          <w:bCs/>
          <w:color w:val="auto"/>
          <w:sz w:val="32"/>
          <w:szCs w:val="32"/>
          <w:highlight w:val="none"/>
          <w:lang w:val="en-US" w:eastAsia="zh-CN"/>
        </w:rPr>
        <w:t>28</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其他民主党派及工商联事务支出</w:t>
      </w:r>
      <w:r>
        <w:rPr>
          <w:rStyle w:val="19"/>
          <w:rFonts w:hint="default" w:ascii="仿宋_GB2312" w:hAnsi="仿宋_GB2312" w:eastAsia="仿宋_GB2312" w:cs="仿宋_GB2312"/>
          <w:bCs/>
          <w:color w:val="auto"/>
          <w:sz w:val="32"/>
          <w:szCs w:val="32"/>
          <w:highlight w:val="none"/>
          <w:lang w:val="en" w:eastAsia="zh-CN"/>
        </w:rPr>
        <w:t>99</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指反映除上述项目以外其他用于民主党派及工商联事务方面的支出。</w:t>
      </w:r>
    </w:p>
    <w:p>
      <w:pPr>
        <w:pStyle w:val="2"/>
        <w:rPr>
          <w:rFonts w:hint="eastAsia"/>
        </w:rPr>
      </w:pPr>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9"/>
          <w:rFonts w:hint="eastAsia" w:ascii="仿宋_GB2312" w:hAnsi="仿宋_GB2312" w:eastAsia="仿宋_GB2312" w:cs="仿宋_GB2312"/>
          <w:bCs/>
          <w:color w:val="auto"/>
          <w:sz w:val="32"/>
          <w:szCs w:val="32"/>
          <w:highlight w:val="none"/>
          <w:lang w:val="en" w:eastAsia="zh-CN"/>
        </w:rPr>
        <w:t>８</w:t>
      </w:r>
      <w:r>
        <w:rPr>
          <w:rStyle w:val="19"/>
          <w:rFonts w:hint="eastAsia" w:ascii="仿宋_GB2312" w:hAnsi="仿宋_GB2312" w:eastAsia="仿宋_GB2312" w:cs="仿宋_GB2312"/>
          <w:bCs/>
          <w:color w:val="auto"/>
          <w:sz w:val="32"/>
          <w:szCs w:val="32"/>
          <w:highlight w:val="none"/>
        </w:rPr>
        <w:t>.一般公共服务</w:t>
      </w:r>
      <w:r>
        <w:rPr>
          <w:rStyle w:val="19"/>
          <w:rFonts w:hint="eastAsia" w:ascii="仿宋_GB2312" w:hAnsi="仿宋_GB2312" w:eastAsia="仿宋_GB2312" w:cs="仿宋_GB2312"/>
          <w:bCs/>
          <w:color w:val="auto"/>
          <w:sz w:val="32"/>
          <w:szCs w:val="32"/>
          <w:highlight w:val="none"/>
          <w:lang w:val="en-US" w:eastAsia="zh-CN"/>
        </w:rPr>
        <w:t>201</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统战事务</w:t>
      </w:r>
      <w:r>
        <w:rPr>
          <w:rStyle w:val="19"/>
          <w:rFonts w:hint="eastAsia" w:ascii="仿宋_GB2312" w:hAnsi="仿宋_GB2312" w:eastAsia="仿宋_GB2312" w:cs="仿宋_GB2312"/>
          <w:bCs/>
          <w:color w:val="auto"/>
          <w:sz w:val="32"/>
          <w:szCs w:val="32"/>
          <w:highlight w:val="none"/>
          <w:lang w:val="en-US" w:eastAsia="zh-CN"/>
        </w:rPr>
        <w:t>34</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行政运行</w:t>
      </w:r>
      <w:r>
        <w:rPr>
          <w:rStyle w:val="19"/>
          <w:rFonts w:hint="eastAsia" w:ascii="仿宋_GB2312" w:hAnsi="仿宋_GB2312" w:eastAsia="仿宋_GB2312" w:cs="仿宋_GB2312"/>
          <w:bCs/>
          <w:color w:val="auto"/>
          <w:sz w:val="32"/>
          <w:szCs w:val="32"/>
          <w:highlight w:val="none"/>
          <w:lang w:val="en-US" w:eastAsia="zh-CN"/>
        </w:rPr>
        <w:t>01</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指反映行政单位（包括实行公务员管理的事业单位）的基本支出。</w:t>
      </w:r>
    </w:p>
    <w:p>
      <w:pPr>
        <w:spacing w:line="600" w:lineRule="exact"/>
        <w:ind w:firstLine="643" w:firstLineChars="200"/>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Cs/>
          <w:color w:val="auto"/>
          <w:sz w:val="32"/>
          <w:szCs w:val="32"/>
          <w:highlight w:val="none"/>
          <w:lang w:val="en" w:eastAsia="zh-CN"/>
        </w:rPr>
        <w:t>９</w:t>
      </w:r>
      <w:r>
        <w:rPr>
          <w:rStyle w:val="19"/>
          <w:rFonts w:hint="eastAsia" w:ascii="仿宋_GB2312" w:hAnsi="仿宋_GB2312" w:eastAsia="仿宋_GB2312" w:cs="仿宋_GB2312"/>
          <w:bCs/>
          <w:color w:val="auto"/>
          <w:sz w:val="32"/>
          <w:szCs w:val="32"/>
          <w:highlight w:val="none"/>
        </w:rPr>
        <w:t>.一般公共服务</w:t>
      </w:r>
      <w:r>
        <w:rPr>
          <w:rStyle w:val="19"/>
          <w:rFonts w:hint="eastAsia" w:ascii="仿宋_GB2312" w:hAnsi="仿宋_GB2312" w:eastAsia="仿宋_GB2312" w:cs="仿宋_GB2312"/>
          <w:bCs/>
          <w:color w:val="auto"/>
          <w:sz w:val="32"/>
          <w:szCs w:val="32"/>
          <w:highlight w:val="none"/>
          <w:lang w:val="en-US" w:eastAsia="zh-CN"/>
        </w:rPr>
        <w:t>201</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统战事务</w:t>
      </w:r>
      <w:r>
        <w:rPr>
          <w:rStyle w:val="19"/>
          <w:rFonts w:hint="eastAsia" w:ascii="仿宋_GB2312" w:hAnsi="仿宋_GB2312" w:eastAsia="仿宋_GB2312" w:cs="仿宋_GB2312"/>
          <w:bCs/>
          <w:color w:val="auto"/>
          <w:sz w:val="32"/>
          <w:szCs w:val="32"/>
          <w:highlight w:val="none"/>
          <w:lang w:val="en-US" w:eastAsia="zh-CN"/>
        </w:rPr>
        <w:t>34</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一般行政管理事务</w:t>
      </w:r>
      <w:r>
        <w:rPr>
          <w:rStyle w:val="19"/>
          <w:rFonts w:hint="eastAsia" w:ascii="仿宋_GB2312" w:hAnsi="仿宋_GB2312" w:eastAsia="仿宋_GB2312" w:cs="仿宋_GB2312"/>
          <w:bCs/>
          <w:color w:val="auto"/>
          <w:sz w:val="32"/>
          <w:szCs w:val="32"/>
          <w:highlight w:val="none"/>
          <w:lang w:val="en-US" w:eastAsia="zh-CN"/>
        </w:rPr>
        <w:t>02</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指反映行政单位（包括实行公务员管理的事业单位）未单独设置项级科目的其他项目支出。</w:t>
      </w:r>
    </w:p>
    <w:p>
      <w:pPr>
        <w:spacing w:line="600" w:lineRule="exact"/>
        <w:ind w:firstLine="643" w:firstLineChars="200"/>
        <w:rPr>
          <w:rFonts w:hint="eastAsia" w:ascii="仿宋_GB2312" w:hAnsi="仿宋_GB2312" w:eastAsia="仿宋_GB2312" w:cs="仿宋_GB2312"/>
          <w:color w:val="auto"/>
          <w:lang w:eastAsia="zh-CN"/>
        </w:rPr>
      </w:pPr>
      <w:r>
        <w:rPr>
          <w:rStyle w:val="19"/>
          <w:rFonts w:hint="default" w:ascii="仿宋_GB2312" w:hAnsi="仿宋_GB2312" w:eastAsia="仿宋_GB2312" w:cs="仿宋_GB2312"/>
          <w:bCs/>
          <w:color w:val="auto"/>
          <w:sz w:val="32"/>
          <w:szCs w:val="32"/>
          <w:highlight w:val="none"/>
          <w:lang w:val="en" w:eastAsia="zh-CN"/>
        </w:rPr>
        <w:t>10</w:t>
      </w:r>
      <w:r>
        <w:rPr>
          <w:rStyle w:val="19"/>
          <w:rFonts w:hint="eastAsia" w:ascii="仿宋_GB2312" w:hAnsi="仿宋_GB2312" w:eastAsia="仿宋_GB2312" w:cs="仿宋_GB2312"/>
          <w:bCs/>
          <w:color w:val="auto"/>
          <w:sz w:val="32"/>
          <w:szCs w:val="32"/>
          <w:highlight w:val="none"/>
        </w:rPr>
        <w:t>.一般公共服务</w:t>
      </w:r>
      <w:r>
        <w:rPr>
          <w:rStyle w:val="19"/>
          <w:rFonts w:hint="eastAsia" w:ascii="仿宋_GB2312" w:hAnsi="仿宋_GB2312" w:eastAsia="仿宋_GB2312" w:cs="仿宋_GB2312"/>
          <w:bCs/>
          <w:color w:val="auto"/>
          <w:sz w:val="32"/>
          <w:szCs w:val="32"/>
          <w:highlight w:val="none"/>
          <w:lang w:val="en-US" w:eastAsia="zh-CN"/>
        </w:rPr>
        <w:t>201</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统战事务</w:t>
      </w:r>
      <w:r>
        <w:rPr>
          <w:rStyle w:val="19"/>
          <w:rFonts w:hint="eastAsia" w:ascii="仿宋_GB2312" w:hAnsi="仿宋_GB2312" w:eastAsia="仿宋_GB2312" w:cs="仿宋_GB2312"/>
          <w:bCs/>
          <w:color w:val="auto"/>
          <w:sz w:val="32"/>
          <w:szCs w:val="32"/>
          <w:highlight w:val="none"/>
          <w:lang w:val="en-US" w:eastAsia="zh-CN"/>
        </w:rPr>
        <w:t>34</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事业运行</w:t>
      </w:r>
      <w:r>
        <w:rPr>
          <w:rStyle w:val="19"/>
          <w:rFonts w:hint="eastAsia" w:ascii="仿宋_GB2312" w:hAnsi="仿宋_GB2312" w:eastAsia="仿宋_GB2312" w:cs="仿宋_GB2312"/>
          <w:bCs/>
          <w:color w:val="auto"/>
          <w:sz w:val="32"/>
          <w:szCs w:val="32"/>
          <w:highlight w:val="none"/>
          <w:lang w:val="en-US" w:eastAsia="zh-CN"/>
        </w:rPr>
        <w:t>03</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指反映事业单位的基本支出，不包括行政单位（包括实行公务员管理的事业单位）后勤服务中心、医务室等附属事业单位。</w:t>
      </w:r>
    </w:p>
    <w:p>
      <w:pPr>
        <w:spacing w:line="600" w:lineRule="exact"/>
        <w:ind w:firstLine="643" w:firstLineChars="200"/>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Cs/>
          <w:color w:val="auto"/>
          <w:sz w:val="32"/>
          <w:szCs w:val="32"/>
          <w:highlight w:val="none"/>
          <w:lang w:val="en" w:eastAsia="zh-CN"/>
        </w:rPr>
        <w:t>1</w:t>
      </w:r>
      <w:r>
        <w:rPr>
          <w:rStyle w:val="19"/>
          <w:rFonts w:hint="default" w:ascii="仿宋_GB2312" w:hAnsi="仿宋_GB2312" w:eastAsia="仿宋_GB2312" w:cs="仿宋_GB2312"/>
          <w:bCs/>
          <w:color w:val="auto"/>
          <w:sz w:val="32"/>
          <w:szCs w:val="32"/>
          <w:highlight w:val="none"/>
          <w:lang w:val="en" w:eastAsia="zh-CN"/>
        </w:rPr>
        <w:t>1</w:t>
      </w:r>
      <w:r>
        <w:rPr>
          <w:rStyle w:val="19"/>
          <w:rFonts w:hint="eastAsia" w:ascii="仿宋_GB2312" w:hAnsi="仿宋_GB2312" w:eastAsia="仿宋_GB2312" w:cs="仿宋_GB2312"/>
          <w:bCs/>
          <w:color w:val="auto"/>
          <w:sz w:val="32"/>
          <w:szCs w:val="32"/>
          <w:highlight w:val="none"/>
        </w:rPr>
        <w:t>.社会保障和就业</w:t>
      </w:r>
      <w:r>
        <w:rPr>
          <w:rStyle w:val="19"/>
          <w:rFonts w:hint="eastAsia" w:ascii="仿宋_GB2312" w:hAnsi="仿宋_GB2312" w:eastAsia="仿宋_GB2312" w:cs="仿宋_GB2312"/>
          <w:bCs/>
          <w:color w:val="auto"/>
          <w:sz w:val="32"/>
          <w:szCs w:val="32"/>
          <w:highlight w:val="none"/>
          <w:lang w:val="en-US" w:eastAsia="zh-CN"/>
        </w:rPr>
        <w:t>208</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行政事业单位养老支出</w:t>
      </w:r>
      <w:r>
        <w:rPr>
          <w:rStyle w:val="19"/>
          <w:rFonts w:hint="eastAsia" w:ascii="仿宋_GB2312" w:hAnsi="仿宋_GB2312" w:eastAsia="仿宋_GB2312" w:cs="仿宋_GB2312"/>
          <w:bCs/>
          <w:color w:val="auto"/>
          <w:sz w:val="32"/>
          <w:szCs w:val="32"/>
          <w:highlight w:val="none"/>
          <w:lang w:val="en-US" w:eastAsia="zh-CN"/>
        </w:rPr>
        <w:t>05</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行政单位离退休</w:t>
      </w:r>
      <w:r>
        <w:rPr>
          <w:rStyle w:val="19"/>
          <w:rFonts w:hint="eastAsia" w:ascii="仿宋_GB2312" w:hAnsi="仿宋_GB2312" w:eastAsia="仿宋_GB2312" w:cs="仿宋_GB2312"/>
          <w:bCs/>
          <w:color w:val="auto"/>
          <w:sz w:val="32"/>
          <w:szCs w:val="32"/>
          <w:highlight w:val="none"/>
          <w:lang w:val="en-US" w:eastAsia="zh-CN"/>
        </w:rPr>
        <w:t>01</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指反映行政单位（包括实行公务员管理的事业单位）开支的离退休经费。</w:t>
      </w:r>
    </w:p>
    <w:p>
      <w:pPr>
        <w:spacing w:line="600" w:lineRule="exact"/>
        <w:ind w:firstLine="643" w:firstLineChars="200"/>
        <w:rPr>
          <w:rFonts w:hint="eastAsia" w:ascii="仿宋_GB2312" w:hAnsi="仿宋_GB2312" w:eastAsia="仿宋_GB2312" w:cs="仿宋_GB2312"/>
          <w:b/>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lang w:val="en" w:eastAsia="zh-CN"/>
        </w:rPr>
        <w:t>1</w:t>
      </w:r>
      <w:r>
        <w:rPr>
          <w:rStyle w:val="19"/>
          <w:rFonts w:hint="default" w:ascii="仿宋_GB2312" w:hAnsi="仿宋_GB2312" w:eastAsia="仿宋_GB2312" w:cs="仿宋_GB2312"/>
          <w:bCs/>
          <w:color w:val="auto"/>
          <w:sz w:val="32"/>
          <w:szCs w:val="32"/>
          <w:highlight w:val="none"/>
          <w:lang w:val="en" w:eastAsia="zh-CN"/>
        </w:rPr>
        <w:t>2</w:t>
      </w:r>
      <w:r>
        <w:rPr>
          <w:rStyle w:val="19"/>
          <w:rFonts w:hint="eastAsia" w:ascii="仿宋_GB2312" w:hAnsi="仿宋_GB2312" w:eastAsia="仿宋_GB2312" w:cs="仿宋_GB2312"/>
          <w:bCs/>
          <w:color w:val="auto"/>
          <w:sz w:val="32"/>
          <w:szCs w:val="32"/>
          <w:highlight w:val="none"/>
        </w:rPr>
        <w:t>.社会保障和就业</w:t>
      </w:r>
      <w:r>
        <w:rPr>
          <w:rStyle w:val="19"/>
          <w:rFonts w:hint="eastAsia" w:ascii="仿宋_GB2312" w:hAnsi="仿宋_GB2312" w:eastAsia="仿宋_GB2312" w:cs="仿宋_GB2312"/>
          <w:bCs/>
          <w:color w:val="auto"/>
          <w:sz w:val="32"/>
          <w:szCs w:val="32"/>
          <w:highlight w:val="none"/>
          <w:lang w:val="en-US" w:eastAsia="zh-CN"/>
        </w:rPr>
        <w:t>208</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行政事业单位养老支出</w:t>
      </w:r>
      <w:r>
        <w:rPr>
          <w:rStyle w:val="19"/>
          <w:rFonts w:hint="eastAsia" w:ascii="仿宋_GB2312" w:hAnsi="仿宋_GB2312" w:eastAsia="仿宋_GB2312" w:cs="仿宋_GB2312"/>
          <w:bCs/>
          <w:color w:val="auto"/>
          <w:sz w:val="32"/>
          <w:szCs w:val="32"/>
          <w:highlight w:val="none"/>
          <w:lang w:val="en-US" w:eastAsia="zh-CN"/>
        </w:rPr>
        <w:t>05</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机关事业单位养老保险缴费支出</w:t>
      </w:r>
      <w:r>
        <w:rPr>
          <w:rStyle w:val="19"/>
          <w:rFonts w:hint="eastAsia" w:ascii="仿宋_GB2312" w:hAnsi="仿宋_GB2312" w:eastAsia="仿宋_GB2312" w:cs="仿宋_GB2312"/>
          <w:bCs/>
          <w:color w:val="auto"/>
          <w:sz w:val="32"/>
          <w:szCs w:val="32"/>
          <w:highlight w:val="none"/>
          <w:lang w:val="en-US" w:eastAsia="zh-CN"/>
        </w:rPr>
        <w:t>02</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指反映机关事业单位实施养老保险制度由单位缴纳的基本养老保险费支出。</w:t>
      </w:r>
    </w:p>
    <w:p>
      <w:pPr>
        <w:spacing w:line="600" w:lineRule="exact"/>
        <w:ind w:firstLine="643" w:firstLineChars="200"/>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Cs/>
          <w:color w:val="auto"/>
          <w:sz w:val="32"/>
          <w:szCs w:val="32"/>
          <w:highlight w:val="none"/>
          <w:lang w:val="en" w:eastAsia="zh-CN"/>
        </w:rPr>
        <w:t>1</w:t>
      </w:r>
      <w:r>
        <w:rPr>
          <w:rStyle w:val="19"/>
          <w:rFonts w:hint="default" w:ascii="仿宋_GB2312" w:hAnsi="仿宋_GB2312" w:eastAsia="仿宋_GB2312" w:cs="仿宋_GB2312"/>
          <w:bCs/>
          <w:color w:val="auto"/>
          <w:sz w:val="32"/>
          <w:szCs w:val="32"/>
          <w:highlight w:val="none"/>
          <w:lang w:val="en" w:eastAsia="zh-CN"/>
        </w:rPr>
        <w:t>3</w:t>
      </w:r>
      <w:r>
        <w:rPr>
          <w:rStyle w:val="19"/>
          <w:rFonts w:hint="eastAsia" w:ascii="仿宋_GB2312" w:hAnsi="仿宋_GB2312" w:eastAsia="仿宋_GB2312" w:cs="仿宋_GB2312"/>
          <w:bCs/>
          <w:color w:val="auto"/>
          <w:sz w:val="32"/>
          <w:szCs w:val="32"/>
          <w:highlight w:val="none"/>
        </w:rPr>
        <w:t>.社会保障和就业</w:t>
      </w:r>
      <w:r>
        <w:rPr>
          <w:rStyle w:val="19"/>
          <w:rFonts w:hint="eastAsia" w:ascii="仿宋_GB2312" w:hAnsi="仿宋_GB2312" w:eastAsia="仿宋_GB2312" w:cs="仿宋_GB2312"/>
          <w:bCs/>
          <w:color w:val="auto"/>
          <w:sz w:val="32"/>
          <w:szCs w:val="32"/>
          <w:highlight w:val="none"/>
          <w:lang w:val="en-US" w:eastAsia="zh-CN"/>
        </w:rPr>
        <w:t>208</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行政事业单位养老支出</w:t>
      </w:r>
      <w:r>
        <w:rPr>
          <w:rStyle w:val="19"/>
          <w:rFonts w:hint="eastAsia" w:ascii="仿宋_GB2312" w:hAnsi="仿宋_GB2312" w:eastAsia="仿宋_GB2312" w:cs="仿宋_GB2312"/>
          <w:bCs/>
          <w:color w:val="auto"/>
          <w:sz w:val="32"/>
          <w:szCs w:val="32"/>
          <w:highlight w:val="none"/>
          <w:lang w:val="en-US" w:eastAsia="zh-CN"/>
        </w:rPr>
        <w:t>05</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机关事业单位职业年金缴费支出</w:t>
      </w:r>
      <w:r>
        <w:rPr>
          <w:rStyle w:val="19"/>
          <w:rFonts w:hint="eastAsia" w:ascii="仿宋_GB2312" w:hAnsi="仿宋_GB2312" w:eastAsia="仿宋_GB2312" w:cs="仿宋_GB2312"/>
          <w:bCs/>
          <w:color w:val="auto"/>
          <w:sz w:val="32"/>
          <w:szCs w:val="32"/>
          <w:highlight w:val="none"/>
          <w:lang w:val="en-US" w:eastAsia="zh-CN"/>
        </w:rPr>
        <w:t>03</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指反映机关事业单位实施养老保险制度由单位实际缴纳的职业年金支出。</w:t>
      </w:r>
    </w:p>
    <w:p>
      <w:pPr>
        <w:spacing w:line="600" w:lineRule="exact"/>
        <w:ind w:firstLine="643" w:firstLineChars="200"/>
        <w:rPr>
          <w:rFonts w:hint="eastAsia" w:ascii="仿宋_GB2312" w:hAnsi="仿宋_GB2312" w:eastAsia="仿宋_GB2312" w:cs="仿宋_GB2312"/>
          <w:b/>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lang w:val="en" w:eastAsia="zh-CN"/>
        </w:rPr>
        <w:t>1</w:t>
      </w:r>
      <w:r>
        <w:rPr>
          <w:rStyle w:val="19"/>
          <w:rFonts w:hint="default" w:ascii="仿宋_GB2312" w:hAnsi="仿宋_GB2312" w:eastAsia="仿宋_GB2312" w:cs="仿宋_GB2312"/>
          <w:bCs/>
          <w:color w:val="auto"/>
          <w:sz w:val="32"/>
          <w:szCs w:val="32"/>
          <w:highlight w:val="none"/>
          <w:lang w:val="en" w:eastAsia="zh-CN"/>
        </w:rPr>
        <w:t>4</w:t>
      </w:r>
      <w:r>
        <w:rPr>
          <w:rStyle w:val="19"/>
          <w:rFonts w:hint="eastAsia" w:ascii="仿宋_GB2312" w:hAnsi="仿宋_GB2312" w:eastAsia="仿宋_GB2312" w:cs="仿宋_GB2312"/>
          <w:bCs/>
          <w:color w:val="auto"/>
          <w:sz w:val="32"/>
          <w:szCs w:val="32"/>
          <w:highlight w:val="none"/>
        </w:rPr>
        <w:t>.社会保障和就业</w:t>
      </w:r>
      <w:r>
        <w:rPr>
          <w:rStyle w:val="19"/>
          <w:rFonts w:hint="eastAsia" w:ascii="仿宋_GB2312" w:hAnsi="仿宋_GB2312" w:eastAsia="仿宋_GB2312" w:cs="仿宋_GB2312"/>
          <w:bCs/>
          <w:color w:val="auto"/>
          <w:sz w:val="32"/>
          <w:szCs w:val="32"/>
          <w:highlight w:val="none"/>
          <w:lang w:val="en-US" w:eastAsia="zh-CN"/>
        </w:rPr>
        <w:t>208</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抚恤</w:t>
      </w:r>
      <w:r>
        <w:rPr>
          <w:rStyle w:val="19"/>
          <w:rFonts w:hint="eastAsia" w:ascii="仿宋_GB2312" w:hAnsi="仿宋_GB2312" w:eastAsia="仿宋_GB2312" w:cs="仿宋_GB2312"/>
          <w:bCs/>
          <w:color w:val="auto"/>
          <w:sz w:val="32"/>
          <w:szCs w:val="32"/>
          <w:highlight w:val="none"/>
          <w:lang w:val="en-US" w:eastAsia="zh-CN"/>
        </w:rPr>
        <w:t>08</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死亡抚恤</w:t>
      </w:r>
      <w:r>
        <w:rPr>
          <w:rStyle w:val="19"/>
          <w:rFonts w:hint="eastAsia" w:ascii="仿宋_GB2312" w:hAnsi="仿宋_GB2312" w:eastAsia="仿宋_GB2312" w:cs="仿宋_GB2312"/>
          <w:bCs/>
          <w:color w:val="auto"/>
          <w:sz w:val="32"/>
          <w:szCs w:val="32"/>
          <w:highlight w:val="none"/>
          <w:lang w:val="en-US" w:eastAsia="zh-CN"/>
        </w:rPr>
        <w:t>01</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指反映按规定用于烈士和牺牲、病故人员家属的一次性和定期抚恤金以及丧葬补助费。</w:t>
      </w:r>
    </w:p>
    <w:p>
      <w:pPr>
        <w:spacing w:line="600" w:lineRule="exact"/>
        <w:ind w:firstLine="643" w:firstLineChars="200"/>
        <w:rPr>
          <w:rFonts w:hint="eastAsia" w:ascii="仿宋_GB2312" w:hAnsi="仿宋_GB2312" w:eastAsia="仿宋_GB2312" w:cs="仿宋_GB2312"/>
          <w:color w:val="auto"/>
          <w:lang w:eastAsia="zh-CN"/>
        </w:rPr>
      </w:pPr>
      <w:r>
        <w:rPr>
          <w:rStyle w:val="19"/>
          <w:rFonts w:hint="eastAsia" w:ascii="仿宋_GB2312" w:hAnsi="仿宋_GB2312" w:eastAsia="仿宋_GB2312" w:cs="仿宋_GB2312"/>
          <w:bCs/>
          <w:color w:val="auto"/>
          <w:sz w:val="32"/>
          <w:szCs w:val="32"/>
          <w:highlight w:val="none"/>
          <w:lang w:val="en-US" w:eastAsia="zh-CN"/>
        </w:rPr>
        <w:t>1</w:t>
      </w:r>
      <w:r>
        <w:rPr>
          <w:rStyle w:val="19"/>
          <w:rFonts w:hint="default" w:ascii="仿宋_GB2312" w:hAnsi="仿宋_GB2312" w:eastAsia="仿宋_GB2312" w:cs="仿宋_GB2312"/>
          <w:bCs/>
          <w:color w:val="auto"/>
          <w:sz w:val="32"/>
          <w:szCs w:val="32"/>
          <w:highlight w:val="none"/>
          <w:lang w:val="en" w:eastAsia="zh-CN"/>
        </w:rPr>
        <w:t>5</w:t>
      </w:r>
      <w:r>
        <w:rPr>
          <w:rStyle w:val="19"/>
          <w:rFonts w:hint="eastAsia" w:ascii="仿宋_GB2312" w:hAnsi="仿宋_GB2312" w:eastAsia="仿宋_GB2312" w:cs="仿宋_GB2312"/>
          <w:bCs/>
          <w:color w:val="auto"/>
          <w:sz w:val="32"/>
          <w:szCs w:val="32"/>
          <w:highlight w:val="none"/>
        </w:rPr>
        <w:t>.社会保障和就业</w:t>
      </w:r>
      <w:r>
        <w:rPr>
          <w:rStyle w:val="19"/>
          <w:rFonts w:hint="eastAsia" w:ascii="仿宋_GB2312" w:hAnsi="仿宋_GB2312" w:eastAsia="仿宋_GB2312" w:cs="仿宋_GB2312"/>
          <w:bCs/>
          <w:color w:val="auto"/>
          <w:sz w:val="32"/>
          <w:szCs w:val="32"/>
          <w:highlight w:val="none"/>
          <w:lang w:val="en-US" w:eastAsia="zh-CN"/>
        </w:rPr>
        <w:t>208</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其他社会保障和就业支出</w:t>
      </w:r>
      <w:r>
        <w:rPr>
          <w:rStyle w:val="19"/>
          <w:rFonts w:hint="eastAsia" w:ascii="仿宋_GB2312" w:hAnsi="仿宋_GB2312" w:eastAsia="仿宋_GB2312" w:cs="仿宋_GB2312"/>
          <w:bCs/>
          <w:color w:val="auto"/>
          <w:sz w:val="32"/>
          <w:szCs w:val="32"/>
          <w:highlight w:val="none"/>
          <w:lang w:val="en-US" w:eastAsia="zh-CN"/>
        </w:rPr>
        <w:t>99</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其他社会保障和就业支出</w:t>
      </w:r>
      <w:r>
        <w:rPr>
          <w:rStyle w:val="19"/>
          <w:rFonts w:hint="eastAsia" w:ascii="仿宋_GB2312" w:hAnsi="仿宋_GB2312" w:eastAsia="仿宋_GB2312" w:cs="仿宋_GB2312"/>
          <w:bCs/>
          <w:color w:val="auto"/>
          <w:sz w:val="32"/>
          <w:szCs w:val="32"/>
          <w:highlight w:val="none"/>
          <w:lang w:val="en-US" w:eastAsia="zh-CN"/>
        </w:rPr>
        <w:t>99</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lang w:eastAsia="zh-CN"/>
        </w:rPr>
        <w:t>指反映除上述项目以外其他用于社会保障和就业方面的支出。</w:t>
      </w:r>
    </w:p>
    <w:p>
      <w:pPr>
        <w:spacing w:line="600" w:lineRule="exact"/>
        <w:ind w:firstLine="643" w:firstLineChars="200"/>
        <w:rPr>
          <w:rStyle w:val="19"/>
          <w:rFonts w:hint="default" w:ascii="仿宋_GB2312" w:hAnsi="仿宋_GB2312" w:eastAsia="仿宋_GB2312" w:cs="仿宋_GB2312"/>
          <w:b w:val="0"/>
          <w:bCs w:val="0"/>
          <w:color w:val="auto"/>
          <w:sz w:val="32"/>
          <w:szCs w:val="32"/>
          <w:highlight w:val="none"/>
          <w:lang w:val="en-US" w:eastAsia="zh-CN"/>
        </w:rPr>
      </w:pPr>
      <w:r>
        <w:rPr>
          <w:rStyle w:val="19"/>
          <w:rFonts w:hint="eastAsia" w:ascii="仿宋_GB2312" w:hAnsi="仿宋_GB2312" w:eastAsia="仿宋_GB2312" w:cs="仿宋_GB2312"/>
          <w:bCs/>
          <w:color w:val="auto"/>
          <w:sz w:val="32"/>
          <w:szCs w:val="32"/>
          <w:highlight w:val="none"/>
          <w:lang w:val="en-US" w:eastAsia="zh-CN"/>
        </w:rPr>
        <w:t>1</w:t>
      </w:r>
      <w:r>
        <w:rPr>
          <w:rStyle w:val="19"/>
          <w:rFonts w:hint="default" w:ascii="仿宋_GB2312" w:hAnsi="仿宋_GB2312" w:eastAsia="仿宋_GB2312" w:cs="仿宋_GB2312"/>
          <w:bCs/>
          <w:color w:val="auto"/>
          <w:sz w:val="32"/>
          <w:szCs w:val="32"/>
          <w:highlight w:val="none"/>
          <w:lang w:val="en" w:eastAsia="zh-CN"/>
        </w:rPr>
        <w:t>6</w:t>
      </w:r>
      <w:r>
        <w:rPr>
          <w:rStyle w:val="19"/>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bCs/>
          <w:color w:val="auto"/>
          <w:sz w:val="32"/>
          <w:szCs w:val="32"/>
          <w:highlight w:val="none"/>
          <w:lang w:val="en-US" w:eastAsia="zh-CN"/>
        </w:rPr>
        <w:t>210</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行政事业单位医疗</w:t>
      </w:r>
      <w:r>
        <w:rPr>
          <w:rStyle w:val="19"/>
          <w:rFonts w:hint="eastAsia" w:ascii="仿宋_GB2312" w:hAnsi="仿宋_GB2312" w:eastAsia="仿宋_GB2312" w:cs="仿宋_GB2312"/>
          <w:bCs/>
          <w:color w:val="auto"/>
          <w:sz w:val="32"/>
          <w:szCs w:val="32"/>
          <w:highlight w:val="none"/>
          <w:lang w:val="en-US" w:eastAsia="zh-CN"/>
        </w:rPr>
        <w:t>11</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行政单位医疗</w:t>
      </w:r>
      <w:r>
        <w:rPr>
          <w:rStyle w:val="19"/>
          <w:rFonts w:hint="eastAsia" w:ascii="仿宋_GB2312" w:hAnsi="仿宋_GB2312" w:eastAsia="仿宋_GB2312" w:cs="仿宋_GB2312"/>
          <w:bCs/>
          <w:color w:val="auto"/>
          <w:sz w:val="32"/>
          <w:szCs w:val="32"/>
          <w:highlight w:val="none"/>
          <w:lang w:val="en-US" w:eastAsia="zh-CN"/>
        </w:rPr>
        <w:t>01</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val="0"/>
          <w:color w:val="auto"/>
          <w:sz w:val="32"/>
          <w:szCs w:val="32"/>
          <w:highlight w:val="none"/>
          <w:lang w:eastAsia="zh-CN"/>
        </w:rPr>
        <w:t>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_GB2312" w:hAnsi="仿宋_GB2312" w:eastAsia="仿宋_GB2312" w:cs="仿宋_GB2312"/>
          <w:b/>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1</w:t>
      </w:r>
      <w:r>
        <w:rPr>
          <w:rStyle w:val="19"/>
          <w:rFonts w:hint="default" w:ascii="仿宋_GB2312" w:hAnsi="仿宋_GB2312" w:eastAsia="仿宋_GB2312" w:cs="仿宋_GB2312"/>
          <w:bCs/>
          <w:color w:val="auto"/>
          <w:sz w:val="32"/>
          <w:szCs w:val="32"/>
          <w:highlight w:val="none"/>
          <w:lang w:val="en" w:eastAsia="zh-CN"/>
        </w:rPr>
        <w:t>7</w:t>
      </w:r>
      <w:r>
        <w:rPr>
          <w:rStyle w:val="19"/>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住房保障支出</w:t>
      </w:r>
      <w:r>
        <w:rPr>
          <w:rFonts w:hint="eastAsia" w:ascii="仿宋_GB2312" w:hAnsi="仿宋_GB2312" w:eastAsia="仿宋_GB2312" w:cs="仿宋_GB2312"/>
          <w:b/>
          <w:bCs/>
          <w:color w:val="auto"/>
          <w:sz w:val="32"/>
          <w:szCs w:val="32"/>
          <w:highlight w:val="none"/>
          <w:lang w:val="en-US" w:eastAsia="zh-CN"/>
        </w:rPr>
        <w:t>221</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住房改革支出</w:t>
      </w:r>
      <w:r>
        <w:rPr>
          <w:rStyle w:val="19"/>
          <w:rFonts w:hint="eastAsia" w:ascii="仿宋_GB2312" w:hAnsi="仿宋_GB2312" w:eastAsia="仿宋_GB2312" w:cs="仿宋_GB2312"/>
          <w:bCs/>
          <w:color w:val="auto"/>
          <w:sz w:val="32"/>
          <w:szCs w:val="32"/>
          <w:highlight w:val="none"/>
          <w:lang w:val="en-US" w:eastAsia="zh-CN"/>
        </w:rPr>
        <w:t>02</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eastAsia="zh-CN"/>
        </w:rPr>
        <w:t>住房公积金</w:t>
      </w:r>
      <w:r>
        <w:rPr>
          <w:rStyle w:val="19"/>
          <w:rFonts w:hint="eastAsia" w:ascii="仿宋_GB2312" w:hAnsi="仿宋_GB2312" w:eastAsia="仿宋_GB2312" w:cs="仿宋_GB2312"/>
          <w:bCs/>
          <w:color w:val="auto"/>
          <w:sz w:val="32"/>
          <w:szCs w:val="32"/>
          <w:highlight w:val="none"/>
          <w:lang w:val="en-US" w:eastAsia="zh-CN"/>
        </w:rPr>
        <w:t>01</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val="0"/>
          <w:color w:val="auto"/>
          <w:sz w:val="32"/>
          <w:szCs w:val="32"/>
          <w:highlight w:val="none"/>
          <w:lang w:eastAsia="zh-CN"/>
        </w:rPr>
        <w:t>指反映行政事业单位按人力资源和社会保障部、财政部规定的基本工资和津贴补贴以及规定比例为职工缴纳的住房公积金。</w:t>
      </w:r>
    </w:p>
    <w:p>
      <w:pPr>
        <w:ind w:firstLine="643" w:firstLineChars="200"/>
        <w:rPr>
          <w:rFonts w:hint="eastAsia" w:ascii="仿宋_GB2312" w:hAnsi="仿宋_GB2312" w:eastAsia="仿宋_GB2312" w:cs="仿宋_GB2312"/>
          <w:color w:val="auto"/>
          <w:sz w:val="32"/>
          <w:szCs w:val="32"/>
          <w:highlight w:val="none"/>
        </w:rPr>
      </w:pPr>
      <w:r>
        <w:rPr>
          <w:rStyle w:val="19"/>
          <w:rFonts w:hint="eastAsia" w:ascii="仿宋_GB2312" w:hAnsi="仿宋_GB2312" w:eastAsia="仿宋_GB2312" w:cs="仿宋_GB2312"/>
          <w:bCs/>
          <w:color w:val="auto"/>
          <w:sz w:val="32"/>
          <w:szCs w:val="32"/>
          <w:highlight w:val="none"/>
          <w:lang w:val="en"/>
        </w:rPr>
        <w:t>1</w:t>
      </w:r>
      <w:r>
        <w:rPr>
          <w:rStyle w:val="19"/>
          <w:rFonts w:hint="default" w:ascii="仿宋_GB2312" w:hAnsi="仿宋_GB2312" w:eastAsia="仿宋_GB2312" w:cs="仿宋_GB2312"/>
          <w:bCs/>
          <w:color w:val="auto"/>
          <w:sz w:val="32"/>
          <w:szCs w:val="32"/>
          <w:highlight w:val="none"/>
          <w:lang w:val="en"/>
        </w:rPr>
        <w:t>8</w:t>
      </w:r>
      <w:r>
        <w:rPr>
          <w:rStyle w:val="19"/>
          <w:rFonts w:hint="eastAsia" w:ascii="仿宋_GB2312" w:hAnsi="仿宋_GB2312" w:eastAsia="仿宋_GB2312" w:cs="仿宋_GB2312"/>
          <w:bCs/>
          <w:color w:val="auto"/>
          <w:sz w:val="32"/>
          <w:szCs w:val="32"/>
          <w:highlight w:val="none"/>
        </w:rPr>
        <w:t>.基本支出：</w:t>
      </w:r>
      <w:r>
        <w:rPr>
          <w:rFonts w:hint="eastAsia" w:ascii="仿宋_GB2312" w:hAnsi="仿宋_GB2312" w:eastAsia="仿宋_GB2312" w:cs="仿宋_GB2312"/>
          <w:color w:val="auto"/>
          <w:sz w:val="32"/>
          <w:szCs w:val="32"/>
          <w:highlight w:val="none"/>
        </w:rPr>
        <w:t>指为保障机构正常运转、完成日常工作任务而发生的人员支出和公用支出。</w:t>
      </w:r>
    </w:p>
    <w:p>
      <w:pPr>
        <w:ind w:firstLine="643" w:firstLineChars="200"/>
        <w:rPr>
          <w:rFonts w:hint="eastAsia" w:ascii="仿宋_GB2312" w:hAnsi="仿宋_GB2312" w:eastAsia="仿宋_GB2312" w:cs="仿宋_GB2312"/>
          <w:color w:val="auto"/>
          <w:sz w:val="32"/>
          <w:szCs w:val="32"/>
          <w:highlight w:val="none"/>
        </w:rPr>
      </w:pPr>
      <w:r>
        <w:rPr>
          <w:rStyle w:val="19"/>
          <w:rFonts w:hint="eastAsia" w:ascii="仿宋_GB2312" w:hAnsi="仿宋_GB2312" w:eastAsia="仿宋_GB2312" w:cs="仿宋_GB2312"/>
          <w:bCs/>
          <w:color w:val="auto"/>
          <w:sz w:val="32"/>
          <w:szCs w:val="32"/>
          <w:highlight w:val="none"/>
          <w:lang w:val="en"/>
        </w:rPr>
        <w:t>1</w:t>
      </w:r>
      <w:r>
        <w:rPr>
          <w:rStyle w:val="19"/>
          <w:rFonts w:hint="default" w:ascii="仿宋_GB2312" w:hAnsi="仿宋_GB2312" w:eastAsia="仿宋_GB2312" w:cs="仿宋_GB2312"/>
          <w:bCs/>
          <w:color w:val="auto"/>
          <w:sz w:val="32"/>
          <w:szCs w:val="32"/>
          <w:highlight w:val="none"/>
          <w:lang w:val="en"/>
        </w:rPr>
        <w:t>9</w:t>
      </w:r>
      <w:r>
        <w:rPr>
          <w:rStyle w:val="19"/>
          <w:rFonts w:hint="eastAsia" w:ascii="仿宋_GB2312" w:hAnsi="仿宋_GB2312" w:eastAsia="仿宋_GB2312" w:cs="仿宋_GB2312"/>
          <w:bCs/>
          <w:color w:val="auto"/>
          <w:sz w:val="32"/>
          <w:szCs w:val="32"/>
          <w:highlight w:val="none"/>
        </w:rPr>
        <w:t>.项目支出：</w:t>
      </w:r>
      <w:r>
        <w:rPr>
          <w:rFonts w:hint="eastAsia" w:ascii="仿宋_GB2312" w:hAnsi="仿宋_GB2312" w:eastAsia="仿宋_GB2312" w:cs="仿宋_GB2312"/>
          <w:color w:val="auto"/>
          <w:sz w:val="32"/>
          <w:szCs w:val="32"/>
          <w:highlight w:val="none"/>
        </w:rPr>
        <w:t xml:space="preserve">指在基本支出之外为完成特定行政任务和事业发展目标所发生的支出。 </w:t>
      </w:r>
    </w:p>
    <w:p>
      <w:pPr>
        <w:pStyle w:val="30"/>
        <w:spacing w:line="560" w:lineRule="exact"/>
        <w:ind w:firstLine="643" w:firstLineChars="200"/>
        <w:rPr>
          <w:rFonts w:hint="eastAsia" w:ascii="仿宋_GB2312" w:hAnsi="仿宋_GB2312" w:eastAsia="仿宋_GB2312" w:cs="仿宋_GB2312"/>
          <w:color w:val="auto"/>
          <w:sz w:val="32"/>
          <w:szCs w:val="32"/>
          <w:highlight w:val="none"/>
        </w:rPr>
      </w:pPr>
      <w:r>
        <w:rPr>
          <w:rStyle w:val="19"/>
          <w:rFonts w:hint="default" w:ascii="仿宋_GB2312" w:hAnsi="仿宋_GB2312" w:eastAsia="仿宋_GB2312" w:cs="仿宋_GB2312"/>
          <w:bCs/>
          <w:color w:val="auto"/>
          <w:kern w:val="2"/>
          <w:sz w:val="32"/>
          <w:szCs w:val="32"/>
          <w:highlight w:val="none"/>
          <w:lang w:val="en" w:eastAsia="zh-CN" w:bidi="ar-SA"/>
        </w:rPr>
        <w:t>20</w:t>
      </w:r>
      <w:r>
        <w:rPr>
          <w:rStyle w:val="19"/>
          <w:rFonts w:hint="eastAsia" w:ascii="仿宋_GB2312" w:hAnsi="仿宋_GB2312" w:eastAsia="仿宋_GB2312" w:cs="仿宋_GB2312"/>
          <w:bCs/>
          <w:color w:val="auto"/>
          <w:kern w:val="2"/>
          <w:sz w:val="32"/>
          <w:szCs w:val="32"/>
          <w:highlight w:val="none"/>
          <w:lang w:val="en-US" w:eastAsia="zh-CN" w:bidi="ar-SA"/>
        </w:rPr>
        <w:t>.“三公”经费：</w:t>
      </w:r>
      <w:r>
        <w:rPr>
          <w:rFonts w:hint="eastAsia" w:ascii="仿宋_GB2312" w:hAnsi="仿宋_GB2312" w:eastAsia="仿宋_GB2312" w:cs="仿宋_GB2312"/>
          <w:color w:val="auto"/>
          <w:sz w:val="32"/>
          <w:szCs w:val="32"/>
          <w:highlight w:val="none"/>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3" w:firstLineChars="200"/>
        <w:rPr>
          <w:rFonts w:hint="eastAsia" w:ascii="仿宋_GB2312" w:hAnsi="仿宋_GB2312" w:eastAsia="仿宋_GB2312" w:cs="仿宋_GB2312"/>
          <w:color w:val="auto"/>
          <w:sz w:val="32"/>
          <w:szCs w:val="32"/>
          <w:highlight w:val="none"/>
        </w:rPr>
      </w:pPr>
      <w:r>
        <w:rPr>
          <w:rStyle w:val="19"/>
          <w:rFonts w:hint="eastAsia" w:ascii="仿宋_GB2312" w:hAnsi="仿宋_GB2312" w:eastAsia="仿宋_GB2312" w:cs="仿宋_GB2312"/>
          <w:bCs/>
          <w:color w:val="auto"/>
          <w:kern w:val="2"/>
          <w:sz w:val="32"/>
          <w:szCs w:val="32"/>
          <w:highlight w:val="none"/>
          <w:lang w:val="en" w:eastAsia="zh-CN" w:bidi="ar-SA"/>
        </w:rPr>
        <w:t>2</w:t>
      </w:r>
      <w:r>
        <w:rPr>
          <w:rStyle w:val="19"/>
          <w:rFonts w:hint="default" w:ascii="仿宋_GB2312" w:hAnsi="仿宋_GB2312" w:eastAsia="仿宋_GB2312" w:cs="仿宋_GB2312"/>
          <w:bCs/>
          <w:color w:val="auto"/>
          <w:kern w:val="2"/>
          <w:sz w:val="32"/>
          <w:szCs w:val="32"/>
          <w:highlight w:val="none"/>
          <w:lang w:val="en" w:eastAsia="zh-CN" w:bidi="ar-SA"/>
        </w:rPr>
        <w:t>1</w:t>
      </w:r>
      <w:r>
        <w:rPr>
          <w:rStyle w:val="19"/>
          <w:rFonts w:hint="eastAsia" w:ascii="仿宋_GB2312" w:hAnsi="仿宋_GB2312" w:eastAsia="仿宋_GB2312" w:cs="仿宋_GB2312"/>
          <w:bCs/>
          <w:color w:val="auto"/>
          <w:kern w:val="2"/>
          <w:sz w:val="32"/>
          <w:szCs w:val="32"/>
          <w:highlight w:val="none"/>
          <w:lang w:val="en-US" w:eastAsia="zh-CN" w:bidi="ar-SA"/>
        </w:rPr>
        <w:t>.机关运行经费：</w:t>
      </w:r>
      <w:r>
        <w:rPr>
          <w:rFonts w:hint="eastAsia" w:ascii="仿宋_GB2312" w:hAnsi="仿宋_GB2312" w:eastAsia="仿宋_GB2312" w:cs="仿宋_GB2312"/>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1"/>
          <w:rFonts w:hint="eastAsia" w:ascii="黑体" w:hAnsi="黑体" w:eastAsia="黑体"/>
          <w:b w:val="0"/>
          <w:color w:val="auto"/>
          <w:highlight w:val="none"/>
          <w:lang w:eastAsia="zh-CN"/>
        </w:rPr>
      </w:pPr>
      <w:bookmarkStart w:id="57" w:name="_Toc15377226"/>
      <w:r>
        <w:rPr>
          <w:rFonts w:hint="eastAsia" w:ascii="仿宋_GB2312" w:hAnsi="仿宋_GB2312" w:eastAsia="仿宋_GB2312" w:cs="仿宋_GB2312"/>
          <w:b/>
          <w:color w:val="auto"/>
          <w:sz w:val="44"/>
          <w:szCs w:val="44"/>
          <w:highlight w:val="none"/>
        </w:rPr>
        <w:br w:type="page"/>
      </w:r>
      <w:bookmarkStart w:id="58" w:name="_Toc15396614"/>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 附件</w:t>
      </w:r>
      <w:bookmarkEnd w:id="58"/>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市委统战部</w:t>
      </w:r>
      <w:r>
        <w:rPr>
          <w:rFonts w:hint="eastAsia" w:ascii="方正小标宋简体" w:hAnsi="宋体" w:eastAsia="方正小标宋简体"/>
          <w:color w:val="auto"/>
          <w:kern w:val="0"/>
          <w:sz w:val="40"/>
          <w:szCs w:val="44"/>
          <w:highlight w:val="none"/>
        </w:rPr>
        <w:t>整体绩效评价报告</w:t>
      </w:r>
    </w:p>
    <w:p>
      <w:pPr>
        <w:keepNext w:val="0"/>
        <w:keepLines w:val="0"/>
        <w:pageBreakBefore w:val="0"/>
        <w:widowControl/>
        <w:kinsoku/>
        <w:wordWrap/>
        <w:overflowPunct/>
        <w:topLinePunct w:val="0"/>
        <w:autoSpaceDE/>
        <w:autoSpaceDN/>
        <w:bidi w:val="0"/>
        <w:spacing w:line="572" w:lineRule="exact"/>
        <w:ind w:firstLine="640" w:firstLineChars="200"/>
        <w:contextualSpacing/>
        <w:jc w:val="center"/>
        <w:textAlignment w:val="auto"/>
        <w:rPr>
          <w:rFonts w:ascii="仿宋_GB2312" w:hAnsi="宋体" w:eastAsia="仿宋_GB2312"/>
          <w:color w:val="auto"/>
          <w:sz w:val="32"/>
          <w:szCs w:val="32"/>
          <w:highlight w:val="none"/>
          <w:shd w:val="clear" w:color="auto" w:fill="FFFFFF"/>
        </w:rPr>
      </w:pPr>
      <w:r>
        <w:rPr>
          <w:rFonts w:hint="eastAsia" w:ascii="仿宋_GB2312" w:hAnsi="宋体" w:eastAsia="仿宋_GB2312"/>
          <w:color w:val="auto"/>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部门概况</w:t>
      </w:r>
    </w:p>
    <w:p>
      <w:pPr>
        <w:pStyle w:val="7"/>
        <w:pageBreakBefore w:val="0"/>
        <w:kinsoku/>
        <w:wordWrap/>
        <w:topLinePunct w:val="0"/>
        <w:bidi w:val="0"/>
        <w:adjustRightInd w:val="0"/>
        <w:snapToGrid w:val="0"/>
        <w:spacing w:beforeLines="0" w:line="576" w:lineRule="exact"/>
        <w:ind w:firstLine="672" w:firstLineChars="210"/>
        <w:textAlignment w:val="auto"/>
        <w:rPr>
          <w:rFonts w:hint="eastAsia" w:ascii="仿宋_GB2312" w:hAnsi="Times New Roman" w:eastAsia="仿宋_GB2312" w:cs="仿宋_GB2312"/>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Cs/>
          <w:color w:val="auto"/>
          <w:kern w:val="2"/>
          <w:sz w:val="32"/>
          <w:szCs w:val="32"/>
          <w:highlight w:val="none"/>
          <w:lang w:val="zh-CN" w:eastAsia="zh-CN" w:bidi="ar-SA"/>
        </w:rPr>
        <w:t>（一）机构组成。</w:t>
      </w:r>
      <w:r>
        <w:rPr>
          <w:rFonts w:hint="eastAsia" w:ascii="仿宋_GB2312" w:hAnsi="宋体" w:eastAsia="仿宋_GB2312" w:cs="宋体"/>
          <w:color w:val="auto"/>
          <w:kern w:val="0"/>
          <w:sz w:val="32"/>
          <w:szCs w:val="32"/>
          <w:highlight w:val="none"/>
          <w:shd w:val="clear" w:color="auto" w:fill="FFFFFF"/>
          <w:lang w:val="zh-CN"/>
        </w:rPr>
        <w:t>市委统战部下属二级单位</w:t>
      </w:r>
      <w:r>
        <w:rPr>
          <w:rFonts w:hint="eastAsia" w:ascii="仿宋_GB2312" w:hAnsi="宋体" w:eastAsia="仿宋_GB2312" w:cs="宋体"/>
          <w:color w:val="auto"/>
          <w:kern w:val="0"/>
          <w:sz w:val="32"/>
          <w:szCs w:val="32"/>
          <w:highlight w:val="none"/>
          <w:shd w:val="clear" w:color="auto" w:fill="FFFFFF"/>
          <w:lang w:val="en-US" w:eastAsia="zh-CN"/>
        </w:rPr>
        <w:t>7个（含市委统战部本级），其中行政单位7个，</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市委统战部本级含下属事业单位</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3</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个。</w:t>
      </w:r>
    </w:p>
    <w:p>
      <w:pPr>
        <w:pageBreakBefore w:val="0"/>
        <w:kinsoku/>
        <w:wordWrap/>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方正楷体_GBK" w:hAnsi="方正楷体_GBK" w:eastAsia="方正楷体_GBK" w:cs="方正楷体_GBK"/>
          <w:bCs/>
          <w:color w:val="auto"/>
          <w:sz w:val="32"/>
          <w:szCs w:val="32"/>
          <w:highlight w:val="none"/>
          <w:lang w:val="zh-CN"/>
        </w:rPr>
        <w:t>（二）机构职能。</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贯彻落实党中央、省委、市委关于统一战线工作重大决策部署，协调统一战线各方面关系，组织落实巩固壮大最广泛的统一战线。</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深入调查研究，及时向市委报告统一战线工作情况并提出建议。统筹协调和指导各县区、各部门（单位）统一战线工作。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负责发现、培养党外代表人士，制定党外干部培养规划。反映和协调解决党外代表人士工作、生活中的实际困难。</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贯彻落实党的宣传工作方针，统筹推进全市统一战线宣传和意识形态工作，落实党中央、省委、市委统一战线宣传工作政策和规划，统筹推进网络人士统战工作。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负责联系各民主党派，通报情况、反映意见、制定年度政党协商计划，贯彻落实中国共产党领导的多党合作和政治协商制度以及对民主党派的方针政策，支持、协助民主党派加强中国特色社会主义参政党建设。</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贯彻落实党的民族工作方针，统筹协调做好少数民族干部工作。依法管理民族事务，全面促进民族事业发展。</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贯彻落实党的宗教工作基本方针和政策。依法管理宗教事务，保护公民宗教信仰自由和正常的宗教活动，维护宗教界合法权益。</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负责联系、培养无党派代表人士，联系、培养党外知识分子代表人士，指导高等学校、科研院所、国有企业等有关单位开展统战工作。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t>负责联系、培养新的社会阶层代表人士。调查研究全市新的社会阶层人士情况并提出政策建议，指导社会组织开展新的社会阶层人士统战工作。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做好非公有制经济领域统战工作，负责全市非公有制经济代表人士工作，参与制定、推动落实鼓励支持引导非公有制经济发展的政策，调查研究全市非公有制经济人士的意见，团结、服务、引导、教育非公有制经济人士，促进非公有制经济健康发展和非公有制经济人士健康成长。</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t>贯彻落实党的海外统战工作政策和规划并组织协调、督促检查落实，联系香港、澳门有关党派、团体及代表人士。</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贯彻落实党的对台工作方针政策。指导、协调、检查市级部门（单位）和各县（区）及大企业对台工作。开展广台交流联络活动，协调指导有关部门开展对台经贸工作和金融、文化、学术、体育、科技、卫生等各个领域的交流与合作，以及广台人员来往、考察、研讨等工作。会同有关部门依法开展涉台权益保护工作。</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t>贯彻落实党的侨务工作方针政策，管理侨务事务，统筹协调有关部门和社会团体涉侨工作，联系海外有关侨团和代表人士，指导推动涉侨宣传、文化交流、华文教育工作等，保护华侨和归侨侨眷在市内的合法权利和利益。</w:t>
      </w:r>
    </w:p>
    <w:p>
      <w:pPr>
        <w:pageBreakBefore w:val="0"/>
        <w:kinsoku/>
        <w:wordWrap/>
        <w:topLinePunct w:val="0"/>
        <w:bidi w:val="0"/>
        <w:spacing w:line="576" w:lineRule="exact"/>
        <w:ind w:firstLine="64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t>负责县区统战部负责人培训工作。受市委委托，领导市工商联党组，指导工商联工作。指导市党外知识分子联谊会、市新的社会阶层人士联谊会、市中华职业教育社等工作。指导市社会主义学院工作。做好统一战线有关单位和团体及事业单位的管理工作。</w:t>
      </w:r>
    </w:p>
    <w:p>
      <w:pPr>
        <w:pageBreakBefore w:val="0"/>
        <w:kinsoku/>
        <w:wordWrap/>
        <w:topLinePunct w:val="0"/>
        <w:bidi w:val="0"/>
        <w:spacing w:line="576" w:lineRule="exact"/>
        <w:ind w:firstLine="640"/>
        <w:textAlignment w:val="auto"/>
        <w:rPr>
          <w:rFonts w:ascii="仿宋_GB2312" w:hAnsi="宋体" w:eastAsia="仿宋_GB2312" w:cs="宋体"/>
          <w:color w:val="auto"/>
          <w:kern w:val="0"/>
          <w:sz w:val="32"/>
          <w:szCs w:val="32"/>
          <w:highlight w:val="none"/>
          <w:shd w:val="clear" w:color="auto" w:fill="FFFFFF"/>
          <w:lang w:val="zh-CN"/>
        </w:rPr>
      </w:pP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完成市委交办的其他任务。</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方正楷体_GBK" w:hAnsi="方正楷体_GBK" w:eastAsia="方正楷体_GBK" w:cs="方正楷体_GBK"/>
          <w:bCs/>
          <w:color w:val="auto"/>
          <w:sz w:val="32"/>
          <w:szCs w:val="32"/>
          <w:highlight w:val="none"/>
          <w:lang w:val="zh-CN"/>
        </w:rPr>
        <w:t>（三）人员概况。</w:t>
      </w:r>
      <w:r>
        <w:rPr>
          <w:rFonts w:hint="eastAsia" w:ascii="仿宋_GB2312" w:hAnsi="宋体" w:eastAsia="仿宋_GB2312" w:cs="宋体"/>
          <w:color w:val="auto"/>
          <w:kern w:val="0"/>
          <w:sz w:val="32"/>
          <w:szCs w:val="32"/>
          <w:highlight w:val="none"/>
          <w:shd w:val="clear" w:color="auto" w:fill="FFFFFF"/>
          <w:lang w:val="en-US" w:eastAsia="zh-CN"/>
        </w:rPr>
        <w:t xml:space="preserve">2021年市委统战部总编制59名，其中行政编制40名，事业编制15名，工勤编制4名。在职人员总数58人，其中行政人员40人,事业人员13人,工勤人员5人。离休人员1 人，退休人员36人。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方正楷体_GBK" w:hAnsi="方正楷体_GBK" w:eastAsia="方正楷体_GBK" w:cs="方正楷体_GBK"/>
          <w:bCs/>
          <w:color w:val="auto"/>
          <w:sz w:val="32"/>
          <w:szCs w:val="32"/>
          <w:highlight w:val="none"/>
          <w:lang w:val="zh-CN"/>
        </w:rPr>
        <w:t>（一）部门财政资金收入情况。</w:t>
      </w:r>
      <w:r>
        <w:rPr>
          <w:rFonts w:hint="eastAsia" w:ascii="仿宋_GB2312" w:hAnsi="宋体" w:eastAsia="仿宋_GB2312" w:cs="宋体"/>
          <w:color w:val="auto"/>
          <w:kern w:val="0"/>
          <w:sz w:val="32"/>
          <w:szCs w:val="32"/>
          <w:highlight w:val="none"/>
          <w:shd w:val="clear" w:color="auto" w:fill="FFFFFF"/>
          <w:lang w:val="zh-CN"/>
        </w:rPr>
        <w:t>202</w:t>
      </w:r>
      <w:r>
        <w:rPr>
          <w:rFonts w:hint="eastAsia" w:ascii="仿宋_GB2312" w:hAnsi="宋体" w:eastAsia="仿宋_GB2312" w:cs="宋体"/>
          <w:color w:val="auto"/>
          <w:kern w:val="0"/>
          <w:sz w:val="32"/>
          <w:szCs w:val="32"/>
          <w:highlight w:val="none"/>
          <w:shd w:val="clear" w:color="auto" w:fill="FFFFFF"/>
          <w:lang w:val="en-US" w:eastAsia="zh-CN"/>
        </w:rPr>
        <w:t>1</w:t>
      </w:r>
      <w:r>
        <w:rPr>
          <w:rFonts w:hint="eastAsia" w:ascii="仿宋_GB2312" w:hAnsi="宋体" w:eastAsia="仿宋_GB2312" w:cs="宋体"/>
          <w:color w:val="auto"/>
          <w:kern w:val="0"/>
          <w:sz w:val="32"/>
          <w:szCs w:val="32"/>
          <w:highlight w:val="none"/>
          <w:shd w:val="clear" w:color="auto" w:fill="FFFFFF"/>
          <w:lang w:val="zh-CN"/>
        </w:rPr>
        <w:t>年财政资金收入</w:t>
      </w:r>
      <w:r>
        <w:rPr>
          <w:rFonts w:hint="eastAsia" w:ascii="仿宋_GB2312" w:hAnsi="仿宋_GB2312" w:eastAsia="仿宋_GB2312" w:cs="仿宋_GB2312"/>
          <w:color w:val="auto"/>
          <w:kern w:val="0"/>
          <w:sz w:val="32"/>
          <w:szCs w:val="32"/>
          <w:lang w:val="en-US" w:eastAsia="zh-CN"/>
        </w:rPr>
        <w:t>1577.53</w:t>
      </w:r>
      <w:r>
        <w:rPr>
          <w:rFonts w:hint="eastAsia" w:ascii="仿宋_GB2312" w:hAnsi="宋体" w:eastAsia="仿宋_GB2312" w:cs="宋体"/>
          <w:color w:val="auto"/>
          <w:kern w:val="0"/>
          <w:sz w:val="32"/>
          <w:szCs w:val="32"/>
          <w:highlight w:val="none"/>
          <w:shd w:val="clear" w:color="auto" w:fill="FFFFFF"/>
          <w:lang w:val="zh-CN"/>
        </w:rPr>
        <w:t>万元。</w:t>
      </w:r>
      <w:r>
        <w:rPr>
          <w:rFonts w:hint="eastAsia" w:ascii="仿宋_GB2312" w:hAnsi="仿宋_GB2312" w:eastAsia="仿宋_GB2312" w:cs="仿宋_GB2312"/>
          <w:color w:val="auto"/>
          <w:kern w:val="0"/>
          <w:sz w:val="32"/>
          <w:szCs w:val="32"/>
          <w:lang w:val="en-US" w:eastAsia="zh-CN"/>
        </w:rPr>
        <w:t>与2020年相比，财政拨款收、支总计各增加256.37万元，增长19%。主要变动原因一是2021年市级6大民主党派换届及市政协换届增加相应换届工作经费；二是2021年年初结转和结余数据大。</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方正楷体_GBK" w:hAnsi="方正楷体_GBK" w:eastAsia="方正楷体_GBK" w:cs="方正楷体_GBK"/>
          <w:bCs/>
          <w:color w:val="auto"/>
          <w:sz w:val="32"/>
          <w:szCs w:val="32"/>
          <w:highlight w:val="none"/>
          <w:lang w:val="zh-CN"/>
        </w:rPr>
        <w:t>（二）部门财政资金支出情况。</w:t>
      </w:r>
      <w:r>
        <w:rPr>
          <w:rFonts w:hint="eastAsia" w:ascii="仿宋_GB2312" w:hAnsi="宋体" w:eastAsia="仿宋_GB2312" w:cs="宋体"/>
          <w:color w:val="auto"/>
          <w:kern w:val="0"/>
          <w:sz w:val="32"/>
          <w:szCs w:val="32"/>
          <w:highlight w:val="none"/>
          <w:shd w:val="clear" w:color="auto" w:fill="FFFFFF"/>
          <w:lang w:val="en-US" w:eastAsia="zh-CN"/>
        </w:rPr>
        <w:t>2021年财政资金支出</w:t>
      </w:r>
      <w:r>
        <w:rPr>
          <w:rFonts w:hint="eastAsia" w:ascii="仿宋_GB2312" w:hAnsi="仿宋_GB2312" w:eastAsia="仿宋_GB2312" w:cs="仿宋_GB2312"/>
          <w:color w:val="auto"/>
          <w:kern w:val="0"/>
          <w:sz w:val="32"/>
          <w:szCs w:val="32"/>
          <w:lang w:val="en-US" w:eastAsia="zh-CN"/>
        </w:rPr>
        <w:t>1470.73万元，占本年支出合计的99.32%。与2020年相比，一般公共预算财政拨款支出增加257.21万元，增长21%。主要变动原因一是2021年市级6大民主党派换届及市政协换届增加相应换届工作经费；二是2021年年初结转和结余数据大。</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部门整体预算绩效管理情况</w:t>
      </w:r>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lang w:val="zh-CN"/>
        </w:rPr>
      </w:pPr>
      <w:r>
        <w:rPr>
          <w:rFonts w:hint="eastAsia" w:ascii="方正楷体_GBK" w:hAnsi="方正楷体_GBK" w:eastAsia="方正楷体_GBK" w:cs="方正楷体_GBK"/>
          <w:bCs/>
          <w:color w:val="auto"/>
          <w:sz w:val="32"/>
          <w:szCs w:val="32"/>
          <w:highlight w:val="none"/>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根据市财政局的相关政策文件要求，202</w:t>
      </w:r>
      <w:r>
        <w:rPr>
          <w:rFonts w:hint="eastAsia" w:ascii="仿宋_GB2312" w:hAnsi="宋体" w:eastAsia="仿宋_GB2312" w:cs="宋体"/>
          <w:color w:val="auto"/>
          <w:kern w:val="0"/>
          <w:sz w:val="32"/>
          <w:szCs w:val="32"/>
          <w:highlight w:val="none"/>
          <w:shd w:val="clear" w:color="auto" w:fill="FFFFFF"/>
          <w:lang w:val="en-US" w:eastAsia="zh-CN"/>
        </w:rPr>
        <w:t>1</w:t>
      </w:r>
      <w:r>
        <w:rPr>
          <w:rFonts w:hint="eastAsia" w:ascii="仿宋_GB2312" w:hAnsi="宋体" w:eastAsia="仿宋_GB2312" w:cs="宋体"/>
          <w:color w:val="auto"/>
          <w:kern w:val="0"/>
          <w:sz w:val="32"/>
          <w:szCs w:val="32"/>
          <w:highlight w:val="none"/>
          <w:shd w:val="clear" w:color="auto" w:fill="FFFFFF"/>
          <w:lang w:val="zh-CN"/>
        </w:rPr>
        <w:t>年我部严格按照资金来源、用途使用资金；资金拨付有完整的审批程序和手续；资金使用无截留、挤占、挪用、虚列支出等情况。加强资金的使用管理，坚持厉行节约，反对奢侈浪费，按制度办事，确保每一分钱都落到实处，每一环节按程序进行。预决算信息公开及时：能按规定时间、内容在政府门户网站上公开预决算信息，并做到信息资料真实、准确。</w:t>
      </w:r>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lang w:val="zh-CN"/>
        </w:rPr>
      </w:pPr>
      <w:r>
        <w:rPr>
          <w:rFonts w:hint="eastAsia" w:ascii="方正楷体_GBK" w:hAnsi="方正楷体_GBK" w:eastAsia="方正楷体_GBK" w:cs="方正楷体_GBK"/>
          <w:bCs/>
          <w:color w:val="auto"/>
          <w:sz w:val="32"/>
          <w:szCs w:val="32"/>
          <w:highlight w:val="none"/>
          <w:lang w:val="zh-CN"/>
        </w:rPr>
        <w:t>（二）结果应用情况。</w:t>
      </w:r>
    </w:p>
    <w:p>
      <w:pPr>
        <w:adjustRightInd w:val="0"/>
        <w:spacing w:line="590" w:lineRule="exact"/>
        <w:ind w:firstLine="660" w:firstLineChars="200"/>
        <w:rPr>
          <w:rFonts w:eastAsia="方正仿宋_GBK" w:cs="方正仿宋_GBK"/>
          <w:sz w:val="33"/>
          <w:szCs w:val="33"/>
          <w:lang w:val="zh-CN"/>
        </w:rPr>
      </w:pPr>
      <w:r>
        <w:rPr>
          <w:rFonts w:hint="eastAsia" w:eastAsia="方正仿宋_GBK" w:cs="方正仿宋_GBK"/>
          <w:color w:val="000000"/>
          <w:kern w:val="0"/>
          <w:sz w:val="33"/>
          <w:szCs w:val="33"/>
          <w:shd w:val="clear" w:color="auto" w:fill="FFFFFF"/>
          <w:lang w:val="zh-CN"/>
        </w:rPr>
        <w:t>从整体情况看，市委统战部</w:t>
      </w:r>
      <w:r>
        <w:rPr>
          <w:rFonts w:eastAsia="方正仿宋_GBK"/>
          <w:color w:val="000000"/>
          <w:kern w:val="0"/>
          <w:sz w:val="33"/>
          <w:szCs w:val="33"/>
          <w:shd w:val="clear" w:color="auto" w:fill="FFFFFF"/>
        </w:rPr>
        <w:t>202</w:t>
      </w:r>
      <w:r>
        <w:rPr>
          <w:rFonts w:hint="eastAsia" w:eastAsia="方正仿宋_GBK"/>
          <w:color w:val="000000"/>
          <w:kern w:val="0"/>
          <w:sz w:val="33"/>
          <w:szCs w:val="33"/>
          <w:shd w:val="clear" w:color="auto" w:fill="FFFFFF"/>
          <w:lang w:val="en-US" w:eastAsia="zh-CN"/>
        </w:rPr>
        <w:t>1</w:t>
      </w:r>
      <w:r>
        <w:rPr>
          <w:rFonts w:hint="eastAsia" w:eastAsia="方正仿宋_GBK"/>
          <w:color w:val="000000"/>
          <w:kern w:val="0"/>
          <w:sz w:val="33"/>
          <w:szCs w:val="33"/>
          <w:shd w:val="clear" w:color="auto" w:fill="FFFFFF"/>
          <w:lang w:val="zh-CN"/>
        </w:rPr>
        <w:t>年严格按照年初预算进行部门整体支出，支出过程中严格遵守各项规</w:t>
      </w:r>
      <w:r>
        <w:rPr>
          <w:rFonts w:hint="eastAsia" w:eastAsia="方正仿宋_GBK" w:cs="方正仿宋_GBK"/>
          <w:color w:val="000000"/>
          <w:kern w:val="0"/>
          <w:sz w:val="33"/>
          <w:szCs w:val="33"/>
          <w:shd w:val="clear" w:color="auto" w:fill="FFFFFF"/>
          <w:lang w:val="zh-CN"/>
        </w:rPr>
        <w:t>章制度，保障了本系统的正常运转，推动了统战工作的高质量发展。</w:t>
      </w:r>
      <w:r>
        <w:rPr>
          <w:rFonts w:hint="eastAsia" w:eastAsia="方正仿宋_GBK" w:cs="方正仿宋_GBK"/>
          <w:sz w:val="33"/>
          <w:szCs w:val="33"/>
        </w:rPr>
        <w:t>一是保障各项工作圆满完成，由于预算的有效执行，保障了市委统战部全面完成各项目标任务</w:t>
      </w:r>
      <w:r>
        <w:rPr>
          <w:rFonts w:hint="eastAsia" w:eastAsia="方正仿宋_GBK"/>
          <w:sz w:val="33"/>
          <w:szCs w:val="33"/>
        </w:rPr>
        <w:t>。</w:t>
      </w:r>
      <w:r>
        <w:rPr>
          <w:rFonts w:hint="eastAsia" w:eastAsia="方正仿宋_GBK" w:cs="方正仿宋_GBK"/>
          <w:sz w:val="33"/>
          <w:szCs w:val="33"/>
        </w:rPr>
        <w:t>二是政务公开透明，严格按照预算公开和决算公开的要求，在规定时限内在市政府门户网站进行公开。</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pageBreakBefore w:val="0"/>
        <w:kinsoku/>
        <w:wordWrap/>
        <w:topLinePunct w:val="0"/>
        <w:bidi w:val="0"/>
        <w:spacing w:line="576" w:lineRule="exact"/>
        <w:ind w:firstLine="640" w:firstLineChars="200"/>
        <w:textAlignment w:val="auto"/>
        <w:rPr>
          <w:rFonts w:hint="eastAsia" w:ascii="方正楷体_GBK" w:hAnsi="方正楷体_GBK" w:eastAsia="方正楷体_GBK" w:cs="方正楷体_GBK"/>
          <w:bCs/>
          <w:color w:val="auto"/>
          <w:sz w:val="32"/>
          <w:szCs w:val="32"/>
          <w:highlight w:val="none"/>
          <w:lang w:val="zh-CN"/>
        </w:rPr>
      </w:pPr>
      <w:r>
        <w:rPr>
          <w:rFonts w:hint="eastAsia" w:ascii="方正楷体_GBK" w:hAnsi="方正楷体_GBK" w:eastAsia="方正楷体_GBK" w:cs="方正楷体_GBK"/>
          <w:bCs/>
          <w:color w:val="auto"/>
          <w:sz w:val="32"/>
          <w:szCs w:val="32"/>
          <w:highlight w:val="none"/>
          <w:lang w:val="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预算执行方面，支出总额控制在预算总额以内。预算管理方面，制度执行总体较为有效。资产管理方面，建立了资产管理制度，定期进行了盘点和资产清理，总体执行较好。</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方正楷体_GBK" w:hAnsi="方正楷体_GBK" w:eastAsia="方正楷体_GBK" w:cs="方正楷体_GBK"/>
          <w:bCs/>
          <w:color w:val="auto"/>
          <w:sz w:val="32"/>
          <w:szCs w:val="32"/>
          <w:highlight w:val="none"/>
          <w:lang w:val="zh-CN"/>
        </w:rPr>
        <w:t>（二）存在问题。</w:t>
      </w:r>
    </w:p>
    <w:p>
      <w:pPr>
        <w:keepNext w:val="0"/>
        <w:keepLines w:val="0"/>
        <w:pageBreakBefore w:val="0"/>
        <w:widowControl/>
        <w:kinsoku/>
        <w:wordWrap/>
        <w:overflowPunct/>
        <w:topLinePunct w:val="0"/>
        <w:autoSpaceDE/>
        <w:autoSpaceDN/>
        <w:bidi w:val="0"/>
        <w:adjustRightInd w:val="0"/>
        <w:snapToGrid w:val="0"/>
        <w:spacing w:line="576" w:lineRule="exact"/>
        <w:ind w:firstLine="660" w:firstLineChars="200"/>
        <w:contextualSpacing/>
        <w:jc w:val="left"/>
        <w:textAlignment w:val="auto"/>
        <w:rPr>
          <w:rFonts w:hint="eastAsia" w:eastAsia="方正仿宋_GBK"/>
          <w:sz w:val="33"/>
          <w:szCs w:val="33"/>
        </w:rPr>
      </w:pPr>
      <w:r>
        <w:rPr>
          <w:rFonts w:hint="eastAsia" w:eastAsia="方正仿宋_GBK"/>
          <w:sz w:val="33"/>
          <w:szCs w:val="33"/>
        </w:rPr>
        <w:t>一是对预算资金精细化管理不足。部门预算的编制一般根据当年财政状况、上年收支、预算单位自身的特点和业务进行核定，对于临时性、突发性的事项，预算支出达不到逐笔进行核定的要求。二是对绩效评价指标不熟悉，还没有形成预算绩效评估、绩效目标管理、绩效运行监控、支出绩效评价和绩效结果应用全链条的预算绩效管理新机制。</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方正楷体_GBK" w:hAnsi="方正楷体_GBK" w:eastAsia="方正楷体_GBK" w:cs="方正楷体_GBK"/>
          <w:bCs/>
          <w:color w:val="auto"/>
          <w:sz w:val="32"/>
          <w:szCs w:val="32"/>
          <w:highlight w:val="none"/>
          <w:lang w:val="zh-CN"/>
        </w:rPr>
        <w:t>（三）改进建议。</w:t>
      </w:r>
    </w:p>
    <w:p>
      <w:pPr>
        <w:adjustRightInd w:val="0"/>
        <w:spacing w:line="590" w:lineRule="exact"/>
        <w:ind w:firstLine="640" w:firstLineChars="200"/>
        <w:rPr>
          <w:rFonts w:eastAsia="方正仿宋_GBK" w:cs="方正仿宋_GBK"/>
          <w:sz w:val="33"/>
          <w:szCs w:val="33"/>
        </w:rPr>
      </w:pPr>
      <w:r>
        <w:rPr>
          <w:rFonts w:hint="eastAsia" w:ascii="仿宋_GB2312" w:hAnsi="宋体" w:eastAsia="仿宋_GB2312" w:cs="宋体"/>
          <w:color w:val="auto"/>
          <w:kern w:val="0"/>
          <w:sz w:val="32"/>
          <w:szCs w:val="32"/>
          <w:highlight w:val="none"/>
          <w:shd w:val="clear" w:color="auto" w:fill="FFFFFF"/>
          <w:lang w:val="zh-CN"/>
        </w:rPr>
        <w:t>进一步加强单位内部各科室的预算管理意识，严格按照预算编制的相关制度和要求进行预算编制。加强与市财政局的沟通，争取年初预算全面具体。</w:t>
      </w:r>
      <w:r>
        <w:rPr>
          <w:rFonts w:hint="eastAsia" w:eastAsia="方正仿宋_GBK" w:cs="方正仿宋_GBK"/>
          <w:sz w:val="33"/>
          <w:szCs w:val="33"/>
        </w:rPr>
        <w:t>一是加强预算和绩效编制工作。立足单位实际，积极做好项目的前期调研，准确掌握单位人员、车辆、资产等基本信息，准确把握单位业务开展和事业发展动向以及资金需要情况，科学合理编制财政资金预算，细化预算指标，严格按照年初制定的绩效目标，合理合规使用资金、按时完成执行进度，尽量减少预算调整，增强预算的严肃性，不断提高预算管理水平。二是</w:t>
      </w:r>
      <w:r>
        <w:rPr>
          <w:rFonts w:hint="eastAsia" w:eastAsia="方正仿宋_GBK" w:cs="方正仿宋_GBK"/>
          <w:sz w:val="33"/>
          <w:szCs w:val="33"/>
          <w:lang w:eastAsia="zh-CN"/>
        </w:rPr>
        <w:t>加大</w:t>
      </w:r>
      <w:r>
        <w:rPr>
          <w:rFonts w:hint="eastAsia" w:eastAsia="方正仿宋_GBK" w:cs="方正仿宋_GBK"/>
          <w:sz w:val="33"/>
          <w:szCs w:val="33"/>
        </w:rPr>
        <w:t>预算执行力度。督促相关科室人员及时办理相关业务，努力推进预算执行进度，做到当年预算当年支付，提高预算资金使用率，发挥预算资金的使用效益，实现绩效管理。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7"/>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color w:val="auto"/>
          <w:highlight w:val="none"/>
          <w:lang w:val="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广元市中华职业教育社工作经费</w:t>
      </w:r>
    </w:p>
    <w:p>
      <w:pPr>
        <w:pStyle w:val="7"/>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202</w:t>
      </w:r>
      <w:r>
        <w:rPr>
          <w:rFonts w:hint="eastAsia" w:ascii="方正小标宋简体" w:hAnsi="方正小标宋简体" w:eastAsia="方正小标宋简体" w:cs="方正小标宋简体"/>
          <w:color w:val="auto"/>
          <w:sz w:val="44"/>
          <w:szCs w:val="44"/>
          <w:highlight w:val="none"/>
          <w:lang w:val="en-US" w:eastAsia="zh-CN"/>
        </w:rPr>
        <w:t>1</w:t>
      </w:r>
      <w:r>
        <w:rPr>
          <w:rFonts w:hint="eastAsia" w:ascii="方正小标宋简体" w:hAnsi="方正小标宋简体" w:eastAsia="方正小标宋简体" w:cs="方正小标宋简体"/>
          <w:color w:val="auto"/>
          <w:sz w:val="44"/>
          <w:szCs w:val="44"/>
          <w:highlight w:val="none"/>
          <w:lang w:val="zh-CN"/>
        </w:rPr>
        <w:t>年绩效评价报告</w:t>
      </w:r>
    </w:p>
    <w:p>
      <w:pPr>
        <w:pStyle w:val="7"/>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color w:val="auto"/>
          <w:highlight w:val="none"/>
          <w:lang w:val="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一、项目概况</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bCs/>
          <w:color w:val="auto"/>
          <w:kern w:val="2"/>
          <w:sz w:val="32"/>
          <w:szCs w:val="32"/>
          <w:highlight w:val="none"/>
          <w:lang w:val="zh-CN" w:eastAsia="zh-CN" w:bidi="ar-SA"/>
        </w:rPr>
        <w:t>（一）项目基本情况</w:t>
      </w:r>
      <w:r>
        <w:rPr>
          <w:rFonts w:hint="eastAsia" w:ascii="方正楷体_GBK" w:hAnsi="方正楷体_GBK" w:eastAsia="方正楷体_GBK" w:cs="方正楷体_GBK"/>
          <w:color w:val="auto"/>
          <w:sz w:val="32"/>
          <w:szCs w:val="32"/>
          <w:highlight w:val="none"/>
          <w:lang w:val="zh-CN"/>
        </w:rPr>
        <w:t>。</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1．广元市中华职业教育社是财政全额拨款的公益一类正科级事业单位，由市委统战部代管，编制8名,在编实有人数7人，财政全额供养人员。主要职责是团结联系有关社会力量开展职业教育的调查、研究与实验，探索我市改革和发展职业教育的途径；宣传国家、省、市有关职业教育的方针政策，推动我市职业教育事业的跨越发展；开展职业教育和民办教育的调研和研究；联系我市民办职业教育界人士，促进民办教育的联系与交流，推动民办教育事业的健康发展。为团体社员、个人社员开展教育活动提供服务，维护社员的合法权益，反映他们的意见和建议；开展与港、澳、台同胞及海外侨胞中从事和关心职业教育的团体、人士的联系与合作，引导和争取他们关心支持我市职业教育事业，促进民间友好往来；开展与国内外有关教育团体和人士的联谊活动、学术交流，增进相互了解，促进友好合作。</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2．广元市中华职业教育社是经2013年11月20日市委编委全体会议研究同意成立的，并印发《中共广元市委机构编制委员会关于成立广元市中华职业教育社的通知》（广编发〔2013〕115号），将九三学社科技咨询部调整到广元市中华职业教育社挂牌，财政全额拨款。</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3．资金管理由市职教社管理，主要用于广元市中华职业教育社机关工作人员开展相关领域工作调研、慰问及相关活动的差旅经费支出。</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4．资金分配的原则及考虑因素。按照重点工作占比大、其他工作占比对应的原则进行分配。</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（二）项目绩效目标。</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1．项目主要内容。目标1：进一步落实总社、省社关于推动职业教育改革创新发展的一系列重大决策部署。目标2：进一步加大力度争取职业教育促进老区跨越发展广元示范区创建工作。目标3：实施温暖工程乡村振兴、新农村带头人技能培训工作计划。目标4：协助引进优质教育资源，加强与国外教育机构、民间组织、国外友人友好往来。</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2．项目应实现的具体绩效目标，包括目标的量化、细化情况以及项目实施进度计划等。目标2、3要召开2次会议，目标2、3、4、召开3次会议，满意度指标要达到90%以上，目标实施进度计划从202</w:t>
      </w:r>
      <w:r>
        <w:rPr>
          <w:rFonts w:hint="eastAsia"/>
          <w:color w:val="auto"/>
          <w:sz w:val="32"/>
          <w:szCs w:val="32"/>
          <w:highlight w:val="none"/>
          <w:lang w:val="en-US" w:eastAsia="zh-CN"/>
        </w:rPr>
        <w:t>1</w:t>
      </w:r>
      <w:r>
        <w:rPr>
          <w:rFonts w:hint="eastAsia"/>
          <w:color w:val="auto"/>
          <w:sz w:val="32"/>
          <w:szCs w:val="32"/>
          <w:highlight w:val="none"/>
          <w:lang w:val="zh-CN"/>
        </w:rPr>
        <w:t>年1月1日-202</w:t>
      </w:r>
      <w:r>
        <w:rPr>
          <w:rFonts w:hint="eastAsia"/>
          <w:color w:val="auto"/>
          <w:sz w:val="32"/>
          <w:szCs w:val="32"/>
          <w:highlight w:val="none"/>
          <w:lang w:val="en-US" w:eastAsia="zh-CN"/>
        </w:rPr>
        <w:t>1</w:t>
      </w:r>
      <w:r>
        <w:rPr>
          <w:rFonts w:hint="eastAsia"/>
          <w:color w:val="auto"/>
          <w:sz w:val="32"/>
          <w:szCs w:val="32"/>
          <w:highlight w:val="none"/>
          <w:lang w:val="zh-CN"/>
        </w:rPr>
        <w:t>年12月31日完成。</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3．分析评价申报内容是否与实际相符，申报目标是否合理可行。申报内容与实际相符合，申报目标合理可行。</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（三）项目自评步骤及方法。</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项目绩效自评由广元市中华职业教育社机关办公室负责，报机关主任审批，审批后报市委统战部财务室备案。</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二、项目资金申报及使用情况</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（一）项目资金申报及批复情况。</w:t>
      </w:r>
      <w:r>
        <w:rPr>
          <w:rFonts w:hint="eastAsia"/>
          <w:color w:val="auto"/>
          <w:sz w:val="32"/>
          <w:szCs w:val="32"/>
          <w:highlight w:val="none"/>
          <w:lang w:val="zh-CN"/>
        </w:rPr>
        <w:t>项目资金申报由广元市中华职业教育社机关办公室负责提出方案，经市职教社社务委员会同意，经市委统战部审核，审核后报市财政局审批，市财政局向市委统战部出具批复，预算调整程序大致相同。</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（二）资金计划、到位及使用情况。</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1．资金计划。主要由财政资金组成，此外，需要特别说明的是，广元市中华职业教育社账户上的资金，主要是中华同心温暖工程基金会项目资助资金，不属于计划内资金。</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2．资金到位。</w:t>
      </w:r>
      <w:r>
        <w:rPr>
          <w:rFonts w:hint="eastAsia" w:eastAsia="方正仿宋_GBK"/>
          <w:sz w:val="32"/>
          <w:szCs w:val="32"/>
        </w:rPr>
        <w:t>申报资金按时到位，到位率</w:t>
      </w:r>
      <w:r>
        <w:rPr>
          <w:rFonts w:eastAsia="方正仿宋_GBK"/>
          <w:sz w:val="32"/>
          <w:szCs w:val="32"/>
        </w:rPr>
        <w:t>100%</w:t>
      </w:r>
      <w:r>
        <w:rPr>
          <w:rFonts w:hint="eastAsia" w:eastAsia="方正仿宋_GBK"/>
          <w:sz w:val="32"/>
          <w:szCs w:val="32"/>
        </w:rPr>
        <w:t>，确保了各项活动有条不紊</w:t>
      </w:r>
      <w:r>
        <w:rPr>
          <w:rFonts w:hint="eastAsia" w:eastAsia="方正仿宋_GBK"/>
          <w:sz w:val="32"/>
          <w:szCs w:val="32"/>
          <w:lang w:eastAsia="zh-CN"/>
        </w:rPr>
        <w:t>地</w:t>
      </w:r>
      <w:r>
        <w:rPr>
          <w:rFonts w:hint="eastAsia" w:eastAsia="方正仿宋_GBK"/>
          <w:sz w:val="32"/>
          <w:szCs w:val="32"/>
        </w:rPr>
        <w:t>开展。</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3．资金使用。财政资金使用由广元市中华职业教育社按程序报销。</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（三）项目财务管理情况。</w:t>
      </w:r>
      <w:r>
        <w:rPr>
          <w:rFonts w:hint="eastAsia"/>
          <w:color w:val="auto"/>
          <w:sz w:val="32"/>
          <w:szCs w:val="32"/>
          <w:highlight w:val="none"/>
          <w:lang w:val="zh-CN"/>
        </w:rPr>
        <w:t>财务管理制度健全，严格执行财务管理制度，账务处理按规章制度执行。</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三、项目实施及管理情况</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（一）项目组织架构及实施流程。</w:t>
      </w:r>
      <w:r>
        <w:rPr>
          <w:rFonts w:hint="eastAsia"/>
          <w:color w:val="auto"/>
          <w:sz w:val="32"/>
          <w:szCs w:val="32"/>
          <w:highlight w:val="none"/>
          <w:lang w:val="zh-CN"/>
        </w:rPr>
        <w:t>项目由广元市中华职业教育社机关办公室、市委统战部财务室两级组织架构。实行经手人申请、机关主任人审批、分管领导审签、财务审核。</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（二）项目管理情况。</w:t>
      </w:r>
      <w:r>
        <w:rPr>
          <w:rFonts w:hint="eastAsia"/>
          <w:color w:val="auto"/>
          <w:sz w:val="32"/>
          <w:szCs w:val="32"/>
          <w:highlight w:val="none"/>
          <w:lang w:val="zh-CN"/>
        </w:rPr>
        <w:t>严格由广元市中华职业教育社机关主任、市委统战部分管领导审核把关。</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（三）项目监管情况。</w:t>
      </w:r>
      <w:r>
        <w:rPr>
          <w:rFonts w:hint="eastAsia"/>
          <w:color w:val="auto"/>
          <w:sz w:val="32"/>
          <w:szCs w:val="32"/>
          <w:highlight w:val="none"/>
          <w:lang w:val="zh-CN"/>
        </w:rPr>
        <w:t>由市职教社负责项目监管。</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 xml:space="preserve">四、项目绩效情况 </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黑体" w:hAnsi="黑体" w:eastAsia="黑体" w:cs="黑体"/>
          <w:b w:val="0"/>
          <w:bCs w:val="0"/>
          <w:color w:val="auto"/>
          <w:sz w:val="32"/>
          <w:szCs w:val="32"/>
          <w:highlight w:val="none"/>
          <w:lang w:val="zh-CN"/>
        </w:rPr>
        <w:t>（</w:t>
      </w:r>
      <w:r>
        <w:rPr>
          <w:rFonts w:hint="eastAsia" w:ascii="方正楷体_GBK" w:hAnsi="方正楷体_GBK" w:eastAsia="方正楷体_GBK" w:cs="方正楷体_GBK"/>
          <w:color w:val="auto"/>
          <w:sz w:val="32"/>
          <w:szCs w:val="32"/>
          <w:highlight w:val="none"/>
          <w:lang w:val="zh-CN"/>
        </w:rPr>
        <w:t>一）项目完成情况。</w:t>
      </w:r>
      <w:r>
        <w:rPr>
          <w:rFonts w:hint="eastAsia"/>
          <w:color w:val="auto"/>
          <w:sz w:val="32"/>
          <w:szCs w:val="32"/>
          <w:highlight w:val="none"/>
          <w:lang w:val="zh-CN"/>
        </w:rPr>
        <w:t>目标1、2、3、4完成情况均达到100%。</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（二）项目效益情况。</w:t>
      </w:r>
      <w:r>
        <w:rPr>
          <w:rFonts w:hint="eastAsia"/>
          <w:color w:val="auto"/>
          <w:sz w:val="32"/>
          <w:szCs w:val="32"/>
          <w:highlight w:val="none"/>
          <w:lang w:val="zh-CN"/>
        </w:rPr>
        <w:t>有效保障了广元市中华职业教育社日常活动开支，切实发挥作用服务全市职业教育高质量发展。</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五、评价结论及建议</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（一）评价结论。</w:t>
      </w:r>
      <w:r>
        <w:rPr>
          <w:rFonts w:hint="eastAsia"/>
          <w:color w:val="auto"/>
          <w:sz w:val="32"/>
          <w:szCs w:val="32"/>
          <w:highlight w:val="none"/>
          <w:lang w:val="zh-CN"/>
        </w:rPr>
        <w:t>广元市中华职业教育社财务管理健全规范，没有发生违法违规现象，202</w:t>
      </w:r>
      <w:r>
        <w:rPr>
          <w:rFonts w:hint="eastAsia"/>
          <w:color w:val="auto"/>
          <w:sz w:val="32"/>
          <w:szCs w:val="32"/>
          <w:highlight w:val="none"/>
          <w:lang w:val="en-US" w:eastAsia="zh-CN"/>
        </w:rPr>
        <w:t>1</w:t>
      </w:r>
      <w:r>
        <w:rPr>
          <w:rFonts w:hint="eastAsia"/>
          <w:color w:val="auto"/>
          <w:sz w:val="32"/>
          <w:szCs w:val="32"/>
          <w:highlight w:val="none"/>
          <w:lang w:val="zh-CN"/>
        </w:rPr>
        <w:t>年的部门项目支出绩效自我评价结果是优秀。我们将在以后的工作中加强预决算管理，严格控制各项经费的开支，提高经费的使用效率。</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（二）存在的问题。</w:t>
      </w:r>
      <w:r>
        <w:rPr>
          <w:rFonts w:hint="eastAsia"/>
          <w:color w:val="auto"/>
          <w:sz w:val="32"/>
          <w:szCs w:val="32"/>
          <w:highlight w:val="none"/>
          <w:lang w:val="zh-CN"/>
        </w:rPr>
        <w:t xml:space="preserve">无 </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（三）相关建议。</w:t>
      </w:r>
      <w:r>
        <w:rPr>
          <w:rFonts w:hint="eastAsia"/>
          <w:color w:val="auto"/>
          <w:sz w:val="32"/>
          <w:szCs w:val="32"/>
          <w:highlight w:val="none"/>
          <w:lang w:val="zh-CN"/>
        </w:rPr>
        <w:t>无</w:t>
      </w:r>
    </w:p>
    <w:p>
      <w:pPr>
        <w:rPr>
          <w:rFonts w:hint="eastAsia"/>
          <w:color w:val="auto"/>
          <w:sz w:val="32"/>
          <w:szCs w:val="32"/>
          <w:highlight w:val="none"/>
          <w:lang w:val="zh-CN"/>
        </w:rPr>
      </w:pPr>
      <w:r>
        <w:rPr>
          <w:rFonts w:hint="eastAsia"/>
          <w:color w:val="auto"/>
          <w:sz w:val="32"/>
          <w:szCs w:val="32"/>
          <w:highlight w:val="none"/>
          <w:lang w:val="zh-CN"/>
        </w:rPr>
        <w:br w:type="page"/>
      </w:r>
    </w:p>
    <w:tbl>
      <w:tblPr>
        <w:tblStyle w:val="17"/>
        <w:tblW w:w="9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095"/>
        <w:gridCol w:w="1290"/>
        <w:gridCol w:w="2410"/>
        <w:gridCol w:w="1440"/>
        <w:gridCol w:w="1545"/>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976"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976"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65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中华职业教育社工作经费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市委统战部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预算数：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执行数：</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其中：财政拨款</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p>
        </w:tc>
        <w:tc>
          <w:tcPr>
            <w:tcW w:w="4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4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47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目标1：进一步落实总社、省社关于推动职业教育改革创新发展一系列重大决策部署。</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目标2：进一步争取落实2021职业教育与城市发展高层对话会在广元举办。</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目标3：筹建成立广元市黄炎培职业教育思想研究会。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目标4：进一步加大力度争取丝绸之路职业教育联盟院校合作项目，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目标5：建立互联网十地方组织的工作网，建设三网合一的网上社员服务。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目标6：进一步加大力度争取职业教育促进老区跨越发展广元示范区创建工作。</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目标7：实施温暖工程乡村振兴，新农村带头人技能培训三年工作计划项目。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目标8：协助引进优质教育资源，加强与国外教育机构、民间组织、国外友人友好往来，实施台湾大学生、港澳大学生研习营活动。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目标9：加强港澳台地区职业教育界的沟通联系，以师资交流、学生交流、学术交流、以专项活动为载体的工作格局。</w:t>
            </w:r>
          </w:p>
        </w:tc>
        <w:tc>
          <w:tcPr>
            <w:tcW w:w="41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目标1：落实了总社、省社关于推动职业教育改革创新发展一系列重大决策部署。</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目标2：争取“同心庆华诞·携手新征程”——四川省中华职业教育社第七届“中国梦·职教情”演讲比赛在广元举办。</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目标3：开展“忆红色历史感党恩看蜀道巨变跟党走”党史学习教育活动。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目标4：协调杭州统一战线来广开展东西部协作1次。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目标5：对社员个人和团体完成数字建档。</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目标6：。</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目标7：实施温暖工程“巴蜀儿女进天山”教育援疆项目，争取资金9.35万元。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目标8：完成《发挥职教优势服务“精准扶贫”实现后发赶超的研究》课题研究并获二等奖。</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目标9：完成与重庆市江津区职教社的双城合作。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绩效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指标值（包含数字及文字描述）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实际完成指标值（包含数字及文字描述）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校企合作1次，对外交流合作不少于2次，影响力活动不少于1次，向上争取项目不少于1个。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均全面完成</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项目效果指标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通过东西部协作引进项目资金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引进到位项目捐赠等累计超过40万元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提升市职教社工作影响力。</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举办全省大型赛事1次，四川卫视进行</w:t>
            </w:r>
            <w:r>
              <w:rPr>
                <w:rFonts w:hint="eastAsia" w:ascii="宋体" w:hAnsi="宋体" w:cs="宋体"/>
                <w:i w:val="0"/>
                <w:color w:val="000000"/>
                <w:kern w:val="0"/>
                <w:sz w:val="16"/>
                <w:szCs w:val="16"/>
                <w:u w:val="none"/>
                <w:lang w:val="en-US" w:eastAsia="zh-CN" w:bidi="ar"/>
              </w:rPr>
              <w:t>报道</w:t>
            </w:r>
            <w:r>
              <w:rPr>
                <w:rFonts w:hint="eastAsia" w:ascii="宋体" w:hAnsi="宋体" w:eastAsia="宋体" w:cs="宋体"/>
                <w:i w:val="0"/>
                <w:color w:val="000000"/>
                <w:kern w:val="0"/>
                <w:sz w:val="16"/>
                <w:szCs w:val="16"/>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让民办教育界人士更加满意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发挥桥梁纽带作用，民办教育界人士对职教社普遍认可。</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bl>
    <w:p>
      <w:pPr>
        <w:pStyle w:val="7"/>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color w:val="auto"/>
          <w:sz w:val="32"/>
          <w:szCs w:val="32"/>
          <w:highlight w:val="none"/>
          <w:lang w:val="zh-CN"/>
        </w:rPr>
      </w:pPr>
    </w:p>
    <w:p>
      <w:pPr>
        <w:rPr>
          <w:rFonts w:hint="eastAsia"/>
          <w:color w:val="auto"/>
          <w:highlight w:val="none"/>
          <w:lang w:val="zh-CN"/>
        </w:rPr>
      </w:pPr>
      <w:r>
        <w:rPr>
          <w:rFonts w:hint="eastAsia"/>
          <w:color w:val="auto"/>
          <w:highlight w:val="none"/>
          <w:lang w:val="zh-CN"/>
        </w:rPr>
        <w:br w:type="page"/>
      </w:r>
    </w:p>
    <w:p>
      <w:pPr>
        <w:spacing w:line="600" w:lineRule="exact"/>
        <w:jc w:val="center"/>
        <w:rPr>
          <w:rFonts w:hint="eastAsia"/>
        </w:rPr>
      </w:pPr>
      <w:r>
        <w:rPr>
          <w:rFonts w:hint="eastAsia" w:ascii="方正小标宋简体" w:eastAsia="方正小标宋简体"/>
          <w:sz w:val="44"/>
          <w:szCs w:val="44"/>
        </w:rPr>
        <w:t>统一战线服务经济社会发展工作经费项目202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年绩效评价报告</w:t>
      </w:r>
      <w:r>
        <w:br w:type="textWrapping"/>
      </w:r>
    </w:p>
    <w:p>
      <w:pPr>
        <w:spacing w:line="600" w:lineRule="exact"/>
        <w:ind w:left="638" w:leftChars="304"/>
        <w:rPr>
          <w:rFonts w:hint="eastAsia" w:ascii="仿宋_GB2312" w:eastAsia="仿宋_GB2312"/>
          <w:sz w:val="32"/>
          <w:szCs w:val="32"/>
        </w:rPr>
      </w:pPr>
      <w:r>
        <w:rPr>
          <w:rFonts w:hint="eastAsia" w:ascii="黑体" w:hAnsi="黑体" w:eastAsia="黑体"/>
          <w:sz w:val="32"/>
          <w:szCs w:val="32"/>
        </w:rPr>
        <w:t>一、项目概况</w:t>
      </w:r>
      <w:r>
        <w:rPr>
          <w:rFonts w:hint="eastAsia" w:ascii="黑体" w:hAnsi="黑体" w:eastAsia="黑体"/>
          <w:sz w:val="32"/>
          <w:szCs w:val="32"/>
        </w:rPr>
        <w:br w:type="textWrapping"/>
      </w:r>
      <w:r>
        <w:rPr>
          <w:rFonts w:hint="eastAsia" w:ascii="楷体_GB2312" w:eastAsia="楷体_GB2312"/>
          <w:sz w:val="32"/>
          <w:szCs w:val="32"/>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eastAsia="仿宋_GB2312"/>
          <w:sz w:val="32"/>
          <w:szCs w:val="32"/>
        </w:rPr>
        <w:t>1．项目主管部门:中共广元市委统战部。职能：负责项目方案编制、组织项目实施、资金支付等。</w:t>
      </w:r>
      <w:r>
        <w:rPr>
          <w:rFonts w:hint="eastAsia" w:ascii="仿宋_GB2312" w:eastAsia="仿宋_GB2312"/>
          <w:sz w:val="32"/>
          <w:szCs w:val="32"/>
        </w:rPr>
        <w:br w:type="textWrapping"/>
      </w:r>
      <w:r>
        <w:rPr>
          <w:rFonts w:hint="eastAsia" w:ascii="仿宋_GB2312" w:eastAsia="仿宋_GB2312"/>
          <w:sz w:val="32"/>
          <w:szCs w:val="32"/>
        </w:rPr>
        <w:t xml:space="preserve">    2．项目立项、资金申报的依据：根据统战工作实际需要。</w:t>
      </w:r>
      <w:r>
        <w:rPr>
          <w:rFonts w:hint="eastAsia" w:ascii="仿宋_GB2312" w:eastAsia="仿宋_GB2312"/>
          <w:sz w:val="32"/>
          <w:szCs w:val="32"/>
        </w:rPr>
        <w:br w:type="textWrapping"/>
      </w:r>
      <w:r>
        <w:rPr>
          <w:rFonts w:hint="eastAsia" w:ascii="仿宋_GB2312" w:eastAsia="仿宋_GB2312"/>
          <w:sz w:val="32"/>
          <w:szCs w:val="32"/>
        </w:rPr>
        <w:t xml:space="preserve">    3．资金管理办法制定情况，资金支持具体项目的条件、范围与支持方式概况：</w:t>
      </w:r>
      <w:r>
        <w:rPr>
          <w:rFonts w:hint="eastAsia" w:ascii="仿宋_GB2312" w:hAnsi="宋体" w:eastAsia="仿宋_GB2312"/>
          <w:sz w:val="32"/>
          <w:szCs w:val="32"/>
          <w:lang w:val="zh-CN"/>
        </w:rPr>
        <w:t>在年初编制预算中，将</w:t>
      </w:r>
      <w:r>
        <w:rPr>
          <w:rFonts w:hint="eastAsia" w:ascii="仿宋_GB2312" w:hAnsi="宋体" w:eastAsia="仿宋_GB2312"/>
          <w:sz w:val="32"/>
          <w:szCs w:val="32"/>
        </w:rPr>
        <w:t>统一战线服务经济社会发展工作经费</w:t>
      </w:r>
      <w:r>
        <w:rPr>
          <w:rFonts w:hint="eastAsia" w:ascii="仿宋_GB2312" w:hAnsi="宋体" w:eastAsia="仿宋_GB2312"/>
          <w:sz w:val="32"/>
          <w:szCs w:val="32"/>
          <w:lang w:val="zh-CN"/>
        </w:rPr>
        <w:t>单独作为一个项目来制定绩效评价表，根据绩效评价表分步骤分阶段实施，严格控制支出规模和范围，严格按照财务制度规范要求及时结清相关费用，根据绩效指标严格考评实施效果，针对实施过程中有偏差的，及时补正改进。</w:t>
      </w:r>
    </w:p>
    <w:p>
      <w:pPr>
        <w:adjustRightInd w:val="0"/>
        <w:snapToGrid w:val="0"/>
        <w:spacing w:line="600" w:lineRule="exact"/>
        <w:ind w:firstLine="720"/>
        <w:rPr>
          <w:rFonts w:hint="eastAsia" w:ascii="仿宋_GB2312" w:eastAsia="仿宋_GB2312"/>
          <w:sz w:val="32"/>
          <w:szCs w:val="32"/>
        </w:rPr>
      </w:pPr>
      <w:r>
        <w:rPr>
          <w:rFonts w:hint="eastAsia" w:ascii="仿宋_GB2312" w:eastAsia="仿宋_GB2312"/>
          <w:sz w:val="32"/>
          <w:szCs w:val="32"/>
        </w:rPr>
        <w:t>4．资金分配的原则及考虑因素：</w:t>
      </w:r>
      <w:r>
        <w:rPr>
          <w:rFonts w:hint="eastAsia" w:ascii="仿宋_GB2312" w:hAnsi="宋体" w:eastAsia="仿宋_GB2312"/>
          <w:sz w:val="32"/>
          <w:szCs w:val="32"/>
          <w:lang w:val="zh-CN"/>
        </w:rPr>
        <w:t>根据制定的绩效项目评价表和实施中的具体业务支出来列支，</w:t>
      </w:r>
      <w:r>
        <w:rPr>
          <w:rFonts w:hint="eastAsia" w:ascii="仿宋_GB2312" w:eastAsia="仿宋_GB2312"/>
          <w:sz w:val="32"/>
          <w:szCs w:val="32"/>
        </w:rPr>
        <w:t>主要是统战系统围绕地方经济社会发展所开展的一系列工作等费用。</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（二）项目绩效目标。</w:t>
      </w:r>
      <w:r>
        <w:rPr>
          <w:rFonts w:hint="eastAsia" w:ascii="仿宋_GB2312" w:eastAsia="仿宋_GB2312"/>
          <w:sz w:val="32"/>
          <w:szCs w:val="32"/>
        </w:rPr>
        <w:br w:type="textWrapping"/>
      </w:r>
      <w:r>
        <w:rPr>
          <w:rFonts w:hint="eastAsia" w:ascii="仿宋_GB2312" w:eastAsia="仿宋_GB2312"/>
          <w:sz w:val="32"/>
          <w:szCs w:val="32"/>
        </w:rPr>
        <w:t xml:space="preserve">    1．项目主要内容：一是争取各民主党派中央、省委和全国、全省工商联等统战资源帮助广元争取政策资金；二是统一战线参与招商引资、邀请接待专家学者、企业家来广考察调研；三是东西部扶贫协作社会捐助牵头工作经费。</w:t>
      </w:r>
    </w:p>
    <w:p>
      <w:pPr>
        <w:adjustRightInd w:val="0"/>
        <w:snapToGrid w:val="0"/>
        <w:spacing w:line="600" w:lineRule="exact"/>
        <w:ind w:firstLine="720"/>
        <w:rPr>
          <w:rFonts w:hint="eastAsia" w:ascii="仿宋_GB2312" w:eastAsia="仿宋_GB2312"/>
          <w:sz w:val="32"/>
          <w:szCs w:val="32"/>
        </w:rPr>
      </w:pPr>
      <w:r>
        <w:rPr>
          <w:rFonts w:hint="eastAsia" w:ascii="仿宋_GB2312" w:eastAsia="仿宋_GB2312"/>
          <w:sz w:val="32"/>
          <w:szCs w:val="32"/>
        </w:rPr>
        <w:t>2．项目应实现的具体绩效目标，包括目标的量化、细化情况以及项目实施进度计划等：市委统战部根据工作开展情况，制定包括时效质量指标在内的一系列指标。实施过程中对标对点考核，出现偏差及时纠正绩效指标。</w:t>
      </w:r>
      <w:r>
        <w:rPr>
          <w:rFonts w:hint="eastAsia" w:ascii="仿宋_GB2312" w:eastAsia="仿宋_GB2312"/>
          <w:sz w:val="32"/>
          <w:szCs w:val="32"/>
        </w:rPr>
        <w:br w:type="textWrapping"/>
      </w:r>
      <w:r>
        <w:rPr>
          <w:rFonts w:hint="eastAsia" w:ascii="仿宋_GB2312" w:eastAsia="仿宋_GB2312"/>
          <w:sz w:val="32"/>
          <w:szCs w:val="32"/>
        </w:rPr>
        <w:t xml:space="preserve">    3．分析评价申报内容是否与实际相符，申报目标是否合理可行:</w:t>
      </w:r>
      <w:r>
        <w:rPr>
          <w:rFonts w:hint="eastAsia" w:ascii="仿宋_GB2312" w:hAnsi="宋体" w:eastAsia="仿宋_GB2312"/>
          <w:sz w:val="32"/>
          <w:szCs w:val="32"/>
          <w:lang w:val="zh-CN"/>
        </w:rPr>
        <w:t xml:space="preserve"> 申报内容与实际相符，申报目标合理可行，执行情况较好。</w:t>
      </w:r>
      <w:r>
        <w:rPr>
          <w:rFonts w:hint="eastAsia" w:ascii="仿宋_GB2312" w:eastAsia="仿宋_GB2312"/>
          <w:sz w:val="32"/>
          <w:szCs w:val="32"/>
        </w:rPr>
        <w:t xml:space="preserve">     </w:t>
      </w:r>
    </w:p>
    <w:p>
      <w:pPr>
        <w:adjustRightInd w:val="0"/>
        <w:snapToGrid w:val="0"/>
        <w:spacing w:line="600" w:lineRule="exact"/>
        <w:ind w:firstLine="720"/>
        <w:rPr>
          <w:rFonts w:hint="eastAsia" w:ascii="仿宋_GB2312" w:hAnsi="宋体" w:eastAsia="仿宋_GB2312"/>
          <w:sz w:val="32"/>
          <w:szCs w:val="32"/>
          <w:lang w:val="zh-CN"/>
        </w:rPr>
      </w:pPr>
      <w:r>
        <w:rPr>
          <w:rFonts w:hint="eastAsia" w:ascii="楷体_GB2312" w:eastAsia="楷体_GB2312"/>
          <w:sz w:val="32"/>
          <w:szCs w:val="32"/>
        </w:rPr>
        <w:t>（三）项目自评步骤及方法。</w:t>
      </w:r>
      <w:r>
        <w:rPr>
          <w:rFonts w:hint="eastAsia" w:ascii="仿宋_GB2312" w:eastAsia="仿宋_GB2312"/>
          <w:sz w:val="32"/>
          <w:szCs w:val="32"/>
        </w:rPr>
        <w:br w:type="textWrapping"/>
      </w:r>
      <w:r>
        <w:rPr>
          <w:rFonts w:hint="eastAsia" w:ascii="仿宋_GB2312" w:eastAsia="仿宋_GB2312"/>
          <w:sz w:val="32"/>
          <w:szCs w:val="32"/>
        </w:rPr>
        <w:t xml:space="preserve">    首先由相关科室草拟自评报告，分别报分管领导、主要领导审阅后再报送。我部自评分数为98分。</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黑体" w:hAnsi="黑体" w:eastAsia="黑体"/>
          <w:sz w:val="32"/>
          <w:szCs w:val="32"/>
        </w:rPr>
        <w:t xml:space="preserve">二、项目资金申报及使用情况 </w:t>
      </w:r>
      <w:r>
        <w:rPr>
          <w:rFonts w:hint="eastAsia" w:ascii="黑体" w:hAnsi="黑体" w:eastAsia="黑体"/>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 xml:space="preserve"> （一）项目资金申报及批复情况。</w:t>
      </w:r>
      <w:r>
        <w:rPr>
          <w:rFonts w:hint="eastAsia" w:ascii="仿宋_GB2312" w:eastAsia="仿宋_GB2312"/>
          <w:sz w:val="32"/>
          <w:szCs w:val="32"/>
        </w:rPr>
        <w:br w:type="textWrapping"/>
      </w:r>
      <w:r>
        <w:rPr>
          <w:rFonts w:hint="eastAsia" w:ascii="仿宋_GB2312" w:eastAsia="仿宋_GB2312"/>
          <w:sz w:val="32"/>
          <w:szCs w:val="32"/>
        </w:rPr>
        <w:t xml:space="preserve">    此项目属于市委统战部日常工作正常开展项目，资金来源为财政拨款，批复随同202</w:t>
      </w:r>
      <w:r>
        <w:rPr>
          <w:rFonts w:hint="eastAsia" w:ascii="仿宋_GB2312" w:eastAsia="仿宋_GB2312"/>
          <w:sz w:val="32"/>
          <w:szCs w:val="32"/>
          <w:lang w:val="en-US" w:eastAsia="zh-CN"/>
        </w:rPr>
        <w:t>1</w:t>
      </w:r>
      <w:r>
        <w:rPr>
          <w:rFonts w:hint="eastAsia" w:ascii="仿宋_GB2312" w:eastAsia="仿宋_GB2312"/>
          <w:sz w:val="32"/>
          <w:szCs w:val="32"/>
        </w:rPr>
        <w:t>年预算一起下达到市委统战部。</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（二）资金计划、到位及使用情况</w:t>
      </w:r>
      <w:r>
        <w:rPr>
          <w:rFonts w:hint="eastAsia" w:ascii="楷体_GB2312" w:eastAsia="楷体_GB2312"/>
          <w:color w:val="00B0F0"/>
          <w:sz w:val="32"/>
          <w:szCs w:val="32"/>
        </w:rPr>
        <w:t>。</w:t>
      </w:r>
      <w:r>
        <w:rPr>
          <w:rFonts w:hint="eastAsia" w:ascii="仿宋_GB2312" w:eastAsia="仿宋_GB2312"/>
          <w:sz w:val="32"/>
          <w:szCs w:val="32"/>
        </w:rPr>
        <w:br w:type="textWrapping"/>
      </w:r>
      <w:r>
        <w:rPr>
          <w:rFonts w:hint="eastAsia" w:ascii="仿宋_GB2312" w:eastAsia="仿宋_GB2312"/>
          <w:sz w:val="32"/>
          <w:szCs w:val="32"/>
        </w:rPr>
        <w:t xml:space="preserve">    1．资金计划。202</w:t>
      </w:r>
      <w:r>
        <w:rPr>
          <w:rFonts w:hint="eastAsia" w:ascii="仿宋_GB2312" w:eastAsia="仿宋_GB2312"/>
          <w:sz w:val="32"/>
          <w:szCs w:val="32"/>
          <w:lang w:val="en-US" w:eastAsia="zh-CN"/>
        </w:rPr>
        <w:t>1</w:t>
      </w:r>
      <w:r>
        <w:rPr>
          <w:rFonts w:hint="eastAsia" w:ascii="仿宋_GB2312" w:eastAsia="仿宋_GB2312"/>
          <w:sz w:val="32"/>
          <w:szCs w:val="32"/>
        </w:rPr>
        <w:t>年项目计划资金</w:t>
      </w:r>
      <w:r>
        <w:rPr>
          <w:rFonts w:hint="eastAsia" w:ascii="仿宋_GB2312" w:eastAsia="仿宋_GB2312"/>
          <w:sz w:val="32"/>
          <w:szCs w:val="32"/>
          <w:lang w:val="en-US" w:eastAsia="zh-CN"/>
        </w:rPr>
        <w:t>45</w:t>
      </w:r>
      <w:r>
        <w:rPr>
          <w:rFonts w:hint="eastAsia" w:ascii="仿宋_GB2312" w:eastAsia="仿宋_GB2312"/>
          <w:sz w:val="32"/>
          <w:szCs w:val="32"/>
        </w:rPr>
        <w:t>万元。</w:t>
      </w:r>
      <w:r>
        <w:rPr>
          <w:rFonts w:hint="eastAsia" w:ascii="仿宋_GB2312" w:eastAsia="仿宋_GB2312"/>
          <w:sz w:val="32"/>
          <w:szCs w:val="32"/>
        </w:rPr>
        <w:br w:type="textWrapping"/>
      </w:r>
      <w:r>
        <w:rPr>
          <w:rFonts w:hint="eastAsia" w:ascii="仿宋_GB2312" w:eastAsia="仿宋_GB2312"/>
          <w:sz w:val="32"/>
          <w:szCs w:val="32"/>
        </w:rPr>
        <w:t xml:space="preserve">    2．资金到位。全部资金按时到位。</w:t>
      </w:r>
      <w:r>
        <w:rPr>
          <w:rFonts w:hint="eastAsia" w:ascii="仿宋_GB2312" w:eastAsia="仿宋_GB2312"/>
          <w:sz w:val="32"/>
          <w:szCs w:val="32"/>
        </w:rPr>
        <w:br w:type="textWrapping"/>
      </w:r>
      <w:r>
        <w:rPr>
          <w:rFonts w:hint="eastAsia" w:ascii="仿宋_GB2312" w:eastAsia="仿宋_GB2312"/>
          <w:sz w:val="32"/>
          <w:szCs w:val="32"/>
        </w:rPr>
        <w:t xml:space="preserve">    3．资金使用：</w:t>
      </w:r>
      <w:r>
        <w:rPr>
          <w:rFonts w:hint="eastAsia" w:ascii="仿宋_GB2312" w:hAnsi="宋体" w:eastAsia="仿宋_GB2312"/>
          <w:sz w:val="32"/>
          <w:szCs w:val="32"/>
          <w:lang w:val="zh-CN"/>
        </w:rPr>
        <w:t>根据项目开展情况按时支付项目资金，年末资金全部使用完毕。</w:t>
      </w:r>
    </w:p>
    <w:p>
      <w:pPr>
        <w:adjustRightInd w:val="0"/>
        <w:snapToGrid w:val="0"/>
        <w:spacing w:line="560" w:lineRule="exact"/>
        <w:ind w:firstLine="720"/>
        <w:rPr>
          <w:rFonts w:hint="eastAsia" w:ascii="仿宋_GB2312" w:hAnsi="宋体" w:eastAsia="仿宋_GB2312"/>
          <w:sz w:val="32"/>
          <w:szCs w:val="32"/>
          <w:lang w:val="zh-CN"/>
        </w:rPr>
      </w:pPr>
      <w:r>
        <w:rPr>
          <w:rFonts w:hint="eastAsia" w:ascii="楷体_GB2312" w:eastAsia="楷体_GB2312"/>
          <w:sz w:val="32"/>
          <w:szCs w:val="32"/>
        </w:rPr>
        <w:t>（三）项目财务管理情况。</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仿宋_GB2312" w:hAnsi="宋体" w:eastAsia="仿宋_GB2312"/>
          <w:sz w:val="32"/>
          <w:szCs w:val="32"/>
          <w:lang w:val="zh-CN"/>
        </w:rPr>
        <w:t>项目资金支付与预算相符。未专门设置项目管理机构，会计核算及账务处理统一纳入机关财务统一核算。对照项目资金管理办法，项目严格执行了财务管理制度、财务处理及时、会计核算规范。</w:t>
      </w:r>
    </w:p>
    <w:p>
      <w:pPr>
        <w:adjustRightInd w:val="0"/>
        <w:snapToGrid w:val="0"/>
        <w:spacing w:line="600" w:lineRule="exact"/>
        <w:ind w:firstLine="720"/>
        <w:rPr>
          <w:rFonts w:hint="eastAsia" w:ascii="仿宋_GB2312" w:eastAsia="仿宋_GB2312"/>
          <w:sz w:val="32"/>
          <w:szCs w:val="32"/>
        </w:rPr>
      </w:pPr>
      <w:r>
        <w:rPr>
          <w:rFonts w:hint="eastAsia" w:ascii="黑体" w:hAnsi="黑体" w:eastAsia="黑体"/>
          <w:sz w:val="32"/>
          <w:szCs w:val="32"/>
        </w:rPr>
        <w:t>三、项目实施及管理情况</w:t>
      </w:r>
      <w:r>
        <w:rPr>
          <w:rFonts w:hint="eastAsia" w:ascii="黑体" w:hAnsi="黑体" w:eastAsia="黑体"/>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 xml:space="preserve"> （一）项目组织架构及实施流程。</w:t>
      </w:r>
    </w:p>
    <w:p>
      <w:pPr>
        <w:adjustRightInd w:val="0"/>
        <w:snapToGrid w:val="0"/>
        <w:spacing w:line="600" w:lineRule="exact"/>
        <w:ind w:firstLine="720"/>
        <w:rPr>
          <w:rFonts w:hint="eastAsia" w:ascii="仿宋_GB2312" w:eastAsia="仿宋_GB2312"/>
          <w:sz w:val="32"/>
          <w:szCs w:val="32"/>
        </w:rPr>
      </w:pPr>
      <w:r>
        <w:rPr>
          <w:rFonts w:hint="eastAsia" w:ascii="仿宋_GB2312" w:eastAsia="仿宋_GB2312"/>
          <w:sz w:val="32"/>
          <w:szCs w:val="32"/>
        </w:rPr>
        <w:t>1.项目业务由市委统战部相关科室根据项目申报和经费下达情况进行项目方案编制。</w:t>
      </w:r>
    </w:p>
    <w:p>
      <w:pPr>
        <w:adjustRightInd w:val="0"/>
        <w:snapToGrid w:val="0"/>
        <w:spacing w:line="600" w:lineRule="exact"/>
        <w:ind w:firstLine="720"/>
        <w:rPr>
          <w:rFonts w:hint="eastAsia" w:ascii="仿宋_GB2312" w:eastAsia="仿宋_GB2312"/>
          <w:sz w:val="32"/>
          <w:szCs w:val="32"/>
        </w:rPr>
      </w:pPr>
      <w:r>
        <w:rPr>
          <w:rFonts w:hint="eastAsia" w:ascii="仿宋_GB2312" w:eastAsia="仿宋_GB2312"/>
          <w:sz w:val="32"/>
          <w:szCs w:val="32"/>
        </w:rPr>
        <w:t>2.市委统战部</w:t>
      </w:r>
      <w:r>
        <w:rPr>
          <w:rFonts w:hint="eastAsia" w:ascii="仿宋_GB2312" w:eastAsia="仿宋_GB2312"/>
          <w:sz w:val="32"/>
          <w:szCs w:val="32"/>
          <w:lang w:eastAsia="zh-CN"/>
        </w:rPr>
        <w:t>根据实际</w:t>
      </w:r>
      <w:r>
        <w:rPr>
          <w:rFonts w:hint="eastAsia" w:ascii="仿宋_GB2312" w:eastAsia="仿宋_GB2312"/>
          <w:sz w:val="32"/>
          <w:szCs w:val="32"/>
        </w:rPr>
        <w:t>工作开展情况，由相关人员收集相关发票等材料，财务负责审核票据，按相关要求进行资金支付。</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（二）项目管理情况。</w:t>
      </w:r>
    </w:p>
    <w:p>
      <w:pPr>
        <w:adjustRightInd w:val="0"/>
        <w:snapToGrid w:val="0"/>
        <w:spacing w:line="600" w:lineRule="exact"/>
        <w:ind w:firstLine="720"/>
        <w:rPr>
          <w:rFonts w:hint="eastAsia" w:ascii="仿宋_GB2312" w:eastAsia="仿宋_GB2312"/>
          <w:sz w:val="32"/>
          <w:szCs w:val="32"/>
        </w:rPr>
      </w:pPr>
      <w:r>
        <w:rPr>
          <w:rFonts w:hint="eastAsia" w:ascii="仿宋_GB2312" w:eastAsia="仿宋_GB2312"/>
          <w:sz w:val="32"/>
          <w:szCs w:val="32"/>
        </w:rPr>
        <w:t>该项目根据年初预算时制定的实施方案，分步骤推进，市委统战部负责管理和实施，及时将相关资料和财务票据规整，经过分管财务领导审批后及时交财务支付入账。</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（三）项目监管情况。</w:t>
      </w:r>
    </w:p>
    <w:p>
      <w:pPr>
        <w:adjustRightInd w:val="0"/>
        <w:snapToGrid w:val="0"/>
        <w:spacing w:line="600" w:lineRule="exact"/>
        <w:ind w:firstLine="720" w:firstLineChars="225"/>
        <w:rPr>
          <w:rFonts w:hint="eastAsia" w:ascii="仿宋_GB2312" w:hAnsi="宋体" w:eastAsia="仿宋_GB2312"/>
          <w:sz w:val="32"/>
          <w:szCs w:val="32"/>
          <w:lang w:val="zh-CN"/>
        </w:rPr>
      </w:pPr>
      <w:r>
        <w:rPr>
          <w:rFonts w:hint="eastAsia" w:ascii="仿宋_GB2312" w:hAnsi="宋体" w:eastAsia="仿宋_GB2312"/>
          <w:sz w:val="32"/>
          <w:szCs w:val="32"/>
          <w:lang w:val="zh-CN"/>
        </w:rPr>
        <w:t>市委统战部负责项目的实施和绩效自评，在项目实施期间，派专人负责，制定了严格的标准，确保工作开展有成效，提高财政资金使用效益。</w:t>
      </w:r>
    </w:p>
    <w:p>
      <w:pPr>
        <w:adjustRightInd w:val="0"/>
        <w:snapToGrid w:val="0"/>
        <w:spacing w:line="600" w:lineRule="exact"/>
        <w:ind w:left="638" w:leftChars="304" w:firstLine="80" w:firstLineChars="25"/>
        <w:rPr>
          <w:rFonts w:hint="eastAsia" w:ascii="黑体" w:hAnsi="黑体" w:eastAsia="黑体"/>
          <w:sz w:val="32"/>
          <w:szCs w:val="32"/>
        </w:rPr>
      </w:pPr>
      <w:r>
        <w:rPr>
          <w:rFonts w:hint="eastAsia" w:ascii="黑体" w:hAnsi="黑体" w:eastAsia="黑体"/>
          <w:sz w:val="32"/>
          <w:szCs w:val="32"/>
        </w:rPr>
        <w:t xml:space="preserve">四、项目绩效情况 </w:t>
      </w:r>
    </w:p>
    <w:p>
      <w:pPr>
        <w:adjustRightInd w:val="0"/>
        <w:snapToGrid w:val="0"/>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（一）项目完成情况。</w:t>
      </w:r>
    </w:p>
    <w:p>
      <w:pPr>
        <w:adjustRightInd w:val="0"/>
        <w:snapToGrid w:val="0"/>
        <w:spacing w:line="600" w:lineRule="exact"/>
        <w:ind w:firstLine="720" w:firstLineChars="225"/>
        <w:rPr>
          <w:rFonts w:hint="eastAsia" w:ascii="仿宋_GB2312" w:eastAsia="仿宋_GB2312"/>
          <w:sz w:val="32"/>
          <w:szCs w:val="32"/>
        </w:rPr>
      </w:pPr>
      <w:r>
        <w:rPr>
          <w:rFonts w:hint="eastAsia" w:ascii="仿宋_GB2312" w:eastAsia="仿宋_GB2312"/>
          <w:sz w:val="32"/>
          <w:szCs w:val="32"/>
        </w:rPr>
        <w:t>按时按要求规定完成项目计划。</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 xml:space="preserve"> （二）项目效益情况。</w:t>
      </w:r>
      <w:r>
        <w:rPr>
          <w:rFonts w:hint="eastAsia" w:ascii="仿宋_GB2312" w:eastAsia="仿宋_GB2312"/>
          <w:sz w:val="32"/>
          <w:szCs w:val="32"/>
        </w:rPr>
        <w:br w:type="textWrapping"/>
      </w:r>
      <w:r>
        <w:rPr>
          <w:rFonts w:hint="eastAsia" w:ascii="仿宋_GB2312" w:eastAsia="仿宋_GB2312"/>
          <w:sz w:val="32"/>
          <w:szCs w:val="32"/>
        </w:rPr>
        <w:t xml:space="preserve">    </w:t>
      </w:r>
      <w:r>
        <w:rPr>
          <w:rFonts w:ascii="仿宋_GB2312" w:eastAsia="仿宋_GB2312"/>
          <w:sz w:val="32"/>
          <w:szCs w:val="32"/>
        </w:rPr>
        <w:t>统一战线历来是为党和国家的中心工作服务的，要着眼大局凝心聚力，集中力量打造品牌，务实创新全面提升，为新常态下经济社会发展提供广泛强大持久的力量支持。</w:t>
      </w:r>
    </w:p>
    <w:p>
      <w:pPr>
        <w:adjustRightInd w:val="0"/>
        <w:snapToGrid w:val="0"/>
        <w:spacing w:line="600" w:lineRule="exact"/>
        <w:ind w:firstLine="640" w:firstLineChars="200"/>
        <w:rPr>
          <w:rFonts w:hint="eastAsia" w:ascii="仿宋_GB2312" w:eastAsia="仿宋_GB2312"/>
          <w:sz w:val="32"/>
          <w:szCs w:val="32"/>
        </w:rPr>
      </w:pPr>
      <w:r>
        <w:rPr>
          <w:rFonts w:hint="eastAsia" w:ascii="黑体" w:hAnsi="黑体" w:eastAsia="黑体"/>
          <w:sz w:val="32"/>
          <w:szCs w:val="32"/>
        </w:rPr>
        <w:t>五、评价结论及建议</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（一）评价结论。</w:t>
      </w:r>
    </w:p>
    <w:p>
      <w:pPr>
        <w:adjustRightInd w:val="0"/>
        <w:snapToGrid w:val="0"/>
        <w:spacing w:line="600" w:lineRule="exact"/>
        <w:ind w:firstLine="720" w:firstLineChars="225"/>
        <w:rPr>
          <w:rFonts w:hint="eastAsia" w:ascii="仿宋_GB2312" w:eastAsia="仿宋_GB2312"/>
          <w:sz w:val="32"/>
          <w:szCs w:val="32"/>
        </w:rPr>
      </w:pPr>
      <w:r>
        <w:rPr>
          <w:rFonts w:hint="eastAsia" w:ascii="仿宋_GB2312" w:eastAsia="仿宋_GB2312"/>
          <w:sz w:val="32"/>
          <w:szCs w:val="32"/>
          <w:lang w:eastAsia="zh-CN"/>
        </w:rPr>
        <w:t>统一战线服务经济社会发展工作经费</w:t>
      </w:r>
      <w:r>
        <w:rPr>
          <w:rFonts w:hint="eastAsia" w:ascii="仿宋_GB2312" w:eastAsia="仿宋_GB2312"/>
          <w:sz w:val="32"/>
          <w:szCs w:val="32"/>
        </w:rPr>
        <w:t>项目决策符合国家政策方针、符合相关要求，管理符合相关制度，严格完成项目任务，项目实施达到了预期的社会效益，有力促进合作任务的圆满完成。</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楷体_GB2312" w:eastAsia="楷体_GB2312"/>
          <w:sz w:val="32"/>
          <w:szCs w:val="32"/>
        </w:rPr>
        <w:t xml:space="preserve">  （二）存在的问题。</w:t>
      </w:r>
      <w:r>
        <w:rPr>
          <w:rFonts w:hint="eastAsia" w:ascii="仿宋_GB2312" w:eastAsia="仿宋_GB2312"/>
          <w:sz w:val="32"/>
          <w:szCs w:val="32"/>
        </w:rPr>
        <w:br w:type="textWrapping"/>
      </w:r>
      <w:r>
        <w:rPr>
          <w:rFonts w:hint="eastAsia" w:ascii="仿宋_GB2312" w:eastAsia="仿宋_GB2312"/>
          <w:sz w:val="32"/>
          <w:szCs w:val="32"/>
        </w:rPr>
        <w:t xml:space="preserve">     无</w:t>
      </w:r>
    </w:p>
    <w:p>
      <w:pPr>
        <w:adjustRightInd w:val="0"/>
        <w:snapToGrid w:val="0"/>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（三）相关建议。</w:t>
      </w:r>
    </w:p>
    <w:p>
      <w:pPr>
        <w:adjustRightInd w:val="0"/>
        <w:snapToGrid w:val="0"/>
        <w:spacing w:line="600" w:lineRule="exact"/>
        <w:ind w:firstLine="800" w:firstLineChars="250"/>
        <w:rPr>
          <w:rFonts w:hint="eastAsia" w:ascii="仿宋" w:hAnsi="仿宋" w:eastAsia="仿宋" w:cs="仿宋"/>
          <w:bCs/>
          <w:sz w:val="32"/>
          <w:szCs w:val="32"/>
        </w:rPr>
      </w:pPr>
      <w:r>
        <w:rPr>
          <w:rFonts w:hint="eastAsia" w:ascii="仿宋_GB2312" w:eastAsia="仿宋_GB2312"/>
          <w:sz w:val="32"/>
          <w:szCs w:val="32"/>
        </w:rPr>
        <w:t>无</w:t>
      </w:r>
    </w:p>
    <w:p>
      <w:pPr>
        <w:rPr>
          <w:rFonts w:hint="eastAsia"/>
          <w:color w:val="auto"/>
          <w:highlight w:val="none"/>
          <w:lang w:val="zh-CN"/>
        </w:rPr>
      </w:pPr>
      <w:r>
        <w:rPr>
          <w:rFonts w:hint="eastAsia"/>
          <w:color w:val="auto"/>
          <w:highlight w:val="none"/>
          <w:lang w:val="zh-CN"/>
        </w:rPr>
        <w:br w:type="page"/>
      </w:r>
    </w:p>
    <w:tbl>
      <w:tblPr>
        <w:tblStyle w:val="17"/>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050"/>
        <w:gridCol w:w="1050"/>
        <w:gridCol w:w="1889"/>
        <w:gridCol w:w="2640"/>
        <w:gridCol w:w="97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15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150"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6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统一战线服务经济社会发展工作经费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主管单位</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中共广元市委统战部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中共广元市委统战部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预算数：</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执行数：</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其中：财政拨款</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其中：财政拨款</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p>
        </w:tc>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目标1：争取各民主党派中央、省委和全国、全省工商联等统战资源帮助广元争取政策资金；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目标2：统一战线参与招商引资、邀请接待专家学者、企业家来广考察调研；</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目标3：协助市委市政府做好民进四川省委、致公党浙江省委对口广元脱贫攻坚民主监督工作；</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目标4：东西部扶贫协作社会捐助牵头工作经费。</w:t>
            </w: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1、争取各民主党派中央、省委和全国、全省工商联等统战资源帮助广元争取政策资金；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2、统一战线参与招商引资、邀请接待专家学者、企业家来广考察调研；</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3、协助市委市政府做好民进四川省委、致公党浙江省委对口广元脱贫攻坚民主监督工作；</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4、东西部扶贫协作社会捐助牵头工作经费。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绩效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指标值（包含数字及文字描述）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实际完成指标值（包含数字及文字描述）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 围绕目标要求加大向上向外争取力度，拜访相关组织，争取到位物资（资金）1000万元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100%完成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100%完成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指标2：做好外市统战性质组织来广考察交流和座谈工作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100%完成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100%完成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项目效益指标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 服务全市经济建设三大主战场，助推全市经济社会发展</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全市统一战线服务发展有突出成效</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100%完成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指标2：推介宣传广元经济社会发展情况,探索多党合作在广元实践</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推动更多发展要素资源向广元聚集,总结推广九广合作经验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100%完成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指标1：群众更加满意</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逐步提高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群众满意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bl>
    <w:p>
      <w:pPr>
        <w:rPr>
          <w:rFonts w:hint="eastAsia"/>
          <w:color w:val="auto"/>
          <w:highlight w:val="none"/>
          <w:lang w:val="zh-CN"/>
        </w:rPr>
      </w:pPr>
      <w:r>
        <w:rPr>
          <w:rFonts w:hint="eastAsia"/>
          <w:color w:val="auto"/>
          <w:highlight w:val="none"/>
          <w:lang w:val="zh-CN"/>
        </w:rPr>
        <w:br w:type="page"/>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eastAsia="zh-CN"/>
        </w:rPr>
        <w:t>民主党派、党外知识分子、新的社会阶层人士、非公经济代表人士统战工作经费</w:t>
      </w:r>
      <w:r>
        <w:rPr>
          <w:rFonts w:hint="eastAsia" w:ascii="方正小标宋简体" w:hAnsi="方正小标宋简体" w:eastAsia="方正小标宋简体" w:cs="方正小标宋简体"/>
          <w:spacing w:val="-20"/>
          <w:sz w:val="44"/>
          <w:szCs w:val="44"/>
        </w:rPr>
        <w:t>项目</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宋体" w:hAnsi="宋体" w:eastAsia="宋体" w:cs="宋体"/>
          <w:sz w:val="24"/>
          <w:szCs w:val="2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年绩效评价报告</w:t>
      </w:r>
      <w:r>
        <w:rPr>
          <w:rFonts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eastAsia="宋体" w:cs="宋体"/>
          <w:sz w:val="24"/>
          <w:szCs w:val="24"/>
        </w:rPr>
      </w:pPr>
      <w:r>
        <w:rPr>
          <w:rFonts w:ascii="宋体" w:hAnsi="宋体" w:eastAsia="宋体" w:cs="宋体"/>
          <w:sz w:val="24"/>
          <w:szCs w:val="24"/>
        </w:rPr>
        <w:br w:type="textWrapping"/>
      </w:r>
      <w:r>
        <w:rPr>
          <w:rFonts w:hint="eastAsia" w:ascii="方正黑体_GBK" w:hAnsi="方正黑体_GBK" w:eastAsia="方正黑体_GBK" w:cs="方正黑体_GBK"/>
          <w:sz w:val="32"/>
          <w:szCs w:val="32"/>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该项目业务主管单位为中国共产党广元市委统一战线工作部。项目主管部门在该项目管理中主要负责审批相关活动申报、经费支出以及人员管理，并对本项目的日常工作和经费使用履行监督职能。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项目立项、资金申报的依据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本社会团体项目立项、资金申报严格《民间非营利组织会计制度》相关法律法规，自觉履行相关程序，规范项目运行，接受主管单位、会员大会和财政部门的监督。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val="en-US" w:eastAsia="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76"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本项目资金管理严格按照其社会团体制定规章制度规范资金管理，重大事项及重要资金支出均需通过部务会审议通过进行。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4．资金分配的原则及考虑因素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本社会团体资金分配原则为公平、公正、公开。考虑因素主要包括但不限于合法性、合理性、实用性以及必要性。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仿宋_GB2312" w:hAnsi="仿宋_GB2312" w:eastAsia="仿宋_GB2312" w:cs="仿宋_GB2312"/>
          <w:sz w:val="32"/>
          <w:szCs w:val="32"/>
        </w:rPr>
      </w:pP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项目主要内容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本项目主要内容为</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统战工作，与党外人士</w:t>
      </w:r>
      <w:r>
        <w:rPr>
          <w:rFonts w:hint="eastAsia" w:ascii="仿宋_GB2312" w:hAnsi="仿宋_GB2312" w:eastAsia="仿宋_GB2312" w:cs="仿宋_GB2312"/>
          <w:sz w:val="32"/>
          <w:szCs w:val="32"/>
        </w:rPr>
        <w:t>联谊交友</w:t>
      </w:r>
      <w:r>
        <w:rPr>
          <w:rFonts w:hint="eastAsia" w:ascii="仿宋_GB2312" w:hAnsi="仿宋_GB2312" w:eastAsia="仿宋_GB2312" w:cs="仿宋_GB2312"/>
          <w:sz w:val="32"/>
          <w:szCs w:val="32"/>
          <w:lang w:eastAsia="zh-CN"/>
        </w:rPr>
        <w:t>，激发其参政议政、政治协商</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项目应实现的具体绩效目标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一是分类建立党外</w:t>
      </w:r>
      <w:r>
        <w:rPr>
          <w:rFonts w:hint="eastAsia" w:ascii="仿宋_GB2312" w:hAnsi="仿宋_GB2312" w:eastAsia="仿宋_GB2312" w:cs="仿宋_GB2312"/>
          <w:color w:val="auto"/>
          <w:sz w:val="32"/>
          <w:szCs w:val="32"/>
          <w:lang w:eastAsia="zh-CN"/>
        </w:rPr>
        <w:t>人士</w:t>
      </w:r>
      <w:r>
        <w:rPr>
          <w:rFonts w:hint="eastAsia" w:ascii="仿宋_GB2312" w:hAnsi="仿宋_GB2312" w:eastAsia="仿宋_GB2312" w:cs="仿宋_GB2312"/>
          <w:color w:val="auto"/>
          <w:sz w:val="32"/>
          <w:szCs w:val="32"/>
        </w:rPr>
        <w:t>数据库。在各单位、县区推荐的</w:t>
      </w:r>
      <w:r>
        <w:rPr>
          <w:rFonts w:hint="eastAsia" w:ascii="仿宋_GB2312" w:hAnsi="仿宋_GB2312" w:eastAsia="仿宋_GB2312" w:cs="仿宋_GB2312"/>
          <w:sz w:val="32"/>
          <w:szCs w:val="32"/>
          <w:lang w:eastAsia="zh-CN"/>
        </w:rPr>
        <w:t>基础上，结合掌握的情况，分类建立了党外人士重点人物库；二是开展四史教育。组织考察调研，开展课题调研；三是加强优秀年轻人才队伍建设。组织参加全市党外年轻干部人才培训班；四是加强归国留学人员队伍建设。组织开展革命传统教育、调研考察和走访看望等活动，加强政治引领；五是加强高校、国企统战工作；六是加强民主党派、党外知识分子、新的社会阶层人士、非公经济代表人士统战。出台相关制度规范，加强与统战对象的常态化对接联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分析评价申报内容是否与实际相符，申报目标</w:t>
      </w:r>
      <w:r>
        <w:rPr>
          <w:rFonts w:hint="eastAsia" w:ascii="仿宋_GB2312" w:hAnsi="仿宋_GB2312" w:eastAsia="仿宋_GB2312" w:cs="仿宋_GB2312"/>
          <w:sz w:val="32"/>
          <w:szCs w:val="32"/>
        </w:rPr>
        <w:t>是否合理可行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lang w:val="en-US" w:eastAsia="zh-CN"/>
        </w:rPr>
        <w:t>2021年度工作开展实际，申报内容与本社会团体明确的经营范围完全一致，申报目标可实践、可实现，合理可行。</w:t>
      </w:r>
      <w:r>
        <w:rPr>
          <w:rFonts w:ascii="宋体" w:hAnsi="宋体" w:eastAsia="宋体" w:cs="宋体"/>
          <w:sz w:val="24"/>
          <w:szCs w:val="24"/>
        </w:rPr>
        <w:br w:type="textWrapping"/>
      </w:r>
      <w:r>
        <w:rPr>
          <w:rFonts w:hint="default" w:ascii="宋体" w:hAnsi="宋体" w:cs="宋体"/>
          <w:sz w:val="24"/>
          <w:szCs w:val="24"/>
          <w:lang w:val="en"/>
        </w:rPr>
        <w:t xml:space="preserve">   </w:t>
      </w:r>
      <w:r>
        <w:rPr>
          <w:rFonts w:hint="eastAsia" w:ascii="楷体_GB2312" w:hAnsi="楷体_GB2312" w:eastAsia="楷体_GB2312" w:cs="楷体_GB2312"/>
          <w:sz w:val="32"/>
          <w:szCs w:val="32"/>
          <w:lang w:val="en-US" w:eastAsia="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本项目自评主要经历了以下步骤：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前期准备工作。为完成此次绩效评价工作，成立了</w:t>
      </w:r>
      <w:r>
        <w:rPr>
          <w:rFonts w:hint="eastAsia" w:ascii="仿宋_GB2312" w:hAnsi="仿宋_GB2312" w:eastAsia="仿宋_GB2312" w:cs="仿宋_GB2312"/>
          <w:color w:val="auto"/>
          <w:sz w:val="32"/>
          <w:szCs w:val="32"/>
          <w:lang w:val="en-US" w:eastAsia="zh-CN"/>
        </w:rPr>
        <w:t>2021年</w:t>
      </w:r>
      <w:r>
        <w:rPr>
          <w:rFonts w:hint="eastAsia" w:ascii="仿宋_GB2312" w:hAnsi="仿宋_GB2312" w:eastAsia="仿宋_GB2312" w:cs="仿宋_GB2312"/>
          <w:color w:val="auto"/>
          <w:sz w:val="32"/>
          <w:szCs w:val="32"/>
        </w:rPr>
        <w:t>项目绩效评价工作小组，负责统一布置、协调和落实此次绩效自评工作的具体展开。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组织实施、检查、核实工作情况。绩效评价组在前期</w:t>
      </w:r>
      <w:r>
        <w:rPr>
          <w:rFonts w:hint="eastAsia" w:ascii="仿宋_GB2312" w:hAnsi="仿宋_GB2312" w:eastAsia="仿宋_GB2312" w:cs="仿宋_GB2312"/>
          <w:color w:val="auto"/>
          <w:sz w:val="32"/>
          <w:szCs w:val="32"/>
          <w:lang w:eastAsia="zh-CN"/>
        </w:rPr>
        <w:t>充分准备</w:t>
      </w:r>
      <w:r>
        <w:rPr>
          <w:rFonts w:hint="eastAsia" w:ascii="仿宋_GB2312" w:hAnsi="仿宋_GB2312" w:eastAsia="仿宋_GB2312" w:cs="仿宋_GB2312"/>
          <w:color w:val="auto"/>
          <w:sz w:val="32"/>
          <w:szCs w:val="32"/>
        </w:rPr>
        <w:t>基础上，完成了绩效评价方案，明确了评价的方法、评价的原则、指标体系等</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按照工作方案，顺利完成了绩效评价报告工作。具体实施过程如下：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70C0"/>
          <w:sz w:val="32"/>
          <w:szCs w:val="32"/>
          <w:lang w:eastAsia="zh-CN"/>
        </w:rPr>
      </w:pPr>
      <w:r>
        <w:rPr>
          <w:rFonts w:hint="eastAsia" w:ascii="仿宋_GB2312" w:hAnsi="仿宋_GB2312" w:eastAsia="仿宋_GB2312" w:cs="仿宋_GB2312"/>
          <w:color w:val="auto"/>
          <w:sz w:val="32"/>
          <w:szCs w:val="32"/>
        </w:rPr>
        <w:t>（1）数据填报和采集。通过查阅研读相关文件、政策，抽查部分银行凭单、会计凭证、合同协议、成果文件等资料，并通过</w:t>
      </w:r>
      <w:r>
        <w:rPr>
          <w:rFonts w:hint="eastAsia" w:ascii="仿宋_GB2312" w:hAnsi="仿宋_GB2312" w:eastAsia="仿宋_GB2312" w:cs="仿宋_GB2312"/>
          <w:color w:val="auto"/>
          <w:sz w:val="32"/>
          <w:szCs w:val="32"/>
          <w:lang w:eastAsia="zh-CN"/>
        </w:rPr>
        <w:t>实地走访</w:t>
      </w:r>
      <w:r>
        <w:rPr>
          <w:rFonts w:hint="eastAsia" w:ascii="仿宋_GB2312" w:hAnsi="仿宋_GB2312" w:eastAsia="仿宋_GB2312" w:cs="仿宋_GB2312"/>
          <w:color w:val="auto"/>
          <w:sz w:val="32"/>
          <w:szCs w:val="32"/>
        </w:rPr>
        <w:t>掌握具体情况，对采集的数据做详细的分析和统计</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（2）电话回访。通过电话、传真、微信等通信手段、平台，对收集到的数据进一步核实确认。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32"/>
          <w:szCs w:val="32"/>
        </w:rPr>
        <w:t>（3）数据分析及撰写报告。对确认后的数据、资料、图册、文件进行分析综合，撰写绩效评价报告。</w:t>
      </w:r>
      <w:r>
        <w:rPr>
          <w:rFonts w:ascii="宋体" w:hAnsi="宋体" w:eastAsia="宋体" w:cs="宋体"/>
          <w:sz w:val="24"/>
          <w:szCs w:val="24"/>
        </w:rPr>
        <w:br w:type="textWrapping"/>
      </w:r>
      <w:r>
        <w:rPr>
          <w:rFonts w:hint="default" w:ascii="宋体" w:hAnsi="宋体" w:cs="宋体"/>
          <w:sz w:val="24"/>
          <w:szCs w:val="24"/>
          <w:lang w:val="en"/>
        </w:rPr>
        <w:t xml:space="preserve">    </w:t>
      </w:r>
      <w:r>
        <w:rPr>
          <w:rFonts w:hint="eastAsia" w:ascii="方正黑体_GBK" w:hAnsi="方正黑体_GBK" w:eastAsia="方正黑体_GBK" w:cs="方正黑体_GBK"/>
          <w:sz w:val="32"/>
          <w:szCs w:val="32"/>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color w:val="auto"/>
          <w:sz w:val="32"/>
          <w:szCs w:val="32"/>
          <w:lang w:eastAsia="zh-CN"/>
        </w:rPr>
        <w:t>本社会团体申报资金</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万元，财政批复项目资金</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万元，该项资金按流程申报及批复，符合资金管理办法等相关规定。</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 w:eastAsia="zh-CN"/>
        </w:rPr>
        <w:t xml:space="preserve">  </w:t>
      </w:r>
      <w:r>
        <w:rPr>
          <w:rFonts w:hint="eastAsia" w:ascii="楷体_GB2312" w:hAnsi="楷体_GB2312" w:eastAsia="楷体_GB2312" w:cs="楷体_GB2312"/>
          <w:sz w:val="32"/>
          <w:szCs w:val="32"/>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rPr>
        <w:t>资金计划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计划资金</w:t>
      </w:r>
      <w:r>
        <w:rPr>
          <w:rFonts w:hint="eastAsia" w:ascii="仿宋_GB2312" w:hAnsi="仿宋_GB2312" w:eastAsia="仿宋_GB2312" w:cs="仿宋_GB2312"/>
          <w:sz w:val="32"/>
          <w:szCs w:val="32"/>
          <w:lang w:val="en-US" w:eastAsia="zh-CN"/>
        </w:rPr>
        <w:t>26万元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rPr>
        <w:t>资金到位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资金足额拨付，</w:t>
      </w:r>
      <w:r>
        <w:rPr>
          <w:rFonts w:hint="eastAsia" w:ascii="仿宋_GB2312" w:hAnsi="仿宋_GB2312" w:eastAsia="仿宋_GB2312" w:cs="仿宋_GB2312"/>
          <w:color w:val="auto"/>
          <w:sz w:val="32"/>
          <w:szCs w:val="32"/>
        </w:rPr>
        <w:t>资金到位率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到位及时。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资金使用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资金支付均属于正常业务范围内的合理开支，各项支出在前期工作方案中有意识地控制在</w:t>
      </w:r>
      <w:r>
        <w:rPr>
          <w:rFonts w:hint="eastAsia" w:ascii="仿宋_GB2312" w:hAnsi="仿宋_GB2312" w:eastAsia="仿宋_GB2312" w:cs="仿宋_GB2312"/>
          <w:color w:val="auto"/>
          <w:sz w:val="32"/>
          <w:szCs w:val="32"/>
        </w:rPr>
        <w:t>支付标准</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支付进度</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、支付依据合规合法</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sz w:val="32"/>
          <w:szCs w:val="32"/>
          <w:lang w:eastAsia="zh-CN"/>
        </w:rPr>
        <w:t>与预算相符。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本社会团体</w:t>
      </w:r>
      <w:r>
        <w:rPr>
          <w:rFonts w:hint="eastAsia" w:ascii="仿宋_GB2312" w:hAnsi="仿宋_GB2312" w:eastAsia="仿宋_GB2312" w:cs="仿宋_GB2312"/>
          <w:sz w:val="32"/>
          <w:szCs w:val="32"/>
        </w:rPr>
        <w:t>各项目实施单位财务管理制度健全，严格执行财务管理制度，账务处理及时，会计核算规范。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sz w:val="32"/>
          <w:szCs w:val="32"/>
        </w:rPr>
        <w:t>三、项目实施及管理情况</w:t>
      </w:r>
      <w:r>
        <w:rPr>
          <w:rFonts w:ascii="宋体" w:hAnsi="宋体" w:eastAsia="宋体" w:cs="宋体"/>
          <w:sz w:val="24"/>
          <w:szCs w:val="24"/>
        </w:rPr>
        <w:br w:type="textWrapping"/>
      </w:r>
      <w:r>
        <w:rPr>
          <w:rFonts w:hint="default" w:ascii="宋体" w:hAnsi="宋体" w:cs="宋体"/>
          <w:sz w:val="24"/>
          <w:szCs w:val="24"/>
          <w:lang w:val="en"/>
        </w:rPr>
        <w:t xml:space="preserve">    </w:t>
      </w:r>
      <w:r>
        <w:rPr>
          <w:rFonts w:hint="eastAsia" w:ascii="楷体_GB2312" w:hAnsi="楷体_GB2312" w:eastAsia="楷体_GB2312" w:cs="楷体_GB2312"/>
          <w:sz w:val="32"/>
          <w:szCs w:val="32"/>
        </w:rPr>
        <w:t>（一）项目组织架构及实施流程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实施严格采用审批制，过程、、全程接受市委统战部主管，重大项目活动经市委统战部同意报批市委、市政府审批；大额资金支出采购时也严格采用投标方式，多方对比，力图经济实惠，物有所值，采购过程公开透明，财务资料完备健全，报账层层把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执行《会计法》、会计准则、财务制度等规定，专项资金管理、分配坚持根据各个专项工作需要设置，各项经费收入与支出实行“统一管理，独立核算”，坚持“统一领导、一把手负总责、分管领导严格审核、量入为出、从严控制、合理开支、讲求实效”的原则，大额资金使用坚持大会决定，使用合法合规，坚持专款专用，运行机制健全有效；专项补助资金分配办法及职责分工，专项补助资金须按照规定的支出范围和用途安排支出，支出报销应严格按照规定的报销标准及报销程序办理，做到流程合规、手续完整、要件齐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今年进行项目均严格执行财务管理制度，采购公开、财务处理及时、会计核算规范且符合相关规定。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（三）项目监管情况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市委统战部</w:t>
      </w:r>
      <w:r>
        <w:rPr>
          <w:rFonts w:hint="eastAsia" w:ascii="仿宋_GB2312" w:hAnsi="仿宋_GB2312" w:eastAsia="仿宋_GB2312" w:cs="仿宋_GB2312"/>
          <w:color w:val="auto"/>
          <w:sz w:val="32"/>
          <w:szCs w:val="32"/>
        </w:rPr>
        <w:t>为加强项目管理</w:t>
      </w:r>
      <w:r>
        <w:rPr>
          <w:rFonts w:hint="eastAsia" w:ascii="仿宋_GB2312" w:hAnsi="仿宋_GB2312" w:eastAsia="仿宋_GB2312" w:cs="仿宋_GB2312"/>
          <w:color w:val="auto"/>
          <w:sz w:val="32"/>
          <w:szCs w:val="32"/>
          <w:lang w:eastAsia="zh-CN"/>
        </w:rPr>
        <w:t>效果，保证项目运行有序采取了一系列措施：一是入驻监管工作。党外知识分子科科长蹇凯作为秘书长负责日常工作，签阅相关文件，监督项目运行，推动社团工作运行；二是严格落实财务审批手续。账目报销上层层签字，部分账目须市委统战部相关领导签字方可报销。通过内部严管和外部监督相结合的方式，本社会团体项目推行在做到高质高量的同时合法、合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 xml:space="preserve">项目绩效情况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宋体" w:hAnsi="宋体" w:eastAsia="宋体" w:cs="宋体"/>
          <w:sz w:val="24"/>
          <w:szCs w:val="24"/>
        </w:rPr>
      </w:pPr>
      <w:r>
        <w:rPr>
          <w:rFonts w:hint="eastAsia" w:ascii="楷体_GB2312" w:hAnsi="楷体_GB2312" w:eastAsia="楷体_GB2312" w:cs="楷体_GB2312"/>
          <w:sz w:val="32"/>
          <w:szCs w:val="32"/>
          <w:lang w:val="en-US" w:eastAsia="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截至目前，本社会团体超额完成年初制定的任务，项目推动有序、有力、有效，在严格控制成本的基础上高质量完成各项任务。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项目经济效益指标：本项目业务性质主要为社会公益服务，不以营利为目的，无经济效益。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社会效益：一年来，通过</w:t>
      </w:r>
      <w:r>
        <w:rPr>
          <w:rFonts w:hint="eastAsia" w:ascii="仿宋_GB2312" w:hAnsi="仿宋_GB2312" w:eastAsia="仿宋_GB2312" w:cs="仿宋_GB2312"/>
          <w:color w:val="auto"/>
          <w:sz w:val="32"/>
          <w:szCs w:val="32"/>
          <w:lang w:eastAsia="zh-CN"/>
        </w:rPr>
        <w:t>组织各类活动，走访调研、亲自实践，</w:t>
      </w:r>
      <w:r>
        <w:rPr>
          <w:rFonts w:hint="eastAsia" w:ascii="仿宋_GB2312" w:hAnsi="仿宋_GB2312" w:eastAsia="仿宋_GB2312" w:cs="仿宋_GB2312"/>
          <w:color w:val="auto"/>
          <w:sz w:val="32"/>
          <w:szCs w:val="32"/>
        </w:rPr>
        <w:t>有效维护并促进了社会团结、稳定、和谐，为</w:t>
      </w:r>
      <w:r>
        <w:rPr>
          <w:rFonts w:hint="eastAsia" w:ascii="仿宋_GB2312" w:hAnsi="仿宋_GB2312" w:eastAsia="仿宋_GB2312" w:cs="仿宋_GB2312"/>
          <w:color w:val="auto"/>
          <w:sz w:val="32"/>
          <w:szCs w:val="32"/>
          <w:lang w:eastAsia="zh-CN"/>
        </w:rPr>
        <w:t>广元</w:t>
      </w:r>
      <w:r>
        <w:rPr>
          <w:rFonts w:hint="eastAsia" w:ascii="仿宋_GB2312" w:hAnsi="仿宋_GB2312" w:eastAsia="仿宋_GB2312" w:cs="仿宋_GB2312"/>
          <w:color w:val="auto"/>
          <w:sz w:val="32"/>
          <w:szCs w:val="32"/>
        </w:rPr>
        <w:t>社会稳定、</w:t>
      </w:r>
      <w:r>
        <w:rPr>
          <w:rFonts w:hint="eastAsia" w:ascii="仿宋_GB2312" w:hAnsi="仿宋_GB2312" w:eastAsia="仿宋_GB2312" w:cs="仿宋_GB2312"/>
          <w:color w:val="auto"/>
          <w:sz w:val="32"/>
          <w:szCs w:val="32"/>
          <w:lang w:eastAsia="zh-CN"/>
        </w:rPr>
        <w:t>文化发展</w:t>
      </w:r>
      <w:r>
        <w:rPr>
          <w:rFonts w:hint="eastAsia" w:ascii="仿宋_GB2312" w:hAnsi="仿宋_GB2312" w:eastAsia="仿宋_GB2312" w:cs="仿宋_GB2312"/>
          <w:color w:val="auto"/>
          <w:sz w:val="32"/>
          <w:szCs w:val="32"/>
        </w:rPr>
        <w:t>产生</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积极的社会效益。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生态效益：开展“我为蜀道栽枝花”公益活动，共发动100余家单位义务栽植红杏花树700余棵、花卉5000余株，“百里杏花红，山花烂漫开”的蜀道增彩添香工程实现良好开端，为建设生态广元献出了党外知识分子的一份力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auto"/>
          <w:sz w:val="32"/>
          <w:szCs w:val="32"/>
        </w:rPr>
        <w:t>可持续影响：通过各类</w:t>
      </w:r>
      <w:r>
        <w:rPr>
          <w:rFonts w:hint="eastAsia" w:ascii="仿宋_GB2312" w:hAnsi="仿宋_GB2312" w:eastAsia="仿宋_GB2312" w:cs="仿宋_GB2312"/>
          <w:color w:val="auto"/>
          <w:sz w:val="32"/>
          <w:szCs w:val="32"/>
          <w:lang w:eastAsia="zh-CN"/>
        </w:rPr>
        <w:t>教育培训、调研、服务活动</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广元</w:t>
      </w:r>
      <w:r>
        <w:rPr>
          <w:rFonts w:hint="eastAsia" w:ascii="仿宋_GB2312" w:hAnsi="仿宋_GB2312" w:eastAsia="仿宋_GB2312" w:cs="仿宋_GB2312"/>
          <w:color w:val="auto"/>
          <w:sz w:val="32"/>
          <w:szCs w:val="32"/>
        </w:rPr>
        <w:t>社会发展产生持续影响，使</w:t>
      </w:r>
      <w:r>
        <w:rPr>
          <w:rFonts w:hint="eastAsia" w:ascii="仿宋_GB2312" w:hAnsi="仿宋_GB2312" w:eastAsia="仿宋_GB2312" w:cs="仿宋_GB2312"/>
          <w:color w:val="auto"/>
          <w:sz w:val="32"/>
          <w:szCs w:val="32"/>
          <w:lang w:eastAsia="zh-CN"/>
        </w:rPr>
        <w:t>各类统战对象</w:t>
      </w:r>
      <w:r>
        <w:rPr>
          <w:rFonts w:hint="eastAsia" w:ascii="仿宋_GB2312" w:hAnsi="仿宋_GB2312" w:eastAsia="仿宋_GB2312" w:cs="仿宋_GB2312"/>
          <w:color w:val="auto"/>
          <w:sz w:val="32"/>
          <w:szCs w:val="32"/>
        </w:rPr>
        <w:t>为建设</w:t>
      </w:r>
      <w:r>
        <w:rPr>
          <w:rFonts w:hint="eastAsia" w:ascii="仿宋_GB2312" w:hAnsi="仿宋_GB2312" w:eastAsia="仿宋_GB2312" w:cs="仿宋_GB2312"/>
          <w:color w:val="auto"/>
          <w:sz w:val="32"/>
          <w:szCs w:val="32"/>
          <w:lang w:eastAsia="zh-CN"/>
        </w:rPr>
        <w:t>广元</w:t>
      </w:r>
      <w:r>
        <w:rPr>
          <w:rFonts w:hint="eastAsia" w:ascii="仿宋_GB2312" w:hAnsi="仿宋_GB2312" w:eastAsia="仿宋_GB2312" w:cs="仿宋_GB2312"/>
          <w:color w:val="auto"/>
          <w:sz w:val="32"/>
          <w:szCs w:val="32"/>
        </w:rPr>
        <w:t>集智聚力、同心同向，</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我市走可持续发展道路产生了积极正面的影响。</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黑体" w:hAnsi="黑体" w:eastAsia="黑体" w:cs="黑体"/>
          <w:sz w:val="32"/>
          <w:szCs w:val="32"/>
        </w:rPr>
        <w:t>五、评价结论及建议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sz w:val="32"/>
          <w:szCs w:val="32"/>
        </w:rPr>
        <w:t>（一）评价结论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在被评价项目相关资料真实、可靠的基础上，经实地验看项目实施成果和听取项目实施效果，</w:t>
      </w:r>
      <w:r>
        <w:rPr>
          <w:rFonts w:hint="eastAsia" w:ascii="仿宋_GB2312" w:hAnsi="仿宋_GB2312" w:eastAsia="仿宋_GB2312" w:cs="仿宋_GB2312"/>
          <w:color w:val="auto"/>
          <w:sz w:val="32"/>
          <w:szCs w:val="32"/>
          <w:lang w:eastAsia="zh-CN"/>
        </w:rPr>
        <w:t>结合本社会团体的业务范围来看，本年度社会团体在开展学习教育、培养人才、建言献策、服务社会和联谊交友等方面取得了突出成效，</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完成率为</w:t>
      </w:r>
      <w:r>
        <w:rPr>
          <w:rFonts w:hint="eastAsia" w:ascii="仿宋_GB2312" w:hAnsi="仿宋_GB2312" w:eastAsia="仿宋_GB2312" w:cs="仿宋_GB2312"/>
          <w:color w:val="auto"/>
          <w:sz w:val="32"/>
          <w:szCs w:val="32"/>
          <w:lang w:val="en-US" w:eastAsia="zh-CN"/>
        </w:rPr>
        <w:t>100%,项目社会效益、满意度指标逐步提高</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单位内控制度还不够完善，部分项目实施进度较慢。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财务知识专业性强，相关法律法规繁杂，具体实施细则要求细致专业财务人员专业知识储备与具体要求还有差距与时俱进还不够，需进一步加强学习，丰富知识结构。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原因分析：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专职人员少，时间精力有限，不仅忙于财务工作，还要兼顾日常工作，自身学习时间和条件不足。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健全专职人员配备，</w:t>
      </w:r>
      <w:r>
        <w:rPr>
          <w:rFonts w:hint="eastAsia" w:ascii="仿宋_GB2312" w:hAnsi="仿宋_GB2312" w:eastAsia="仿宋_GB2312" w:cs="仿宋_GB2312"/>
          <w:sz w:val="32"/>
          <w:szCs w:val="32"/>
        </w:rPr>
        <w:t>加强单位内部控制管理，完善、明确和细化各项财务管理制度，并严格按制度执行。 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rPr>
        <w:t>2.加强组织领导，明确责任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加强队伍建设和业务培训;建立长效机制，把绩效评价作为日常性工作，建立绩效评价管理工作考核的长效机制</w:t>
      </w:r>
      <w:r>
        <w:rPr>
          <w:rFonts w:hint="eastAsia" w:ascii="仿宋_GB2312" w:hAnsi="仿宋_GB2312" w:eastAsia="仿宋_GB2312" w:cs="仿宋_GB2312"/>
          <w:sz w:val="32"/>
          <w:szCs w:val="32"/>
          <w:lang w:eastAsia="zh-CN"/>
        </w:rPr>
        <w:t>。</w:t>
      </w:r>
    </w:p>
    <w:p>
      <w:pPr>
        <w:pStyle w:val="7"/>
        <w:rPr>
          <w:rFonts w:hint="eastAsia"/>
          <w:color w:val="auto"/>
          <w:highlight w:val="none"/>
          <w:lang w:val="zh-CN"/>
        </w:rPr>
      </w:pPr>
    </w:p>
    <w:p>
      <w:pPr>
        <w:rPr>
          <w:rFonts w:hint="eastAsia"/>
          <w:color w:val="auto"/>
          <w:highlight w:val="none"/>
          <w:lang w:val="zh-CN"/>
        </w:rPr>
      </w:pPr>
      <w:r>
        <w:rPr>
          <w:rFonts w:hint="eastAsia"/>
          <w:color w:val="auto"/>
          <w:highlight w:val="none"/>
          <w:lang w:val="zh-CN"/>
        </w:rPr>
        <w:br w:type="page"/>
      </w:r>
    </w:p>
    <w:tbl>
      <w:tblPr>
        <w:tblStyle w:val="17"/>
        <w:tblW w:w="96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644"/>
        <w:gridCol w:w="645"/>
        <w:gridCol w:w="2325"/>
        <w:gridCol w:w="2535"/>
        <w:gridCol w:w="1668"/>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603"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603"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7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民主党派、党外知识分子、新的社会阶层人士、非公经济代表人士统战工作经费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主管单位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中共广元市委统战部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中共广元市委统战部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预算数：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执行数：</w:t>
            </w:r>
          </w:p>
        </w:tc>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其中：财政拨款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其中：财政拨款</w:t>
            </w:r>
          </w:p>
        </w:tc>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5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目标1：组织民主党派、工商联负责人和无党派人士代表暑期学习考察活动；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目标2：国庆、中秋、元旦、春节重大节日座谈会费用；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目标3：走访慰问党外代表人士费用；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目标4：开展好党外知识分子、新的社会阶层人干及非公经济代表人士工作。</w:t>
            </w:r>
          </w:p>
        </w:tc>
        <w:tc>
          <w:tcPr>
            <w:tcW w:w="5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深入贯彻落实参政党建设“三个文件”精神，召开全市加强中国特色社会主义参政党建设座谈会，支持各民主党派深入开展“不忘合作初心，继续携手前进”主题教育，开展革命传统教育和现场学习考察等33次，完成新型政党制度视域下“九广合作”的调查研究与实践探索、提升民主党派专项民主监督路径研究（民进）等理论研究文章30篇。开展国庆、中秋、元旦、春节重大节日走访慰问活动，慰问各民主党派退休老领导及困难成员、新的社会阶层代表人士、党外知识分子及非公经济代表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绩效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指标值（包含数字及文字描述）</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实际完成指标值（包含数字及文字描述）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组织一次暑期学习活动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组织一次暑期学习活动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深入开展“不忘合作初心，继续携手前进”和“凝聚新力量，逐梦新时代”主题教育活动开展革命传统教育和现场学习考察等33次。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各团体组织工作经费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各团体组织工作经费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全年新发展民主党派成员93人，按时划拨团体工作经费。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形成外出学习考察高质量报告</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形成外出学习考察高质量报告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各民主党派形成理论调研文章30篇。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2021年完成</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2021年完成</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2021年全面完成。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项目效果指标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优化资源配置，提高资金使用效益</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优化资源配置，提高资金使用效益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严格按照预算要求，全面提高资金使用效益。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6"/>
                <w:szCs w:val="16"/>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群众更加满意</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群众更加满意</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各民主党派、党外知识分子、新的社会阶层人士、非公经济代表人士向心力进一步增强，满意度进一步提升。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16"/>
                <w:szCs w:val="16"/>
                <w:u w:val="none"/>
              </w:rPr>
            </w:pPr>
          </w:p>
        </w:tc>
      </w:tr>
    </w:tbl>
    <w:p>
      <w:pPr>
        <w:pStyle w:val="7"/>
        <w:rPr>
          <w:rFonts w:hint="eastAsia"/>
          <w:color w:val="auto"/>
          <w:sz w:val="16"/>
          <w:szCs w:val="16"/>
          <w:highlight w:val="none"/>
          <w:lang w:val="zh-CN"/>
        </w:rPr>
      </w:pPr>
    </w:p>
    <w:bookmarkEnd w:id="57"/>
    <w:p>
      <w:pPr>
        <w:rPr>
          <w:rFonts w:hint="eastAsia" w:ascii="仿宋" w:hAnsi="仿宋" w:eastAsia="仿宋"/>
          <w:b w:val="0"/>
          <w:color w:val="auto"/>
          <w:highlight w:val="none"/>
        </w:rPr>
      </w:pPr>
      <w:bookmarkStart w:id="59" w:name="_Toc15396619"/>
      <w:r>
        <w:rPr>
          <w:rFonts w:hint="eastAsia" w:ascii="仿宋" w:hAnsi="仿宋" w:eastAsia="仿宋"/>
          <w:b w:val="0"/>
          <w:color w:val="auto"/>
          <w:highlight w:val="none"/>
        </w:rPr>
        <w:br w:type="page"/>
      </w:r>
    </w:p>
    <w:p>
      <w:pPr>
        <w:spacing w:line="576"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农工广元市委</w:t>
      </w:r>
    </w:p>
    <w:p>
      <w:pPr>
        <w:spacing w:line="576"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民主党派专项工作经费项目</w:t>
      </w:r>
      <w:r>
        <w:rPr>
          <w:rFonts w:hint="eastAsia" w:ascii="方正小标宋简体" w:hAnsi="宋体" w:eastAsia="方正小标宋简体"/>
          <w:color w:val="000000"/>
          <w:kern w:val="0"/>
          <w:sz w:val="44"/>
          <w:szCs w:val="44"/>
          <w:lang w:eastAsia="zh-CN"/>
        </w:rPr>
        <w:t>2021年</w:t>
      </w:r>
      <w:r>
        <w:rPr>
          <w:rFonts w:hint="eastAsia" w:ascii="方正小标宋简体" w:hAnsi="宋体" w:eastAsia="方正小标宋简体"/>
          <w:color w:val="000000"/>
          <w:kern w:val="0"/>
          <w:sz w:val="44"/>
          <w:szCs w:val="44"/>
        </w:rPr>
        <w:t>绩效评价报</w:t>
      </w:r>
      <w:r>
        <w:rPr>
          <w:rFonts w:hint="eastAsia" w:ascii="方正小标宋简体" w:hAnsi="宋体" w:eastAsia="方正小标宋简体"/>
          <w:color w:val="000000"/>
          <w:kern w:val="0"/>
          <w:sz w:val="44"/>
          <w:szCs w:val="44"/>
          <w:lang w:val="en-US" w:eastAsia="zh-CN"/>
        </w:rPr>
        <w:t xml:space="preserve">  </w:t>
      </w:r>
      <w:r>
        <w:rPr>
          <w:rFonts w:hint="eastAsia" w:ascii="方正小标宋简体" w:hAnsi="宋体" w:eastAsia="方正小标宋简体"/>
          <w:color w:val="000000"/>
          <w:kern w:val="0"/>
          <w:sz w:val="44"/>
          <w:szCs w:val="44"/>
        </w:rPr>
        <w:t>告</w:t>
      </w:r>
    </w:p>
    <w:p>
      <w:pPr>
        <w:spacing w:line="576" w:lineRule="exact"/>
        <w:rPr>
          <w:rFonts w:hint="eastAsia" w:ascii="Times New Roman" w:hAnsi="Times New Roman" w:eastAsia="仿宋_GB2312"/>
          <w:kern w:val="2"/>
          <w:sz w:val="32"/>
          <w:szCs w:val="24"/>
          <w:lang w:val="en-US" w:eastAsia="zh-CN" w:bidi="ar-SA"/>
        </w:rPr>
      </w:pPr>
      <w:r>
        <w:rPr>
          <w:rFonts w:hint="eastAsia" w:ascii="宋体"/>
          <w:color w:val="FF0000"/>
          <w:sz w:val="32"/>
          <w:szCs w:val="32"/>
        </w:rPr>
        <w:t xml:space="preserve"> </w:t>
      </w:r>
      <w:r>
        <w:rPr>
          <w:rFonts w:hint="eastAsia" w:ascii="Times New Roman" w:hAnsi="Times New Roman" w:eastAsia="仿宋_GB2312"/>
          <w:kern w:val="2"/>
          <w:sz w:val="32"/>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黑体" w:hAnsi="黑体" w:eastAsia="黑体" w:cs="黑体"/>
          <w:kern w:val="2"/>
          <w:sz w:val="32"/>
          <w:szCs w:val="24"/>
          <w:lang w:val="en-US" w:eastAsia="zh-CN" w:bidi="ar-SA"/>
        </w:rPr>
        <w:t>一、</w:t>
      </w:r>
      <w:r>
        <w:rPr>
          <w:rFonts w:hint="eastAsia" w:ascii="黑体" w:hAnsi="黑体" w:eastAsia="黑体" w:cs="黑体"/>
          <w:kern w:val="2"/>
          <w:sz w:val="32"/>
          <w:szCs w:val="24"/>
          <w:lang w:val="zh-CN" w:eastAsia="zh-CN" w:bidi="ar-SA"/>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baseline"/>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en-US" w:eastAsia="zh-CN" w:bidi="ar-SA"/>
        </w:rPr>
        <w:t>农工党广元市委是独立法人的民主党派机关，业务主管单位是中共广元市委统战部。资金用于农工党广元市委机关的专兼职工作人员及办公经费、开展参政议政课题调研；开展思想政治主题教育活动；开展相关社会服务活动等。推动农工党广元市委各项工作顺利开展，圆满完成2021年工作计划。</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项目资金申报及批复情况。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baseline"/>
        <w:rPr>
          <w:rFonts w:hint="eastAsia" w:ascii="Times New Roman" w:hAnsi="Times New Roman" w:eastAsia="仿宋_GB2312"/>
          <w:kern w:val="2"/>
          <w:sz w:val="32"/>
          <w:szCs w:val="24"/>
          <w:lang w:val="en-US" w:eastAsia="zh-CN" w:bidi="ar-SA"/>
        </w:rPr>
      </w:pPr>
      <w:r>
        <w:rPr>
          <w:rFonts w:hint="eastAsia" w:ascii="Times New Roman" w:hAnsi="Times New Roman" w:eastAsia="仿宋_GB2312"/>
          <w:kern w:val="2"/>
          <w:sz w:val="32"/>
          <w:szCs w:val="24"/>
          <w:lang w:val="en-US" w:eastAsia="zh-CN" w:bidi="ar-SA"/>
        </w:rPr>
        <w:t>民主党派专项工作经费申报资金15.69万元，财政批复项目资金15.69万元，该项资金按流程申报及批复，符合资金管理办法等相关规定。</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项目绩效目标。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baseline"/>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en-US" w:eastAsia="zh-CN" w:bidi="ar-SA"/>
        </w:rPr>
        <w:t>1、</w:t>
      </w:r>
      <w:r>
        <w:rPr>
          <w:rFonts w:hint="eastAsia" w:ascii="Times New Roman" w:hAnsi="Times New Roman" w:eastAsia="仿宋_GB2312"/>
          <w:kern w:val="2"/>
          <w:sz w:val="32"/>
          <w:szCs w:val="24"/>
          <w:lang w:val="zh-CN" w:eastAsia="zh-CN" w:bidi="ar-SA"/>
        </w:rPr>
        <w:t>目标</w:t>
      </w:r>
      <w:r>
        <w:rPr>
          <w:rFonts w:hint="eastAsia" w:ascii="Times New Roman" w:hAnsi="Times New Roman" w:eastAsia="仿宋_GB2312"/>
          <w:kern w:val="2"/>
          <w:sz w:val="32"/>
          <w:szCs w:val="24"/>
          <w:lang w:val="en-US" w:eastAsia="zh-CN" w:bidi="ar-SA"/>
        </w:rPr>
        <w:t>:（1）</w:t>
      </w:r>
      <w:r>
        <w:rPr>
          <w:rFonts w:hint="eastAsia" w:ascii="Times New Roman" w:hAnsi="Times New Roman" w:eastAsia="仿宋_GB2312"/>
          <w:kern w:val="2"/>
          <w:sz w:val="32"/>
          <w:szCs w:val="24"/>
          <w:lang w:val="zh-CN" w:eastAsia="zh-CN" w:bidi="ar-SA"/>
        </w:rPr>
        <w:t>履行参政议政职责，开展调查研究，完成调研课题，积极建言献策，为广元经济社会发展献计出力。</w:t>
      </w:r>
      <w:r>
        <w:rPr>
          <w:rFonts w:hint="eastAsia" w:ascii="Times New Roman" w:hAnsi="Times New Roman" w:eastAsia="仿宋_GB2312"/>
          <w:kern w:val="2"/>
          <w:sz w:val="32"/>
          <w:szCs w:val="24"/>
          <w:lang w:val="en-US" w:eastAsia="zh-CN" w:bidi="ar-SA"/>
        </w:rPr>
        <w:t>（2）</w:t>
      </w:r>
      <w:r>
        <w:rPr>
          <w:rFonts w:hint="eastAsia" w:ascii="Times New Roman" w:hAnsi="Times New Roman" w:eastAsia="仿宋_GB2312"/>
          <w:kern w:val="2"/>
          <w:sz w:val="32"/>
          <w:szCs w:val="24"/>
          <w:lang w:val="zh-CN" w:eastAsia="zh-CN" w:bidi="ar-SA"/>
        </w:rPr>
        <w:t>开展民主监督工作。</w:t>
      </w:r>
      <w:r>
        <w:rPr>
          <w:rFonts w:hint="eastAsia" w:ascii="Times New Roman" w:hAnsi="Times New Roman" w:eastAsia="仿宋_GB2312"/>
          <w:kern w:val="2"/>
          <w:sz w:val="32"/>
          <w:szCs w:val="24"/>
          <w:lang w:val="en-US" w:eastAsia="zh-CN" w:bidi="ar-SA"/>
        </w:rPr>
        <w:t>（3）</w:t>
      </w:r>
      <w:r>
        <w:rPr>
          <w:rFonts w:hint="eastAsia" w:ascii="Times New Roman" w:hAnsi="Times New Roman" w:eastAsia="仿宋_GB2312"/>
          <w:kern w:val="2"/>
          <w:sz w:val="32"/>
          <w:szCs w:val="24"/>
          <w:lang w:val="zh-CN" w:eastAsia="zh-CN" w:bidi="ar-SA"/>
        </w:rPr>
        <w:t>积极开展社会服务工作，开展帮村工作，“三下乡”社会服务，积极争取社会各界扶贫援助项目等。</w:t>
      </w:r>
      <w:r>
        <w:rPr>
          <w:rFonts w:hint="eastAsia" w:ascii="Times New Roman" w:hAnsi="Times New Roman" w:eastAsia="仿宋_GB2312"/>
          <w:kern w:val="2"/>
          <w:sz w:val="32"/>
          <w:szCs w:val="24"/>
          <w:lang w:val="en-US" w:eastAsia="zh-CN" w:bidi="ar-SA"/>
        </w:rPr>
        <w:t>（4）</w:t>
      </w:r>
      <w:r>
        <w:rPr>
          <w:rFonts w:hint="eastAsia" w:ascii="Times New Roman" w:hAnsi="Times New Roman" w:eastAsia="仿宋_GB2312"/>
          <w:kern w:val="2"/>
          <w:sz w:val="32"/>
          <w:szCs w:val="24"/>
          <w:lang w:val="zh-CN" w:eastAsia="zh-CN" w:bidi="ar-SA"/>
        </w:rPr>
        <w:t>市直属组织开展组织活动、加强基层组织建设，推进广元农工党高效履职。</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576" w:lineRule="exact"/>
        <w:ind w:left="0" w:leftChars="0" w:firstLine="640" w:firstLineChars="200"/>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en-US" w:eastAsia="zh-CN" w:bidi="ar-SA"/>
        </w:rPr>
        <w:t>2、具体绩效目标：专兼职工作人员及办公经费；开展参政议政课题调研；开展思想政治主题教育活动；开展党员培训；开展相关社会服务活动；开展民主监督；直属基层组织活动费用等7个目标完成率达90%以上。项目实施进度计划从2021年1月1日-2021年12月31日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（三）申报内容与实际相符合，申报目标合理可行。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en-US" w:eastAsia="zh-CN" w:bidi="ar-SA"/>
        </w:rPr>
      </w:pPr>
      <w:r>
        <w:rPr>
          <w:rFonts w:hint="eastAsia" w:ascii="黑体" w:hAnsi="黑体" w:eastAsia="黑体" w:cs="黑体"/>
          <w:kern w:val="2"/>
          <w:sz w:val="32"/>
          <w:szCs w:val="24"/>
          <w:lang w:val="en-US" w:eastAsia="zh-CN" w:bidi="ar-SA"/>
        </w:rPr>
        <w:t>二、项目实施及管理情况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baseline"/>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（一）资金计划、到位及使用情况。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1．资金计划及到位。</w:t>
      </w:r>
      <w:r>
        <w:rPr>
          <w:rFonts w:hint="eastAsia" w:ascii="Times New Roman" w:hAnsi="Times New Roman" w:eastAsia="仿宋_GB2312"/>
          <w:kern w:val="2"/>
          <w:sz w:val="32"/>
          <w:szCs w:val="24"/>
          <w:lang w:val="en-US" w:eastAsia="zh-CN" w:bidi="ar-SA"/>
        </w:rPr>
        <w:t>该项目资金为上年度末做下年度预算，财政全额拨款，资金全部到位。2021年部门预算专项资金共计15.69万元，实际到位资金15.69万元，资金到位率100%。</w:t>
      </w:r>
      <w:r>
        <w:rPr>
          <w:rFonts w:hint="eastAsia" w:ascii="Times New Roman" w:hAnsi="Times New Roman" w:eastAsia="仿宋_GB2312"/>
          <w:kern w:val="2"/>
          <w:sz w:val="32"/>
          <w:szCs w:val="24"/>
          <w:lang w:val="en-US" w:eastAsia="zh-CN" w:bidi="ar-SA"/>
        </w:rPr>
        <w:br w:type="textWrapping"/>
      </w:r>
      <w:r>
        <w:rPr>
          <w:rFonts w:hint="eastAsia" w:ascii="Times New Roman" w:hAnsi="Times New Roman" w:eastAsia="仿宋_GB2312"/>
          <w:kern w:val="2"/>
          <w:sz w:val="32"/>
          <w:szCs w:val="24"/>
          <w:lang w:val="zh-CN" w:eastAsia="zh-CN" w:bidi="ar-SA"/>
        </w:rPr>
        <w:t>2．资金使用。</w:t>
      </w:r>
      <w:r>
        <w:rPr>
          <w:rFonts w:hint="eastAsia" w:ascii="Times New Roman" w:hAnsi="Times New Roman" w:eastAsia="仿宋_GB2312"/>
          <w:kern w:val="2"/>
          <w:sz w:val="32"/>
          <w:szCs w:val="24"/>
          <w:lang w:val="en-US" w:eastAsia="zh-CN" w:bidi="ar-SA"/>
        </w:rPr>
        <w:t>该项目资金实行专款专用，共计支出农工党广元市委民主党派专项工作经费15.69万元，项目支出均有相关的授权审批，使用规范，会计核算结果真实、准确，全部用于农工党广元市委各项工作的开展。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（二）项目财务管理情况。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en-US" w:eastAsia="zh-CN" w:bidi="ar-SA"/>
        </w:rPr>
        <w:t>农工党广元市委财务管理制度健全，严格按照财务管理制度执行，账务处理及时，会计核算规范。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（三）项目组织实施情况。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en-US" w:eastAsia="zh-CN" w:bidi="ar-SA"/>
        </w:rPr>
      </w:pPr>
      <w:r>
        <w:rPr>
          <w:rFonts w:hint="eastAsia" w:ascii="Times New Roman" w:hAnsi="Times New Roman" w:eastAsia="仿宋_GB2312"/>
          <w:kern w:val="2"/>
          <w:sz w:val="32"/>
          <w:szCs w:val="24"/>
          <w:lang w:val="en-US" w:eastAsia="zh-CN" w:bidi="ar-SA"/>
        </w:rPr>
        <w:t>项目实施严格采用审批制。严格按照相关制度执行，做到事前请示，事后按流程审批。在使用项目资金时，严格执行项目资金使用制度和财务制度，同时对各项目资金的使用流程进行监督，定时查看</w:t>
      </w:r>
      <w:r>
        <w:rPr>
          <w:rFonts w:hint="eastAsia" w:eastAsia="仿宋_GB2312"/>
          <w:kern w:val="2"/>
          <w:sz w:val="32"/>
          <w:szCs w:val="24"/>
          <w:lang w:val="en-US" w:eastAsia="zh-CN" w:bidi="ar-SA"/>
        </w:rPr>
        <w:t>财务报表</w:t>
      </w:r>
      <w:r>
        <w:rPr>
          <w:rFonts w:hint="eastAsia" w:ascii="Times New Roman" w:hAnsi="Times New Roman" w:eastAsia="仿宋_GB2312"/>
          <w:kern w:val="2"/>
          <w:sz w:val="32"/>
          <w:szCs w:val="24"/>
          <w:lang w:val="en-US" w:eastAsia="zh-CN" w:bidi="ar-SA"/>
        </w:rPr>
        <w:t>检查专项资金使用情况。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黑体" w:hAnsi="黑体" w:eastAsia="黑体" w:cs="黑体"/>
          <w:kern w:val="2"/>
          <w:sz w:val="32"/>
          <w:szCs w:val="24"/>
          <w:lang w:val="en-US" w:eastAsia="zh-CN" w:bidi="ar-SA"/>
        </w:rPr>
        <w:t>三、项目绩效情况</w:t>
      </w:r>
      <w:r>
        <w:rPr>
          <w:rFonts w:hint="eastAsia" w:ascii="Times New Roman" w:hAnsi="Times New Roman" w:eastAsia="仿宋_GB2312"/>
          <w:kern w:val="2"/>
          <w:sz w:val="32"/>
          <w:szCs w:val="24"/>
          <w:lang w:val="zh-CN" w:eastAsia="zh-CN" w:bidi="ar-SA"/>
        </w:rPr>
        <w:tab/>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（一）项目完成情况。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en-US" w:eastAsia="zh-CN" w:bidi="ar-SA"/>
        </w:rPr>
        <w:t>该项目属于专款专用，用于农工党广元市委履职的各项工作经费中，没有超支。较好</w:t>
      </w:r>
      <w:r>
        <w:rPr>
          <w:rFonts w:hint="eastAsia" w:eastAsia="仿宋_GB2312"/>
          <w:kern w:val="2"/>
          <w:sz w:val="32"/>
          <w:szCs w:val="24"/>
          <w:lang w:val="en-US" w:eastAsia="zh-CN" w:bidi="ar-SA"/>
        </w:rPr>
        <w:t>地</w:t>
      </w:r>
      <w:r>
        <w:rPr>
          <w:rFonts w:hint="eastAsia" w:ascii="Times New Roman" w:hAnsi="Times New Roman" w:eastAsia="仿宋_GB2312"/>
          <w:kern w:val="2"/>
          <w:sz w:val="32"/>
          <w:szCs w:val="24"/>
          <w:lang w:val="en-US" w:eastAsia="zh-CN" w:bidi="ar-SA"/>
        </w:rPr>
        <w:t>完成年度任务，达到良好的效果。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（二）项目效益情况。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en-US" w:eastAsia="zh-CN" w:bidi="ar-SA"/>
        </w:rPr>
      </w:pPr>
      <w:r>
        <w:rPr>
          <w:rFonts w:hint="eastAsia" w:ascii="Times New Roman" w:hAnsi="Times New Roman" w:eastAsia="仿宋_GB2312"/>
          <w:kern w:val="2"/>
          <w:sz w:val="32"/>
          <w:szCs w:val="24"/>
          <w:lang w:val="en-US" w:eastAsia="zh-CN" w:bidi="ar-SA"/>
        </w:rPr>
        <w:t>2021年度，农工党市委坚决履行职能职责，绩效明显，有效完成了本年度绩效目标。项目所有开支均按照我单位财务管理制度执行，资金的使用严格把关，整个项目的运行完全按照有关规定执行。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en-US" w:eastAsia="zh-CN" w:bidi="ar-SA"/>
        </w:rPr>
      </w:pPr>
      <w:r>
        <w:rPr>
          <w:rFonts w:hint="eastAsia" w:ascii="Times New Roman" w:hAnsi="Times New Roman" w:eastAsia="仿宋_GB2312"/>
          <w:kern w:val="2"/>
          <w:sz w:val="32"/>
          <w:szCs w:val="24"/>
          <w:lang w:val="en-US" w:eastAsia="zh-CN" w:bidi="ar-SA"/>
        </w:rPr>
        <w:t>2021年圆满完成了年初设定的各项工作目标和任务，各项工作都得到社会大众的肯定和好评，在年度绩效考核中成绩优异。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四、问题及建议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en-US" w:eastAsia="zh-CN" w:bidi="ar-SA"/>
        </w:rPr>
      </w:pPr>
      <w:r>
        <w:rPr>
          <w:rFonts w:hint="eastAsia" w:ascii="Times New Roman" w:hAnsi="Times New Roman" w:eastAsia="仿宋_GB2312"/>
          <w:kern w:val="2"/>
          <w:sz w:val="32"/>
          <w:szCs w:val="24"/>
          <w:lang w:val="zh-CN" w:eastAsia="zh-CN" w:bidi="ar-SA"/>
        </w:rPr>
        <w:t>（一）存在的问题</w:t>
      </w:r>
      <w:r>
        <w:rPr>
          <w:rFonts w:hint="eastAsia" w:ascii="Times New Roman" w:hAnsi="Times New Roman" w:eastAsia="仿宋_GB2312"/>
          <w:kern w:val="2"/>
          <w:sz w:val="32"/>
          <w:szCs w:val="24"/>
          <w:lang w:val="en-US" w:eastAsia="zh-CN" w:bidi="ar-SA"/>
        </w:rPr>
        <w:t>:政府部门对民主党派年度重点课题成果转化的落实有一定的时间周期，相关评价数据如项目的产出、效果、社会影响力等绩效评价需要转化时间。</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76" w:lineRule="exact"/>
        <w:ind w:left="0" w:firstLine="640" w:firstLineChars="200"/>
        <w:textAlignment w:val="auto"/>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zh-CN" w:eastAsia="zh-CN" w:bidi="ar-SA"/>
        </w:rPr>
        <w:t>相关建议：</w:t>
      </w:r>
      <w:r>
        <w:rPr>
          <w:rFonts w:hint="eastAsia" w:ascii="Times New Roman" w:hAnsi="Times New Roman" w:eastAsia="仿宋_GB2312"/>
          <w:kern w:val="2"/>
          <w:sz w:val="32"/>
          <w:szCs w:val="24"/>
          <w:lang w:val="en-US" w:eastAsia="zh-CN" w:bidi="ar-SA"/>
        </w:rPr>
        <w:t>适当增加重点课题项目的调研经费，确保项目实施的实效性。</w:t>
      </w:r>
    </w:p>
    <w:p>
      <w:pPr>
        <w:rPr>
          <w:rFonts w:hint="eastAsia" w:ascii="Times New Roman" w:hAnsi="Times New Roman" w:eastAsia="仿宋_GB2312"/>
          <w:kern w:val="2"/>
          <w:sz w:val="32"/>
          <w:szCs w:val="24"/>
          <w:lang w:val="zh-CN" w:eastAsia="zh-CN" w:bidi="ar-SA"/>
        </w:rPr>
      </w:pPr>
      <w:r>
        <w:rPr>
          <w:rFonts w:hint="eastAsia" w:ascii="Times New Roman" w:hAnsi="Times New Roman" w:eastAsia="仿宋_GB2312"/>
          <w:kern w:val="2"/>
          <w:sz w:val="32"/>
          <w:szCs w:val="24"/>
          <w:lang w:val="en-US" w:eastAsia="zh-CN" w:bidi="ar-SA"/>
        </w:rPr>
        <w:br w:type="page"/>
      </w:r>
    </w:p>
    <w:p>
      <w:pPr>
        <w:pStyle w:val="2"/>
        <w:overflowPunct w:val="0"/>
        <w:spacing w:before="0" w:beforeAutospacing="0" w:after="0" w:afterAutospacing="0"/>
        <w:ind w:firstLine="510" w:firstLineChars="116"/>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项目支出绩效目标自评表</w:t>
      </w:r>
    </w:p>
    <w:p>
      <w:pPr>
        <w:pStyle w:val="2"/>
        <w:overflowPunct w:val="0"/>
        <w:spacing w:before="0" w:beforeAutospacing="0" w:after="0" w:afterAutospacing="0"/>
        <w:ind w:firstLine="417" w:firstLineChars="116"/>
        <w:jc w:val="center"/>
        <w:rPr>
          <w:rFonts w:hint="eastAsia"/>
          <w:color w:val="000000"/>
        </w:rPr>
      </w:pPr>
      <w:r>
        <w:rPr>
          <w:rFonts w:ascii="宋体" w:hAnsi="宋体" w:cs="宋体"/>
          <w:color w:val="000000"/>
          <w:kern w:val="0"/>
          <w:sz w:val="36"/>
          <w:szCs w:val="36"/>
          <w:lang w:bidi="ar"/>
        </w:rPr>
        <w:t>(</w:t>
      </w:r>
      <w:r>
        <w:rPr>
          <w:rFonts w:hint="eastAsia" w:ascii="宋体" w:hAnsi="宋体" w:cs="宋体"/>
          <w:color w:val="000000"/>
          <w:kern w:val="0"/>
          <w:sz w:val="36"/>
          <w:szCs w:val="36"/>
          <w:lang w:eastAsia="zh-CN" w:bidi="ar"/>
        </w:rPr>
        <w:t>2021年</w:t>
      </w:r>
      <w:r>
        <w:rPr>
          <w:rFonts w:hint="eastAsia" w:ascii="宋体" w:hAnsi="宋体" w:cs="宋体"/>
          <w:color w:val="000000"/>
          <w:kern w:val="0"/>
          <w:sz w:val="36"/>
          <w:szCs w:val="36"/>
          <w:lang w:bidi="ar"/>
        </w:rPr>
        <w:t>度）</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8"/>
        <w:gridCol w:w="1193"/>
        <w:gridCol w:w="897"/>
        <w:gridCol w:w="2111"/>
        <w:gridCol w:w="2111"/>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30" w:type="pct"/>
            <w:gridSpan w:val="3"/>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项目名称</w:t>
            </w:r>
          </w:p>
        </w:tc>
        <w:tc>
          <w:tcPr>
            <w:tcW w:w="3569" w:type="pct"/>
            <w:gridSpan w:val="3"/>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cs="宋体"/>
                <w:color w:val="000000"/>
                <w:sz w:val="16"/>
                <w:szCs w:val="16"/>
              </w:rPr>
              <w:t>民主党派专项工作经费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30" w:type="pct"/>
            <w:gridSpan w:val="3"/>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预算单位</w:t>
            </w:r>
          </w:p>
        </w:tc>
        <w:tc>
          <w:tcPr>
            <w:tcW w:w="3569" w:type="pct"/>
            <w:gridSpan w:val="3"/>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cs="宋体"/>
                <w:color w:val="000000"/>
                <w:sz w:val="16"/>
                <w:szCs w:val="16"/>
              </w:rPr>
              <w:t>农工党广元市委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restar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预算执行情况（万元）</w:t>
            </w:r>
          </w:p>
        </w:tc>
        <w:tc>
          <w:tcPr>
            <w:tcW w:w="1177" w:type="pct"/>
            <w:gridSpan w:val="2"/>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预算数：</w:t>
            </w:r>
          </w:p>
        </w:tc>
        <w:tc>
          <w:tcPr>
            <w:tcW w:w="1189" w:type="pct"/>
            <w:noWrap w:val="0"/>
            <w:tcMar>
              <w:top w:w="15" w:type="dxa"/>
              <w:left w:w="15" w:type="dxa"/>
              <w:right w:w="15" w:type="dxa"/>
            </w:tcMar>
            <w:vAlign w:val="center"/>
          </w:tcPr>
          <w:p>
            <w:pPr>
              <w:widowControl/>
              <w:jc w:val="center"/>
              <w:textAlignment w:val="center"/>
              <w:rPr>
                <w:rFonts w:hint="default" w:ascii="宋体" w:eastAsia="宋体" w:cs="宋体"/>
                <w:color w:val="000000"/>
                <w:sz w:val="16"/>
                <w:szCs w:val="16"/>
                <w:lang w:val="en-US" w:eastAsia="zh-CN"/>
              </w:rPr>
            </w:pPr>
            <w:r>
              <w:rPr>
                <w:rFonts w:hint="eastAsia" w:ascii="宋体" w:hAnsi="宋体" w:cs="宋体"/>
                <w:color w:val="000000"/>
                <w:sz w:val="16"/>
                <w:szCs w:val="16"/>
                <w:lang w:val="en-US" w:eastAsia="zh-CN"/>
              </w:rPr>
              <w:t>15.68</w:t>
            </w:r>
          </w:p>
        </w:tc>
        <w:tc>
          <w:tcPr>
            <w:tcW w:w="1189"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执行数：</w:t>
            </w:r>
          </w:p>
        </w:tc>
        <w:tc>
          <w:tcPr>
            <w:tcW w:w="1190"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sz w:val="16"/>
                <w:szCs w:val="16"/>
                <w:lang w:val="en-US" w:eastAsia="zh-CN"/>
              </w:rPr>
              <w:t>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77" w:type="pct"/>
            <w:gridSpan w:val="2"/>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其中－财政拨款：</w:t>
            </w:r>
          </w:p>
        </w:tc>
        <w:tc>
          <w:tcPr>
            <w:tcW w:w="1189"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sz w:val="16"/>
                <w:szCs w:val="16"/>
                <w:lang w:val="en-US" w:eastAsia="zh-CN"/>
              </w:rPr>
              <w:t>15.68</w:t>
            </w:r>
          </w:p>
        </w:tc>
        <w:tc>
          <w:tcPr>
            <w:tcW w:w="1189"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其中－财政拨款：</w:t>
            </w:r>
          </w:p>
        </w:tc>
        <w:tc>
          <w:tcPr>
            <w:tcW w:w="1190"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sz w:val="16"/>
                <w:szCs w:val="16"/>
                <w:lang w:val="en-US" w:eastAsia="zh-CN"/>
              </w:rPr>
              <w:t>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77" w:type="pct"/>
            <w:gridSpan w:val="2"/>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其他资金：</w:t>
            </w:r>
          </w:p>
        </w:tc>
        <w:tc>
          <w:tcPr>
            <w:tcW w:w="1189"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其他资金：</w:t>
            </w:r>
          </w:p>
        </w:tc>
        <w:tc>
          <w:tcPr>
            <w:tcW w:w="1190" w:type="pct"/>
            <w:noWrap w:val="0"/>
            <w:tcMar>
              <w:top w:w="15" w:type="dxa"/>
              <w:left w:w="15" w:type="dxa"/>
              <w:right w:w="15" w:type="dxa"/>
            </w:tcMar>
            <w:vAlign w:val="center"/>
          </w:tcPr>
          <w:p>
            <w:pPr>
              <w:jc w:val="center"/>
              <w:rPr>
                <w:rFonts w:asci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restar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年度目标完成情况</w:t>
            </w:r>
          </w:p>
        </w:tc>
        <w:tc>
          <w:tcPr>
            <w:tcW w:w="2366" w:type="pct"/>
            <w:gridSpan w:val="3"/>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预期目标</w:t>
            </w:r>
          </w:p>
        </w:tc>
        <w:tc>
          <w:tcPr>
            <w:tcW w:w="2379" w:type="pct"/>
            <w:gridSpan w:val="2"/>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jc w:val="center"/>
              <w:rPr>
                <w:rFonts w:ascii="宋体" w:cs="宋体"/>
                <w:color w:val="000000"/>
                <w:sz w:val="16"/>
                <w:szCs w:val="16"/>
              </w:rPr>
            </w:pPr>
          </w:p>
        </w:tc>
        <w:tc>
          <w:tcPr>
            <w:tcW w:w="2366" w:type="pct"/>
            <w:gridSpan w:val="3"/>
            <w:noWrap w:val="0"/>
            <w:tcMar>
              <w:top w:w="15" w:type="dxa"/>
              <w:left w:w="15" w:type="dxa"/>
              <w:right w:w="15" w:type="dxa"/>
            </w:tcMar>
            <w:vAlign w:val="center"/>
          </w:tcPr>
          <w:p>
            <w:pPr>
              <w:widowControl/>
              <w:textAlignment w:val="center"/>
              <w:rPr>
                <w:rFonts w:hint="eastAsia" w:ascii="宋体" w:cs="宋体"/>
                <w:color w:val="000000"/>
                <w:sz w:val="16"/>
                <w:szCs w:val="16"/>
              </w:rPr>
            </w:pPr>
            <w:r>
              <w:rPr>
                <w:rFonts w:hint="eastAsia" w:ascii="宋体" w:cs="宋体"/>
                <w:color w:val="000000"/>
                <w:sz w:val="16"/>
                <w:szCs w:val="16"/>
              </w:rPr>
              <w:t>目标</w:t>
            </w:r>
            <w:r>
              <w:rPr>
                <w:rFonts w:hint="eastAsia" w:ascii="宋体" w:hAnsi="宋体" w:cs="宋体"/>
                <w:color w:val="000000"/>
                <w:sz w:val="16"/>
                <w:szCs w:val="16"/>
              </w:rPr>
              <w:t>1</w:t>
            </w:r>
            <w:r>
              <w:rPr>
                <w:rFonts w:hint="eastAsia" w:ascii="宋体" w:cs="宋体"/>
                <w:color w:val="000000"/>
                <w:sz w:val="16"/>
                <w:szCs w:val="16"/>
              </w:rPr>
              <w:t>：履行参政议政职责，开展调查研究，完成调研课题，积极建言献策，为广元经济社会发展献计出力。</w:t>
            </w:r>
          </w:p>
          <w:p>
            <w:pPr>
              <w:widowControl/>
              <w:textAlignment w:val="center"/>
              <w:rPr>
                <w:rFonts w:hint="eastAsia" w:ascii="宋体" w:cs="宋体"/>
                <w:color w:val="000000"/>
                <w:sz w:val="16"/>
                <w:szCs w:val="16"/>
              </w:rPr>
            </w:pPr>
            <w:r>
              <w:rPr>
                <w:rFonts w:hint="eastAsia" w:ascii="宋体" w:cs="宋体"/>
                <w:color w:val="000000"/>
                <w:sz w:val="16"/>
                <w:szCs w:val="16"/>
              </w:rPr>
              <w:t>目标</w:t>
            </w:r>
            <w:r>
              <w:rPr>
                <w:rFonts w:hint="eastAsia" w:ascii="宋体" w:hAnsi="宋体" w:cs="宋体"/>
                <w:color w:val="000000"/>
                <w:sz w:val="16"/>
                <w:szCs w:val="16"/>
              </w:rPr>
              <w:t>2</w:t>
            </w:r>
            <w:r>
              <w:rPr>
                <w:rFonts w:hint="eastAsia" w:ascii="宋体" w:cs="宋体"/>
                <w:color w:val="000000"/>
                <w:sz w:val="16"/>
                <w:szCs w:val="16"/>
              </w:rPr>
              <w:t>：开展民主监督工作，重点完成对口利州区脱贫攻坚民主监督工作。</w:t>
            </w:r>
          </w:p>
          <w:p>
            <w:pPr>
              <w:widowControl/>
              <w:textAlignment w:val="center"/>
              <w:rPr>
                <w:rFonts w:hint="eastAsia" w:ascii="宋体" w:cs="宋体"/>
                <w:color w:val="000000"/>
                <w:sz w:val="16"/>
                <w:szCs w:val="16"/>
              </w:rPr>
            </w:pPr>
            <w:r>
              <w:rPr>
                <w:rFonts w:hint="eastAsia" w:ascii="宋体" w:cs="宋体"/>
                <w:color w:val="000000"/>
                <w:sz w:val="16"/>
                <w:szCs w:val="16"/>
              </w:rPr>
              <w:t>目标</w:t>
            </w:r>
            <w:r>
              <w:rPr>
                <w:rFonts w:hint="eastAsia" w:ascii="宋体" w:hAnsi="宋体" w:cs="宋体"/>
                <w:color w:val="000000"/>
                <w:sz w:val="16"/>
                <w:szCs w:val="16"/>
              </w:rPr>
              <w:t>3</w:t>
            </w:r>
            <w:r>
              <w:rPr>
                <w:rFonts w:hint="eastAsia" w:ascii="宋体" w:cs="宋体"/>
                <w:color w:val="000000"/>
                <w:sz w:val="16"/>
                <w:szCs w:val="16"/>
              </w:rPr>
              <w:t>：积极开展社会服务工作，开展帮村工作，“三下乡”社会服务，积极争取社会各界扶贫援助项目等。</w:t>
            </w:r>
          </w:p>
          <w:p>
            <w:pPr>
              <w:widowControl/>
              <w:textAlignment w:val="center"/>
              <w:rPr>
                <w:rFonts w:ascii="宋体" w:cs="宋体"/>
                <w:color w:val="000000"/>
                <w:sz w:val="16"/>
                <w:szCs w:val="16"/>
              </w:rPr>
            </w:pPr>
            <w:r>
              <w:rPr>
                <w:rFonts w:hint="eastAsia" w:ascii="宋体" w:cs="宋体"/>
                <w:color w:val="000000"/>
                <w:sz w:val="16"/>
                <w:szCs w:val="16"/>
              </w:rPr>
              <w:t>目标</w:t>
            </w:r>
            <w:r>
              <w:rPr>
                <w:rFonts w:hint="eastAsia" w:ascii="宋体" w:hAnsi="宋体" w:cs="宋体"/>
                <w:color w:val="000000"/>
                <w:sz w:val="16"/>
                <w:szCs w:val="16"/>
              </w:rPr>
              <w:t>4</w:t>
            </w:r>
            <w:r>
              <w:rPr>
                <w:rFonts w:hint="eastAsia" w:ascii="宋体" w:cs="宋体"/>
                <w:color w:val="000000"/>
                <w:sz w:val="16"/>
                <w:szCs w:val="16"/>
              </w:rPr>
              <w:t>：市直属组织开展组织活动、加强基层组织建设，推进广元农工党高效履职。</w:t>
            </w:r>
          </w:p>
        </w:tc>
        <w:tc>
          <w:tcPr>
            <w:tcW w:w="2379" w:type="pct"/>
            <w:gridSpan w:val="2"/>
            <w:noWrap w:val="0"/>
            <w:tcMar>
              <w:top w:w="15" w:type="dxa"/>
              <w:left w:w="15" w:type="dxa"/>
              <w:right w:w="15" w:type="dxa"/>
            </w:tcMar>
            <w:vAlign w:val="center"/>
          </w:tcPr>
          <w:p>
            <w:pPr>
              <w:widowControl/>
              <w:textAlignment w:val="center"/>
              <w:rPr>
                <w:rFonts w:hint="eastAsia" w:ascii="宋体" w:cs="宋体"/>
                <w:color w:val="000000"/>
                <w:sz w:val="16"/>
                <w:szCs w:val="16"/>
              </w:rPr>
            </w:pPr>
            <w:r>
              <w:rPr>
                <w:rFonts w:hint="eastAsia" w:ascii="宋体" w:cs="宋体"/>
                <w:color w:val="000000"/>
                <w:sz w:val="16"/>
                <w:szCs w:val="16"/>
              </w:rPr>
              <w:t>目标</w:t>
            </w:r>
            <w:r>
              <w:rPr>
                <w:rFonts w:hint="eastAsia" w:ascii="宋体" w:hAnsi="宋体" w:cs="宋体"/>
                <w:color w:val="000000"/>
                <w:sz w:val="16"/>
                <w:szCs w:val="16"/>
              </w:rPr>
              <w:t>1</w:t>
            </w:r>
            <w:r>
              <w:rPr>
                <w:rFonts w:hint="eastAsia" w:ascii="宋体" w:cs="宋体"/>
                <w:color w:val="000000"/>
                <w:sz w:val="16"/>
                <w:szCs w:val="16"/>
              </w:rPr>
              <w:t>：履行参政议政职责，开展调查研究，完成调研课题，积极建言献策，为广元经济社会发展献计出力。</w:t>
            </w:r>
          </w:p>
          <w:p>
            <w:pPr>
              <w:widowControl/>
              <w:textAlignment w:val="center"/>
              <w:rPr>
                <w:rFonts w:hint="eastAsia" w:ascii="宋体" w:cs="宋体"/>
                <w:color w:val="000000"/>
                <w:sz w:val="16"/>
                <w:szCs w:val="16"/>
              </w:rPr>
            </w:pPr>
            <w:r>
              <w:rPr>
                <w:rFonts w:hint="eastAsia" w:ascii="宋体" w:cs="宋体"/>
                <w:color w:val="000000"/>
                <w:sz w:val="16"/>
                <w:szCs w:val="16"/>
              </w:rPr>
              <w:t>目标</w:t>
            </w:r>
            <w:r>
              <w:rPr>
                <w:rFonts w:hint="eastAsia" w:ascii="宋体" w:hAnsi="宋体" w:cs="宋体"/>
                <w:color w:val="000000"/>
                <w:sz w:val="16"/>
                <w:szCs w:val="16"/>
              </w:rPr>
              <w:t>2</w:t>
            </w:r>
            <w:r>
              <w:rPr>
                <w:rFonts w:hint="eastAsia" w:ascii="宋体" w:cs="宋体"/>
                <w:color w:val="000000"/>
                <w:sz w:val="16"/>
                <w:szCs w:val="16"/>
              </w:rPr>
              <w:t>：开展民主监督工作，重点完成对口利州区脱贫攻坚民主监督工作。</w:t>
            </w:r>
          </w:p>
          <w:p>
            <w:pPr>
              <w:widowControl/>
              <w:textAlignment w:val="center"/>
              <w:rPr>
                <w:rFonts w:hint="eastAsia" w:ascii="宋体" w:cs="宋体"/>
                <w:color w:val="000000"/>
                <w:sz w:val="16"/>
                <w:szCs w:val="16"/>
              </w:rPr>
            </w:pPr>
            <w:r>
              <w:rPr>
                <w:rFonts w:hint="eastAsia" w:ascii="宋体" w:cs="宋体"/>
                <w:color w:val="000000"/>
                <w:sz w:val="16"/>
                <w:szCs w:val="16"/>
              </w:rPr>
              <w:t>目标</w:t>
            </w:r>
            <w:r>
              <w:rPr>
                <w:rFonts w:hint="eastAsia" w:ascii="宋体" w:hAnsi="宋体" w:cs="宋体"/>
                <w:color w:val="000000"/>
                <w:sz w:val="16"/>
                <w:szCs w:val="16"/>
              </w:rPr>
              <w:t>3</w:t>
            </w:r>
            <w:r>
              <w:rPr>
                <w:rFonts w:hint="eastAsia" w:ascii="宋体" w:cs="宋体"/>
                <w:color w:val="000000"/>
                <w:sz w:val="16"/>
                <w:szCs w:val="16"/>
              </w:rPr>
              <w:t>：积极开展社会服务工作，开展帮村工作，“三下乡”社会服务，积极争取社会各界扶贫援助项目等。</w:t>
            </w:r>
          </w:p>
          <w:p>
            <w:pPr>
              <w:widowControl/>
              <w:textAlignment w:val="center"/>
              <w:rPr>
                <w:rFonts w:ascii="宋体" w:cs="宋体"/>
                <w:color w:val="000000"/>
                <w:sz w:val="16"/>
                <w:szCs w:val="16"/>
              </w:rPr>
            </w:pPr>
            <w:r>
              <w:rPr>
                <w:rFonts w:hint="eastAsia" w:ascii="宋体" w:cs="宋体"/>
                <w:color w:val="000000"/>
                <w:sz w:val="16"/>
                <w:szCs w:val="16"/>
              </w:rPr>
              <w:t>目标</w:t>
            </w:r>
            <w:r>
              <w:rPr>
                <w:rFonts w:hint="eastAsia" w:ascii="宋体" w:hAnsi="宋体" w:cs="宋体"/>
                <w:color w:val="000000"/>
                <w:sz w:val="16"/>
                <w:szCs w:val="16"/>
              </w:rPr>
              <w:t>4</w:t>
            </w:r>
            <w:r>
              <w:rPr>
                <w:rFonts w:hint="eastAsia" w:ascii="宋体" w:cs="宋体"/>
                <w:color w:val="000000"/>
                <w:sz w:val="16"/>
                <w:szCs w:val="16"/>
              </w:rPr>
              <w:t>：市直属组织开展组织活动、加强基层组织建设，推进广元农工党高效履职。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restar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sz w:val="16"/>
                <w:szCs w:val="16"/>
              </w:rPr>
              <w:t>指标完成情况</w:t>
            </w:r>
          </w:p>
        </w:tc>
        <w:tc>
          <w:tcPr>
            <w:tcW w:w="672"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一级指标</w:t>
            </w:r>
          </w:p>
        </w:tc>
        <w:tc>
          <w:tcPr>
            <w:tcW w:w="504"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二级指标</w:t>
            </w:r>
          </w:p>
        </w:tc>
        <w:tc>
          <w:tcPr>
            <w:tcW w:w="1189"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三级指标</w:t>
            </w:r>
          </w:p>
        </w:tc>
        <w:tc>
          <w:tcPr>
            <w:tcW w:w="1189"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预期指标值（包含数字及文字描述）</w:t>
            </w:r>
          </w:p>
        </w:tc>
        <w:tc>
          <w:tcPr>
            <w:tcW w:w="1190"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restar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项目完成指标</w:t>
            </w:r>
          </w:p>
        </w:tc>
        <w:tc>
          <w:tcPr>
            <w:tcW w:w="504" w:type="pct"/>
            <w:vMerge w:val="restar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数量指标</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 xml:space="preserve"> 指标1：完成调研课题数量</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3个</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continue"/>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 xml:space="preserve"> 指标2：完成社情民意信息数量</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15条</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continue"/>
            <w:noWrap w:val="0"/>
            <w:tcMar>
              <w:top w:w="15" w:type="dxa"/>
              <w:left w:w="15" w:type="dxa"/>
              <w:right w:w="15" w:type="dxa"/>
            </w:tcMar>
            <w:vAlign w:val="center"/>
          </w:tcPr>
          <w:p>
            <w:pPr>
              <w:jc w:val="center"/>
              <w:rPr>
                <w:rFonts w:ascii="宋体" w:cs="宋体"/>
                <w:color w:val="000000"/>
                <w:kern w:val="0"/>
                <w:sz w:val="16"/>
                <w:szCs w:val="16"/>
                <w:lang w:bidi="ar"/>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 xml:space="preserve"> 指标3：参加政治协商会议数量</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≥4次</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continue"/>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指标4：开展民主监督次数</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≥20次</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continue"/>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指标5：组织开展“三下乡”及帮村社会服务活动场次</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4次</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continue"/>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指标6：社会服务受益人数</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≥1千人次</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continue"/>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指标7：积极向上争取帮扶项目</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对接争取帮扶资金、项目</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continue"/>
            <w:noWrap w:val="0"/>
            <w:tcMar>
              <w:top w:w="15" w:type="dxa"/>
              <w:left w:w="15" w:type="dxa"/>
              <w:right w:w="15" w:type="dxa"/>
            </w:tcMar>
            <w:vAlign w:val="center"/>
          </w:tcPr>
          <w:p>
            <w:pPr>
              <w:jc w:val="center"/>
              <w:rPr>
                <w:rFonts w:ascii="宋体" w:cs="宋体"/>
                <w:color w:val="000000"/>
                <w:kern w:val="0"/>
                <w:sz w:val="16"/>
                <w:szCs w:val="16"/>
                <w:lang w:bidi="ar"/>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指标8：开展主题教育活动场次</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≥2次</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vMerge w:val="continue"/>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vMerge w:val="continue"/>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指标9：开展党员培训人次</w:t>
            </w:r>
          </w:p>
        </w:tc>
        <w:tc>
          <w:tcPr>
            <w:tcW w:w="1189"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≥50人次</w:t>
            </w:r>
          </w:p>
        </w:tc>
        <w:tc>
          <w:tcPr>
            <w:tcW w:w="1190"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指标10：直属组织开展组织活动次数</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6个基层组织，分别每两月开展一次组织活动</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指标11：直属组织开展社会服务活动次数</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6个基层组织，分别每季度开展一次社会服务活动</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指标12：直属组织开展调研活动次数</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6个基层组织，分别每年开展调研活动2次</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restar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质量指标</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指标1：调研成果获领导批示</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≥2篇</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指标2：社情民意信息采用数</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≥6条</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指标3：形成调研报告，提出对策建议数</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≥2篇调研报告，≥10条对策建议</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指标4：活动社会影响面大，省级以上媒体报道场次</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≥5次</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指标5：培训合格率</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≥95%</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指标6：主题教育活动成果在省级以上媒体报道数</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≥5篇</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指标7：基层组织活动成果</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组织凝聚力进一步增强；社会服务活动受益群众达100人次以上；报送调研报告1篇以上，社情民意信息5条以上。</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时效指标</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指标1：完成时限</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eastAsia="zh-CN" w:bidi="ar"/>
              </w:rPr>
              <w:t>2021年</w:t>
            </w:r>
            <w:r>
              <w:rPr>
                <w:rFonts w:hint="eastAsia" w:ascii="宋体" w:hAnsi="宋体" w:cs="宋体"/>
                <w:color w:val="000000"/>
                <w:kern w:val="0"/>
                <w:sz w:val="16"/>
                <w:szCs w:val="16"/>
                <w:lang w:bidi="ar"/>
              </w:rPr>
              <w:t>12月前</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restart"/>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成本指标</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指标1：参政议政经费</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2万元</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指标2：开展民主监督成本</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1万元</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指标3：社会服务活动成本</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1.69万元</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指标4：组织开展主题教育活动成本</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2.5万元</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指标5：组织开展培训成本</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2万元</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vMerge w:val="continue"/>
            <w:noWrap w:val="0"/>
            <w:tcMar>
              <w:top w:w="15" w:type="dxa"/>
              <w:left w:w="15" w:type="dxa"/>
              <w:right w:w="15" w:type="dxa"/>
            </w:tcMar>
            <w:vAlign w:val="center"/>
          </w:tcPr>
          <w:p>
            <w:pPr>
              <w:jc w:val="center"/>
              <w:rPr>
                <w:rFonts w:ascii="宋体" w:cs="宋体"/>
                <w:color w:val="000000"/>
                <w:sz w:val="16"/>
                <w:szCs w:val="16"/>
              </w:rPr>
            </w:pP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指标6：直属组织活动成本</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1.5万元</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经济效益指标</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指标1：减少基层群众看病挂号、往返食宿费用</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≥2万元</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3" w:type="pct"/>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noWrap w:val="0"/>
            <w:tcMar>
              <w:top w:w="15" w:type="dxa"/>
              <w:left w:w="15" w:type="dxa"/>
              <w:right w:w="15" w:type="dxa"/>
            </w:tcMar>
            <w:vAlign w:val="center"/>
          </w:tcPr>
          <w:p>
            <w:pPr>
              <w:jc w:val="center"/>
              <w:rPr>
                <w:rFonts w:ascii="宋体" w:cs="宋体"/>
                <w:color w:val="000000"/>
                <w:sz w:val="16"/>
                <w:szCs w:val="16"/>
              </w:rPr>
            </w:pPr>
          </w:p>
        </w:tc>
        <w:tc>
          <w:tcPr>
            <w:tcW w:w="504" w:type="pct"/>
            <w:noWrap w:val="0"/>
            <w:tcMar>
              <w:top w:w="15" w:type="dxa"/>
              <w:left w:w="15" w:type="dxa"/>
              <w:right w:w="15" w:type="dxa"/>
            </w:tcMar>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lang w:bidi="ar"/>
              </w:rPr>
              <w:t>社会效益指标</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指标1：促进广元经济社会发展作用</w:t>
            </w:r>
          </w:p>
        </w:tc>
        <w:tc>
          <w:tcPr>
            <w:tcW w:w="1189"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为广元经济社会发展建言献策，助推各项工作高效、高速、有序推进。</w:t>
            </w:r>
          </w:p>
        </w:tc>
        <w:tc>
          <w:tcPr>
            <w:tcW w:w="1190" w:type="pct"/>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253" w:type="pct"/>
            <w:tcBorders>
              <w:bottom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16"/>
                <w:szCs w:val="16"/>
              </w:rPr>
            </w:pPr>
          </w:p>
        </w:tc>
        <w:tc>
          <w:tcPr>
            <w:tcW w:w="672" w:type="pct"/>
            <w:tcBorders>
              <w:bottom w:val="single" w:color="auto" w:sz="4" w:space="0"/>
            </w:tcBorders>
            <w:noWrap w:val="0"/>
            <w:tcMar>
              <w:top w:w="15" w:type="dxa"/>
              <w:left w:w="15" w:type="dxa"/>
              <w:right w:w="15" w:type="dxa"/>
            </w:tcMar>
            <w:vAlign w:val="center"/>
          </w:tcPr>
          <w:p>
            <w:pPr>
              <w:jc w:val="center"/>
              <w:rPr>
                <w:rFonts w:ascii="宋体" w:cs="宋体"/>
                <w:color w:val="000000"/>
                <w:sz w:val="16"/>
                <w:szCs w:val="16"/>
              </w:rPr>
            </w:pPr>
          </w:p>
        </w:tc>
        <w:tc>
          <w:tcPr>
            <w:tcW w:w="504" w:type="pct"/>
            <w:tcBorders>
              <w:bottom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lang w:bidi="ar"/>
              </w:rPr>
              <w:t>满意度指标</w:t>
            </w:r>
          </w:p>
        </w:tc>
        <w:tc>
          <w:tcPr>
            <w:tcW w:w="1189" w:type="pct"/>
            <w:tcBorders>
              <w:bottom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 xml:space="preserve"> 指标1：党委、政府满意度</w:t>
            </w:r>
          </w:p>
        </w:tc>
        <w:tc>
          <w:tcPr>
            <w:tcW w:w="1189" w:type="pct"/>
            <w:tcBorders>
              <w:bottom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≥90%</w:t>
            </w:r>
          </w:p>
        </w:tc>
        <w:tc>
          <w:tcPr>
            <w:tcW w:w="1190" w:type="pct"/>
            <w:tcBorders>
              <w:bottom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100%完成</w:t>
            </w:r>
          </w:p>
        </w:tc>
      </w:tr>
    </w:tbl>
    <w:p>
      <w:pPr>
        <w:pStyle w:val="2"/>
        <w:rPr>
          <w:rFonts w:hint="eastAsia"/>
          <w:lang w:val="zh-CN" w:eastAsia="zh-CN"/>
        </w:rPr>
      </w:pPr>
    </w:p>
    <w:p>
      <w:pPr>
        <w:rPr>
          <w:rFonts w:hint="eastAsia"/>
        </w:rPr>
      </w:pPr>
      <w:r>
        <w:rPr>
          <w:rFonts w:hint="eastAsia"/>
        </w:rPr>
        <w:br w:type="page"/>
      </w:r>
    </w:p>
    <w:p>
      <w:pPr>
        <w:spacing w:line="576"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九三学社广元市委</w:t>
      </w:r>
    </w:p>
    <w:p>
      <w:pPr>
        <w:pStyle w:val="15"/>
        <w:shd w:val="clear" w:color="auto" w:fill="FFFFFF"/>
        <w:spacing w:beforeAutospacing="0" w:afterAutospacing="0" w:line="520" w:lineRule="exact"/>
        <w:jc w:val="center"/>
        <w:rPr>
          <w:rFonts w:hint="eastAsia" w:ascii="黑体" w:hAnsi="宋体" w:eastAsia="黑体" w:cs="微软雅黑"/>
          <w:b/>
          <w:color w:val="000000"/>
          <w:sz w:val="28"/>
          <w:szCs w:val="28"/>
          <w:shd w:val="clear" w:color="auto" w:fill="FFFFFF"/>
        </w:rPr>
      </w:pPr>
      <w:r>
        <w:rPr>
          <w:rFonts w:hint="eastAsia" w:ascii="方正小标宋简体" w:hAnsi="宋体" w:eastAsia="方正小标宋简体"/>
          <w:color w:val="000000"/>
          <w:kern w:val="0"/>
          <w:sz w:val="44"/>
          <w:szCs w:val="44"/>
        </w:rPr>
        <w:t>民主党派专项工作经费项目</w:t>
      </w:r>
      <w:r>
        <w:rPr>
          <w:rFonts w:hint="eastAsia" w:ascii="方正小标宋简体" w:hAnsi="宋体" w:eastAsia="方正小标宋简体"/>
          <w:color w:val="000000"/>
          <w:kern w:val="0"/>
          <w:sz w:val="44"/>
          <w:szCs w:val="44"/>
          <w:lang w:eastAsia="zh-CN"/>
        </w:rPr>
        <w:t>2021年</w:t>
      </w:r>
      <w:r>
        <w:rPr>
          <w:rFonts w:hint="eastAsia" w:ascii="方正小标宋简体" w:hAnsi="宋体" w:eastAsia="方正小标宋简体"/>
          <w:color w:val="000000"/>
          <w:kern w:val="0"/>
          <w:sz w:val="44"/>
          <w:szCs w:val="44"/>
        </w:rPr>
        <w:t>绩效评价报</w:t>
      </w:r>
      <w:r>
        <w:rPr>
          <w:rFonts w:hint="eastAsia" w:ascii="方正小标宋简体" w:hAnsi="宋体" w:eastAsia="方正小标宋简体"/>
          <w:color w:val="000000"/>
          <w:kern w:val="0"/>
          <w:sz w:val="44"/>
          <w:szCs w:val="44"/>
          <w:lang w:val="en-US" w:eastAsia="zh-CN"/>
        </w:rPr>
        <w:t xml:space="preserve">  </w:t>
      </w:r>
      <w:r>
        <w:rPr>
          <w:rFonts w:hint="eastAsia" w:ascii="方正小标宋简体" w:hAnsi="宋体" w:eastAsia="方正小标宋简体"/>
          <w:color w:val="000000"/>
          <w:kern w:val="0"/>
          <w:sz w:val="44"/>
          <w:szCs w:val="44"/>
        </w:rPr>
        <w:t>告</w:t>
      </w:r>
    </w:p>
    <w:p>
      <w:pPr>
        <w:pStyle w:val="15"/>
        <w:shd w:val="clear" w:color="auto" w:fill="FFFFFF"/>
        <w:spacing w:beforeAutospacing="0" w:afterAutospacing="0" w:line="520" w:lineRule="exact"/>
        <w:ind w:firstLine="562" w:firstLineChars="200"/>
        <w:rPr>
          <w:rFonts w:hint="eastAsia" w:ascii="黑体" w:hAnsi="宋体" w:eastAsia="黑体" w:cs="微软雅黑"/>
          <w:b/>
          <w:color w:val="000000"/>
          <w:sz w:val="28"/>
          <w:szCs w:val="28"/>
          <w:shd w:val="clear" w:color="auto" w:fill="FFFFFF"/>
        </w:rPr>
      </w:pP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shd w:val="clear" w:color="auto" w:fill="FFFFFF"/>
        </w:rPr>
        <w:t>一、项目概况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（一）项目基本情况。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1．项目主管部门在该项目管理中的职能。</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（1）绩效目标情况。2020年，九三学社广元市委项目预算收入27.85万元，主要用于保障思想建设、组织建设、社会宣传、参政议政、民主监督、社会服务、机关建设工作等方面的工作。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（2）资金安排情况。2020年，财政拨款项目收入总计27.85万元。</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2．项目立项、资金申报的依据。</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支持民主党派加强中国特色社会主义参政议政建设，发挥各民主党派参政议政和民主监督作用，根据中共广元市委常务委员会会议纪要文件精神及相关工作需要，保障市级民主党派每年工作经费27.85万元。本项目属于持续性、常年性项目。</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3.资金管理办法制定情况，资金支持具体项目的条件、范围与支持方式概况。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 一般行政事务管理项目资金按单位内部财务管理制度、审批流程进行支付。采用财政国库集中支付，严格按照预算执行专款专用，科学计划资金使用进度，每笔支出力求规范、合理。</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4.资金分配的原则及考虑因素。</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资金使用坚持先审批后支付的原则，对一般行政管理事务专项资金建立严格的支付审批程序，加强内控管理，规范会计核算，对资金使用程序严格控制把关。充分考虑项目申报立项、资金拨付与会计处理、资金到位、项目资金使用绩效评价等各个环节，从源头上予以规范，确保程序完整，操作合法合规。</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（二）项目绩效目标。</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1．项目主要内容。</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主要用于保障思想建设、组织建设、社会宣传、参政议政、民主监督、社会服务、机关建设工作等方面的工作。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2.项目应实现的具体绩效目标，包括目标的量化、细化情况以及项目实施进度计划等。</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九三学社广元市委在项目资金使用上精打细算，保障业务工作高效有序开展。强化政治理论学习，不断巩固共同思想政治基础；加强理论研究，注重社会宣传和学习教育；深入基层走访，筑牢基层组织基础；围绕全市重点工作，深入调研，开展参政议政、民主监督和政党协商，积极服务地方经济社会发展；发挥界别优势，助力服务社会。</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3.分析评价申报内容是否与实际相符，申报目标是否合理可行。</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绩效目标设置上，九三学社从收集、上报、筛查、费用控制和可持续发展上明确了合理的目标任务，符合实际。</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（三）项目自评步骤及方法。</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1.前期准备：</w:t>
      </w:r>
      <w:r>
        <w:rPr>
          <w:rFonts w:hint="eastAsia" w:ascii="仿宋_GB2312" w:hAnsi="仿宋_GB2312" w:eastAsia="仿宋_GB2312" w:cs="仿宋_GB2312"/>
          <w:b w:val="0"/>
          <w:bCs/>
          <w:color w:val="000000"/>
          <w:sz w:val="32"/>
          <w:szCs w:val="32"/>
          <w:shd w:val="clear" w:color="auto" w:fill="FFFFFF"/>
        </w:rPr>
        <w:t>按照绩效自评工作要求，组成以分管财务工作的副主委为组长的绩效评价工作小组，根据一般行政管理事务项目制定了项目支出绩效评价实施方案，设计了绩效评价指标体系。</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2.组织实施：</w:t>
      </w:r>
      <w:r>
        <w:rPr>
          <w:rFonts w:hint="eastAsia" w:ascii="仿宋_GB2312" w:hAnsi="仿宋_GB2312" w:eastAsia="仿宋_GB2312" w:cs="仿宋_GB2312"/>
          <w:b w:val="0"/>
          <w:bCs/>
          <w:color w:val="000000"/>
          <w:sz w:val="32"/>
          <w:szCs w:val="32"/>
          <w:shd w:val="clear" w:color="auto" w:fill="FFFFFF"/>
        </w:rPr>
        <w:t>采用核查法核查2021年同级财政预算批复执行及一般行政管理事务专项工作项目支出情况，根据年初制定的绩效考核目标，进行了实地绩效考评。针对落实工作具体情况，进行了实地调研编制资金预算。</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3.分析评价：</w:t>
      </w:r>
      <w:r>
        <w:rPr>
          <w:rFonts w:hint="eastAsia" w:ascii="仿宋_GB2312" w:hAnsi="仿宋_GB2312" w:eastAsia="仿宋_GB2312" w:cs="仿宋_GB2312"/>
          <w:b w:val="0"/>
          <w:bCs/>
          <w:color w:val="000000"/>
          <w:sz w:val="32"/>
          <w:szCs w:val="32"/>
          <w:shd w:val="clear" w:color="auto" w:fill="FFFFFF"/>
        </w:rPr>
        <w:t>对评价过程中收集资料进行归纳，汇总分析，依据一般行政管理事务项目支出绩效评价指标体系进行了评分，形成了综合性书面报告。</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二、项目资金申报及使用情况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（一）项目资金申报及批复情况。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一般行政管理事务项目资金年初预算资金27.85万元，并于批复后下达指标。2021年项目实际到位资金27.85万元，未调整预算。</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（二）资金计划、到位及使用情况。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1.资金计划。</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一般行政管理事务项目资金27.85万元，全部为地方财政拨款。</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2.资金到位。</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lang w:eastAsia="zh-CN"/>
        </w:rPr>
        <w:t>截至</w:t>
      </w:r>
      <w:r>
        <w:rPr>
          <w:rFonts w:hint="eastAsia" w:ascii="仿宋_GB2312" w:hAnsi="仿宋_GB2312" w:eastAsia="仿宋_GB2312" w:cs="仿宋_GB2312"/>
          <w:b w:val="0"/>
          <w:bCs/>
          <w:color w:val="000000"/>
          <w:sz w:val="32"/>
          <w:szCs w:val="32"/>
          <w:shd w:val="clear" w:color="auto" w:fill="FFFFFF"/>
        </w:rPr>
        <w:t>评价时，一般行政管理事务项目资金到位27.85万元，为地方财政拨款。资金到位率100%，该项目资金全部及时、足额到位。</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3．资金使用。</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lang w:eastAsia="zh-CN"/>
        </w:rPr>
        <w:t>截至</w:t>
      </w:r>
      <w:r>
        <w:rPr>
          <w:rFonts w:hint="eastAsia" w:ascii="仿宋_GB2312" w:hAnsi="仿宋_GB2312" w:eastAsia="仿宋_GB2312" w:cs="仿宋_GB2312"/>
          <w:b w:val="0"/>
          <w:bCs/>
          <w:color w:val="000000"/>
          <w:sz w:val="32"/>
          <w:szCs w:val="32"/>
          <w:shd w:val="clear" w:color="auto" w:fill="FFFFFF"/>
        </w:rPr>
        <w:t>评价时，一般行政管理事务项目支出27.85万元，完成预算率100%。资金支付方式为财政国库集中支付，程序规范、票据齐全，与预算相符。</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（三）项目财务管理情况。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九三学社广元市委建立了项目资金管理制度，强化监督措施，实行专款专用，不得挪作他用，并严格执行财务管理制度，账务处理及时准确，会计核算规范。</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shd w:val="clear" w:color="auto" w:fill="FFFFFF"/>
        </w:rPr>
        <w:t>三、项目实施及管理情况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（一）项目组织架构及实施流程。</w:t>
      </w:r>
      <w:r>
        <w:rPr>
          <w:rFonts w:hint="eastAsia" w:ascii="仿宋_GB2312" w:hAnsi="仿宋_GB2312" w:eastAsia="仿宋_GB2312" w:cs="仿宋_GB2312"/>
          <w:b w:val="0"/>
          <w:bCs/>
          <w:color w:val="000000"/>
          <w:sz w:val="32"/>
          <w:szCs w:val="32"/>
          <w:shd w:val="clear" w:color="auto" w:fill="FFFFFF"/>
        </w:rPr>
        <w:t>该项目由分管副主委负责，财务部门负责人组织实施。</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（二）项目管理情况。</w:t>
      </w:r>
      <w:r>
        <w:rPr>
          <w:rFonts w:hint="eastAsia" w:ascii="仿宋_GB2312" w:hAnsi="仿宋_GB2312" w:eastAsia="仿宋_GB2312" w:cs="仿宋_GB2312"/>
          <w:b w:val="0"/>
          <w:bCs/>
          <w:color w:val="000000"/>
          <w:sz w:val="32"/>
          <w:szCs w:val="32"/>
          <w:shd w:val="clear" w:color="auto" w:fill="FFFFFF"/>
        </w:rPr>
        <w:t>项目实施过程中，严格执行相关法律法规及项目管理制度，资金使用符合规定，项目成果达到预期。</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（三）项目监管情况。</w:t>
      </w:r>
      <w:r>
        <w:rPr>
          <w:rFonts w:hint="eastAsia" w:ascii="仿宋_GB2312" w:hAnsi="仿宋_GB2312" w:eastAsia="仿宋_GB2312" w:cs="仿宋_GB2312"/>
          <w:b w:val="0"/>
          <w:bCs/>
          <w:color w:val="000000"/>
          <w:sz w:val="32"/>
          <w:szCs w:val="32"/>
          <w:shd w:val="clear" w:color="auto" w:fill="FFFFFF"/>
        </w:rPr>
        <w:t>严格按照预算执行专款专用，科学计划资金使用进度，每笔支出力求规范、合理。</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shd w:val="clear" w:color="auto" w:fill="FFFFFF"/>
        </w:rPr>
        <w:t>四、项目绩效情况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（一）项目完成情况。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该项目达到项目预期,</w:t>
      </w:r>
      <w:r>
        <w:rPr>
          <w:rFonts w:hint="eastAsia" w:ascii="仿宋_GB2312" w:hAnsi="仿宋_GB2312" w:eastAsia="仿宋_GB2312" w:cs="仿宋_GB2312"/>
          <w:b w:val="0"/>
          <w:bCs/>
          <w:color w:val="000000"/>
          <w:sz w:val="32"/>
          <w:szCs w:val="32"/>
          <w:shd w:val="clear" w:color="auto" w:fill="FFFFFF"/>
          <w:lang w:eastAsia="zh-CN"/>
        </w:rPr>
        <w:t>截至</w:t>
      </w:r>
      <w:r>
        <w:rPr>
          <w:rFonts w:hint="eastAsia" w:ascii="仿宋_GB2312" w:hAnsi="仿宋_GB2312" w:eastAsia="仿宋_GB2312" w:cs="仿宋_GB2312"/>
          <w:b w:val="0"/>
          <w:bCs/>
          <w:color w:val="000000"/>
          <w:sz w:val="32"/>
          <w:szCs w:val="32"/>
          <w:shd w:val="clear" w:color="auto" w:fill="FFFFFF"/>
        </w:rPr>
        <w:t>评价时，高质量地完成了年初设定目标，并严格控制支出，未超预算。</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（二）项目效益情况。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通过该项目实施，提升了民主党派参政议政、民主监督能力与水平，为地方经济发展发挥了积极作用。</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五、评价结论及建议</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（一）评价结论。</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围绕绩效评价指标体系，“民主党派专项经费”项目基本完成了绩效目标任务，达到了既定的目标，自评评价等级为优。</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（二）存在的问题。</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无。</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val="0"/>
          <w:bCs/>
          <w:color w:val="000000"/>
          <w:sz w:val="32"/>
          <w:szCs w:val="32"/>
          <w:shd w:val="clear" w:color="auto" w:fill="FFFFFF"/>
        </w:rPr>
        <w:t>（三）相关建议。</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shd w:val="clear" w:color="auto" w:fill="FFFFFF"/>
        </w:rPr>
        <w:t>继续做好资金管理，响应政府“过紧日子”的号召。 </w:t>
      </w:r>
    </w:p>
    <w:p>
      <w:pPr>
        <w:rPr>
          <w:color w:val="000000"/>
        </w:rPr>
      </w:pPr>
    </w:p>
    <w:p>
      <w:pPr>
        <w:spacing w:line="572" w:lineRule="exact"/>
        <w:jc w:val="left"/>
        <w:outlineLvl w:val="0"/>
        <w:rPr>
          <w:rFonts w:ascii="黑体" w:hAnsi="黑体" w:eastAsia="黑体" w:cs="黑体"/>
          <w:color w:val="000000"/>
          <w:sz w:val="32"/>
          <w:szCs w:val="32"/>
        </w:rPr>
      </w:pPr>
    </w:p>
    <w:p>
      <w:pPr>
        <w:spacing w:line="572" w:lineRule="exact"/>
        <w:jc w:val="left"/>
        <w:outlineLvl w:val="0"/>
        <w:rPr>
          <w:rFonts w:ascii="黑体" w:hAnsi="黑体" w:eastAsia="黑体" w:cs="黑体"/>
          <w:color w:val="000000"/>
          <w:sz w:val="32"/>
          <w:szCs w:val="32"/>
        </w:rPr>
      </w:pPr>
    </w:p>
    <w:p>
      <w:pPr>
        <w:spacing w:line="572" w:lineRule="exact"/>
        <w:jc w:val="left"/>
        <w:outlineLvl w:val="0"/>
        <w:rPr>
          <w:rFonts w:ascii="黑体" w:hAnsi="黑体" w:eastAsia="黑体" w:cs="黑体"/>
          <w:color w:val="000000"/>
          <w:sz w:val="32"/>
          <w:szCs w:val="32"/>
        </w:rPr>
      </w:pPr>
    </w:p>
    <w:p>
      <w:pP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br w:type="page"/>
      </w:r>
    </w:p>
    <w:p>
      <w:pPr>
        <w:pStyle w:val="2"/>
        <w:overflowPunct w:val="0"/>
        <w:spacing w:before="0" w:beforeAutospacing="0" w:after="0" w:afterAutospacing="0"/>
        <w:ind w:firstLine="0" w:firstLineChars="0"/>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项目支出绩效目标自评表</w:t>
      </w:r>
    </w:p>
    <w:tbl>
      <w:tblPr>
        <w:tblStyle w:val="17"/>
        <w:tblpPr w:leftFromText="180" w:rightFromText="180" w:vertAnchor="text" w:horzAnchor="page" w:tblpXSpec="center" w:tblpY="660"/>
        <w:tblOverlap w:val="never"/>
        <w:tblW w:w="9794" w:type="dxa"/>
        <w:tblInd w:w="0" w:type="dxa"/>
        <w:tblLayout w:type="fixed"/>
        <w:tblCellMar>
          <w:top w:w="0" w:type="dxa"/>
          <w:left w:w="108" w:type="dxa"/>
          <w:bottom w:w="0" w:type="dxa"/>
          <w:right w:w="108" w:type="dxa"/>
        </w:tblCellMar>
      </w:tblPr>
      <w:tblGrid>
        <w:gridCol w:w="1735"/>
        <w:gridCol w:w="1126"/>
        <w:gridCol w:w="1612"/>
        <w:gridCol w:w="1880"/>
        <w:gridCol w:w="1439"/>
        <w:gridCol w:w="2002"/>
      </w:tblGrid>
      <w:tr>
        <w:tblPrEx>
          <w:tblCellMar>
            <w:top w:w="0" w:type="dxa"/>
            <w:left w:w="108" w:type="dxa"/>
            <w:bottom w:w="0" w:type="dxa"/>
            <w:right w:w="108" w:type="dxa"/>
          </w:tblCellMar>
        </w:tblPrEx>
        <w:trPr>
          <w:trHeight w:val="435" w:hRule="atLeast"/>
        </w:trPr>
        <w:tc>
          <w:tcPr>
            <w:tcW w:w="28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项目名称</w:t>
            </w:r>
          </w:p>
        </w:tc>
        <w:tc>
          <w:tcPr>
            <w:tcW w:w="693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cs="宋体"/>
                <w:color w:val="000000"/>
                <w:sz w:val="16"/>
                <w:szCs w:val="16"/>
                <w:lang w:eastAsia="zh-CN"/>
              </w:rPr>
            </w:pPr>
            <w:r>
              <w:rPr>
                <w:rFonts w:hint="eastAsia" w:ascii="宋体" w:cs="宋体"/>
                <w:color w:val="000000"/>
                <w:sz w:val="16"/>
                <w:szCs w:val="16"/>
                <w:lang w:eastAsia="zh-CN"/>
              </w:rPr>
              <w:t>民主党派专项工作经费</w:t>
            </w:r>
          </w:p>
        </w:tc>
      </w:tr>
      <w:tr>
        <w:tblPrEx>
          <w:tblCellMar>
            <w:top w:w="0" w:type="dxa"/>
            <w:left w:w="108" w:type="dxa"/>
            <w:bottom w:w="0" w:type="dxa"/>
            <w:right w:w="108" w:type="dxa"/>
          </w:tblCellMar>
        </w:tblPrEx>
        <w:trPr>
          <w:trHeight w:val="368" w:hRule="atLeast"/>
        </w:trPr>
        <w:tc>
          <w:tcPr>
            <w:tcW w:w="28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主管部门及代码</w:t>
            </w:r>
          </w:p>
        </w:tc>
        <w:tc>
          <w:tcPr>
            <w:tcW w:w="34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z w:val="16"/>
                <w:szCs w:val="16"/>
                <w:lang w:eastAsia="zh-CN"/>
              </w:rPr>
            </w:pPr>
            <w:r>
              <w:rPr>
                <w:rFonts w:ascii="宋体" w:hAnsi="宋体" w:cs="宋体"/>
                <w:color w:val="000000"/>
                <w:sz w:val="16"/>
                <w:szCs w:val="16"/>
              </w:rPr>
              <w:t>30930</w:t>
            </w:r>
            <w:r>
              <w:rPr>
                <w:rFonts w:hint="eastAsia" w:ascii="宋体" w:hAnsi="宋体" w:cs="宋体"/>
                <w:color w:val="000000"/>
                <w:sz w:val="16"/>
                <w:szCs w:val="16"/>
                <w:lang w:val="en-US" w:eastAsia="zh-CN"/>
              </w:rPr>
              <w:t>1</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实施单位</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eastAsia="宋体" w:cs="宋体"/>
                <w:color w:val="000000"/>
                <w:sz w:val="16"/>
                <w:szCs w:val="16"/>
                <w:lang w:eastAsia="zh-CN"/>
              </w:rPr>
            </w:pPr>
            <w:r>
              <w:rPr>
                <w:rFonts w:hint="eastAsia" w:ascii="宋体" w:cs="宋体"/>
                <w:color w:val="000000"/>
                <w:sz w:val="16"/>
                <w:szCs w:val="16"/>
                <w:lang w:eastAsia="zh-CN"/>
              </w:rPr>
              <w:t>九三学社广元市委</w:t>
            </w:r>
          </w:p>
        </w:tc>
      </w:tr>
      <w:tr>
        <w:tblPrEx>
          <w:tblCellMar>
            <w:top w:w="0" w:type="dxa"/>
            <w:left w:w="108" w:type="dxa"/>
            <w:bottom w:w="0" w:type="dxa"/>
            <w:right w:w="108" w:type="dxa"/>
          </w:tblCellMar>
        </w:tblPrEx>
        <w:trPr>
          <w:trHeight w:val="331" w:hRule="atLeast"/>
        </w:trPr>
        <w:tc>
          <w:tcPr>
            <w:tcW w:w="28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项目预算</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执行情况</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（万元）</w:t>
            </w: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预算数：</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hAnsi="宋体" w:cs="宋体"/>
                <w:color w:val="000000"/>
                <w:sz w:val="16"/>
                <w:szCs w:val="16"/>
              </w:rPr>
            </w:pPr>
            <w:r>
              <w:rPr>
                <w:rFonts w:ascii="宋体" w:hAnsi="宋体" w:cs="宋体"/>
                <w:color w:val="000000"/>
                <w:sz w:val="16"/>
                <w:szCs w:val="16"/>
              </w:rPr>
              <w:t>27.85</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执行数：</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hAnsi="宋体" w:cs="宋体"/>
                <w:color w:val="000000"/>
                <w:sz w:val="16"/>
                <w:szCs w:val="16"/>
              </w:rPr>
            </w:pPr>
            <w:r>
              <w:rPr>
                <w:rFonts w:ascii="宋体" w:hAnsi="宋体" w:cs="宋体"/>
                <w:color w:val="000000"/>
                <w:sz w:val="16"/>
                <w:szCs w:val="16"/>
              </w:rPr>
              <w:t>27.85</w:t>
            </w:r>
          </w:p>
        </w:tc>
      </w:tr>
      <w:tr>
        <w:tblPrEx>
          <w:tblCellMar>
            <w:top w:w="0" w:type="dxa"/>
            <w:left w:w="108" w:type="dxa"/>
            <w:bottom w:w="0" w:type="dxa"/>
            <w:right w:w="108" w:type="dxa"/>
          </w:tblCellMar>
        </w:tblPrEx>
        <w:trPr>
          <w:trHeight w:val="421" w:hRule="atLeast"/>
        </w:trPr>
        <w:tc>
          <w:tcPr>
            <w:tcW w:w="2861"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宋体"/>
                <w:color w:val="000000"/>
                <w:sz w:val="16"/>
                <w:szCs w:val="16"/>
              </w:rPr>
            </w:pP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其中：</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财政拨款</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hAnsi="宋体" w:cs="宋体"/>
                <w:color w:val="000000"/>
                <w:sz w:val="16"/>
                <w:szCs w:val="16"/>
              </w:rPr>
            </w:pPr>
            <w:r>
              <w:rPr>
                <w:rFonts w:ascii="宋体" w:hAnsi="宋体" w:cs="宋体"/>
                <w:color w:val="000000"/>
                <w:sz w:val="16"/>
                <w:szCs w:val="16"/>
              </w:rPr>
              <w:t>27.85</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其中：</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财政拨款</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hAnsi="宋体" w:cs="宋体"/>
                <w:color w:val="000000"/>
                <w:sz w:val="16"/>
                <w:szCs w:val="16"/>
              </w:rPr>
            </w:pPr>
            <w:r>
              <w:rPr>
                <w:rFonts w:ascii="宋体" w:hAnsi="宋体" w:cs="宋体"/>
                <w:color w:val="000000"/>
                <w:sz w:val="16"/>
                <w:szCs w:val="16"/>
              </w:rPr>
              <w:t>27.85</w:t>
            </w:r>
          </w:p>
        </w:tc>
      </w:tr>
      <w:tr>
        <w:tblPrEx>
          <w:tblCellMar>
            <w:top w:w="0" w:type="dxa"/>
            <w:left w:w="108" w:type="dxa"/>
            <w:bottom w:w="0" w:type="dxa"/>
            <w:right w:w="108" w:type="dxa"/>
          </w:tblCellMar>
        </w:tblPrEx>
        <w:trPr>
          <w:trHeight w:val="309" w:hRule="atLeast"/>
        </w:trPr>
        <w:tc>
          <w:tcPr>
            <w:tcW w:w="2861"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宋体"/>
                <w:color w:val="000000"/>
                <w:sz w:val="16"/>
                <w:szCs w:val="16"/>
              </w:rPr>
            </w:pP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其他资金</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其他资金</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p>
        </w:tc>
      </w:tr>
      <w:tr>
        <w:tblPrEx>
          <w:tblCellMar>
            <w:top w:w="0" w:type="dxa"/>
            <w:left w:w="108" w:type="dxa"/>
            <w:bottom w:w="0" w:type="dxa"/>
            <w:right w:w="108" w:type="dxa"/>
          </w:tblCellMar>
        </w:tblPrEx>
        <w:trPr>
          <w:trHeight w:val="318" w:hRule="atLeast"/>
        </w:trPr>
        <w:tc>
          <w:tcPr>
            <w:tcW w:w="173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年度总体目标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完成情况</w:t>
            </w:r>
          </w:p>
        </w:tc>
        <w:tc>
          <w:tcPr>
            <w:tcW w:w="461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预期目标</w:t>
            </w:r>
          </w:p>
        </w:tc>
        <w:tc>
          <w:tcPr>
            <w:tcW w:w="34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461" w:hRule="atLeast"/>
        </w:trPr>
        <w:tc>
          <w:tcPr>
            <w:tcW w:w="173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宋体"/>
                <w:color w:val="000000"/>
                <w:sz w:val="16"/>
                <w:szCs w:val="16"/>
              </w:rPr>
            </w:pPr>
          </w:p>
        </w:tc>
        <w:tc>
          <w:tcPr>
            <w:tcW w:w="461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1248"/>
              </w:tabs>
              <w:kinsoku/>
              <w:wordWrap/>
              <w:overflowPunct/>
              <w:topLinePunct w:val="0"/>
              <w:autoSpaceDE/>
              <w:autoSpaceDN/>
              <w:bidi w:val="0"/>
              <w:adjustRightInd/>
              <w:snapToGrid/>
              <w:spacing w:line="200" w:lineRule="exact"/>
              <w:jc w:val="center"/>
              <w:rPr>
                <w:rFonts w:ascii="宋体"/>
                <w:color w:val="000000"/>
                <w:sz w:val="16"/>
                <w:szCs w:val="16"/>
              </w:rPr>
            </w:pPr>
            <w:r>
              <w:rPr>
                <w:rFonts w:hint="eastAsia" w:ascii="宋体" w:hAnsi="宋体" w:cs="微软雅黑"/>
                <w:color w:val="000000"/>
                <w:sz w:val="16"/>
                <w:szCs w:val="16"/>
                <w:shd w:val="clear" w:color="auto" w:fill="FFFFFF"/>
              </w:rPr>
              <w:t>完成社市委思想建设、组织建设、社会宣传、参政议政、民主监督、社会服务、机关建设工作等方面的工作。</w:t>
            </w:r>
          </w:p>
        </w:tc>
        <w:tc>
          <w:tcPr>
            <w:tcW w:w="34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top"/>
              <w:rPr>
                <w:rFonts w:ascii="宋体" w:cs="宋体"/>
                <w:color w:val="000000"/>
                <w:sz w:val="16"/>
                <w:szCs w:val="16"/>
              </w:rPr>
            </w:pPr>
            <w:r>
              <w:rPr>
                <w:rFonts w:hint="eastAsia" w:ascii="宋体" w:hAnsi="宋体" w:cs="宋体"/>
                <w:color w:val="000000"/>
                <w:sz w:val="16"/>
                <w:szCs w:val="16"/>
              </w:rPr>
              <w:t>全面完成</w:t>
            </w:r>
          </w:p>
        </w:tc>
      </w:tr>
      <w:tr>
        <w:tblPrEx>
          <w:tblCellMar>
            <w:top w:w="0" w:type="dxa"/>
            <w:left w:w="108" w:type="dxa"/>
            <w:bottom w:w="0" w:type="dxa"/>
            <w:right w:w="108" w:type="dxa"/>
          </w:tblCellMar>
        </w:tblPrEx>
        <w:trPr>
          <w:trHeight w:val="473" w:hRule="atLeast"/>
        </w:trPr>
        <w:tc>
          <w:tcPr>
            <w:tcW w:w="173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sz w:val="16"/>
                <w:szCs w:val="16"/>
              </w:rPr>
            </w:pPr>
            <w:r>
              <w:rPr>
                <w:rFonts w:hint="eastAsia" w:ascii="宋体" w:hAnsi="宋体" w:cs="仿宋_GB2312"/>
                <w:color w:val="000000"/>
                <w:kern w:val="0"/>
                <w:sz w:val="16"/>
                <w:szCs w:val="16"/>
              </w:rPr>
              <w:t>年度绩效指标完成情况</w:t>
            </w:r>
          </w:p>
        </w:tc>
        <w:tc>
          <w:tcPr>
            <w:tcW w:w="112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kern w:val="0"/>
                <w:sz w:val="16"/>
                <w:szCs w:val="16"/>
              </w:rPr>
            </w:pPr>
            <w:r>
              <w:rPr>
                <w:rFonts w:hint="eastAsia" w:ascii="宋体" w:hAnsi="宋体" w:cs="仿宋_GB2312"/>
                <w:color w:val="000000"/>
                <w:kern w:val="0"/>
                <w:sz w:val="16"/>
                <w:szCs w:val="16"/>
              </w:rPr>
              <w:t>一级</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sz w:val="16"/>
                <w:szCs w:val="16"/>
              </w:rPr>
            </w:pPr>
            <w:r>
              <w:rPr>
                <w:rFonts w:hint="eastAsia" w:ascii="宋体" w:hAnsi="宋体" w:cs="仿宋_GB2312"/>
                <w:color w:val="000000"/>
                <w:kern w:val="0"/>
                <w:sz w:val="16"/>
                <w:szCs w:val="16"/>
              </w:rPr>
              <w:t>指标</w:t>
            </w: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kern w:val="0"/>
                <w:sz w:val="16"/>
                <w:szCs w:val="16"/>
              </w:rPr>
            </w:pPr>
            <w:r>
              <w:rPr>
                <w:rFonts w:hint="eastAsia" w:ascii="宋体" w:hAnsi="宋体" w:cs="仿宋_GB2312"/>
                <w:color w:val="000000"/>
                <w:kern w:val="0"/>
                <w:sz w:val="16"/>
                <w:szCs w:val="16"/>
              </w:rPr>
              <w:t>二级</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sz w:val="16"/>
                <w:szCs w:val="16"/>
              </w:rPr>
            </w:pPr>
            <w:r>
              <w:rPr>
                <w:rFonts w:hint="eastAsia" w:ascii="宋体" w:hAnsi="宋体" w:cs="仿宋_GB2312"/>
                <w:color w:val="000000"/>
                <w:kern w:val="0"/>
                <w:sz w:val="16"/>
                <w:szCs w:val="16"/>
              </w:rPr>
              <w:t>指标</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kern w:val="0"/>
                <w:sz w:val="16"/>
                <w:szCs w:val="16"/>
              </w:rPr>
            </w:pPr>
            <w:r>
              <w:rPr>
                <w:rFonts w:hint="eastAsia" w:ascii="宋体" w:hAnsi="宋体" w:cs="仿宋_GB2312"/>
                <w:color w:val="000000"/>
                <w:kern w:val="0"/>
                <w:sz w:val="16"/>
                <w:szCs w:val="16"/>
              </w:rPr>
              <w:t>三级</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sz w:val="16"/>
                <w:szCs w:val="16"/>
              </w:rPr>
            </w:pPr>
            <w:r>
              <w:rPr>
                <w:rFonts w:hint="eastAsia" w:ascii="宋体" w:hAnsi="宋体" w:cs="仿宋_GB2312"/>
                <w:color w:val="000000"/>
                <w:kern w:val="0"/>
                <w:sz w:val="16"/>
                <w:szCs w:val="16"/>
              </w:rPr>
              <w:t>指标</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sz w:val="16"/>
                <w:szCs w:val="16"/>
              </w:rPr>
            </w:pPr>
            <w:r>
              <w:rPr>
                <w:rFonts w:hint="eastAsia" w:ascii="宋体" w:hAnsi="宋体" w:cs="仿宋_GB2312"/>
                <w:color w:val="000000"/>
                <w:kern w:val="0"/>
                <w:sz w:val="16"/>
                <w:szCs w:val="16"/>
              </w:rPr>
              <w:t>预期指标值</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ascii="宋体" w:cs="仿宋_GB2312"/>
                <w:color w:val="000000"/>
                <w:sz w:val="16"/>
                <w:szCs w:val="16"/>
              </w:rPr>
            </w:pPr>
            <w:r>
              <w:rPr>
                <w:rFonts w:hint="eastAsia" w:ascii="宋体" w:hAnsi="宋体" w:cs="仿宋_GB2312"/>
                <w:color w:val="000000"/>
                <w:kern w:val="0"/>
                <w:sz w:val="16"/>
                <w:szCs w:val="16"/>
              </w:rPr>
              <w:t>实际完成指标值</w:t>
            </w:r>
          </w:p>
        </w:tc>
      </w:tr>
      <w:tr>
        <w:tblPrEx>
          <w:tblCellMar>
            <w:top w:w="0" w:type="dxa"/>
            <w:left w:w="108" w:type="dxa"/>
            <w:bottom w:w="0" w:type="dxa"/>
            <w:right w:w="108" w:type="dxa"/>
          </w:tblCellMar>
        </w:tblPrEx>
        <w:trPr>
          <w:trHeight w:val="385"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r>
              <w:rPr>
                <w:rFonts w:hint="eastAsia" w:ascii="宋体" w:hAnsi="宋体" w:cs="仿宋_GB2312"/>
                <w:color w:val="000000"/>
                <w:kern w:val="0"/>
                <w:sz w:val="16"/>
                <w:szCs w:val="16"/>
              </w:rPr>
              <w:t>完成</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kern w:val="0"/>
                <w:sz w:val="16"/>
                <w:szCs w:val="16"/>
              </w:rPr>
              <w:t>指标</w:t>
            </w:r>
          </w:p>
        </w:tc>
        <w:tc>
          <w:tcPr>
            <w:tcW w:w="161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kern w:val="0"/>
                <w:sz w:val="16"/>
                <w:szCs w:val="16"/>
              </w:rPr>
              <w:t>数量指标</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完成调研课题数量</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3</w:t>
            </w:r>
            <w:r>
              <w:rPr>
                <w:rFonts w:hint="eastAsia" w:ascii="宋体" w:hAnsi="宋体" w:cs="仿宋_GB2312"/>
                <w:color w:val="000000"/>
                <w:sz w:val="16"/>
                <w:szCs w:val="16"/>
              </w:rPr>
              <w:t>个</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400"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完成社情民意信息数量</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15</w:t>
            </w:r>
            <w:r>
              <w:rPr>
                <w:rFonts w:hint="eastAsia" w:ascii="宋体" w:hAnsi="宋体" w:cs="仿宋_GB2312"/>
                <w:color w:val="000000"/>
                <w:sz w:val="16"/>
                <w:szCs w:val="16"/>
              </w:rPr>
              <w:t>条</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320"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参加政治协商会议数量</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微软雅黑"/>
                <w:color w:val="000000"/>
                <w:sz w:val="16"/>
                <w:szCs w:val="16"/>
                <w:shd w:val="clear" w:color="auto" w:fill="FFFFFF"/>
              </w:rPr>
              <w:t>=4</w:t>
            </w:r>
            <w:r>
              <w:rPr>
                <w:rFonts w:hint="eastAsia" w:ascii="宋体" w:hAnsi="宋体" w:cs="微软雅黑"/>
                <w:color w:val="000000"/>
                <w:sz w:val="16"/>
                <w:szCs w:val="16"/>
                <w:shd w:val="clear" w:color="auto" w:fill="FFFFFF"/>
              </w:rPr>
              <w:t>次</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349"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开展民主监督次数</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微软雅黑"/>
                <w:color w:val="000000"/>
                <w:sz w:val="16"/>
                <w:szCs w:val="16"/>
                <w:shd w:val="clear" w:color="auto" w:fill="FFFFFF"/>
              </w:rPr>
              <w:t>=5</w:t>
            </w:r>
            <w:r>
              <w:rPr>
                <w:rFonts w:hint="eastAsia" w:ascii="宋体" w:hAnsi="宋体" w:cs="微软雅黑"/>
                <w:color w:val="000000"/>
                <w:sz w:val="16"/>
                <w:szCs w:val="16"/>
                <w:shd w:val="clear" w:color="auto" w:fill="FFFFFF"/>
              </w:rPr>
              <w:t>次</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465"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组织开展</w:t>
            </w:r>
            <w:r>
              <w:rPr>
                <w:rFonts w:hint="eastAsia" w:ascii="宋体" w:cs="微软雅黑"/>
                <w:color w:val="000000"/>
                <w:sz w:val="16"/>
                <w:szCs w:val="16"/>
                <w:shd w:val="clear" w:color="auto" w:fill="FFFFFF"/>
              </w:rPr>
              <w:t>“</w:t>
            </w:r>
            <w:r>
              <w:rPr>
                <w:rFonts w:hint="eastAsia" w:ascii="宋体" w:hAnsi="宋体" w:cs="微软雅黑"/>
                <w:color w:val="000000"/>
                <w:sz w:val="16"/>
                <w:szCs w:val="16"/>
                <w:shd w:val="clear" w:color="auto" w:fill="FFFFFF"/>
              </w:rPr>
              <w:t>三下乡</w:t>
            </w:r>
            <w:r>
              <w:rPr>
                <w:rFonts w:hint="eastAsia" w:ascii="宋体" w:cs="微软雅黑"/>
                <w:color w:val="000000"/>
                <w:sz w:val="16"/>
                <w:szCs w:val="16"/>
                <w:shd w:val="clear" w:color="auto" w:fill="FFFFFF"/>
              </w:rPr>
              <w:t>”</w:t>
            </w:r>
            <w:r>
              <w:rPr>
                <w:rFonts w:hint="eastAsia" w:ascii="宋体" w:hAnsi="宋体" w:cs="微软雅黑"/>
                <w:color w:val="000000"/>
                <w:sz w:val="16"/>
                <w:szCs w:val="16"/>
                <w:shd w:val="clear" w:color="auto" w:fill="FFFFFF"/>
              </w:rPr>
              <w:t>及帮村社会服务活动场次</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4</w:t>
            </w:r>
            <w:r>
              <w:rPr>
                <w:rFonts w:hint="eastAsia" w:ascii="宋体" w:hAnsi="宋体" w:cs="仿宋_GB2312"/>
                <w:color w:val="000000"/>
                <w:sz w:val="16"/>
                <w:szCs w:val="16"/>
              </w:rPr>
              <w:t>次</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376"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612"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88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社会服务受益人数</w:t>
            </w:r>
          </w:p>
        </w:tc>
        <w:tc>
          <w:tcPr>
            <w:tcW w:w="14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微软雅黑"/>
                <w:color w:val="000000"/>
                <w:sz w:val="16"/>
                <w:szCs w:val="16"/>
                <w:shd w:val="clear" w:color="auto" w:fill="FFFFFF"/>
              </w:rPr>
              <w:t>=1000</w:t>
            </w:r>
            <w:r>
              <w:rPr>
                <w:rFonts w:hint="eastAsia" w:ascii="宋体" w:hAnsi="宋体" w:cs="微软雅黑"/>
                <w:color w:val="000000"/>
                <w:sz w:val="16"/>
                <w:szCs w:val="16"/>
                <w:shd w:val="clear" w:color="auto" w:fill="FFFFFF"/>
              </w:rPr>
              <w:t>人次</w:t>
            </w:r>
          </w:p>
        </w:tc>
        <w:tc>
          <w:tcPr>
            <w:tcW w:w="200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388" w:hRule="atLeast"/>
        </w:trPr>
        <w:tc>
          <w:tcPr>
            <w:tcW w:w="1735" w:type="dxa"/>
            <w:vMerge w:val="continue"/>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612"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kern w:val="0"/>
                <w:sz w:val="16"/>
                <w:szCs w:val="16"/>
              </w:rPr>
              <w:t>质量指标</w:t>
            </w:r>
          </w:p>
        </w:tc>
        <w:tc>
          <w:tcPr>
            <w:tcW w:w="188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调研成果获领导批示</w:t>
            </w:r>
          </w:p>
        </w:tc>
        <w:tc>
          <w:tcPr>
            <w:tcW w:w="143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微软雅黑"/>
                <w:color w:val="000000"/>
                <w:sz w:val="16"/>
                <w:szCs w:val="16"/>
                <w:shd w:val="clear" w:color="auto" w:fill="FFFFFF"/>
              </w:rPr>
              <w:t>=2</w:t>
            </w:r>
            <w:r>
              <w:rPr>
                <w:rFonts w:hint="eastAsia" w:ascii="宋体" w:hAnsi="宋体" w:cs="微软雅黑"/>
                <w:color w:val="000000"/>
                <w:sz w:val="16"/>
                <w:szCs w:val="16"/>
                <w:shd w:val="clear" w:color="auto" w:fill="FFFFFF"/>
              </w:rPr>
              <w:t>篇</w:t>
            </w:r>
          </w:p>
        </w:tc>
        <w:tc>
          <w:tcPr>
            <w:tcW w:w="200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298"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612" w:type="dxa"/>
            <w:vMerge w:val="continue"/>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社情民意信息采用数</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微软雅黑"/>
                <w:color w:val="000000"/>
                <w:sz w:val="16"/>
                <w:szCs w:val="16"/>
                <w:shd w:val="clear" w:color="auto" w:fill="FFFFFF"/>
              </w:rPr>
              <w:t>=6</w:t>
            </w:r>
            <w:r>
              <w:rPr>
                <w:rFonts w:hint="eastAsia" w:ascii="宋体" w:hAnsi="宋体" w:cs="微软雅黑"/>
                <w:color w:val="000000"/>
                <w:sz w:val="16"/>
                <w:szCs w:val="16"/>
                <w:shd w:val="clear" w:color="auto" w:fill="FFFFFF"/>
              </w:rPr>
              <w:t>条</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443"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612" w:type="dxa"/>
            <w:vMerge w:val="continue"/>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形成调研报告，提出对策建议数</w:t>
            </w:r>
            <w:bookmarkStart w:id="72" w:name="_GoBack"/>
            <w:bookmarkEnd w:id="72"/>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微软雅黑"/>
                <w:color w:val="000000"/>
                <w:sz w:val="16"/>
                <w:szCs w:val="16"/>
                <w:shd w:val="clear" w:color="auto" w:fill="FFFFFF"/>
              </w:rPr>
              <w:t>=2</w:t>
            </w:r>
            <w:r>
              <w:rPr>
                <w:rFonts w:hint="eastAsia" w:ascii="宋体" w:hAnsi="宋体" w:cs="微软雅黑"/>
                <w:color w:val="000000"/>
                <w:sz w:val="16"/>
                <w:szCs w:val="16"/>
                <w:shd w:val="clear" w:color="auto" w:fill="FFFFFF"/>
              </w:rPr>
              <w:t>篇调研报告</w:t>
            </w:r>
            <w:r>
              <w:rPr>
                <w:rFonts w:ascii="宋体" w:hAnsi="宋体" w:cs="微软雅黑"/>
                <w:color w:val="000000"/>
                <w:sz w:val="16"/>
                <w:szCs w:val="16"/>
                <w:shd w:val="clear" w:color="auto" w:fill="FFFFFF"/>
              </w:rPr>
              <w:t>,=10</w:t>
            </w:r>
            <w:r>
              <w:rPr>
                <w:rFonts w:hint="eastAsia" w:ascii="宋体" w:hAnsi="宋体" w:cs="微软雅黑"/>
                <w:color w:val="000000"/>
                <w:sz w:val="16"/>
                <w:szCs w:val="16"/>
                <w:shd w:val="clear" w:color="auto" w:fill="FFFFFF"/>
              </w:rPr>
              <w:t>条建议</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402"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612"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微软雅黑"/>
                <w:color w:val="000000"/>
                <w:sz w:val="16"/>
                <w:szCs w:val="16"/>
                <w:shd w:val="clear" w:color="auto" w:fill="FFFFFF"/>
              </w:rPr>
              <w:t>活动社会影响面大，省级以上媒体报道场次</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微软雅黑"/>
                <w:color w:val="000000"/>
                <w:sz w:val="16"/>
                <w:szCs w:val="16"/>
                <w:shd w:val="clear" w:color="auto" w:fill="FFFFFF"/>
              </w:rPr>
              <w:t>=5</w:t>
            </w:r>
            <w:r>
              <w:rPr>
                <w:rFonts w:hint="eastAsia" w:ascii="宋体" w:hAnsi="宋体" w:cs="微软雅黑"/>
                <w:color w:val="000000"/>
                <w:sz w:val="16"/>
                <w:szCs w:val="16"/>
                <w:shd w:val="clear" w:color="auto" w:fill="FFFFFF"/>
              </w:rPr>
              <w:t>次</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363"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kern w:val="0"/>
                <w:sz w:val="16"/>
                <w:szCs w:val="16"/>
              </w:rPr>
              <w:t>时效指标</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全年完成</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全年完成</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100%</w:t>
            </w:r>
            <w:r>
              <w:rPr>
                <w:rFonts w:hint="eastAsia" w:ascii="宋体" w:hAnsi="宋体" w:cs="仿宋_GB2312"/>
                <w:color w:val="000000"/>
                <w:sz w:val="16"/>
                <w:szCs w:val="16"/>
              </w:rPr>
              <w:t>完成</w:t>
            </w:r>
          </w:p>
        </w:tc>
      </w:tr>
      <w:tr>
        <w:tblPrEx>
          <w:tblCellMar>
            <w:top w:w="0" w:type="dxa"/>
            <w:left w:w="108" w:type="dxa"/>
            <w:bottom w:w="0" w:type="dxa"/>
            <w:right w:w="108" w:type="dxa"/>
          </w:tblCellMar>
        </w:tblPrEx>
        <w:trPr>
          <w:trHeight w:val="378"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kern w:val="0"/>
                <w:sz w:val="16"/>
                <w:szCs w:val="16"/>
              </w:rPr>
              <w:t>成本指标</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民主党派专项成本</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27.85</w:t>
            </w:r>
            <w:r>
              <w:rPr>
                <w:rFonts w:hint="eastAsia" w:ascii="宋体" w:hAnsi="宋体" w:cs="仿宋_GB2312"/>
                <w:color w:val="000000"/>
                <w:sz w:val="16"/>
                <w:szCs w:val="16"/>
              </w:rPr>
              <w:t>万元</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实际支出</w:t>
            </w:r>
            <w:r>
              <w:rPr>
                <w:rFonts w:ascii="宋体" w:hAnsi="宋体" w:cs="仿宋_GB2312"/>
                <w:color w:val="000000"/>
                <w:sz w:val="16"/>
                <w:szCs w:val="16"/>
              </w:rPr>
              <w:t>27.85</w:t>
            </w:r>
            <w:r>
              <w:rPr>
                <w:rFonts w:hint="eastAsia" w:ascii="宋体" w:hAnsi="宋体" w:cs="仿宋_GB2312"/>
                <w:color w:val="000000"/>
                <w:sz w:val="16"/>
                <w:szCs w:val="16"/>
              </w:rPr>
              <w:t>万元</w:t>
            </w:r>
          </w:p>
        </w:tc>
      </w:tr>
      <w:tr>
        <w:tblPrEx>
          <w:tblCellMar>
            <w:top w:w="0" w:type="dxa"/>
            <w:left w:w="108" w:type="dxa"/>
            <w:bottom w:w="0" w:type="dxa"/>
            <w:right w:w="108" w:type="dxa"/>
          </w:tblCellMar>
        </w:tblPrEx>
        <w:trPr>
          <w:trHeight w:val="1077" w:hRule="atLeast"/>
        </w:trPr>
        <w:tc>
          <w:tcPr>
            <w:tcW w:w="173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kern w:val="0"/>
                <w:sz w:val="16"/>
                <w:szCs w:val="16"/>
              </w:rPr>
              <w:t>社会效益</w:t>
            </w:r>
            <w:r>
              <w:rPr>
                <w:rFonts w:ascii="宋体" w:hAnsi="宋体" w:cs="仿宋_GB2312"/>
                <w:color w:val="000000"/>
                <w:kern w:val="0"/>
                <w:sz w:val="16"/>
                <w:szCs w:val="16"/>
              </w:rPr>
              <w:t xml:space="preserve">  </w:t>
            </w:r>
            <w:r>
              <w:rPr>
                <w:rFonts w:hint="eastAsia" w:ascii="宋体" w:hAnsi="宋体" w:cs="仿宋_GB2312"/>
                <w:color w:val="000000"/>
                <w:kern w:val="0"/>
                <w:sz w:val="16"/>
                <w:szCs w:val="16"/>
              </w:rPr>
              <w:t>指标</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促进广元经济社会发展</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为广元经济社会发展开展调查研究与建言献策，助推各项工作高效高速有序推进。</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完成良好</w:t>
            </w:r>
          </w:p>
        </w:tc>
      </w:tr>
      <w:tr>
        <w:tblPrEx>
          <w:tblCellMar>
            <w:top w:w="0" w:type="dxa"/>
            <w:left w:w="108" w:type="dxa"/>
            <w:bottom w:w="0" w:type="dxa"/>
            <w:right w:w="108" w:type="dxa"/>
          </w:tblCellMar>
        </w:tblPrEx>
        <w:trPr>
          <w:trHeight w:val="609" w:hRule="atLeast"/>
        </w:trPr>
        <w:tc>
          <w:tcPr>
            <w:tcW w:w="173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ascii="宋体" w:cs="仿宋_GB2312"/>
                <w:color w:val="000000"/>
                <w:sz w:val="16"/>
                <w:szCs w:val="16"/>
              </w:rPr>
            </w:pPr>
          </w:p>
        </w:tc>
        <w:tc>
          <w:tcPr>
            <w:tcW w:w="1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r>
              <w:rPr>
                <w:rFonts w:hint="eastAsia" w:ascii="宋体" w:hAnsi="宋体" w:cs="仿宋_GB2312"/>
                <w:color w:val="000000"/>
                <w:kern w:val="0"/>
                <w:sz w:val="16"/>
                <w:szCs w:val="16"/>
              </w:rPr>
              <w:t>满意</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kern w:val="0"/>
                <w:sz w:val="16"/>
                <w:szCs w:val="16"/>
              </w:rPr>
              <w:t>度指标</w:t>
            </w: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kern w:val="0"/>
                <w:sz w:val="16"/>
                <w:szCs w:val="16"/>
              </w:rPr>
            </w:pPr>
            <w:r>
              <w:rPr>
                <w:rFonts w:hint="eastAsia" w:ascii="宋体" w:hAnsi="宋体" w:cs="仿宋_GB2312"/>
                <w:color w:val="000000"/>
                <w:kern w:val="0"/>
                <w:sz w:val="16"/>
                <w:szCs w:val="16"/>
              </w:rPr>
              <w:t>满意度</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kern w:val="0"/>
                <w:sz w:val="16"/>
                <w:szCs w:val="16"/>
              </w:rPr>
              <w:t>指标</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获得当地党委政府以及社员满意度</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ascii="宋体" w:hAnsi="宋体" w:cs="仿宋_GB2312"/>
                <w:color w:val="000000"/>
                <w:sz w:val="16"/>
                <w:szCs w:val="16"/>
              </w:rPr>
              <w:t>95%</w:t>
            </w:r>
            <w:r>
              <w:rPr>
                <w:rFonts w:hint="eastAsia" w:ascii="宋体" w:hAnsi="宋体" w:cs="仿宋_GB2312"/>
                <w:color w:val="000000"/>
                <w:sz w:val="16"/>
                <w:szCs w:val="16"/>
              </w:rPr>
              <w:t>以上</w:t>
            </w:r>
          </w:p>
        </w:tc>
        <w:tc>
          <w:tcPr>
            <w:tcW w:w="20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bottom"/>
              <w:rPr>
                <w:rFonts w:ascii="宋体" w:cs="仿宋_GB2312"/>
                <w:color w:val="000000"/>
                <w:sz w:val="16"/>
                <w:szCs w:val="16"/>
              </w:rPr>
            </w:pPr>
            <w:r>
              <w:rPr>
                <w:rFonts w:hint="eastAsia" w:ascii="宋体" w:hAnsi="宋体" w:cs="仿宋_GB2312"/>
                <w:color w:val="000000"/>
                <w:sz w:val="16"/>
                <w:szCs w:val="16"/>
              </w:rPr>
              <w:t>获得一致认可</w:t>
            </w:r>
          </w:p>
        </w:tc>
      </w:tr>
    </w:tbl>
    <w:p>
      <w:pPr>
        <w:rPr>
          <w:rFonts w:hint="eastAsia"/>
        </w:rPr>
      </w:pPr>
    </w:p>
    <w:p>
      <w:pPr>
        <w:pStyle w:val="5"/>
        <w:jc w:val="center"/>
        <w:rPr>
          <w:rFonts w:hint="eastAsia" w:ascii="黑体" w:hAnsi="黑体" w:eastAsia="黑体" w:cs="黑体"/>
          <w:b w:val="0"/>
          <w:color w:val="auto"/>
          <w:sz w:val="44"/>
          <w:szCs w:val="44"/>
          <w:highlight w:val="none"/>
          <w:lang w:val="en-US" w:eastAsia="zh-CN"/>
        </w:rPr>
      </w:pPr>
      <w:r>
        <w:rPr>
          <w:rFonts w:hint="eastAsia" w:ascii="黑体" w:hAnsi="黑体" w:eastAsia="黑体" w:cs="黑体"/>
          <w:b w:val="0"/>
          <w:color w:val="auto"/>
          <w:sz w:val="44"/>
          <w:szCs w:val="44"/>
          <w:highlight w:val="none"/>
          <w:lang w:eastAsia="zh-CN"/>
        </w:rPr>
        <w:t>第五部分</w:t>
      </w:r>
      <w:r>
        <w:rPr>
          <w:rFonts w:hint="eastAsia" w:ascii="黑体" w:hAnsi="黑体" w:eastAsia="黑体" w:cs="黑体"/>
          <w:b w:val="0"/>
          <w:color w:val="auto"/>
          <w:sz w:val="44"/>
          <w:szCs w:val="44"/>
          <w:highlight w:val="none"/>
          <w:lang w:val="en-US" w:eastAsia="zh-CN"/>
        </w:rPr>
        <w:t xml:space="preserve">  附表</w:t>
      </w:r>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59"/>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60"/>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1" w:name="_Toc15396621"/>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61"/>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val="0"/>
          <w:color w:val="auto"/>
          <w:highlight w:val="none"/>
        </w:rPr>
      </w:pPr>
      <w:bookmarkStart w:id="62" w:name="_Toc15396622"/>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62"/>
    </w:p>
    <w:p>
      <w:pPr>
        <w:pStyle w:val="5"/>
        <w:pageBreakBefore w:val="0"/>
        <w:widowControl w:val="0"/>
        <w:kinsoku/>
        <w:wordWrap/>
        <w:overflowPunct/>
        <w:topLinePunct w:val="0"/>
        <w:autoSpaceDE/>
        <w:autoSpaceDN/>
        <w:bidi w:val="0"/>
        <w:adjustRightInd/>
        <w:snapToGrid/>
        <w:spacing w:before="0" w:after="0" w:line="560" w:lineRule="exact"/>
        <w:textAlignment w:val="auto"/>
        <w:rPr>
          <w:rStyle w:val="22"/>
          <w:rFonts w:ascii="仿宋" w:hAnsi="仿宋" w:eastAsia="仿宋"/>
          <w:b w:val="0"/>
          <w:bCs w:val="0"/>
          <w:color w:val="auto"/>
          <w:highlight w:val="none"/>
        </w:rPr>
      </w:pPr>
      <w:bookmarkStart w:id="63" w:name="_Toc15396623"/>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63"/>
      <w:bookmarkStart w:id="64" w:name="_Toc15396624"/>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64"/>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5" w:name="_Toc15396625"/>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65"/>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6" w:name="_Toc15396626"/>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66"/>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7" w:name="_Toc15396627"/>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67"/>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8" w:name="_Toc15396628"/>
      <w:r>
        <w:rPr>
          <w:rStyle w:val="2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般公共预算财政拨款“三公”经费支出决算表</w:t>
      </w:r>
      <w:bookmarkEnd w:id="68"/>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9" w:name="_Toc15396629"/>
      <w:r>
        <w:rPr>
          <w:rStyle w:val="2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bookmarkEnd w:id="69"/>
    </w:p>
    <w:p>
      <w:pPr>
        <w:pStyle w:val="5"/>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70" w:name="_Toc15396630"/>
      <w:r>
        <w:rPr>
          <w:rStyle w:val="2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府性基金预算财政拨款“三公”经费支出决算表</w:t>
      </w:r>
      <w:bookmarkEnd w:id="70"/>
    </w:p>
    <w:p>
      <w:pPr>
        <w:pStyle w:val="5"/>
        <w:pageBreakBefore w:val="0"/>
        <w:widowControl w:val="0"/>
        <w:kinsoku/>
        <w:wordWrap/>
        <w:overflowPunct/>
        <w:topLinePunct w:val="0"/>
        <w:autoSpaceDE/>
        <w:autoSpaceDN/>
        <w:bidi w:val="0"/>
        <w:adjustRightInd/>
        <w:snapToGrid/>
        <w:spacing w:before="0" w:after="0" w:line="560" w:lineRule="exact"/>
        <w:textAlignment w:val="auto"/>
        <w:rPr>
          <w:rStyle w:val="22"/>
          <w:rFonts w:hint="eastAsia" w:ascii="仿宋" w:hAnsi="仿宋" w:eastAsia="仿宋"/>
          <w:b w:val="0"/>
          <w:bCs w:val="0"/>
          <w:color w:val="auto"/>
          <w:highlight w:val="none"/>
        </w:rPr>
      </w:pPr>
      <w:bookmarkStart w:id="71" w:name="_Toc15396631"/>
      <w:r>
        <w:rPr>
          <w:rStyle w:val="22"/>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bookmarkEnd w:id="71"/>
    </w:p>
    <w:p>
      <w:pPr>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highlight w:val="none"/>
          <w:lang w:eastAsia="zh-CN"/>
        </w:rPr>
      </w:pPr>
      <w:r>
        <w:rPr>
          <w:rStyle w:val="22"/>
          <w:rFonts w:hint="eastAsia" w:ascii="仿宋" w:hAnsi="仿宋" w:eastAsia="仿宋"/>
          <w:b w:val="0"/>
          <w:bCs w:val="0"/>
          <w:color w:val="auto"/>
          <w:highlight w:val="none"/>
          <w:lang w:eastAsia="zh-CN"/>
        </w:rPr>
        <w:t>十四、国有资本经营预算财政拨款支出决算表</w:t>
      </w:r>
    </w:p>
    <w:sectPr>
      <w:footerReference r:id="rId6" w:type="first"/>
      <w:footerReference r:id="rId5" w:type="default"/>
      <w:pgSz w:w="11906" w:h="16838"/>
      <w:pgMar w:top="2098" w:right="1474" w:bottom="1984" w:left="1587" w:header="851" w:footer="1417"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CA46BF-3503-466C-97A3-14A551CAAF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3549BE39-38E4-4A09-918C-C14752EC3D1E}"/>
  </w:font>
  <w:font w:name="Cambria">
    <w:panose1 w:val="02040503050406030204"/>
    <w:charset w:val="00"/>
    <w:family w:val="roman"/>
    <w:pitch w:val="default"/>
    <w:sig w:usb0="E00006FF" w:usb1="420024FF" w:usb2="02000000" w:usb3="00000000" w:csb0="2000019F" w:csb1="00000000"/>
    <w:embedRegular r:id="rId3" w:fontKey="{71F913E7-A838-4AC5-B5D5-F9B491B768A9}"/>
  </w:font>
  <w:font w:name="仿宋">
    <w:panose1 w:val="02010609060101010101"/>
    <w:charset w:val="86"/>
    <w:family w:val="auto"/>
    <w:pitch w:val="default"/>
    <w:sig w:usb0="800002BF" w:usb1="38CF7CFA" w:usb2="00000016" w:usb3="00000000" w:csb0="00040001" w:csb1="00000000"/>
    <w:embedRegular r:id="rId4" w:fontKey="{876BC991-DC04-4EEE-A9FB-BF9E9AD02EA3}"/>
  </w:font>
  <w:font w:name="方正小标宋简体">
    <w:panose1 w:val="02000000000000000000"/>
    <w:charset w:val="86"/>
    <w:family w:val="script"/>
    <w:pitch w:val="default"/>
    <w:sig w:usb0="00000001" w:usb1="08000000" w:usb2="00000000" w:usb3="00000000" w:csb0="00040000" w:csb1="00000000"/>
    <w:embedRegular r:id="rId5" w:fontKey="{77D6EE67-E372-4999-8E2B-862DE345D787}"/>
  </w:font>
  <w:font w:name="方正楷体_GBK">
    <w:panose1 w:val="02000000000000000000"/>
    <w:charset w:val="86"/>
    <w:family w:val="auto"/>
    <w:pitch w:val="default"/>
    <w:sig w:usb0="800002BF" w:usb1="38CF7CFA" w:usb2="00000016" w:usb3="00000000" w:csb0="00040000" w:csb1="00000000"/>
    <w:embedRegular r:id="rId6" w:fontKey="{9D7ABAA7-886A-480C-B8E0-E94BA0798EC7}"/>
  </w:font>
  <w:font w:name="方正仿宋_GBK">
    <w:panose1 w:val="02000000000000000000"/>
    <w:charset w:val="86"/>
    <w:family w:val="auto"/>
    <w:pitch w:val="default"/>
    <w:sig w:usb0="A00002BF" w:usb1="38CF7CFA" w:usb2="00082016" w:usb3="00000000" w:csb0="00040001" w:csb1="00000000"/>
    <w:embedRegular r:id="rId7" w:fontKey="{5D1C8BAF-A772-46AE-967C-F70043C34892}"/>
  </w:font>
  <w:font w:name="楷体_GB2312">
    <w:altName w:val="楷体"/>
    <w:panose1 w:val="02010609030101010101"/>
    <w:charset w:val="86"/>
    <w:family w:val="auto"/>
    <w:pitch w:val="default"/>
    <w:sig w:usb0="00000000" w:usb1="00000000" w:usb2="00000000" w:usb3="00000000" w:csb0="00040000" w:csb1="00000000"/>
    <w:embedRegular r:id="rId8" w:fontKey="{96CC6C25-0DB7-4B05-80F7-B79CC4F7EBD8}"/>
  </w:font>
  <w:font w:name="方正黑体_GBK">
    <w:altName w:val="Arial Unicode MS"/>
    <w:panose1 w:val="02000000000000000000"/>
    <w:charset w:val="86"/>
    <w:family w:val="auto"/>
    <w:pitch w:val="default"/>
    <w:sig w:usb0="00000000" w:usb1="00000000" w:usb2="00000000" w:usb3="00000000" w:csb0="00040000" w:csb1="00000000"/>
    <w:embedRegular r:id="rId9" w:fontKey="{57AB3513-AC9D-4D51-B8F2-83AF0A7E91E3}"/>
  </w:font>
  <w:font w:name="微软雅黑">
    <w:panose1 w:val="020B0503020204020204"/>
    <w:charset w:val="86"/>
    <w:family w:val="swiss"/>
    <w:pitch w:val="default"/>
    <w:sig w:usb0="80000287" w:usb1="2ACF3C50" w:usb2="00000016" w:usb3="00000000" w:csb0="0004001F" w:csb1="00000000"/>
    <w:embedRegular r:id="rId10" w:fontKey="{A4CB1C2D-483F-4188-B9E6-21230A4F90D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EndPr>
                            <w:rPr>
                              <w:rFonts w:hint="eastAsia" w:asciiTheme="majorEastAsia" w:hAnsiTheme="majorEastAsia" w:eastAsiaTheme="majorEastAsia" w:cstheme="majorEastAsia"/>
                              <w:sz w:val="28"/>
                              <w:szCs w:val="28"/>
                            </w:rPr>
                          </w:sdtEndPr>
                          <w:sdtContent>
                            <w:p>
                              <w:pPr>
                                <w:pStyle w:val="11"/>
                                <w:jc w:val="cente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sdtContent>
                        </w:sd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EndPr>
                      <w:rPr>
                        <w:rFonts w:hint="eastAsia" w:asciiTheme="majorEastAsia" w:hAnsiTheme="majorEastAsia" w:eastAsiaTheme="majorEastAsia" w:cstheme="majorEastAsia"/>
                        <w:sz w:val="28"/>
                        <w:szCs w:val="28"/>
                      </w:rPr>
                    </w:sdtEndPr>
                    <w:sdtContent>
                      <w:p>
                        <w:pPr>
                          <w:pStyle w:val="11"/>
                          <w:jc w:val="cente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sdtContent>
                  </w:sdt>
                  <w:p>
                    <w:pPr>
                      <w:pStyle w:val="11"/>
                    </w:pP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722CF"/>
    <w:multiLevelType w:val="singleLevel"/>
    <w:tmpl w:val="B2C722CF"/>
    <w:lvl w:ilvl="0" w:tentative="0">
      <w:start w:val="1"/>
      <w:numFmt w:val="chineseCounting"/>
      <w:suff w:val="nothing"/>
      <w:lvlText w:val="（%1）"/>
      <w:lvlJc w:val="left"/>
      <w:pPr>
        <w:ind w:left="-5"/>
      </w:pPr>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4B0D3E15"/>
    <w:multiLevelType w:val="singleLevel"/>
    <w:tmpl w:val="4B0D3E1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8F72B14"/>
    <w:rsid w:val="0A2032A3"/>
    <w:rsid w:val="101860EC"/>
    <w:rsid w:val="10C055FF"/>
    <w:rsid w:val="118107EC"/>
    <w:rsid w:val="12557610"/>
    <w:rsid w:val="13D50BC4"/>
    <w:rsid w:val="16BB723D"/>
    <w:rsid w:val="1BE8440E"/>
    <w:rsid w:val="1D155CEE"/>
    <w:rsid w:val="1FEFAC99"/>
    <w:rsid w:val="23860B96"/>
    <w:rsid w:val="240371BF"/>
    <w:rsid w:val="29FD04D3"/>
    <w:rsid w:val="2AB9EB91"/>
    <w:rsid w:val="2C8A61B5"/>
    <w:rsid w:val="2DE9E472"/>
    <w:rsid w:val="2DF04E50"/>
    <w:rsid w:val="319F7F4E"/>
    <w:rsid w:val="32FF2654"/>
    <w:rsid w:val="359F7AA1"/>
    <w:rsid w:val="36AA5135"/>
    <w:rsid w:val="37E16F03"/>
    <w:rsid w:val="39FF816B"/>
    <w:rsid w:val="3BFD5CAC"/>
    <w:rsid w:val="3D98207C"/>
    <w:rsid w:val="3DD779EC"/>
    <w:rsid w:val="3EFB41F2"/>
    <w:rsid w:val="3F3E3ABA"/>
    <w:rsid w:val="3F63F9ED"/>
    <w:rsid w:val="3FCDF3BA"/>
    <w:rsid w:val="3FDE9D79"/>
    <w:rsid w:val="3FFCB81A"/>
    <w:rsid w:val="3FFCE6D9"/>
    <w:rsid w:val="44E268DA"/>
    <w:rsid w:val="47FD621D"/>
    <w:rsid w:val="4A5D5B2E"/>
    <w:rsid w:val="4A627F82"/>
    <w:rsid w:val="4B4F25DA"/>
    <w:rsid w:val="4BE068DB"/>
    <w:rsid w:val="4D577224"/>
    <w:rsid w:val="4EAB630A"/>
    <w:rsid w:val="4ECE2238"/>
    <w:rsid w:val="4EFF9082"/>
    <w:rsid w:val="5371451D"/>
    <w:rsid w:val="577E8B35"/>
    <w:rsid w:val="577F0665"/>
    <w:rsid w:val="5AF92295"/>
    <w:rsid w:val="5BEF013E"/>
    <w:rsid w:val="5CD71FC4"/>
    <w:rsid w:val="5D7DFF9C"/>
    <w:rsid w:val="5EB32221"/>
    <w:rsid w:val="5F2345A8"/>
    <w:rsid w:val="5FDCAA58"/>
    <w:rsid w:val="62FF7482"/>
    <w:rsid w:val="66376316"/>
    <w:rsid w:val="67FF64F6"/>
    <w:rsid w:val="6C4A05C8"/>
    <w:rsid w:val="6CFF83E5"/>
    <w:rsid w:val="6DD37454"/>
    <w:rsid w:val="6E7E3605"/>
    <w:rsid w:val="6EBB8696"/>
    <w:rsid w:val="6EDF8AB5"/>
    <w:rsid w:val="6EFBA01B"/>
    <w:rsid w:val="6F87FFFD"/>
    <w:rsid w:val="6F9FB97E"/>
    <w:rsid w:val="6FC13087"/>
    <w:rsid w:val="6FF5CC65"/>
    <w:rsid w:val="715C0E4B"/>
    <w:rsid w:val="72734D90"/>
    <w:rsid w:val="73AD73D5"/>
    <w:rsid w:val="73B6EB34"/>
    <w:rsid w:val="73DB03C1"/>
    <w:rsid w:val="76B73CBB"/>
    <w:rsid w:val="76EA15C4"/>
    <w:rsid w:val="77DFC5F9"/>
    <w:rsid w:val="79EE5BA4"/>
    <w:rsid w:val="7A894339"/>
    <w:rsid w:val="7A9992ED"/>
    <w:rsid w:val="7BBE22FF"/>
    <w:rsid w:val="7BF7B267"/>
    <w:rsid w:val="7BF89AF8"/>
    <w:rsid w:val="7CF343F3"/>
    <w:rsid w:val="7CFFD946"/>
    <w:rsid w:val="7D977F28"/>
    <w:rsid w:val="7DD6C5FA"/>
    <w:rsid w:val="7DEF351E"/>
    <w:rsid w:val="7EEF11D3"/>
    <w:rsid w:val="7EFD905D"/>
    <w:rsid w:val="7EFDB07E"/>
    <w:rsid w:val="7F5E7A51"/>
    <w:rsid w:val="7F640293"/>
    <w:rsid w:val="7F777E59"/>
    <w:rsid w:val="7F9FF998"/>
    <w:rsid w:val="7FA30C79"/>
    <w:rsid w:val="7FBE5710"/>
    <w:rsid w:val="7FC4A2ED"/>
    <w:rsid w:val="7FC96657"/>
    <w:rsid w:val="7FCF4DDF"/>
    <w:rsid w:val="7FDD7023"/>
    <w:rsid w:val="7FFE330F"/>
    <w:rsid w:val="9D4B5CFF"/>
    <w:rsid w:val="9FFB78F8"/>
    <w:rsid w:val="AFDF721F"/>
    <w:rsid w:val="B5F7E76E"/>
    <w:rsid w:val="BA7B23C6"/>
    <w:rsid w:val="BB5FA721"/>
    <w:rsid w:val="BFB1B06E"/>
    <w:rsid w:val="BFF33F0A"/>
    <w:rsid w:val="D3DBBA75"/>
    <w:rsid w:val="D68F4644"/>
    <w:rsid w:val="D7699F37"/>
    <w:rsid w:val="D8D6DB89"/>
    <w:rsid w:val="DB6F4CAB"/>
    <w:rsid w:val="DCCEA00E"/>
    <w:rsid w:val="DF6F9789"/>
    <w:rsid w:val="DFFEE526"/>
    <w:rsid w:val="E747EE56"/>
    <w:rsid w:val="E7C96B69"/>
    <w:rsid w:val="EA77158D"/>
    <w:rsid w:val="EB32ECEE"/>
    <w:rsid w:val="EDF78B69"/>
    <w:rsid w:val="F68FD991"/>
    <w:rsid w:val="F7E9377C"/>
    <w:rsid w:val="F7EB7E4D"/>
    <w:rsid w:val="F7FDF16D"/>
    <w:rsid w:val="F9E6A9E3"/>
    <w:rsid w:val="FACA63B5"/>
    <w:rsid w:val="FAF855F4"/>
    <w:rsid w:val="FDDC23A9"/>
    <w:rsid w:val="FE734873"/>
    <w:rsid w:val="FEFD9CD6"/>
    <w:rsid w:val="FFBB58BA"/>
    <w:rsid w:val="FFBF6242"/>
    <w:rsid w:val="FFBFAB54"/>
    <w:rsid w:val="FFDBE5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before="100" w:beforeAutospacing="1" w:after="100" w:afterAutospacing="1"/>
      <w:ind w:firstLine="420" w:firstLineChars="200"/>
      <w:jc w:val="both"/>
      <w:textAlignment w:val="baseline"/>
    </w:pPr>
  </w:style>
  <w:style w:type="paragraph" w:customStyle="1" w:styleId="3">
    <w:name w:val="BodyTextIndent"/>
    <w:basedOn w:val="1"/>
    <w:qFormat/>
    <w:uiPriority w:val="0"/>
    <w:pPr>
      <w:ind w:firstLine="640" w:firstLineChars="200"/>
      <w:jc w:val="both"/>
      <w:textAlignment w:val="baseline"/>
    </w:pPr>
    <w:rPr>
      <w:rFonts w:ascii="Times New Roman" w:hAnsi="Times New Roman" w:eastAsia="仿宋_GB2312"/>
      <w:kern w:val="2"/>
      <w:sz w:val="32"/>
      <w:szCs w:val="24"/>
      <w:lang w:val="en-US" w:eastAsia="zh-CN" w:bidi="ar-SA"/>
    </w:r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qFormat/>
    <w:uiPriority w:val="99"/>
    <w:pPr>
      <w:spacing w:after="12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next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qFormat/>
    <w:uiPriority w:val="99"/>
    <w:pPr>
      <w:spacing w:beforeAutospacing="1" w:afterAutospacing="1"/>
      <w:jc w:val="left"/>
    </w:pPr>
    <w:rPr>
      <w:kern w:val="0"/>
      <w:sz w:val="24"/>
    </w:rPr>
  </w:style>
  <w:style w:type="paragraph" w:styleId="16">
    <w:name w:val="Body Text First Indent 2"/>
    <w:basedOn w:val="8"/>
    <w:qFormat/>
    <w:uiPriority w:val="99"/>
    <w:pPr>
      <w:spacing w:after="0"/>
      <w:ind w:firstLine="420" w:firstLineChars="200"/>
    </w:pPr>
    <w:rPr>
      <w:rFonts w:ascii="Calibri" w:hAnsi="Calibri"/>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4"/>
    <w:qFormat/>
    <w:uiPriority w:val="9"/>
    <w:rPr>
      <w:rFonts w:ascii="Times New Roman" w:hAnsi="Times New Roman"/>
      <w:b/>
      <w:bCs/>
      <w:kern w:val="44"/>
      <w:sz w:val="44"/>
      <w:szCs w:val="44"/>
    </w:rPr>
  </w:style>
  <w:style w:type="character" w:customStyle="1" w:styleId="22">
    <w:name w:val="标题 2 Char"/>
    <w:basedOn w:val="18"/>
    <w:link w:val="5"/>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6"/>
    <w:qFormat/>
    <w:uiPriority w:val="9"/>
    <w:rPr>
      <w:rFonts w:ascii="Times New Roman" w:hAnsi="Times New Roman"/>
      <w:b/>
      <w:bCs/>
      <w:kern w:val="2"/>
      <w:sz w:val="32"/>
      <w:szCs w:val="32"/>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font11"/>
    <w:basedOn w:val="18"/>
    <w:qFormat/>
    <w:uiPriority w:val="0"/>
    <w:rPr>
      <w:rFonts w:hint="eastAsia" w:ascii="宋体" w:hAnsi="宋体" w:eastAsia="宋体" w:cs="宋体"/>
      <w:color w:val="000000"/>
      <w:sz w:val="24"/>
      <w:szCs w:val="24"/>
      <w:u w:val="none"/>
    </w:rPr>
  </w:style>
  <w:style w:type="character" w:customStyle="1" w:styleId="36">
    <w:name w:val="font01"/>
    <w:basedOn w:val="1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9</TotalTime>
  <ScaleCrop>false</ScaleCrop>
  <LinksUpToDate>false</LinksUpToDate>
  <CharactersWithSpaces>8692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玖千余为春秋</cp:lastModifiedBy>
  <cp:lastPrinted>2022-08-11T17:11:00Z</cp:lastPrinted>
  <dcterms:modified xsi:type="dcterms:W3CDTF">2023-07-22T04:13:22Z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