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iCs w:val="0"/>
          <w:caps w:val="0"/>
          <w:color w:val="auto"/>
          <w:spacing w:val="0"/>
          <w:sz w:val="48"/>
          <w:szCs w:val="48"/>
        </w:rPr>
      </w:pPr>
      <w:r>
        <w:rPr>
          <w:rFonts w:hint="eastAsia" w:ascii="微软雅黑" w:hAnsi="微软雅黑" w:eastAsia="微软雅黑" w:cs="微软雅黑"/>
          <w:i w:val="0"/>
          <w:iCs w:val="0"/>
          <w:caps w:val="0"/>
          <w:color w:val="auto"/>
          <w:spacing w:val="0"/>
          <w:sz w:val="48"/>
          <w:szCs w:val="48"/>
          <w:shd w:val="clear" w:fill="FFFFFF"/>
        </w:rPr>
        <w:t>九三学社广元市委2021年度单位决算公开编制说明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723" w:firstLineChars="200"/>
        <w:jc w:val="center"/>
        <w:rPr>
          <w:rFonts w:hint="eastAsia" w:ascii="方正仿宋_GB2312" w:hAnsi="方正仿宋_GB2312" w:eastAsia="方正仿宋_GB2312" w:cs="方正仿宋_GB2312"/>
          <w:b/>
          <w:bCs/>
          <w:i w:val="0"/>
          <w:iCs w:val="0"/>
          <w:caps w:val="0"/>
          <w:color w:val="555555"/>
          <w:spacing w:val="0"/>
          <w:sz w:val="36"/>
          <w:szCs w:val="36"/>
          <w:shd w:val="clear" w:fill="FFFFFF"/>
        </w:rPr>
      </w:pPr>
      <w:r>
        <w:rPr>
          <w:rFonts w:hint="eastAsia" w:ascii="方正仿宋_GB2312" w:hAnsi="方正仿宋_GB2312" w:eastAsia="方正仿宋_GB2312" w:cs="方正仿宋_GB2312"/>
          <w:b/>
          <w:bCs/>
          <w:i w:val="0"/>
          <w:iCs w:val="0"/>
          <w:caps w:val="0"/>
          <w:color w:val="555555"/>
          <w:spacing w:val="0"/>
          <w:sz w:val="36"/>
          <w:szCs w:val="36"/>
          <w:shd w:val="clear" w:fill="FFFFFF"/>
        </w:rPr>
        <w:t>目录</w:t>
      </w:r>
    </w:p>
    <w:p>
      <w:pPr>
        <w:pStyle w:val="5"/>
        <w:keepNext w:val="0"/>
        <w:keepLines w:val="0"/>
        <w:widowControl/>
        <w:suppressLineNumbers w:val="0"/>
        <w:shd w:val="clear" w:fill="FFFFFF"/>
        <w:spacing w:before="0" w:beforeAutospacing="0" w:after="210" w:afterAutospacing="0"/>
        <w:ind w:left="0" w:right="0" w:firstLine="0"/>
        <w:jc w:val="center"/>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公开时</w:t>
      </w:r>
      <w:r>
        <w:rPr>
          <w:rFonts w:hint="eastAsia" w:ascii="方正仿宋_GB2312" w:hAnsi="方正仿宋_GB2312" w:eastAsia="方正仿宋_GB2312" w:cs="方正仿宋_GB2312"/>
          <w:i w:val="0"/>
          <w:iCs w:val="0"/>
          <w:caps w:val="0"/>
          <w:color w:val="555555"/>
          <w:spacing w:val="0"/>
          <w:sz w:val="32"/>
          <w:szCs w:val="32"/>
          <w:shd w:val="clear" w:fill="FFFFFF"/>
        </w:rPr>
        <w:t>间：2022年9月</w:t>
      </w:r>
      <w:r>
        <w:rPr>
          <w:rFonts w:hint="eastAsia" w:ascii="方正仿宋_GB2312" w:hAnsi="方正仿宋_GB2312" w:eastAsia="方正仿宋_GB2312" w:cs="方正仿宋_GB2312"/>
          <w:i w:val="0"/>
          <w:iCs w:val="0"/>
          <w:caps w:val="0"/>
          <w:color w:val="555555"/>
          <w:spacing w:val="0"/>
          <w:sz w:val="32"/>
          <w:szCs w:val="32"/>
          <w:shd w:val="clear" w:fill="FFFFFF"/>
          <w:lang w:val="en-US" w:eastAsia="zh-CN"/>
        </w:rPr>
        <w:t>30</w:t>
      </w:r>
      <w:r>
        <w:rPr>
          <w:rFonts w:hint="eastAsia" w:ascii="方正仿宋_GB2312" w:hAnsi="方正仿宋_GB2312" w:eastAsia="方正仿宋_GB2312" w:cs="方正仿宋_GB2312"/>
          <w:i w:val="0"/>
          <w:iCs w:val="0"/>
          <w:caps w:val="0"/>
          <w:color w:val="555555"/>
          <w:spacing w:val="0"/>
          <w:sz w:val="32"/>
          <w:szCs w:val="32"/>
          <w:shd w:val="clear" w:fill="FFFFFF"/>
        </w:rPr>
        <w:t>日</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10" w:afterAutospacing="0" w:line="576" w:lineRule="exact"/>
        <w:ind w:left="0" w:right="0" w:firstLine="643" w:firstLineChars="200"/>
        <w:jc w:val="left"/>
        <w:rPr>
          <w:rFonts w:hint="eastAsia" w:ascii="方正仿宋_GB2312" w:hAnsi="方正仿宋_GB2312" w:eastAsia="方正仿宋_GB2312" w:cs="方正仿宋_GB2312"/>
          <w:b/>
          <w:bCs/>
          <w:i w:val="0"/>
          <w:iCs w:val="0"/>
          <w:caps w:val="0"/>
          <w:color w:val="555555"/>
          <w:spacing w:val="0"/>
          <w:sz w:val="32"/>
          <w:szCs w:val="32"/>
        </w:rPr>
      </w:pPr>
      <w:r>
        <w:rPr>
          <w:rFonts w:hint="eastAsia" w:ascii="方正仿宋_GB2312" w:hAnsi="方正仿宋_GB2312" w:eastAsia="方正仿宋_GB2312" w:cs="方正仿宋_GB2312"/>
          <w:b/>
          <w:bCs/>
          <w:i w:val="0"/>
          <w:iCs w:val="0"/>
          <w:caps w:val="0"/>
          <w:color w:val="000000"/>
          <w:spacing w:val="0"/>
          <w:sz w:val="32"/>
          <w:szCs w:val="32"/>
          <w:shd w:val="clear" w:fill="FFFFFF"/>
        </w:rPr>
        <w:t>第一部分 单位概况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一、职能简介</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二、2021年重点工作完成情况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10" w:afterAutospacing="0" w:line="576" w:lineRule="exact"/>
        <w:ind w:left="0" w:right="0" w:firstLine="643" w:firstLineChars="200"/>
        <w:jc w:val="left"/>
        <w:rPr>
          <w:rFonts w:hint="eastAsia" w:ascii="方正仿宋_GB2312" w:hAnsi="方正仿宋_GB2312" w:eastAsia="方正仿宋_GB2312" w:cs="方正仿宋_GB2312"/>
          <w:b/>
          <w:bCs/>
          <w:i w:val="0"/>
          <w:iCs w:val="0"/>
          <w:caps w:val="0"/>
          <w:color w:val="000000"/>
          <w:spacing w:val="0"/>
          <w:sz w:val="32"/>
          <w:szCs w:val="32"/>
          <w:shd w:val="clear" w:fill="FFFFFF"/>
        </w:rPr>
      </w:pPr>
      <w:r>
        <w:rPr>
          <w:rFonts w:hint="eastAsia" w:ascii="方正仿宋_GB2312" w:hAnsi="方正仿宋_GB2312" w:eastAsia="方正仿宋_GB2312" w:cs="方正仿宋_GB2312"/>
          <w:b/>
          <w:bCs/>
          <w:i w:val="0"/>
          <w:iCs w:val="0"/>
          <w:caps w:val="0"/>
          <w:color w:val="000000"/>
          <w:spacing w:val="0"/>
          <w:sz w:val="32"/>
          <w:szCs w:val="32"/>
          <w:shd w:val="clear" w:fill="FFFFFF"/>
        </w:rPr>
        <w:t>第二部分 2021年度单位决算情况说明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一、收入支出决算总体情况说明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二、收入决算情况说明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三、支出决算情况说明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四、财政拨款收入支出决算总体情况说明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五、一般公共预算财政拨款支出决算情况说明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六、一般公共预算财政拨款基本支出决算情况说明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七、“三公”经费财政拨款支出决算情况说明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八、政府性基金预算支出决算情况说明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九、国有资本经营预算支出决算情况说明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十、预算绩效管理情况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十一、其他重要事项的情况说明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10" w:afterAutospacing="0" w:line="576" w:lineRule="exact"/>
        <w:ind w:left="0" w:right="0" w:firstLine="643" w:firstLineChars="200"/>
        <w:jc w:val="left"/>
        <w:rPr>
          <w:rFonts w:hint="eastAsia" w:ascii="方正仿宋_GB2312" w:hAnsi="方正仿宋_GB2312" w:eastAsia="方正仿宋_GB2312" w:cs="方正仿宋_GB2312"/>
          <w:b/>
          <w:bCs/>
          <w:i w:val="0"/>
          <w:iCs w:val="0"/>
          <w:caps w:val="0"/>
          <w:color w:val="000000"/>
          <w:spacing w:val="0"/>
          <w:sz w:val="32"/>
          <w:szCs w:val="32"/>
          <w:shd w:val="clear" w:fill="FFFFFF"/>
        </w:rPr>
      </w:pPr>
      <w:r>
        <w:rPr>
          <w:rFonts w:hint="eastAsia" w:ascii="方正仿宋_GB2312" w:hAnsi="方正仿宋_GB2312" w:eastAsia="方正仿宋_GB2312" w:cs="方正仿宋_GB2312"/>
          <w:b/>
          <w:bCs/>
          <w:i w:val="0"/>
          <w:iCs w:val="0"/>
          <w:caps w:val="0"/>
          <w:color w:val="000000"/>
          <w:spacing w:val="0"/>
          <w:sz w:val="32"/>
          <w:szCs w:val="32"/>
          <w:shd w:val="clear" w:fill="FFFFFF"/>
        </w:rPr>
        <w:t>第三部分 名词解释</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10" w:afterAutospacing="0" w:line="576" w:lineRule="exact"/>
        <w:ind w:left="0" w:right="0" w:firstLine="643" w:firstLineChars="200"/>
        <w:jc w:val="left"/>
        <w:rPr>
          <w:rFonts w:hint="eastAsia" w:ascii="方正仿宋_GB2312" w:hAnsi="方正仿宋_GB2312" w:eastAsia="方正仿宋_GB2312" w:cs="方正仿宋_GB2312"/>
          <w:b/>
          <w:bCs/>
          <w:i w:val="0"/>
          <w:iCs w:val="0"/>
          <w:caps w:val="0"/>
          <w:color w:val="000000"/>
          <w:spacing w:val="0"/>
          <w:sz w:val="32"/>
          <w:szCs w:val="32"/>
          <w:shd w:val="clear" w:fill="FFFFFF"/>
        </w:rPr>
      </w:pPr>
      <w:r>
        <w:rPr>
          <w:rFonts w:hint="eastAsia" w:ascii="方正仿宋_GB2312" w:hAnsi="方正仿宋_GB2312" w:eastAsia="方正仿宋_GB2312" w:cs="方正仿宋_GB2312"/>
          <w:b/>
          <w:bCs/>
          <w:i w:val="0"/>
          <w:iCs w:val="0"/>
          <w:caps w:val="0"/>
          <w:color w:val="000000"/>
          <w:spacing w:val="0"/>
          <w:sz w:val="32"/>
          <w:szCs w:val="32"/>
          <w:shd w:val="clear" w:fill="FFFFFF"/>
        </w:rPr>
        <w:t>第四部分 附件</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10" w:afterAutospacing="0" w:line="576" w:lineRule="exact"/>
        <w:ind w:left="0" w:right="0" w:firstLine="643" w:firstLineChars="200"/>
        <w:jc w:val="left"/>
        <w:rPr>
          <w:rFonts w:hint="eastAsia" w:ascii="方正仿宋_GB2312" w:hAnsi="方正仿宋_GB2312" w:eastAsia="方正仿宋_GB2312" w:cs="方正仿宋_GB2312"/>
          <w:b/>
          <w:bCs/>
          <w:i w:val="0"/>
          <w:iCs w:val="0"/>
          <w:caps w:val="0"/>
          <w:color w:val="000000"/>
          <w:spacing w:val="0"/>
          <w:sz w:val="32"/>
          <w:szCs w:val="32"/>
          <w:shd w:val="clear" w:fill="FFFFFF"/>
        </w:rPr>
      </w:pPr>
      <w:r>
        <w:rPr>
          <w:rFonts w:hint="eastAsia" w:ascii="方正仿宋_GB2312" w:hAnsi="方正仿宋_GB2312" w:eastAsia="方正仿宋_GB2312" w:cs="方正仿宋_GB2312"/>
          <w:b/>
          <w:bCs/>
          <w:i w:val="0"/>
          <w:iCs w:val="0"/>
          <w:caps w:val="0"/>
          <w:color w:val="000000"/>
          <w:spacing w:val="0"/>
          <w:sz w:val="32"/>
          <w:szCs w:val="32"/>
          <w:shd w:val="clear" w:fill="FFFFFF"/>
        </w:rPr>
        <w:t>第五部分 附表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一、收入支出决算总表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二、收入决算表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三、支出决算表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四、财政拨款收入支出决算总表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五、财政拨款支出决算明细表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六、一般公共预算财政拨款支出决算表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七、一般公共预算财政拨款支出决算明细表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八、一般公共预算财政拨款基本支出决算表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九、一般公共预算财政拨款项目支出决算表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十、一般公共预算财政拨款“三公”经费支出决算表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十一、政府性基金预算财政拨款收入支出决算表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十二、政府性基金预算财政拨款“三公”经费支出决算表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十三、国有资本经营预算财政拨款收入支出决算表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十四、国有资本经营预算财政拨款支出决算表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723" w:firstLineChars="200"/>
        <w:jc w:val="center"/>
        <w:rPr>
          <w:rFonts w:hint="eastAsia" w:ascii="方正仿宋_GB2312" w:hAnsi="方正仿宋_GB2312" w:eastAsia="方正仿宋_GB2312" w:cs="方正仿宋_GB2312"/>
          <w:b/>
          <w:bCs/>
          <w:i w:val="0"/>
          <w:iCs w:val="0"/>
          <w:caps w:val="0"/>
          <w:color w:val="555555"/>
          <w:spacing w:val="0"/>
          <w:sz w:val="36"/>
          <w:szCs w:val="36"/>
        </w:rPr>
      </w:pPr>
      <w:r>
        <w:rPr>
          <w:rFonts w:hint="eastAsia" w:ascii="方正仿宋_GB2312" w:hAnsi="方正仿宋_GB2312" w:eastAsia="方正仿宋_GB2312" w:cs="方正仿宋_GB2312"/>
          <w:b/>
          <w:bCs/>
          <w:i w:val="0"/>
          <w:iCs w:val="0"/>
          <w:caps w:val="0"/>
          <w:color w:val="555555"/>
          <w:spacing w:val="0"/>
          <w:sz w:val="36"/>
          <w:szCs w:val="36"/>
          <w:shd w:val="clear" w:fill="FFFFFF"/>
        </w:rPr>
        <w:t>第一部分 单位</w:t>
      </w:r>
      <w:r>
        <w:rPr>
          <w:rFonts w:hint="eastAsia" w:ascii="方正仿宋_GB2312" w:hAnsi="方正仿宋_GB2312" w:eastAsia="方正仿宋_GB2312" w:cs="方正仿宋_GB2312"/>
          <w:b/>
          <w:bCs/>
          <w:i w:val="0"/>
          <w:iCs w:val="0"/>
          <w:caps w:val="0"/>
          <w:color w:val="000000"/>
          <w:spacing w:val="0"/>
          <w:sz w:val="36"/>
          <w:szCs w:val="36"/>
          <w:shd w:val="clear" w:fill="FFFFFF"/>
        </w:rPr>
        <w:t>概况</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Style w:val="8"/>
          <w:rFonts w:hint="eastAsia" w:ascii="方正仿宋_GB2312" w:hAnsi="方正仿宋_GB2312" w:eastAsia="方正仿宋_GB2312" w:cs="方正仿宋_GB2312"/>
          <w:b/>
          <w:bCs/>
          <w:i w:val="0"/>
          <w:iCs w:val="0"/>
          <w:caps w:val="0"/>
          <w:color w:val="000000"/>
          <w:spacing w:val="0"/>
          <w:sz w:val="32"/>
          <w:szCs w:val="32"/>
          <w:shd w:val="clear" w:fill="FFFFFF"/>
          <w:lang w:eastAsia="zh-CN"/>
        </w:rPr>
      </w:pPr>
      <w:r>
        <w:rPr>
          <w:rStyle w:val="8"/>
          <w:rFonts w:hint="eastAsia" w:ascii="方正仿宋_GB2312" w:hAnsi="方正仿宋_GB2312" w:eastAsia="方正仿宋_GB2312" w:cs="方正仿宋_GB2312"/>
          <w:b/>
          <w:bCs/>
          <w:i w:val="0"/>
          <w:iCs w:val="0"/>
          <w:caps w:val="0"/>
          <w:color w:val="000000"/>
          <w:spacing w:val="0"/>
          <w:sz w:val="32"/>
          <w:szCs w:val="32"/>
          <w:shd w:val="clear" w:fill="FFFFFF"/>
        </w:rPr>
        <w:t>一、职能简介</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九三学社广元市委员会系民主党派市级组织，主要职能是民主监督、参政议政、以及参加中国共产党领导的政治协商。</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b/>
          <w:bCs/>
          <w:i w:val="0"/>
          <w:iCs w:val="0"/>
          <w:caps w:val="0"/>
          <w:color w:val="000000"/>
          <w:spacing w:val="0"/>
          <w:sz w:val="32"/>
          <w:szCs w:val="32"/>
          <w:shd w:val="clear" w:fill="FFFFFF"/>
        </w:rPr>
        <w:t>二、2021年重点工作完成情况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2021年，九三学社广元市委坚持并加强中国共产党的领导，以党史社史学习教育活动为抓手，深入学习贯彻习近平新时代中国特色社会主义思想，认真贯彻落实加强中国特色社会主义参政党建设“三个文件”精神和中共中央、省委、市委以及社中央、社省委系列决策部署，大力弘扬爱国、民主、科学优良传统，团结带领全市社员围绕我市“四大经济”“四大工程”和“五个具体目标”，锐意进取，统筹开展疫情防控、参政议政和民主监督工作，着力推进民主党派“五大建设”，深化“九广合作”创建“九地合作”示范区，助力巩固脱贫攻坚成果，实施乡村振兴战略，为广元加快建设川陕甘结合部现代化中心城市做出了新的积极贡献。</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723" w:firstLineChars="200"/>
        <w:jc w:val="center"/>
        <w:rPr>
          <w:rFonts w:hint="eastAsia" w:ascii="方正仿宋_GB2312" w:hAnsi="方正仿宋_GB2312" w:eastAsia="方正仿宋_GB2312" w:cs="方正仿宋_GB2312"/>
          <w:b/>
          <w:bCs/>
          <w:i w:val="0"/>
          <w:iCs w:val="0"/>
          <w:caps w:val="0"/>
          <w:color w:val="555555"/>
          <w:spacing w:val="0"/>
          <w:sz w:val="36"/>
          <w:szCs w:val="36"/>
          <w:shd w:val="clear" w:fill="FFFFFF"/>
        </w:rPr>
      </w:pP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723" w:firstLineChars="200"/>
        <w:jc w:val="center"/>
        <w:rPr>
          <w:rFonts w:hint="eastAsia" w:ascii="方正仿宋_GB2312" w:hAnsi="方正仿宋_GB2312" w:eastAsia="方正仿宋_GB2312" w:cs="方正仿宋_GB2312"/>
          <w:b/>
          <w:bCs/>
          <w:i w:val="0"/>
          <w:iCs w:val="0"/>
          <w:caps w:val="0"/>
          <w:color w:val="555555"/>
          <w:spacing w:val="0"/>
          <w:sz w:val="36"/>
          <w:szCs w:val="36"/>
          <w:shd w:val="clear" w:fill="FFFFFF"/>
        </w:rPr>
      </w:pP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723" w:firstLineChars="200"/>
        <w:jc w:val="center"/>
        <w:rPr>
          <w:rFonts w:hint="eastAsia" w:ascii="方正仿宋_GB2312" w:hAnsi="方正仿宋_GB2312" w:eastAsia="方正仿宋_GB2312" w:cs="方正仿宋_GB2312"/>
          <w:b/>
          <w:bCs/>
          <w:i w:val="0"/>
          <w:iCs w:val="0"/>
          <w:caps w:val="0"/>
          <w:color w:val="555555"/>
          <w:spacing w:val="0"/>
          <w:sz w:val="36"/>
          <w:szCs w:val="36"/>
          <w:shd w:val="clear" w:fill="FFFFFF"/>
        </w:rPr>
      </w:pPr>
      <w:r>
        <w:rPr>
          <w:rFonts w:hint="eastAsia" w:ascii="方正仿宋_GB2312" w:hAnsi="方正仿宋_GB2312" w:eastAsia="方正仿宋_GB2312" w:cs="方正仿宋_GB2312"/>
          <w:b/>
          <w:bCs/>
          <w:i w:val="0"/>
          <w:iCs w:val="0"/>
          <w:caps w:val="0"/>
          <w:color w:val="555555"/>
          <w:spacing w:val="0"/>
          <w:sz w:val="36"/>
          <w:szCs w:val="36"/>
          <w:shd w:val="clear" w:fill="FFFFFF"/>
        </w:rPr>
        <w:t>第二部分 2021年度单位决算情况说明</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Style w:val="8"/>
          <w:rFonts w:hint="eastAsia" w:ascii="方正仿宋_GB2312" w:hAnsi="方正仿宋_GB2312" w:eastAsia="方正仿宋_GB2312" w:cs="方正仿宋_GB2312"/>
          <w:b/>
          <w:bCs/>
          <w:i w:val="0"/>
          <w:iCs w:val="0"/>
          <w:caps w:val="0"/>
          <w:color w:val="000000"/>
          <w:spacing w:val="0"/>
          <w:sz w:val="32"/>
          <w:szCs w:val="32"/>
          <w:shd w:val="clear" w:fill="FFFFFF"/>
        </w:rPr>
      </w:pPr>
      <w:r>
        <w:rPr>
          <w:rStyle w:val="8"/>
          <w:rFonts w:hint="eastAsia" w:ascii="方正仿宋_GB2312" w:hAnsi="方正仿宋_GB2312" w:eastAsia="方正仿宋_GB2312" w:cs="方正仿宋_GB2312"/>
          <w:b/>
          <w:bCs/>
          <w:i w:val="0"/>
          <w:iCs w:val="0"/>
          <w:caps w:val="0"/>
          <w:color w:val="000000"/>
          <w:spacing w:val="0"/>
          <w:sz w:val="32"/>
          <w:szCs w:val="32"/>
          <w:shd w:val="clear" w:fill="FFFFFF"/>
        </w:rPr>
        <w:t>一、 收入支出决算总体情况说明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555555"/>
          <w:spacing w:val="0"/>
          <w:sz w:val="32"/>
          <w:szCs w:val="32"/>
          <w:shd w:val="clear" w:fill="FFFFFF"/>
        </w:rPr>
        <w:t>2021年度收、支总计79.65万元。与2020年相比，收、支总计各增加15.49万元，增长14%。主要变动原因是2021年是换届之年工作量增加，相应工作经费预算收入增加。</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jc w:val="both"/>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555555"/>
          <w:spacing w:val="0"/>
          <w:sz w:val="32"/>
          <w:szCs w:val="32"/>
          <w:shd w:val="clear" w:fill="FFFFFF"/>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361315</wp:posOffset>
            </wp:positionV>
            <wp:extent cx="5305425" cy="2886075"/>
            <wp:effectExtent l="0" t="0" r="0" b="0"/>
            <wp:wrapTight wrapText="bothSides">
              <wp:wrapPolygon>
                <wp:start x="0" y="285"/>
                <wp:lineTo x="0" y="21386"/>
                <wp:lineTo x="21484" y="21386"/>
                <wp:lineTo x="21484" y="285"/>
                <wp:lineTo x="0" y="285"/>
              </wp:wrapPolygon>
            </wp:wrapTight>
            <wp:docPr id="2" name="图片 1" descr="2022093015432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022093015432902.png"/>
                    <pic:cNvPicPr>
                      <a:picLocks noChangeAspect="1"/>
                    </pic:cNvPicPr>
                  </pic:nvPicPr>
                  <pic:blipFill>
                    <a:blip r:embed="rId4"/>
                    <a:stretch>
                      <a:fillRect/>
                    </a:stretch>
                  </pic:blipFill>
                  <pic:spPr>
                    <a:xfrm>
                      <a:off x="0" y="0"/>
                      <a:ext cx="5305425" cy="2886075"/>
                    </a:xfrm>
                    <a:prstGeom prst="rect">
                      <a:avLst/>
                    </a:prstGeom>
                    <a:noFill/>
                    <a:ln w="9525">
                      <a:noFill/>
                    </a:ln>
                  </pic:spPr>
                </pic:pic>
              </a:graphicData>
            </a:graphic>
          </wp:anchor>
        </w:drawing>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center"/>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（图1：收、支决算总计变动情况图）</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center"/>
        <w:rPr>
          <w:rFonts w:hint="eastAsia" w:ascii="方正仿宋_GB2312" w:hAnsi="方正仿宋_GB2312" w:eastAsia="方正仿宋_GB2312" w:cs="方正仿宋_GB2312"/>
          <w:i w:val="0"/>
          <w:iCs w:val="0"/>
          <w:caps w:val="0"/>
          <w:color w:val="000000"/>
          <w:spacing w:val="0"/>
          <w:sz w:val="32"/>
          <w:szCs w:val="32"/>
          <w:shd w:val="clear" w:fill="FFFFFF"/>
        </w:rPr>
      </w:pP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Style w:val="8"/>
          <w:rFonts w:hint="eastAsia" w:ascii="方正仿宋_GB2312" w:hAnsi="方正仿宋_GB2312" w:eastAsia="方正仿宋_GB2312" w:cs="方正仿宋_GB2312"/>
          <w:b/>
          <w:bCs/>
          <w:i w:val="0"/>
          <w:iCs w:val="0"/>
          <w:caps w:val="0"/>
          <w:color w:val="000000"/>
          <w:spacing w:val="0"/>
          <w:sz w:val="32"/>
          <w:szCs w:val="32"/>
          <w:shd w:val="clear" w:fill="FFFFFF"/>
        </w:rPr>
      </w:pPr>
      <w:r>
        <w:rPr>
          <w:rStyle w:val="8"/>
          <w:rFonts w:hint="eastAsia" w:ascii="方正仿宋_GB2312" w:hAnsi="方正仿宋_GB2312" w:eastAsia="方正仿宋_GB2312" w:cs="方正仿宋_GB2312"/>
          <w:b/>
          <w:bCs/>
          <w:i w:val="0"/>
          <w:iCs w:val="0"/>
          <w:caps w:val="0"/>
          <w:color w:val="000000"/>
          <w:spacing w:val="0"/>
          <w:sz w:val="32"/>
          <w:szCs w:val="32"/>
          <w:shd w:val="clear" w:fill="FFFFFF"/>
        </w:rPr>
        <w:t>二、 收入决算情况说明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2021年本年收入合计77.17万元，其中：一般公共预算财政拨款收入74.24万元，占96.2%；其他收入2.93万元，占3.8%。</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center"/>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555555"/>
          <w:spacing w:val="0"/>
          <w:sz w:val="32"/>
          <w:szCs w:val="32"/>
          <w:shd w:val="clear" w:fill="FFFFFF"/>
        </w:rPr>
        <w:drawing>
          <wp:anchor distT="0" distB="0" distL="114300" distR="114300" simplePos="0" relativeHeight="251660288" behindDoc="1" locked="0" layoutInCell="1" allowOverlap="1">
            <wp:simplePos x="0" y="0"/>
            <wp:positionH relativeFrom="column">
              <wp:posOffset>609600</wp:posOffset>
            </wp:positionH>
            <wp:positionV relativeFrom="paragraph">
              <wp:posOffset>20320</wp:posOffset>
            </wp:positionV>
            <wp:extent cx="4686300" cy="2857500"/>
            <wp:effectExtent l="0" t="0" r="0" b="0"/>
            <wp:wrapTight wrapText="bothSides">
              <wp:wrapPolygon>
                <wp:start x="0" y="288"/>
                <wp:lineTo x="0" y="21456"/>
                <wp:lineTo x="21424" y="21456"/>
                <wp:lineTo x="21424" y="288"/>
                <wp:lineTo x="0" y="288"/>
              </wp:wrapPolygon>
            </wp:wrapTight>
            <wp:docPr id="1" name="图片 2" descr="2022093015432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2022093015432901.png"/>
                    <pic:cNvPicPr>
                      <a:picLocks noChangeAspect="1"/>
                    </pic:cNvPicPr>
                  </pic:nvPicPr>
                  <pic:blipFill>
                    <a:blip r:embed="rId5"/>
                    <a:stretch>
                      <a:fillRect/>
                    </a:stretch>
                  </pic:blipFill>
                  <pic:spPr>
                    <a:xfrm>
                      <a:off x="0" y="0"/>
                      <a:ext cx="4686300" cy="2857500"/>
                    </a:xfrm>
                    <a:prstGeom prst="rect">
                      <a:avLst/>
                    </a:prstGeom>
                    <a:noFill/>
                    <a:ln w="9525">
                      <a:noFill/>
                    </a:ln>
                  </pic:spPr>
                </pic:pic>
              </a:graphicData>
            </a:graphic>
          </wp:anchor>
        </w:drawing>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center"/>
        <w:rPr>
          <w:rFonts w:hint="eastAsia" w:ascii="方正仿宋_GB2312" w:hAnsi="方正仿宋_GB2312" w:eastAsia="方正仿宋_GB2312" w:cs="方正仿宋_GB2312"/>
          <w:i w:val="0"/>
          <w:iCs w:val="0"/>
          <w:caps w:val="0"/>
          <w:color w:val="555555"/>
          <w:spacing w:val="0"/>
          <w:sz w:val="32"/>
          <w:szCs w:val="32"/>
          <w:shd w:val="clear" w:fill="FFFFFF"/>
        </w:rPr>
      </w:pP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center"/>
        <w:rPr>
          <w:rFonts w:hint="eastAsia" w:ascii="方正仿宋_GB2312" w:hAnsi="方正仿宋_GB2312" w:eastAsia="方正仿宋_GB2312" w:cs="方正仿宋_GB2312"/>
          <w:i w:val="0"/>
          <w:iCs w:val="0"/>
          <w:caps w:val="0"/>
          <w:color w:val="555555"/>
          <w:spacing w:val="0"/>
          <w:sz w:val="32"/>
          <w:szCs w:val="32"/>
          <w:shd w:val="clear" w:fill="FFFFFF"/>
        </w:rPr>
      </w:pP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center"/>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555555"/>
          <w:spacing w:val="0"/>
          <w:sz w:val="32"/>
          <w:szCs w:val="32"/>
          <w:shd w:val="clear" w:fill="FFFFFF"/>
        </w:rPr>
        <w:t>（图2：收入决算结构图）</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Style w:val="8"/>
          <w:rFonts w:hint="eastAsia" w:ascii="方正仿宋_GB2312" w:hAnsi="方正仿宋_GB2312" w:eastAsia="方正仿宋_GB2312" w:cs="方正仿宋_GB2312"/>
          <w:b/>
          <w:bCs/>
          <w:i w:val="0"/>
          <w:iCs w:val="0"/>
          <w:caps w:val="0"/>
          <w:color w:val="000000"/>
          <w:spacing w:val="0"/>
          <w:sz w:val="32"/>
          <w:szCs w:val="32"/>
          <w:shd w:val="clear" w:fill="FFFFFF"/>
        </w:rPr>
      </w:pPr>
      <w:r>
        <w:rPr>
          <w:rStyle w:val="8"/>
          <w:rFonts w:hint="eastAsia" w:ascii="方正仿宋_GB2312" w:hAnsi="方正仿宋_GB2312" w:eastAsia="方正仿宋_GB2312" w:cs="方正仿宋_GB2312"/>
          <w:b/>
          <w:bCs/>
          <w:i w:val="0"/>
          <w:iCs w:val="0"/>
          <w:caps w:val="0"/>
          <w:color w:val="000000"/>
          <w:spacing w:val="0"/>
          <w:sz w:val="32"/>
          <w:szCs w:val="32"/>
          <w:shd w:val="clear" w:fill="FFFFFF"/>
        </w:rPr>
        <w:t>三、 支出决算情况说明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2021年本年支出合计79.07万元，其中：基本支出46.42万元，占58.7%；项目支出32.65万元，占41.3%。</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center"/>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555555"/>
          <w:spacing w:val="0"/>
          <w:sz w:val="32"/>
          <w:szCs w:val="32"/>
          <w:shd w:val="clear" w:fill="FFFFFF"/>
        </w:rPr>
        <w:drawing>
          <wp:anchor distT="0" distB="0" distL="114300" distR="114300" simplePos="0" relativeHeight="251661312" behindDoc="1" locked="0" layoutInCell="1" allowOverlap="1">
            <wp:simplePos x="0" y="0"/>
            <wp:positionH relativeFrom="column">
              <wp:posOffset>349250</wp:posOffset>
            </wp:positionH>
            <wp:positionV relativeFrom="paragraph">
              <wp:posOffset>614680</wp:posOffset>
            </wp:positionV>
            <wp:extent cx="4686300" cy="2857500"/>
            <wp:effectExtent l="0" t="0" r="0" b="0"/>
            <wp:wrapTight wrapText="bothSides">
              <wp:wrapPolygon>
                <wp:start x="0" y="288"/>
                <wp:lineTo x="0" y="21456"/>
                <wp:lineTo x="21424" y="21456"/>
                <wp:lineTo x="21424" y="288"/>
                <wp:lineTo x="0" y="288"/>
              </wp:wrapPolygon>
            </wp:wrapTight>
            <wp:docPr id="3" name="图片 3" descr="2022093015432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2093015432907.png"/>
                    <pic:cNvPicPr>
                      <a:picLocks noChangeAspect="1"/>
                    </pic:cNvPicPr>
                  </pic:nvPicPr>
                  <pic:blipFill>
                    <a:blip r:embed="rId6"/>
                    <a:stretch>
                      <a:fillRect/>
                    </a:stretch>
                  </pic:blipFill>
                  <pic:spPr>
                    <a:xfrm>
                      <a:off x="0" y="0"/>
                      <a:ext cx="4686300" cy="2857500"/>
                    </a:xfrm>
                    <a:prstGeom prst="rect">
                      <a:avLst/>
                    </a:prstGeom>
                    <a:noFill/>
                    <a:ln w="9525">
                      <a:noFill/>
                    </a:ln>
                  </pic:spPr>
                </pic:pic>
              </a:graphicData>
            </a:graphic>
          </wp:anchor>
        </w:drawing>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center"/>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555555"/>
          <w:spacing w:val="0"/>
          <w:sz w:val="32"/>
          <w:szCs w:val="32"/>
          <w:shd w:val="clear" w:fill="FFFFFF"/>
        </w:rPr>
        <w:t>（图3：支出决算结构图）</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Style w:val="8"/>
          <w:rFonts w:hint="eastAsia" w:ascii="方正仿宋_GB2312" w:hAnsi="方正仿宋_GB2312" w:eastAsia="方正仿宋_GB2312" w:cs="方正仿宋_GB2312"/>
          <w:b/>
          <w:bCs/>
          <w:i w:val="0"/>
          <w:iCs w:val="0"/>
          <w:caps w:val="0"/>
          <w:color w:val="000000"/>
          <w:spacing w:val="0"/>
          <w:sz w:val="32"/>
          <w:szCs w:val="32"/>
          <w:shd w:val="clear" w:fill="FFFFFF"/>
        </w:rPr>
      </w:pPr>
      <w:r>
        <w:rPr>
          <w:rStyle w:val="8"/>
          <w:rFonts w:hint="eastAsia" w:ascii="方正仿宋_GB2312" w:hAnsi="方正仿宋_GB2312" w:eastAsia="方正仿宋_GB2312" w:cs="方正仿宋_GB2312"/>
          <w:b/>
          <w:bCs/>
          <w:i w:val="0"/>
          <w:iCs w:val="0"/>
          <w:caps w:val="0"/>
          <w:color w:val="000000"/>
          <w:spacing w:val="0"/>
          <w:sz w:val="32"/>
          <w:szCs w:val="32"/>
          <w:shd w:val="clear" w:fill="FFFFFF"/>
        </w:rPr>
        <w:t>四、财政拨款收入支出决算总体情况说明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555555"/>
          <w:spacing w:val="0"/>
          <w:sz w:val="32"/>
          <w:szCs w:val="32"/>
          <w:shd w:val="clear" w:fill="FFFFFF"/>
        </w:rPr>
        <w:t>2021年财政拨款收、支总计74.3万元。与2020年相比，财政拨款收、支总计各增加14.73万元，增长24.7%。主要变动原因是2021年是换届之年工作量增加，相应工作经费收入与支出增加。</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center"/>
        <w:rPr>
          <w:rFonts w:hint="eastAsia" w:ascii="方正仿宋_GB2312" w:hAnsi="方正仿宋_GB2312" w:eastAsia="方正仿宋_GB2312" w:cs="方正仿宋_GB2312"/>
          <w:i w:val="0"/>
          <w:iCs w:val="0"/>
          <w:caps w:val="0"/>
          <w:color w:val="000000"/>
          <w:spacing w:val="0"/>
          <w:sz w:val="32"/>
          <w:szCs w:val="32"/>
          <w:shd w:val="clear" w:fill="FFFFFF"/>
        </w:rPr>
      </w:pPr>
      <w:r>
        <w:rPr>
          <w:rFonts w:hint="eastAsia" w:ascii="方正仿宋_GB2312" w:hAnsi="方正仿宋_GB2312" w:eastAsia="方正仿宋_GB2312" w:cs="方正仿宋_GB2312"/>
          <w:i w:val="0"/>
          <w:iCs w:val="0"/>
          <w:caps w:val="0"/>
          <w:color w:val="555555"/>
          <w:spacing w:val="0"/>
          <w:sz w:val="32"/>
          <w:szCs w:val="32"/>
          <w:shd w:val="clear" w:fill="FFFFFF"/>
        </w:rPr>
        <w:drawing>
          <wp:anchor distT="0" distB="0" distL="114300" distR="114300" simplePos="0" relativeHeight="251662336" behindDoc="1" locked="0" layoutInCell="1" allowOverlap="1">
            <wp:simplePos x="0" y="0"/>
            <wp:positionH relativeFrom="column">
              <wp:posOffset>466725</wp:posOffset>
            </wp:positionH>
            <wp:positionV relativeFrom="paragraph">
              <wp:posOffset>257175</wp:posOffset>
            </wp:positionV>
            <wp:extent cx="5305425" cy="2886075"/>
            <wp:effectExtent l="0" t="0" r="0" b="0"/>
            <wp:wrapTight wrapText="bothSides">
              <wp:wrapPolygon>
                <wp:start x="0" y="285"/>
                <wp:lineTo x="0" y="21386"/>
                <wp:lineTo x="21484" y="21386"/>
                <wp:lineTo x="21484" y="285"/>
                <wp:lineTo x="0" y="285"/>
              </wp:wrapPolygon>
            </wp:wrapTight>
            <wp:docPr id="4" name="图片 4" descr="202209301543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2093015432900.png"/>
                    <pic:cNvPicPr>
                      <a:picLocks noChangeAspect="1"/>
                    </pic:cNvPicPr>
                  </pic:nvPicPr>
                  <pic:blipFill>
                    <a:blip r:embed="rId7"/>
                    <a:stretch>
                      <a:fillRect/>
                    </a:stretch>
                  </pic:blipFill>
                  <pic:spPr>
                    <a:xfrm>
                      <a:off x="0" y="0"/>
                      <a:ext cx="5305425" cy="2886075"/>
                    </a:xfrm>
                    <a:prstGeom prst="rect">
                      <a:avLst/>
                    </a:prstGeom>
                    <a:noFill/>
                    <a:ln w="9525">
                      <a:noFill/>
                    </a:ln>
                  </pic:spPr>
                </pic:pic>
              </a:graphicData>
            </a:graphic>
          </wp:anchor>
        </w:drawing>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center"/>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（图4：财政拨款收、支决算总计变动情况）</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Style w:val="8"/>
          <w:rFonts w:hint="eastAsia" w:ascii="方正仿宋_GB2312" w:hAnsi="方正仿宋_GB2312" w:eastAsia="方正仿宋_GB2312" w:cs="方正仿宋_GB2312"/>
          <w:b/>
          <w:bCs/>
          <w:i w:val="0"/>
          <w:iCs w:val="0"/>
          <w:caps w:val="0"/>
          <w:color w:val="000000"/>
          <w:spacing w:val="0"/>
          <w:sz w:val="32"/>
          <w:szCs w:val="32"/>
          <w:shd w:val="clear" w:fill="FFFFFF"/>
        </w:rPr>
      </w:pPr>
      <w:r>
        <w:rPr>
          <w:rStyle w:val="8"/>
          <w:rFonts w:hint="eastAsia" w:ascii="方正仿宋_GB2312" w:hAnsi="方正仿宋_GB2312" w:eastAsia="方正仿宋_GB2312" w:cs="方正仿宋_GB2312"/>
          <w:b/>
          <w:bCs/>
          <w:i w:val="0"/>
          <w:iCs w:val="0"/>
          <w:caps w:val="0"/>
          <w:color w:val="000000"/>
          <w:spacing w:val="0"/>
          <w:sz w:val="32"/>
          <w:szCs w:val="32"/>
          <w:shd w:val="clear" w:fill="FFFFFF"/>
        </w:rPr>
        <w:t>五、一般公共预算财政拨款支出决算情况说明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（一）一般公共预算财政拨款支出决算总体情况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000000"/>
          <w:spacing w:val="0"/>
          <w:sz w:val="32"/>
          <w:szCs w:val="32"/>
          <w:shd w:val="clear" w:fill="FFFFFF"/>
        </w:rPr>
      </w:pPr>
      <w:r>
        <w:rPr>
          <w:rFonts w:hint="eastAsia" w:ascii="方正仿宋_GB2312" w:hAnsi="方正仿宋_GB2312" w:eastAsia="方正仿宋_GB2312" w:cs="方正仿宋_GB2312"/>
          <w:i w:val="0"/>
          <w:iCs w:val="0"/>
          <w:caps w:val="0"/>
          <w:color w:val="000000"/>
          <w:spacing w:val="0"/>
          <w:sz w:val="32"/>
          <w:szCs w:val="32"/>
          <w:shd w:val="clear" w:fill="FFFFFF"/>
        </w:rPr>
        <w:t>2021年一般公共预算财政拨款支出74.27万元，占本年支出合计的93.9%。与2020年相比，一般公共预算财政拨款支出增加6.81万元，增长10%。主要变动原因是2021年是换届之年工作量增加，相应工作经费收入与支出增加。</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555555"/>
          <w:spacing w:val="0"/>
          <w:sz w:val="32"/>
          <w:szCs w:val="32"/>
          <w:shd w:val="clear" w:fill="FFFFFF"/>
        </w:rPr>
        <w:drawing>
          <wp:anchor distT="0" distB="0" distL="114300" distR="114300" simplePos="0" relativeHeight="251663360" behindDoc="1" locked="0" layoutInCell="1" allowOverlap="1">
            <wp:simplePos x="0" y="0"/>
            <wp:positionH relativeFrom="column">
              <wp:posOffset>42545</wp:posOffset>
            </wp:positionH>
            <wp:positionV relativeFrom="paragraph">
              <wp:posOffset>7620</wp:posOffset>
            </wp:positionV>
            <wp:extent cx="5295900" cy="2886075"/>
            <wp:effectExtent l="0" t="0" r="0" b="0"/>
            <wp:wrapTight wrapText="bothSides">
              <wp:wrapPolygon>
                <wp:start x="0" y="285"/>
                <wp:lineTo x="0" y="21386"/>
                <wp:lineTo x="21445" y="21386"/>
                <wp:lineTo x="21445" y="285"/>
                <wp:lineTo x="0" y="285"/>
              </wp:wrapPolygon>
            </wp:wrapTight>
            <wp:docPr id="5" name="图片 5" descr="2022093015433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2093015433006.png"/>
                    <pic:cNvPicPr>
                      <a:picLocks noChangeAspect="1"/>
                    </pic:cNvPicPr>
                  </pic:nvPicPr>
                  <pic:blipFill>
                    <a:blip r:embed="rId8"/>
                    <a:stretch>
                      <a:fillRect/>
                    </a:stretch>
                  </pic:blipFill>
                  <pic:spPr>
                    <a:xfrm>
                      <a:off x="0" y="0"/>
                      <a:ext cx="5295900" cy="2886075"/>
                    </a:xfrm>
                    <a:prstGeom prst="rect">
                      <a:avLst/>
                    </a:prstGeom>
                    <a:noFill/>
                    <a:ln w="9525">
                      <a:noFill/>
                    </a:ln>
                  </pic:spPr>
                </pic:pic>
              </a:graphicData>
            </a:graphic>
          </wp:anchor>
        </w:drawing>
      </w:r>
      <w:r>
        <w:rPr>
          <w:rFonts w:hint="eastAsia" w:ascii="方正仿宋_GB2312" w:hAnsi="方正仿宋_GB2312" w:eastAsia="方正仿宋_GB2312" w:cs="方正仿宋_GB2312"/>
          <w:i w:val="0"/>
          <w:iCs w:val="0"/>
          <w:caps w:val="0"/>
          <w:color w:val="555555"/>
          <w:spacing w:val="0"/>
          <w:sz w:val="32"/>
          <w:szCs w:val="32"/>
          <w:shd w:val="clear" w:fill="FFFFFF"/>
        </w:rPr>
        <w:t>（图5：一般公共预算财政拨款支出决算变动情况）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（二）一般公共预算财政拨款支出决算结构情况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2021年一般公共预算财政拨款支出74.27万元，主要用于以下方面:一般公共服务（类）</w:t>
      </w:r>
      <w:r>
        <w:rPr>
          <w:rFonts w:hint="eastAsia" w:ascii="方正仿宋_GB2312" w:hAnsi="方正仿宋_GB2312" w:eastAsia="方正仿宋_GB2312" w:cs="方正仿宋_GB2312"/>
          <w:i w:val="0"/>
          <w:iCs w:val="0"/>
          <w:caps w:val="0"/>
          <w:color w:val="555555"/>
          <w:spacing w:val="0"/>
          <w:sz w:val="32"/>
          <w:szCs w:val="32"/>
          <w:shd w:val="clear" w:fill="FFFFFF"/>
        </w:rPr>
        <w:t>支出63.84万元，占9</w:t>
      </w:r>
      <w:r>
        <w:rPr>
          <w:rFonts w:hint="eastAsia" w:ascii="方正仿宋_GB2312" w:hAnsi="方正仿宋_GB2312" w:eastAsia="方正仿宋_GB2312" w:cs="方正仿宋_GB2312"/>
          <w:i w:val="0"/>
          <w:iCs w:val="0"/>
          <w:caps w:val="0"/>
          <w:color w:val="000000"/>
          <w:spacing w:val="0"/>
          <w:sz w:val="32"/>
          <w:szCs w:val="32"/>
          <w:shd w:val="clear" w:fill="FFFFFF"/>
        </w:rPr>
        <w:t>2%；社会保障和就业（类）支出5.42万元，占7.2%；卫生健康支出1.71万元，占2.3%；住房保障支出3.3万元，占4.4%。</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jc w:val="both"/>
        <w:rPr>
          <w:rFonts w:hint="eastAsia" w:ascii="方正仿宋_GB2312" w:hAnsi="方正仿宋_GB2312" w:eastAsia="方正仿宋_GB2312" w:cs="方正仿宋_GB2312"/>
          <w:i w:val="0"/>
          <w:iCs w:val="0"/>
          <w:caps w:val="0"/>
          <w:color w:val="555555"/>
          <w:spacing w:val="0"/>
          <w:sz w:val="32"/>
          <w:szCs w:val="32"/>
        </w:rPr>
      </w:pPr>
      <w:r>
        <w:rPr>
          <w:rFonts w:ascii="宋体" w:hAnsi="宋体" w:eastAsia="宋体" w:cs="宋体"/>
          <w:sz w:val="24"/>
          <w:szCs w:val="24"/>
        </w:rPr>
        <w:drawing>
          <wp:anchor distT="0" distB="0" distL="114300" distR="114300" simplePos="0" relativeHeight="251664384" behindDoc="1" locked="0" layoutInCell="1" allowOverlap="1">
            <wp:simplePos x="0" y="0"/>
            <wp:positionH relativeFrom="column">
              <wp:posOffset>446405</wp:posOffset>
            </wp:positionH>
            <wp:positionV relativeFrom="paragraph">
              <wp:posOffset>-2564765</wp:posOffset>
            </wp:positionV>
            <wp:extent cx="4686300" cy="2857500"/>
            <wp:effectExtent l="0" t="0" r="0" b="0"/>
            <wp:wrapTight wrapText="bothSides">
              <wp:wrapPolygon>
                <wp:start x="0" y="288"/>
                <wp:lineTo x="0" y="21456"/>
                <wp:lineTo x="21424" y="21456"/>
                <wp:lineTo x="21424" y="288"/>
                <wp:lineTo x="0" y="288"/>
              </wp:wrapPolygon>
            </wp:wrapTight>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9"/>
                    <a:stretch>
                      <a:fillRect/>
                    </a:stretch>
                  </pic:blipFill>
                  <pic:spPr>
                    <a:xfrm>
                      <a:off x="0" y="0"/>
                      <a:ext cx="4686300" cy="2857500"/>
                    </a:xfrm>
                    <a:prstGeom prst="rect">
                      <a:avLst/>
                    </a:prstGeom>
                    <a:noFill/>
                    <a:ln w="9525">
                      <a:noFill/>
                    </a:ln>
                  </pic:spPr>
                </pic:pic>
              </a:graphicData>
            </a:graphic>
          </wp:anchor>
        </w:drawing>
      </w:r>
      <w:r>
        <w:rPr>
          <w:rFonts w:hint="eastAsia" w:ascii="方正仿宋_GB2312" w:hAnsi="方正仿宋_GB2312" w:eastAsia="方正仿宋_GB2312" w:cs="方正仿宋_GB2312"/>
          <w:i w:val="0"/>
          <w:iCs w:val="0"/>
          <w:caps w:val="0"/>
          <w:color w:val="555555"/>
          <w:spacing w:val="0"/>
          <w:sz w:val="32"/>
          <w:szCs w:val="32"/>
          <w:shd w:val="clear" w:fill="FFFFFF"/>
        </w:rPr>
        <w:drawing>
          <wp:inline distT="0" distB="0" distL="114300" distR="114300">
            <wp:extent cx="304800" cy="304800"/>
            <wp:effectExtent l="0" t="0" r="0" b="0"/>
            <wp:docPr id="6" name="图片 6" descr="202209301543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2093015433001.png"/>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center"/>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555555"/>
          <w:spacing w:val="0"/>
          <w:sz w:val="32"/>
          <w:szCs w:val="32"/>
          <w:shd w:val="clear" w:fill="FFFFFF"/>
        </w:rPr>
        <w:t>（图6：一般公共预算财政拨款支出决算结构）</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（三）一般公共预算财政拨款支出决算具体情况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2021年一般公共预</w:t>
      </w:r>
      <w:r>
        <w:rPr>
          <w:rFonts w:hint="eastAsia" w:ascii="方正仿宋_GB2312" w:hAnsi="方正仿宋_GB2312" w:eastAsia="方正仿宋_GB2312" w:cs="方正仿宋_GB2312"/>
          <w:i w:val="0"/>
          <w:iCs w:val="0"/>
          <w:caps w:val="0"/>
          <w:color w:val="555555"/>
          <w:spacing w:val="0"/>
          <w:sz w:val="32"/>
          <w:szCs w:val="32"/>
          <w:shd w:val="clear" w:fill="FFFFFF"/>
        </w:rPr>
        <w:t>算支出决算数为74.27万元，完成预算99.96%。其中：</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000000"/>
          <w:spacing w:val="0"/>
          <w:sz w:val="32"/>
          <w:szCs w:val="32"/>
          <w:shd w:val="clear" w:fill="FFFFFF"/>
          <w:lang w:val="en-US" w:eastAsia="zh-CN"/>
        </w:rPr>
      </w:pPr>
      <w:r>
        <w:rPr>
          <w:rFonts w:hint="eastAsia" w:ascii="方正仿宋_GB2312" w:hAnsi="方正仿宋_GB2312" w:eastAsia="方正仿宋_GB2312" w:cs="方正仿宋_GB2312"/>
          <w:i w:val="0"/>
          <w:iCs w:val="0"/>
          <w:caps w:val="0"/>
          <w:color w:val="000000"/>
          <w:spacing w:val="0"/>
          <w:sz w:val="32"/>
          <w:szCs w:val="32"/>
          <w:shd w:val="clear" w:fill="FFFFFF"/>
          <w:lang w:val="en-US" w:eastAsia="zh-CN"/>
        </w:rPr>
        <w:t>1.</w:t>
      </w:r>
      <w:r>
        <w:rPr>
          <w:rFonts w:hint="eastAsia" w:ascii="方正仿宋_GB2312" w:hAnsi="方正仿宋_GB2312" w:eastAsia="方正仿宋_GB2312" w:cs="方正仿宋_GB2312"/>
          <w:i w:val="0"/>
          <w:iCs w:val="0"/>
          <w:caps w:val="0"/>
          <w:color w:val="000000"/>
          <w:spacing w:val="0"/>
          <w:sz w:val="32"/>
          <w:szCs w:val="32"/>
          <w:shd w:val="clear" w:fill="FFFFFF"/>
        </w:rPr>
        <w:t>一般公共服务201（类）民主党派及工商联事务28（款）行政运行01（项）: 支出决算为35.99万元，完成预算100%。</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000000"/>
          <w:spacing w:val="0"/>
          <w:sz w:val="32"/>
          <w:szCs w:val="32"/>
          <w:shd w:val="clear" w:fill="FFFFFF"/>
          <w:lang w:val="en-US" w:eastAsia="zh-CN"/>
        </w:rPr>
      </w:pPr>
      <w:r>
        <w:rPr>
          <w:rFonts w:hint="eastAsia" w:ascii="方正仿宋_GB2312" w:hAnsi="方正仿宋_GB2312" w:eastAsia="方正仿宋_GB2312" w:cs="方正仿宋_GB2312"/>
          <w:i w:val="0"/>
          <w:iCs w:val="0"/>
          <w:caps w:val="0"/>
          <w:color w:val="000000"/>
          <w:spacing w:val="0"/>
          <w:sz w:val="32"/>
          <w:szCs w:val="32"/>
          <w:shd w:val="clear" w:fill="FFFFFF"/>
          <w:lang w:val="en-US" w:eastAsia="zh-CN"/>
        </w:rPr>
        <w:t>2.一般公共服务201（类）民主党派及工商联事务28（款）一般行政管理事务02（项）: 支出决算为27.85万元，完成预算100%。</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000000"/>
          <w:spacing w:val="0"/>
          <w:kern w:val="0"/>
          <w:sz w:val="32"/>
          <w:szCs w:val="32"/>
          <w:shd w:val="clear" w:fill="FFFFFF"/>
          <w:lang w:val="en-US" w:eastAsia="zh-CN" w:bidi="ar"/>
        </w:rPr>
      </w:pPr>
      <w:r>
        <w:rPr>
          <w:rFonts w:hint="eastAsia" w:ascii="方正仿宋_GB2312" w:hAnsi="方正仿宋_GB2312" w:eastAsia="方正仿宋_GB2312" w:cs="方正仿宋_GB2312"/>
          <w:i w:val="0"/>
          <w:iCs w:val="0"/>
          <w:caps w:val="0"/>
          <w:color w:val="000000"/>
          <w:spacing w:val="0"/>
          <w:sz w:val="32"/>
          <w:szCs w:val="32"/>
          <w:shd w:val="clear" w:fill="FFFFFF"/>
          <w:lang w:val="en-US" w:eastAsia="zh-CN"/>
        </w:rPr>
        <w:t>3.社会保障和就业208（类）行政事业单位养老05（款）机关事业单位基本养老保险缴费支出（项）:支出决算为3.44万元，完成预算100%。</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000000"/>
          <w:spacing w:val="0"/>
          <w:kern w:val="0"/>
          <w:sz w:val="32"/>
          <w:szCs w:val="32"/>
          <w:shd w:val="clear" w:fill="FFFFFF"/>
          <w:lang w:val="en-US" w:eastAsia="zh-CN" w:bidi="ar"/>
        </w:rPr>
      </w:pPr>
      <w:r>
        <w:rPr>
          <w:rFonts w:hint="eastAsia" w:ascii="方正仿宋_GB2312" w:hAnsi="方正仿宋_GB2312" w:eastAsia="方正仿宋_GB2312" w:cs="方正仿宋_GB2312"/>
          <w:i w:val="0"/>
          <w:iCs w:val="0"/>
          <w:caps w:val="0"/>
          <w:color w:val="000000"/>
          <w:spacing w:val="0"/>
          <w:sz w:val="32"/>
          <w:szCs w:val="32"/>
          <w:shd w:val="clear" w:fill="FFFFFF"/>
          <w:lang w:val="en-US" w:eastAsia="zh-CN"/>
        </w:rPr>
        <w:t>4.社会保障和就业208（类）其他社会保障和就业支出99（款）其他社会保障和就业支出99（项）: 支出决算为1.98万元，完成预算100%。</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000000"/>
          <w:spacing w:val="0"/>
          <w:kern w:val="0"/>
          <w:sz w:val="32"/>
          <w:szCs w:val="32"/>
          <w:shd w:val="clear" w:fill="FFFFFF"/>
          <w:lang w:val="en-US" w:eastAsia="zh-CN" w:bidi="ar"/>
        </w:rPr>
      </w:pPr>
      <w:r>
        <w:rPr>
          <w:rFonts w:hint="eastAsia" w:ascii="方正仿宋_GB2312" w:hAnsi="方正仿宋_GB2312" w:eastAsia="方正仿宋_GB2312" w:cs="方正仿宋_GB2312"/>
          <w:i w:val="0"/>
          <w:iCs w:val="0"/>
          <w:caps w:val="0"/>
          <w:color w:val="000000"/>
          <w:spacing w:val="0"/>
          <w:sz w:val="32"/>
          <w:szCs w:val="32"/>
          <w:shd w:val="clear" w:fill="FFFFFF"/>
          <w:lang w:val="en-US" w:eastAsia="zh-CN"/>
        </w:rPr>
        <w:t>5.卫生健康210（类）行政事业单位医疗11（款）行政单位医疗01（项）:支出决算为1.71万元，完成预算100%。</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lang w:val="en-US" w:eastAsia="zh-CN"/>
        </w:rPr>
        <w:t>6.住房保障221（类）住房改革支出02（款）住房公积金01（项）:支出决算数为3.3万元，完成预算100%。</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Fonts w:hint="eastAsia" w:ascii="方正仿宋_GB2312" w:hAnsi="方正仿宋_GB2312" w:eastAsia="方正仿宋_GB2312" w:cs="方正仿宋_GB2312"/>
          <w:i w:val="0"/>
          <w:iCs w:val="0"/>
          <w:caps w:val="0"/>
          <w:color w:val="000000"/>
          <w:spacing w:val="0"/>
          <w:kern w:val="0"/>
          <w:sz w:val="32"/>
          <w:szCs w:val="32"/>
          <w:shd w:val="clear" w:fill="FFFFFF"/>
          <w:lang w:val="en-US" w:eastAsia="zh-CN" w:bidi="ar"/>
        </w:rPr>
      </w:pPr>
      <w:r>
        <w:rPr>
          <w:rStyle w:val="8"/>
          <w:rFonts w:hint="eastAsia" w:ascii="方正仿宋_GB2312" w:hAnsi="方正仿宋_GB2312" w:eastAsia="方正仿宋_GB2312" w:cs="方正仿宋_GB2312"/>
          <w:b/>
          <w:bCs/>
          <w:i w:val="0"/>
          <w:iCs w:val="0"/>
          <w:caps w:val="0"/>
          <w:color w:val="000000"/>
          <w:spacing w:val="0"/>
          <w:sz w:val="32"/>
          <w:szCs w:val="32"/>
          <w:shd w:val="clear" w:fill="FFFFFF"/>
        </w:rPr>
        <w:t>六、一般公共预算财政拨款基本支出决算情况说明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textAlignment w:val="auto"/>
        <w:rPr>
          <w:rFonts w:hint="eastAsia" w:ascii="方正仿宋_GB2312" w:hAnsi="方正仿宋_GB2312" w:eastAsia="方正仿宋_GB2312" w:cs="方正仿宋_GB2312"/>
          <w:i w:val="0"/>
          <w:iCs w:val="0"/>
          <w:caps w:val="0"/>
          <w:color w:val="000000"/>
          <w:spacing w:val="0"/>
          <w:kern w:val="0"/>
          <w:sz w:val="32"/>
          <w:szCs w:val="32"/>
          <w:shd w:val="clear" w:fill="FFFFFF"/>
          <w:lang w:val="en-US" w:eastAsia="zh-CN" w:bidi="ar"/>
        </w:rPr>
      </w:pPr>
      <w:r>
        <w:rPr>
          <w:rFonts w:hint="eastAsia" w:ascii="方正仿宋_GB2312" w:hAnsi="方正仿宋_GB2312" w:eastAsia="方正仿宋_GB2312" w:cs="方正仿宋_GB2312"/>
          <w:i w:val="0"/>
          <w:iCs w:val="0"/>
          <w:caps w:val="0"/>
          <w:color w:val="000000"/>
          <w:spacing w:val="0"/>
          <w:kern w:val="0"/>
          <w:sz w:val="32"/>
          <w:szCs w:val="32"/>
          <w:shd w:val="clear" w:fill="FFFFFF"/>
          <w:lang w:val="en-US" w:eastAsia="zh-CN" w:bidi="ar"/>
        </w:rPr>
        <w:t>2021年一般公共预算财政拨款基本支出46.42万元，其中：</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textAlignment w:val="auto"/>
        <w:rPr>
          <w:rFonts w:hint="eastAsia" w:ascii="方正仿宋_GB2312" w:hAnsi="方正仿宋_GB2312" w:eastAsia="方正仿宋_GB2312" w:cs="方正仿宋_GB2312"/>
          <w:i w:val="0"/>
          <w:iCs w:val="0"/>
          <w:caps w:val="0"/>
          <w:color w:val="000000"/>
          <w:spacing w:val="0"/>
          <w:kern w:val="0"/>
          <w:sz w:val="32"/>
          <w:szCs w:val="32"/>
          <w:shd w:val="clear" w:fill="FFFFFF"/>
          <w:lang w:val="en-US" w:eastAsia="zh-CN" w:bidi="ar"/>
        </w:rPr>
      </w:pPr>
      <w:r>
        <w:rPr>
          <w:rFonts w:hint="eastAsia" w:ascii="方正仿宋_GB2312" w:hAnsi="方正仿宋_GB2312" w:eastAsia="方正仿宋_GB2312" w:cs="方正仿宋_GB2312"/>
          <w:i w:val="0"/>
          <w:iCs w:val="0"/>
          <w:caps w:val="0"/>
          <w:color w:val="000000"/>
          <w:spacing w:val="0"/>
          <w:kern w:val="0"/>
          <w:sz w:val="32"/>
          <w:szCs w:val="32"/>
          <w:shd w:val="clear" w:fill="FFFFFF"/>
          <w:lang w:val="en-US" w:eastAsia="zh-CN" w:bidi="ar"/>
        </w:rPr>
        <w:t>人员经费39.69万元，主要包括：主要包括：基本工资、津贴补贴、奖金、机关事业单位基本养老保险缴费、职工基本医疗保险缴费、其他工资福利支出、生活补助、住房公积金。</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kern w:val="0"/>
          <w:sz w:val="32"/>
          <w:szCs w:val="32"/>
          <w:shd w:val="clear" w:fill="FFFFFF"/>
          <w:lang w:val="en-US" w:eastAsia="zh-CN" w:bidi="ar"/>
        </w:rPr>
        <w:t>公用经费6.73万元，主要包括：办公费、手续费、水费、电费、邮电费、物业管理费、维修（护）费、公务接待费、劳务费、委托业务费、工会经费、福利费、其他交通费、其他商品和服务支出等。</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Fonts w:hint="eastAsia" w:ascii="方正仿宋_GB2312" w:hAnsi="方正仿宋_GB2312" w:eastAsia="方正仿宋_GB2312" w:cs="方正仿宋_GB2312"/>
          <w:b/>
          <w:bCs/>
          <w:i w:val="0"/>
          <w:iCs w:val="0"/>
          <w:caps w:val="0"/>
          <w:color w:val="000000"/>
          <w:spacing w:val="0"/>
          <w:kern w:val="0"/>
          <w:sz w:val="32"/>
          <w:szCs w:val="32"/>
          <w:shd w:val="clear" w:fill="FFFFFF"/>
          <w:lang w:val="en-US" w:eastAsia="zh-CN" w:bidi="ar"/>
        </w:rPr>
      </w:pPr>
      <w:r>
        <w:rPr>
          <w:rStyle w:val="8"/>
          <w:rFonts w:hint="eastAsia" w:ascii="方正仿宋_GB2312" w:hAnsi="方正仿宋_GB2312" w:eastAsia="方正仿宋_GB2312" w:cs="方正仿宋_GB2312"/>
          <w:b/>
          <w:bCs/>
          <w:i w:val="0"/>
          <w:iCs w:val="0"/>
          <w:caps w:val="0"/>
          <w:color w:val="000000"/>
          <w:spacing w:val="0"/>
          <w:sz w:val="32"/>
          <w:szCs w:val="32"/>
          <w:shd w:val="clear" w:fill="FFFFFF"/>
        </w:rPr>
        <w:t>七、“三公”经费财政拨款支出决算情况说明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textAlignment w:val="auto"/>
        <w:rPr>
          <w:rFonts w:hint="eastAsia" w:ascii="方正仿宋_GB2312" w:hAnsi="方正仿宋_GB2312" w:eastAsia="方正仿宋_GB2312" w:cs="方正仿宋_GB2312"/>
          <w:i w:val="0"/>
          <w:iCs w:val="0"/>
          <w:caps w:val="0"/>
          <w:color w:val="000000"/>
          <w:spacing w:val="0"/>
          <w:kern w:val="0"/>
          <w:sz w:val="32"/>
          <w:szCs w:val="32"/>
          <w:shd w:val="clear" w:fill="FFFFFF"/>
          <w:lang w:val="en-US" w:eastAsia="zh-CN" w:bidi="ar"/>
        </w:rPr>
      </w:pPr>
      <w:r>
        <w:rPr>
          <w:rFonts w:hint="eastAsia" w:ascii="方正仿宋_GB2312" w:hAnsi="方正仿宋_GB2312" w:eastAsia="方正仿宋_GB2312" w:cs="方正仿宋_GB2312"/>
          <w:b/>
          <w:bCs/>
          <w:i w:val="0"/>
          <w:iCs w:val="0"/>
          <w:caps w:val="0"/>
          <w:color w:val="000000"/>
          <w:spacing w:val="0"/>
          <w:kern w:val="0"/>
          <w:sz w:val="32"/>
          <w:szCs w:val="32"/>
          <w:shd w:val="clear" w:fill="FFFFFF"/>
          <w:lang w:val="en-US" w:eastAsia="zh-CN" w:bidi="ar"/>
        </w:rPr>
        <w:t>（一）“三公”经费财政拨款支出决算总体情况说明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kern w:val="0"/>
          <w:sz w:val="32"/>
          <w:szCs w:val="32"/>
          <w:shd w:val="clear" w:fill="FFFFFF"/>
          <w:lang w:val="en-US" w:eastAsia="zh-CN" w:bidi="ar"/>
        </w:rPr>
        <w:t>2021年“三公”经费财政拨款支出决算为2.24万元，完成预算87.16%。决算数小于预算数的主要原因是受新冠疫情的影响，相关工作未能如期开展，另进一步落实相关文件精神，严格公务接待标准和管理审核。</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i w:val="0"/>
          <w:iCs w:val="0"/>
          <w:caps w:val="0"/>
          <w:color w:val="000000"/>
          <w:spacing w:val="0"/>
          <w:kern w:val="0"/>
          <w:sz w:val="32"/>
          <w:szCs w:val="32"/>
          <w:shd w:val="clear" w:fill="FFFFFF"/>
          <w:lang w:val="en-US" w:eastAsia="zh-CN" w:bidi="ar"/>
        </w:rPr>
        <w:t>（二）“三公”经费财政拨款支出决算具体情况说明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textAlignment w:val="auto"/>
        <w:rPr>
          <w:rFonts w:hint="eastAsia" w:ascii="方正仿宋_GB2312" w:hAnsi="方正仿宋_GB2312" w:eastAsia="方正仿宋_GB2312" w:cs="方正仿宋_GB2312"/>
          <w:i w:val="0"/>
          <w:iCs w:val="0"/>
          <w:caps w:val="0"/>
          <w:color w:val="000000"/>
          <w:spacing w:val="0"/>
          <w:kern w:val="0"/>
          <w:sz w:val="32"/>
          <w:szCs w:val="32"/>
          <w:shd w:val="clear" w:fill="FFFFFF"/>
          <w:lang w:val="en-US" w:eastAsia="zh-CN" w:bidi="ar"/>
        </w:rPr>
      </w:pPr>
      <w:r>
        <w:rPr>
          <w:rFonts w:hint="eastAsia" w:ascii="方正仿宋_GB2312" w:hAnsi="方正仿宋_GB2312" w:eastAsia="方正仿宋_GB2312" w:cs="方正仿宋_GB2312"/>
          <w:i w:val="0"/>
          <w:iCs w:val="0"/>
          <w:caps w:val="0"/>
          <w:color w:val="555555"/>
          <w:spacing w:val="0"/>
          <w:sz w:val="32"/>
          <w:szCs w:val="32"/>
          <w:shd w:val="clear" w:fill="FFFFFF"/>
        </w:rPr>
        <w:drawing>
          <wp:anchor distT="0" distB="0" distL="114300" distR="114300" simplePos="0" relativeHeight="251666432" behindDoc="1" locked="0" layoutInCell="1" allowOverlap="1">
            <wp:simplePos x="0" y="0"/>
            <wp:positionH relativeFrom="column">
              <wp:posOffset>-35560</wp:posOffset>
            </wp:positionH>
            <wp:positionV relativeFrom="paragraph">
              <wp:posOffset>1591945</wp:posOffset>
            </wp:positionV>
            <wp:extent cx="4467225" cy="495300"/>
            <wp:effectExtent l="0" t="0" r="9525" b="0"/>
            <wp:wrapTight wrapText="bothSides">
              <wp:wrapPolygon>
                <wp:start x="0" y="0"/>
                <wp:lineTo x="0" y="20769"/>
                <wp:lineTo x="21554" y="20769"/>
                <wp:lineTo x="21554" y="0"/>
                <wp:lineTo x="0" y="0"/>
              </wp:wrapPolygon>
            </wp:wrapTight>
            <wp:docPr id="7" name="图片 7" descr="2022093015433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2093015433002.png"/>
                    <pic:cNvPicPr>
                      <a:picLocks noChangeAspect="1"/>
                    </pic:cNvPicPr>
                  </pic:nvPicPr>
                  <pic:blipFill>
                    <a:blip r:embed="rId11"/>
                    <a:stretch>
                      <a:fillRect/>
                    </a:stretch>
                  </pic:blipFill>
                  <pic:spPr>
                    <a:xfrm>
                      <a:off x="0" y="0"/>
                      <a:ext cx="4467225" cy="495300"/>
                    </a:xfrm>
                    <a:prstGeom prst="rect">
                      <a:avLst/>
                    </a:prstGeom>
                    <a:noFill/>
                    <a:ln w="9525">
                      <a:noFill/>
                    </a:ln>
                  </pic:spPr>
                </pic:pic>
              </a:graphicData>
            </a:graphic>
          </wp:anchor>
        </w:drawing>
      </w:r>
      <w:r>
        <w:rPr>
          <w:rFonts w:hint="eastAsia" w:ascii="方正仿宋_GB2312" w:hAnsi="方正仿宋_GB2312" w:eastAsia="方正仿宋_GB2312" w:cs="方正仿宋_GB2312"/>
          <w:i w:val="0"/>
          <w:iCs w:val="0"/>
          <w:caps w:val="0"/>
          <w:color w:val="000000"/>
          <w:spacing w:val="0"/>
          <w:kern w:val="0"/>
          <w:sz w:val="32"/>
          <w:szCs w:val="32"/>
          <w:shd w:val="clear" w:fill="FFFFFF"/>
          <w:lang w:val="en-US" w:eastAsia="zh-CN" w:bidi="ar"/>
        </w:rPr>
        <w:t>2021年“三公”经费财政拨款支出决算中，因公出国（境）费支出决算0万元，占0%；公务用车购置及运行维护费支出决算0万元，占0%；公务接待费支出决算2.24万元，占100%。具体情况如下：</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1" w:after="0" w:afterAutospacing="1" w:line="576" w:lineRule="exact"/>
        <w:ind w:left="11530" w:firstLine="640" w:firstLineChars="20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555555"/>
          <w:spacing w:val="0"/>
          <w:sz w:val="32"/>
          <w:szCs w:val="32"/>
          <w:shd w:val="clear" w:fill="FFFFFF"/>
        </w:rPr>
        <w:drawing>
          <wp:anchor distT="0" distB="0" distL="114300" distR="114300" simplePos="0" relativeHeight="251665408" behindDoc="1" locked="0" layoutInCell="1" allowOverlap="1">
            <wp:simplePos x="0" y="0"/>
            <wp:positionH relativeFrom="column">
              <wp:posOffset>-4457700</wp:posOffset>
            </wp:positionH>
            <wp:positionV relativeFrom="paragraph">
              <wp:posOffset>477520</wp:posOffset>
            </wp:positionV>
            <wp:extent cx="4686300" cy="2857500"/>
            <wp:effectExtent l="0" t="0" r="0" b="0"/>
            <wp:wrapTight wrapText="bothSides">
              <wp:wrapPolygon>
                <wp:start x="0" y="288"/>
                <wp:lineTo x="0" y="21456"/>
                <wp:lineTo x="21424" y="21456"/>
                <wp:lineTo x="21424" y="288"/>
                <wp:lineTo x="0" y="288"/>
              </wp:wrapPolygon>
            </wp:wrapTight>
            <wp:docPr id="8" name="图片 8" descr="2022093015433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2093015433105.png"/>
                    <pic:cNvPicPr>
                      <a:picLocks noChangeAspect="1"/>
                    </pic:cNvPicPr>
                  </pic:nvPicPr>
                  <pic:blipFill>
                    <a:blip r:embed="rId12"/>
                    <a:stretch>
                      <a:fillRect/>
                    </a:stretch>
                  </pic:blipFill>
                  <pic:spPr>
                    <a:xfrm>
                      <a:off x="0" y="0"/>
                      <a:ext cx="4686300" cy="2857500"/>
                    </a:xfrm>
                    <a:prstGeom prst="rect">
                      <a:avLst/>
                    </a:prstGeom>
                    <a:noFill/>
                    <a:ln w="9525">
                      <a:noFill/>
                    </a:ln>
                  </pic:spPr>
                </pic:pic>
              </a:graphicData>
            </a:graphic>
          </wp:anchor>
        </w:drawing>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center"/>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B0F0"/>
          <w:spacing w:val="0"/>
          <w:sz w:val="32"/>
          <w:szCs w:val="32"/>
          <w:shd w:val="clear" w:fill="FFFFFF"/>
        </w:rPr>
        <w:t>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center"/>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555555"/>
          <w:spacing w:val="0"/>
          <w:sz w:val="32"/>
          <w:szCs w:val="32"/>
          <w:shd w:val="clear" w:fill="FFFFFF"/>
        </w:rPr>
        <w:t>（图7：“三公”经费财政拨款支出结构）</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1.因公出国（境）经费支出0万元，年初未安排预算。因公出国（境）支出决算较2020年无变化。</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000000"/>
          <w:spacing w:val="0"/>
          <w:sz w:val="32"/>
          <w:szCs w:val="32"/>
          <w:shd w:val="clear" w:fill="FFFFFF"/>
        </w:rPr>
      </w:pPr>
      <w:r>
        <w:rPr>
          <w:rFonts w:hint="eastAsia" w:ascii="方正仿宋_GB2312" w:hAnsi="方正仿宋_GB2312" w:eastAsia="方正仿宋_GB2312" w:cs="方正仿宋_GB2312"/>
          <w:i w:val="0"/>
          <w:iCs w:val="0"/>
          <w:caps w:val="0"/>
          <w:color w:val="000000"/>
          <w:spacing w:val="0"/>
          <w:sz w:val="32"/>
          <w:szCs w:val="32"/>
          <w:shd w:val="clear" w:fill="FFFFFF"/>
        </w:rPr>
        <w:t>2.公务用车购置及运行维护费支出0万元。年初未安排预算，与2020年相比持平。</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000000"/>
          <w:spacing w:val="0"/>
          <w:sz w:val="32"/>
          <w:szCs w:val="32"/>
          <w:shd w:val="clear" w:fill="FFFFFF"/>
        </w:rPr>
      </w:pPr>
      <w:r>
        <w:rPr>
          <w:rFonts w:hint="eastAsia" w:ascii="方正仿宋_GB2312" w:hAnsi="方正仿宋_GB2312" w:eastAsia="方正仿宋_GB2312" w:cs="方正仿宋_GB2312"/>
          <w:i w:val="0"/>
          <w:iCs w:val="0"/>
          <w:caps w:val="0"/>
          <w:color w:val="000000"/>
          <w:spacing w:val="0"/>
          <w:sz w:val="32"/>
          <w:szCs w:val="32"/>
          <w:shd w:val="clear" w:fill="FFFFFF"/>
        </w:rPr>
        <w:t>3.公务接待费支出2.24万元，完成预算100%。公务接待费支出决算比2020年增加1.92万元，增长600%。主要原因是2021年是市“九广合作”35周年，市外九三学社组织来广开展九广合作工作量增加。</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000000"/>
          <w:spacing w:val="0"/>
          <w:sz w:val="32"/>
          <w:szCs w:val="32"/>
          <w:shd w:val="clear" w:fill="FFFFFF"/>
        </w:rPr>
      </w:pPr>
      <w:r>
        <w:rPr>
          <w:rFonts w:hint="eastAsia" w:ascii="方正仿宋_GB2312" w:hAnsi="方正仿宋_GB2312" w:eastAsia="方正仿宋_GB2312" w:cs="方正仿宋_GB2312"/>
          <w:i w:val="0"/>
          <w:iCs w:val="0"/>
          <w:caps w:val="0"/>
          <w:color w:val="000000"/>
          <w:spacing w:val="0"/>
          <w:sz w:val="32"/>
          <w:szCs w:val="32"/>
          <w:shd w:val="clear" w:fill="FFFFFF"/>
        </w:rPr>
        <w:t>国内公务接待支出2.24万元，主要用于开展公务活动交流(执行公务、开展业务活动开支的交通费、住宿费、用餐费等)。国内公务接待13批次，200余人次（不包括陪同人员），共计支出2.24万元，具体内容包括：九三学社各级组织来广考察调研。</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000000"/>
          <w:spacing w:val="0"/>
          <w:sz w:val="32"/>
          <w:szCs w:val="32"/>
          <w:shd w:val="clear" w:fill="FFFFFF"/>
        </w:rPr>
      </w:pPr>
      <w:r>
        <w:rPr>
          <w:rFonts w:hint="eastAsia" w:ascii="方正仿宋_GB2312" w:hAnsi="方正仿宋_GB2312" w:eastAsia="方正仿宋_GB2312" w:cs="方正仿宋_GB2312"/>
          <w:i w:val="0"/>
          <w:iCs w:val="0"/>
          <w:caps w:val="0"/>
          <w:color w:val="000000"/>
          <w:spacing w:val="0"/>
          <w:sz w:val="32"/>
          <w:szCs w:val="32"/>
          <w:shd w:val="clear" w:fill="FFFFFF"/>
        </w:rPr>
        <w:t>外事接待支出0万元。</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Style w:val="8"/>
          <w:rFonts w:hint="eastAsia" w:ascii="方正仿宋_GB2312" w:hAnsi="方正仿宋_GB2312" w:eastAsia="方正仿宋_GB2312" w:cs="方正仿宋_GB2312"/>
          <w:b/>
          <w:bCs/>
          <w:i w:val="0"/>
          <w:iCs w:val="0"/>
          <w:caps w:val="0"/>
          <w:color w:val="000000"/>
          <w:spacing w:val="0"/>
          <w:sz w:val="32"/>
          <w:szCs w:val="32"/>
          <w:shd w:val="clear" w:fill="FFFFFF"/>
        </w:rPr>
      </w:pPr>
      <w:r>
        <w:rPr>
          <w:rStyle w:val="8"/>
          <w:rFonts w:hint="eastAsia" w:ascii="方正仿宋_GB2312" w:hAnsi="方正仿宋_GB2312" w:eastAsia="方正仿宋_GB2312" w:cs="方正仿宋_GB2312"/>
          <w:b/>
          <w:bCs/>
          <w:i w:val="0"/>
          <w:iCs w:val="0"/>
          <w:caps w:val="0"/>
          <w:color w:val="000000"/>
          <w:spacing w:val="0"/>
          <w:sz w:val="32"/>
          <w:szCs w:val="32"/>
          <w:shd w:val="clear" w:fill="FFFFFF"/>
        </w:rPr>
        <w:t>八、政府性基金预算支出决算情况说明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2021年政府性基金预算财政拨款支出0万元。</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Style w:val="8"/>
          <w:rFonts w:hint="eastAsia" w:ascii="方正仿宋_GB2312" w:hAnsi="方正仿宋_GB2312" w:eastAsia="方正仿宋_GB2312" w:cs="方正仿宋_GB2312"/>
          <w:b/>
          <w:bCs/>
          <w:i w:val="0"/>
          <w:iCs w:val="0"/>
          <w:caps w:val="0"/>
          <w:color w:val="000000"/>
          <w:spacing w:val="0"/>
          <w:sz w:val="32"/>
          <w:szCs w:val="32"/>
          <w:shd w:val="clear" w:fill="FFFFFF"/>
        </w:rPr>
      </w:pPr>
      <w:r>
        <w:rPr>
          <w:rStyle w:val="8"/>
          <w:rFonts w:hint="eastAsia" w:ascii="方正仿宋_GB2312" w:hAnsi="方正仿宋_GB2312" w:eastAsia="方正仿宋_GB2312" w:cs="方正仿宋_GB2312"/>
          <w:b/>
          <w:bCs/>
          <w:i w:val="0"/>
          <w:iCs w:val="0"/>
          <w:caps w:val="0"/>
          <w:color w:val="000000"/>
          <w:spacing w:val="0"/>
          <w:sz w:val="32"/>
          <w:szCs w:val="32"/>
          <w:shd w:val="clear" w:fill="FFFFFF"/>
        </w:rPr>
        <w:t>九、国有资本经营预算支出决算情况说明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2021年国有资本经营预算财政拨款支出0万元。</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Style w:val="8"/>
          <w:rFonts w:hint="eastAsia" w:ascii="方正仿宋_GB2312" w:hAnsi="方正仿宋_GB2312" w:eastAsia="方正仿宋_GB2312" w:cs="方正仿宋_GB2312"/>
          <w:b/>
          <w:bCs/>
          <w:i w:val="0"/>
          <w:iCs w:val="0"/>
          <w:caps w:val="0"/>
          <w:color w:val="000000"/>
          <w:spacing w:val="0"/>
          <w:sz w:val="32"/>
          <w:szCs w:val="32"/>
          <w:shd w:val="clear" w:fill="FFFFFF"/>
        </w:rPr>
      </w:pPr>
      <w:r>
        <w:rPr>
          <w:rStyle w:val="8"/>
          <w:rFonts w:hint="eastAsia" w:ascii="方正仿宋_GB2312" w:hAnsi="方正仿宋_GB2312" w:eastAsia="方正仿宋_GB2312" w:cs="方正仿宋_GB2312"/>
          <w:b/>
          <w:bCs/>
          <w:i w:val="0"/>
          <w:iCs w:val="0"/>
          <w:caps w:val="0"/>
          <w:color w:val="000000"/>
          <w:spacing w:val="0"/>
          <w:sz w:val="32"/>
          <w:szCs w:val="32"/>
          <w:shd w:val="clear" w:fill="FFFFFF"/>
        </w:rPr>
        <w:t>十、预算绩效管理情况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根据预算绩效管理要求，本单位在2021年度预算编制阶段，组织对民主党派专项工作1个项目开展了预算事前绩效评估，对该项目编制了绩效目标，预算执行过程中，选取该项目开展绩效监控，年终执行完毕后，对该项目开展了绩效自评，2021年部门预算项目绩效目标自评表见附件（第四部分）。</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b/>
          <w:bCs/>
          <w:i w:val="0"/>
          <w:iCs w:val="0"/>
          <w:caps w:val="0"/>
          <w:color w:val="000000"/>
          <w:spacing w:val="0"/>
          <w:sz w:val="32"/>
          <w:szCs w:val="32"/>
          <w:shd w:val="clear" w:fill="FFFFFF"/>
        </w:rPr>
        <w:t>十一、</w:t>
      </w:r>
      <w:r>
        <w:rPr>
          <w:rStyle w:val="8"/>
          <w:rFonts w:hint="eastAsia" w:ascii="方正仿宋_GB2312" w:hAnsi="方正仿宋_GB2312" w:eastAsia="方正仿宋_GB2312" w:cs="方正仿宋_GB2312"/>
          <w:b/>
          <w:bCs/>
          <w:i w:val="0"/>
          <w:iCs w:val="0"/>
          <w:caps w:val="0"/>
          <w:color w:val="000000"/>
          <w:spacing w:val="0"/>
          <w:sz w:val="32"/>
          <w:szCs w:val="32"/>
          <w:shd w:val="clear" w:fill="FFFFFF"/>
        </w:rPr>
        <w:t>其他重要事项的情况说明</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（一）机关运行经费支出情况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2021年，九三学社广元市委机关运行经费支出6.73万元，比2020年增加3.25万元，增长93%。主要原因是2021年是换届之年工作量增加，相应工作经费收入与支出增加。</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（二）政府采购支出情况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9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555555"/>
          <w:spacing w:val="0"/>
          <w:sz w:val="32"/>
          <w:szCs w:val="32"/>
          <w:shd w:val="clear" w:fill="FFFFFF"/>
        </w:rPr>
        <w:t>2021年，九三学社广元市委政府采购支出总额0万元</w:t>
      </w:r>
      <w:r>
        <w:rPr>
          <w:rFonts w:hint="eastAsia" w:ascii="方正仿宋_GB2312" w:hAnsi="方正仿宋_GB2312" w:eastAsia="方正仿宋_GB2312" w:cs="方正仿宋_GB2312"/>
          <w:i w:val="0"/>
          <w:iCs w:val="0"/>
          <w:caps w:val="0"/>
          <w:color w:val="00B0F0"/>
          <w:spacing w:val="0"/>
          <w:sz w:val="32"/>
          <w:szCs w:val="32"/>
          <w:shd w:val="clear" w:fill="FFFFFF"/>
        </w:rPr>
        <w:t>。</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555555"/>
          <w:spacing w:val="0"/>
          <w:sz w:val="32"/>
          <w:szCs w:val="32"/>
          <w:shd w:val="clear" w:fill="FFFFFF"/>
        </w:rPr>
        <w:t>（三）国有资产占有使用情况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9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555555"/>
          <w:spacing w:val="0"/>
          <w:sz w:val="32"/>
          <w:szCs w:val="32"/>
          <w:shd w:val="clear" w:fill="FFFFFF"/>
        </w:rPr>
        <w:t>截至2021年12月31日，九三学社广元市委共有车辆0辆，单价50万元以上通用设备0台（套），单价100万元以上专用设备0台（套）。</w:t>
      </w:r>
      <w:r>
        <w:rPr>
          <w:rFonts w:hint="eastAsia" w:ascii="方正仿宋_GB2312" w:hAnsi="方正仿宋_GB2312" w:eastAsia="方正仿宋_GB2312" w:cs="方正仿宋_GB2312"/>
          <w:i w:val="0"/>
          <w:iCs w:val="0"/>
          <w:caps w:val="0"/>
          <w:color w:val="000000"/>
          <w:spacing w:val="0"/>
          <w:sz w:val="32"/>
          <w:szCs w:val="32"/>
          <w:shd w:val="clear" w:fill="FFFFFF"/>
        </w:rPr>
        <w:t>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9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9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723" w:firstLineChars="200"/>
        <w:jc w:val="center"/>
        <w:rPr>
          <w:rFonts w:hint="eastAsia" w:ascii="方正仿宋_GB2312" w:hAnsi="方正仿宋_GB2312" w:eastAsia="方正仿宋_GB2312" w:cs="方正仿宋_GB2312"/>
          <w:b/>
          <w:bCs/>
          <w:i w:val="0"/>
          <w:iCs w:val="0"/>
          <w:caps w:val="0"/>
          <w:color w:val="555555"/>
          <w:spacing w:val="0"/>
          <w:sz w:val="36"/>
          <w:szCs w:val="36"/>
          <w:shd w:val="clear" w:fill="FFFFFF"/>
        </w:rPr>
      </w:pPr>
      <w:r>
        <w:rPr>
          <w:rFonts w:hint="eastAsia" w:ascii="方正仿宋_GB2312" w:hAnsi="方正仿宋_GB2312" w:eastAsia="方正仿宋_GB2312" w:cs="方正仿宋_GB2312"/>
          <w:b/>
          <w:bCs/>
          <w:i w:val="0"/>
          <w:iCs w:val="0"/>
          <w:caps w:val="0"/>
          <w:color w:val="555555"/>
          <w:spacing w:val="0"/>
          <w:sz w:val="36"/>
          <w:szCs w:val="36"/>
          <w:shd w:val="clear" w:fill="FFFFFF"/>
        </w:rPr>
        <w:t>第三部分 名词解释</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1.财政拨款收入：</w:t>
      </w:r>
      <w:r>
        <w:rPr>
          <w:rFonts w:hint="eastAsia" w:ascii="方正仿宋_GB2312" w:hAnsi="方正仿宋_GB2312" w:eastAsia="方正仿宋_GB2312" w:cs="方正仿宋_GB2312"/>
          <w:i w:val="0"/>
          <w:iCs w:val="0"/>
          <w:caps w:val="0"/>
          <w:color w:val="555555"/>
          <w:spacing w:val="0"/>
          <w:sz w:val="32"/>
          <w:szCs w:val="32"/>
          <w:shd w:val="clear" w:fill="FFFFFF"/>
        </w:rPr>
        <w:t>指单位从同级财政部门取得的财政预算资金。</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2.其他收入：</w:t>
      </w:r>
      <w:r>
        <w:rPr>
          <w:rFonts w:hint="eastAsia" w:ascii="方正仿宋_GB2312" w:hAnsi="方正仿宋_GB2312" w:eastAsia="方正仿宋_GB2312" w:cs="方正仿宋_GB2312"/>
          <w:i w:val="0"/>
          <w:iCs w:val="0"/>
          <w:caps w:val="0"/>
          <w:color w:val="555555"/>
          <w:spacing w:val="0"/>
          <w:sz w:val="32"/>
          <w:szCs w:val="32"/>
          <w:shd w:val="clear" w:fill="FFFFFF"/>
        </w:rPr>
        <w:t>指单位取得的除上述收入以外的各项收入。如，利息收入。</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3.年初结转和结余：</w:t>
      </w:r>
      <w:r>
        <w:rPr>
          <w:rFonts w:hint="eastAsia" w:ascii="方正仿宋_GB2312" w:hAnsi="方正仿宋_GB2312" w:eastAsia="方正仿宋_GB2312" w:cs="方正仿宋_GB2312"/>
          <w:i w:val="0"/>
          <w:iCs w:val="0"/>
          <w:caps w:val="0"/>
          <w:color w:val="555555"/>
          <w:spacing w:val="0"/>
          <w:sz w:val="32"/>
          <w:szCs w:val="32"/>
          <w:shd w:val="clear" w:fill="FFFFFF"/>
        </w:rPr>
        <w:t>指以前年度尚未完成、结转到本年按有关规定继续使用的资金。</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4.年末结转和结余：</w:t>
      </w:r>
      <w:r>
        <w:rPr>
          <w:rFonts w:hint="eastAsia" w:ascii="方正仿宋_GB2312" w:hAnsi="方正仿宋_GB2312" w:eastAsia="方正仿宋_GB2312" w:cs="方正仿宋_GB2312"/>
          <w:i w:val="0"/>
          <w:iCs w:val="0"/>
          <w:caps w:val="0"/>
          <w:color w:val="555555"/>
          <w:spacing w:val="0"/>
          <w:sz w:val="32"/>
          <w:szCs w:val="32"/>
          <w:shd w:val="clear" w:fill="FFFFFF"/>
        </w:rPr>
        <w:t>指单位按有关规定结转到下年或以后年度继续使用的资金。</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5.一般公共服务201（类）民主党派及工商联事务28（款）行政运行01（项）:</w:t>
      </w:r>
      <w:r>
        <w:rPr>
          <w:rFonts w:hint="eastAsia" w:ascii="方正仿宋_GB2312" w:hAnsi="方正仿宋_GB2312" w:eastAsia="方正仿宋_GB2312" w:cs="方正仿宋_GB2312"/>
          <w:i w:val="0"/>
          <w:iCs w:val="0"/>
          <w:caps w:val="0"/>
          <w:color w:val="555555"/>
          <w:spacing w:val="0"/>
          <w:sz w:val="32"/>
          <w:szCs w:val="32"/>
          <w:shd w:val="clear" w:fill="FFFFFF"/>
        </w:rPr>
        <w:t> 指反映行政单位（包括实行公务员管理的事业单位）的基本支出。</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shd w:val="clear" w:fill="FFFFFF"/>
        </w:rPr>
      </w:pP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6.一般公共服务201（类）民主党派及工商联事务28（款）一般行政管理事务02（项）:</w:t>
      </w:r>
      <w:r>
        <w:rPr>
          <w:rFonts w:hint="eastAsia" w:ascii="方正仿宋_GB2312" w:hAnsi="方正仿宋_GB2312" w:eastAsia="方正仿宋_GB2312" w:cs="方正仿宋_GB2312"/>
          <w:i w:val="0"/>
          <w:iCs w:val="0"/>
          <w:caps w:val="0"/>
          <w:color w:val="555555"/>
          <w:spacing w:val="0"/>
          <w:sz w:val="32"/>
          <w:szCs w:val="32"/>
          <w:shd w:val="clear" w:fill="FFFFFF"/>
        </w:rPr>
        <w:t> 指反映行政单位（包括实行公务员管理的事业单位）未单独设置项级科目的其他项目支出。</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shd w:val="clear" w:fill="FFFFFF"/>
        </w:rPr>
      </w:pPr>
      <w:r>
        <w:rPr>
          <w:rStyle w:val="8"/>
          <w:rFonts w:hint="eastAsia" w:ascii="方正仿宋_GB2312" w:hAnsi="方正仿宋_GB2312" w:eastAsia="方正仿宋_GB2312" w:cs="方正仿宋_GB2312"/>
          <w:b/>
          <w:bCs/>
          <w:i w:val="0"/>
          <w:iCs w:val="0"/>
          <w:caps w:val="0"/>
          <w:color w:val="555555"/>
          <w:spacing w:val="0"/>
          <w:sz w:val="32"/>
          <w:szCs w:val="32"/>
          <w:shd w:val="clear" w:fill="FFFFFF"/>
          <w:lang w:val="en-US" w:eastAsia="zh-CN"/>
        </w:rPr>
        <w:t>7</w:t>
      </w: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.一般公共服务201（类）民主党派及工商联事务28（款）其他民主党派及工商联事务支出</w:t>
      </w:r>
      <w:r>
        <w:rPr>
          <w:rStyle w:val="8"/>
          <w:rFonts w:hint="eastAsia" w:ascii="方正仿宋_GB2312" w:hAnsi="方正仿宋_GB2312" w:eastAsia="方正仿宋_GB2312" w:cs="方正仿宋_GB2312"/>
          <w:b/>
          <w:bCs/>
          <w:i w:val="0"/>
          <w:iCs w:val="0"/>
          <w:caps w:val="0"/>
          <w:color w:val="555555"/>
          <w:spacing w:val="0"/>
          <w:sz w:val="32"/>
          <w:szCs w:val="32"/>
          <w:shd w:val="clear" w:fill="FFFFFF"/>
          <w:lang w:val="en-US" w:eastAsia="zh-CN"/>
        </w:rPr>
        <w:t>99</w:t>
      </w: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（项）:</w:t>
      </w:r>
      <w:r>
        <w:rPr>
          <w:rFonts w:hint="eastAsia" w:ascii="方正仿宋_GB2312" w:hAnsi="方正仿宋_GB2312" w:eastAsia="方正仿宋_GB2312" w:cs="方正仿宋_GB2312"/>
          <w:i w:val="0"/>
          <w:iCs w:val="0"/>
          <w:caps w:val="0"/>
          <w:color w:val="555555"/>
          <w:spacing w:val="0"/>
          <w:sz w:val="32"/>
          <w:szCs w:val="32"/>
          <w:shd w:val="clear" w:fill="FFFFFF"/>
        </w:rPr>
        <w:t> 指反映</w:t>
      </w:r>
      <w:r>
        <w:rPr>
          <w:rFonts w:hint="eastAsia" w:ascii="方正仿宋_GB2312" w:hAnsi="方正仿宋_GB2312" w:eastAsia="方正仿宋_GB2312" w:cs="方正仿宋_GB2312"/>
          <w:i w:val="0"/>
          <w:iCs w:val="0"/>
          <w:caps w:val="0"/>
          <w:color w:val="555555"/>
          <w:spacing w:val="0"/>
          <w:sz w:val="32"/>
          <w:szCs w:val="32"/>
          <w:shd w:val="clear" w:fill="FFFFFF"/>
          <w:lang w:eastAsia="zh-CN"/>
        </w:rPr>
        <w:t>除上述项目以外其他用于民主党派及工商联事务方面的支出</w:t>
      </w:r>
      <w:r>
        <w:rPr>
          <w:rFonts w:hint="eastAsia" w:ascii="方正仿宋_GB2312" w:hAnsi="方正仿宋_GB2312" w:eastAsia="方正仿宋_GB2312" w:cs="方正仿宋_GB2312"/>
          <w:i w:val="0"/>
          <w:iCs w:val="0"/>
          <w:caps w:val="0"/>
          <w:color w:val="555555"/>
          <w:spacing w:val="0"/>
          <w:sz w:val="32"/>
          <w:szCs w:val="32"/>
          <w:shd w:val="clear" w:fill="FFFFFF"/>
        </w:rPr>
        <w:t>。</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b/>
          <w:bCs/>
          <w:i w:val="0"/>
          <w:iCs w:val="0"/>
          <w:caps w:val="0"/>
          <w:color w:val="555555"/>
          <w:spacing w:val="0"/>
          <w:sz w:val="32"/>
          <w:szCs w:val="32"/>
          <w:shd w:val="clear" w:fill="FFFFFF"/>
          <w:lang w:val="en-US" w:eastAsia="zh-CN"/>
        </w:rPr>
        <w:t>8</w:t>
      </w: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.社会保障和就业208（类）行政事业单位养老支出05（款）机关事业单位养老保险缴费支出05（项）:</w:t>
      </w:r>
      <w:r>
        <w:rPr>
          <w:rFonts w:hint="eastAsia" w:ascii="方正仿宋_GB2312" w:hAnsi="方正仿宋_GB2312" w:eastAsia="方正仿宋_GB2312" w:cs="方正仿宋_GB2312"/>
          <w:i w:val="0"/>
          <w:iCs w:val="0"/>
          <w:caps w:val="0"/>
          <w:color w:val="555555"/>
          <w:spacing w:val="0"/>
          <w:sz w:val="32"/>
          <w:szCs w:val="32"/>
          <w:shd w:val="clear" w:fill="FFFFFF"/>
        </w:rPr>
        <w:t> 指反映机关事业单位实施养老保险制度由单位缴纳的基本养老保险费支出。</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b/>
          <w:bCs/>
          <w:i w:val="0"/>
          <w:iCs w:val="0"/>
          <w:caps w:val="0"/>
          <w:color w:val="555555"/>
          <w:spacing w:val="0"/>
          <w:sz w:val="32"/>
          <w:szCs w:val="32"/>
          <w:shd w:val="clear" w:fill="FFFFFF"/>
          <w:lang w:val="en-US" w:eastAsia="zh-CN"/>
        </w:rPr>
        <w:t>9</w:t>
      </w: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.社会保障和就业208（类）其他社会保障和就业支出99（款）其他社会保障和就业支出99（项）:</w:t>
      </w:r>
      <w:r>
        <w:rPr>
          <w:rFonts w:hint="eastAsia" w:ascii="方正仿宋_GB2312" w:hAnsi="方正仿宋_GB2312" w:eastAsia="方正仿宋_GB2312" w:cs="方正仿宋_GB2312"/>
          <w:i w:val="0"/>
          <w:iCs w:val="0"/>
          <w:caps w:val="0"/>
          <w:color w:val="555555"/>
          <w:spacing w:val="0"/>
          <w:sz w:val="32"/>
          <w:szCs w:val="32"/>
          <w:shd w:val="clear" w:fill="FFFFFF"/>
        </w:rPr>
        <w:t> 指反映除上述项目以外其他用于社会保障和就业方面的支出。</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b/>
          <w:bCs/>
          <w:i w:val="0"/>
          <w:iCs w:val="0"/>
          <w:caps w:val="0"/>
          <w:color w:val="555555"/>
          <w:spacing w:val="0"/>
          <w:sz w:val="32"/>
          <w:szCs w:val="32"/>
          <w:shd w:val="clear" w:fill="FFFFFF"/>
          <w:lang w:val="en-US" w:eastAsia="zh-CN"/>
        </w:rPr>
        <w:t>10</w:t>
      </w: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.卫生健康210（类）行政事业单位医疗11（款）行政单位医疗01（项）:</w:t>
      </w:r>
      <w:r>
        <w:rPr>
          <w:rFonts w:hint="eastAsia" w:ascii="方正仿宋_GB2312" w:hAnsi="方正仿宋_GB2312" w:eastAsia="方正仿宋_GB2312" w:cs="方正仿宋_GB2312"/>
          <w:i w:val="0"/>
          <w:iCs w:val="0"/>
          <w:caps w:val="0"/>
          <w:color w:val="555555"/>
          <w:spacing w:val="0"/>
          <w:sz w:val="32"/>
          <w:szCs w:val="32"/>
          <w:shd w:val="clear" w:fill="FFFFFF"/>
        </w:rPr>
        <w:t>指反映财政部门安排的行政单位（包括实行公务员管理的事业单位，下同）基本医疗保险缴费经费，未参加医疗保险的行政单位的公费医疗经费，按国家规定享受离休人员、红军老战士待遇人员的医疗经费。</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1</w:t>
      </w:r>
      <w:r>
        <w:rPr>
          <w:rStyle w:val="8"/>
          <w:rFonts w:hint="eastAsia" w:ascii="方正仿宋_GB2312" w:hAnsi="方正仿宋_GB2312" w:eastAsia="方正仿宋_GB2312" w:cs="方正仿宋_GB2312"/>
          <w:b/>
          <w:bCs/>
          <w:i w:val="0"/>
          <w:iCs w:val="0"/>
          <w:caps w:val="0"/>
          <w:color w:val="555555"/>
          <w:spacing w:val="0"/>
          <w:sz w:val="32"/>
          <w:szCs w:val="32"/>
          <w:shd w:val="clear" w:fill="FFFFFF"/>
          <w:lang w:val="en-US" w:eastAsia="zh-CN"/>
        </w:rPr>
        <w:t>1</w:t>
      </w: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.住房保障支出221（类）住房改革支出02（款）住房公积金01（项）:</w:t>
      </w:r>
      <w:r>
        <w:rPr>
          <w:rFonts w:hint="eastAsia" w:ascii="方正仿宋_GB2312" w:hAnsi="方正仿宋_GB2312" w:eastAsia="方正仿宋_GB2312" w:cs="方正仿宋_GB2312"/>
          <w:i w:val="0"/>
          <w:iCs w:val="0"/>
          <w:caps w:val="0"/>
          <w:color w:val="555555"/>
          <w:spacing w:val="0"/>
          <w:sz w:val="32"/>
          <w:szCs w:val="32"/>
          <w:shd w:val="clear" w:fill="FFFFFF"/>
        </w:rPr>
        <w:t>指反映行政事业单</w:t>
      </w:r>
      <w:bookmarkStart w:id="1" w:name="_GoBack"/>
      <w:bookmarkEnd w:id="1"/>
      <w:r>
        <w:rPr>
          <w:rFonts w:hint="eastAsia" w:ascii="方正仿宋_GB2312" w:hAnsi="方正仿宋_GB2312" w:eastAsia="方正仿宋_GB2312" w:cs="方正仿宋_GB2312"/>
          <w:i w:val="0"/>
          <w:iCs w:val="0"/>
          <w:caps w:val="0"/>
          <w:color w:val="555555"/>
          <w:spacing w:val="0"/>
          <w:sz w:val="32"/>
          <w:szCs w:val="32"/>
          <w:shd w:val="clear" w:fill="FFFFFF"/>
        </w:rPr>
        <w:t>位按人力资源和社会保障部、财政部规定的基本工资和津贴补贴以及规定比例为职工缴纳的住房公积金。</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1</w:t>
      </w:r>
      <w:r>
        <w:rPr>
          <w:rStyle w:val="8"/>
          <w:rFonts w:hint="eastAsia" w:ascii="方正仿宋_GB2312" w:hAnsi="方正仿宋_GB2312" w:eastAsia="方正仿宋_GB2312" w:cs="方正仿宋_GB2312"/>
          <w:b/>
          <w:bCs/>
          <w:i w:val="0"/>
          <w:iCs w:val="0"/>
          <w:caps w:val="0"/>
          <w:color w:val="555555"/>
          <w:spacing w:val="0"/>
          <w:sz w:val="32"/>
          <w:szCs w:val="32"/>
          <w:shd w:val="clear" w:fill="FFFFFF"/>
          <w:lang w:val="en-US" w:eastAsia="zh-CN"/>
        </w:rPr>
        <w:t>2</w:t>
      </w: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.基本支出：</w:t>
      </w:r>
      <w:r>
        <w:rPr>
          <w:rFonts w:hint="eastAsia" w:ascii="方正仿宋_GB2312" w:hAnsi="方正仿宋_GB2312" w:eastAsia="方正仿宋_GB2312" w:cs="方正仿宋_GB2312"/>
          <w:i w:val="0"/>
          <w:iCs w:val="0"/>
          <w:caps w:val="0"/>
          <w:color w:val="555555"/>
          <w:spacing w:val="0"/>
          <w:sz w:val="32"/>
          <w:szCs w:val="32"/>
          <w:shd w:val="clear" w:fill="FFFFFF"/>
        </w:rPr>
        <w:t>指为保障机构正常运转、完成日常工作任务而发生的人员支出和公用支出。</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1</w:t>
      </w:r>
      <w:r>
        <w:rPr>
          <w:rStyle w:val="8"/>
          <w:rFonts w:hint="eastAsia" w:ascii="方正仿宋_GB2312" w:hAnsi="方正仿宋_GB2312" w:eastAsia="方正仿宋_GB2312" w:cs="方正仿宋_GB2312"/>
          <w:b/>
          <w:bCs/>
          <w:i w:val="0"/>
          <w:iCs w:val="0"/>
          <w:caps w:val="0"/>
          <w:color w:val="555555"/>
          <w:spacing w:val="0"/>
          <w:sz w:val="32"/>
          <w:szCs w:val="32"/>
          <w:shd w:val="clear" w:fill="FFFFFF"/>
          <w:lang w:val="en-US" w:eastAsia="zh-CN"/>
        </w:rPr>
        <w:t>3</w:t>
      </w: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.项目支出：</w:t>
      </w:r>
      <w:r>
        <w:rPr>
          <w:rFonts w:hint="eastAsia" w:ascii="方正仿宋_GB2312" w:hAnsi="方正仿宋_GB2312" w:eastAsia="方正仿宋_GB2312" w:cs="方正仿宋_GB2312"/>
          <w:i w:val="0"/>
          <w:iCs w:val="0"/>
          <w:caps w:val="0"/>
          <w:color w:val="555555"/>
          <w:spacing w:val="0"/>
          <w:sz w:val="32"/>
          <w:szCs w:val="32"/>
          <w:shd w:val="clear" w:fill="FFFFFF"/>
        </w:rPr>
        <w:t>指在基本支出之外为完成特定行政任务和事业发展目标所发生的支出。</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1</w:t>
      </w:r>
      <w:r>
        <w:rPr>
          <w:rStyle w:val="8"/>
          <w:rFonts w:hint="eastAsia" w:ascii="方正仿宋_GB2312" w:hAnsi="方正仿宋_GB2312" w:eastAsia="方正仿宋_GB2312" w:cs="方正仿宋_GB2312"/>
          <w:b/>
          <w:bCs/>
          <w:i w:val="0"/>
          <w:iCs w:val="0"/>
          <w:caps w:val="0"/>
          <w:color w:val="555555"/>
          <w:spacing w:val="0"/>
          <w:sz w:val="32"/>
          <w:szCs w:val="32"/>
          <w:shd w:val="clear" w:fill="FFFFFF"/>
          <w:lang w:val="en-US" w:eastAsia="zh-CN"/>
        </w:rPr>
        <w:t>4</w:t>
      </w: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.“三公”经费：</w:t>
      </w:r>
      <w:r>
        <w:rPr>
          <w:rFonts w:hint="eastAsia" w:ascii="方正仿宋_GB2312" w:hAnsi="方正仿宋_GB2312" w:eastAsia="方正仿宋_GB2312" w:cs="方正仿宋_GB2312"/>
          <w:i w:val="0"/>
          <w:iCs w:val="0"/>
          <w:caps w:val="0"/>
          <w:color w:val="555555"/>
          <w:spacing w:val="0"/>
          <w:sz w:val="32"/>
          <w:szCs w:val="32"/>
          <w:shd w:val="clear" w:fill="FFFFFF"/>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1</w:t>
      </w:r>
      <w:r>
        <w:rPr>
          <w:rStyle w:val="8"/>
          <w:rFonts w:hint="eastAsia" w:ascii="方正仿宋_GB2312" w:hAnsi="方正仿宋_GB2312" w:eastAsia="方正仿宋_GB2312" w:cs="方正仿宋_GB2312"/>
          <w:b/>
          <w:bCs/>
          <w:i w:val="0"/>
          <w:iCs w:val="0"/>
          <w:caps w:val="0"/>
          <w:color w:val="555555"/>
          <w:spacing w:val="0"/>
          <w:sz w:val="32"/>
          <w:szCs w:val="32"/>
          <w:shd w:val="clear" w:fill="FFFFFF"/>
          <w:lang w:val="en-US" w:eastAsia="zh-CN"/>
        </w:rPr>
        <w:t>5</w:t>
      </w:r>
      <w:r>
        <w:rPr>
          <w:rStyle w:val="8"/>
          <w:rFonts w:hint="eastAsia" w:ascii="方正仿宋_GB2312" w:hAnsi="方正仿宋_GB2312" w:eastAsia="方正仿宋_GB2312" w:cs="方正仿宋_GB2312"/>
          <w:b/>
          <w:bCs/>
          <w:i w:val="0"/>
          <w:iCs w:val="0"/>
          <w:caps w:val="0"/>
          <w:color w:val="555555"/>
          <w:spacing w:val="0"/>
          <w:sz w:val="32"/>
          <w:szCs w:val="32"/>
          <w:shd w:val="clear" w:fill="FFFFFF"/>
        </w:rPr>
        <w:t>.机关运行经费：</w:t>
      </w:r>
      <w:r>
        <w:rPr>
          <w:rFonts w:hint="eastAsia" w:ascii="方正仿宋_GB2312" w:hAnsi="方正仿宋_GB2312" w:eastAsia="方正仿宋_GB2312" w:cs="方正仿宋_GB2312"/>
          <w:i w:val="0"/>
          <w:iCs w:val="0"/>
          <w:caps w:val="0"/>
          <w:color w:val="555555"/>
          <w:spacing w:val="0"/>
          <w:sz w:val="32"/>
          <w:szCs w:val="32"/>
          <w:shd w:val="clear" w:fill="FFFFFF"/>
        </w:rPr>
        <w:t>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r>
        <w:rPr>
          <w:rFonts w:hint="eastAsia" w:ascii="方正仿宋_GB2312" w:hAnsi="方正仿宋_GB2312" w:eastAsia="方正仿宋_GB2312" w:cs="方正仿宋_GB2312"/>
          <w:i w:val="0"/>
          <w:iCs w:val="0"/>
          <w:caps w:val="0"/>
          <w:color w:val="000000"/>
          <w:spacing w:val="0"/>
          <w:sz w:val="32"/>
          <w:szCs w:val="32"/>
          <w:shd w:val="clear" w:fill="FFFFFF"/>
        </w:rPr>
        <w:t> </w:t>
      </w:r>
      <w:r>
        <w:rPr>
          <w:rStyle w:val="8"/>
          <w:rFonts w:hint="eastAsia" w:ascii="方正仿宋_GB2312" w:hAnsi="方正仿宋_GB2312" w:eastAsia="方正仿宋_GB2312" w:cs="方正仿宋_GB2312"/>
          <w:i w:val="0"/>
          <w:iCs w:val="0"/>
          <w:caps w:val="0"/>
          <w:color w:val="000000"/>
          <w:spacing w:val="0"/>
          <w:sz w:val="32"/>
          <w:szCs w:val="32"/>
          <w:shd w:val="clear" w:fill="FFFFFF"/>
        </w:rPr>
        <w:t>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center"/>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br w:type="textWrapping"/>
      </w:r>
      <w:r>
        <w:rPr>
          <w:rFonts w:hint="eastAsia" w:ascii="方正仿宋_GB2312" w:hAnsi="方正仿宋_GB2312" w:eastAsia="方正仿宋_GB2312" w:cs="方正仿宋_GB2312"/>
          <w:b/>
          <w:bCs/>
          <w:i w:val="0"/>
          <w:iCs w:val="0"/>
          <w:caps w:val="0"/>
          <w:color w:val="555555"/>
          <w:spacing w:val="0"/>
          <w:sz w:val="36"/>
          <w:szCs w:val="36"/>
          <w:shd w:val="clear" w:fill="FFFFFF"/>
        </w:rPr>
        <w:t>第四部分 附件</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附件</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center"/>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2022年专项预算项目支出绩效自评报告</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一、项目概况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（一）项目基本情况。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1．项目主管部门（单位）在该项目管理中的职能。</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（1）绩效目标情况。2020年，九三学社广元市委项目预算收入27.85万元，主要用于保障思想建设、组织建设、社会宣传、参政议政、民主监督、社会服务、机关建设工作等方面的工作。</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（2）资金安排情况。2020年，财政拨款项目收入总计27.85万元。</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2．项目立项、资金申报的依据。</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支持民主党派加强中国特色社会主义参政议政建设，发挥各民主党派参政议政和民主监督作用，根据中共广元市委常务委员会会议纪要文件精神及相关工作需要，保障市级民主党派每年工作经费27.85万元。本项目属于持续性、常年性项目。</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3.资金管理办法制定情况，资金支持具体项目的条件、范围与支持方式概况。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 一般行政事务管理项目资金按单位内部财务管理制度、审批流程进行支付。采用财政国库集中支付，严格按照预算执行专款专用，科学计划资金使用进度，每笔支出力求规范、合理。</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4.资金分配的原则及考虑因素。</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资金使用坚持先审批后支付的原则，对一般行政管理事务专项资金建立严格的支付审批程序，加强内控管理，规范会计核算，对资金使用程序严格控制把关。充分考虑项目申报立项、资金拨付与会计处理、资金到位、项目资金使用绩效评价等各个环节，从源头上予以规范，确保程序完整，操作合法合规。</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（二）项目绩效目标。</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1．项目主要内容。</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主要用于保障思想建设、组织建设、社会宣传、参政议政、民主监督、社会服务、机关建设工作等方面的工作。</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2.项目应实现的具体绩效目标，包括目标的量化、细化情况以及项目实施进度计划等。</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九三学社广元市委在项目资金使用上精打细算，保障业务工作高效有序开展。强化政治理论学习，不断巩固共同思想政治基础；加强理论研究，注重社会宣传和学习教育；深入基层走访，筑牢基层组织基础；围绕全市重点工作，深入调研，开展参政议政、民主监督和政党协商，积极服务地方经济社会发展；发挥界别优势，助力服务社会。</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3.分析评价申报内容是否与实际相符，申报目标是否合理可行。</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绩效目标设置上，九三学社从收集、上报、筛查、费用控制和可持续发展上明确了合理的目标任务，符合实际。</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（三）项目自评步骤及方法。</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1.前期准备：</w:t>
      </w:r>
      <w:r>
        <w:rPr>
          <w:rFonts w:hint="eastAsia" w:ascii="方正仿宋_GB2312" w:hAnsi="方正仿宋_GB2312" w:eastAsia="方正仿宋_GB2312" w:cs="方正仿宋_GB2312"/>
          <w:i w:val="0"/>
          <w:iCs w:val="0"/>
          <w:caps w:val="0"/>
          <w:color w:val="000000"/>
          <w:spacing w:val="0"/>
          <w:sz w:val="32"/>
          <w:szCs w:val="32"/>
          <w:shd w:val="clear" w:fill="FFFFFF"/>
        </w:rPr>
        <w:t>按照绩效自评工作要求，组成以分管财务工作的副主委为组长的绩效评价工作小组，根据一般行政管理事务项目制定了项目支出绩效评价实施方案，设计了绩效评价指标体系。</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2.组织实施：</w:t>
      </w:r>
      <w:r>
        <w:rPr>
          <w:rFonts w:hint="eastAsia" w:ascii="方正仿宋_GB2312" w:hAnsi="方正仿宋_GB2312" w:eastAsia="方正仿宋_GB2312" w:cs="方正仿宋_GB2312"/>
          <w:i w:val="0"/>
          <w:iCs w:val="0"/>
          <w:caps w:val="0"/>
          <w:color w:val="000000"/>
          <w:spacing w:val="0"/>
          <w:sz w:val="32"/>
          <w:szCs w:val="32"/>
          <w:shd w:val="clear" w:fill="FFFFFF"/>
        </w:rPr>
        <w:t>采用核查法核查2021年同级财政预算批复执行及一般行政管理事务专项工作项目支出情况，根据年初制定的绩效考核目标，进行了实地绩效考评。针对落实工作具体情况，进行了实地调研编制资金预算。</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3.分析评价：</w:t>
      </w:r>
      <w:r>
        <w:rPr>
          <w:rFonts w:hint="eastAsia" w:ascii="方正仿宋_GB2312" w:hAnsi="方正仿宋_GB2312" w:eastAsia="方正仿宋_GB2312" w:cs="方正仿宋_GB2312"/>
          <w:i w:val="0"/>
          <w:iCs w:val="0"/>
          <w:caps w:val="0"/>
          <w:color w:val="000000"/>
          <w:spacing w:val="0"/>
          <w:sz w:val="32"/>
          <w:szCs w:val="32"/>
          <w:shd w:val="clear" w:fill="FFFFFF"/>
        </w:rPr>
        <w:t>对评价过程中收集资料进行归纳，汇总分析，依据一般行政管理事务项目支出绩效评价指标体系进行了评分，形成了综合性书面报告。</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二、项目资金申报及使用情况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（一）项目资金申报及批复情况。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一般行政管理事务项目资金年初预算资金27.85万元，并于批复后下达指标。2021年项目实际到位资金27.85万元，未调整预算。</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（二）资金计划、到位及使用情况。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1.资金计划。</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一般行政管理事务项目资金27.85万元，全部为地方财政拨款。</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2.资金到位。</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截止评价时，一般行政管理事务项目资金到位27.85万元，为地方财政拨款。资金到位率100%，该项目资金全部及时、足额到位。</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3．资金使用。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截止评价时，一般行政管理事务项目支出27.85万元，完成预算率100%。资金支付方式为财政国库集中支付，程序规范、票据齐全，与预算相符。</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（三）项目财务管理情况。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九三学社广元市委建立了项目资金管理制度，强化监督措施，实行专款专用，不得挪作他用，并严格执行财务管理制度，账务处理及时准确，会计核算规范。</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三、项目实施及管理情况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（一）项目组织架构及实施流程。</w:t>
      </w:r>
      <w:r>
        <w:rPr>
          <w:rFonts w:hint="eastAsia" w:ascii="方正仿宋_GB2312" w:hAnsi="方正仿宋_GB2312" w:eastAsia="方正仿宋_GB2312" w:cs="方正仿宋_GB2312"/>
          <w:i w:val="0"/>
          <w:iCs w:val="0"/>
          <w:caps w:val="0"/>
          <w:color w:val="000000"/>
          <w:spacing w:val="0"/>
          <w:sz w:val="32"/>
          <w:szCs w:val="32"/>
          <w:shd w:val="clear" w:fill="FFFFFF"/>
        </w:rPr>
        <w:t>该项目由分管副主委负责，财务部门负责人组织实施。</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（二）项目管理情况。</w:t>
      </w:r>
      <w:r>
        <w:rPr>
          <w:rFonts w:hint="eastAsia" w:ascii="方正仿宋_GB2312" w:hAnsi="方正仿宋_GB2312" w:eastAsia="方正仿宋_GB2312" w:cs="方正仿宋_GB2312"/>
          <w:i w:val="0"/>
          <w:iCs w:val="0"/>
          <w:caps w:val="0"/>
          <w:color w:val="000000"/>
          <w:spacing w:val="0"/>
          <w:sz w:val="32"/>
          <w:szCs w:val="32"/>
          <w:shd w:val="clear" w:fill="FFFFFF"/>
        </w:rPr>
        <w:t>项目实施过程中，严格执行相关法律法规及项目管理制度，资金使用符合规定，项目成果达到预期。</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（三）项目监管情况。</w:t>
      </w:r>
      <w:r>
        <w:rPr>
          <w:rFonts w:hint="eastAsia" w:ascii="方正仿宋_GB2312" w:hAnsi="方正仿宋_GB2312" w:eastAsia="方正仿宋_GB2312" w:cs="方正仿宋_GB2312"/>
          <w:i w:val="0"/>
          <w:iCs w:val="0"/>
          <w:caps w:val="0"/>
          <w:color w:val="000000"/>
          <w:spacing w:val="0"/>
          <w:sz w:val="32"/>
          <w:szCs w:val="32"/>
          <w:shd w:val="clear" w:fill="FFFFFF"/>
        </w:rPr>
        <w:t>严格按照预算执行专款专用，科学计划资金使用进度，每笔支出力求规范、合理。</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四、项目绩效情况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（一）项目完成情况。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该项目达到项目预期,截止评价时，高质量地完成了年初设定目标，并严格控制支出，未超预算。</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（二）项目效益情况。</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通过该项目实施，提升了民主党派参政议政、民主监督能力与水平，为地方经济发展发挥了积极作用。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五、评价结论及建议</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（一）评价结论。</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围绕绩效评价指标体系，“民主党派专项经费”项目基本完成了绩效目标任务，达到了既定的目标，自评评价等级为优。</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（二）存在的问题。</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无。</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（三）相关建议。</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210" w:afterAutospacing="0" w:line="576" w:lineRule="exact"/>
        <w:ind w:left="0" w:righ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继续做好资金管理，响应政府“过紧日子”的号召。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Style w:val="8"/>
          <w:rFonts w:hint="eastAsia" w:ascii="方正仿宋_GB2312" w:hAnsi="方正仿宋_GB2312" w:eastAsia="方正仿宋_GB2312" w:cs="方正仿宋_GB2312"/>
          <w:i w:val="0"/>
          <w:iCs w:val="0"/>
          <w:caps w:val="0"/>
          <w:color w:val="000000"/>
          <w:spacing w:val="0"/>
          <w:sz w:val="32"/>
          <w:szCs w:val="32"/>
          <w:shd w:val="clear" w:fill="FFFFFF"/>
        </w:rPr>
        <w:t>附表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210" w:beforeAutospacing="0" w:after="0" w:afterAutospacing="0" w:line="576" w:lineRule="exact"/>
        <w:ind w:left="0" w:right="0" w:firstLine="640" w:firstLineChars="200"/>
        <w:jc w:val="center"/>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2021年部门预算项目绩效目标自评</w:t>
      </w:r>
    </w:p>
    <w:tbl>
      <w:tblPr>
        <w:tblStyle w:val="6"/>
        <w:tblW w:w="9795"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727"/>
        <w:gridCol w:w="1122"/>
        <w:gridCol w:w="1595"/>
        <w:gridCol w:w="1881"/>
        <w:gridCol w:w="1485"/>
        <w:gridCol w:w="1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15" w:hRule="atLeast"/>
          <w:tblCellSpacing w:w="0" w:type="dxa"/>
          <w:jc w:val="center"/>
        </w:trPr>
        <w:tc>
          <w:tcPr>
            <w:tcW w:w="2865" w:type="dxa"/>
            <w:gridSpan w:val="2"/>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bookmarkStart w:id="0" w:name="_Toc15396618"/>
            <w:bookmarkEnd w:id="0"/>
            <w:r>
              <w:rPr>
                <w:rFonts w:hint="eastAsia" w:ascii="方正仿宋_GB2312" w:hAnsi="方正仿宋_GB2312" w:eastAsia="方正仿宋_GB2312" w:cs="方正仿宋_GB2312"/>
                <w:i w:val="0"/>
                <w:iCs w:val="0"/>
                <w:caps w:val="0"/>
                <w:color w:val="000000"/>
                <w:spacing w:val="0"/>
                <w:sz w:val="32"/>
                <w:szCs w:val="32"/>
              </w:rPr>
              <w:t>主管部门及代码</w:t>
            </w:r>
          </w:p>
        </w:tc>
        <w:tc>
          <w:tcPr>
            <w:tcW w:w="3495" w:type="dxa"/>
            <w:gridSpan w:val="2"/>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309302</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实施单位</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30" w:hRule="atLeast"/>
          <w:tblCellSpacing w:w="0" w:type="dxa"/>
          <w:jc w:val="center"/>
        </w:trPr>
        <w:tc>
          <w:tcPr>
            <w:tcW w:w="2865" w:type="dxa"/>
            <w:gridSpan w:val="2"/>
            <w:vMerge w:val="restar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项目预算</w:t>
            </w:r>
          </w:p>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执行情况</w:t>
            </w:r>
          </w:p>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（万元）</w:t>
            </w:r>
          </w:p>
        </w:tc>
        <w:tc>
          <w:tcPr>
            <w:tcW w:w="160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预算数：</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27.85</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执行数：</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27.85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765" w:hRule="atLeast"/>
          <w:tblCellSpacing w:w="0" w:type="dxa"/>
          <w:jc w:val="center"/>
        </w:trPr>
        <w:tc>
          <w:tcPr>
            <w:tcW w:w="2865" w:type="dxa"/>
            <w:gridSpan w:val="2"/>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60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其中：</w:t>
            </w:r>
          </w:p>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财政拨款</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27.85</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其中：</w:t>
            </w:r>
          </w:p>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财政拨款</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27.85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570" w:hRule="atLeast"/>
          <w:tblCellSpacing w:w="0" w:type="dxa"/>
          <w:jc w:val="center"/>
        </w:trPr>
        <w:tc>
          <w:tcPr>
            <w:tcW w:w="2865" w:type="dxa"/>
            <w:gridSpan w:val="2"/>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60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其他资金</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其他资金</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15" w:hRule="atLeast"/>
          <w:tblCellSpacing w:w="0" w:type="dxa"/>
          <w:jc w:val="center"/>
        </w:trPr>
        <w:tc>
          <w:tcPr>
            <w:tcW w:w="1740" w:type="dxa"/>
            <w:vMerge w:val="restar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年度总体目标</w:t>
            </w:r>
          </w:p>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完成情况</w:t>
            </w:r>
          </w:p>
        </w:tc>
        <w:tc>
          <w:tcPr>
            <w:tcW w:w="4620" w:type="dxa"/>
            <w:gridSpan w:val="3"/>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预期目标</w:t>
            </w:r>
          </w:p>
        </w:tc>
        <w:tc>
          <w:tcPr>
            <w:tcW w:w="3435" w:type="dxa"/>
            <w:gridSpan w:val="2"/>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目标实际完成情况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1260" w:hRule="atLeast"/>
          <w:tblCellSpacing w:w="0" w:type="dxa"/>
          <w:jc w:val="center"/>
        </w:trPr>
        <w:tc>
          <w:tcPr>
            <w:tcW w:w="174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4620" w:type="dxa"/>
            <w:gridSpan w:val="3"/>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完成社市委思想建设、组织建设、社会宣传、参政议政、民主监督、社会服务、机关建设工作等方面的工作。</w:t>
            </w:r>
          </w:p>
        </w:tc>
        <w:tc>
          <w:tcPr>
            <w:tcW w:w="3435" w:type="dxa"/>
            <w:gridSpan w:val="2"/>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top"/>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全面完成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840" w:hRule="atLeast"/>
          <w:tblCellSpacing w:w="0" w:type="dxa"/>
          <w:jc w:val="center"/>
        </w:trPr>
        <w:tc>
          <w:tcPr>
            <w:tcW w:w="1740" w:type="dxa"/>
            <w:vMerge w:val="restar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年度绩效指标完成情况</w:t>
            </w: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一级</w:t>
            </w:r>
          </w:p>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指标</w:t>
            </w:r>
          </w:p>
        </w:tc>
        <w:tc>
          <w:tcPr>
            <w:tcW w:w="160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二级</w:t>
            </w:r>
          </w:p>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指标</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三级</w:t>
            </w:r>
          </w:p>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指标</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预期指标值</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实际完成指标值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705" w:hRule="atLeast"/>
          <w:tblCellSpacing w:w="0" w:type="dxa"/>
          <w:jc w:val="center"/>
        </w:trPr>
        <w:tc>
          <w:tcPr>
            <w:tcW w:w="174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125" w:type="dxa"/>
            <w:vMerge w:val="restar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完成</w:t>
            </w:r>
          </w:p>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指标</w:t>
            </w:r>
          </w:p>
        </w:tc>
        <w:tc>
          <w:tcPr>
            <w:tcW w:w="1605" w:type="dxa"/>
            <w:vMerge w:val="restar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数量指标</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完成调研课题数量</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3个</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100%完成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720" w:hRule="atLeast"/>
          <w:tblCellSpacing w:w="0" w:type="dxa"/>
          <w:jc w:val="center"/>
        </w:trPr>
        <w:tc>
          <w:tcPr>
            <w:tcW w:w="174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12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60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完成社情民意信息数量</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15条</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100%完成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90" w:hRule="atLeast"/>
          <w:tblCellSpacing w:w="0" w:type="dxa"/>
          <w:jc w:val="center"/>
        </w:trPr>
        <w:tc>
          <w:tcPr>
            <w:tcW w:w="174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12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60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参加政治协商会议数量</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=4次</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100%完成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810" w:hRule="atLeast"/>
          <w:tblCellSpacing w:w="0" w:type="dxa"/>
          <w:jc w:val="center"/>
        </w:trPr>
        <w:tc>
          <w:tcPr>
            <w:tcW w:w="174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12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60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开展民主监督次数</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=5次</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100%完成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1500" w:hRule="atLeast"/>
          <w:tblCellSpacing w:w="0" w:type="dxa"/>
          <w:jc w:val="center"/>
        </w:trPr>
        <w:tc>
          <w:tcPr>
            <w:tcW w:w="174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12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60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组织开展“三下乡”及帮村社会服务活动场次</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4次</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100%完成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855" w:hRule="atLeast"/>
          <w:tblCellSpacing w:w="0" w:type="dxa"/>
          <w:jc w:val="center"/>
        </w:trPr>
        <w:tc>
          <w:tcPr>
            <w:tcW w:w="174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12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60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875" w:type="dxa"/>
            <w:tcBorders>
              <w:top w:val="single" w:color="000000" w:sz="6" w:space="0"/>
              <w:left w:val="single" w:color="000000" w:sz="6" w:space="0"/>
              <w:bottom w:val="single" w:color="auto"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社会服务受益人数</w:t>
            </w:r>
          </w:p>
        </w:tc>
        <w:tc>
          <w:tcPr>
            <w:tcW w:w="1440" w:type="dxa"/>
            <w:tcBorders>
              <w:top w:val="single" w:color="000000" w:sz="6" w:space="0"/>
              <w:left w:val="single" w:color="000000" w:sz="6" w:space="0"/>
              <w:bottom w:val="single" w:color="auto"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=1000人次</w:t>
            </w:r>
          </w:p>
        </w:tc>
        <w:tc>
          <w:tcPr>
            <w:tcW w:w="1995" w:type="dxa"/>
            <w:tcBorders>
              <w:top w:val="single" w:color="000000" w:sz="6" w:space="0"/>
              <w:left w:val="single" w:color="000000" w:sz="6" w:space="0"/>
              <w:bottom w:val="single" w:color="auto"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100%完成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810" w:hRule="atLeast"/>
          <w:tblCellSpacing w:w="0" w:type="dxa"/>
          <w:jc w:val="center"/>
        </w:trPr>
        <w:tc>
          <w:tcPr>
            <w:tcW w:w="174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12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605" w:type="dxa"/>
            <w:vMerge w:val="restar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质量指标</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调研成果获领导批示</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=2篇</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100%完成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810" w:hRule="atLeast"/>
          <w:tblCellSpacing w:w="0" w:type="dxa"/>
          <w:jc w:val="center"/>
        </w:trPr>
        <w:tc>
          <w:tcPr>
            <w:tcW w:w="174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12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60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社情民意信息采用数</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=6条</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100%完成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1185" w:hRule="atLeast"/>
          <w:tblCellSpacing w:w="0" w:type="dxa"/>
          <w:jc w:val="center"/>
        </w:trPr>
        <w:tc>
          <w:tcPr>
            <w:tcW w:w="174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12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60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形成调研报告，提出对策建议数</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=2篇调研报告,=10条建议</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100%完成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15" w:hRule="atLeast"/>
          <w:tblCellSpacing w:w="0" w:type="dxa"/>
          <w:jc w:val="center"/>
        </w:trPr>
        <w:tc>
          <w:tcPr>
            <w:tcW w:w="174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12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60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活动社会影响面大，省级以上媒体报道场次</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=5次</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100%完成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blCellSpacing w:w="0" w:type="dxa"/>
          <w:jc w:val="center"/>
        </w:trPr>
        <w:tc>
          <w:tcPr>
            <w:tcW w:w="174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12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60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时效指标</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全年完成</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全年完成</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100%完成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tblCellSpacing w:w="0" w:type="dxa"/>
          <w:jc w:val="center"/>
        </w:trPr>
        <w:tc>
          <w:tcPr>
            <w:tcW w:w="174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12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60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成本指标</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民主党派专项成本</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27.85万元</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实际支出27.85万元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585" w:hRule="atLeast"/>
          <w:tblCellSpacing w:w="0" w:type="dxa"/>
          <w:jc w:val="center"/>
        </w:trPr>
        <w:tc>
          <w:tcPr>
            <w:tcW w:w="174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12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60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社会效益  指标</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促进广元经济社会发展</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为广元经济社会发展开展调查研究与建言献策，助推各项工作高效高速有序推进。</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完成良好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1185" w:hRule="atLeast"/>
          <w:tblCellSpacing w:w="0" w:type="dxa"/>
          <w:jc w:val="center"/>
        </w:trPr>
        <w:tc>
          <w:tcPr>
            <w:tcW w:w="1740" w:type="dxa"/>
            <w:vMerge w:val="continue"/>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pageBreakBefore w:val="0"/>
              <w:kinsoku/>
              <w:wordWrap/>
              <w:overflowPunct/>
              <w:topLinePunct w:val="0"/>
              <w:autoSpaceDE/>
              <w:autoSpaceDN/>
              <w:bidi w:val="0"/>
              <w:adjustRightInd/>
              <w:snapToGrid/>
              <w:spacing w:line="576" w:lineRule="exact"/>
              <w:ind w:firstLine="640" w:firstLineChars="200"/>
              <w:jc w:val="left"/>
              <w:rPr>
                <w:rFonts w:hint="eastAsia" w:ascii="方正仿宋_GB2312" w:hAnsi="方正仿宋_GB2312" w:eastAsia="方正仿宋_GB2312" w:cs="方正仿宋_GB2312"/>
                <w:i w:val="0"/>
                <w:iCs w:val="0"/>
                <w:caps w:val="0"/>
                <w:color w:val="555555"/>
                <w:spacing w:val="0"/>
                <w:sz w:val="32"/>
                <w:szCs w:val="32"/>
              </w:rPr>
            </w:pPr>
          </w:p>
        </w:tc>
        <w:tc>
          <w:tcPr>
            <w:tcW w:w="112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满意</w:t>
            </w:r>
          </w:p>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度指标</w:t>
            </w:r>
          </w:p>
        </w:tc>
        <w:tc>
          <w:tcPr>
            <w:tcW w:w="160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满意度</w:t>
            </w:r>
          </w:p>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指标</w:t>
            </w:r>
          </w:p>
        </w:tc>
        <w:tc>
          <w:tcPr>
            <w:tcW w:w="18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获得当地党委政府以及社员满意度</w:t>
            </w:r>
          </w:p>
        </w:tc>
        <w:tc>
          <w:tcPr>
            <w:tcW w:w="1440"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95%以上</w:t>
            </w:r>
          </w:p>
        </w:tc>
        <w:tc>
          <w:tcPr>
            <w:tcW w:w="199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center"/>
              <w:textAlignment w:val="bottom"/>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color w:val="000000"/>
                <w:spacing w:val="0"/>
                <w:sz w:val="32"/>
                <w:szCs w:val="32"/>
              </w:rPr>
              <w:t>获得一致认可</w:t>
            </w:r>
          </w:p>
        </w:tc>
      </w:tr>
    </w:tbl>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center"/>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723" w:firstLineChars="200"/>
        <w:jc w:val="center"/>
        <w:rPr>
          <w:rFonts w:hint="eastAsia" w:ascii="方正仿宋_GB2312" w:hAnsi="方正仿宋_GB2312" w:eastAsia="方正仿宋_GB2312" w:cs="方正仿宋_GB2312"/>
          <w:b/>
          <w:bCs/>
          <w:i w:val="0"/>
          <w:iCs w:val="0"/>
          <w:caps w:val="0"/>
          <w:color w:val="555555"/>
          <w:spacing w:val="0"/>
          <w:sz w:val="36"/>
          <w:szCs w:val="36"/>
          <w:shd w:val="clear" w:fill="FFFFFF"/>
        </w:rPr>
      </w:pPr>
      <w:r>
        <w:rPr>
          <w:rFonts w:hint="eastAsia" w:ascii="方正仿宋_GB2312" w:hAnsi="方正仿宋_GB2312" w:eastAsia="方正仿宋_GB2312" w:cs="方正仿宋_GB2312"/>
          <w:b/>
          <w:bCs/>
          <w:i w:val="0"/>
          <w:iCs w:val="0"/>
          <w:caps w:val="0"/>
          <w:color w:val="555555"/>
          <w:spacing w:val="0"/>
          <w:sz w:val="36"/>
          <w:szCs w:val="36"/>
          <w:shd w:val="clear" w:fill="FFFFFF"/>
        </w:rPr>
        <w:t>第五部分 附表</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3"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i w:val="0"/>
          <w:iCs w:val="0"/>
          <w:caps w:val="0"/>
          <w:color w:val="000000"/>
          <w:spacing w:val="0"/>
          <w:sz w:val="32"/>
          <w:szCs w:val="32"/>
          <w:shd w:val="clear" w:fill="FFFFFF"/>
        </w:rPr>
        <w:t> </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b w:val="0"/>
          <w:bCs w:val="0"/>
          <w:i w:val="0"/>
          <w:iCs w:val="0"/>
          <w:caps w:val="0"/>
          <w:color w:val="000000"/>
          <w:spacing w:val="0"/>
          <w:sz w:val="32"/>
          <w:szCs w:val="32"/>
          <w:shd w:val="clear" w:fill="FFFFFF"/>
        </w:rPr>
        <w:t>一、收入支出决算总表</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b w:val="0"/>
          <w:bCs w:val="0"/>
          <w:i w:val="0"/>
          <w:iCs w:val="0"/>
          <w:caps w:val="0"/>
          <w:color w:val="000000"/>
          <w:spacing w:val="0"/>
          <w:sz w:val="32"/>
          <w:szCs w:val="32"/>
          <w:shd w:val="clear" w:fill="FFFFFF"/>
        </w:rPr>
        <w:t>二、收入决算表</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b w:val="0"/>
          <w:bCs w:val="0"/>
          <w:i w:val="0"/>
          <w:iCs w:val="0"/>
          <w:caps w:val="0"/>
          <w:color w:val="000000"/>
          <w:spacing w:val="0"/>
          <w:sz w:val="32"/>
          <w:szCs w:val="32"/>
          <w:shd w:val="clear" w:fill="FFFFFF"/>
        </w:rPr>
        <w:t>三、支出决算表</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b w:val="0"/>
          <w:bCs w:val="0"/>
          <w:i w:val="0"/>
          <w:iCs w:val="0"/>
          <w:caps w:val="0"/>
          <w:color w:val="000000"/>
          <w:spacing w:val="0"/>
          <w:sz w:val="32"/>
          <w:szCs w:val="32"/>
          <w:shd w:val="clear" w:fill="FFFFFF"/>
        </w:rPr>
        <w:t>四、财政拨款收入支出决算总表</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b w:val="0"/>
          <w:bCs w:val="0"/>
          <w:i w:val="0"/>
          <w:iCs w:val="0"/>
          <w:caps w:val="0"/>
          <w:color w:val="000000"/>
          <w:spacing w:val="0"/>
          <w:sz w:val="32"/>
          <w:szCs w:val="32"/>
          <w:shd w:val="clear" w:fill="FFFFFF"/>
        </w:rPr>
        <w:t>五、财政拨款支出决算明细表</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b w:val="0"/>
          <w:bCs w:val="0"/>
          <w:i w:val="0"/>
          <w:iCs w:val="0"/>
          <w:caps w:val="0"/>
          <w:color w:val="000000"/>
          <w:spacing w:val="0"/>
          <w:sz w:val="32"/>
          <w:szCs w:val="32"/>
          <w:shd w:val="clear" w:fill="FFFFFF"/>
        </w:rPr>
        <w:t>六、</w:t>
      </w:r>
      <w:r>
        <w:rPr>
          <w:rFonts w:hint="eastAsia" w:ascii="方正仿宋_GB2312" w:hAnsi="方正仿宋_GB2312" w:eastAsia="方正仿宋_GB2312" w:cs="方正仿宋_GB2312"/>
          <w:i w:val="0"/>
          <w:iCs w:val="0"/>
          <w:caps w:val="0"/>
          <w:color w:val="000000"/>
          <w:spacing w:val="0"/>
          <w:sz w:val="32"/>
          <w:szCs w:val="32"/>
          <w:shd w:val="clear" w:fill="FFFFFF"/>
        </w:rPr>
        <w:t>一</w:t>
      </w:r>
      <w:r>
        <w:rPr>
          <w:rFonts w:hint="eastAsia" w:ascii="方正仿宋_GB2312" w:hAnsi="方正仿宋_GB2312" w:eastAsia="方正仿宋_GB2312" w:cs="方正仿宋_GB2312"/>
          <w:b w:val="0"/>
          <w:bCs w:val="0"/>
          <w:i w:val="0"/>
          <w:iCs w:val="0"/>
          <w:caps w:val="0"/>
          <w:color w:val="000000"/>
          <w:spacing w:val="0"/>
          <w:sz w:val="32"/>
          <w:szCs w:val="32"/>
          <w:shd w:val="clear" w:fill="FFFFFF"/>
        </w:rPr>
        <w:t>般公共预算财政拨款支出决算表</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b w:val="0"/>
          <w:bCs w:val="0"/>
          <w:i w:val="0"/>
          <w:iCs w:val="0"/>
          <w:caps w:val="0"/>
          <w:color w:val="000000"/>
          <w:spacing w:val="0"/>
          <w:sz w:val="32"/>
          <w:szCs w:val="32"/>
          <w:shd w:val="clear" w:fill="FFFFFF"/>
        </w:rPr>
        <w:t>七、</w:t>
      </w:r>
      <w:r>
        <w:rPr>
          <w:rFonts w:hint="eastAsia" w:ascii="方正仿宋_GB2312" w:hAnsi="方正仿宋_GB2312" w:eastAsia="方正仿宋_GB2312" w:cs="方正仿宋_GB2312"/>
          <w:i w:val="0"/>
          <w:iCs w:val="0"/>
          <w:caps w:val="0"/>
          <w:color w:val="000000"/>
          <w:spacing w:val="0"/>
          <w:sz w:val="32"/>
          <w:szCs w:val="32"/>
          <w:shd w:val="clear" w:fill="FFFFFF"/>
        </w:rPr>
        <w:t>一</w:t>
      </w:r>
      <w:r>
        <w:rPr>
          <w:rFonts w:hint="eastAsia" w:ascii="方正仿宋_GB2312" w:hAnsi="方正仿宋_GB2312" w:eastAsia="方正仿宋_GB2312" w:cs="方正仿宋_GB2312"/>
          <w:b w:val="0"/>
          <w:bCs w:val="0"/>
          <w:i w:val="0"/>
          <w:iCs w:val="0"/>
          <w:caps w:val="0"/>
          <w:color w:val="000000"/>
          <w:spacing w:val="0"/>
          <w:sz w:val="32"/>
          <w:szCs w:val="32"/>
          <w:shd w:val="clear" w:fill="FFFFFF"/>
        </w:rPr>
        <w:t>般公共预算财政拨款支出决算明细表</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b w:val="0"/>
          <w:bCs w:val="0"/>
          <w:i w:val="0"/>
          <w:iCs w:val="0"/>
          <w:caps w:val="0"/>
          <w:color w:val="000000"/>
          <w:spacing w:val="0"/>
          <w:sz w:val="32"/>
          <w:szCs w:val="32"/>
          <w:shd w:val="clear" w:fill="FFFFFF"/>
        </w:rPr>
        <w:t>八、</w:t>
      </w:r>
      <w:r>
        <w:rPr>
          <w:rFonts w:hint="eastAsia" w:ascii="方正仿宋_GB2312" w:hAnsi="方正仿宋_GB2312" w:eastAsia="方正仿宋_GB2312" w:cs="方正仿宋_GB2312"/>
          <w:i w:val="0"/>
          <w:iCs w:val="0"/>
          <w:caps w:val="0"/>
          <w:color w:val="000000"/>
          <w:spacing w:val="0"/>
          <w:sz w:val="32"/>
          <w:szCs w:val="32"/>
          <w:shd w:val="clear" w:fill="FFFFFF"/>
        </w:rPr>
        <w:t>一</w:t>
      </w:r>
      <w:r>
        <w:rPr>
          <w:rFonts w:hint="eastAsia" w:ascii="方正仿宋_GB2312" w:hAnsi="方正仿宋_GB2312" w:eastAsia="方正仿宋_GB2312" w:cs="方正仿宋_GB2312"/>
          <w:b w:val="0"/>
          <w:bCs w:val="0"/>
          <w:i w:val="0"/>
          <w:iCs w:val="0"/>
          <w:caps w:val="0"/>
          <w:color w:val="000000"/>
          <w:spacing w:val="0"/>
          <w:sz w:val="32"/>
          <w:szCs w:val="32"/>
          <w:shd w:val="clear" w:fill="FFFFFF"/>
        </w:rPr>
        <w:t>般公共预算财政拨款基本支出决算表</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b w:val="0"/>
          <w:bCs w:val="0"/>
          <w:i w:val="0"/>
          <w:iCs w:val="0"/>
          <w:caps w:val="0"/>
          <w:color w:val="000000"/>
          <w:spacing w:val="0"/>
          <w:sz w:val="32"/>
          <w:szCs w:val="32"/>
          <w:shd w:val="clear" w:fill="FFFFFF"/>
        </w:rPr>
        <w:t>九、</w:t>
      </w:r>
      <w:r>
        <w:rPr>
          <w:rFonts w:hint="eastAsia" w:ascii="方正仿宋_GB2312" w:hAnsi="方正仿宋_GB2312" w:eastAsia="方正仿宋_GB2312" w:cs="方正仿宋_GB2312"/>
          <w:i w:val="0"/>
          <w:iCs w:val="0"/>
          <w:caps w:val="0"/>
          <w:color w:val="000000"/>
          <w:spacing w:val="0"/>
          <w:sz w:val="32"/>
          <w:szCs w:val="32"/>
          <w:shd w:val="clear" w:fill="FFFFFF"/>
        </w:rPr>
        <w:t>一</w:t>
      </w:r>
      <w:r>
        <w:rPr>
          <w:rFonts w:hint="eastAsia" w:ascii="方正仿宋_GB2312" w:hAnsi="方正仿宋_GB2312" w:eastAsia="方正仿宋_GB2312" w:cs="方正仿宋_GB2312"/>
          <w:b w:val="0"/>
          <w:bCs w:val="0"/>
          <w:i w:val="0"/>
          <w:iCs w:val="0"/>
          <w:caps w:val="0"/>
          <w:color w:val="000000"/>
          <w:spacing w:val="0"/>
          <w:sz w:val="32"/>
          <w:szCs w:val="32"/>
          <w:shd w:val="clear" w:fill="FFFFFF"/>
        </w:rPr>
        <w:t>般公共预算财政拨款项目支出决算表</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b w:val="0"/>
          <w:bCs w:val="0"/>
          <w:i w:val="0"/>
          <w:iCs w:val="0"/>
          <w:caps w:val="0"/>
          <w:color w:val="000000"/>
          <w:spacing w:val="0"/>
          <w:sz w:val="32"/>
          <w:szCs w:val="32"/>
          <w:shd w:val="clear" w:fill="FFFFFF"/>
        </w:rPr>
        <w:t>十、</w:t>
      </w:r>
      <w:r>
        <w:rPr>
          <w:rFonts w:hint="eastAsia" w:ascii="方正仿宋_GB2312" w:hAnsi="方正仿宋_GB2312" w:eastAsia="方正仿宋_GB2312" w:cs="方正仿宋_GB2312"/>
          <w:i w:val="0"/>
          <w:iCs w:val="0"/>
          <w:caps w:val="0"/>
          <w:color w:val="000000"/>
          <w:spacing w:val="0"/>
          <w:sz w:val="32"/>
          <w:szCs w:val="32"/>
          <w:shd w:val="clear" w:fill="FFFFFF"/>
        </w:rPr>
        <w:t>一</w:t>
      </w:r>
      <w:r>
        <w:rPr>
          <w:rFonts w:hint="eastAsia" w:ascii="方正仿宋_GB2312" w:hAnsi="方正仿宋_GB2312" w:eastAsia="方正仿宋_GB2312" w:cs="方正仿宋_GB2312"/>
          <w:b w:val="0"/>
          <w:bCs w:val="0"/>
          <w:i w:val="0"/>
          <w:iCs w:val="0"/>
          <w:caps w:val="0"/>
          <w:color w:val="000000"/>
          <w:spacing w:val="0"/>
          <w:sz w:val="32"/>
          <w:szCs w:val="32"/>
          <w:shd w:val="clear" w:fill="FFFFFF"/>
        </w:rPr>
        <w:t>般公共预算财政拨款“三公”经费支出决算表</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b w:val="0"/>
          <w:bCs w:val="0"/>
          <w:i w:val="0"/>
          <w:iCs w:val="0"/>
          <w:caps w:val="0"/>
          <w:color w:val="000000"/>
          <w:spacing w:val="0"/>
          <w:sz w:val="32"/>
          <w:szCs w:val="32"/>
          <w:shd w:val="clear" w:fill="FFFFFF"/>
        </w:rPr>
        <w:t>十一、政府性基金预算财政拨款收入支出决算表</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b w:val="0"/>
          <w:bCs w:val="0"/>
          <w:i w:val="0"/>
          <w:iCs w:val="0"/>
          <w:caps w:val="0"/>
          <w:color w:val="000000"/>
          <w:spacing w:val="0"/>
          <w:sz w:val="32"/>
          <w:szCs w:val="32"/>
          <w:shd w:val="clear" w:fill="FFFFFF"/>
        </w:rPr>
        <w:t>十二、政府性基金预算财政拨款“三公”经费支出决算表</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b w:val="0"/>
          <w:bCs w:val="0"/>
          <w:i w:val="0"/>
          <w:iCs w:val="0"/>
          <w:caps w:val="0"/>
          <w:color w:val="000000"/>
          <w:spacing w:val="0"/>
          <w:sz w:val="32"/>
          <w:szCs w:val="32"/>
          <w:shd w:val="clear" w:fill="FFFFFF"/>
        </w:rPr>
        <w:t>十三、国有资本经营预算财政拨款收入支出决算表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rPr>
      </w:pPr>
      <w:r>
        <w:rPr>
          <w:rFonts w:hint="eastAsia" w:ascii="方正仿宋_GB2312" w:hAnsi="方正仿宋_GB2312" w:eastAsia="方正仿宋_GB2312" w:cs="方正仿宋_GB2312"/>
          <w:b w:val="0"/>
          <w:bCs w:val="0"/>
          <w:i w:val="0"/>
          <w:iCs w:val="0"/>
          <w:caps w:val="0"/>
          <w:color w:val="000000"/>
          <w:spacing w:val="0"/>
          <w:sz w:val="32"/>
          <w:szCs w:val="32"/>
          <w:shd w:val="clear" w:fill="FFFFFF"/>
        </w:rPr>
        <w:t>十四、国有资本经营预算财政拨款支出决算表</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line="576" w:lineRule="exact"/>
        <w:ind w:left="0" w:firstLine="640" w:firstLineChars="200"/>
        <w:jc w:val="left"/>
        <w:rPr>
          <w:rFonts w:hint="eastAsia" w:ascii="方正仿宋_GB2312" w:hAnsi="方正仿宋_GB2312" w:eastAsia="方正仿宋_GB2312" w:cs="方正仿宋_GB2312"/>
          <w:i w:val="0"/>
          <w:iCs w:val="0"/>
          <w:caps w:val="0"/>
          <w:color w:val="555555"/>
          <w:spacing w:val="0"/>
          <w:sz w:val="32"/>
          <w:szCs w:val="32"/>
          <w:lang w:eastAsia="zh-CN"/>
        </w:rPr>
      </w:pPr>
      <w:r>
        <w:rPr>
          <w:rFonts w:hint="eastAsia" w:ascii="方正仿宋_GB2312" w:hAnsi="方正仿宋_GB2312" w:eastAsia="方正仿宋_GB2312" w:cs="方正仿宋_GB2312"/>
          <w:b w:val="0"/>
          <w:bCs w:val="0"/>
          <w:i w:val="0"/>
          <w:iCs w:val="0"/>
          <w:caps w:val="0"/>
          <w:color w:val="000000"/>
          <w:spacing w:val="0"/>
          <w:sz w:val="32"/>
          <w:szCs w:val="32"/>
          <w:shd w:val="clear" w:fill="FFFFFF"/>
        </w:rPr>
        <w:t>附件：</w:t>
      </w:r>
      <w:r>
        <w:rPr>
          <w:rFonts w:hint="eastAsia" w:ascii="方正仿宋_GB2312" w:hAnsi="方正仿宋_GB2312" w:eastAsia="方正仿宋_GB2312" w:cs="方正仿宋_GB2312"/>
          <w:b w:val="0"/>
          <w:bCs w:val="0"/>
          <w:i w:val="0"/>
          <w:iCs w:val="0"/>
          <w:caps w:val="0"/>
          <w:color w:val="000000"/>
          <w:spacing w:val="0"/>
          <w:sz w:val="32"/>
          <w:szCs w:val="32"/>
          <w:shd w:val="clear" w:fill="FFFFFF"/>
        </w:rPr>
        <w:fldChar w:fldCharType="begin"/>
      </w:r>
      <w:r>
        <w:rPr>
          <w:rFonts w:hint="eastAsia" w:ascii="方正仿宋_GB2312" w:hAnsi="方正仿宋_GB2312" w:eastAsia="方正仿宋_GB2312" w:cs="方正仿宋_GB2312"/>
          <w:b w:val="0"/>
          <w:bCs w:val="0"/>
          <w:i w:val="0"/>
          <w:iCs w:val="0"/>
          <w:caps w:val="0"/>
          <w:color w:val="000000"/>
          <w:spacing w:val="0"/>
          <w:sz w:val="32"/>
          <w:szCs w:val="32"/>
          <w:shd w:val="clear" w:fill="FFFFFF"/>
        </w:rPr>
        <w:instrText xml:space="preserve"> HYPERLINK "九三学社2021决算公开表.xls" </w:instrText>
      </w:r>
      <w:r>
        <w:rPr>
          <w:rFonts w:hint="eastAsia" w:ascii="方正仿宋_GB2312" w:hAnsi="方正仿宋_GB2312" w:eastAsia="方正仿宋_GB2312" w:cs="方正仿宋_GB2312"/>
          <w:b w:val="0"/>
          <w:bCs w:val="0"/>
          <w:i w:val="0"/>
          <w:iCs w:val="0"/>
          <w:caps w:val="0"/>
          <w:color w:val="000000"/>
          <w:spacing w:val="0"/>
          <w:sz w:val="32"/>
          <w:szCs w:val="32"/>
          <w:shd w:val="clear" w:fill="FFFFFF"/>
        </w:rPr>
        <w:fldChar w:fldCharType="separate"/>
      </w:r>
      <w:r>
        <w:rPr>
          <w:rStyle w:val="9"/>
          <w:rFonts w:hint="eastAsia" w:ascii="方正仿宋_GB2312" w:hAnsi="方正仿宋_GB2312" w:eastAsia="方正仿宋_GB2312" w:cs="方正仿宋_GB2312"/>
          <w:b w:val="0"/>
          <w:bCs w:val="0"/>
          <w:i w:val="0"/>
          <w:iCs w:val="0"/>
          <w:caps w:val="0"/>
          <w:color w:val="000000"/>
          <w:spacing w:val="0"/>
          <w:sz w:val="32"/>
          <w:szCs w:val="32"/>
          <w:shd w:val="clear" w:fill="FFFFFF"/>
        </w:rPr>
        <w:t>九三学社2021决算公开表.xls</w:t>
      </w:r>
      <w:r>
        <w:rPr>
          <w:rFonts w:hint="eastAsia" w:ascii="方正仿宋_GB2312" w:hAnsi="方正仿宋_GB2312" w:eastAsia="方正仿宋_GB2312" w:cs="方正仿宋_GB2312"/>
          <w:b w:val="0"/>
          <w:bCs w:val="0"/>
          <w:i w:val="0"/>
          <w:iCs w:val="0"/>
          <w:caps w:val="0"/>
          <w:color w:val="000000"/>
          <w:spacing w:val="0"/>
          <w:sz w:val="32"/>
          <w:szCs w:val="32"/>
          <w:shd w:val="clear" w:fill="FFFFFF"/>
        </w:rPr>
        <w:fldChar w:fldCharType="end"/>
      </w:r>
    </w:p>
    <w:p>
      <w:pPr>
        <w:keepNext w:val="0"/>
        <w:keepLines w:val="0"/>
        <w:pageBreakBefore w:val="0"/>
        <w:kinsoku/>
        <w:wordWrap/>
        <w:overflowPunct/>
        <w:topLinePunct w:val="0"/>
        <w:autoSpaceDE/>
        <w:autoSpaceDN/>
        <w:bidi w:val="0"/>
        <w:adjustRightInd/>
        <w:snapToGrid/>
        <w:spacing w:line="576" w:lineRule="exact"/>
        <w:ind w:firstLine="420" w:firstLine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embedRegular r:id="rId1" w:fontKey="{B333874F-9EE2-4BC6-9486-8C36B85834F1}"/>
  </w:font>
  <w:font w:name="方正仿宋_GB2312">
    <w:panose1 w:val="02000000000000000000"/>
    <w:charset w:val="86"/>
    <w:family w:val="auto"/>
    <w:pitch w:val="default"/>
    <w:sig w:usb0="A00002BF" w:usb1="184F6CFA" w:usb2="00000012" w:usb3="00000000" w:csb0="00040001" w:csb1="00000000"/>
    <w:embedRegular r:id="rId2" w:fontKey="{ABCD6D7D-5C8E-43AA-8D42-1243AC3C25D1}"/>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A177C8"/>
    <w:multiLevelType w:val="multilevel"/>
    <w:tmpl w:val="96A177C8"/>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4F87602E"/>
    <w:rsid w:val="09100915"/>
    <w:rsid w:val="147F6A78"/>
    <w:rsid w:val="29B83BE4"/>
    <w:rsid w:val="2D270BB2"/>
    <w:rsid w:val="382D0783"/>
    <w:rsid w:val="3ECC295E"/>
    <w:rsid w:val="4045528B"/>
    <w:rsid w:val="4F87602E"/>
    <w:rsid w:val="52A84397"/>
    <w:rsid w:val="53D55AFF"/>
    <w:rsid w:val="563E2521"/>
    <w:rsid w:val="61CD2207"/>
    <w:rsid w:val="64D232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NUL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6803</Words>
  <Characters>7353</Characters>
  <Lines>0</Lines>
  <Paragraphs>0</Paragraphs>
  <TotalTime>10</TotalTime>
  <ScaleCrop>false</ScaleCrop>
  <LinksUpToDate>false</LinksUpToDate>
  <CharactersWithSpaces>7390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2023-07-03T07:58:00Z</dcterms:created>
  <dc:creator>高鸿婷</dc:creator>
  <cp:lastModifiedBy>玖千余为春秋</cp:lastModifiedBy>
  <dcterms:modified xsi:type="dcterms:W3CDTF">2023-07-22T04:23:42Z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6DBD2432FBB14502BDBE17B3ED0FF489</vt:lpwstr>
  </property>
</Properties>
</file>