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Style w:val="20"/>
          <w:rFonts w:hint="default"/>
          <w:lang w:val="en-US" w:eastAsia="zh-CN"/>
        </w:rPr>
      </w:pPr>
      <w:bookmarkStart w:id="0" w:name="_Toc15396475"/>
      <w:bookmarkStart w:id="1" w:name="_Toc15378441"/>
      <w:bookmarkStart w:id="2" w:name="_Toc15377193"/>
      <w:bookmarkStart w:id="3" w:name="_Toc15377425"/>
      <w:bookmarkStart w:id="4" w:name="_Toc15396597"/>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黑体" w:hAnsi="黑体" w:eastAsia="黑体" w:cs="Times New Roman"/>
          <w:b/>
          <w:bCs/>
          <w:color w:val="000000"/>
          <w:sz w:val="72"/>
          <w:szCs w:val="72"/>
        </w:rPr>
      </w:pPr>
      <w:r>
        <w:rPr>
          <w:rFonts w:hint="eastAsia" w:ascii="黑体" w:hAnsi="黑体" w:eastAsia="黑体" w:cs="Times New Roman"/>
          <w:b/>
          <w:bCs/>
          <w:color w:val="000000"/>
          <w:sz w:val="72"/>
          <w:szCs w:val="72"/>
        </w:rPr>
        <w:t>20</w:t>
      </w:r>
      <w:r>
        <w:rPr>
          <w:rFonts w:hint="eastAsia" w:ascii="黑体" w:hAnsi="黑体" w:eastAsia="黑体" w:cs="Times New Roman"/>
          <w:b/>
          <w:bCs/>
          <w:color w:val="000000"/>
          <w:sz w:val="72"/>
          <w:szCs w:val="72"/>
          <w:lang w:val="en-US" w:eastAsia="zh-CN"/>
        </w:rPr>
        <w:t>21</w:t>
      </w:r>
      <w:r>
        <w:rPr>
          <w:rFonts w:hint="eastAsia" w:ascii="黑体" w:hAnsi="黑体" w:eastAsia="黑体" w:cs="Times New Roman"/>
          <w:b/>
          <w:bCs/>
          <w:color w:val="000000"/>
          <w:sz w:val="72"/>
          <w:szCs w:val="72"/>
        </w:rPr>
        <w:t>年度</w:t>
      </w:r>
      <w:bookmarkEnd w:id="0"/>
      <w:bookmarkEnd w:id="1"/>
      <w:bookmarkEnd w:id="2"/>
      <w:bookmarkEnd w:id="3"/>
      <w:bookmarkEnd w:id="4"/>
    </w:p>
    <w:bookmarkEnd w:id="5"/>
    <w:p>
      <w:pPr>
        <w:adjustRightInd w:val="0"/>
        <w:snapToGrid w:val="0"/>
        <w:spacing w:line="360" w:lineRule="auto"/>
        <w:jc w:val="center"/>
        <w:outlineLvl w:val="0"/>
        <w:rPr>
          <w:rFonts w:hint="eastAsia" w:ascii="黑体" w:hAnsi="黑体" w:eastAsia="黑体" w:cs="Times New Roman"/>
          <w:b/>
          <w:bCs/>
          <w:color w:val="000000"/>
          <w:sz w:val="72"/>
          <w:szCs w:val="72"/>
        </w:rPr>
      </w:pPr>
      <w:bookmarkStart w:id="6" w:name="_Toc15396598"/>
      <w:bookmarkStart w:id="7" w:name="_Toc15306268"/>
      <w:bookmarkStart w:id="8" w:name="_Toc15396476"/>
      <w:bookmarkStart w:id="9" w:name="_Toc15377426"/>
      <w:bookmarkStart w:id="10" w:name="_Toc15378442"/>
      <w:bookmarkStart w:id="11" w:name="_Toc15377194"/>
      <w:r>
        <w:rPr>
          <w:rFonts w:hint="eastAsia" w:ascii="黑体" w:hAnsi="黑体" w:eastAsia="黑体" w:cs="Times New Roman"/>
          <w:b/>
          <w:bCs/>
          <w:color w:val="000000"/>
          <w:sz w:val="72"/>
          <w:szCs w:val="72"/>
        </w:rPr>
        <w:t>广元市</w:t>
      </w:r>
      <w:r>
        <w:rPr>
          <w:rFonts w:hint="eastAsia" w:ascii="黑体" w:hAnsi="黑体" w:eastAsia="黑体" w:cs="Times New Roman"/>
          <w:b/>
          <w:bCs/>
          <w:color w:val="000000"/>
          <w:sz w:val="72"/>
          <w:szCs w:val="72"/>
          <w:lang w:eastAsia="zh-CN"/>
        </w:rPr>
        <w:t>市级财政国库支付中心</w:t>
      </w:r>
      <w:r>
        <w:rPr>
          <w:rFonts w:hint="eastAsia" w:ascii="黑体" w:hAnsi="黑体" w:eastAsia="黑体" w:cs="Times New Roman"/>
          <w:b/>
          <w:bCs/>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2"/>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20</w:t>
      </w:r>
      <w:r>
        <w:rPr>
          <w:rFonts w:hint="eastAsia"/>
          <w:color w:val="auto"/>
          <w:highlight w:val="none"/>
        </w:rPr>
        <w:t>日</w:t>
      </w:r>
    </w:p>
    <w:p>
      <w:pPr>
        <w:rPr>
          <w:rFonts w:hint="eastAsia" w:ascii="宋体" w:hAnsi="宋体" w:eastAsia="宋体" w:cs="宋体"/>
          <w:b/>
          <w:bCs/>
          <w:kern w:val="2"/>
          <w:sz w:val="28"/>
          <w:szCs w:val="28"/>
          <w:lang w:val="en-US" w:eastAsia="zh-CN" w:bidi="ar-SA"/>
        </w:rPr>
      </w:pPr>
    </w:p>
    <w:p>
      <w:pPr>
        <w:pStyle w:val="12"/>
        <w:numPr>
          <w:ilvl w:val="0"/>
          <w:numId w:val="1"/>
        </w:numPr>
        <w:adjustRightInd w:val="0"/>
        <w:snapToGrid w:val="0"/>
        <w:spacing w:before="0" w:line="440" w:lineRule="exact"/>
        <w:jc w:val="left"/>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部门概况</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4</w:t>
      </w:r>
    </w:p>
    <w:p>
      <w:pPr>
        <w:pStyle w:val="12"/>
        <w:numPr>
          <w:ilvl w:val="0"/>
          <w:numId w:val="0"/>
        </w:numPr>
        <w:adjustRightInd w:val="0"/>
        <w:snapToGrid w:val="0"/>
        <w:spacing w:before="0" w:line="44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"_Toc15396600"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一、基本职能及主要工作</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4</w:t>
      </w:r>
      <w:r>
        <w:rPr>
          <w:rFonts w:hint="eastAsia" w:ascii="宋体" w:hAnsi="宋体" w:eastAsia="宋体" w:cs="宋体"/>
          <w:sz w:val="28"/>
          <w:szCs w:val="28"/>
          <w:lang w:val="en-US" w:eastAsia="zh-CN"/>
        </w:rPr>
        <w:fldChar w:fldCharType="end"/>
      </w:r>
    </w:p>
    <w:p>
      <w:pPr>
        <w:pStyle w:val="12"/>
        <w:adjustRightInd w:val="0"/>
        <w:snapToGrid w:val="0"/>
        <w:spacing w:before="0" w:line="440" w:lineRule="exact"/>
        <w:ind w:firstLine="560" w:firstLineChars="20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"_Toc15396601"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二、机构设置</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8</w:t>
      </w:r>
    </w:p>
    <w:p>
      <w:pPr>
        <w:pStyle w:val="12"/>
        <w:numPr>
          <w:ilvl w:val="0"/>
          <w:numId w:val="1"/>
        </w:numPr>
        <w:adjustRightInd w:val="0"/>
        <w:snapToGrid w:val="0"/>
        <w:spacing w:before="0" w:line="440" w:lineRule="exact"/>
        <w:jc w:val="left"/>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2021年度部门决算情况说明</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9</w:t>
      </w:r>
    </w:p>
    <w:p>
      <w:pPr>
        <w:pStyle w:val="13"/>
        <w:numPr>
          <w:ilvl w:val="0"/>
          <w:numId w:val="0"/>
        </w:numPr>
        <w:adjustRightInd w:val="0"/>
        <w:snapToGrid w:val="0"/>
        <w:spacing w:line="440" w:lineRule="exact"/>
        <w:ind w:firstLine="560" w:firstLineChars="200"/>
        <w:jc w:val="left"/>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一、</w:t>
      </w:r>
      <w:r>
        <w:rPr>
          <w:rFonts w:hint="eastAsia" w:ascii="宋体" w:hAnsi="宋体" w:eastAsia="宋体" w:cs="宋体"/>
          <w:kern w:val="2"/>
          <w:sz w:val="28"/>
          <w:szCs w:val="28"/>
          <w:lang w:val="en-US" w:eastAsia="zh-CN" w:bidi="ar-SA"/>
        </w:rPr>
        <w:t>收入支出决算总体情况说明</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9</w:t>
      </w:r>
    </w:p>
    <w:p>
      <w:pPr>
        <w:pStyle w:val="13"/>
        <w:numPr>
          <w:ilvl w:val="0"/>
          <w:numId w:val="0"/>
        </w:numPr>
        <w:adjustRightInd w:val="0"/>
        <w:snapToGrid w:val="0"/>
        <w:spacing w:line="440" w:lineRule="exact"/>
        <w:ind w:firstLine="560" w:firstLineChars="200"/>
        <w:jc w:val="left"/>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二、</w:t>
      </w:r>
      <w:r>
        <w:rPr>
          <w:rFonts w:hint="eastAsia" w:ascii="宋体" w:hAnsi="宋体" w:eastAsia="宋体" w:cs="宋体"/>
          <w:kern w:val="2"/>
          <w:sz w:val="28"/>
          <w:szCs w:val="28"/>
          <w:lang w:val="en-US" w:eastAsia="zh-CN" w:bidi="ar-SA"/>
        </w:rPr>
        <w:t>收入决算情况说明</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9</w:t>
      </w:r>
    </w:p>
    <w:p>
      <w:pPr>
        <w:pStyle w:val="13"/>
        <w:adjustRightInd w:val="0"/>
        <w:snapToGrid w:val="0"/>
        <w:spacing w:line="440" w:lineRule="exact"/>
        <w:ind w:left="0" w:leftChars="0" w:firstLine="560" w:firstLineChars="200"/>
        <w:jc w:val="left"/>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三、</w:t>
      </w:r>
      <w:r>
        <w:rPr>
          <w:rFonts w:hint="eastAsia" w:ascii="宋体" w:hAnsi="宋体" w:eastAsia="宋体" w:cs="宋体"/>
          <w:kern w:val="2"/>
          <w:sz w:val="28"/>
          <w:szCs w:val="28"/>
          <w:lang w:val="en-US" w:eastAsia="zh-CN" w:bidi="ar-SA"/>
        </w:rPr>
        <w:t>支出决算情况说明</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10</w:t>
      </w:r>
    </w:p>
    <w:p>
      <w:pPr>
        <w:pStyle w:val="13"/>
        <w:adjustRightInd w:val="0"/>
        <w:snapToGrid w:val="0"/>
        <w:spacing w:line="440" w:lineRule="exact"/>
        <w:ind w:left="0" w:leftChars="0" w:firstLine="560" w:firstLineChars="200"/>
        <w:jc w:val="left"/>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四、</w:t>
      </w:r>
      <w:r>
        <w:rPr>
          <w:rFonts w:hint="eastAsia" w:ascii="宋体" w:hAnsi="宋体" w:eastAsia="宋体" w:cs="宋体"/>
          <w:kern w:val="2"/>
          <w:sz w:val="28"/>
          <w:szCs w:val="28"/>
          <w:lang w:val="en-US" w:eastAsia="zh-CN" w:bidi="ar-SA"/>
        </w:rPr>
        <w:t>财政拨款收入支出决算总体情况说明</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11</w:t>
      </w:r>
    </w:p>
    <w:p>
      <w:pPr>
        <w:pStyle w:val="13"/>
        <w:adjustRightInd w:val="0"/>
        <w:snapToGrid w:val="0"/>
        <w:spacing w:line="440" w:lineRule="exact"/>
        <w:ind w:left="0" w:leftChars="0" w:firstLine="560" w:firstLineChars="200"/>
        <w:jc w:val="left"/>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五、</w:t>
      </w:r>
      <w:r>
        <w:rPr>
          <w:rFonts w:hint="eastAsia" w:ascii="宋体" w:hAnsi="宋体" w:eastAsia="宋体" w:cs="宋体"/>
          <w:kern w:val="2"/>
          <w:sz w:val="28"/>
          <w:szCs w:val="28"/>
          <w:lang w:val="en-US" w:eastAsia="zh-CN" w:bidi="ar-SA"/>
        </w:rPr>
        <w:t>一般公共预算财政拨款支出决算情况说明</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11</w:t>
      </w:r>
    </w:p>
    <w:p>
      <w:pPr>
        <w:pStyle w:val="13"/>
        <w:adjustRightInd w:val="0"/>
        <w:snapToGrid w:val="0"/>
        <w:spacing w:line="440" w:lineRule="exact"/>
        <w:ind w:left="0" w:leftChars="0" w:firstLine="560" w:firstLineChars="200"/>
        <w:jc w:val="left"/>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六、</w:t>
      </w:r>
      <w:r>
        <w:rPr>
          <w:rFonts w:hint="eastAsia" w:ascii="宋体" w:hAnsi="宋体" w:eastAsia="宋体" w:cs="宋体"/>
          <w:kern w:val="2"/>
          <w:sz w:val="28"/>
          <w:szCs w:val="28"/>
          <w:lang w:val="en-US" w:eastAsia="zh-CN" w:bidi="ar-SA"/>
        </w:rPr>
        <w:t>一般公共预算财政拨款基本支出决算情况说明</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14</w:t>
      </w:r>
    </w:p>
    <w:p>
      <w:pPr>
        <w:pStyle w:val="13"/>
        <w:adjustRightInd w:val="0"/>
        <w:snapToGrid w:val="0"/>
        <w:spacing w:line="440" w:lineRule="exact"/>
        <w:ind w:left="0" w:leftChars="0" w:firstLine="560" w:firstLineChars="200"/>
        <w:jc w:val="left"/>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七、</w:t>
      </w:r>
      <w:r>
        <w:rPr>
          <w:rFonts w:hint="eastAsia" w:ascii="宋体" w:hAnsi="宋体" w:eastAsia="宋体" w:cs="宋体"/>
          <w:kern w:val="2"/>
          <w:sz w:val="28"/>
          <w:szCs w:val="28"/>
          <w:lang w:val="en-US" w:eastAsia="zh-CN" w:bidi="ar-SA"/>
        </w:rPr>
        <w:t>“三公”经费财政拨款支出决算情况说明</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15</w:t>
      </w:r>
    </w:p>
    <w:p>
      <w:pPr>
        <w:pStyle w:val="13"/>
        <w:adjustRightInd w:val="0"/>
        <w:snapToGrid w:val="0"/>
        <w:spacing w:line="440" w:lineRule="exact"/>
        <w:ind w:left="0" w:leftChars="0" w:firstLine="560" w:firstLineChars="200"/>
        <w:jc w:val="left"/>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八、</w:t>
      </w:r>
      <w:r>
        <w:rPr>
          <w:rFonts w:hint="eastAsia" w:ascii="宋体" w:hAnsi="宋体" w:eastAsia="宋体" w:cs="宋体"/>
          <w:kern w:val="2"/>
          <w:sz w:val="28"/>
          <w:szCs w:val="28"/>
          <w:lang w:val="en-US" w:eastAsia="zh-CN" w:bidi="ar-SA"/>
        </w:rPr>
        <w:t>政府性基金预算支出决算情况说明</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16</w:t>
      </w:r>
    </w:p>
    <w:p>
      <w:pPr>
        <w:pStyle w:val="13"/>
        <w:adjustRightInd w:val="0"/>
        <w:snapToGrid w:val="0"/>
        <w:spacing w:line="440" w:lineRule="exact"/>
        <w:ind w:left="0" w:leftChars="0" w:firstLine="560" w:firstLineChars="200"/>
        <w:jc w:val="left"/>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九、</w:t>
      </w:r>
      <w:r>
        <w:rPr>
          <w:rFonts w:hint="eastAsia" w:ascii="宋体" w:hAnsi="宋体" w:eastAsia="宋体" w:cs="宋体"/>
          <w:kern w:val="2"/>
          <w:sz w:val="28"/>
          <w:szCs w:val="28"/>
          <w:lang w:val="en-US" w:eastAsia="zh-CN" w:bidi="ar-SA"/>
        </w:rPr>
        <w:t>国有资本经营预算支出决算情况说明</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16</w:t>
      </w:r>
    </w:p>
    <w:p>
      <w:pPr>
        <w:pStyle w:val="13"/>
        <w:adjustRightInd w:val="0"/>
        <w:snapToGrid w:val="0"/>
        <w:spacing w:line="440" w:lineRule="exact"/>
        <w:ind w:left="0" w:leftChars="0" w:firstLine="560" w:firstLineChars="200"/>
        <w:jc w:val="left"/>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十、</w:t>
      </w:r>
      <w:r>
        <w:rPr>
          <w:rFonts w:hint="eastAsia" w:ascii="宋体" w:hAnsi="宋体" w:eastAsia="宋体" w:cs="宋体"/>
          <w:kern w:val="2"/>
          <w:sz w:val="28"/>
          <w:szCs w:val="28"/>
          <w:lang w:val="en-US" w:eastAsia="zh-CN" w:bidi="ar-SA"/>
        </w:rPr>
        <w:t>预算绩效管理情况</w:t>
      </w:r>
      <w:r>
        <w:rPr>
          <w:rFonts w:hint="eastAsia" w:ascii="宋体" w:hAnsi="宋体" w:eastAsia="宋体" w:cs="宋体"/>
          <w:kern w:val="2"/>
          <w:sz w:val="28"/>
          <w:szCs w:val="28"/>
          <w:lang w:val="en-US" w:eastAsia="zh-CN" w:bidi="ar-SA"/>
        </w:rPr>
        <w:tab/>
      </w:r>
      <w:r>
        <w:rPr>
          <w:rFonts w:hint="eastAsia" w:ascii="宋体" w:hAnsi="宋体" w:cs="宋体"/>
          <w:kern w:val="2"/>
          <w:sz w:val="28"/>
          <w:szCs w:val="28"/>
          <w:lang w:val="en-US" w:eastAsia="zh-CN" w:bidi="ar-SA"/>
        </w:rPr>
        <w:t>16</w:t>
      </w:r>
    </w:p>
    <w:p>
      <w:pPr>
        <w:pStyle w:val="13"/>
        <w:adjustRightInd w:val="0"/>
        <w:snapToGrid w:val="0"/>
        <w:spacing w:line="440" w:lineRule="exact"/>
        <w:ind w:left="0" w:leftChars="0" w:firstLine="560" w:firstLineChars="200"/>
        <w:jc w:val="left"/>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十一、</w:t>
      </w:r>
      <w:r>
        <w:rPr>
          <w:rFonts w:hint="eastAsia" w:ascii="宋体" w:hAnsi="宋体" w:eastAsia="宋体" w:cs="宋体"/>
          <w:kern w:val="2"/>
          <w:sz w:val="28"/>
          <w:szCs w:val="28"/>
          <w:lang w:val="en-US" w:eastAsia="zh-CN" w:bidi="ar-SA"/>
        </w:rPr>
        <w:t>其他重要事项的情况说明</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17</w:t>
      </w:r>
    </w:p>
    <w:p>
      <w:pPr>
        <w:pStyle w:val="12"/>
        <w:numPr>
          <w:ilvl w:val="0"/>
          <w:numId w:val="1"/>
        </w:numPr>
        <w:adjustRightInd w:val="0"/>
        <w:snapToGrid w:val="0"/>
        <w:spacing w:before="0" w:line="440" w:lineRule="exact"/>
        <w:jc w:val="left"/>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名词解释</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18</w:t>
      </w:r>
    </w:p>
    <w:p>
      <w:pPr>
        <w:pStyle w:val="12"/>
        <w:numPr>
          <w:ilvl w:val="0"/>
          <w:numId w:val="1"/>
        </w:numPr>
        <w:adjustRightInd w:val="0"/>
        <w:snapToGrid w:val="0"/>
        <w:spacing w:before="0" w:line="440" w:lineRule="exact"/>
        <w:jc w:val="left"/>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附件</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20</w:t>
      </w:r>
    </w:p>
    <w:p>
      <w:pPr>
        <w:pStyle w:val="13"/>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left"/>
        <w:textAlignment w:val="auto"/>
        <w:rPr>
          <w:rFonts w:hint="eastAsia" w:ascii="宋体" w:hAnsi="宋体" w:cs="宋体"/>
          <w:sz w:val="28"/>
          <w:szCs w:val="28"/>
          <w:lang w:val="en-US" w:eastAsia="zh-CN"/>
        </w:rPr>
      </w:pPr>
      <w:r>
        <w:rPr>
          <w:rFonts w:hint="eastAsia" w:ascii="宋体" w:hAnsi="宋体" w:cs="宋体"/>
          <w:kern w:val="2"/>
          <w:sz w:val="28"/>
          <w:szCs w:val="28"/>
          <w:lang w:val="en-US" w:eastAsia="zh-CN" w:bidi="ar-SA"/>
        </w:rPr>
        <w:t>附件1、</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20</w:t>
      </w:r>
    </w:p>
    <w:p>
      <w:pPr>
        <w:pStyle w:val="13"/>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left"/>
        <w:textAlignment w:val="auto"/>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附件2、</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25</w:t>
      </w:r>
    </w:p>
    <w:p>
      <w:pPr>
        <w:pStyle w:val="12"/>
        <w:numPr>
          <w:ilvl w:val="0"/>
          <w:numId w:val="1"/>
        </w:numPr>
        <w:adjustRightInd w:val="0"/>
        <w:snapToGrid w:val="0"/>
        <w:spacing w:before="0" w:line="440" w:lineRule="exact"/>
        <w:jc w:val="left"/>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附表</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一、收入支出决算总表</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二、收入决算表</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三、支出决算表</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四、财政拨款收入支出决算总表</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五、财政拨款支出决算明细表</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六、一般公共预算财政拨款支出决算表</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七、一般公共预算财政拨款支出决算明细表</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八、一般公共预算财政拨款基本支出决算表</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九、一般公共预算财政拨款项目支出决算表</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十、一般公共预算财政拨款“三公”经费支出决算表</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十一、政府性基金预算财政拨款收入支出决算表</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十二、政府性基金预算财政拨款“三公”经费支出决算表</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left"/>
        <w:textAlignment w:val="auto"/>
        <w:rPr>
          <w:rFonts w:hint="eastAsia" w:ascii="宋体" w:hAnsi="宋体" w:cs="宋体"/>
          <w:sz w:val="28"/>
          <w:szCs w:val="28"/>
          <w:lang w:val="en-US" w:eastAsia="zh-CN"/>
        </w:rPr>
      </w:pPr>
      <w:r>
        <w:rPr>
          <w:rFonts w:hint="eastAsia" w:ascii="宋体" w:hAnsi="宋体" w:eastAsia="宋体" w:cs="宋体"/>
          <w:kern w:val="2"/>
          <w:sz w:val="28"/>
          <w:szCs w:val="28"/>
          <w:lang w:val="en-US" w:eastAsia="zh-CN" w:bidi="ar-SA"/>
        </w:rPr>
        <w:t>十三、国有资本经营预算财政拨款收入支出决算表</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34</w:t>
      </w:r>
    </w:p>
    <w:p>
      <w:pPr>
        <w:pStyle w:val="13"/>
        <w:keepNext w:val="0"/>
        <w:keepLines w:val="0"/>
        <w:pageBreakBefore w:val="0"/>
        <w:widowControl w:val="0"/>
        <w:kinsoku/>
        <w:wordWrap/>
        <w:overflowPunct/>
        <w:topLinePunct w:val="0"/>
        <w:autoSpaceDE/>
        <w:autoSpaceDN/>
        <w:bidi w:val="0"/>
        <w:adjustRightInd w:val="0"/>
        <w:snapToGrid w:val="0"/>
        <w:spacing w:line="440" w:lineRule="exact"/>
        <w:ind w:left="0" w:leftChars="0" w:firstLine="560" w:firstLineChars="20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十四、国有资本经营预算财政拨款支出决算表</w:t>
      </w:r>
      <w:r>
        <w:rPr>
          <w:rFonts w:hint="eastAsia" w:ascii="宋体" w:hAnsi="宋体" w:eastAsia="宋体" w:cs="宋体"/>
          <w:sz w:val="28"/>
          <w:szCs w:val="28"/>
          <w:lang w:val="en-US" w:eastAsia="zh-CN"/>
        </w:rPr>
        <w:tab/>
      </w:r>
      <w:r>
        <w:rPr>
          <w:rFonts w:hint="eastAsia" w:ascii="宋体" w:hAnsi="宋体" w:cs="宋体"/>
          <w:sz w:val="28"/>
          <w:szCs w:val="28"/>
          <w:lang w:val="en-US" w:eastAsia="zh-CN"/>
        </w:rPr>
        <w:t>34</w:t>
      </w:r>
    </w:p>
    <w:p>
      <w:pPr>
        <w:keepNext w:val="0"/>
        <w:keepLines w:val="0"/>
        <w:pageBreakBefore w:val="0"/>
        <w:widowControl/>
        <w:kinsoku/>
        <w:wordWrap/>
        <w:overflowPunct/>
        <w:topLinePunct w:val="0"/>
        <w:autoSpaceDE/>
        <w:autoSpaceDN/>
        <w:bidi w:val="0"/>
        <w:spacing w:line="440" w:lineRule="exact"/>
        <w:ind w:firstLine="481" w:firstLineChars="200"/>
        <w:jc w:val="left"/>
        <w:textAlignment w:val="auto"/>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28"/>
          <w:rFonts w:hint="eastAsia" w:ascii="黑体" w:hAnsi="黑体" w:eastAsia="黑体"/>
          <w:b w:val="0"/>
          <w:bCs w:val="0"/>
          <w:color w:val="auto"/>
          <w:highlight w:val="none"/>
        </w:rPr>
        <w:t>部门概况</w:t>
      </w:r>
      <w:bookmarkEnd w:id="12"/>
      <w:bookmarkEnd w:id="13"/>
    </w:p>
    <w:p>
      <w:pPr>
        <w:pStyle w:val="4"/>
        <w:spacing w:before="0" w:after="0" w:line="576" w:lineRule="exact"/>
        <w:ind w:firstLine="640" w:firstLineChars="200"/>
        <w:rPr>
          <w:rStyle w:val="29"/>
          <w:rFonts w:hint="eastAsia" w:ascii="黑体" w:hAnsi="黑体" w:eastAsia="黑体"/>
          <w:b w:val="0"/>
          <w:bCs w:val="0"/>
          <w:color w:val="auto"/>
          <w:highlight w:val="none"/>
        </w:rPr>
      </w:pPr>
      <w:bookmarkStart w:id="14" w:name="_Toc15396600"/>
      <w:bookmarkStart w:id="15" w:name="_Toc15377197"/>
      <w:r>
        <w:rPr>
          <w:rFonts w:hint="eastAsia" w:ascii="黑体" w:hAnsi="黑体" w:eastAsia="黑体"/>
          <w:b w:val="0"/>
          <w:color w:val="auto"/>
          <w:highlight w:val="none"/>
          <w:lang w:eastAsia="zh-CN"/>
        </w:rPr>
        <w:t>一、</w:t>
      </w:r>
      <w:r>
        <w:rPr>
          <w:rFonts w:hint="eastAsia" w:ascii="黑体" w:hAnsi="黑体" w:eastAsia="黑体"/>
          <w:b w:val="0"/>
          <w:color w:val="auto"/>
          <w:highlight w:val="none"/>
        </w:rPr>
        <w:t>基</w:t>
      </w:r>
      <w:r>
        <w:rPr>
          <w:rStyle w:val="29"/>
          <w:rFonts w:hint="eastAsia" w:ascii="黑体" w:hAnsi="黑体" w:eastAsia="黑体"/>
          <w:b w:val="0"/>
          <w:bCs w:val="0"/>
          <w:color w:val="auto"/>
          <w:highlight w:val="none"/>
        </w:rPr>
        <w:t>本职能及主要工作</w:t>
      </w:r>
      <w:bookmarkEnd w:id="14"/>
      <w:bookmarkEnd w:id="15"/>
      <w:bookmarkStart w:id="16" w:name="_Toc15378445"/>
      <w:bookmarkStart w:id="17" w:name="_Toc15377198"/>
    </w:p>
    <w:p>
      <w:pPr>
        <w:pStyle w:val="6"/>
        <w:adjustRightInd w:val="0"/>
        <w:snapToGrid w:val="0"/>
        <w:spacing w:beforeLines="0" w:line="576" w:lineRule="exact"/>
        <w:ind w:firstLine="640" w:firstLineChars="200"/>
        <w:outlineLvl w:val="2"/>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（一）主要职能</w:t>
      </w:r>
      <w:bookmarkEnd w:id="16"/>
      <w:bookmarkEnd w:id="17"/>
    </w:p>
    <w:p>
      <w:pPr>
        <w:spacing w:line="560" w:lineRule="exact"/>
        <w:ind w:firstLine="640" w:firstLineChars="200"/>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配合财政国库部门管理市级国库单一账户体系，并进行相关的会计明细核算；协助财政国库管理部门对市级预算单位进行预算控制和用款计划审核，审核支付申请及付款凭证，具体办理财政支付业务；按总预算会计制度要求，为预算单位设立支付总账表；定期与人民银行、代理银行、预算单位核算账务，向市财政局报告财政资金支付情况；建立财政资金管理系统、汇总资金的管理和清算情况；负责市级财政预算执行动态监控工作；受理预算单位、商品供应商或劳务供应商的账务查询等事宜。</w:t>
      </w:r>
    </w:p>
    <w:p>
      <w:pPr>
        <w:pStyle w:val="6"/>
        <w:adjustRightInd w:val="0"/>
        <w:snapToGrid w:val="0"/>
        <w:spacing w:beforeLines="0" w:line="576" w:lineRule="exact"/>
        <w:ind w:firstLine="640" w:firstLineChars="200"/>
        <w:outlineLvl w:val="2"/>
        <w:rPr>
          <w:rFonts w:hint="eastAsia" w:ascii="楷体_GB2312" w:hAnsi="楷体_GB2312" w:eastAsia="楷体_GB2312" w:cs="楷体_GB2312"/>
          <w:color w:val="000000"/>
          <w:sz w:val="32"/>
          <w:szCs w:val="32"/>
        </w:rPr>
      </w:pPr>
      <w:bookmarkStart w:id="18" w:name="_Toc15377199"/>
      <w:bookmarkStart w:id="19" w:name="_Toc15378446"/>
      <w:r>
        <w:rPr>
          <w:rFonts w:hint="eastAsia" w:ascii="楷体_GB2312" w:hAnsi="楷体_GB2312" w:eastAsia="楷体_GB2312" w:cs="楷体_GB2312"/>
          <w:color w:val="000000"/>
          <w:sz w:val="32"/>
          <w:szCs w:val="32"/>
        </w:rPr>
        <w:t>（二）20</w:t>
      </w:r>
      <w:r>
        <w:rPr>
          <w:rFonts w:hint="eastAsia" w:ascii="楷体_GB2312" w:hAnsi="楷体_GB2312" w:eastAsia="楷体_GB2312" w:cs="楷体_GB2312"/>
          <w:color w:val="000000"/>
          <w:sz w:val="32"/>
          <w:szCs w:val="32"/>
          <w:lang w:val="en-US" w:eastAsia="zh-CN"/>
        </w:rPr>
        <w:t>21</w:t>
      </w:r>
      <w:r>
        <w:rPr>
          <w:rFonts w:hint="eastAsia" w:ascii="楷体_GB2312" w:hAnsi="楷体_GB2312" w:eastAsia="楷体_GB2312" w:cs="楷体_GB2312"/>
          <w:color w:val="000000"/>
          <w:sz w:val="32"/>
          <w:szCs w:val="32"/>
        </w:rPr>
        <w:t>年重点工作完成情况</w:t>
      </w:r>
      <w:bookmarkEnd w:id="18"/>
      <w:bookmarkEnd w:id="19"/>
    </w:p>
    <w:p>
      <w:pPr>
        <w:spacing w:line="560" w:lineRule="exact"/>
        <w:ind w:firstLine="642" w:firstLineChars="200"/>
        <w:rPr>
          <w:rFonts w:hint="default"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b/>
          <w:bCs/>
          <w:kern w:val="0"/>
          <w:sz w:val="32"/>
          <w:szCs w:val="32"/>
          <w:lang w:val="en-US" w:eastAsia="zh-CN" w:bidi="ar-SA"/>
        </w:rPr>
        <w:t>1.全面履职尽责，业务工作取得新成绩。</w:t>
      </w:r>
      <w:r>
        <w:rPr>
          <w:rFonts w:hint="eastAsia" w:ascii="楷体_GB2312" w:hAnsi="楷体_GB2312" w:eastAsia="楷体_GB2312" w:cs="楷体_GB2312"/>
          <w:color w:val="000000"/>
          <w:kern w:val="0"/>
          <w:sz w:val="32"/>
          <w:szCs w:val="32"/>
          <w:lang w:val="en-US" w:eastAsia="zh-CN" w:bidi="ar-SA"/>
        </w:rPr>
        <w:t>一是严把资金审核关，确保财政支付安全高效。</w:t>
      </w:r>
      <w:r>
        <w:rPr>
          <w:rFonts w:hint="eastAsia" w:ascii="仿宋_GB2312" w:hAnsi="Times New Roman" w:eastAsia="仿宋_GB2312" w:cs="Times New Roman"/>
          <w:kern w:val="0"/>
          <w:sz w:val="32"/>
          <w:szCs w:val="32"/>
          <w:lang w:val="en-US" w:eastAsia="zh-CN" w:bidi="ar-SA"/>
        </w:rPr>
        <w:t>严格执行国库集中支付工作标准化质量保证体系的操作标准和预算法规定，对用款单位支付申请的支付方式、支付分类、支付金额、资金用途、采购标识等进行认真审核无误后，再向代理银行签发财政直接支付令，通知代理银行从财政零余额账户垫付给收款人。</w:t>
      </w:r>
      <w:r>
        <w:rPr>
          <w:rFonts w:hint="eastAsia" w:ascii="楷体_GB2312" w:hAnsi="楷体_GB2312" w:eastAsia="楷体_GB2312" w:cs="楷体_GB2312"/>
          <w:color w:val="000000"/>
          <w:kern w:val="0"/>
          <w:sz w:val="32"/>
          <w:szCs w:val="32"/>
          <w:lang w:val="en-US" w:eastAsia="zh-CN" w:bidi="ar-SA"/>
        </w:rPr>
        <w:t>二是支付效率不断提高。</w:t>
      </w:r>
      <w:r>
        <w:rPr>
          <w:rFonts w:hint="eastAsia" w:ascii="仿宋_GB2312" w:hAnsi="Times New Roman" w:eastAsia="仿宋_GB2312" w:cs="Times New Roman"/>
          <w:kern w:val="0"/>
          <w:sz w:val="32"/>
          <w:szCs w:val="32"/>
          <w:lang w:val="en-US" w:eastAsia="zh-CN" w:bidi="ar-SA"/>
        </w:rPr>
        <w:t>截至12月31日，市本级累计支付财政资金871152.8万元，同比下降11.6%，其中：直接支付738503.1万元，占财政资金84.8%，授权支付132649.6万元，占财政资金15.2%，同时大平台集中支付自有资金47289.8万元，进一步扩大了国库集中支付覆盖面。</w:t>
      </w:r>
      <w:r>
        <w:rPr>
          <w:rFonts w:hint="eastAsia" w:ascii="楷体_GB2312" w:hAnsi="楷体_GB2312" w:eastAsia="楷体_GB2312" w:cs="楷体_GB2312"/>
          <w:color w:val="000000"/>
          <w:kern w:val="0"/>
          <w:sz w:val="32"/>
          <w:szCs w:val="32"/>
          <w:lang w:val="en-US" w:eastAsia="zh-CN" w:bidi="ar-SA"/>
        </w:rPr>
        <w:t>三是及时准确进行支付核算。</w:t>
      </w:r>
      <w:r>
        <w:rPr>
          <w:rFonts w:hint="eastAsia" w:ascii="仿宋_GB2312" w:hAnsi="Times New Roman" w:eastAsia="仿宋_GB2312" w:cs="Times New Roman"/>
          <w:kern w:val="0"/>
          <w:sz w:val="32"/>
          <w:szCs w:val="32"/>
          <w:lang w:val="en-US" w:eastAsia="zh-CN" w:bidi="ar-SA"/>
        </w:rPr>
        <w:t>与代理银行、预算单位建立了科学完善的清算对账制度，明确了对账时限、对账范围、对账内容和对账要求，按日完成财政零余额账户支付明细对账工作，完善了月末对账制度，为领导进行数据分析提供了准确的数据依据。</w:t>
      </w:r>
      <w:r>
        <w:rPr>
          <w:rFonts w:hint="eastAsia" w:ascii="楷体_GB2312" w:hAnsi="楷体_GB2312" w:eastAsia="楷体_GB2312" w:cs="楷体_GB2312"/>
          <w:color w:val="000000"/>
          <w:kern w:val="0"/>
          <w:sz w:val="32"/>
          <w:szCs w:val="32"/>
          <w:lang w:val="en-US" w:eastAsia="zh-CN" w:bidi="ar-SA"/>
        </w:rPr>
        <w:t>四是切实加大监控力度。</w:t>
      </w:r>
      <w:r>
        <w:rPr>
          <w:rFonts w:hint="eastAsia" w:ascii="仿宋_GB2312" w:hAnsi="Times New Roman" w:eastAsia="仿宋_GB2312" w:cs="Times New Roman"/>
          <w:kern w:val="0"/>
          <w:sz w:val="32"/>
          <w:szCs w:val="32"/>
          <w:lang w:val="en-US" w:eastAsia="zh-CN" w:bidi="ar-SA"/>
        </w:rPr>
        <w:t>以风险防控为重点，不断完善预算执行动态监控机制，正确处理资金支付、效率、安全三者之间的关系，杜绝了预算单位违规支付。重点对“三公”经费、项目资金、向个人账户大额转账、现金支取、社会保障经费等加大监控力度，确保财政资金安全使用。截至12月31日，市级动态监控系统共监控资金132649.6万元，处理预警10016笔，涉及资金75191.1892万元，撤销违规支付646笔4139.8万元，动态监控的“规范、纠偏、警示、威慑”功能得到充分发挥。</w:t>
      </w:r>
      <w:r>
        <w:rPr>
          <w:rFonts w:hint="eastAsia" w:ascii="楷体_GB2312" w:hAnsi="楷体_GB2312" w:eastAsia="楷体_GB2312" w:cs="楷体_GB2312"/>
          <w:color w:val="000000"/>
          <w:kern w:val="0"/>
          <w:sz w:val="32"/>
          <w:szCs w:val="32"/>
          <w:lang w:val="en-US" w:eastAsia="zh-CN" w:bidi="ar-SA"/>
        </w:rPr>
        <w:t>五是切实维护国库单一账户体系。</w:t>
      </w:r>
      <w:r>
        <w:rPr>
          <w:rFonts w:hint="eastAsia" w:ascii="仿宋_GB2312" w:hAnsi="Times New Roman" w:eastAsia="仿宋_GB2312" w:cs="Times New Roman"/>
          <w:kern w:val="0"/>
          <w:sz w:val="32"/>
          <w:szCs w:val="32"/>
          <w:lang w:val="en-US" w:eastAsia="zh-CN" w:bidi="ar-SA"/>
        </w:rPr>
        <w:t>切实加强预算单位零余额账户管理，坚决杜绝预算单位自行或相互划转资金到单位零余额账户，监督预算单位将转拨资金和往来资金缴至财政局代管资金账户，做到一个漏斗进出，有效控制了预算单位转移、截留、挪用财政资金。坚决执行大额现金申报审批和总额控制制度，截至12月31日,市本级现金支出1119.9万元，同比下降40.6 %，仅占财政资金支付额的0.8%，实现了从严管控现金的目标。</w:t>
      </w:r>
      <w:r>
        <w:rPr>
          <w:rFonts w:hint="eastAsia" w:ascii="楷体_GB2312" w:hAnsi="楷体_GB2312" w:eastAsia="楷体_GB2312" w:cs="楷体_GB2312"/>
          <w:color w:val="000000"/>
          <w:kern w:val="0"/>
          <w:sz w:val="32"/>
          <w:szCs w:val="32"/>
          <w:lang w:val="en-US" w:eastAsia="zh-CN" w:bidi="ar-SA"/>
        </w:rPr>
        <w:t>六是乡村振兴工作开局良好。</w:t>
      </w:r>
      <w:r>
        <w:rPr>
          <w:rFonts w:hint="eastAsia" w:ascii="仿宋_GB2312" w:hAnsi="Times New Roman" w:eastAsia="仿宋_GB2312" w:cs="Times New Roman"/>
          <w:kern w:val="0"/>
          <w:sz w:val="32"/>
          <w:szCs w:val="32"/>
          <w:lang w:val="en-US" w:eastAsia="zh-CN" w:bidi="ar-SA"/>
        </w:rPr>
        <w:t>今年5月，顺利完成旺苍县张华镇狮坪村精准扶贫收尾工作后，中心又派出两名干部分别入驻张华镇狮坪村、枣林村实施乡村振兴工作。支持狮坪村驻村干部和产业带头人到绵阳学习羊肚菌种植技术，着力解决产业发展技术瓶颈。目前，中心帮扶的狮坪村乡村振兴的组织机构、产业规划、发展措施、目标任务已基本形成，夯实了振兴基础。</w:t>
      </w:r>
    </w:p>
    <w:p>
      <w:pPr>
        <w:pStyle w:val="1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ind w:firstLine="642" w:firstLineChars="200"/>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b/>
          <w:bCs/>
          <w:kern w:val="0"/>
          <w:sz w:val="32"/>
          <w:szCs w:val="32"/>
          <w:lang w:val="en-US" w:eastAsia="zh-CN" w:bidi="ar-SA"/>
        </w:rPr>
        <w:t>2.强化机关建设，服务水平再上新台阶。</w:t>
      </w:r>
      <w:r>
        <w:rPr>
          <w:rFonts w:hint="eastAsia" w:ascii="楷体_GB2312" w:hAnsi="楷体_GB2312" w:eastAsia="楷体_GB2312" w:cs="楷体_GB2312"/>
          <w:color w:val="000000"/>
          <w:kern w:val="0"/>
          <w:sz w:val="32"/>
          <w:szCs w:val="32"/>
          <w:lang w:val="en-US" w:eastAsia="zh-CN" w:bidi="ar-SA"/>
        </w:rPr>
        <w:t>一是加强学习教育，强化政治引领。</w:t>
      </w:r>
      <w:r>
        <w:rPr>
          <w:rFonts w:hint="eastAsia" w:ascii="仿宋_GB2312" w:hAnsi="Times New Roman" w:eastAsia="仿宋_GB2312" w:cs="Times New Roman"/>
          <w:kern w:val="0"/>
          <w:sz w:val="32"/>
          <w:szCs w:val="32"/>
          <w:lang w:val="en-US" w:eastAsia="zh-CN" w:bidi="ar-SA"/>
        </w:rPr>
        <w:t>持续深入开展了党史学习教育，干部职工再次回忆了中国共产党在革命、建设、改革、发展等各个时期的奋斗路，对党的奋进路更加充满了动力信心，坚定了不忘初心、牢记使命、砥砺前行的决心，做到了在思想上、行动上更加自觉。深入贯彻落实习近平新时代中国特色社会主义思想</w:t>
      </w:r>
      <w:bookmarkStart w:id="73" w:name="_GoBack"/>
      <w:bookmarkEnd w:id="73"/>
      <w:r>
        <w:rPr>
          <w:rFonts w:hint="eastAsia" w:ascii="仿宋_GB2312" w:hAnsi="Times New Roman" w:eastAsia="仿宋_GB2312" w:cs="Times New Roman"/>
          <w:kern w:val="0"/>
          <w:sz w:val="32"/>
          <w:szCs w:val="32"/>
          <w:lang w:val="en-US" w:eastAsia="zh-CN" w:bidi="ar-SA"/>
        </w:rPr>
        <w:t>和市委市政府决策部署，始终把政治建设摆在首位，不断提高政治判断力、政治领悟力、政治执行力，不断提升用政治眼光观察分析问题的能力水平，确保党委政府各项目标任务落地见效。</w:t>
      </w:r>
      <w:r>
        <w:rPr>
          <w:rFonts w:hint="eastAsia" w:ascii="楷体_GB2312" w:hAnsi="楷体_GB2312" w:eastAsia="楷体_GB2312" w:cs="楷体_GB2312"/>
          <w:color w:val="000000"/>
          <w:kern w:val="0"/>
          <w:sz w:val="32"/>
          <w:szCs w:val="32"/>
          <w:lang w:val="en-US" w:eastAsia="zh-CN" w:bidi="ar-SA"/>
        </w:rPr>
        <w:t>二是严纪律、转作风，以良好的纪律作风促提升。</w:t>
      </w:r>
      <w:r>
        <w:rPr>
          <w:rFonts w:hint="eastAsia" w:ascii="仿宋_GB2312" w:hAnsi="Times New Roman" w:eastAsia="仿宋_GB2312" w:cs="Times New Roman"/>
          <w:kern w:val="0"/>
          <w:sz w:val="32"/>
          <w:szCs w:val="32"/>
          <w:lang w:val="en-US" w:eastAsia="zh-CN" w:bidi="ar-SA"/>
        </w:rPr>
        <w:t>中心班子坚决扛牢干部纪律作风整顿主体责任，切实加强对每位干部职工的全面指导和全程监督，形成“主要领导负总责、分管领导具体抓、干部职工齐落实”的整顿机制，通过“自已查、同志提、领导点”的方式，共查找出纪律作风突出问题34个，制定整顿措施59条，并直面问题，刀刃向内，积极主动修正错误、自我净化、自我完善、自我革新、自我提高，不断袪除各种沉疴痼疾和消极因素，干部纪律作风焕然一新，干事创业的积极性、主动性得到了极大提升，不惧风雨、勇于担当、力争上游的机关氛围基本形成。</w:t>
      </w:r>
      <w:r>
        <w:rPr>
          <w:rFonts w:hint="eastAsia" w:ascii="楷体_GB2312" w:hAnsi="楷体_GB2312" w:eastAsia="楷体_GB2312" w:cs="楷体_GB2312"/>
          <w:color w:val="000000"/>
          <w:kern w:val="0"/>
          <w:sz w:val="32"/>
          <w:szCs w:val="32"/>
          <w:lang w:val="en-US" w:eastAsia="zh-CN" w:bidi="ar-SA"/>
        </w:rPr>
        <w:t>三是建章立制，强化管理能力。</w:t>
      </w:r>
      <w:r>
        <w:rPr>
          <w:rFonts w:hint="eastAsia" w:ascii="仿宋_GB2312" w:hAnsi="Times New Roman" w:eastAsia="仿宋_GB2312" w:cs="Times New Roman"/>
          <w:kern w:val="0"/>
          <w:sz w:val="32"/>
          <w:szCs w:val="32"/>
          <w:lang w:val="en-US" w:eastAsia="zh-CN" w:bidi="ar-SA"/>
        </w:rPr>
        <w:t>对直接支付、动态监控、内部管理的程序和机制进行了全面摸排，认真梳理了各岗位各环节风险点，进一步规范了国库集中支付标准化体系和内部管理制度，健全了国库集中支付风险防控制度。扎实开展了市纪委驻市财政局纪检组关于从严治党情况检查反馈问题的整改，对机关财务管理、内部控制、从严治党方面的突出问题进行了专项整治，以查促改，以错为鉴，举一反三，进一步健全了从严治党长效机制。进一步完善了内部管理制度，健全了内部采购、办公用品和资产管理办法，坚决贯彻落实厉行节约、反对铺张浪费规定，严格控制行政成本，确保每一分钱都用在刀刃上、关键处。</w:t>
      </w:r>
      <w:r>
        <w:rPr>
          <w:rFonts w:hint="eastAsia" w:ascii="楷体_GB2312" w:hAnsi="楷体_GB2312" w:eastAsia="楷体_GB2312" w:cs="楷体_GB2312"/>
          <w:color w:val="000000"/>
          <w:kern w:val="0"/>
          <w:sz w:val="32"/>
          <w:szCs w:val="32"/>
          <w:lang w:val="en-US" w:eastAsia="zh-CN" w:bidi="ar-SA"/>
        </w:rPr>
        <w:t>四是驰而不息抓党风廉政建设和反腐败工作。</w:t>
      </w:r>
      <w:r>
        <w:rPr>
          <w:rFonts w:hint="eastAsia" w:ascii="仿宋_GB2312" w:hAnsi="Times New Roman" w:eastAsia="仿宋_GB2312" w:cs="Times New Roman"/>
          <w:kern w:val="0"/>
          <w:sz w:val="32"/>
          <w:szCs w:val="32"/>
          <w:lang w:val="en-US" w:eastAsia="zh-CN" w:bidi="ar-SA"/>
        </w:rPr>
        <w:t>严格履行“一岗双责”，将业务工作和党风廉政建设同安排、同部署、同落实。印发了《市级财政国库集中支付中心2021年党风廉政建设和反腐败工作要点》，并严格按照要求落地落实落细。开展原审计局总审计师韩和林、昭化区原财政局副局长罗明严重违纪违法案以案说法、以案示警、以案促改警示教育，用身边事教育身边人，利用“痛感教育”提高干部拒腐防变意识，持之以恒正风肃纪，始终保持风清气正、河清海晏的政治生态。</w:t>
      </w:r>
      <w:r>
        <w:rPr>
          <w:rFonts w:hint="eastAsia" w:ascii="楷体_GB2312" w:hAnsi="楷体_GB2312" w:eastAsia="楷体_GB2312" w:cs="楷体_GB2312"/>
          <w:color w:val="000000"/>
          <w:kern w:val="0"/>
          <w:sz w:val="32"/>
          <w:szCs w:val="32"/>
          <w:lang w:val="en-US" w:eastAsia="zh-CN" w:bidi="ar-SA"/>
        </w:rPr>
        <w:t>五是以民为本，扎实开展群众工作。</w:t>
      </w:r>
      <w:r>
        <w:rPr>
          <w:rFonts w:hint="eastAsia" w:ascii="仿宋_GB2312" w:hAnsi="Times New Roman" w:eastAsia="仿宋_GB2312" w:cs="Times New Roman"/>
          <w:kern w:val="0"/>
          <w:sz w:val="32"/>
          <w:szCs w:val="32"/>
          <w:lang w:val="en-US" w:eastAsia="zh-CN" w:bidi="ar-SA"/>
        </w:rPr>
        <w:t>每月至少到帮扶村一次，深入基层组织和群众中了解生产生活情况和脱贫效果，着力解决巩固脱贫成果和衔接乡村振兴中存在的短板问题。协调旺苍县和张华镇，对狮坪村地质滑坡地段进行了修复，协调规划实施的基础设施、产业项目纳入了县级乡村振兴规划。组织中心干部职工开展捐赠活动，为光荣村贫困户候文庭老人送去衣物、食品等生活用品，解决了老人因灾生活困难问题。制定了《国库集中支付办事指南》，进一步规范了国库集中支付流程和支付方式，明确各岗位工作职责，公布了政府采购、工程项目、应税项目、大额现金支取、资金调剂所需的支付审核资料，切实减少办事跑路次数，群众满意度不断提升。</w:t>
      </w:r>
    </w:p>
    <w:p>
      <w:pPr>
        <w:pStyle w:val="4"/>
        <w:spacing w:before="0" w:after="0" w:line="576" w:lineRule="exact"/>
        <w:ind w:firstLine="640" w:firstLineChars="200"/>
        <w:rPr>
          <w:rFonts w:hint="eastAsia" w:ascii="黑体" w:hAnsi="黑体" w:eastAsia="黑体" w:cs="黑体"/>
          <w:b w:val="0"/>
          <w:bCs w:val="0"/>
          <w:color w:val="000000"/>
          <w:lang w:val="en-US" w:eastAsia="zh-CN"/>
        </w:rPr>
      </w:pPr>
      <w:bookmarkStart w:id="20" w:name="_Toc15396601"/>
      <w:bookmarkStart w:id="21" w:name="_Toc15377200"/>
      <w:r>
        <w:rPr>
          <w:rFonts w:hint="eastAsia" w:ascii="黑体" w:hAnsi="黑体" w:eastAsia="黑体" w:cs="黑体"/>
          <w:b w:val="0"/>
          <w:bCs w:val="0"/>
          <w:color w:val="000000"/>
          <w:lang w:val="en-US" w:eastAsia="zh-CN"/>
        </w:rPr>
        <w:t>二、机构设置</w:t>
      </w:r>
      <w:bookmarkEnd w:id="20"/>
      <w:bookmarkEnd w:id="21"/>
    </w:p>
    <w:p>
      <w:pPr>
        <w:spacing w:line="600" w:lineRule="exact"/>
        <w:ind w:firstLine="640" w:firstLineChars="200"/>
        <w:outlineLvl w:val="1"/>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广元市市级财政国库支付中心是参照公务员法管理的事业单位，无下属二级单位。截至2021年年末，中心编制人数36人，实际在职人数33人。</w:t>
      </w:r>
    </w:p>
    <w:p>
      <w:pPr>
        <w:spacing w:line="600" w:lineRule="exact"/>
        <w:ind w:firstLine="640" w:firstLineChars="200"/>
        <w:outlineLvl w:val="1"/>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支付中心内设支付一科、支付二科、支付三科、稽查科、综合科、核算科和监控科七个科室。</w:t>
      </w:r>
    </w:p>
    <w:p>
      <w:pPr>
        <w:widowControl/>
        <w:jc w:val="left"/>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br w:type="page"/>
      </w:r>
    </w:p>
    <w:p>
      <w:pPr>
        <w:pStyle w:val="3"/>
        <w:ind w:right="440"/>
        <w:jc w:val="center"/>
        <w:rPr>
          <w:rStyle w:val="28"/>
          <w:rFonts w:ascii="黑体" w:hAnsi="黑体" w:eastAsia="黑体"/>
          <w:b w:val="0"/>
          <w:bCs/>
          <w:color w:val="auto"/>
          <w:highlight w:val="none"/>
        </w:rPr>
      </w:pPr>
      <w:bookmarkStart w:id="22" w:name="_Toc15396602"/>
      <w:bookmarkStart w:id="23"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8"/>
          <w:rFonts w:hint="eastAsia" w:ascii="黑体" w:hAnsi="黑体" w:eastAsia="黑体"/>
          <w:b w:val="0"/>
          <w:bCs/>
          <w:color w:val="auto"/>
          <w:highlight w:val="none"/>
        </w:rPr>
        <w:t>部门决算情况说明</w:t>
      </w:r>
      <w:bookmarkEnd w:id="22"/>
      <w:bookmarkEnd w:id="23"/>
    </w:p>
    <w:p>
      <w:pPr>
        <w:rPr>
          <w:color w:val="auto"/>
          <w:highlight w:val="none"/>
        </w:rPr>
      </w:pPr>
    </w:p>
    <w:p>
      <w:pPr>
        <w:pStyle w:val="27"/>
        <w:numPr>
          <w:ilvl w:val="0"/>
          <w:numId w:val="2"/>
        </w:numPr>
        <w:spacing w:line="600" w:lineRule="exact"/>
        <w:ind w:left="1350" w:leftChars="0" w:firstLineChars="0"/>
        <w:outlineLvl w:val="1"/>
        <w:rPr>
          <w:rStyle w:val="29"/>
          <w:rFonts w:ascii="黑体" w:hAnsi="黑体" w:eastAsia="黑体"/>
          <w:b w:val="0"/>
          <w:color w:val="auto"/>
          <w:highlight w:val="none"/>
        </w:rPr>
      </w:pPr>
      <w:bookmarkStart w:id="24" w:name="_Toc15396603"/>
      <w:bookmarkStart w:id="25" w:name="_Toc15377205"/>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24"/>
      <w:bookmarkEnd w:id="25"/>
    </w:p>
    <w:p>
      <w:pPr>
        <w:spacing w:line="600" w:lineRule="exact"/>
        <w:ind w:firstLine="640" w:firstLineChars="200"/>
        <w:outlineLvl w:val="1"/>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2</w:t>
      </w:r>
      <w:r>
        <w:rPr>
          <w:rFonts w:hint="eastAsia" w:ascii="仿宋_GB2312" w:hAnsi="Times New Roman" w:eastAsia="仿宋_GB2312" w:cs="Times New Roman"/>
          <w:kern w:val="0"/>
          <w:sz w:val="32"/>
          <w:szCs w:val="32"/>
          <w:lang w:val="en-US" w:eastAsia="zh-CN" w:bidi="ar-SA"/>
        </w:rPr>
        <w:t xml:space="preserve">021年度收、支总计565.83万元。与2020年相比，收、支总计各减少38.08万元，下降6.3%。主要变动原因是主要变动原因一是年初结转和结余较上年有所减少；二是严格执行厉行节约，大力压缩经费支出。 </w:t>
      </w:r>
      <w:r>
        <w:rPr>
          <w:rFonts w:hint="eastAsia" w:ascii="仿宋" w:hAnsi="仿宋" w:eastAsia="仿宋" w:cs="Times New Roman"/>
          <w:color w:val="auto"/>
          <w:kern w:val="2"/>
          <w:sz w:val="32"/>
          <w:szCs w:val="32"/>
          <w:highlight w:val="none"/>
          <w:lang w:val="en-US" w:eastAsia="zh-CN" w:bidi="ar-SA"/>
        </w:rPr>
        <w:t xml:space="preserve">    </w:t>
      </w:r>
    </w:p>
    <w:p>
      <w:pPr>
        <w:pStyle w:val="1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center"/>
        <w:outlineLvl w:val="1"/>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图1：收、支决算总计变动情况图</w:t>
      </w:r>
    </w:p>
    <w:p>
      <w:pPr>
        <w:pStyle w:val="27"/>
        <w:numPr>
          <w:ilvl w:val="0"/>
          <w:numId w:val="2"/>
        </w:numPr>
        <w:spacing w:line="600" w:lineRule="exact"/>
        <w:ind w:left="1350" w:leftChars="0" w:firstLineChars="0"/>
        <w:outlineLvl w:val="1"/>
        <w:rPr>
          <w:rStyle w:val="29"/>
          <w:rFonts w:ascii="黑体" w:hAnsi="黑体" w:eastAsia="黑体"/>
          <w:b w:val="0"/>
          <w:color w:val="auto"/>
          <w:highlight w:val="none"/>
        </w:rPr>
      </w:pPr>
      <w:bookmarkStart w:id="26" w:name="_Toc15396604"/>
      <w:bookmarkStart w:id="27" w:name="_Toc15377206"/>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bookmarkEnd w:id="26"/>
      <w:bookmarkEnd w:id="27"/>
    </w:p>
    <w:p>
      <w:pPr>
        <w:spacing w:line="600" w:lineRule="exact"/>
        <w:ind w:firstLine="640" w:firstLineChars="200"/>
        <w:rPr>
          <w:rFonts w:hint="eastAsia" w:ascii="仿宋_GB2312" w:hAnsi="Times New Roman" w:eastAsia="仿宋_GB2312" w:cs="Times New Roman"/>
          <w:color w:val="auto"/>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2021年本年收入合计496.38万元，其中：一般公共预算财政拨款收入496.36万元，占</w:t>
      </w:r>
      <w:r>
        <w:rPr>
          <w:rFonts w:hint="eastAsia" w:ascii="仿宋_GB2312" w:eastAsia="仿宋_GB2312" w:cs="Times New Roman"/>
          <w:color w:val="auto"/>
          <w:kern w:val="0"/>
          <w:sz w:val="32"/>
          <w:szCs w:val="32"/>
          <w:lang w:val="en-US" w:eastAsia="zh-CN" w:bidi="ar-SA"/>
        </w:rPr>
        <w:t>99.99</w:t>
      </w:r>
      <w:r>
        <w:rPr>
          <w:rFonts w:hint="eastAsia" w:ascii="仿宋_GB2312" w:hAnsi="Times New Roman" w:eastAsia="仿宋_GB2312" w:cs="Times New Roman"/>
          <w:color w:val="auto"/>
          <w:kern w:val="0"/>
          <w:sz w:val="32"/>
          <w:szCs w:val="32"/>
          <w:lang w:val="en-US" w:eastAsia="zh-CN" w:bidi="ar-SA"/>
        </w:rPr>
        <w:t>%；其他收入0.03万元，占0</w:t>
      </w:r>
      <w:r>
        <w:rPr>
          <w:rFonts w:hint="eastAsia" w:ascii="仿宋_GB2312" w:eastAsia="仿宋_GB2312" w:cs="Times New Roman"/>
          <w:color w:val="auto"/>
          <w:kern w:val="0"/>
          <w:sz w:val="32"/>
          <w:szCs w:val="32"/>
          <w:lang w:val="en-US" w:eastAsia="zh-CN" w:bidi="ar-SA"/>
        </w:rPr>
        <w:t>.01</w:t>
      </w:r>
      <w:r>
        <w:rPr>
          <w:rFonts w:hint="eastAsia" w:ascii="仿宋_GB2312" w:hAnsi="Times New Roman" w:eastAsia="仿宋_GB2312" w:cs="Times New Roman"/>
          <w:color w:val="auto"/>
          <w:kern w:val="0"/>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drawing>
          <wp:inline distT="0" distB="0" distL="114300" distR="114300">
            <wp:extent cx="5080000" cy="3077210"/>
            <wp:effectExtent l="4445" t="4445" r="20955" b="2349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center"/>
        <w:outlineLvl w:val="1"/>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图2：收入决算结构图</w:t>
      </w:r>
    </w:p>
    <w:p>
      <w:pPr>
        <w:pStyle w:val="27"/>
        <w:numPr>
          <w:ilvl w:val="0"/>
          <w:numId w:val="2"/>
        </w:numPr>
        <w:spacing w:line="600" w:lineRule="exact"/>
        <w:ind w:left="1350" w:leftChars="0" w:firstLineChars="0"/>
        <w:outlineLvl w:val="1"/>
        <w:rPr>
          <w:rStyle w:val="29"/>
          <w:rFonts w:ascii="黑体" w:hAnsi="黑体" w:eastAsia="黑体"/>
          <w:b w:val="0"/>
          <w:color w:val="auto"/>
          <w:highlight w:val="none"/>
        </w:rPr>
      </w:pPr>
      <w:bookmarkStart w:id="28" w:name="_Toc15396605"/>
      <w:bookmarkStart w:id="29" w:name="_Toc15377207"/>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28"/>
      <w:bookmarkEnd w:id="29"/>
    </w:p>
    <w:p>
      <w:pPr>
        <w:spacing w:line="600" w:lineRule="exact"/>
        <w:ind w:firstLine="640" w:firstLineChars="200"/>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2021年本年支出合计470.27万元，其中：基本支出450.45万元，占95.79%；项目支出19.82万元，占4.21%。</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olor w:val="auto"/>
          <w:sz w:val="32"/>
          <w:szCs w:val="32"/>
          <w:highlight w:val="none"/>
        </w:rPr>
      </w:pPr>
      <w:r>
        <w:rPr>
          <w:rFonts w:hint="eastAsia" w:ascii="黑体" w:hAnsi="黑体" w:eastAsia="黑体"/>
          <w:color w:val="auto"/>
          <w:sz w:val="32"/>
          <w:szCs w:val="32"/>
          <w:highlight w:val="none"/>
        </w:rPr>
        <w:drawing>
          <wp:inline distT="0" distB="0" distL="114300" distR="114300">
            <wp:extent cx="5080000" cy="3638550"/>
            <wp:effectExtent l="5080" t="4445" r="20320"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30" w:name="_Toc15396606"/>
      <w:bookmarkStart w:id="31" w:name="_Toc15377208"/>
    </w:p>
    <w:p>
      <w:pPr>
        <w:spacing w:line="600" w:lineRule="exact"/>
        <w:ind w:firstLine="640" w:firstLineChars="200"/>
        <w:jc w:val="center"/>
        <w:outlineLvl w:val="1"/>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图3：支出决算结构图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29"/>
          <w:rFonts w:ascii="黑体" w:hAnsi="黑体" w:eastAsia="黑体"/>
          <w:b w:val="0"/>
          <w:color w:val="auto"/>
          <w:highlight w:val="none"/>
        </w:rPr>
      </w:pPr>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bookmarkEnd w:id="30"/>
      <w:bookmarkEnd w:id="31"/>
    </w:p>
    <w:p>
      <w:pPr>
        <w:spacing w:line="600" w:lineRule="exact"/>
        <w:ind w:firstLine="640" w:firstLineChars="200"/>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2021年财政拨款收、支总计565.8万元。与2020年相比，财政拨款收、支总计各减少7.02万元，下降1.23%。主要变动原因一是年初结转和结余较上年有所减少；二是严格执行厉行节约，大力压缩经费支出。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80000" cy="3810000"/>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outlineLvl w:val="1"/>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图4：财政拨款收、支决算总计变动情况</w:t>
      </w:r>
    </w:p>
    <w:p>
      <w:pPr>
        <w:spacing w:line="600" w:lineRule="exact"/>
        <w:ind w:firstLine="640" w:firstLineChars="200"/>
        <w:outlineLvl w:val="1"/>
        <w:rPr>
          <w:rStyle w:val="29"/>
          <w:rFonts w:ascii="黑体" w:hAnsi="黑体" w:eastAsia="黑体"/>
          <w:b w:val="0"/>
          <w:color w:val="auto"/>
          <w:highlight w:val="none"/>
        </w:rPr>
      </w:pPr>
      <w:bookmarkStart w:id="32" w:name="_Toc15396607"/>
      <w:bookmarkStart w:id="33"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bookmarkEnd w:id="32"/>
      <w:bookmarkEnd w:id="33"/>
    </w:p>
    <w:p>
      <w:pPr>
        <w:pStyle w:val="6"/>
        <w:adjustRightInd w:val="0"/>
        <w:snapToGrid w:val="0"/>
        <w:spacing w:beforeLines="0" w:line="576" w:lineRule="exact"/>
        <w:ind w:firstLine="642" w:firstLineChars="200"/>
        <w:outlineLvl w:val="2"/>
        <w:rPr>
          <w:rFonts w:hint="eastAsia" w:ascii="楷体_GB2312" w:hAnsi="楷体_GB2312" w:eastAsia="楷体_GB2312" w:cs="楷体_GB2312"/>
          <w:b/>
          <w:bCs/>
          <w:color w:val="000000"/>
          <w:sz w:val="32"/>
          <w:szCs w:val="32"/>
          <w:lang w:val="en-US" w:eastAsia="zh-CN"/>
        </w:rPr>
      </w:pPr>
      <w:bookmarkStart w:id="34" w:name="_Toc15377210"/>
      <w:r>
        <w:rPr>
          <w:rFonts w:hint="eastAsia" w:ascii="楷体_GB2312" w:hAnsi="楷体_GB2312" w:eastAsia="楷体_GB2312" w:cs="楷体_GB2312"/>
          <w:b/>
          <w:bCs/>
          <w:color w:val="000000"/>
          <w:sz w:val="32"/>
          <w:szCs w:val="32"/>
          <w:lang w:val="en-US" w:eastAsia="zh-CN"/>
        </w:rPr>
        <w:t>（一）一般公共预算财政拨款支出决算总体情况</w:t>
      </w:r>
      <w:bookmarkEnd w:id="34"/>
    </w:p>
    <w:p>
      <w:pPr>
        <w:spacing w:line="600" w:lineRule="exact"/>
        <w:ind w:firstLine="640" w:firstLineChars="200"/>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2021年一般公共预算财政拨款支出470.27万元，占本年支出合计的100%。与2020年相比，一般公共预算财政拨款支出增加55.73万元，增长13.44%。主要变动原因是2021年在职人员增加3人（调入5人、调出2人）引起的基本支出增加。</w:t>
      </w:r>
    </w:p>
    <w:p>
      <w:pPr>
        <w:pStyle w:val="2"/>
        <w:keepNext w:val="0"/>
        <w:keepLines w:val="0"/>
        <w:pageBreakBefore w:val="0"/>
        <w:widowControl w:val="0"/>
        <w:kinsoku/>
        <w:wordWrap/>
        <w:overflowPunct/>
        <w:topLinePunct w:val="0"/>
        <w:autoSpaceDE/>
        <w:autoSpaceDN/>
        <w:bidi w:val="0"/>
        <w:adjustRightInd/>
        <w:snapToGrid/>
        <w:spacing w:line="240" w:lineRule="auto"/>
        <w:ind w:left="640" w:hanging="640" w:hangingChars="200"/>
        <w:textAlignment w:val="auto"/>
        <w:rPr>
          <w:rFonts w:hint="eastAsia" w:ascii="仿宋_GB2312" w:hAnsi="Times New Roman" w:eastAsia="仿宋_GB2312" w:cs="Times New Roman"/>
          <w:kern w:val="0"/>
          <w:sz w:val="32"/>
          <w:szCs w:val="32"/>
          <w:lang w:val="en-US" w:eastAsia="zh-CN" w:bidi="ar-SA"/>
        </w:rPr>
      </w:pPr>
      <w:r>
        <w:rPr>
          <w:rFonts w:hint="eastAsia" w:ascii="仿宋" w:hAnsi="仿宋" w:eastAsia="仿宋"/>
          <w:color w:val="auto"/>
          <w:sz w:val="32"/>
          <w:szCs w:val="32"/>
          <w:highlight w:val="none"/>
          <w:lang w:eastAsia="zh-CN"/>
        </w:rPr>
        <w:drawing>
          <wp:inline distT="0" distB="0" distL="114300" distR="114300">
            <wp:extent cx="5080000" cy="3810000"/>
            <wp:effectExtent l="0" t="0" r="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hint="eastAsia" w:ascii="仿宋_GB2312" w:hAnsi="Times New Roman" w:eastAsia="仿宋_GB2312" w:cs="Times New Roman"/>
          <w:kern w:val="0"/>
          <w:sz w:val="32"/>
          <w:szCs w:val="32"/>
          <w:lang w:val="en-US" w:eastAsia="zh-CN" w:bidi="ar-SA"/>
        </w:rPr>
        <w:t>图5：一般公共预算财政拨款支出决算变动情况</w:t>
      </w:r>
    </w:p>
    <w:p>
      <w:pPr>
        <w:pStyle w:val="6"/>
        <w:adjustRightInd w:val="0"/>
        <w:snapToGrid w:val="0"/>
        <w:spacing w:beforeLines="0" w:line="576" w:lineRule="exact"/>
        <w:ind w:firstLine="642" w:firstLineChars="200"/>
        <w:outlineLvl w:val="2"/>
        <w:rPr>
          <w:rFonts w:hint="eastAsia" w:ascii="楷体_GB2312" w:hAnsi="楷体_GB2312" w:eastAsia="楷体_GB2312" w:cs="楷体_GB2312"/>
          <w:b/>
          <w:bCs/>
          <w:color w:val="000000"/>
          <w:sz w:val="32"/>
          <w:szCs w:val="32"/>
          <w:lang w:val="en-US" w:eastAsia="zh-CN"/>
        </w:rPr>
      </w:pPr>
      <w:bookmarkStart w:id="35" w:name="_Toc15377211"/>
      <w:r>
        <w:rPr>
          <w:rFonts w:hint="eastAsia" w:ascii="楷体_GB2312" w:hAnsi="楷体_GB2312" w:eastAsia="楷体_GB2312" w:cs="楷体_GB2312"/>
          <w:b/>
          <w:bCs/>
          <w:color w:val="000000"/>
          <w:sz w:val="32"/>
          <w:szCs w:val="32"/>
          <w:lang w:val="en-US" w:eastAsia="zh-CN"/>
        </w:rPr>
        <w:t>（二）一般公共预算财政拨款支出决算结构情况</w:t>
      </w:r>
      <w:bookmarkEnd w:id="35"/>
    </w:p>
    <w:p>
      <w:pPr>
        <w:spacing w:line="600" w:lineRule="exact"/>
        <w:ind w:firstLine="640" w:firstLineChars="200"/>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2021年一般公共预算财政拨款支出470.27万元，主要用于以下方面:一般公共服务（类）支出385.95万元，占82.07%；社会保障和就业（类）支出32.64万元，占6.94%；卫生健康支出16.99万元，占3.61%；住房保障支出34.69万元，占7.38%。</w:t>
      </w:r>
    </w:p>
    <w:p>
      <w:pPr>
        <w:spacing w:line="600" w:lineRule="exact"/>
        <w:ind w:firstLine="640"/>
        <w:rPr>
          <w:rFonts w:ascii="仿宋" w:hAnsi="仿宋" w:eastAsia="仿宋"/>
          <w:color w:val="auto"/>
          <w:sz w:val="32"/>
          <w:szCs w:val="32"/>
          <w:highlight w:val="none"/>
        </w:rPr>
      </w:pPr>
    </w:p>
    <w:p>
      <w:pPr>
        <w:pStyle w:val="2"/>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8890" cy="3818890"/>
            <wp:effectExtent l="4445" t="4445" r="12065" b="571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图6：一般公共预算财政拨款支出决算结构</w:t>
      </w:r>
    </w:p>
    <w:p>
      <w:pPr>
        <w:pStyle w:val="6"/>
        <w:adjustRightInd w:val="0"/>
        <w:snapToGrid w:val="0"/>
        <w:spacing w:beforeLines="0" w:line="576" w:lineRule="exact"/>
        <w:ind w:firstLine="642" w:firstLineChars="200"/>
        <w:outlineLvl w:val="2"/>
        <w:rPr>
          <w:rFonts w:hint="eastAsia" w:ascii="楷体_GB2312" w:hAnsi="楷体_GB2312" w:eastAsia="楷体_GB2312" w:cs="楷体_GB2312"/>
          <w:b/>
          <w:bCs/>
          <w:color w:val="000000"/>
          <w:sz w:val="32"/>
          <w:szCs w:val="32"/>
          <w:lang w:val="en-US" w:eastAsia="zh-CN"/>
        </w:rPr>
      </w:pPr>
      <w:bookmarkStart w:id="36" w:name="_Toc15377212"/>
      <w:r>
        <w:rPr>
          <w:rFonts w:hint="eastAsia" w:ascii="楷体_GB2312" w:hAnsi="楷体_GB2312" w:eastAsia="楷体_GB2312" w:cs="楷体_GB2312"/>
          <w:b/>
          <w:bCs/>
          <w:color w:val="000000"/>
          <w:sz w:val="32"/>
          <w:szCs w:val="32"/>
          <w:lang w:val="en-US" w:eastAsia="zh-CN"/>
        </w:rPr>
        <w:t>（三）一般公共预算财政拨款支出决算具体情况</w:t>
      </w:r>
      <w:bookmarkEnd w:id="36"/>
    </w:p>
    <w:p>
      <w:pPr>
        <w:spacing w:line="600" w:lineRule="exact"/>
        <w:ind w:firstLine="640" w:firstLineChars="200"/>
        <w:rPr>
          <w:rFonts w:hint="eastAsia" w:ascii="仿宋_GB2312" w:hAnsi="Times New Roman" w:eastAsia="仿宋_GB2312" w:cs="Times New Roman"/>
          <w:kern w:val="0"/>
          <w:sz w:val="32"/>
          <w:szCs w:val="32"/>
          <w:lang w:val="en-US" w:eastAsia="zh-CN" w:bidi="ar-SA"/>
        </w:rPr>
      </w:pPr>
      <w:bookmarkStart w:id="37" w:name="_Toc15377213"/>
      <w:bookmarkStart w:id="38" w:name="_Toc15377444"/>
      <w:bookmarkStart w:id="39" w:name="_Toc15378460"/>
      <w:r>
        <w:rPr>
          <w:rFonts w:hint="eastAsia" w:ascii="仿宋_GB2312" w:hAnsi="Times New Roman" w:eastAsia="仿宋_GB2312" w:cs="Times New Roman"/>
          <w:kern w:val="0"/>
          <w:sz w:val="32"/>
          <w:szCs w:val="32"/>
          <w:lang w:val="en-US" w:eastAsia="zh-CN" w:bidi="ar-SA"/>
        </w:rPr>
        <w:t>2021年一般公共预算支出决算数为470.27</w:t>
      </w:r>
      <w:r>
        <w:rPr>
          <w:rFonts w:hint="eastAsia" w:ascii="仿宋_GB2312" w:eastAsia="仿宋_GB2312" w:cs="Times New Roman"/>
          <w:color w:val="auto"/>
          <w:kern w:val="0"/>
          <w:sz w:val="32"/>
          <w:szCs w:val="32"/>
          <w:lang w:val="en-US" w:eastAsia="zh-CN" w:bidi="ar-SA"/>
        </w:rPr>
        <w:t>万元</w:t>
      </w:r>
      <w:r>
        <w:rPr>
          <w:rFonts w:hint="eastAsia" w:ascii="仿宋_GB2312" w:hAnsi="Times New Roman" w:eastAsia="仿宋_GB2312" w:cs="Times New Roman"/>
          <w:kern w:val="0"/>
          <w:sz w:val="32"/>
          <w:szCs w:val="32"/>
          <w:lang w:val="en-US" w:eastAsia="zh-CN" w:bidi="ar-SA"/>
        </w:rPr>
        <w:t>，完成预算83.12%。其中：</w:t>
      </w:r>
      <w:bookmarkEnd w:id="37"/>
      <w:bookmarkEnd w:id="38"/>
      <w:bookmarkEnd w:id="39"/>
    </w:p>
    <w:p>
      <w:pPr>
        <w:spacing w:line="600" w:lineRule="exact"/>
        <w:ind w:firstLine="642" w:firstLineChars="200"/>
        <w:rPr>
          <w:rFonts w:hint="default" w:ascii="仿宋_GB2312" w:hAnsi="Times New Roman" w:eastAsia="仿宋_GB2312" w:cs="Times New Roman"/>
          <w:kern w:val="0"/>
          <w:sz w:val="32"/>
          <w:szCs w:val="32"/>
          <w:lang w:val="en-US" w:eastAsia="zh-CN" w:bidi="ar-SA"/>
        </w:rPr>
      </w:pPr>
      <w:r>
        <w:rPr>
          <w:rFonts w:hint="default" w:ascii="仿宋_GB2312" w:hAnsi="Times New Roman" w:eastAsia="仿宋_GB2312" w:cs="仿宋_GB2312"/>
          <w:b/>
          <w:bCs/>
          <w:kern w:val="0"/>
          <w:sz w:val="32"/>
          <w:szCs w:val="32"/>
          <w:lang w:val="en-US" w:eastAsia="zh-CN" w:bidi="ar"/>
        </w:rPr>
        <w:t>1.</w:t>
      </w:r>
      <w:r>
        <w:rPr>
          <w:rFonts w:hint="eastAsia" w:ascii="仿宋_GB2312" w:hAnsi="Times New Roman" w:eastAsia="仿宋_GB2312" w:cs="仿宋_GB2312"/>
          <w:b/>
          <w:bCs/>
          <w:kern w:val="0"/>
          <w:sz w:val="32"/>
          <w:szCs w:val="32"/>
          <w:lang w:val="en-US" w:eastAsia="zh-CN" w:bidi="ar"/>
        </w:rPr>
        <w:t>一般公共服务支出（类）财政事务（款）行政运行（项）：</w:t>
      </w:r>
      <w:r>
        <w:rPr>
          <w:rFonts w:hint="default" w:ascii="仿宋_GB2312" w:hAnsi="Times New Roman" w:eastAsia="仿宋_GB2312" w:cs="仿宋_GB2312"/>
          <w:b/>
          <w:bCs/>
          <w:kern w:val="0"/>
          <w:sz w:val="32"/>
          <w:szCs w:val="32"/>
          <w:lang w:val="en-US" w:eastAsia="zh-CN" w:bidi="ar"/>
        </w:rPr>
        <w:t xml:space="preserve"> </w:t>
      </w:r>
      <w:r>
        <w:rPr>
          <w:rFonts w:hint="eastAsia" w:ascii="仿宋_GB2312" w:hAnsi="Times New Roman" w:eastAsia="仿宋_GB2312" w:cs="Times New Roman"/>
          <w:kern w:val="0"/>
          <w:sz w:val="32"/>
          <w:szCs w:val="32"/>
          <w:lang w:val="en-US" w:eastAsia="zh-CN" w:bidi="ar-SA"/>
        </w:rPr>
        <w:t>支出决算为366.13万元，完成预算96.2%，决算数小于预算数的主要原因是严格遵守相关规定，控制单位日常运行费用。</w:t>
      </w:r>
    </w:p>
    <w:p>
      <w:pPr>
        <w:spacing w:line="600" w:lineRule="exact"/>
        <w:ind w:firstLine="642" w:firstLineChars="200"/>
        <w:rPr>
          <w:rFonts w:hint="eastAsia" w:ascii="仿宋_GB2312" w:hAnsi="Times New Roman" w:eastAsia="仿宋_GB2312" w:cs="Times New Roman"/>
          <w:kern w:val="0"/>
          <w:sz w:val="32"/>
          <w:szCs w:val="32"/>
          <w:lang w:val="en-US" w:eastAsia="zh-CN" w:bidi="ar-SA"/>
        </w:rPr>
      </w:pPr>
      <w:r>
        <w:rPr>
          <w:rFonts w:hint="default" w:ascii="仿宋_GB2312" w:hAnsi="Times New Roman" w:eastAsia="仿宋_GB2312" w:cs="仿宋_GB2312"/>
          <w:b/>
          <w:bCs/>
          <w:kern w:val="0"/>
          <w:sz w:val="32"/>
          <w:szCs w:val="32"/>
          <w:lang w:val="en-US" w:eastAsia="zh-CN" w:bidi="ar"/>
        </w:rPr>
        <w:t>2.一般公共服务支出（类）财政事务（款）财政国库业务（项）:</w:t>
      </w:r>
      <w:r>
        <w:rPr>
          <w:rFonts w:hint="default" w:ascii="仿宋_GB2312" w:hAnsi="Times New Roman" w:eastAsia="仿宋_GB2312" w:cs="Times New Roman"/>
          <w:kern w:val="0"/>
          <w:sz w:val="32"/>
          <w:szCs w:val="32"/>
          <w:lang w:val="en-US" w:eastAsia="zh-CN" w:bidi="ar-SA"/>
        </w:rPr>
        <w:t>支出决算为</w:t>
      </w:r>
      <w:r>
        <w:rPr>
          <w:rFonts w:hint="eastAsia" w:ascii="仿宋_GB2312" w:hAnsi="Times New Roman" w:eastAsia="仿宋_GB2312" w:cs="Times New Roman"/>
          <w:kern w:val="0"/>
          <w:sz w:val="32"/>
          <w:szCs w:val="32"/>
          <w:lang w:val="en-US" w:eastAsia="zh-CN" w:bidi="ar-SA"/>
        </w:rPr>
        <w:t>18.53</w:t>
      </w:r>
      <w:r>
        <w:rPr>
          <w:rFonts w:hint="default" w:ascii="仿宋_GB2312" w:hAnsi="Times New Roman" w:eastAsia="仿宋_GB2312" w:cs="Times New Roman"/>
          <w:kern w:val="0"/>
          <w:sz w:val="32"/>
          <w:szCs w:val="32"/>
          <w:lang w:val="en-US" w:eastAsia="zh-CN" w:bidi="ar-SA"/>
        </w:rPr>
        <w:t>万元，完成预算</w:t>
      </w:r>
      <w:r>
        <w:rPr>
          <w:rFonts w:hint="eastAsia" w:ascii="仿宋_GB2312" w:hAnsi="Times New Roman" w:eastAsia="仿宋_GB2312" w:cs="Times New Roman"/>
          <w:kern w:val="0"/>
          <w:sz w:val="32"/>
          <w:szCs w:val="32"/>
          <w:lang w:val="en-US" w:eastAsia="zh-CN" w:bidi="ar-SA"/>
        </w:rPr>
        <w:t>18.61</w:t>
      </w:r>
      <w:r>
        <w:rPr>
          <w:rFonts w:hint="default" w:ascii="仿宋_GB2312" w:hAnsi="Times New Roman" w:eastAsia="仿宋_GB2312" w:cs="Times New Roman"/>
          <w:kern w:val="0"/>
          <w:sz w:val="32"/>
          <w:szCs w:val="32"/>
          <w:lang w:val="en-US" w:eastAsia="zh-CN" w:bidi="ar-SA"/>
        </w:rPr>
        <w:t>%，决算数小于预算数的主要原因</w:t>
      </w:r>
      <w:r>
        <w:rPr>
          <w:rFonts w:hint="eastAsia" w:ascii="仿宋_GB2312" w:hAnsi="Times New Roman" w:eastAsia="仿宋_GB2312" w:cs="Times New Roman"/>
          <w:kern w:val="0"/>
          <w:sz w:val="32"/>
          <w:szCs w:val="32"/>
          <w:lang w:val="en-US" w:eastAsia="zh-CN" w:bidi="ar-SA"/>
        </w:rPr>
        <w:t>是一是严格遵守压缩项目经费相关规定，切实加大项目经费成本控制；二是上年结余资金项目未继续实施。</w:t>
      </w:r>
    </w:p>
    <w:p>
      <w:pPr>
        <w:keepNext w:val="0"/>
        <w:keepLines w:val="0"/>
        <w:widowControl w:val="0"/>
        <w:suppressLineNumbers w:val="0"/>
        <w:spacing w:before="0" w:beforeAutospacing="0" w:after="0" w:afterAutospacing="0" w:line="576" w:lineRule="exact"/>
        <w:ind w:left="0" w:right="0" w:firstLine="642" w:firstLineChars="200"/>
        <w:jc w:val="both"/>
        <w:rPr>
          <w:rFonts w:hint="default" w:ascii="仿宋_GB2312" w:hAnsi="Times New Roman" w:eastAsia="仿宋_GB2312" w:cs="Times New Roman"/>
          <w:kern w:val="0"/>
          <w:sz w:val="32"/>
          <w:szCs w:val="32"/>
          <w:lang w:val="en-US" w:eastAsia="zh-CN" w:bidi="ar-SA"/>
        </w:rPr>
      </w:pPr>
      <w:r>
        <w:rPr>
          <w:rFonts w:hint="default" w:ascii="仿宋_GB2312" w:hAnsi="Times New Roman" w:eastAsia="仿宋_GB2312" w:cs="仿宋_GB2312"/>
          <w:b/>
          <w:bCs/>
          <w:kern w:val="0"/>
          <w:sz w:val="32"/>
          <w:szCs w:val="32"/>
          <w:lang w:val="en-US" w:eastAsia="zh-CN" w:bidi="ar"/>
        </w:rPr>
        <w:t>3.一般公共服务支出（类）财政事务（款）一般行政管理事务（项）:</w:t>
      </w:r>
      <w:r>
        <w:rPr>
          <w:rFonts w:hint="default" w:ascii="仿宋_GB2312" w:hAnsi="Times New Roman" w:eastAsia="仿宋_GB2312" w:cs="Times New Roman"/>
          <w:kern w:val="0"/>
          <w:sz w:val="32"/>
          <w:szCs w:val="32"/>
          <w:lang w:val="en-US" w:eastAsia="zh-CN" w:bidi="ar-SA"/>
        </w:rPr>
        <w:t>支出决算为</w:t>
      </w:r>
      <w:r>
        <w:rPr>
          <w:rFonts w:hint="eastAsia" w:ascii="仿宋_GB2312" w:hAnsi="Times New Roman" w:eastAsia="仿宋_GB2312" w:cs="Times New Roman"/>
          <w:kern w:val="0"/>
          <w:sz w:val="32"/>
          <w:szCs w:val="32"/>
          <w:lang w:val="en-US" w:eastAsia="zh-CN" w:bidi="ar-SA"/>
        </w:rPr>
        <w:t>1.29</w:t>
      </w:r>
      <w:r>
        <w:rPr>
          <w:rFonts w:hint="default" w:ascii="仿宋_GB2312" w:hAnsi="Times New Roman" w:eastAsia="仿宋_GB2312" w:cs="Times New Roman"/>
          <w:kern w:val="0"/>
          <w:sz w:val="32"/>
          <w:szCs w:val="32"/>
          <w:lang w:val="en-US" w:eastAsia="zh-CN" w:bidi="ar-SA"/>
        </w:rPr>
        <w:t>万元，完成预算100%。主要用于脱贫攻坚支出。</w:t>
      </w:r>
    </w:p>
    <w:p>
      <w:pPr>
        <w:keepNext w:val="0"/>
        <w:keepLines w:val="0"/>
        <w:widowControl w:val="0"/>
        <w:suppressLineNumbers w:val="0"/>
        <w:spacing w:before="0" w:beforeAutospacing="0" w:after="0" w:afterAutospacing="0" w:line="576" w:lineRule="exact"/>
        <w:ind w:left="0" w:right="0" w:firstLine="642" w:firstLineChars="200"/>
        <w:jc w:val="both"/>
        <w:rPr>
          <w:rFonts w:hint="default" w:ascii="仿宋_GB2312" w:hAnsi="Times New Roman" w:eastAsia="仿宋_GB2312" w:cs="Times New Roman"/>
          <w:kern w:val="0"/>
          <w:sz w:val="32"/>
          <w:szCs w:val="32"/>
          <w:lang w:val="en-US" w:eastAsia="zh-CN" w:bidi="ar-SA"/>
        </w:rPr>
      </w:pPr>
      <w:r>
        <w:rPr>
          <w:rFonts w:hint="default" w:ascii="仿宋_GB2312" w:hAnsi="Times New Roman" w:eastAsia="仿宋_GB2312" w:cs="仿宋_GB2312"/>
          <w:b/>
          <w:bCs/>
          <w:kern w:val="0"/>
          <w:sz w:val="32"/>
          <w:szCs w:val="32"/>
          <w:lang w:val="en-US" w:eastAsia="zh-CN" w:bidi="ar"/>
        </w:rPr>
        <w:t>4.社会保障和就业支出（类）行政事业单位</w:t>
      </w:r>
      <w:r>
        <w:rPr>
          <w:rFonts w:hint="eastAsia" w:ascii="仿宋_GB2312" w:hAnsi="Times New Roman" w:eastAsia="仿宋_GB2312" w:cs="仿宋_GB2312"/>
          <w:b/>
          <w:bCs/>
          <w:kern w:val="0"/>
          <w:sz w:val="32"/>
          <w:szCs w:val="32"/>
          <w:lang w:val="en-US" w:eastAsia="zh-CN" w:bidi="ar"/>
        </w:rPr>
        <w:t>养老支出</w:t>
      </w:r>
      <w:r>
        <w:rPr>
          <w:rFonts w:hint="default" w:ascii="仿宋_GB2312" w:hAnsi="Times New Roman" w:eastAsia="仿宋_GB2312" w:cs="仿宋_GB2312"/>
          <w:b/>
          <w:bCs/>
          <w:kern w:val="0"/>
          <w:sz w:val="32"/>
          <w:szCs w:val="32"/>
          <w:lang w:val="en-US" w:eastAsia="zh-CN" w:bidi="ar"/>
        </w:rPr>
        <w:t>（款）机关事业单位基本养老保险缴费支出（项）:</w:t>
      </w:r>
      <w:r>
        <w:rPr>
          <w:rFonts w:hint="default" w:ascii="仿宋_GB2312" w:hAnsi="Times New Roman" w:eastAsia="仿宋_GB2312" w:cs="Times New Roman"/>
          <w:kern w:val="0"/>
          <w:sz w:val="32"/>
          <w:szCs w:val="32"/>
          <w:lang w:val="en-US" w:eastAsia="zh-CN" w:bidi="ar-SA"/>
        </w:rPr>
        <w:t>支出决算为</w:t>
      </w:r>
      <w:r>
        <w:rPr>
          <w:rFonts w:hint="eastAsia" w:ascii="仿宋_GB2312" w:hAnsi="Times New Roman" w:eastAsia="仿宋_GB2312" w:cs="Times New Roman"/>
          <w:kern w:val="0"/>
          <w:sz w:val="32"/>
          <w:szCs w:val="32"/>
          <w:lang w:val="en-US" w:eastAsia="zh-CN" w:bidi="ar-SA"/>
        </w:rPr>
        <w:t>31.64</w:t>
      </w:r>
      <w:r>
        <w:rPr>
          <w:rFonts w:hint="default" w:ascii="仿宋_GB2312" w:hAnsi="Times New Roman" w:eastAsia="仿宋_GB2312" w:cs="Times New Roman"/>
          <w:kern w:val="0"/>
          <w:sz w:val="32"/>
          <w:szCs w:val="32"/>
          <w:lang w:val="en-US" w:eastAsia="zh-CN" w:bidi="ar-SA"/>
        </w:rPr>
        <w:t>万元，完成预算100%，主要用于缴纳职工并轨养老保险和职业年金。</w:t>
      </w:r>
    </w:p>
    <w:p>
      <w:pPr>
        <w:keepNext w:val="0"/>
        <w:keepLines w:val="0"/>
        <w:widowControl w:val="0"/>
        <w:suppressLineNumbers w:val="0"/>
        <w:spacing w:before="0" w:beforeAutospacing="0" w:after="0" w:afterAutospacing="0" w:line="576" w:lineRule="exact"/>
        <w:ind w:left="0" w:right="0" w:firstLine="642" w:firstLineChars="200"/>
        <w:jc w:val="both"/>
        <w:rPr>
          <w:rFonts w:hint="default" w:ascii="仿宋_GB2312" w:hAnsi="Times New Roman" w:eastAsia="仿宋_GB2312" w:cs="Times New Roman"/>
          <w:kern w:val="0"/>
          <w:sz w:val="32"/>
          <w:szCs w:val="32"/>
          <w:lang w:val="en-US" w:eastAsia="zh-CN" w:bidi="ar-SA"/>
        </w:rPr>
      </w:pPr>
      <w:r>
        <w:rPr>
          <w:rFonts w:hint="eastAsia" w:ascii="仿宋_GB2312" w:hAnsi="Times New Roman" w:eastAsia="仿宋_GB2312" w:cs="仿宋_GB2312"/>
          <w:b/>
          <w:bCs/>
          <w:kern w:val="0"/>
          <w:sz w:val="32"/>
          <w:szCs w:val="32"/>
          <w:lang w:val="en-US" w:eastAsia="zh-CN" w:bidi="ar"/>
        </w:rPr>
        <w:t>5</w:t>
      </w:r>
      <w:r>
        <w:rPr>
          <w:rFonts w:hint="default" w:ascii="仿宋_GB2312" w:hAnsi="Times New Roman" w:eastAsia="仿宋_GB2312" w:cs="仿宋_GB2312"/>
          <w:b/>
          <w:bCs/>
          <w:kern w:val="0"/>
          <w:sz w:val="32"/>
          <w:szCs w:val="32"/>
          <w:lang w:val="en-US" w:eastAsia="zh-CN" w:bidi="ar"/>
        </w:rPr>
        <w:t>.社会保障和就业支出（类）</w:t>
      </w:r>
      <w:r>
        <w:rPr>
          <w:rFonts w:hint="eastAsia" w:ascii="仿宋_GB2312" w:hAnsi="Times New Roman" w:eastAsia="仿宋_GB2312" w:cs="仿宋_GB2312"/>
          <w:b/>
          <w:bCs/>
          <w:kern w:val="0"/>
          <w:sz w:val="32"/>
          <w:szCs w:val="32"/>
          <w:lang w:val="en-US" w:eastAsia="zh-CN" w:bidi="ar"/>
        </w:rPr>
        <w:t>其他</w:t>
      </w:r>
      <w:r>
        <w:rPr>
          <w:rFonts w:hint="default" w:ascii="仿宋_GB2312" w:hAnsi="Times New Roman" w:eastAsia="仿宋_GB2312" w:cs="仿宋_GB2312"/>
          <w:b/>
          <w:bCs/>
          <w:kern w:val="0"/>
          <w:sz w:val="32"/>
          <w:szCs w:val="32"/>
          <w:lang w:val="en-US" w:eastAsia="zh-CN" w:bidi="ar"/>
        </w:rPr>
        <w:t>社会保障和就业支出（款）</w:t>
      </w:r>
      <w:r>
        <w:rPr>
          <w:rFonts w:hint="eastAsia" w:ascii="仿宋_GB2312" w:hAnsi="Times New Roman" w:eastAsia="仿宋_GB2312" w:cs="仿宋_GB2312"/>
          <w:b/>
          <w:bCs/>
          <w:kern w:val="0"/>
          <w:sz w:val="32"/>
          <w:szCs w:val="32"/>
          <w:lang w:val="en-US" w:eastAsia="zh-CN" w:bidi="ar"/>
        </w:rPr>
        <w:t>其他</w:t>
      </w:r>
      <w:r>
        <w:rPr>
          <w:rFonts w:hint="default" w:ascii="仿宋_GB2312" w:hAnsi="Times New Roman" w:eastAsia="仿宋_GB2312" w:cs="仿宋_GB2312"/>
          <w:b/>
          <w:bCs/>
          <w:kern w:val="0"/>
          <w:sz w:val="32"/>
          <w:szCs w:val="32"/>
          <w:lang w:val="en-US" w:eastAsia="zh-CN" w:bidi="ar"/>
        </w:rPr>
        <w:t>社会保障和就业支出（项）:</w:t>
      </w:r>
      <w:r>
        <w:rPr>
          <w:rFonts w:hint="default" w:ascii="仿宋_GB2312" w:hAnsi="Times New Roman" w:eastAsia="仿宋_GB2312" w:cs="Times New Roman"/>
          <w:kern w:val="0"/>
          <w:sz w:val="32"/>
          <w:szCs w:val="32"/>
          <w:lang w:val="en-US" w:eastAsia="zh-CN" w:bidi="ar-SA"/>
        </w:rPr>
        <w:t>支出决算为</w:t>
      </w:r>
      <w:r>
        <w:rPr>
          <w:rFonts w:hint="eastAsia" w:ascii="仿宋_GB2312" w:hAnsi="Times New Roman" w:eastAsia="仿宋_GB2312" w:cs="Times New Roman"/>
          <w:kern w:val="0"/>
          <w:sz w:val="32"/>
          <w:szCs w:val="32"/>
          <w:lang w:val="en-US" w:eastAsia="zh-CN" w:bidi="ar-SA"/>
        </w:rPr>
        <w:t>1</w:t>
      </w:r>
      <w:r>
        <w:rPr>
          <w:rFonts w:hint="default" w:ascii="仿宋_GB2312" w:hAnsi="Times New Roman" w:eastAsia="仿宋_GB2312" w:cs="Times New Roman"/>
          <w:kern w:val="0"/>
          <w:sz w:val="32"/>
          <w:szCs w:val="32"/>
          <w:lang w:val="en-US" w:eastAsia="zh-CN" w:bidi="ar-SA"/>
        </w:rPr>
        <w:t>万元，完成预算100%，主要用于缴纳职工</w:t>
      </w:r>
      <w:r>
        <w:rPr>
          <w:rFonts w:hint="eastAsia" w:ascii="仿宋_GB2312" w:hAnsi="Times New Roman" w:eastAsia="仿宋_GB2312" w:cs="Times New Roman"/>
          <w:kern w:val="0"/>
          <w:sz w:val="32"/>
          <w:szCs w:val="32"/>
          <w:lang w:val="en-US" w:eastAsia="zh-CN" w:bidi="ar-SA"/>
        </w:rPr>
        <w:t>工伤保险及残疾人就业保障金</w:t>
      </w:r>
      <w:r>
        <w:rPr>
          <w:rFonts w:hint="default" w:ascii="仿宋_GB2312" w:hAnsi="Times New Roman" w:eastAsia="仿宋_GB2312" w:cs="Times New Roman"/>
          <w:kern w:val="0"/>
          <w:sz w:val="32"/>
          <w:szCs w:val="32"/>
          <w:lang w:val="en-US" w:eastAsia="zh-CN" w:bidi="ar-SA"/>
        </w:rPr>
        <w:t>。</w:t>
      </w:r>
    </w:p>
    <w:p>
      <w:pPr>
        <w:keepNext w:val="0"/>
        <w:keepLines w:val="0"/>
        <w:widowControl w:val="0"/>
        <w:suppressLineNumbers w:val="0"/>
        <w:spacing w:before="0" w:beforeAutospacing="0" w:after="0" w:afterAutospacing="0" w:line="576" w:lineRule="exact"/>
        <w:ind w:left="0" w:right="0" w:firstLine="642" w:firstLineChars="200"/>
        <w:jc w:val="both"/>
        <w:rPr>
          <w:rFonts w:hint="default" w:ascii="仿宋_GB2312" w:hAnsi="Times New Roman" w:eastAsia="仿宋_GB2312" w:cs="Times New Roman"/>
          <w:kern w:val="0"/>
          <w:sz w:val="32"/>
          <w:szCs w:val="32"/>
          <w:lang w:val="en-US" w:eastAsia="zh-CN" w:bidi="ar-SA"/>
        </w:rPr>
      </w:pPr>
      <w:r>
        <w:rPr>
          <w:rFonts w:hint="eastAsia" w:ascii="仿宋_GB2312" w:hAnsi="Times New Roman" w:eastAsia="仿宋_GB2312" w:cs="仿宋_GB2312"/>
          <w:b/>
          <w:bCs/>
          <w:kern w:val="0"/>
          <w:sz w:val="32"/>
          <w:szCs w:val="32"/>
          <w:lang w:val="en-US" w:eastAsia="zh-CN" w:bidi="ar"/>
        </w:rPr>
        <w:t>6</w:t>
      </w:r>
      <w:r>
        <w:rPr>
          <w:rFonts w:hint="default" w:ascii="仿宋_GB2312" w:hAnsi="Times New Roman" w:eastAsia="仿宋_GB2312" w:cs="仿宋_GB2312"/>
          <w:b/>
          <w:bCs/>
          <w:kern w:val="0"/>
          <w:sz w:val="32"/>
          <w:szCs w:val="32"/>
          <w:lang w:val="en-US" w:eastAsia="zh-CN" w:bidi="ar"/>
        </w:rPr>
        <w:t>.</w:t>
      </w:r>
      <w:r>
        <w:rPr>
          <w:rFonts w:hint="eastAsia" w:ascii="仿宋_GB2312" w:hAnsi="Times New Roman" w:eastAsia="仿宋_GB2312" w:cs="仿宋_GB2312"/>
          <w:b/>
          <w:bCs/>
          <w:kern w:val="0"/>
          <w:sz w:val="32"/>
          <w:szCs w:val="32"/>
          <w:lang w:val="en-US" w:eastAsia="zh-CN" w:bidi="ar"/>
        </w:rPr>
        <w:t>卫生健康支出（类）</w:t>
      </w:r>
      <w:r>
        <w:rPr>
          <w:rFonts w:hint="default" w:ascii="仿宋_GB2312" w:hAnsi="Times New Roman" w:eastAsia="仿宋_GB2312" w:cs="仿宋_GB2312"/>
          <w:b/>
          <w:bCs/>
          <w:kern w:val="0"/>
          <w:sz w:val="32"/>
          <w:szCs w:val="32"/>
          <w:lang w:val="en-US" w:eastAsia="zh-CN" w:bidi="ar"/>
        </w:rPr>
        <w:t>行政事业单位医疗（款）行政单位医疗（项）:</w:t>
      </w:r>
      <w:r>
        <w:rPr>
          <w:rFonts w:hint="default" w:ascii="仿宋_GB2312" w:hAnsi="Times New Roman" w:eastAsia="仿宋_GB2312" w:cs="Times New Roman"/>
          <w:kern w:val="0"/>
          <w:sz w:val="32"/>
          <w:szCs w:val="32"/>
          <w:lang w:val="en-US" w:eastAsia="zh-CN" w:bidi="ar-SA"/>
        </w:rPr>
        <w:t>支出决算为</w:t>
      </w:r>
      <w:r>
        <w:rPr>
          <w:rFonts w:hint="eastAsia" w:ascii="仿宋_GB2312" w:hAnsi="Times New Roman" w:eastAsia="仿宋_GB2312" w:cs="Times New Roman"/>
          <w:kern w:val="0"/>
          <w:sz w:val="32"/>
          <w:szCs w:val="32"/>
          <w:lang w:val="en-US" w:eastAsia="zh-CN" w:bidi="ar-SA"/>
        </w:rPr>
        <w:t>16.99</w:t>
      </w:r>
      <w:r>
        <w:rPr>
          <w:rFonts w:hint="default" w:ascii="仿宋_GB2312" w:hAnsi="Times New Roman" w:eastAsia="仿宋_GB2312" w:cs="Times New Roman"/>
          <w:kern w:val="0"/>
          <w:sz w:val="32"/>
          <w:szCs w:val="32"/>
          <w:lang w:val="en-US" w:eastAsia="zh-CN" w:bidi="ar-SA"/>
        </w:rPr>
        <w:t xml:space="preserve">万元，完成预算100%，主要用于缴纳职工医疗保险及失业保险费。   </w:t>
      </w:r>
    </w:p>
    <w:p>
      <w:pPr>
        <w:pStyle w:val="34"/>
        <w:widowControl/>
        <w:spacing w:line="576" w:lineRule="exact"/>
        <w:ind w:left="0" w:firstLine="642" w:firstLineChars="200"/>
        <w:rPr>
          <w:rFonts w:hint="default" w:ascii="仿宋_GB2312" w:hAnsi="Times New Roman" w:eastAsia="仿宋_GB2312" w:cs="Times New Roman"/>
          <w:kern w:val="0"/>
          <w:sz w:val="32"/>
          <w:szCs w:val="32"/>
          <w:lang w:val="en-US" w:eastAsia="zh-CN" w:bidi="ar-SA"/>
        </w:rPr>
      </w:pPr>
      <w:r>
        <w:rPr>
          <w:rFonts w:hint="eastAsia" w:ascii="仿宋_GB2312" w:hAnsi="Times New Roman" w:eastAsia="仿宋_GB2312" w:cs="仿宋_GB2312"/>
          <w:b/>
          <w:bCs/>
          <w:kern w:val="0"/>
          <w:sz w:val="32"/>
          <w:szCs w:val="32"/>
          <w:lang w:val="en-US" w:eastAsia="zh-CN" w:bidi="ar"/>
        </w:rPr>
        <w:t>7</w:t>
      </w:r>
      <w:r>
        <w:rPr>
          <w:rFonts w:hint="default" w:ascii="仿宋_GB2312" w:hAnsi="Times New Roman" w:eastAsia="仿宋_GB2312" w:cs="仿宋_GB2312"/>
          <w:b/>
          <w:bCs/>
          <w:kern w:val="0"/>
          <w:sz w:val="32"/>
          <w:szCs w:val="32"/>
          <w:lang w:val="en-US" w:eastAsia="zh-CN" w:bidi="ar"/>
        </w:rPr>
        <w:t>.住房保障支出（类）住房改革支出（款）住房公积金（项）：</w:t>
      </w:r>
      <w:r>
        <w:rPr>
          <w:rFonts w:hint="default" w:ascii="仿宋_GB2312" w:hAnsi="Times New Roman" w:eastAsia="仿宋_GB2312" w:cs="Times New Roman"/>
          <w:kern w:val="0"/>
          <w:sz w:val="32"/>
          <w:szCs w:val="32"/>
          <w:lang w:val="en-US" w:eastAsia="zh-CN" w:bidi="ar-SA"/>
        </w:rPr>
        <w:t>支出决算为</w:t>
      </w:r>
      <w:r>
        <w:rPr>
          <w:rFonts w:hint="eastAsia" w:ascii="仿宋_GB2312" w:hAnsi="Times New Roman" w:eastAsia="仿宋_GB2312" w:cs="Times New Roman"/>
          <w:kern w:val="0"/>
          <w:sz w:val="32"/>
          <w:szCs w:val="32"/>
          <w:lang w:val="en-US" w:eastAsia="zh-CN" w:bidi="ar-SA"/>
        </w:rPr>
        <w:t>34.69</w:t>
      </w:r>
      <w:r>
        <w:rPr>
          <w:rFonts w:hint="default" w:ascii="仿宋_GB2312" w:hAnsi="Times New Roman" w:eastAsia="仿宋_GB2312" w:cs="Times New Roman"/>
          <w:kern w:val="0"/>
          <w:sz w:val="32"/>
          <w:szCs w:val="32"/>
          <w:lang w:val="en-US" w:eastAsia="zh-CN" w:bidi="ar-SA"/>
        </w:rPr>
        <w:t>万元，完成预算100%，主要用于缴纳职工住房公积金。</w:t>
      </w:r>
    </w:p>
    <w:p>
      <w:pPr>
        <w:tabs>
          <w:tab w:val="right" w:pos="8306"/>
        </w:tabs>
        <w:spacing w:line="600" w:lineRule="exact"/>
        <w:ind w:firstLine="640"/>
        <w:outlineLvl w:val="1"/>
        <w:rPr>
          <w:rStyle w:val="29"/>
          <w:color w:val="auto"/>
          <w:highlight w:val="none"/>
        </w:rPr>
      </w:pPr>
      <w:bookmarkStart w:id="40" w:name="_Toc15377214"/>
      <w:bookmarkStart w:id="41"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40"/>
      <w:bookmarkEnd w:id="41"/>
      <w:r>
        <w:rPr>
          <w:rStyle w:val="29"/>
          <w:rFonts w:ascii="黑体" w:hAnsi="黑体" w:eastAsia="黑体"/>
          <w:b w:val="0"/>
          <w:color w:val="auto"/>
          <w:highlight w:val="none"/>
        </w:rPr>
        <w:tab/>
      </w:r>
    </w:p>
    <w:p>
      <w:pPr>
        <w:spacing w:line="600" w:lineRule="exact"/>
        <w:ind w:firstLine="645"/>
        <w:rPr>
          <w:rFonts w:hint="default" w:ascii="仿宋_GB2312" w:eastAsia="仿宋_GB2312"/>
          <w:kern w:val="0"/>
          <w:sz w:val="32"/>
          <w:szCs w:val="32"/>
          <w:lang w:val="en-US" w:eastAsia="zh-CN"/>
        </w:rPr>
      </w:pPr>
      <w:r>
        <w:rPr>
          <w:rFonts w:hint="default" w:ascii="仿宋_GB2312" w:eastAsia="仿宋_GB2312"/>
          <w:kern w:val="0"/>
          <w:sz w:val="32"/>
          <w:szCs w:val="32"/>
          <w:lang w:val="en-US" w:eastAsia="zh-CN"/>
        </w:rPr>
        <w:t>20</w:t>
      </w:r>
      <w:r>
        <w:rPr>
          <w:rFonts w:hint="eastAsia" w:ascii="仿宋_GB2312" w:eastAsia="仿宋_GB2312"/>
          <w:kern w:val="0"/>
          <w:sz w:val="32"/>
          <w:szCs w:val="32"/>
          <w:lang w:val="en-US" w:eastAsia="zh-CN"/>
        </w:rPr>
        <w:t>21年一般公共预算财政拨款基本支出450.45万元，其中：</w:t>
      </w:r>
    </w:p>
    <w:p>
      <w:pPr>
        <w:spacing w:line="600" w:lineRule="exact"/>
        <w:ind w:firstLine="645"/>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人员经费393.58万元，主要包括：基本工资、津贴补贴、奖金、伙食补助费、机关事业单位基本养老保险缴费、职工基本医疗保险缴费、其他社会保障缴费、其他工资福利支出、奖励金、住房公积金等。</w:t>
      </w:r>
    </w:p>
    <w:p>
      <w:pPr>
        <w:spacing w:line="600" w:lineRule="exact"/>
        <w:ind w:firstLine="640" w:firstLineChars="200"/>
        <w:rPr>
          <w:rFonts w:hint="default" w:ascii="仿宋" w:hAnsi="仿宋" w:eastAsia="仿宋" w:cs="Times New Roman"/>
          <w:color w:val="auto"/>
          <w:kern w:val="2"/>
          <w:sz w:val="32"/>
          <w:szCs w:val="32"/>
          <w:highlight w:val="none"/>
          <w:lang w:val="en-US" w:eastAsia="zh-CN" w:bidi="ar-SA"/>
        </w:rPr>
      </w:pPr>
      <w:r>
        <w:rPr>
          <w:rFonts w:hint="eastAsia" w:ascii="仿宋_GB2312" w:eastAsia="仿宋_GB2312"/>
          <w:kern w:val="0"/>
          <w:sz w:val="32"/>
          <w:szCs w:val="32"/>
          <w:lang w:val="en-US" w:eastAsia="zh-CN"/>
        </w:rPr>
        <w:t>公用经费56.87万元，主要包括：办公费、手续费、水费、邮电费、差旅费、培训费、劳务费、工会经费、福利费、其他交通费、其他商品和服务支出等。</w:t>
      </w:r>
    </w:p>
    <w:p>
      <w:pPr>
        <w:spacing w:line="600" w:lineRule="exact"/>
        <w:ind w:firstLine="640"/>
        <w:outlineLvl w:val="1"/>
        <w:rPr>
          <w:rStyle w:val="29"/>
          <w:rFonts w:ascii="黑体" w:hAnsi="黑体" w:eastAsia="黑体"/>
          <w:b w:val="0"/>
          <w:color w:val="auto"/>
          <w:highlight w:val="none"/>
        </w:rPr>
      </w:pPr>
      <w:bookmarkStart w:id="42" w:name="_Toc15377215"/>
      <w:bookmarkStart w:id="43" w:name="_Toc15396609"/>
      <w:r>
        <w:rPr>
          <w:rFonts w:hint="eastAsia" w:ascii="黑体" w:eastAsia="黑体"/>
          <w:color w:val="auto"/>
          <w:sz w:val="32"/>
          <w:szCs w:val="32"/>
          <w:highlight w:val="none"/>
        </w:rPr>
        <w:t>七、</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三公”经费财政拨款支出决算情况说明</w:t>
      </w:r>
      <w:bookmarkEnd w:id="42"/>
      <w:bookmarkEnd w:id="43"/>
    </w:p>
    <w:p>
      <w:pPr>
        <w:pStyle w:val="6"/>
        <w:adjustRightInd w:val="0"/>
        <w:snapToGrid w:val="0"/>
        <w:spacing w:beforeLines="0" w:line="576" w:lineRule="exact"/>
        <w:ind w:firstLine="642" w:firstLineChars="200"/>
        <w:outlineLvl w:val="2"/>
        <w:rPr>
          <w:rFonts w:hint="eastAsia" w:ascii="楷体_GB2312" w:hAnsi="楷体_GB2312" w:eastAsia="楷体_GB2312" w:cs="楷体_GB2312"/>
          <w:b/>
          <w:bCs/>
          <w:color w:val="000000"/>
          <w:sz w:val="32"/>
          <w:szCs w:val="32"/>
          <w:lang w:val="en-US" w:eastAsia="zh-CN"/>
        </w:rPr>
      </w:pPr>
      <w:bookmarkStart w:id="44" w:name="_Toc15377216"/>
      <w:r>
        <w:rPr>
          <w:rFonts w:hint="eastAsia" w:ascii="楷体_GB2312" w:hAnsi="楷体_GB2312" w:eastAsia="楷体_GB2312" w:cs="楷体_GB2312"/>
          <w:b/>
          <w:bCs/>
          <w:color w:val="000000"/>
          <w:sz w:val="32"/>
          <w:szCs w:val="32"/>
          <w:lang w:val="en-US" w:eastAsia="zh-CN"/>
        </w:rPr>
        <w:t>（一）“三公”经费财政拨款支出决算总体情况说明</w:t>
      </w:r>
      <w:bookmarkEnd w:id="44"/>
    </w:p>
    <w:p>
      <w:pPr>
        <w:spacing w:line="600" w:lineRule="exact"/>
        <w:ind w:firstLine="645"/>
        <w:rPr>
          <w:rFonts w:hint="default" w:ascii="仿宋_GB2312" w:eastAsia="仿宋_GB2312"/>
          <w:kern w:val="0"/>
          <w:sz w:val="32"/>
          <w:szCs w:val="32"/>
          <w:lang w:val="en-US" w:eastAsia="zh-CN"/>
        </w:rPr>
      </w:pPr>
      <w:r>
        <w:rPr>
          <w:rFonts w:hint="default" w:ascii="仿宋" w:hAnsi="仿宋" w:eastAsia="仿宋" w:cs="Times New Roman"/>
          <w:color w:val="auto"/>
          <w:kern w:val="2"/>
          <w:sz w:val="32"/>
          <w:szCs w:val="32"/>
          <w:highlight w:val="none"/>
          <w:lang w:val="en-US" w:eastAsia="zh-CN" w:bidi="ar-SA"/>
        </w:rPr>
        <w:t>2</w:t>
      </w:r>
      <w:r>
        <w:rPr>
          <w:rFonts w:hint="default" w:ascii="仿宋_GB2312" w:eastAsia="仿宋_GB2312"/>
          <w:kern w:val="0"/>
          <w:sz w:val="32"/>
          <w:szCs w:val="32"/>
          <w:lang w:val="en-US" w:eastAsia="zh-CN"/>
        </w:rPr>
        <w:t>0</w:t>
      </w:r>
      <w:r>
        <w:rPr>
          <w:rFonts w:hint="eastAsia" w:ascii="仿宋_GB2312" w:eastAsia="仿宋_GB2312"/>
          <w:kern w:val="0"/>
          <w:sz w:val="32"/>
          <w:szCs w:val="32"/>
          <w:lang w:val="en-US" w:eastAsia="zh-CN"/>
        </w:rPr>
        <w:t>21年“三公”经费财政拨款支出决算为0万元，完成预算0</w:t>
      </w:r>
      <w:r>
        <w:rPr>
          <w:rFonts w:hint="default" w:ascii="仿宋_GB2312" w:eastAsia="仿宋_GB2312"/>
          <w:kern w:val="0"/>
          <w:sz w:val="32"/>
          <w:szCs w:val="32"/>
          <w:lang w:val="en-US" w:eastAsia="zh-CN"/>
        </w:rPr>
        <w:t>%</w:t>
      </w:r>
      <w:r>
        <w:rPr>
          <w:rFonts w:hint="eastAsia" w:ascii="仿宋_GB2312" w:eastAsia="仿宋_GB2312"/>
          <w:color w:val="auto"/>
          <w:kern w:val="0"/>
          <w:sz w:val="32"/>
          <w:szCs w:val="32"/>
          <w:lang w:val="en-US" w:eastAsia="zh-CN"/>
        </w:rPr>
        <w:t>（预算数为2万元）</w:t>
      </w:r>
      <w:r>
        <w:rPr>
          <w:rFonts w:hint="eastAsia" w:ascii="仿宋_GB2312" w:eastAsia="仿宋_GB2312"/>
          <w:kern w:val="0"/>
          <w:sz w:val="32"/>
          <w:szCs w:val="32"/>
          <w:lang w:val="en-US" w:eastAsia="zh-CN"/>
        </w:rPr>
        <w:t>，决算数小于预算数的主要原因是当年无“三公”经费支出。</w:t>
      </w:r>
    </w:p>
    <w:p>
      <w:pPr>
        <w:pStyle w:val="6"/>
        <w:adjustRightInd w:val="0"/>
        <w:snapToGrid w:val="0"/>
        <w:spacing w:beforeLines="0" w:line="576" w:lineRule="exact"/>
        <w:ind w:firstLine="642" w:firstLineChars="200"/>
        <w:outlineLvl w:val="2"/>
        <w:rPr>
          <w:rFonts w:hint="eastAsia" w:ascii="楷体_GB2312" w:hAnsi="楷体_GB2312" w:eastAsia="楷体_GB2312" w:cs="楷体_GB2312"/>
          <w:b/>
          <w:bCs/>
          <w:color w:val="000000"/>
          <w:sz w:val="32"/>
          <w:szCs w:val="32"/>
          <w:lang w:val="en-US" w:eastAsia="zh-CN"/>
        </w:rPr>
      </w:pPr>
      <w:bookmarkStart w:id="45" w:name="_Toc15377217"/>
      <w:r>
        <w:rPr>
          <w:rFonts w:hint="eastAsia" w:ascii="楷体_GB2312" w:hAnsi="楷体_GB2312" w:eastAsia="楷体_GB2312" w:cs="楷体_GB2312"/>
          <w:b/>
          <w:bCs/>
          <w:color w:val="000000"/>
          <w:sz w:val="32"/>
          <w:szCs w:val="32"/>
          <w:lang w:val="en-US" w:eastAsia="zh-CN"/>
        </w:rPr>
        <w:t>（二）“三公”经费财政拨款支出决算具体情况说明</w:t>
      </w:r>
      <w:bookmarkEnd w:id="45"/>
    </w:p>
    <w:p>
      <w:pPr>
        <w:ind w:firstLine="640" w:firstLineChars="200"/>
        <w:rPr>
          <w:rFonts w:hint="default" w:ascii="仿宋_GB2312" w:eastAsia="仿宋_GB2312"/>
          <w:kern w:val="0"/>
          <w:sz w:val="32"/>
          <w:szCs w:val="32"/>
          <w:lang w:val="en-US" w:eastAsia="zh-CN"/>
        </w:rPr>
      </w:pPr>
      <w:r>
        <w:rPr>
          <w:rFonts w:hint="default" w:ascii="仿宋_GB2312" w:eastAsia="仿宋_GB2312"/>
          <w:kern w:val="0"/>
          <w:sz w:val="32"/>
          <w:szCs w:val="32"/>
          <w:lang w:val="en-US" w:eastAsia="zh-CN"/>
        </w:rPr>
        <w:t>20</w:t>
      </w:r>
      <w:r>
        <w:rPr>
          <w:rFonts w:hint="eastAsia" w:ascii="仿宋_GB2312" w:eastAsia="仿宋_GB2312"/>
          <w:kern w:val="0"/>
          <w:sz w:val="32"/>
          <w:szCs w:val="32"/>
          <w:lang w:val="en-US" w:eastAsia="zh-CN"/>
        </w:rPr>
        <w:t>21年“三公”经费财政拨款支出决算中，因公出国（境）费支出决算0万元；公务用车购置及运行维护费支出决算0万元；公务接待费支出决算0万元。具体情况如下：</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drawing>
          <wp:inline distT="0" distB="0" distL="114300" distR="114300">
            <wp:extent cx="5080000" cy="2428875"/>
            <wp:effectExtent l="4445" t="4445" r="20955" b="508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jc w:val="center"/>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图7：“三公”经费财政拨款支出结构</w:t>
      </w:r>
    </w:p>
    <w:p>
      <w:pPr>
        <w:ind w:firstLine="642" w:firstLineChars="200"/>
        <w:rPr>
          <w:rFonts w:hint="eastAsia" w:ascii="仿宋_GB2312" w:eastAsia="仿宋_GB2312"/>
          <w:kern w:val="0"/>
          <w:sz w:val="32"/>
          <w:szCs w:val="32"/>
          <w:lang w:val="en-US" w:eastAsia="zh-CN"/>
        </w:rPr>
      </w:pPr>
      <w:r>
        <w:rPr>
          <w:rFonts w:hint="eastAsia" w:ascii="仿宋_GB2312" w:eastAsia="仿宋_GB2312"/>
          <w:b/>
          <w:bCs/>
          <w:kern w:val="0"/>
          <w:sz w:val="32"/>
          <w:szCs w:val="32"/>
          <w:lang w:val="en-US" w:eastAsia="zh-CN"/>
        </w:rPr>
        <w:t>1.因公出国（境）经费支出</w:t>
      </w:r>
      <w:r>
        <w:rPr>
          <w:rFonts w:hint="eastAsia" w:ascii="仿宋_GB2312" w:eastAsia="仿宋_GB2312"/>
          <w:kern w:val="0"/>
          <w:sz w:val="32"/>
          <w:szCs w:val="32"/>
          <w:lang w:val="en-US" w:eastAsia="zh-CN"/>
        </w:rPr>
        <w:t>0万元，较2020年无变化，年初未安排预算。</w:t>
      </w:r>
    </w:p>
    <w:p>
      <w:pPr>
        <w:spacing w:line="600" w:lineRule="exact"/>
        <w:ind w:firstLine="640"/>
        <w:rPr>
          <w:rFonts w:hint="eastAsia" w:ascii="仿宋_GB2312" w:eastAsia="仿宋_GB2312"/>
          <w:kern w:val="0"/>
          <w:sz w:val="32"/>
          <w:szCs w:val="32"/>
          <w:lang w:val="en-US" w:eastAsia="zh-CN"/>
        </w:rPr>
      </w:pPr>
      <w:r>
        <w:rPr>
          <w:rFonts w:hint="eastAsia" w:ascii="仿宋_GB2312" w:eastAsia="仿宋_GB2312"/>
          <w:b/>
          <w:bCs/>
          <w:kern w:val="0"/>
          <w:sz w:val="32"/>
          <w:szCs w:val="32"/>
          <w:lang w:val="en-US" w:eastAsia="zh-CN"/>
        </w:rPr>
        <w:t>2.公务用车购置及运行维护费支出</w:t>
      </w:r>
      <w:r>
        <w:rPr>
          <w:rFonts w:hint="eastAsia" w:ascii="仿宋_GB2312" w:eastAsia="仿宋_GB2312"/>
          <w:kern w:val="0"/>
          <w:sz w:val="32"/>
          <w:szCs w:val="32"/>
          <w:lang w:val="en-US" w:eastAsia="zh-CN"/>
        </w:rPr>
        <w:t>0万元，较2020年无变化，年初未安排预算。</w:t>
      </w:r>
    </w:p>
    <w:p>
      <w:pPr>
        <w:spacing w:line="600" w:lineRule="exact"/>
        <w:ind w:firstLine="640"/>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其中，公务用车购置支出0万元，公务用车运行维护费支出0万元。</w:t>
      </w:r>
    </w:p>
    <w:p>
      <w:pPr>
        <w:spacing w:line="600" w:lineRule="exact"/>
        <w:ind w:firstLine="640"/>
        <w:rPr>
          <w:rFonts w:hint="default" w:ascii="仿宋_GB2312" w:eastAsia="仿宋_GB2312"/>
          <w:kern w:val="0"/>
          <w:sz w:val="32"/>
          <w:szCs w:val="32"/>
          <w:lang w:val="en-US" w:eastAsia="zh-CN"/>
        </w:rPr>
      </w:pPr>
      <w:r>
        <w:rPr>
          <w:rFonts w:hint="eastAsia" w:ascii="仿宋_GB2312" w:eastAsia="仿宋_GB2312"/>
          <w:kern w:val="0"/>
          <w:sz w:val="32"/>
          <w:szCs w:val="32"/>
          <w:lang w:val="en-US" w:eastAsia="zh-CN"/>
        </w:rPr>
        <w:t xml:space="preserve">2021年本单位拥有公务用车数量为0。                                    </w:t>
      </w:r>
    </w:p>
    <w:p>
      <w:pPr>
        <w:spacing w:line="600" w:lineRule="exact"/>
        <w:ind w:firstLine="640"/>
        <w:rPr>
          <w:rFonts w:hint="default" w:ascii="仿宋_GB2312" w:eastAsia="仿宋_GB2312"/>
          <w:kern w:val="0"/>
          <w:sz w:val="32"/>
          <w:szCs w:val="32"/>
          <w:lang w:val="en-US" w:eastAsia="zh-CN"/>
        </w:rPr>
      </w:pPr>
      <w:r>
        <w:rPr>
          <w:rFonts w:hint="eastAsia" w:ascii="仿宋_GB2312" w:eastAsia="仿宋_GB2312"/>
          <w:b/>
          <w:bCs/>
          <w:kern w:val="0"/>
          <w:sz w:val="32"/>
          <w:szCs w:val="32"/>
          <w:lang w:val="en-US" w:eastAsia="zh-CN"/>
        </w:rPr>
        <w:t>3.公务接待费支出</w:t>
      </w:r>
      <w:r>
        <w:rPr>
          <w:rFonts w:hint="eastAsia" w:ascii="仿宋_GB2312" w:eastAsia="仿宋_GB2312"/>
          <w:kern w:val="0"/>
          <w:sz w:val="32"/>
          <w:szCs w:val="32"/>
          <w:lang w:val="en-US" w:eastAsia="zh-CN"/>
        </w:rPr>
        <w:t>0万元。</w:t>
      </w:r>
      <w:r>
        <w:rPr>
          <w:rFonts w:hint="eastAsia" w:ascii="仿宋_GB2312" w:eastAsia="仿宋_GB2312"/>
          <w:color w:val="auto"/>
          <w:kern w:val="0"/>
          <w:sz w:val="32"/>
          <w:szCs w:val="32"/>
          <w:lang w:val="en-US" w:eastAsia="zh-CN"/>
        </w:rPr>
        <w:t>完成预算0%（预算数为2万元），支出决算比2020年减少0.1</w:t>
      </w:r>
      <w:r>
        <w:rPr>
          <w:rFonts w:hint="eastAsia" w:ascii="仿宋_GB2312" w:eastAsia="仿宋_GB2312"/>
          <w:kern w:val="0"/>
          <w:sz w:val="32"/>
          <w:szCs w:val="32"/>
          <w:lang w:val="en-US" w:eastAsia="zh-CN"/>
        </w:rPr>
        <w:t xml:space="preserve">8万元，下降100%。主要原因是当年未发生公务接待支出。 </w:t>
      </w:r>
    </w:p>
    <w:p>
      <w:pPr>
        <w:spacing w:line="600" w:lineRule="exact"/>
        <w:ind w:firstLine="640"/>
        <w:outlineLvl w:val="1"/>
        <w:rPr>
          <w:rStyle w:val="29"/>
          <w:rFonts w:ascii="黑体" w:hAnsi="黑体" w:eastAsia="黑体"/>
          <w:color w:val="auto"/>
          <w:highlight w:val="none"/>
        </w:rPr>
      </w:pPr>
      <w:bookmarkStart w:id="46" w:name="_Toc15396610"/>
      <w:bookmarkStart w:id="47" w:name="_Toc15377218"/>
      <w:r>
        <w:rPr>
          <w:rFonts w:hint="eastAsia" w:ascii="黑体" w:eastAsia="黑体"/>
          <w:color w:val="auto"/>
          <w:sz w:val="32"/>
          <w:szCs w:val="32"/>
          <w:highlight w:val="none"/>
        </w:rPr>
        <w:t>八、</w:t>
      </w:r>
      <w:r>
        <w:rPr>
          <w:rStyle w:val="29"/>
          <w:rFonts w:hint="eastAsia" w:ascii="黑体" w:hAnsi="黑体" w:eastAsia="黑体"/>
          <w:b w:val="0"/>
          <w:color w:val="auto"/>
          <w:highlight w:val="none"/>
        </w:rPr>
        <w:t>政府性基金预算支出决算情况说明</w:t>
      </w:r>
      <w:bookmarkEnd w:id="46"/>
      <w:bookmarkEnd w:id="47"/>
    </w:p>
    <w:p>
      <w:pPr>
        <w:spacing w:line="600" w:lineRule="exact"/>
        <w:ind w:firstLine="640"/>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2021年政府性基金预算财政拨款支出0万元。2021年本单位未在政府性基金预算拨款安排“三公经费”支出。</w:t>
      </w:r>
    </w:p>
    <w:p>
      <w:pPr>
        <w:numPr>
          <w:ilvl w:val="0"/>
          <w:numId w:val="3"/>
        </w:numPr>
        <w:spacing w:line="600" w:lineRule="exact"/>
        <w:ind w:firstLine="640"/>
        <w:outlineLvl w:val="1"/>
        <w:rPr>
          <w:rStyle w:val="29"/>
          <w:rFonts w:ascii="黑体" w:hAnsi="黑体" w:eastAsia="黑体"/>
          <w:b w:val="0"/>
          <w:color w:val="auto"/>
          <w:highlight w:val="none"/>
        </w:rPr>
      </w:pPr>
      <w:bookmarkStart w:id="48" w:name="_Toc15396611"/>
      <w:bookmarkStart w:id="49" w:name="_Toc15377219"/>
      <w:r>
        <w:rPr>
          <w:rStyle w:val="29"/>
          <w:rFonts w:hint="eastAsia" w:ascii="黑体" w:hAnsi="黑体" w:eastAsia="黑体"/>
          <w:b w:val="0"/>
          <w:color w:val="auto"/>
          <w:highlight w:val="none"/>
        </w:rPr>
        <w:t>国有资本经营预算支出决算情况说明</w:t>
      </w:r>
      <w:bookmarkEnd w:id="48"/>
      <w:bookmarkEnd w:id="49"/>
    </w:p>
    <w:p>
      <w:pPr>
        <w:spacing w:line="600" w:lineRule="exact"/>
        <w:ind w:firstLine="640"/>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2021年国有资本经营预算财政拨款支出0万元。</w:t>
      </w:r>
      <w:bookmarkStart w:id="50" w:name="_Toc15396612"/>
      <w:bookmarkStart w:id="51" w:name="_Toc15377221"/>
    </w:p>
    <w:p>
      <w:pPr>
        <w:numPr>
          <w:ilvl w:val="0"/>
          <w:numId w:val="3"/>
        </w:numPr>
        <w:spacing w:line="600" w:lineRule="exact"/>
        <w:ind w:firstLine="640"/>
        <w:outlineLvl w:val="1"/>
        <w:rPr>
          <w:rStyle w:val="29"/>
          <w:rFonts w:hint="eastAsia" w:ascii="黑体" w:hAnsi="黑体" w:eastAsia="黑体"/>
          <w:b w:val="0"/>
          <w:color w:val="auto"/>
          <w:highlight w:val="none"/>
        </w:rPr>
      </w:pPr>
      <w:r>
        <w:rPr>
          <w:rStyle w:val="29"/>
          <w:rFonts w:hint="eastAsia" w:ascii="黑体" w:hAnsi="黑体" w:eastAsia="黑体"/>
          <w:b w:val="0"/>
          <w:color w:val="auto"/>
          <w:highlight w:val="none"/>
          <w:lang w:val="en-US" w:eastAsia="zh-CN"/>
        </w:rPr>
        <w:t>预算绩效管理情况</w:t>
      </w:r>
    </w:p>
    <w:p>
      <w:pPr>
        <w:adjustRightInd w:val="0"/>
        <w:snapToGrid w:val="0"/>
        <w:spacing w:line="560" w:lineRule="exact"/>
        <w:ind w:firstLine="649" w:firstLineChars="203"/>
        <w:jc w:val="left"/>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根据预算绩效管理要求，本部门在2021年度预算编制阶段，组织对支付改革及中心运行经费项目、脱贫攻坚部门工作经费和设备采购经费等3个项目开展了预算事前绩效评估、编制了绩效目标，预算执行过程中，选取3个项目开展绩效监控，因设备采购</w:t>
      </w:r>
      <w:r>
        <w:rPr>
          <w:rFonts w:hint="eastAsia" w:ascii="仿宋_GB2312" w:eastAsia="仿宋_GB2312"/>
          <w:kern w:val="0"/>
          <w:sz w:val="32"/>
          <w:szCs w:val="32"/>
          <w:lang w:val="zh-CN" w:eastAsia="zh-CN"/>
        </w:rPr>
        <w:t>要求必须采购的国产电脑（安可）系统与国库集中支付系统不兼容，不能满足业务工作需要，经局机关同意后，暂停项目实施。在预算执行中，我中心严格按照绩效目标实施项目绩效监控，保证了绩效目标实现。</w:t>
      </w:r>
      <w:r>
        <w:rPr>
          <w:rFonts w:hint="eastAsia" w:ascii="仿宋_GB2312" w:eastAsia="仿宋_GB2312"/>
          <w:kern w:val="0"/>
          <w:sz w:val="32"/>
          <w:szCs w:val="32"/>
          <w:lang w:val="en-US" w:eastAsia="zh-CN"/>
        </w:rPr>
        <w:t>年终执行完毕后，对支付改革及中心运行经费项目、脱贫攻坚部门工作经费项目开展了绩效自评。同时，对2021年部门整体开展绩效自评，编报了《2021年广元市市级财政国库支付中心部门整体绩效评价报告》《广元市市级财政国库支付中心关于2021年度</w:t>
      </w:r>
      <w:r>
        <w:rPr>
          <w:rFonts w:hint="eastAsia" w:ascii="仿宋_GB2312" w:eastAsia="仿宋_GB2312"/>
          <w:kern w:val="0"/>
          <w:sz w:val="32"/>
          <w:szCs w:val="32"/>
          <w:lang w:val="zh-CN" w:eastAsia="zh-CN"/>
        </w:rPr>
        <w:t>支付改革及中心运行经费</w:t>
      </w:r>
      <w:r>
        <w:rPr>
          <w:rFonts w:hint="eastAsia" w:ascii="仿宋_GB2312" w:eastAsia="仿宋_GB2312"/>
          <w:kern w:val="0"/>
          <w:sz w:val="32"/>
          <w:szCs w:val="32"/>
          <w:lang w:val="en-US" w:eastAsia="zh-CN"/>
        </w:rPr>
        <w:t>项目绩效自评报告》《广元市市级财政国库支付中心关于2021年度脱贫攻坚部门工作经费项目绩效自评报告》。</w:t>
      </w:r>
    </w:p>
    <w:p>
      <w:pPr>
        <w:adjustRightInd w:val="0"/>
        <w:snapToGrid w:val="0"/>
        <w:spacing w:line="560" w:lineRule="exact"/>
        <w:ind w:firstLine="649" w:firstLineChars="203"/>
        <w:jc w:val="left"/>
        <w:rPr>
          <w:rFonts w:hint="eastAsia" w:ascii="仿宋" w:hAnsi="仿宋" w:eastAsia="仿宋" w:cs="Times New Roman"/>
          <w:color w:val="auto"/>
          <w:kern w:val="2"/>
          <w:sz w:val="32"/>
          <w:szCs w:val="32"/>
          <w:highlight w:val="none"/>
          <w:lang w:val="en-US" w:eastAsia="zh-CN" w:bidi="ar-SA"/>
        </w:rPr>
      </w:pPr>
      <w:r>
        <w:rPr>
          <w:rFonts w:hint="eastAsia" w:ascii="仿宋_GB2312" w:eastAsia="仿宋_GB2312"/>
          <w:kern w:val="0"/>
          <w:sz w:val="32"/>
          <w:szCs w:val="32"/>
          <w:lang w:val="en-US" w:eastAsia="zh-CN"/>
        </w:rPr>
        <w:t>见附件（第四部分）。</w:t>
      </w:r>
    </w:p>
    <w:p>
      <w:pPr>
        <w:numPr>
          <w:ilvl w:val="0"/>
          <w:numId w:val="3"/>
        </w:numPr>
        <w:spacing w:line="600" w:lineRule="exact"/>
        <w:ind w:firstLine="640"/>
        <w:outlineLvl w:val="1"/>
        <w:rPr>
          <w:rStyle w:val="29"/>
          <w:rFonts w:hint="eastAsia" w:ascii="黑体" w:hAnsi="黑体" w:eastAsia="黑体"/>
          <w:b w:val="0"/>
          <w:color w:val="auto"/>
          <w:highlight w:val="none"/>
        </w:rPr>
      </w:pPr>
      <w:r>
        <w:rPr>
          <w:rStyle w:val="29"/>
          <w:rFonts w:hint="eastAsia" w:ascii="黑体" w:hAnsi="黑体" w:eastAsia="黑体"/>
          <w:b w:val="0"/>
          <w:color w:val="auto"/>
          <w:highlight w:val="none"/>
        </w:rPr>
        <w:t>其他重要事项的情况说明</w:t>
      </w:r>
      <w:bookmarkEnd w:id="50"/>
      <w:bookmarkEnd w:id="51"/>
    </w:p>
    <w:p>
      <w:pPr>
        <w:pStyle w:val="6"/>
        <w:adjustRightInd w:val="0"/>
        <w:snapToGrid w:val="0"/>
        <w:spacing w:beforeLines="0" w:line="576" w:lineRule="exact"/>
        <w:ind w:firstLine="642" w:firstLineChars="200"/>
        <w:outlineLvl w:val="2"/>
        <w:rPr>
          <w:rFonts w:hint="eastAsia" w:ascii="楷体_GB2312" w:hAnsi="楷体_GB2312" w:eastAsia="楷体_GB2312" w:cs="楷体_GB2312"/>
          <w:b/>
          <w:bCs/>
          <w:color w:val="000000"/>
          <w:sz w:val="32"/>
          <w:szCs w:val="32"/>
          <w:lang w:val="en-US" w:eastAsia="zh-CN"/>
        </w:rPr>
      </w:pPr>
      <w:bookmarkStart w:id="52" w:name="_Toc15377222"/>
      <w:r>
        <w:rPr>
          <w:rFonts w:hint="eastAsia" w:ascii="楷体_GB2312" w:hAnsi="楷体_GB2312" w:eastAsia="楷体_GB2312" w:cs="楷体_GB2312"/>
          <w:b/>
          <w:bCs/>
          <w:color w:val="000000"/>
          <w:sz w:val="32"/>
          <w:szCs w:val="32"/>
          <w:lang w:val="en-US" w:eastAsia="zh-CN"/>
        </w:rPr>
        <w:t>（一）机关运行经费支出情况</w:t>
      </w:r>
      <w:bookmarkEnd w:id="52"/>
    </w:p>
    <w:p>
      <w:pPr>
        <w:spacing w:line="560" w:lineRule="exact"/>
        <w:ind w:firstLine="640" w:firstLineChars="200"/>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2021年，广元市市级财政国库支付中心机关运行经费支出56.87万元，比2020年增加0.1万元，增长0.18%。与2020年决算数基本持平。</w:t>
      </w:r>
    </w:p>
    <w:p>
      <w:pPr>
        <w:pStyle w:val="6"/>
        <w:adjustRightInd w:val="0"/>
        <w:snapToGrid w:val="0"/>
        <w:spacing w:beforeLines="0" w:line="576" w:lineRule="exact"/>
        <w:ind w:firstLine="642" w:firstLineChars="200"/>
        <w:outlineLvl w:val="2"/>
        <w:rPr>
          <w:rFonts w:hint="eastAsia" w:ascii="楷体_GB2312" w:hAnsi="楷体_GB2312" w:eastAsia="楷体_GB2312" w:cs="楷体_GB2312"/>
          <w:b/>
          <w:bCs/>
          <w:color w:val="000000"/>
          <w:sz w:val="32"/>
          <w:szCs w:val="32"/>
          <w:lang w:val="en-US" w:eastAsia="zh-CN"/>
        </w:rPr>
      </w:pPr>
      <w:bookmarkStart w:id="53" w:name="_Toc15377223"/>
      <w:r>
        <w:rPr>
          <w:rFonts w:hint="eastAsia" w:ascii="楷体_GB2312" w:hAnsi="楷体_GB2312" w:eastAsia="楷体_GB2312" w:cs="楷体_GB2312"/>
          <w:b/>
          <w:bCs/>
          <w:color w:val="000000"/>
          <w:sz w:val="32"/>
          <w:szCs w:val="32"/>
          <w:lang w:val="en-US" w:eastAsia="zh-CN"/>
        </w:rPr>
        <w:t>（二）政府采购支出情况</w:t>
      </w:r>
      <w:bookmarkEnd w:id="53"/>
    </w:p>
    <w:p>
      <w:pPr>
        <w:spacing w:line="560" w:lineRule="exact"/>
        <w:ind w:firstLine="640" w:firstLineChars="200"/>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2021年，广元市市级财政国库支付中心政府采购支出总额0万元。</w:t>
      </w:r>
    </w:p>
    <w:p>
      <w:pPr>
        <w:pStyle w:val="6"/>
        <w:adjustRightInd w:val="0"/>
        <w:snapToGrid w:val="0"/>
        <w:spacing w:beforeLines="0" w:line="576" w:lineRule="exact"/>
        <w:ind w:firstLine="642" w:firstLineChars="200"/>
        <w:outlineLvl w:val="2"/>
        <w:rPr>
          <w:rFonts w:hint="eastAsia" w:ascii="楷体_GB2312" w:hAnsi="楷体_GB2312" w:eastAsia="楷体_GB2312" w:cs="楷体_GB2312"/>
          <w:b/>
          <w:bCs/>
          <w:color w:val="000000"/>
          <w:sz w:val="32"/>
          <w:szCs w:val="32"/>
          <w:lang w:val="en-US" w:eastAsia="zh-CN"/>
        </w:rPr>
      </w:pPr>
      <w:bookmarkStart w:id="54" w:name="_Toc15377224"/>
      <w:r>
        <w:rPr>
          <w:rFonts w:hint="eastAsia" w:ascii="楷体_GB2312" w:hAnsi="楷体_GB2312" w:eastAsia="楷体_GB2312" w:cs="楷体_GB2312"/>
          <w:b/>
          <w:bCs/>
          <w:color w:val="000000"/>
          <w:sz w:val="32"/>
          <w:szCs w:val="32"/>
          <w:lang w:val="en-US" w:eastAsia="zh-CN"/>
        </w:rPr>
        <w:t>（三）国有资产占有使用情况</w:t>
      </w:r>
      <w:bookmarkEnd w:id="54"/>
    </w:p>
    <w:p>
      <w:pPr>
        <w:spacing w:line="560" w:lineRule="exact"/>
        <w:ind w:firstLine="640" w:firstLineChars="200"/>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截至2021年12月31日，广元市市级财政国库支付中心共有车辆0辆。单价50万元以上通用设备0台（套），单价100万元以上专用设备0台（套）。</w:t>
      </w:r>
    </w:p>
    <w:p>
      <w:pPr>
        <w:widowControl/>
        <w:jc w:val="left"/>
        <w:rPr>
          <w:rFonts w:ascii="仿宋_GB2312" w:eastAsia="仿宋_GB2312"/>
          <w:b/>
          <w:color w:val="auto"/>
          <w:sz w:val="32"/>
          <w:szCs w:val="32"/>
          <w:highlight w:val="none"/>
        </w:rPr>
      </w:pPr>
    </w:p>
    <w:p>
      <w:pPr>
        <w:pStyle w:val="2"/>
        <w:rPr>
          <w:rFonts w:ascii="仿宋_GB2312" w:eastAsia="仿宋_GB2312"/>
          <w:b/>
          <w:color w:val="auto"/>
          <w:sz w:val="32"/>
          <w:szCs w:val="32"/>
          <w:highlight w:val="none"/>
        </w:rPr>
      </w:pPr>
    </w:p>
    <w:p>
      <w:pPr>
        <w:pStyle w:val="2"/>
        <w:rPr>
          <w:rFonts w:ascii="仿宋_GB2312" w:eastAsia="仿宋_GB2312"/>
          <w:b/>
          <w:color w:val="auto"/>
          <w:sz w:val="32"/>
          <w:szCs w:val="32"/>
          <w:highlight w:val="none"/>
        </w:rPr>
      </w:pPr>
    </w:p>
    <w:p>
      <w:pPr>
        <w:pStyle w:val="2"/>
        <w:rPr>
          <w:rFonts w:ascii="仿宋_GB2312" w:eastAsia="仿宋_GB2312"/>
          <w:b/>
          <w:color w:val="auto"/>
          <w:sz w:val="32"/>
          <w:szCs w:val="32"/>
          <w:highlight w:val="none"/>
        </w:rPr>
      </w:pPr>
    </w:p>
    <w:p>
      <w:pPr>
        <w:pStyle w:val="2"/>
        <w:rPr>
          <w:rFonts w:ascii="仿宋_GB2312" w:eastAsia="仿宋_GB2312"/>
          <w:b/>
          <w:color w:val="auto"/>
          <w:sz w:val="32"/>
          <w:szCs w:val="32"/>
          <w:highlight w:val="none"/>
        </w:rPr>
      </w:pPr>
    </w:p>
    <w:p>
      <w:pPr>
        <w:numPr>
          <w:ilvl w:val="0"/>
          <w:numId w:val="4"/>
        </w:numPr>
        <w:spacing w:line="600" w:lineRule="exact"/>
        <w:ind w:firstLine="660" w:firstLineChars="150"/>
        <w:jc w:val="center"/>
        <w:outlineLvl w:val="0"/>
        <w:rPr>
          <w:rStyle w:val="28"/>
          <w:rFonts w:ascii="黑体" w:hAnsi="黑体" w:eastAsia="黑体"/>
          <w:b w:val="0"/>
          <w:color w:val="auto"/>
          <w:highlight w:val="none"/>
        </w:rPr>
      </w:pPr>
      <w:bookmarkStart w:id="55" w:name="_Toc15396613"/>
      <w:bookmarkStart w:id="56" w:name="_Toc15377225"/>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55"/>
      <w:bookmarkEnd w:id="56"/>
    </w:p>
    <w:p>
      <w:pPr>
        <w:spacing w:line="600" w:lineRule="exact"/>
        <w:jc w:val="left"/>
        <w:rPr>
          <w:rFonts w:ascii="宋体"/>
          <w:b/>
          <w:color w:val="auto"/>
          <w:sz w:val="44"/>
          <w:szCs w:val="44"/>
          <w:highlight w:val="none"/>
        </w:rPr>
      </w:pPr>
    </w:p>
    <w:p>
      <w:pPr>
        <w:spacing w:line="560" w:lineRule="exact"/>
        <w:ind w:firstLine="640" w:firstLineChars="200"/>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1.财政拨款收入：指单位从同级财政部门取得的财政预算资金。</w:t>
      </w:r>
    </w:p>
    <w:p>
      <w:pPr>
        <w:spacing w:line="560" w:lineRule="exact"/>
        <w:ind w:firstLine="640" w:firstLineChars="200"/>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 xml:space="preserve">2.其他收入：指单位取得的除上述收入以外的各项收入。主要是利息收入等。 </w:t>
      </w:r>
    </w:p>
    <w:p>
      <w:pPr>
        <w:spacing w:line="560" w:lineRule="exact"/>
        <w:ind w:firstLine="640" w:firstLineChars="200"/>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 xml:space="preserve">3.年初结转和结余：指以前年度尚未完成、结转到本年按有关规定继续使用的资金。 </w:t>
      </w:r>
    </w:p>
    <w:p>
      <w:pPr>
        <w:spacing w:line="560" w:lineRule="exact"/>
        <w:ind w:firstLine="640" w:firstLineChars="200"/>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4.年末结转和结余：指单位按有关规定结转到下年或以后年度继续使用的资金。</w:t>
      </w:r>
    </w:p>
    <w:p>
      <w:pPr>
        <w:spacing w:line="560" w:lineRule="exact"/>
        <w:ind w:firstLine="640" w:firstLineChars="200"/>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5.一般公共服务支出（类）财政事务（款）行政运行（项）：指行政单位(包括实行公务员管理的事业单位)的基本支出。</w:t>
      </w:r>
    </w:p>
    <w:p>
      <w:pPr>
        <w:spacing w:line="560" w:lineRule="exact"/>
        <w:ind w:firstLine="640" w:firstLineChars="200"/>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6.一般公共服务支出（类）财政事务（款）财政国库业务（项）:指财政部门用于财政国库集中收付业务方面的支出。</w:t>
      </w:r>
    </w:p>
    <w:p>
      <w:pPr>
        <w:spacing w:line="560" w:lineRule="exact"/>
        <w:ind w:firstLine="640" w:firstLineChars="200"/>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7.一般公共服务支出（类） 财政事务（款）一般行政管理事务（项）:指行政单位（包括实行公务员管理的事业单位）未单独设置项级科目的其他项目支出。</w:t>
      </w:r>
    </w:p>
    <w:p>
      <w:pPr>
        <w:spacing w:line="560" w:lineRule="exact"/>
        <w:ind w:firstLine="640" w:firstLineChars="200"/>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8.</w:t>
      </w:r>
      <w:r>
        <w:rPr>
          <w:rFonts w:hint="default" w:ascii="仿宋_GB2312" w:eastAsia="仿宋_GB2312"/>
          <w:kern w:val="0"/>
          <w:sz w:val="32"/>
          <w:szCs w:val="32"/>
          <w:lang w:val="en-US" w:eastAsia="zh-CN"/>
        </w:rPr>
        <w:t>社会保障和就业支出（类）行政事业单位</w:t>
      </w:r>
      <w:r>
        <w:rPr>
          <w:rFonts w:hint="eastAsia" w:ascii="仿宋_GB2312" w:eastAsia="仿宋_GB2312"/>
          <w:kern w:val="0"/>
          <w:sz w:val="32"/>
          <w:szCs w:val="32"/>
          <w:lang w:val="en-US" w:eastAsia="zh-CN"/>
        </w:rPr>
        <w:t>养老支出</w:t>
      </w:r>
      <w:r>
        <w:rPr>
          <w:rFonts w:hint="default" w:ascii="仿宋_GB2312" w:eastAsia="仿宋_GB2312"/>
          <w:kern w:val="0"/>
          <w:sz w:val="32"/>
          <w:szCs w:val="32"/>
          <w:lang w:val="en-US" w:eastAsia="zh-CN"/>
        </w:rPr>
        <w:t>（款）机关事业单位基本养老保险缴费支出（项）</w:t>
      </w:r>
      <w:r>
        <w:rPr>
          <w:rFonts w:hint="eastAsia" w:ascii="仿宋_GB2312" w:eastAsia="仿宋_GB2312"/>
          <w:kern w:val="0"/>
          <w:sz w:val="32"/>
          <w:szCs w:val="32"/>
          <w:lang w:val="en-US" w:eastAsia="zh-CN"/>
        </w:rPr>
        <w:t>:指单位为职工缴纳的基本养老保险费。</w:t>
      </w:r>
    </w:p>
    <w:p>
      <w:pPr>
        <w:spacing w:line="560" w:lineRule="exact"/>
        <w:ind w:firstLine="640" w:firstLineChars="200"/>
        <w:rPr>
          <w:rFonts w:hint="default" w:ascii="仿宋_GB2312" w:eastAsia="仿宋_GB2312"/>
          <w:kern w:val="0"/>
          <w:sz w:val="32"/>
          <w:szCs w:val="32"/>
          <w:lang w:val="en-US" w:eastAsia="zh-CN"/>
        </w:rPr>
      </w:pPr>
      <w:r>
        <w:rPr>
          <w:rFonts w:hint="eastAsia" w:ascii="仿宋_GB2312" w:eastAsia="仿宋_GB2312"/>
          <w:kern w:val="0"/>
          <w:sz w:val="32"/>
          <w:szCs w:val="32"/>
          <w:lang w:val="en-US" w:eastAsia="zh-CN"/>
        </w:rPr>
        <w:t>9</w:t>
      </w:r>
      <w:r>
        <w:rPr>
          <w:rFonts w:hint="default" w:ascii="仿宋_GB2312" w:eastAsia="仿宋_GB2312"/>
          <w:kern w:val="0"/>
          <w:sz w:val="32"/>
          <w:szCs w:val="32"/>
          <w:lang w:val="en-US" w:eastAsia="zh-CN"/>
        </w:rPr>
        <w:t>.社会保障和就业支出（类）</w:t>
      </w:r>
      <w:r>
        <w:rPr>
          <w:rFonts w:hint="eastAsia" w:ascii="仿宋_GB2312" w:eastAsia="仿宋_GB2312"/>
          <w:kern w:val="0"/>
          <w:sz w:val="32"/>
          <w:szCs w:val="32"/>
          <w:lang w:val="en-US" w:eastAsia="zh-CN"/>
        </w:rPr>
        <w:t>其他</w:t>
      </w:r>
      <w:r>
        <w:rPr>
          <w:rFonts w:hint="default" w:ascii="仿宋_GB2312" w:eastAsia="仿宋_GB2312"/>
          <w:kern w:val="0"/>
          <w:sz w:val="32"/>
          <w:szCs w:val="32"/>
          <w:lang w:val="en-US" w:eastAsia="zh-CN"/>
        </w:rPr>
        <w:t>社会保障和就业支出（款）</w:t>
      </w:r>
      <w:r>
        <w:rPr>
          <w:rFonts w:hint="eastAsia" w:ascii="仿宋_GB2312" w:eastAsia="仿宋_GB2312"/>
          <w:kern w:val="0"/>
          <w:sz w:val="32"/>
          <w:szCs w:val="32"/>
          <w:lang w:val="en-US" w:eastAsia="zh-CN"/>
        </w:rPr>
        <w:t>其他</w:t>
      </w:r>
      <w:r>
        <w:rPr>
          <w:rFonts w:hint="default" w:ascii="仿宋_GB2312" w:eastAsia="仿宋_GB2312"/>
          <w:kern w:val="0"/>
          <w:sz w:val="32"/>
          <w:szCs w:val="32"/>
          <w:lang w:val="en-US" w:eastAsia="zh-CN"/>
        </w:rPr>
        <w:t>社会保障和就业支出（项）:</w:t>
      </w:r>
      <w:r>
        <w:rPr>
          <w:rFonts w:hint="eastAsia" w:ascii="仿宋_GB2312" w:eastAsia="仿宋_GB2312"/>
          <w:kern w:val="0"/>
          <w:sz w:val="32"/>
          <w:szCs w:val="32"/>
          <w:lang w:val="en-US" w:eastAsia="zh-CN"/>
        </w:rPr>
        <w:t>指单位为职工缴纳的工伤保险费及残疾人就业保障金</w:t>
      </w:r>
      <w:r>
        <w:rPr>
          <w:rFonts w:hint="default" w:ascii="仿宋_GB2312" w:eastAsia="仿宋_GB2312"/>
          <w:kern w:val="0"/>
          <w:sz w:val="32"/>
          <w:szCs w:val="32"/>
          <w:lang w:val="en-US" w:eastAsia="zh-CN"/>
        </w:rPr>
        <w:t>。</w:t>
      </w:r>
    </w:p>
    <w:p>
      <w:pPr>
        <w:spacing w:line="560" w:lineRule="exact"/>
        <w:ind w:firstLine="640" w:firstLineChars="200"/>
        <w:rPr>
          <w:rFonts w:hint="default" w:ascii="仿宋_GB2312" w:eastAsia="仿宋_GB2312"/>
          <w:kern w:val="0"/>
          <w:sz w:val="32"/>
          <w:szCs w:val="32"/>
          <w:lang w:val="en-US" w:eastAsia="zh-CN"/>
        </w:rPr>
      </w:pPr>
      <w:r>
        <w:rPr>
          <w:rFonts w:hint="eastAsia" w:ascii="仿宋_GB2312" w:eastAsia="仿宋_GB2312"/>
          <w:kern w:val="0"/>
          <w:sz w:val="32"/>
          <w:szCs w:val="32"/>
          <w:lang w:val="en-US" w:eastAsia="zh-CN"/>
        </w:rPr>
        <w:t>10</w:t>
      </w:r>
      <w:r>
        <w:rPr>
          <w:rFonts w:hint="default" w:ascii="仿宋_GB2312" w:eastAsia="仿宋_GB2312"/>
          <w:kern w:val="0"/>
          <w:sz w:val="32"/>
          <w:szCs w:val="32"/>
          <w:lang w:val="en-US" w:eastAsia="zh-CN"/>
        </w:rPr>
        <w:t>.</w:t>
      </w:r>
      <w:r>
        <w:rPr>
          <w:rFonts w:hint="eastAsia" w:ascii="仿宋_GB2312" w:eastAsia="仿宋_GB2312"/>
          <w:kern w:val="0"/>
          <w:sz w:val="32"/>
          <w:szCs w:val="32"/>
          <w:lang w:val="en-US" w:eastAsia="zh-CN"/>
        </w:rPr>
        <w:t>卫生健康支出（类）</w:t>
      </w:r>
      <w:r>
        <w:rPr>
          <w:rFonts w:hint="default" w:ascii="仿宋_GB2312" w:eastAsia="仿宋_GB2312"/>
          <w:kern w:val="0"/>
          <w:sz w:val="32"/>
          <w:szCs w:val="32"/>
          <w:lang w:val="en-US" w:eastAsia="zh-CN"/>
        </w:rPr>
        <w:t>行政事业单位医疗（款）行政单位医疗（项）:</w:t>
      </w:r>
      <w:r>
        <w:rPr>
          <w:rFonts w:hint="eastAsia" w:ascii="仿宋_GB2312" w:eastAsia="仿宋_GB2312"/>
          <w:kern w:val="0"/>
          <w:sz w:val="32"/>
          <w:szCs w:val="32"/>
          <w:lang w:val="en-US" w:eastAsia="zh-CN"/>
        </w:rPr>
        <w:t>指单位为职工缴纳的基本医疗保险费。</w:t>
      </w:r>
      <w:r>
        <w:rPr>
          <w:rFonts w:hint="default" w:ascii="仿宋_GB2312" w:eastAsia="仿宋_GB2312"/>
          <w:kern w:val="0"/>
          <w:sz w:val="32"/>
          <w:szCs w:val="32"/>
          <w:lang w:val="en-US" w:eastAsia="zh-CN"/>
        </w:rPr>
        <w:t xml:space="preserve">   </w:t>
      </w:r>
    </w:p>
    <w:p>
      <w:pPr>
        <w:spacing w:line="560" w:lineRule="exact"/>
        <w:ind w:firstLine="640" w:firstLineChars="200"/>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11</w:t>
      </w:r>
      <w:r>
        <w:rPr>
          <w:rFonts w:hint="default" w:ascii="仿宋_GB2312" w:eastAsia="仿宋_GB2312"/>
          <w:kern w:val="0"/>
          <w:sz w:val="32"/>
          <w:szCs w:val="32"/>
          <w:lang w:val="en-US" w:eastAsia="zh-CN"/>
        </w:rPr>
        <w:t>.住房保障支出（类）住房改革支出（款）住房公积金（项）：</w:t>
      </w:r>
      <w:r>
        <w:rPr>
          <w:rFonts w:hint="eastAsia" w:ascii="仿宋_GB2312" w:eastAsia="仿宋_GB2312"/>
          <w:kern w:val="0"/>
          <w:sz w:val="32"/>
          <w:szCs w:val="32"/>
          <w:lang w:val="en-US" w:eastAsia="zh-CN"/>
        </w:rPr>
        <w:t>指单位为职工缴纳的住房公积金。</w:t>
      </w:r>
    </w:p>
    <w:p>
      <w:pPr>
        <w:spacing w:line="560" w:lineRule="exact"/>
        <w:ind w:firstLine="640" w:firstLineChars="200"/>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12.基本支出：指为保障机构正常运转、完成日常工作任务而发生的人员支出和公用支出。</w:t>
      </w:r>
    </w:p>
    <w:p>
      <w:pPr>
        <w:spacing w:line="560" w:lineRule="exact"/>
        <w:ind w:firstLine="640" w:firstLineChars="200"/>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 xml:space="preserve">13.项目支出：指在基本支出之外为完成特定行政任务和事业发展目标所发生的支出。 </w:t>
      </w:r>
    </w:p>
    <w:p>
      <w:pPr>
        <w:spacing w:line="560" w:lineRule="exact"/>
        <w:ind w:firstLine="640" w:firstLineChars="200"/>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14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firstLineChars="200"/>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8"/>
          <w:rFonts w:hint="eastAsia" w:ascii="黑体" w:hAnsi="黑体" w:eastAsia="黑体"/>
          <w:b w:val="0"/>
          <w:color w:val="auto"/>
          <w:highlight w:val="none"/>
          <w:lang w:eastAsia="zh-CN"/>
        </w:rPr>
      </w:pPr>
      <w:bookmarkStart w:id="57" w:name="_Toc15377226"/>
      <w:r>
        <w:rPr>
          <w:rFonts w:ascii="宋体"/>
          <w:b/>
          <w:color w:val="auto"/>
          <w:sz w:val="44"/>
          <w:szCs w:val="44"/>
          <w:highlight w:val="none"/>
        </w:rPr>
        <w:br w:type="page"/>
      </w:r>
      <w:bookmarkStart w:id="58" w:name="_Toc15396614"/>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58"/>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adjustRightInd w:val="0"/>
        <w:snapToGrid w:val="0"/>
        <w:spacing w:line="560" w:lineRule="exact"/>
        <w:ind w:firstLine="453" w:firstLineChars="103"/>
        <w:jc w:val="center"/>
        <w:rPr>
          <w:rFonts w:hint="eastAsia" w:ascii="黑体" w:hAnsi="黑体" w:eastAsia="黑体" w:cs="黑体"/>
          <w:color w:val="000000"/>
          <w:sz w:val="44"/>
          <w:szCs w:val="44"/>
        </w:rPr>
      </w:pPr>
    </w:p>
    <w:p>
      <w:pPr>
        <w:adjustRightInd w:val="0"/>
        <w:snapToGrid w:val="0"/>
        <w:spacing w:line="560" w:lineRule="exact"/>
        <w:ind w:firstLine="453" w:firstLineChars="103"/>
        <w:jc w:val="center"/>
        <w:rPr>
          <w:rFonts w:hint="eastAsia" w:ascii="黑体" w:hAnsi="黑体" w:eastAsia="黑体" w:cs="黑体"/>
          <w:color w:val="000000"/>
          <w:sz w:val="44"/>
          <w:szCs w:val="44"/>
        </w:rPr>
      </w:pPr>
      <w:r>
        <w:rPr>
          <w:rFonts w:hint="eastAsia" w:ascii="黑体" w:hAnsi="黑体" w:eastAsia="黑体" w:cs="黑体"/>
          <w:color w:val="000000"/>
          <w:sz w:val="44"/>
          <w:szCs w:val="44"/>
        </w:rPr>
        <w:t>2021年广元市市级财政国库支付中心</w:t>
      </w:r>
    </w:p>
    <w:p>
      <w:pPr>
        <w:adjustRightInd w:val="0"/>
        <w:snapToGrid w:val="0"/>
        <w:spacing w:line="560" w:lineRule="exact"/>
        <w:ind w:firstLine="453" w:firstLineChars="103"/>
        <w:jc w:val="center"/>
        <w:rPr>
          <w:rFonts w:hint="eastAsia" w:ascii="黑体" w:hAnsi="黑体" w:eastAsia="黑体" w:cs="黑体"/>
          <w:color w:val="000000"/>
          <w:sz w:val="44"/>
          <w:szCs w:val="44"/>
        </w:rPr>
      </w:pPr>
      <w:r>
        <w:rPr>
          <w:rFonts w:hint="eastAsia" w:ascii="黑体" w:hAnsi="黑体" w:eastAsia="黑体" w:cs="黑体"/>
          <w:color w:val="000000"/>
          <w:sz w:val="44"/>
          <w:szCs w:val="44"/>
        </w:rPr>
        <w:t>部门整体支出绩效评价报告</w:t>
      </w:r>
    </w:p>
    <w:p>
      <w:pPr>
        <w:spacing w:line="560" w:lineRule="exact"/>
        <w:ind w:firstLine="883" w:firstLineChars="200"/>
        <w:rPr>
          <w:rFonts w:hint="eastAsia" w:ascii="黑体" w:hAnsi="黑体" w:eastAsia="黑体" w:cs="黑体"/>
          <w:b/>
          <w:color w:val="000000"/>
          <w:sz w:val="44"/>
          <w:szCs w:val="44"/>
        </w:rPr>
      </w:pPr>
    </w:p>
    <w:p>
      <w:pPr>
        <w:spacing w:line="560" w:lineRule="exact"/>
        <w:ind w:firstLine="640" w:firstLineChars="200"/>
        <w:rPr>
          <w:rFonts w:hint="eastAsia" w:ascii="黑体" w:hAnsi="黑体" w:eastAsia="黑体"/>
          <w:sz w:val="32"/>
          <w:szCs w:val="32"/>
        </w:rPr>
      </w:pPr>
      <w:r>
        <w:rPr>
          <w:rFonts w:hint="eastAsia" w:ascii="黑体" w:hAnsi="黑体" w:eastAsia="黑体"/>
          <w:color w:val="000000"/>
          <w:sz w:val="32"/>
          <w:szCs w:val="32"/>
        </w:rPr>
        <w:t>一、部门概况</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（一）机构组成</w:t>
      </w:r>
    </w:p>
    <w:p>
      <w:pPr>
        <w:spacing w:line="560" w:lineRule="exact"/>
        <w:ind w:firstLine="640" w:firstLineChars="200"/>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广元市市级财政国库支付中心是参照公务员法管理的事业单位，无下属二级单位。支付中心内设支付一科、支付二科、支付三科、稽查科、综合科、核算科和监控科七个科室。</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（二）主要职能</w:t>
      </w:r>
    </w:p>
    <w:p>
      <w:pPr>
        <w:spacing w:line="560" w:lineRule="exact"/>
        <w:ind w:firstLine="640" w:firstLineChars="200"/>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配合财政国库部门管理市级国库单一账户体系，并进行相关的会计明细核算；协助财政国库管理部门对市级预算单位进行预算控制和用款计划审核工作，审核支付申请及付款凭证，具体办理财政支付业务；按总预算会计制度要求，为预算单位设立支付总账表；定期与人民银行、代理银行、预算单位核算账务，向市财政中心报告财政资金支付情况；建立财政资金管理系统、汇总资金的管理和清算情况；负责市级财政预算执行动态监控工作；受理预算单位、商品供应商或劳务供应商的账务查询等事宜。</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（三）人员概况</w:t>
      </w:r>
    </w:p>
    <w:p>
      <w:pPr>
        <w:spacing w:line="560" w:lineRule="exact"/>
        <w:ind w:firstLine="640" w:firstLineChars="200"/>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截止2021年年末，中心编制人数36人，实际在职人数33人，退休2人。</w:t>
      </w:r>
    </w:p>
    <w:p>
      <w:pPr>
        <w:spacing w:line="560" w:lineRule="exact"/>
        <w:ind w:firstLine="640" w:firstLineChars="200"/>
        <w:rPr>
          <w:rFonts w:hint="eastAsia" w:ascii="仿宋_GB2312" w:eastAsia="仿宋_GB2312"/>
          <w:kern w:val="0"/>
          <w:sz w:val="32"/>
          <w:szCs w:val="32"/>
        </w:rPr>
      </w:pPr>
      <w:r>
        <w:rPr>
          <w:rFonts w:hint="eastAsia" w:ascii="黑体" w:hAnsi="黑体" w:eastAsia="黑体"/>
          <w:sz w:val="32"/>
          <w:szCs w:val="32"/>
        </w:rPr>
        <w:t>二、部门财政资金收支情况</w:t>
      </w:r>
    </w:p>
    <w:p>
      <w:pPr>
        <w:spacing w:line="560" w:lineRule="exact"/>
        <w:ind w:left="630"/>
        <w:rPr>
          <w:rFonts w:hint="eastAsia" w:ascii="楷体_GB2312" w:eastAsia="楷体_GB2312"/>
          <w:sz w:val="32"/>
          <w:szCs w:val="32"/>
        </w:rPr>
      </w:pPr>
      <w:r>
        <w:rPr>
          <w:rFonts w:hint="eastAsia" w:ascii="楷体_GB2312" w:eastAsia="楷体_GB2312"/>
          <w:sz w:val="32"/>
          <w:szCs w:val="32"/>
        </w:rPr>
        <w:t>（一）部门财政资金收入情况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2021年本部门财政资金总收入565.83万元，其中：一般公共预算财政拨款收入496.36万元、结转资金69.4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万元、其他收入0.0</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（二）部门财政资金支出情况</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支出470.27万元，其中：人员经费393.58万元，公用经费56.87万元，项目支出19.82万元。年末结转95.56万元。总支出较2020年增加55.73万元，增长13.44%，主要原因是2021年在职人员增加3人（调入5人、调出2人）引起的基本支出增加。</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三、部门整体预算绩效管理情况</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（一）部门预算项目绩效管理</w:t>
      </w:r>
    </w:p>
    <w:p>
      <w:pPr>
        <w:pStyle w:val="2"/>
        <w:ind w:firstLine="640" w:firstLineChars="200"/>
        <w:rPr>
          <w:rFonts w:hint="eastAsia" w:ascii="仿宋_GB2312" w:eastAsia="仿宋_GB2312" w:cs="Times New Roman"/>
          <w:kern w:val="0"/>
          <w:sz w:val="32"/>
          <w:szCs w:val="32"/>
        </w:rPr>
      </w:pPr>
      <w:r>
        <w:rPr>
          <w:rFonts w:hint="eastAsia" w:ascii="仿宋_GB2312" w:eastAsia="仿宋_GB2312" w:cs="Times New Roman"/>
          <w:kern w:val="0"/>
          <w:sz w:val="32"/>
          <w:szCs w:val="32"/>
        </w:rPr>
        <w:t>1.目标制定：我中心严格按绩效目标管理要求，认真编制部门绩效目标并纳入中心主任办公会集体决策讨论。从上年度项目完成情况和群众满意度等方面进一步细化、量化当年考核指标，全面调整完成数量、质量、时效、成本、社会效益、可持续影响、满意度等绩效指标，报中心主任办公会讨论，集体决策，形成本部门绩效管理目标。</w:t>
      </w:r>
    </w:p>
    <w:p>
      <w:pPr>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2.目标实现：2021年，我中心共编制绩效项目3个，实际完成项目2个，存在1/3偏差度。</w:t>
      </w:r>
    </w:p>
    <w:p>
      <w:pPr>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3.支出控制：我中心严格执行公用经费预算，无超预算情况，部门公用经费及非定额公用支出预决算存在一定偏差度。</w:t>
      </w:r>
    </w:p>
    <w:p>
      <w:pPr>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4.及时处置：我中心严格执行预算，执行中未调整预算项目，部门绩效监控调整取消额与预算调整结余注销额均为零。</w:t>
      </w:r>
    </w:p>
    <w:p>
      <w:pPr>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5.执行进度：我中心在预算执行过程中严格按照预算批复执行，强化预算执行的刚性约束，不随意改变财政预算资金的使用范围、</w:t>
      </w:r>
      <w:r>
        <w:rPr>
          <w:rFonts w:hint="eastAsia" w:ascii="仿宋_GB2312" w:eastAsia="仿宋_GB2312"/>
          <w:kern w:val="0"/>
          <w:sz w:val="32"/>
          <w:szCs w:val="32"/>
          <w:lang w:val="zh-CN"/>
        </w:rPr>
        <w:t>支付标准，</w:t>
      </w:r>
      <w:r>
        <w:rPr>
          <w:rFonts w:hint="eastAsia" w:ascii="仿宋_GB2312" w:eastAsia="仿宋_GB2312"/>
          <w:kern w:val="0"/>
          <w:sz w:val="32"/>
          <w:szCs w:val="32"/>
        </w:rPr>
        <w:t>严控预算执行进度，努力靠近序时进度，提高资金使用效益，保证了收支平衡。</w:t>
      </w:r>
    </w:p>
    <w:p>
      <w:pPr>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6.预算完成情况：2021年中心预算项目全年累计完成19.82万元，实现预算支出进度为67%，确保</w:t>
      </w:r>
      <w:r>
        <w:rPr>
          <w:rFonts w:hint="eastAsia" w:ascii="仿宋_GB2312" w:eastAsia="仿宋_GB2312"/>
          <w:kern w:val="0"/>
          <w:sz w:val="32"/>
          <w:szCs w:val="32"/>
          <w:lang w:val="zh-CN"/>
        </w:rPr>
        <w:t>市本级国库集中支付</w:t>
      </w:r>
      <w:r>
        <w:rPr>
          <w:rFonts w:hint="eastAsia" w:ascii="仿宋_GB2312" w:eastAsia="仿宋_GB2312"/>
          <w:kern w:val="0"/>
          <w:sz w:val="32"/>
          <w:szCs w:val="32"/>
        </w:rPr>
        <w:t>管理工作稳步推进。</w:t>
      </w:r>
    </w:p>
    <w:p>
      <w:pPr>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7.资金结余率</w:t>
      </w:r>
      <w:r>
        <w:rPr>
          <w:rFonts w:hint="eastAsia" w:ascii="仿宋_GB2312" w:eastAsia="仿宋_GB2312"/>
          <w:kern w:val="0"/>
          <w:sz w:val="32"/>
          <w:szCs w:val="32"/>
          <w:lang w:val="zh-CN"/>
        </w:rPr>
        <w:t>：</w:t>
      </w:r>
      <w:r>
        <w:rPr>
          <w:rFonts w:hint="eastAsia" w:ascii="仿宋_GB2312" w:eastAsia="仿宋_GB2312"/>
          <w:kern w:val="0"/>
          <w:sz w:val="32"/>
          <w:szCs w:val="32"/>
        </w:rPr>
        <w:t>2021年中心设备采购经费项目当年预算下达5.2万元，年终结余5.2万元；支付改革及中心运行经费项目当年预算下达28.8万元，年终结余10.27万元；脱贫攻坚部门工作经费项目当年预算下达0.75万元，年终无结余。</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8.违规记录：根据审计监督和其他检查反馈情况，我中心2021年未存在部门预算管理方面违规违纪问题。</w:t>
      </w:r>
    </w:p>
    <w:p>
      <w:pPr>
        <w:numPr>
          <w:ilvl w:val="0"/>
          <w:numId w:val="5"/>
        </w:num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结果应用情况</w:t>
      </w:r>
    </w:p>
    <w:p>
      <w:pPr>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1.内部应用：我中心绩效已纳入财政局绩效考核体系。</w:t>
      </w:r>
    </w:p>
    <w:p>
      <w:pPr>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2.自评公开：我中心认真做好部门预决算和部门整体支出绩效自评情况公开工作，及时、全面向社会公开。</w:t>
      </w:r>
    </w:p>
    <w:p>
      <w:pPr>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3.问题整改：我中心认真落实绩效管理工作，对绩效管理过程中发现的问题及时进行整改，逐步完善和改进本单位绩效管理工作。</w:t>
      </w:r>
    </w:p>
    <w:p>
      <w:pPr>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4.应用反馈：我中心认真开展本部门绩效评价，按要求报送自评报告等相关绩效信息。</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（三）自评质量</w:t>
      </w:r>
    </w:p>
    <w:p>
      <w:pPr>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我中心认真组织开展绩效自评工作，做到自评真实，部门整体支出自评准确率进一步提高。</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四、评价结论及建议</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（一）评价结论</w:t>
      </w:r>
    </w:p>
    <w:p>
      <w:pPr>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我中心对照《2021年市级部门整体支出绩效评价指标体系》逐一梳理并严格自评打分，部门整体支出绩效自评得分为94.6分。</w:t>
      </w:r>
    </w:p>
    <w:tbl>
      <w:tblPr>
        <w:tblStyle w:val="16"/>
        <w:tblW w:w="79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0"/>
        <w:gridCol w:w="1616"/>
        <w:gridCol w:w="2520"/>
        <w:gridCol w:w="111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0" w:hRule="atLeast"/>
        </w:trPr>
        <w:tc>
          <w:tcPr>
            <w:tcW w:w="7926" w:type="dxa"/>
            <w:gridSpan w:val="5"/>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2021年广元市市级财政国库支付中心部门整体支出绩效评价指标体系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57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绩效指标</w:t>
            </w:r>
          </w:p>
        </w:tc>
        <w:tc>
          <w:tcPr>
            <w:tcW w:w="111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指标分值</w:t>
            </w:r>
          </w:p>
        </w:tc>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一级指标</w:t>
            </w:r>
          </w:p>
        </w:tc>
        <w:tc>
          <w:tcPr>
            <w:tcW w:w="1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二级指标</w:t>
            </w:r>
          </w:p>
        </w:tc>
        <w:tc>
          <w:tcPr>
            <w:tcW w:w="25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三级指标</w:t>
            </w:r>
          </w:p>
        </w:tc>
        <w:tc>
          <w:tcPr>
            <w:tcW w:w="111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1080"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60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部门预算项目绩效管理（40分）</w:t>
            </w:r>
          </w:p>
        </w:tc>
        <w:tc>
          <w:tcPr>
            <w:tcW w:w="161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目标管理（15分）</w:t>
            </w:r>
          </w:p>
        </w:tc>
        <w:tc>
          <w:tcPr>
            <w:tcW w:w="25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目标制定</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616"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5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目标实现</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61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动态调整（10分）</w:t>
            </w:r>
          </w:p>
        </w:tc>
        <w:tc>
          <w:tcPr>
            <w:tcW w:w="25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支出控制</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616"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5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及时处置</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616"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5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执行进度</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60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部门预算项目绩效管理（40分）</w:t>
            </w:r>
          </w:p>
        </w:tc>
        <w:tc>
          <w:tcPr>
            <w:tcW w:w="161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完成效率（15分）</w:t>
            </w:r>
          </w:p>
        </w:tc>
        <w:tc>
          <w:tcPr>
            <w:tcW w:w="25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预算完成</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0"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616"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5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资金结余率（低效无效率）</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60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616"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5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违规记录</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10" w:hRule="atLeast"/>
        </w:trPr>
        <w:tc>
          <w:tcPr>
            <w:tcW w:w="1600"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专项预算项目绩效管理（40分）</w:t>
            </w:r>
          </w:p>
        </w:tc>
        <w:tc>
          <w:tcPr>
            <w:tcW w:w="5246" w:type="dxa"/>
            <w:gridSpan w:val="3"/>
            <w:tcBorders>
              <w:top w:val="single" w:color="auto" w:sz="4" w:space="0"/>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部门按照专项预算项目自评工作要求对本部门管理的专项预算项目进行自评并打分，形成自评报告；有两个及以上专项预算项目的，以平均分作为自评得分。按百分制形成的自评报告分数，按0.4的比例换算成此项指标得分。                                                                                                                                                                                          </w:t>
            </w:r>
          </w:p>
        </w:tc>
        <w:tc>
          <w:tcPr>
            <w:tcW w:w="10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atLeast"/>
        </w:trPr>
        <w:tc>
          <w:tcPr>
            <w:tcW w:w="16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绩效结果应用（10分）</w:t>
            </w:r>
          </w:p>
        </w:tc>
        <w:tc>
          <w:tcPr>
            <w:tcW w:w="1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内部应用（4分）</w:t>
            </w:r>
          </w:p>
        </w:tc>
        <w:tc>
          <w:tcPr>
            <w:tcW w:w="25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预算挂钩</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4" w:hRule="atLeast"/>
        </w:trPr>
        <w:tc>
          <w:tcPr>
            <w:tcW w:w="160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信息公开（2分）</w:t>
            </w:r>
          </w:p>
        </w:tc>
        <w:tc>
          <w:tcPr>
            <w:tcW w:w="25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自评公开</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trPr>
        <w:tc>
          <w:tcPr>
            <w:tcW w:w="160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6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整改反馈（4分）</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问题整改</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5" w:hRule="atLeast"/>
        </w:trPr>
        <w:tc>
          <w:tcPr>
            <w:tcW w:w="160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6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应用反馈</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4"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自评质量（10分）</w:t>
            </w:r>
          </w:p>
        </w:tc>
        <w:tc>
          <w:tcPr>
            <w:tcW w:w="16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自评质量</w:t>
            </w:r>
          </w:p>
        </w:tc>
        <w:tc>
          <w:tcPr>
            <w:tcW w:w="252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自评质量</w:t>
            </w:r>
          </w:p>
        </w:tc>
        <w:tc>
          <w:tcPr>
            <w:tcW w:w="11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c>
          <w:tcPr>
            <w:tcW w:w="25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c>
          <w:tcPr>
            <w:tcW w:w="11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　100</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94.6</w:t>
            </w:r>
          </w:p>
        </w:tc>
      </w:tr>
    </w:tbl>
    <w:p>
      <w:pPr>
        <w:pStyle w:val="2"/>
        <w:jc w:val="center"/>
        <w:rPr>
          <w:rFonts w:hint="eastAsia"/>
        </w:rPr>
      </w:pP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（二）存在问题</w:t>
      </w:r>
    </w:p>
    <w:p>
      <w:pPr>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一是预算编制测算还不够精准。预算编制及项目绩效目标制定主要以上年执行情况为基础进行预估，不能准确预测当年执行中的变化，导致年终实际执行结果与年初项目预算绩效目标存在偏差。</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二是预算执行进度不均衡。因年度主要工作任务多集中在年底，故项目资金存在年底较集中支付的现象。</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（三）改进建议</w:t>
      </w:r>
    </w:p>
    <w:p>
      <w:pPr>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一是强化认识，重视绩效工作。加强组织领导，加大绩效自评工作力度，全面总结自评工作经验，保质保量完成绩效自评工作任务。</w:t>
      </w:r>
    </w:p>
    <w:p>
      <w:pPr>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二是强化部门整体支出绩效管理</w:t>
      </w:r>
      <w:r>
        <w:rPr>
          <w:rFonts w:ascii="仿宋_GB2312" w:eastAsia="仿宋_GB2312"/>
          <w:kern w:val="0"/>
          <w:sz w:val="32"/>
          <w:szCs w:val="32"/>
        </w:rPr>
        <w:t>工作。</w:t>
      </w:r>
      <w:r>
        <w:rPr>
          <w:rFonts w:hint="eastAsia" w:ascii="仿宋_GB2312" w:eastAsia="仿宋_GB2312"/>
          <w:kern w:val="0"/>
          <w:sz w:val="32"/>
          <w:szCs w:val="32"/>
        </w:rPr>
        <w:t>加强对绩效管理工作的跟踪督查，实现绩效管理规范化、常态化，积极推动预算项目实施，确保项目绩效目标的完成，发挥资金的使用效益，加快部门预算支出进度，压减年末结余资金规模，提高年度预算完成率。</w:t>
      </w:r>
    </w:p>
    <w:p>
      <w:pPr>
        <w:spacing w:line="560" w:lineRule="exact"/>
        <w:ind w:firstLine="3200" w:firstLineChars="1000"/>
        <w:rPr>
          <w:rFonts w:hint="eastAsia" w:ascii="仿宋_GB2312" w:eastAsia="仿宋_GB2312"/>
          <w:kern w:val="0"/>
          <w:sz w:val="32"/>
          <w:szCs w:val="32"/>
        </w:rPr>
      </w:pPr>
    </w:p>
    <w:p>
      <w:pPr>
        <w:spacing w:line="600" w:lineRule="exact"/>
        <w:jc w:val="center"/>
        <w:rPr>
          <w:rFonts w:hint="eastAsia" w:ascii="方正小标宋简体" w:hAnsi="宋体" w:eastAsia="方正小标宋简体" w:cs="Times New Roman"/>
          <w:color w:val="000000"/>
          <w:kern w:val="0"/>
          <w:sz w:val="40"/>
          <w:szCs w:val="40"/>
          <w:lang w:val="en-US" w:eastAsia="zh-CN"/>
        </w:rPr>
      </w:pPr>
    </w:p>
    <w:p>
      <w:pPr>
        <w:spacing w:line="600" w:lineRule="exact"/>
        <w:jc w:val="center"/>
        <w:rPr>
          <w:rFonts w:hint="eastAsia" w:ascii="方正小标宋简体" w:hAnsi="宋体" w:eastAsia="方正小标宋简体" w:cs="Times New Roman"/>
          <w:color w:val="000000"/>
          <w:kern w:val="0"/>
          <w:sz w:val="40"/>
          <w:szCs w:val="40"/>
          <w:lang w:val="en-US" w:eastAsia="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pPr>
        <w:spacing w:line="600" w:lineRule="exact"/>
        <w:jc w:val="center"/>
        <w:rPr>
          <w:rFonts w:hint="eastAsia" w:ascii="黑体" w:hAnsi="黑体" w:eastAsia="黑体" w:cs="黑体"/>
          <w:color w:val="000000"/>
          <w:kern w:val="0"/>
          <w:sz w:val="52"/>
          <w:szCs w:val="52"/>
          <w:lang w:val="en-US" w:eastAsia="zh-CN"/>
        </w:rPr>
      </w:pPr>
    </w:p>
    <w:p>
      <w:pPr>
        <w:adjustRightInd w:val="0"/>
        <w:snapToGrid w:val="0"/>
        <w:spacing w:line="560" w:lineRule="exact"/>
        <w:ind w:firstLine="453" w:firstLineChars="103"/>
        <w:jc w:val="center"/>
        <w:rPr>
          <w:rFonts w:hint="eastAsia" w:ascii="黑体" w:hAnsi="黑体" w:eastAsia="黑体" w:cs="黑体"/>
          <w:color w:val="000000"/>
          <w:sz w:val="44"/>
          <w:szCs w:val="44"/>
          <w:lang w:val="en-US" w:eastAsia="zh-CN"/>
        </w:rPr>
      </w:pPr>
      <w:r>
        <w:rPr>
          <w:rFonts w:hint="eastAsia" w:ascii="黑体" w:hAnsi="黑体" w:eastAsia="黑体" w:cs="黑体"/>
          <w:color w:val="000000"/>
          <w:sz w:val="44"/>
          <w:szCs w:val="44"/>
          <w:lang w:val="en-US" w:eastAsia="zh-CN"/>
        </w:rPr>
        <w:t>广元市市级财政国库支付中心关于</w:t>
      </w:r>
    </w:p>
    <w:p>
      <w:pPr>
        <w:adjustRightInd w:val="0"/>
        <w:snapToGrid w:val="0"/>
        <w:spacing w:line="560" w:lineRule="exact"/>
        <w:ind w:firstLine="453" w:firstLineChars="103"/>
        <w:jc w:val="center"/>
        <w:rPr>
          <w:rFonts w:hint="eastAsia" w:ascii="黑体" w:hAnsi="黑体" w:eastAsia="黑体" w:cs="黑体"/>
          <w:color w:val="000000"/>
          <w:sz w:val="44"/>
          <w:szCs w:val="44"/>
          <w:lang w:val="zh-CN" w:eastAsia="zh-CN"/>
        </w:rPr>
      </w:pPr>
      <w:r>
        <w:rPr>
          <w:rFonts w:hint="eastAsia" w:ascii="黑体" w:hAnsi="黑体" w:eastAsia="黑体" w:cs="黑体"/>
          <w:color w:val="000000"/>
          <w:sz w:val="44"/>
          <w:szCs w:val="44"/>
          <w:lang w:val="en-US" w:eastAsia="zh-CN"/>
        </w:rPr>
        <w:t>2021年度</w:t>
      </w:r>
      <w:r>
        <w:rPr>
          <w:rFonts w:hint="eastAsia" w:ascii="黑体" w:hAnsi="黑体" w:eastAsia="黑体" w:cs="黑体"/>
          <w:color w:val="000000"/>
          <w:sz w:val="44"/>
          <w:szCs w:val="44"/>
          <w:lang w:val="zh-CN" w:eastAsia="zh-CN"/>
        </w:rPr>
        <w:t>支付改革及中心运行经费</w:t>
      </w:r>
    </w:p>
    <w:p>
      <w:pPr>
        <w:adjustRightInd w:val="0"/>
        <w:snapToGrid w:val="0"/>
        <w:spacing w:line="560" w:lineRule="exact"/>
        <w:ind w:firstLine="453" w:firstLineChars="103"/>
        <w:jc w:val="center"/>
        <w:rPr>
          <w:rFonts w:hint="eastAsia" w:ascii="黑体" w:hAnsi="黑体" w:eastAsia="黑体" w:cs="黑体"/>
          <w:color w:val="000000"/>
          <w:sz w:val="44"/>
          <w:szCs w:val="44"/>
          <w:lang w:val="en-US" w:eastAsia="zh-CN"/>
        </w:rPr>
      </w:pPr>
      <w:r>
        <w:rPr>
          <w:rFonts w:hint="eastAsia" w:ascii="黑体" w:hAnsi="黑体" w:eastAsia="黑体" w:cs="黑体"/>
          <w:color w:val="000000"/>
          <w:sz w:val="44"/>
          <w:szCs w:val="44"/>
          <w:lang w:val="en-US" w:eastAsia="zh-CN"/>
        </w:rPr>
        <w:t>项目绩效自评报告</w:t>
      </w:r>
    </w:p>
    <w:p>
      <w:pPr>
        <w:pStyle w:val="35"/>
        <w:spacing w:line="576" w:lineRule="exact"/>
        <w:jc w:val="center"/>
        <w:rPr>
          <w:rFonts w:hint="eastAsia" w:ascii="楷体_GB2312" w:hAnsi="楷体_GB2312" w:eastAsia="楷体_GB2312" w:cs="楷体_GB2312"/>
          <w:color w:val="auto"/>
          <w:kern w:val="2"/>
          <w:sz w:val="32"/>
          <w:szCs w:val="32"/>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（一）项目资金申报及批复情况。</w:t>
      </w:r>
      <w:r>
        <w:rPr>
          <w:rFonts w:hint="eastAsia" w:ascii="仿宋_GB2312" w:hAnsi="宋体" w:eastAsia="仿宋_GB2312"/>
          <w:sz w:val="32"/>
          <w:szCs w:val="32"/>
          <w:lang w:val="zh-CN"/>
        </w:rPr>
        <w:t>按照一般公共预算管理要求，年初由</w:t>
      </w:r>
      <w:r>
        <w:rPr>
          <w:rFonts w:hint="eastAsia" w:ascii="仿宋_GB2312" w:hAnsi="宋体" w:eastAsia="仿宋_GB2312"/>
          <w:sz w:val="32"/>
          <w:szCs w:val="32"/>
        </w:rPr>
        <w:t>中心申报项目资金预算，经市财政局批复下达我中心项目资金28.8万元。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（二）项目绩效目标。</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zh-CN"/>
        </w:rPr>
        <w:t>1．项目主要内容。完成市本级国库集中支付及核算业务，加强财政</w:t>
      </w:r>
      <w:r>
        <w:rPr>
          <w:rFonts w:hint="eastAsia" w:ascii="仿宋_GB2312" w:hAnsi="宋体" w:eastAsia="仿宋_GB2312"/>
          <w:sz w:val="32"/>
          <w:szCs w:val="32"/>
        </w:rPr>
        <w:t>预算执行动态监控管理，推进国库集中支付标准化建设等。</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zh-CN"/>
        </w:rPr>
        <w:t>2．项目绩效目标。按照省财政厅国库管理工作总体要求和市财政局的统一安排，进一步深化国库集中支付制度改革，不断创新，稳步推进我市国库集中支付管理工作</w:t>
      </w:r>
      <w:r>
        <w:rPr>
          <w:rFonts w:hint="eastAsia" w:ascii="仿宋_GB2312" w:hAnsi="宋体" w:eastAsia="仿宋_GB2312"/>
          <w:sz w:val="32"/>
          <w:szCs w:val="32"/>
        </w:rPr>
        <w:t>。</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（三）项目资金申报相符性。</w:t>
      </w:r>
      <w:r>
        <w:rPr>
          <w:rFonts w:hint="eastAsia" w:ascii="仿宋_GB2312" w:hAnsi="宋体" w:eastAsia="仿宋_GB2312" w:cs="宋体"/>
          <w:color w:val="000000"/>
          <w:kern w:val="0"/>
          <w:sz w:val="32"/>
          <w:szCs w:val="32"/>
          <w:shd w:val="clear" w:color="auto" w:fill="FFFFFF"/>
          <w:lang w:val="zh-CN"/>
        </w:rPr>
        <w:t>本项目</w:t>
      </w:r>
      <w:r>
        <w:rPr>
          <w:rFonts w:hint="eastAsia" w:ascii="仿宋_GB2312" w:hAnsi="宋体" w:eastAsia="仿宋_GB2312"/>
          <w:sz w:val="32"/>
          <w:szCs w:val="32"/>
          <w:lang w:val="zh-CN"/>
        </w:rPr>
        <w:t>根据市委市政府授予中心国库集中支付管理职能职责所设立，依据国库集中支付改革的推进要求分配使用项目资金。</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（一）资金计划、到位及使用情况。</w:t>
      </w:r>
    </w:p>
    <w:p>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zh-CN"/>
        </w:rPr>
        <w:t>1．资金计划及到位情况。本项目资金预算为</w:t>
      </w:r>
      <w:r>
        <w:rPr>
          <w:rFonts w:hint="eastAsia" w:ascii="仿宋_GB2312" w:hAnsi="宋体" w:eastAsia="仿宋_GB2312"/>
          <w:sz w:val="32"/>
          <w:szCs w:val="32"/>
        </w:rPr>
        <w:t>28.8万元，截至2021年底，市财政实际下达资金28.8万元，资金到位率为100%。</w:t>
      </w:r>
    </w:p>
    <w:p>
      <w:pPr>
        <w:numPr>
          <w:ilvl w:val="0"/>
          <w:numId w:val="6"/>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zh-CN"/>
        </w:rPr>
        <w:t>资金使用情况。本项目</w:t>
      </w:r>
      <w:r>
        <w:rPr>
          <w:rFonts w:hint="eastAsia" w:ascii="仿宋_GB2312" w:hAnsi="宋体" w:eastAsia="仿宋_GB2312"/>
          <w:sz w:val="32"/>
          <w:szCs w:val="32"/>
        </w:rPr>
        <w:t>全年共支出18.53万元，支出</w:t>
      </w:r>
      <w:r>
        <w:rPr>
          <w:rFonts w:hint="eastAsia" w:ascii="仿宋_GB2312" w:hAnsi="宋体" w:eastAsia="仿宋_GB2312"/>
          <w:sz w:val="32"/>
          <w:szCs w:val="32"/>
          <w:lang w:val="zh-CN"/>
        </w:rPr>
        <w:t>进度为64.3%，主要是用于推进我市国库集中支付管理相关工作。在项目执行过程中，严格按照预算批复和经费支出管理要求执行，没有随意改变该项目资金支付范围、支付标准，严控预算执行进度，确保资金使用安全、规范、高效。</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（二）项目财务管理情况。</w:t>
      </w:r>
      <w:r>
        <w:rPr>
          <w:rFonts w:hint="eastAsia" w:ascii="仿宋_GB2312" w:hAnsi="宋体" w:eastAsia="仿宋_GB2312"/>
          <w:sz w:val="32"/>
          <w:szCs w:val="32"/>
          <w:lang w:val="zh-CN"/>
        </w:rPr>
        <w:t>我中心严格按照财务管理相关制度规定，建立健全本部门财务管理制度及内控制度，加强对支付改革及中心运行经费的使用管理，按照部门项目管理办法做好项目实施和监管，及时、规范进行账务处理及会计核算。切实做到专款专用，最大可能发挥专项资金作用。</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（三）项目组织实施情况。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rPr>
        <w:t>1.</w:t>
      </w:r>
      <w:r>
        <w:rPr>
          <w:rFonts w:hint="eastAsia" w:ascii="仿宋_GB2312" w:hAnsi="宋体" w:eastAsia="仿宋_GB2312"/>
          <w:sz w:val="32"/>
          <w:szCs w:val="32"/>
          <w:lang w:val="zh-CN"/>
        </w:rPr>
        <w:t>项目组织架构及实施流程。本项目由业务科室按照标准要求提出用款计划申请，报中心分管领导研究通过后严格按机关报账程序执行。</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rPr>
        <w:t>2.</w:t>
      </w:r>
      <w:r>
        <w:rPr>
          <w:rFonts w:hint="eastAsia" w:ascii="仿宋_GB2312" w:hAnsi="宋体" w:eastAsia="仿宋_GB2312"/>
          <w:sz w:val="32"/>
          <w:szCs w:val="32"/>
          <w:lang w:val="zh-CN"/>
        </w:rPr>
        <w:t>项目管理情况。中心严格按照项目管理有关规定对项目经费进行管理，综合科负责协调相关工作、项目实施及资金管理。</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rPr>
        <w:t>3.</w:t>
      </w:r>
      <w:r>
        <w:rPr>
          <w:rFonts w:hint="eastAsia" w:ascii="仿宋_GB2312" w:hAnsi="宋体" w:eastAsia="仿宋_GB2312"/>
          <w:sz w:val="32"/>
          <w:szCs w:val="32"/>
          <w:lang w:val="zh-CN"/>
        </w:rPr>
        <w:t>项目监管情况。中心会同市财政局从资金申请、资金使用、会计核算三个环节加强资金管理。在项目资金申请环节，严格按照国库集中支付流程向市财政局申请财政资金；在资金使用环节，严格遵守相关法律法规规定，严格组织项目实施并按照中心财务管理审批流程办理款项支付；在会计核算环节，对本项目资金实行单独核算，确保专款专用，杜绝挪用、挤占、截留项目资金的现象，保障了项目资金安全，确保资金专款专用。同时经费管理主动接受驻局纪检监察组和上级主管部门的监督检查，对预算执行</w:t>
      </w:r>
      <w:r>
        <w:rPr>
          <w:rFonts w:hint="eastAsia" w:ascii="仿宋" w:hAnsi="仿宋" w:eastAsia="仿宋" w:cs="仿宋"/>
          <w:sz w:val="32"/>
          <w:szCs w:val="32"/>
        </w:rPr>
        <w:t>实行动态监控，无违纪违法现象。</w:t>
      </w:r>
    </w:p>
    <w:p>
      <w:pPr>
        <w:spacing w:line="576" w:lineRule="exact"/>
        <w:ind w:firstLine="640" w:firstLineChars="200"/>
        <w:rPr>
          <w:rFonts w:ascii="仿宋_GB2312" w:hAnsi="宋体" w:eastAsia="仿宋_GB2312"/>
          <w:sz w:val="32"/>
          <w:szCs w:val="32"/>
          <w:lang w:val="zh-CN"/>
        </w:rPr>
      </w:pPr>
      <w:r>
        <w:rPr>
          <w:rFonts w:hint="eastAsia" w:ascii="黑体" w:hAnsi="宋体" w:eastAsia="黑体"/>
          <w:sz w:val="32"/>
          <w:szCs w:val="32"/>
        </w:rPr>
        <w:t>三、项目绩效情况</w:t>
      </w:r>
      <w:r>
        <w:rPr>
          <w:rFonts w:ascii="仿宋_GB2312" w:hAnsi="宋体" w:eastAsia="仿宋_GB2312"/>
          <w:sz w:val="32"/>
          <w:szCs w:val="32"/>
          <w:lang w:val="zh-CN"/>
        </w:rPr>
        <w:tab/>
      </w:r>
    </w:p>
    <w:p>
      <w:pPr>
        <w:spacing w:line="560" w:lineRule="exact"/>
        <w:ind w:firstLine="640" w:firstLineChars="200"/>
        <w:rPr>
          <w:rFonts w:hint="eastAsia" w:ascii="仿宋_GB2312" w:eastAsia="仿宋_GB2312"/>
          <w:kern w:val="0"/>
          <w:sz w:val="32"/>
          <w:szCs w:val="32"/>
        </w:rPr>
      </w:pPr>
      <w:r>
        <w:rPr>
          <w:rFonts w:hint="eastAsia" w:ascii="楷体_GB2312" w:eastAsia="楷体_GB2312"/>
          <w:sz w:val="32"/>
          <w:szCs w:val="32"/>
        </w:rPr>
        <w:t>（一）评价结论。</w:t>
      </w:r>
      <w:r>
        <w:rPr>
          <w:rFonts w:hint="eastAsia" w:ascii="仿宋_GB2312" w:eastAsia="仿宋_GB2312"/>
          <w:kern w:val="0"/>
          <w:sz w:val="32"/>
          <w:szCs w:val="32"/>
        </w:rPr>
        <w:t>我中心对照《2021年市级专项预算项目支出绩效评价指标体系》逐一梳理并严格自评打分，对照项目计划完成目标，从项目决策、项目实施、完成结果、满意度、社会效益等方面进行自评，自评</w:t>
      </w:r>
      <w:r>
        <w:rPr>
          <w:rFonts w:hint="eastAsia" w:ascii="仿宋_GB2312" w:eastAsia="仿宋_GB2312"/>
          <w:kern w:val="0"/>
          <w:sz w:val="32"/>
          <w:szCs w:val="32"/>
          <w:lang w:eastAsia="zh-CN"/>
        </w:rPr>
        <w:t>情况如下：</w:t>
      </w:r>
    </w:p>
    <w:tbl>
      <w:tblPr>
        <w:tblStyle w:val="16"/>
        <w:tblpPr w:leftFromText="180" w:rightFromText="180" w:vertAnchor="text" w:horzAnchor="page" w:tblpX="1271" w:tblpY="633"/>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5"/>
        <w:gridCol w:w="1200"/>
        <w:gridCol w:w="1560"/>
        <w:gridCol w:w="1848"/>
        <w:gridCol w:w="1224"/>
        <w:gridCol w:w="2404"/>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9571"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32"/>
                <w:szCs w:val="32"/>
                <w:u w:val="none"/>
                <w:lang w:val="en-US" w:eastAsia="zh-CN" w:bidi="ar"/>
              </w:rPr>
              <w:t>2021年部门支付改革及中心运行经费项目绩效目标自评</w:t>
            </w:r>
          </w:p>
        </w:tc>
        <w:tc>
          <w:tcPr>
            <w:tcW w:w="2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0" w:type="dxa"/>
          <w:trHeight w:val="254" w:hRule="atLeast"/>
        </w:trPr>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主管部门及代码</w:t>
            </w:r>
          </w:p>
        </w:tc>
        <w:tc>
          <w:tcPr>
            <w:tcW w:w="3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广元市市级财政国库支付中心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实施单位</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广元市市级财政国库支付中心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0" w:type="dxa"/>
          <w:trHeight w:val="341" w:hRule="atLeast"/>
        </w:trPr>
        <w:tc>
          <w:tcPr>
            <w:tcW w:w="25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项目预算</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执行情况</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（万元）</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预算数：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执行数：</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0" w:type="dxa"/>
          <w:trHeight w:val="555" w:hRule="atLeast"/>
        </w:trPr>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其中：</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财政拨款</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其中：</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财政拨款</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0" w:type="dxa"/>
          <w:trHeight w:val="341" w:hRule="atLeast"/>
        </w:trPr>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其他资金</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其他资金</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0" w:type="dxa"/>
          <w:trHeight w:val="217" w:hRule="atLeast"/>
        </w:trPr>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年度总体目标完成情况</w:t>
            </w:r>
          </w:p>
        </w:tc>
        <w:tc>
          <w:tcPr>
            <w:tcW w:w="4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预期目标</w:t>
            </w:r>
          </w:p>
        </w:tc>
        <w:tc>
          <w:tcPr>
            <w:tcW w:w="3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0" w:type="dxa"/>
          <w:trHeight w:val="799" w:hRule="atLeast"/>
        </w:trPr>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强化国库集中支付管理，确保市级财政国库集中支付安全运行</w:t>
            </w:r>
          </w:p>
        </w:tc>
        <w:tc>
          <w:tcPr>
            <w:tcW w:w="36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确保了市本级所有预算单位、所有财政资金纳入国库集中支付和预算执行动态监控系统；全年市本级累计支付财政资金86.3亿元，共监控资金13.3亿元，及时处理动态监控预警10016笔涉及资金7.5亿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0" w:type="dxa"/>
          <w:trHeight w:val="693" w:hRule="atLeast"/>
        </w:trPr>
        <w:tc>
          <w:tcPr>
            <w:tcW w:w="13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年度绩效指标完成情况</w:t>
            </w:r>
          </w:p>
        </w:tc>
        <w:tc>
          <w:tcPr>
            <w:tcW w:w="12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二级</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三级</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预期指标值</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0" w:type="dxa"/>
          <w:trHeight w:val="414" w:hRule="atLeast"/>
        </w:trPr>
        <w:tc>
          <w:tcPr>
            <w:tcW w:w="13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数量指标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国库集中支付及核算业务完成率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市本级所有预算单位、所有财政资金全部实行国库集中支付，全年财政资金支付共计86.3亿元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0" w:type="dxa"/>
          <w:trHeight w:val="414" w:hRule="atLeast"/>
        </w:trPr>
        <w:tc>
          <w:tcPr>
            <w:tcW w:w="13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质量指标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国库集中支付及核算业务准确率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实现了市本级所有预算单位所有财政资金支付准确、规范、安全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0" w:type="dxa"/>
          <w:trHeight w:val="945" w:hRule="atLeast"/>
        </w:trPr>
        <w:tc>
          <w:tcPr>
            <w:tcW w:w="13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时效指标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国库集中支付及核算业务办理及时性</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保证了市本级所有预算单位所有财政资金支付及时性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0" w:type="dxa"/>
          <w:trHeight w:val="482" w:hRule="atLeast"/>
        </w:trPr>
        <w:tc>
          <w:tcPr>
            <w:tcW w:w="13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成本指标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国库集中支付运行成本（年）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≦28.8万元</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实际支出21.47万元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0" w:type="dxa"/>
          <w:trHeight w:val="482" w:hRule="atLeast"/>
        </w:trPr>
        <w:tc>
          <w:tcPr>
            <w:tcW w:w="13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社会效益指标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助力推行财政国库管理制度改革</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全力推行财政国库集中支付管理制度改革</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确保国库集中支付管理制度改革的顺利推行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0" w:type="dxa"/>
          <w:trHeight w:val="482" w:hRule="atLeast"/>
        </w:trPr>
        <w:tc>
          <w:tcPr>
            <w:tcW w:w="13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可持续影响指标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财政资金使用效益</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实现财政资金支付规范、高效、安全</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进一步督促预算单位合理配置使用资金，促进了经济可持续发展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40" w:type="dxa"/>
          <w:trHeight w:val="527" w:hRule="atLeast"/>
        </w:trPr>
        <w:tc>
          <w:tcPr>
            <w:tcW w:w="133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满意</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度指标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指标</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管理和服务对象满意度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管理及服务对象满意率</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≥95%</w:t>
            </w:r>
          </w:p>
        </w:tc>
      </w:tr>
    </w:tbl>
    <w:p>
      <w:pPr>
        <w:pStyle w:val="2"/>
        <w:rPr>
          <w:rFonts w:hint="eastAsia"/>
        </w:rPr>
      </w:pP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（二）项目完成情况。</w:t>
      </w:r>
      <w:r>
        <w:rPr>
          <w:rFonts w:hint="eastAsia" w:ascii="仿宋_GB2312" w:eastAsia="仿宋_GB2312"/>
          <w:kern w:val="0"/>
          <w:sz w:val="32"/>
          <w:szCs w:val="32"/>
        </w:rPr>
        <w:t>该项目当年预算下达28.8万元，年终结余10.27万元。</w:t>
      </w:r>
      <w:r>
        <w:rPr>
          <w:rFonts w:hint="eastAsia" w:ascii="仿宋_GB2312" w:hAnsi="宋体" w:eastAsia="仿宋_GB2312"/>
          <w:sz w:val="32"/>
          <w:szCs w:val="32"/>
          <w:lang w:val="zh-CN"/>
        </w:rPr>
        <w:t>通过项目实施，进一步强化了财政资金支付管理，保障了财政国库集中支付改革工作顺利推进，确保了中心各项工作安全、平稳、有序运行。</w:t>
      </w:r>
      <w:r>
        <w:rPr>
          <w:rFonts w:hint="eastAsia" w:ascii="仿宋_GB2312" w:hAnsi="宋体" w:eastAsia="仿宋_GB2312"/>
          <w:sz w:val="32"/>
          <w:szCs w:val="32"/>
        </w:rPr>
        <w:t>一是</w:t>
      </w:r>
      <w:r>
        <w:rPr>
          <w:rFonts w:hint="eastAsia" w:ascii="仿宋_GB2312" w:hAnsi="仿宋_GB2312" w:eastAsia="仿宋_GB2312" w:cs="仿宋_GB2312"/>
          <w:color w:val="333333"/>
          <w:sz w:val="32"/>
          <w:szCs w:val="32"/>
          <w:shd w:val="clear" w:color="auto" w:fill="FFFFFF"/>
        </w:rPr>
        <w:t>支付效率不断提高</w:t>
      </w:r>
      <w:r>
        <w:rPr>
          <w:rFonts w:hint="eastAsia" w:ascii="仿宋_GB2312" w:hAnsi="宋体" w:eastAsia="仿宋_GB2312"/>
          <w:sz w:val="32"/>
          <w:szCs w:val="32"/>
          <w:lang w:eastAsia="zh-Hans"/>
        </w:rPr>
        <w:t>。</w:t>
      </w:r>
      <w:r>
        <w:rPr>
          <w:rFonts w:hint="eastAsia" w:ascii="仿宋_GB2312" w:hAnsi="仿宋_GB2312" w:eastAsia="仿宋_GB2312" w:cs="仿宋_GB2312"/>
          <w:sz w:val="32"/>
          <w:szCs w:val="32"/>
        </w:rPr>
        <w:t>截至12月30日，市本级累计支付财政资金871152.8万元，支付自有资金47289.8万元，确保国库集中支付全覆盖。</w:t>
      </w:r>
      <w:r>
        <w:rPr>
          <w:rFonts w:hint="eastAsia" w:ascii="仿宋_GB2312" w:hAnsi="宋体" w:eastAsia="仿宋_GB2312"/>
          <w:sz w:val="32"/>
          <w:szCs w:val="32"/>
          <w:lang w:val="zh-CN"/>
        </w:rPr>
        <w:t>二是</w:t>
      </w:r>
      <w:r>
        <w:rPr>
          <w:rFonts w:hint="eastAsia" w:ascii="仿宋_GB2312" w:hAnsi="仿宋_GB2312" w:eastAsia="仿宋_GB2312" w:cs="仿宋_GB2312"/>
          <w:sz w:val="32"/>
          <w:szCs w:val="32"/>
        </w:rPr>
        <w:t>切实加大动态监控力度。截至12月30日，市级动态监控系统共监控资金132649.7万元，处理预警10016笔，涉及资金75191.1万元，撤销违规支付888笔4138.6万元</w:t>
      </w:r>
      <w:r>
        <w:rPr>
          <w:rFonts w:hint="eastAsia" w:ascii="仿宋_GB2312" w:hAnsi="宋体" w:eastAsia="仿宋_GB2312"/>
          <w:sz w:val="32"/>
          <w:szCs w:val="32"/>
          <w:lang w:val="zh-CN"/>
        </w:rPr>
        <w:t>。三是严格执行大额现金申报审批制度和总额控制机制，全面规范预算单位现金支付行为。</w:t>
      </w:r>
      <w:r>
        <w:rPr>
          <w:rFonts w:hint="eastAsia" w:ascii="仿宋_GB2312" w:hAnsi="仿宋_GB2312" w:eastAsia="仿宋_GB2312" w:cs="仿宋_GB2312"/>
          <w:sz w:val="32"/>
          <w:szCs w:val="32"/>
        </w:rPr>
        <w:t>截至12月30日,市本级现金支出1119.92万元，同比下降40.6 %，仅占财政资金支付额的0.1%，实现了从严管控现金的目标。</w:t>
      </w:r>
      <w:r>
        <w:rPr>
          <w:rFonts w:hint="eastAsia" w:ascii="仿宋_GB2312" w:hAnsi="宋体" w:eastAsia="仿宋_GB2312"/>
          <w:sz w:val="32"/>
          <w:szCs w:val="32"/>
          <w:lang w:val="zh-CN"/>
        </w:rPr>
        <w:t>四是全力做好疫情防控资金支付工作。开辟绿色通道，确保疫情</w:t>
      </w:r>
      <w:r>
        <w:rPr>
          <w:rFonts w:hint="eastAsia" w:ascii="仿宋_GB2312" w:hAnsi="宋体" w:eastAsia="仿宋_GB2312"/>
          <w:sz w:val="32"/>
          <w:szCs w:val="32"/>
        </w:rPr>
        <w:t>防控</w:t>
      </w:r>
      <w:r>
        <w:rPr>
          <w:rFonts w:hint="eastAsia" w:ascii="仿宋_GB2312" w:hAnsi="宋体" w:eastAsia="仿宋_GB2312"/>
          <w:sz w:val="32"/>
          <w:szCs w:val="32"/>
          <w:lang w:val="zh-CN"/>
        </w:rPr>
        <w:t>资金</w:t>
      </w:r>
      <w:r>
        <w:rPr>
          <w:rFonts w:hint="eastAsia" w:ascii="仿宋_GB2312" w:hAnsi="宋体" w:eastAsia="仿宋_GB2312"/>
          <w:sz w:val="32"/>
          <w:szCs w:val="32"/>
        </w:rPr>
        <w:t>高效</w:t>
      </w:r>
      <w:r>
        <w:rPr>
          <w:rFonts w:hint="eastAsia" w:ascii="仿宋_GB2312" w:hAnsi="宋体" w:eastAsia="仿宋_GB2312"/>
          <w:sz w:val="32"/>
          <w:szCs w:val="32"/>
          <w:lang w:val="zh-CN"/>
        </w:rPr>
        <w:t>支付。五是完善支付对账，确保财政数据准确性。进一步提高了财政收支执行数据的精准性，为财政数据分析提供有力的数据支撑和参考依据。</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（三）项目效益情况。</w:t>
      </w:r>
    </w:p>
    <w:p>
      <w:pPr>
        <w:spacing w:line="576"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t>1.项目实施对经济和社会的影响。</w:t>
      </w:r>
      <w:r>
        <w:rPr>
          <w:rFonts w:hint="eastAsia" w:ascii="仿宋_GB2312" w:hAnsi="宋体" w:eastAsia="仿宋_GB2312"/>
          <w:sz w:val="32"/>
          <w:szCs w:val="32"/>
          <w:lang w:val="zh-CN"/>
        </w:rPr>
        <w:t>项目的顺利实施为我市进一步深化财政国库集中支付管理改革，实现财政资金支付规范、高效、安全提供了有力的保障。</w:t>
      </w:r>
    </w:p>
    <w:p>
      <w:pPr>
        <w:spacing w:line="576"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t>2.</w:t>
      </w:r>
      <w:r>
        <w:rPr>
          <w:rFonts w:hint="eastAsia" w:ascii="仿宋_GB2312" w:hAnsi="宋体" w:eastAsia="仿宋_GB2312"/>
          <w:sz w:val="32"/>
          <w:szCs w:val="32"/>
          <w:lang w:val="zh-CN"/>
        </w:rPr>
        <w:t>项目服务对象满意度。管理及服务对象满意度达</w:t>
      </w:r>
      <w:r>
        <w:rPr>
          <w:rFonts w:hint="eastAsia" w:ascii="仿宋_GB2312" w:hAnsi="宋体" w:eastAsia="仿宋_GB2312"/>
          <w:sz w:val="32"/>
          <w:szCs w:val="32"/>
        </w:rPr>
        <w:t>95%以上。</w:t>
      </w:r>
    </w:p>
    <w:p>
      <w:pPr>
        <w:adjustRightInd w:val="0"/>
        <w:snapToGrid w:val="0"/>
        <w:spacing w:line="600" w:lineRule="exact"/>
        <w:ind w:firstLine="720"/>
        <w:rPr>
          <w:rFonts w:hint="eastAsia" w:ascii="黑体" w:hAnsi="宋体" w:eastAsia="黑体"/>
          <w:sz w:val="32"/>
          <w:szCs w:val="32"/>
        </w:rPr>
      </w:pPr>
      <w:r>
        <w:rPr>
          <w:rFonts w:hint="eastAsia" w:ascii="黑体" w:hAnsi="宋体" w:eastAsia="黑体"/>
          <w:sz w:val="32"/>
          <w:szCs w:val="32"/>
        </w:rPr>
        <w:t>四、问题及建议</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（一）存在的问题。</w:t>
      </w:r>
      <w:r>
        <w:rPr>
          <w:rFonts w:hint="eastAsia" w:ascii="仿宋_GB2312" w:hAnsi="宋体" w:eastAsia="仿宋_GB2312"/>
          <w:sz w:val="32"/>
          <w:szCs w:val="32"/>
          <w:lang w:val="zh-CN"/>
        </w:rPr>
        <w:t>一是项目绩效目标编制还不够精准，不能准确预测预算年度项目执行中的变化，导致预算执行结果出现偏差；二是预算执行进度不均衡。</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（二）相关建议。</w:t>
      </w:r>
      <w:r>
        <w:rPr>
          <w:rFonts w:hint="eastAsia" w:ascii="仿宋_GB2312" w:hAnsi="宋体" w:eastAsia="仿宋_GB2312"/>
          <w:sz w:val="32"/>
          <w:szCs w:val="32"/>
          <w:lang w:val="zh-CN"/>
        </w:rPr>
        <w:t>强化部门绩效目标管理工作，进一步将绩效目标编制更准确、精细，更符合工作实际，提高资金使用效率。</w:t>
      </w:r>
    </w:p>
    <w:p>
      <w:pPr>
        <w:autoSpaceDE w:val="0"/>
        <w:autoSpaceDN w:val="0"/>
        <w:adjustRightInd w:val="0"/>
        <w:spacing w:line="576" w:lineRule="exact"/>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w:t>
      </w:r>
    </w:p>
    <w:p>
      <w:pPr>
        <w:pStyle w:val="15"/>
        <w:rPr>
          <w:rFonts w:hint="eastAsia" w:ascii="仿宋_GB2312" w:hAnsi="宋体" w:eastAsia="仿宋_GB2312"/>
          <w:sz w:val="32"/>
          <w:szCs w:val="32"/>
          <w:lang w:val="en-US" w:eastAsia="zh-CN"/>
        </w:rPr>
      </w:pPr>
    </w:p>
    <w:p>
      <w:pPr>
        <w:pStyle w:val="15"/>
        <w:rPr>
          <w:rFonts w:hint="eastAsia" w:ascii="仿宋_GB2312" w:hAnsi="宋体" w:eastAsia="仿宋_GB2312"/>
          <w:sz w:val="32"/>
          <w:szCs w:val="32"/>
          <w:lang w:val="en-US" w:eastAsia="zh-CN"/>
        </w:rPr>
      </w:pPr>
    </w:p>
    <w:p>
      <w:pPr>
        <w:pStyle w:val="15"/>
        <w:rPr>
          <w:rFonts w:hint="eastAsia" w:ascii="仿宋_GB2312" w:hAnsi="宋体" w:eastAsia="仿宋_GB2312"/>
          <w:sz w:val="32"/>
          <w:szCs w:val="32"/>
          <w:lang w:val="en-US" w:eastAsia="zh-CN"/>
        </w:rPr>
      </w:pPr>
    </w:p>
    <w:p>
      <w:pPr>
        <w:pStyle w:val="15"/>
        <w:rPr>
          <w:rFonts w:hint="eastAsia" w:ascii="仿宋_GB2312" w:hAnsi="宋体" w:eastAsia="仿宋_GB2312"/>
          <w:sz w:val="32"/>
          <w:szCs w:val="32"/>
          <w:lang w:val="en-US" w:eastAsia="zh-CN"/>
        </w:rPr>
      </w:pPr>
    </w:p>
    <w:p>
      <w:pPr>
        <w:spacing w:line="560" w:lineRule="exact"/>
        <w:ind w:firstLine="2100" w:firstLineChars="1000"/>
        <w:rPr>
          <w:rFonts w:hint="eastAsia" w:ascii="宋体" w:hAnsi="宋体" w:eastAsia="宋体" w:cs="宋体"/>
          <w:kern w:val="0"/>
          <w:sz w:val="21"/>
          <w:szCs w:val="21"/>
        </w:rPr>
      </w:pPr>
    </w:p>
    <w:p>
      <w:pPr>
        <w:pStyle w:val="6"/>
        <w:rPr>
          <w:rFonts w:hint="eastAsia" w:hAnsi="宋体" w:cs="宋体"/>
          <w:color w:val="auto"/>
          <w:kern w:val="0"/>
          <w:sz w:val="21"/>
          <w:szCs w:val="21"/>
          <w:highlight w:val="none"/>
          <w:shd w:val="clear" w:color="auto" w:fill="FFFFFF"/>
          <w:lang w:val="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p>
    <w:p>
      <w:pPr>
        <w:adjustRightInd w:val="0"/>
        <w:snapToGrid w:val="0"/>
        <w:spacing w:line="560" w:lineRule="exact"/>
        <w:ind w:firstLine="453" w:firstLineChars="103"/>
        <w:jc w:val="center"/>
        <w:rPr>
          <w:rFonts w:hint="eastAsia" w:ascii="黑体" w:hAnsi="黑体" w:eastAsia="黑体" w:cs="黑体"/>
          <w:color w:val="000000"/>
          <w:sz w:val="44"/>
          <w:szCs w:val="44"/>
          <w:lang w:val="en-US" w:eastAsia="zh-CN"/>
        </w:rPr>
      </w:pPr>
      <w:r>
        <w:rPr>
          <w:rFonts w:hint="eastAsia" w:ascii="黑体" w:hAnsi="黑体" w:eastAsia="黑体" w:cs="黑体"/>
          <w:color w:val="000000"/>
          <w:sz w:val="44"/>
          <w:szCs w:val="44"/>
          <w:lang w:val="en-US" w:eastAsia="zh-CN"/>
        </w:rPr>
        <w:t>广元市市级财政国库支付中心</w:t>
      </w:r>
    </w:p>
    <w:p>
      <w:pPr>
        <w:adjustRightInd w:val="0"/>
        <w:snapToGrid w:val="0"/>
        <w:spacing w:line="560" w:lineRule="exact"/>
        <w:ind w:firstLine="453" w:firstLineChars="103"/>
        <w:jc w:val="center"/>
        <w:rPr>
          <w:rFonts w:hint="eastAsia" w:ascii="黑体" w:hAnsi="黑体" w:eastAsia="黑体" w:cs="黑体"/>
          <w:color w:val="000000"/>
          <w:sz w:val="44"/>
          <w:szCs w:val="44"/>
          <w:lang w:val="en-US" w:eastAsia="zh-CN"/>
        </w:rPr>
      </w:pPr>
      <w:r>
        <w:rPr>
          <w:rFonts w:hint="eastAsia" w:ascii="黑体" w:hAnsi="黑体" w:eastAsia="黑体" w:cs="黑体"/>
          <w:color w:val="000000"/>
          <w:sz w:val="44"/>
          <w:szCs w:val="44"/>
          <w:lang w:val="en-US" w:eastAsia="zh-CN"/>
        </w:rPr>
        <w:t>关于2021年度脱贫攻坚部门工作经费</w:t>
      </w:r>
    </w:p>
    <w:p>
      <w:pPr>
        <w:adjustRightInd w:val="0"/>
        <w:snapToGrid w:val="0"/>
        <w:spacing w:line="560" w:lineRule="exact"/>
        <w:ind w:firstLine="453" w:firstLineChars="103"/>
        <w:jc w:val="center"/>
        <w:rPr>
          <w:rFonts w:hint="eastAsia" w:ascii="黑体" w:hAnsi="黑体" w:eastAsia="黑体" w:cs="黑体"/>
          <w:color w:val="000000"/>
          <w:sz w:val="44"/>
          <w:szCs w:val="44"/>
          <w:lang w:val="en-US" w:eastAsia="zh-CN"/>
        </w:rPr>
      </w:pPr>
      <w:r>
        <w:rPr>
          <w:rFonts w:hint="eastAsia" w:ascii="黑体" w:hAnsi="黑体" w:eastAsia="黑体" w:cs="黑体"/>
          <w:color w:val="000000"/>
          <w:sz w:val="44"/>
          <w:szCs w:val="44"/>
          <w:lang w:val="en-US" w:eastAsia="zh-CN"/>
        </w:rPr>
        <w:t>项目绩效自评报告</w:t>
      </w:r>
    </w:p>
    <w:p>
      <w:pPr>
        <w:adjustRightInd w:val="0"/>
        <w:snapToGrid w:val="0"/>
        <w:spacing w:line="560" w:lineRule="exact"/>
        <w:ind w:firstLine="453" w:firstLineChars="103"/>
        <w:jc w:val="center"/>
        <w:rPr>
          <w:rFonts w:hint="eastAsia" w:ascii="黑体" w:hAnsi="黑体" w:eastAsia="黑体" w:cs="黑体"/>
          <w:color w:val="000000"/>
          <w:sz w:val="44"/>
          <w:szCs w:val="44"/>
          <w:lang w:val="zh-CN" w:eastAsia="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（一）项目资金申报及批复情况。</w:t>
      </w:r>
      <w:r>
        <w:rPr>
          <w:rFonts w:hint="eastAsia" w:ascii="仿宋_GB2312" w:hAnsi="宋体" w:eastAsia="仿宋_GB2312"/>
          <w:sz w:val="32"/>
          <w:szCs w:val="32"/>
          <w:lang w:val="zh-CN"/>
        </w:rPr>
        <w:t>按照一般公共预算管理要求，年初由我</w:t>
      </w:r>
      <w:r>
        <w:rPr>
          <w:rFonts w:hint="eastAsia" w:ascii="仿宋_GB2312" w:hAnsi="宋体" w:eastAsia="仿宋_GB2312"/>
          <w:sz w:val="32"/>
          <w:szCs w:val="32"/>
        </w:rPr>
        <w:t>中心申报项目资金预算，经市财政局批复下达我中心项目资金预算指标0.75万元。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（二）项目绩效目标。</w:t>
      </w:r>
    </w:p>
    <w:p>
      <w:pPr>
        <w:autoSpaceDE w:val="0"/>
        <w:autoSpaceDN w:val="0"/>
        <w:adjustRightInd w:val="0"/>
        <w:spacing w:line="576"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1.项目主要内容。保障脱贫攻坚联系村</w:t>
      </w:r>
      <w:r>
        <w:rPr>
          <w:rFonts w:hint="eastAsia" w:ascii="仿宋_GB2312" w:hAnsi="宋体" w:eastAsia="仿宋_GB2312" w:cs="宋体"/>
          <w:color w:val="000000"/>
          <w:kern w:val="0"/>
          <w:sz w:val="32"/>
          <w:szCs w:val="32"/>
          <w:shd w:val="clear" w:color="auto" w:fill="FFFFFF"/>
          <w:lang w:val="zh-CN"/>
        </w:rPr>
        <w:t>帮扶工作正常开展</w:t>
      </w:r>
      <w:r>
        <w:rPr>
          <w:rFonts w:hint="eastAsia" w:ascii="仿宋_GB2312" w:hAnsi="宋体" w:eastAsia="仿宋_GB2312"/>
          <w:sz w:val="32"/>
          <w:szCs w:val="32"/>
          <w:lang w:val="zh-CN"/>
        </w:rPr>
        <w:t>。</w:t>
      </w:r>
    </w:p>
    <w:p>
      <w:pPr>
        <w:autoSpaceDE w:val="0"/>
        <w:autoSpaceDN w:val="0"/>
        <w:adjustRightInd w:val="0"/>
        <w:spacing w:line="576" w:lineRule="exact"/>
        <w:ind w:firstLine="640" w:firstLineChars="200"/>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2.项目绩效目标。</w:t>
      </w:r>
      <w:r>
        <w:rPr>
          <w:rFonts w:hint="eastAsia" w:ascii="仿宋_GB2312" w:hAnsi="宋体" w:eastAsia="仿宋_GB2312" w:cs="宋体"/>
          <w:color w:val="000000"/>
          <w:kern w:val="0"/>
          <w:sz w:val="32"/>
          <w:szCs w:val="32"/>
          <w:shd w:val="clear" w:color="auto" w:fill="FFFFFF"/>
          <w:lang w:val="zh-CN"/>
        </w:rPr>
        <w:t>按照市委市政府的总体要求，全力开展脱贫攻坚帮扶工作，为帮扶工作正常开展提供经费保障。</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（三）项目资金申报相符性。</w:t>
      </w:r>
      <w:r>
        <w:rPr>
          <w:rFonts w:hint="eastAsia" w:ascii="仿宋_GB2312" w:hAnsi="宋体" w:eastAsia="仿宋_GB2312" w:cs="宋体"/>
          <w:color w:val="000000"/>
          <w:kern w:val="0"/>
          <w:sz w:val="32"/>
          <w:szCs w:val="32"/>
          <w:shd w:val="clear" w:color="auto" w:fill="FFFFFF"/>
          <w:lang w:val="zh-CN"/>
        </w:rPr>
        <w:t>本项目</w:t>
      </w:r>
      <w:r>
        <w:rPr>
          <w:rFonts w:hint="eastAsia" w:ascii="仿宋_GB2312" w:hAnsi="宋体" w:eastAsia="仿宋_GB2312"/>
          <w:sz w:val="32"/>
          <w:szCs w:val="32"/>
          <w:lang w:val="zh-CN"/>
        </w:rPr>
        <w:t>根据市委市政府安排脱贫攻坚帮扶工作任务所设立，主要用于保障驻村帮扶工作队开展工作所需支出。</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（一）资金计划、到位及使用情况。</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1.资金计划及到位。本项目资金预算为</w:t>
      </w:r>
      <w:r>
        <w:rPr>
          <w:rFonts w:hint="eastAsia" w:ascii="仿宋_GB2312" w:hAnsi="宋体" w:eastAsia="仿宋_GB2312"/>
          <w:sz w:val="32"/>
          <w:szCs w:val="32"/>
        </w:rPr>
        <w:t>0.75万元，截至2021年底，市财政实际下达资金0.75万元，资金到位率为100%。</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zh-CN"/>
        </w:rPr>
        <w:t>资金使用。本项目资金</w:t>
      </w:r>
      <w:r>
        <w:rPr>
          <w:rFonts w:hint="eastAsia" w:ascii="仿宋_GB2312" w:hAnsi="宋体" w:eastAsia="仿宋_GB2312"/>
          <w:sz w:val="32"/>
          <w:szCs w:val="32"/>
        </w:rPr>
        <w:t>全年共支出0.75万元，支出进度为100%，主要是用于</w:t>
      </w:r>
      <w:r>
        <w:rPr>
          <w:rFonts w:hint="eastAsia" w:ascii="仿宋_GB2312" w:hAnsi="宋体" w:eastAsia="仿宋_GB2312"/>
          <w:sz w:val="32"/>
          <w:szCs w:val="32"/>
          <w:lang w:val="zh-CN"/>
        </w:rPr>
        <w:t>保障帮扶工作正常开展提供所需经费</w:t>
      </w:r>
      <w:r>
        <w:rPr>
          <w:rFonts w:hint="eastAsia" w:ascii="仿宋_GB2312" w:hAnsi="宋体" w:eastAsia="仿宋_GB2312"/>
          <w:sz w:val="32"/>
          <w:szCs w:val="32"/>
        </w:rPr>
        <w:t>。在项目执行过程中，严格按照预算批复项目资金</w:t>
      </w:r>
      <w:r>
        <w:rPr>
          <w:rFonts w:hint="eastAsia" w:ascii="仿宋_GB2312" w:hAnsi="宋体" w:eastAsia="仿宋_GB2312"/>
          <w:sz w:val="32"/>
          <w:szCs w:val="32"/>
          <w:lang w:val="zh-CN"/>
        </w:rPr>
        <w:t>支付范围、支付标准</w:t>
      </w:r>
      <w:r>
        <w:rPr>
          <w:rFonts w:hint="eastAsia" w:ascii="仿宋_GB2312" w:hAnsi="宋体" w:eastAsia="仿宋_GB2312"/>
          <w:sz w:val="32"/>
          <w:szCs w:val="32"/>
        </w:rPr>
        <w:t>执行</w:t>
      </w:r>
      <w:r>
        <w:rPr>
          <w:rFonts w:hint="eastAsia" w:ascii="仿宋_GB2312" w:hAnsi="宋体" w:eastAsia="仿宋_GB2312"/>
          <w:sz w:val="32"/>
          <w:szCs w:val="32"/>
          <w:lang w:val="zh-CN"/>
        </w:rPr>
        <w:t>，</w:t>
      </w:r>
      <w:r>
        <w:rPr>
          <w:rFonts w:hint="eastAsia" w:ascii="仿宋_GB2312" w:hAnsi="宋体" w:eastAsia="仿宋_GB2312"/>
          <w:sz w:val="32"/>
          <w:szCs w:val="32"/>
        </w:rPr>
        <w:t>严控预算执行进度和经费支出范围，确保资金使用安全、规范、高效。</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（二）项目财务管理情况。</w:t>
      </w:r>
      <w:r>
        <w:rPr>
          <w:rFonts w:hint="eastAsia" w:ascii="仿宋_GB2312" w:hAnsi="宋体" w:eastAsia="仿宋_GB2312"/>
          <w:sz w:val="32"/>
          <w:szCs w:val="32"/>
          <w:lang w:val="zh-CN"/>
        </w:rPr>
        <w:t>我中心严格按照财务管理相关制度规定，建立健全本部门财务管理制度及内控制度，加强对脱贫攻坚部门工作经费的使用管理，按照部门项目管理办法做好项目实施和监管，及时、规范进行账务处理及会计核算。切实做到专款专用，最大可能发挥专项资金作用。</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（三）项目组织实施情况。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rPr>
        <w:t>1.</w:t>
      </w:r>
      <w:r>
        <w:rPr>
          <w:rFonts w:hint="eastAsia" w:ascii="仿宋_GB2312" w:hAnsi="宋体" w:eastAsia="仿宋_GB2312"/>
          <w:sz w:val="32"/>
          <w:szCs w:val="32"/>
          <w:lang w:val="zh-CN"/>
        </w:rPr>
        <w:t>项目组织架构及实施流程。本项目由驻村帮扶工作小组按照标准要求提出用款计划申请，报中心分管领导研究通过后执行。</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rPr>
        <w:t>2.</w:t>
      </w:r>
      <w:r>
        <w:rPr>
          <w:rFonts w:hint="eastAsia" w:ascii="仿宋_GB2312" w:hAnsi="宋体" w:eastAsia="仿宋_GB2312"/>
          <w:sz w:val="32"/>
          <w:szCs w:val="32"/>
          <w:lang w:val="zh-CN"/>
        </w:rPr>
        <w:t>项目管理情况。中心严格按照项目管理有关规定对专项经费进行管理，综合科负责协调相关工作、项目实施及资金管理。</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rPr>
        <w:t>3.</w:t>
      </w:r>
      <w:r>
        <w:rPr>
          <w:rFonts w:hint="eastAsia" w:ascii="仿宋_GB2312" w:hAnsi="宋体" w:eastAsia="仿宋_GB2312"/>
          <w:sz w:val="32"/>
          <w:szCs w:val="32"/>
          <w:lang w:val="zh-CN"/>
        </w:rPr>
        <w:t>项目监管情况。我中心严格按照项目管理有关规定对项目经费进行管理，从资金申请、资金使用、会计核算三个环节加强资金管理，确保资金专款专用。同时经费管理主动接受驻局纪检监察组和上级主管部门的</w:t>
      </w:r>
      <w:r>
        <w:rPr>
          <w:rFonts w:hint="eastAsia" w:ascii="仿宋" w:hAnsi="仿宋" w:eastAsia="仿宋" w:cs="仿宋"/>
          <w:sz w:val="32"/>
          <w:szCs w:val="32"/>
        </w:rPr>
        <w:t>监督检查，对预算执行实行动态监控，无违纪违法现象。</w:t>
      </w:r>
    </w:p>
    <w:p>
      <w:pPr>
        <w:spacing w:line="576" w:lineRule="exact"/>
        <w:ind w:firstLine="640" w:firstLineChars="200"/>
        <w:rPr>
          <w:rFonts w:ascii="仿宋_GB2312" w:hAnsi="宋体" w:eastAsia="仿宋_GB2312"/>
          <w:sz w:val="32"/>
          <w:szCs w:val="32"/>
          <w:lang w:val="zh-CN"/>
        </w:rPr>
      </w:pPr>
      <w:r>
        <w:rPr>
          <w:rFonts w:hint="eastAsia" w:ascii="黑体" w:hAnsi="宋体" w:eastAsia="黑体"/>
          <w:sz w:val="32"/>
          <w:szCs w:val="32"/>
        </w:rPr>
        <w:t>三、项目绩效情况</w:t>
      </w:r>
      <w:r>
        <w:rPr>
          <w:rFonts w:ascii="仿宋_GB2312" w:hAnsi="宋体" w:eastAsia="仿宋_GB2312"/>
          <w:sz w:val="32"/>
          <w:szCs w:val="32"/>
          <w:lang w:val="zh-CN"/>
        </w:rPr>
        <w:tab/>
      </w:r>
    </w:p>
    <w:p>
      <w:pPr>
        <w:spacing w:line="560" w:lineRule="exact"/>
        <w:ind w:firstLine="640" w:firstLineChars="200"/>
        <w:rPr>
          <w:rFonts w:hint="eastAsia" w:ascii="仿宋_GB2312" w:eastAsia="仿宋_GB2312"/>
          <w:kern w:val="0"/>
          <w:sz w:val="32"/>
          <w:szCs w:val="32"/>
        </w:rPr>
      </w:pPr>
      <w:r>
        <w:rPr>
          <w:rFonts w:hint="eastAsia" w:ascii="楷体_GB2312" w:eastAsia="楷体_GB2312"/>
          <w:sz w:val="32"/>
          <w:szCs w:val="32"/>
        </w:rPr>
        <w:t>（一）评价结论。</w:t>
      </w:r>
      <w:r>
        <w:rPr>
          <w:rFonts w:hint="eastAsia" w:ascii="仿宋_GB2312" w:eastAsia="仿宋_GB2312"/>
          <w:kern w:val="0"/>
          <w:sz w:val="32"/>
          <w:szCs w:val="32"/>
        </w:rPr>
        <w:t>我中心对照《2022年市级专项预算项目支出绩效评价指标体系》逐一梳理并严格自评打分，对照项目计划完成目标，从项目决策、项目实施、完成结果、满意度、社会效益等方面进行自评，自评</w:t>
      </w:r>
      <w:r>
        <w:rPr>
          <w:rFonts w:hint="eastAsia" w:ascii="仿宋_GB2312" w:eastAsia="仿宋_GB2312"/>
          <w:kern w:val="0"/>
          <w:sz w:val="32"/>
          <w:szCs w:val="32"/>
          <w:lang w:eastAsia="zh-CN"/>
        </w:rPr>
        <w:t>情况如下：</w:t>
      </w:r>
    </w:p>
    <w:p>
      <w:pPr>
        <w:spacing w:line="560" w:lineRule="exact"/>
        <w:ind w:firstLine="640" w:firstLineChars="200"/>
        <w:rPr>
          <w:rFonts w:hint="eastAsia" w:ascii="仿宋_GB2312" w:eastAsia="仿宋_GB2312"/>
          <w:kern w:val="0"/>
          <w:sz w:val="32"/>
          <w:szCs w:val="32"/>
        </w:rPr>
      </w:pPr>
    </w:p>
    <w:tbl>
      <w:tblPr>
        <w:tblStyle w:val="16"/>
        <w:tblpPr w:leftFromText="180" w:rightFromText="180" w:vertAnchor="text" w:horzAnchor="page" w:tblpX="1271" w:tblpY="633"/>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2021年部门脱贫攻坚部门工作经费项目绩效目标自评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广元市市级财政国库支付中心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广元市市级财政国库支付中心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0.75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0.75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按照市委市政的总体要求，全力开展脱贫攻坚帮扶工作。</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扶贫工作全面完成，启动实施了乡村振兴。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帮扶部门工作经费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一个贫困村及一个非贫困村驻村工作队半年工作经费</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保障了两个村的驻村工作队工作经费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帮扶部门工作经费使用率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全面用于完成精准扶贫工作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4"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帮扶部门工作经费保障期</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2021年1-6月</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按时保障了帮扶工作经费的拨付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2"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帮扶部门工作运行成本（半年）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≦0.75万元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实际支出0.75万元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2"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社会效益指标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脱贫攻坚</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完成助力脱贫攻坚</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助力脱贫攻坚任务的顺利完成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2"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可持续影响指标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脱贫攻坚</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巩固脱贫攻坚成果</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巩固了脱贫攻坚成果，为下一步实施乡村振兴奠定了基础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1"/>
                <w:szCs w:val="21"/>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管理和服务对象满意度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管理及服务对象满意率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≥95%</w:t>
            </w:r>
          </w:p>
        </w:tc>
      </w:tr>
    </w:tbl>
    <w:p>
      <w:pPr>
        <w:pStyle w:val="2"/>
        <w:rPr>
          <w:rFonts w:hint="eastAsia"/>
        </w:rPr>
      </w:pP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（二）项目完成情况。</w:t>
      </w:r>
      <w:r>
        <w:rPr>
          <w:rFonts w:hint="eastAsia" w:ascii="仿宋_GB2312" w:eastAsia="仿宋_GB2312"/>
          <w:kern w:val="0"/>
          <w:sz w:val="32"/>
          <w:szCs w:val="32"/>
        </w:rPr>
        <w:t>该项目当年预算下达0.75万元，年终无结余。</w:t>
      </w:r>
      <w:r>
        <w:rPr>
          <w:rFonts w:hint="eastAsia" w:ascii="仿宋_GB2312" w:hAnsi="宋体" w:eastAsia="仿宋_GB2312"/>
          <w:sz w:val="32"/>
          <w:szCs w:val="32"/>
          <w:lang w:val="zh-CN"/>
        </w:rPr>
        <w:t>通过项目实施，顺利完成了帮扶贫困村精准扶贫工作的收尾工作，有效保障</w:t>
      </w:r>
      <w:r>
        <w:rPr>
          <w:rFonts w:hint="eastAsia" w:ascii="仿宋_GB2312" w:hAnsi="仿宋_GB2312" w:eastAsia="仿宋_GB2312" w:cs="仿宋_GB2312"/>
          <w:sz w:val="32"/>
          <w:szCs w:val="32"/>
        </w:rPr>
        <w:t>乡村振兴工作的良好开局。</w:t>
      </w:r>
      <w:r>
        <w:rPr>
          <w:rFonts w:hint="eastAsia" w:ascii="仿宋" w:hAnsi="仿宋" w:eastAsia="仿宋"/>
          <w:sz w:val="32"/>
          <w:szCs w:val="32"/>
        </w:rPr>
        <w:t>2021年，</w:t>
      </w:r>
      <w:r>
        <w:rPr>
          <w:rFonts w:hint="eastAsia" w:ascii="仿宋_GB2312" w:hAnsi="仿宋_GB2312" w:eastAsia="仿宋_GB2312" w:cs="仿宋_GB2312"/>
          <w:sz w:val="32"/>
          <w:szCs w:val="32"/>
        </w:rPr>
        <w:t>支持狮坪村驻村干部和产业带头人到绵阳学习羊肚菌种植技术，着力解决产业发展技术瓶颈。目前，中心帮扶的狮坪村乡村振兴的组织机构、产业规划、发展措施、目标任务已基本形成，夯实了巩固和发展振兴基础。</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（三）项目效益情况。</w:t>
      </w:r>
    </w:p>
    <w:p>
      <w:pPr>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1.项目实施对经济和社会的影响。</w:t>
      </w:r>
      <w:r>
        <w:rPr>
          <w:rFonts w:hint="eastAsia" w:ascii="仿宋_GB2312" w:hAnsi="宋体" w:eastAsia="仿宋_GB2312"/>
          <w:sz w:val="32"/>
          <w:szCs w:val="32"/>
          <w:lang w:val="zh-CN"/>
        </w:rPr>
        <w:t>项目的顺利实施，为保障脱贫攻坚帮扶工作顺利开展提供了坚实的保障，极大地提高了贫困群众的幸福感、获得感。</w:t>
      </w:r>
    </w:p>
    <w:p>
      <w:pPr>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2.</w:t>
      </w:r>
      <w:r>
        <w:rPr>
          <w:rFonts w:hint="eastAsia" w:ascii="仿宋_GB2312" w:hAnsi="宋体" w:eastAsia="仿宋_GB2312"/>
          <w:sz w:val="32"/>
          <w:szCs w:val="32"/>
          <w:lang w:val="zh-CN"/>
        </w:rPr>
        <w:t>项目服务对象满意度。帮扶干部和困难群众满意度达</w:t>
      </w:r>
      <w:r>
        <w:rPr>
          <w:rFonts w:hint="eastAsia" w:ascii="仿宋_GB2312" w:hAnsi="宋体" w:eastAsia="仿宋_GB2312"/>
          <w:sz w:val="32"/>
          <w:szCs w:val="32"/>
        </w:rPr>
        <w:t>98%以上。</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四、问题及建议</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（一）存在的问题。</w:t>
      </w:r>
      <w:r>
        <w:rPr>
          <w:rFonts w:hint="eastAsia" w:ascii="仿宋_GB2312" w:hAnsi="宋体" w:eastAsia="仿宋_GB2312"/>
          <w:sz w:val="32"/>
          <w:szCs w:val="32"/>
          <w:lang w:val="zh-CN"/>
        </w:rPr>
        <w:t>预算执行进度不均衡。</w:t>
      </w:r>
    </w:p>
    <w:p>
      <w:pPr>
        <w:spacing w:line="560" w:lineRule="exact"/>
        <w:ind w:firstLine="640" w:firstLineChars="200"/>
        <w:rPr>
          <w:rFonts w:hint="eastAsia" w:ascii="仿宋_GB2312" w:hAnsi="宋体" w:eastAsia="仿宋_GB2312"/>
          <w:sz w:val="32"/>
          <w:szCs w:val="32"/>
          <w:lang w:val="zh-CN"/>
        </w:rPr>
      </w:pPr>
      <w:r>
        <w:rPr>
          <w:rFonts w:hint="eastAsia" w:ascii="楷体_GB2312" w:eastAsia="楷体_GB2312"/>
          <w:sz w:val="32"/>
          <w:szCs w:val="32"/>
        </w:rPr>
        <w:t>（二）相关建议。</w:t>
      </w:r>
      <w:r>
        <w:rPr>
          <w:rFonts w:hint="eastAsia" w:ascii="仿宋_GB2312" w:hAnsi="宋体" w:eastAsia="仿宋_GB2312"/>
          <w:sz w:val="32"/>
          <w:szCs w:val="32"/>
          <w:lang w:val="zh-CN"/>
        </w:rPr>
        <w:t>加强对项目绩效目标的跟踪督查，积极推动项目实施，确保项目绩效目标及时完成，最大限度发挥好资金的使用效益。</w:t>
      </w:r>
    </w:p>
    <w:p>
      <w:pPr>
        <w:pStyle w:val="15"/>
        <w:rPr>
          <w:rFonts w:hint="eastAsia" w:ascii="仿宋_GB2312" w:hAnsi="宋体" w:eastAsia="仿宋_GB2312"/>
          <w:sz w:val="32"/>
          <w:szCs w:val="32"/>
          <w:lang w:val="zh-CN"/>
        </w:rPr>
      </w:pPr>
    </w:p>
    <w:p>
      <w:pPr>
        <w:pStyle w:val="15"/>
        <w:rPr>
          <w:rFonts w:hint="default" w:ascii="仿宋_GB2312" w:hAnsi="宋体" w:eastAsia="仿宋_GB2312"/>
          <w:sz w:val="32"/>
          <w:szCs w:val="32"/>
          <w:lang w:val="en-US" w:eastAsia="zh-CN"/>
        </w:rPr>
      </w:pPr>
    </w:p>
    <w:p>
      <w:pPr>
        <w:autoSpaceDE w:val="0"/>
        <w:autoSpaceDN w:val="0"/>
        <w:adjustRightInd w:val="0"/>
        <w:spacing w:line="576" w:lineRule="exact"/>
        <w:ind w:firstLine="315" w:firstLineChars="150"/>
        <w:jc w:val="left"/>
        <w:rPr>
          <w:rFonts w:hint="eastAsia" w:ascii="仿宋_GB2312" w:hAnsi="宋体" w:eastAsia="仿宋_GB2312"/>
          <w:sz w:val="21"/>
          <w:szCs w:val="21"/>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420" w:firstLineChars="200"/>
        <w:contextualSpacing/>
        <w:jc w:val="center"/>
        <w:textAlignment w:val="auto"/>
        <w:rPr>
          <w:rFonts w:hint="eastAsia" w:ascii="仿宋_GB2312" w:hAnsi="宋体" w:eastAsia="仿宋_GB2312" w:cs="宋体"/>
          <w:b w:val="0"/>
          <w:bCs w:val="0"/>
          <w:color w:val="auto"/>
          <w:kern w:val="0"/>
          <w:sz w:val="21"/>
          <w:szCs w:val="21"/>
          <w:highlight w:val="none"/>
          <w:shd w:val="clear" w:color="auto" w:fill="FFFFFF"/>
          <w:lang w:val="zh-CN"/>
        </w:rPr>
      </w:pPr>
    </w:p>
    <w:p>
      <w:pPr>
        <w:widowControl/>
        <w:jc w:val="left"/>
        <w:rPr>
          <w:rStyle w:val="28"/>
          <w:rFonts w:ascii="黑体" w:hAnsi="黑体" w:eastAsia="黑体"/>
          <w:b w:val="0"/>
          <w:color w:val="auto"/>
          <w:highlight w:val="none"/>
        </w:rPr>
      </w:pPr>
      <w:r>
        <w:rPr>
          <w:rStyle w:val="28"/>
          <w:rFonts w:ascii="黑体" w:hAnsi="黑体" w:eastAsia="黑体"/>
          <w:b w:val="0"/>
          <w:color w:val="auto"/>
          <w:highlight w:val="none"/>
        </w:rPr>
        <w:br w:type="page"/>
      </w:r>
    </w:p>
    <w:p>
      <w:pPr>
        <w:spacing w:line="600" w:lineRule="exact"/>
        <w:jc w:val="center"/>
        <w:outlineLvl w:val="0"/>
        <w:rPr>
          <w:rFonts w:hint="eastAsia" w:ascii="仿宋" w:hAnsi="仿宋" w:eastAsia="仿宋"/>
          <w:b w:val="0"/>
          <w:color w:val="auto"/>
          <w:highlight w:val="none"/>
        </w:rPr>
      </w:pPr>
      <w:bookmarkStart w:id="59" w:name="_Toc15396618"/>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bookmarkEnd w:id="57"/>
      <w:bookmarkEnd w:id="59"/>
      <w:bookmarkStart w:id="60" w:name="_Toc15396619"/>
    </w:p>
    <w:p>
      <w:pPr>
        <w:pStyle w:val="4"/>
        <w:rPr>
          <w:rFonts w:hint="eastAsia" w:ascii="仿宋_GB2312" w:hAnsi="宋体" w:eastAsia="仿宋_GB2312" w:cs="Times New Roman"/>
          <w:b w:val="0"/>
          <w:bCs w:val="0"/>
          <w:kern w:val="2"/>
          <w:sz w:val="32"/>
          <w:szCs w:val="32"/>
          <w:lang w:val="zh-CN" w:eastAsia="zh-CN" w:bidi="ar-SA"/>
        </w:rPr>
      </w:pPr>
      <w:r>
        <w:rPr>
          <w:rFonts w:hint="eastAsia" w:ascii="仿宋_GB2312" w:hAnsi="宋体" w:eastAsia="仿宋_GB2312" w:cs="Times New Roman"/>
          <w:b w:val="0"/>
          <w:bCs w:val="0"/>
          <w:kern w:val="2"/>
          <w:sz w:val="32"/>
          <w:szCs w:val="32"/>
          <w:lang w:val="zh-CN" w:eastAsia="zh-CN" w:bidi="ar-SA"/>
        </w:rPr>
        <w:t>一、收入支出决算总表</w:t>
      </w:r>
      <w:bookmarkEnd w:id="60"/>
    </w:p>
    <w:p>
      <w:pPr>
        <w:pStyle w:val="4"/>
        <w:rPr>
          <w:rFonts w:hint="eastAsia" w:ascii="仿宋_GB2312" w:hAnsi="宋体" w:eastAsia="仿宋_GB2312" w:cs="Times New Roman"/>
          <w:b w:val="0"/>
          <w:bCs w:val="0"/>
          <w:kern w:val="2"/>
          <w:sz w:val="32"/>
          <w:szCs w:val="32"/>
          <w:lang w:val="zh-CN" w:eastAsia="zh-CN" w:bidi="ar-SA"/>
        </w:rPr>
      </w:pPr>
      <w:bookmarkStart w:id="61" w:name="_Toc15396620"/>
      <w:r>
        <w:rPr>
          <w:rFonts w:hint="eastAsia" w:ascii="仿宋_GB2312" w:hAnsi="宋体" w:eastAsia="仿宋_GB2312" w:cs="Times New Roman"/>
          <w:b w:val="0"/>
          <w:bCs w:val="0"/>
          <w:kern w:val="2"/>
          <w:sz w:val="32"/>
          <w:szCs w:val="32"/>
          <w:lang w:val="zh-CN" w:eastAsia="zh-CN" w:bidi="ar-SA"/>
        </w:rPr>
        <w:t>二、收入决算表</w:t>
      </w:r>
      <w:bookmarkEnd w:id="61"/>
    </w:p>
    <w:p>
      <w:pPr>
        <w:pStyle w:val="4"/>
        <w:rPr>
          <w:rFonts w:hint="eastAsia" w:ascii="仿宋_GB2312" w:hAnsi="宋体" w:eastAsia="仿宋_GB2312" w:cs="Times New Roman"/>
          <w:b w:val="0"/>
          <w:bCs w:val="0"/>
          <w:kern w:val="2"/>
          <w:sz w:val="32"/>
          <w:szCs w:val="32"/>
          <w:lang w:val="zh-CN" w:eastAsia="zh-CN" w:bidi="ar-SA"/>
        </w:rPr>
      </w:pPr>
      <w:bookmarkStart w:id="62" w:name="_Toc15396621"/>
      <w:r>
        <w:rPr>
          <w:rFonts w:hint="eastAsia" w:ascii="仿宋_GB2312" w:hAnsi="宋体" w:eastAsia="仿宋_GB2312" w:cs="Times New Roman"/>
          <w:b w:val="0"/>
          <w:bCs w:val="0"/>
          <w:kern w:val="2"/>
          <w:sz w:val="32"/>
          <w:szCs w:val="32"/>
          <w:lang w:val="zh-CN" w:eastAsia="zh-CN" w:bidi="ar-SA"/>
        </w:rPr>
        <w:t>三、支出决算表</w:t>
      </w:r>
      <w:bookmarkEnd w:id="62"/>
    </w:p>
    <w:p>
      <w:pPr>
        <w:pStyle w:val="4"/>
        <w:rPr>
          <w:rFonts w:hint="eastAsia" w:ascii="仿宋_GB2312" w:hAnsi="宋体" w:eastAsia="仿宋_GB2312" w:cs="Times New Roman"/>
          <w:b w:val="0"/>
          <w:bCs w:val="0"/>
          <w:kern w:val="2"/>
          <w:sz w:val="32"/>
          <w:szCs w:val="32"/>
          <w:lang w:val="zh-CN" w:eastAsia="zh-CN" w:bidi="ar-SA"/>
        </w:rPr>
      </w:pPr>
      <w:bookmarkStart w:id="63" w:name="_Toc15396622"/>
      <w:r>
        <w:rPr>
          <w:rFonts w:hint="eastAsia" w:ascii="仿宋_GB2312" w:hAnsi="宋体" w:eastAsia="仿宋_GB2312" w:cs="Times New Roman"/>
          <w:b w:val="0"/>
          <w:bCs w:val="0"/>
          <w:kern w:val="2"/>
          <w:sz w:val="32"/>
          <w:szCs w:val="32"/>
          <w:lang w:val="zh-CN" w:eastAsia="zh-CN" w:bidi="ar-SA"/>
        </w:rPr>
        <w:t>四、财政拨款收入支出决算总表</w:t>
      </w:r>
      <w:bookmarkEnd w:id="63"/>
    </w:p>
    <w:p>
      <w:pPr>
        <w:pStyle w:val="4"/>
        <w:rPr>
          <w:rFonts w:hint="eastAsia" w:ascii="仿宋_GB2312" w:hAnsi="宋体" w:eastAsia="仿宋_GB2312" w:cs="Times New Roman"/>
          <w:b w:val="0"/>
          <w:bCs w:val="0"/>
          <w:kern w:val="2"/>
          <w:sz w:val="32"/>
          <w:szCs w:val="32"/>
          <w:lang w:val="zh-CN" w:eastAsia="zh-CN" w:bidi="ar-SA"/>
        </w:rPr>
      </w:pPr>
      <w:bookmarkStart w:id="64" w:name="_Toc15396623"/>
      <w:r>
        <w:rPr>
          <w:rFonts w:hint="eastAsia" w:ascii="仿宋_GB2312" w:hAnsi="宋体" w:eastAsia="仿宋_GB2312" w:cs="Times New Roman"/>
          <w:b w:val="0"/>
          <w:bCs w:val="0"/>
          <w:kern w:val="2"/>
          <w:sz w:val="32"/>
          <w:szCs w:val="32"/>
          <w:lang w:val="zh-CN" w:eastAsia="zh-CN" w:bidi="ar-SA"/>
        </w:rPr>
        <w:t>五、财政拨款支出决算明细表</w:t>
      </w:r>
      <w:bookmarkEnd w:id="64"/>
      <w:bookmarkStart w:id="65" w:name="_Toc15396624"/>
    </w:p>
    <w:p>
      <w:pPr>
        <w:pStyle w:val="4"/>
        <w:rPr>
          <w:rFonts w:hint="eastAsia" w:ascii="仿宋_GB2312" w:hAnsi="宋体" w:eastAsia="仿宋_GB2312" w:cs="Times New Roman"/>
          <w:b w:val="0"/>
          <w:bCs w:val="0"/>
          <w:kern w:val="2"/>
          <w:sz w:val="32"/>
          <w:szCs w:val="32"/>
          <w:lang w:val="zh-CN" w:eastAsia="zh-CN" w:bidi="ar-SA"/>
        </w:rPr>
      </w:pPr>
      <w:r>
        <w:rPr>
          <w:rFonts w:hint="eastAsia" w:ascii="仿宋_GB2312" w:hAnsi="宋体" w:eastAsia="仿宋_GB2312" w:cs="Times New Roman"/>
          <w:b w:val="0"/>
          <w:bCs w:val="0"/>
          <w:kern w:val="2"/>
          <w:sz w:val="32"/>
          <w:szCs w:val="32"/>
          <w:lang w:val="zh-CN" w:eastAsia="zh-CN" w:bidi="ar-SA"/>
        </w:rPr>
        <w:t>六、一般公共预算财政拨款支出决算表</w:t>
      </w:r>
      <w:bookmarkEnd w:id="65"/>
    </w:p>
    <w:p>
      <w:pPr>
        <w:pStyle w:val="4"/>
        <w:rPr>
          <w:rFonts w:hint="eastAsia" w:ascii="仿宋_GB2312" w:hAnsi="宋体" w:eastAsia="仿宋_GB2312" w:cs="Times New Roman"/>
          <w:b w:val="0"/>
          <w:bCs w:val="0"/>
          <w:kern w:val="2"/>
          <w:sz w:val="32"/>
          <w:szCs w:val="32"/>
          <w:lang w:val="zh-CN" w:eastAsia="zh-CN" w:bidi="ar-SA"/>
        </w:rPr>
      </w:pPr>
      <w:bookmarkStart w:id="66" w:name="_Toc15396625"/>
      <w:r>
        <w:rPr>
          <w:rFonts w:hint="eastAsia" w:ascii="仿宋_GB2312" w:hAnsi="宋体" w:eastAsia="仿宋_GB2312" w:cs="Times New Roman"/>
          <w:b w:val="0"/>
          <w:bCs w:val="0"/>
          <w:kern w:val="2"/>
          <w:sz w:val="32"/>
          <w:szCs w:val="32"/>
          <w:lang w:val="zh-CN" w:eastAsia="zh-CN" w:bidi="ar-SA"/>
        </w:rPr>
        <w:t>七、一般公共预算财政拨款支出决算明细表</w:t>
      </w:r>
      <w:bookmarkEnd w:id="66"/>
    </w:p>
    <w:p>
      <w:pPr>
        <w:pStyle w:val="4"/>
        <w:rPr>
          <w:rFonts w:hint="eastAsia" w:ascii="仿宋_GB2312" w:hAnsi="宋体" w:eastAsia="仿宋_GB2312" w:cs="Times New Roman"/>
          <w:b w:val="0"/>
          <w:bCs w:val="0"/>
          <w:kern w:val="2"/>
          <w:sz w:val="32"/>
          <w:szCs w:val="32"/>
          <w:lang w:val="zh-CN" w:eastAsia="zh-CN" w:bidi="ar-SA"/>
        </w:rPr>
      </w:pPr>
      <w:bookmarkStart w:id="67" w:name="_Toc15396626"/>
      <w:r>
        <w:rPr>
          <w:rFonts w:hint="eastAsia" w:ascii="仿宋_GB2312" w:hAnsi="宋体" w:eastAsia="仿宋_GB2312" w:cs="Times New Roman"/>
          <w:b w:val="0"/>
          <w:bCs w:val="0"/>
          <w:kern w:val="2"/>
          <w:sz w:val="32"/>
          <w:szCs w:val="32"/>
          <w:lang w:val="zh-CN" w:eastAsia="zh-CN" w:bidi="ar-SA"/>
        </w:rPr>
        <w:t>八、一般公共预算财政拨款基本支出决算表</w:t>
      </w:r>
      <w:bookmarkEnd w:id="67"/>
    </w:p>
    <w:p>
      <w:pPr>
        <w:pStyle w:val="4"/>
        <w:rPr>
          <w:rFonts w:hint="eastAsia" w:ascii="仿宋_GB2312" w:hAnsi="宋体" w:eastAsia="仿宋_GB2312" w:cs="Times New Roman"/>
          <w:b w:val="0"/>
          <w:bCs w:val="0"/>
          <w:kern w:val="2"/>
          <w:sz w:val="32"/>
          <w:szCs w:val="32"/>
          <w:lang w:val="zh-CN" w:eastAsia="zh-CN" w:bidi="ar-SA"/>
        </w:rPr>
      </w:pPr>
      <w:bookmarkStart w:id="68" w:name="_Toc15396627"/>
      <w:r>
        <w:rPr>
          <w:rFonts w:hint="eastAsia" w:ascii="仿宋_GB2312" w:hAnsi="宋体" w:eastAsia="仿宋_GB2312" w:cs="Times New Roman"/>
          <w:b w:val="0"/>
          <w:bCs w:val="0"/>
          <w:kern w:val="2"/>
          <w:sz w:val="32"/>
          <w:szCs w:val="32"/>
          <w:lang w:val="zh-CN" w:eastAsia="zh-CN" w:bidi="ar-SA"/>
        </w:rPr>
        <w:t>九、一般公共预算财政拨款项目支出决算表</w:t>
      </w:r>
      <w:bookmarkEnd w:id="68"/>
    </w:p>
    <w:p>
      <w:pPr>
        <w:pStyle w:val="4"/>
        <w:rPr>
          <w:rFonts w:hint="eastAsia" w:ascii="仿宋_GB2312" w:hAnsi="宋体" w:eastAsia="仿宋_GB2312" w:cs="Times New Roman"/>
          <w:b w:val="0"/>
          <w:bCs w:val="0"/>
          <w:kern w:val="2"/>
          <w:sz w:val="32"/>
          <w:szCs w:val="32"/>
          <w:lang w:val="zh-CN" w:eastAsia="zh-CN" w:bidi="ar-SA"/>
        </w:rPr>
      </w:pPr>
      <w:bookmarkStart w:id="69" w:name="_Toc15396628"/>
      <w:r>
        <w:rPr>
          <w:rFonts w:hint="eastAsia" w:ascii="仿宋_GB2312" w:hAnsi="宋体" w:eastAsia="仿宋_GB2312" w:cs="Times New Roman"/>
          <w:b w:val="0"/>
          <w:bCs w:val="0"/>
          <w:kern w:val="2"/>
          <w:sz w:val="32"/>
          <w:szCs w:val="32"/>
          <w:lang w:val="zh-CN" w:eastAsia="zh-CN" w:bidi="ar-SA"/>
        </w:rPr>
        <w:t>十、一般公共预算财政拨款“三公”经费支出决算表</w:t>
      </w:r>
      <w:bookmarkEnd w:id="69"/>
    </w:p>
    <w:p>
      <w:pPr>
        <w:pStyle w:val="4"/>
        <w:rPr>
          <w:rFonts w:hint="eastAsia" w:ascii="仿宋_GB2312" w:hAnsi="宋体" w:eastAsia="仿宋_GB2312" w:cs="Times New Roman"/>
          <w:b w:val="0"/>
          <w:bCs w:val="0"/>
          <w:kern w:val="2"/>
          <w:sz w:val="32"/>
          <w:szCs w:val="32"/>
          <w:lang w:val="zh-CN" w:eastAsia="zh-CN" w:bidi="ar-SA"/>
        </w:rPr>
      </w:pPr>
      <w:bookmarkStart w:id="70" w:name="_Toc15396629"/>
      <w:r>
        <w:rPr>
          <w:rFonts w:hint="eastAsia" w:ascii="仿宋_GB2312" w:hAnsi="宋体" w:eastAsia="仿宋_GB2312" w:cs="Times New Roman"/>
          <w:b w:val="0"/>
          <w:bCs w:val="0"/>
          <w:kern w:val="2"/>
          <w:sz w:val="32"/>
          <w:szCs w:val="32"/>
          <w:lang w:val="zh-CN" w:eastAsia="zh-CN" w:bidi="ar-SA"/>
        </w:rPr>
        <w:t>十一、政府性基金预算财政拨款收入支出决算表</w:t>
      </w:r>
      <w:bookmarkEnd w:id="70"/>
    </w:p>
    <w:p>
      <w:pPr>
        <w:pStyle w:val="4"/>
        <w:rPr>
          <w:rFonts w:hint="eastAsia" w:ascii="仿宋_GB2312" w:hAnsi="宋体" w:eastAsia="仿宋_GB2312" w:cs="Times New Roman"/>
          <w:b w:val="0"/>
          <w:bCs w:val="0"/>
          <w:kern w:val="2"/>
          <w:sz w:val="32"/>
          <w:szCs w:val="32"/>
          <w:lang w:val="zh-CN" w:eastAsia="zh-CN" w:bidi="ar-SA"/>
        </w:rPr>
      </w:pPr>
      <w:bookmarkStart w:id="71" w:name="_Toc15396630"/>
      <w:r>
        <w:rPr>
          <w:rFonts w:hint="eastAsia" w:ascii="仿宋_GB2312" w:hAnsi="宋体" w:eastAsia="仿宋_GB2312" w:cs="Times New Roman"/>
          <w:b w:val="0"/>
          <w:bCs w:val="0"/>
          <w:kern w:val="2"/>
          <w:sz w:val="32"/>
          <w:szCs w:val="32"/>
          <w:lang w:val="zh-CN" w:eastAsia="zh-CN" w:bidi="ar-SA"/>
        </w:rPr>
        <w:t>十二、政府性基金预算财政拨款“三公”经费支出决算表</w:t>
      </w:r>
      <w:bookmarkEnd w:id="71"/>
    </w:p>
    <w:p>
      <w:pPr>
        <w:pStyle w:val="4"/>
        <w:rPr>
          <w:rFonts w:hint="eastAsia" w:ascii="仿宋_GB2312" w:hAnsi="宋体" w:eastAsia="仿宋_GB2312" w:cs="Times New Roman"/>
          <w:b w:val="0"/>
          <w:bCs w:val="0"/>
          <w:kern w:val="2"/>
          <w:sz w:val="32"/>
          <w:szCs w:val="32"/>
          <w:lang w:val="zh-CN" w:eastAsia="zh-CN" w:bidi="ar-SA"/>
        </w:rPr>
      </w:pPr>
      <w:bookmarkStart w:id="72" w:name="_Toc15396631"/>
      <w:r>
        <w:rPr>
          <w:rFonts w:hint="eastAsia" w:ascii="仿宋_GB2312" w:hAnsi="宋体" w:eastAsia="仿宋_GB2312" w:cs="Times New Roman"/>
          <w:b w:val="0"/>
          <w:bCs w:val="0"/>
          <w:kern w:val="2"/>
          <w:sz w:val="32"/>
          <w:szCs w:val="32"/>
          <w:lang w:val="zh-CN" w:eastAsia="zh-CN" w:bidi="ar-SA"/>
        </w:rPr>
        <w:t>十三、国有资本经营预算财政拨款收入支出决算表</w:t>
      </w:r>
      <w:bookmarkEnd w:id="72"/>
    </w:p>
    <w:p>
      <w:pPr>
        <w:rPr>
          <w:rFonts w:hint="eastAsia" w:ascii="仿宋_GB2312" w:hAnsi="宋体" w:eastAsia="仿宋_GB2312" w:cs="Times New Roman"/>
          <w:b w:val="0"/>
          <w:bCs w:val="0"/>
          <w:kern w:val="2"/>
          <w:sz w:val="32"/>
          <w:szCs w:val="32"/>
          <w:lang w:val="zh-CN" w:eastAsia="zh-CN" w:bidi="ar-SA"/>
        </w:rPr>
      </w:pPr>
      <w:r>
        <w:rPr>
          <w:rFonts w:hint="eastAsia" w:ascii="仿宋_GB2312" w:hAnsi="宋体" w:eastAsia="仿宋_GB2312" w:cs="Times New Roman"/>
          <w:b w:val="0"/>
          <w:bCs w:val="0"/>
          <w:kern w:val="2"/>
          <w:sz w:val="32"/>
          <w:szCs w:val="32"/>
          <w:lang w:val="zh-CN" w:eastAsia="zh-CN" w:bidi="ar-SA"/>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汉仪新人文宋简"/>
    <w:panose1 w:val="00000000000000000000"/>
    <w:charset w:val="00"/>
    <w:family w:val="roman"/>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940260A"/>
    <w:multiLevelType w:val="singleLevel"/>
    <w:tmpl w:val="F940260A"/>
    <w:lvl w:ilvl="0" w:tentative="0">
      <w:start w:val="2"/>
      <w:numFmt w:val="decimal"/>
      <w:suff w:val="nothing"/>
      <w:lvlText w:val="%1．"/>
      <w:lvlJc w:val="left"/>
    </w:lvl>
  </w:abstractNum>
  <w:abstractNum w:abstractNumId="3">
    <w:nsid w:val="1272550B"/>
    <w:multiLevelType w:val="multilevel"/>
    <w:tmpl w:val="1272550B"/>
    <w:lvl w:ilvl="0" w:tentative="0">
      <w:start w:val="1"/>
      <w:numFmt w:val="japaneseCounting"/>
      <w:lvlText w:val="%1、"/>
      <w:lvlJc w:val="left"/>
      <w:pPr>
        <w:ind w:left="135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BE86608"/>
    <w:multiLevelType w:val="singleLevel"/>
    <w:tmpl w:val="5BE86608"/>
    <w:lvl w:ilvl="0" w:tentative="0">
      <w:start w:val="2"/>
      <w:numFmt w:val="chineseCounting"/>
      <w:suff w:val="nothing"/>
      <w:lvlText w:val="（%1）"/>
      <w:lvlJc w:val="left"/>
      <w:rPr>
        <w:rFonts w:hint="eastAsia"/>
      </w:rPr>
    </w:lvl>
  </w:abstractNum>
  <w:abstractNum w:abstractNumId="5">
    <w:nsid w:val="7AABDFFA"/>
    <w:multiLevelType w:val="singleLevel"/>
    <w:tmpl w:val="7AABDFFA"/>
    <w:lvl w:ilvl="0" w:tentative="0">
      <w:start w:val="1"/>
      <w:numFmt w:val="chineseCounting"/>
      <w:suff w:val="space"/>
      <w:lvlText w:val="第%1部分"/>
      <w:lvlJc w:val="left"/>
      <w:rPr>
        <w:rFonts w:hint="eastAsia"/>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jNTY3MzM1MDI1NTNkOGJjN2Q4YWZiOWM2NmQwZj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EF0762"/>
    <w:rsid w:val="042D5573"/>
    <w:rsid w:val="04FF037E"/>
    <w:rsid w:val="066E0107"/>
    <w:rsid w:val="07996F6E"/>
    <w:rsid w:val="0A2032A3"/>
    <w:rsid w:val="0D1D7DC3"/>
    <w:rsid w:val="101860EC"/>
    <w:rsid w:val="103B535C"/>
    <w:rsid w:val="10C055FF"/>
    <w:rsid w:val="11303DE9"/>
    <w:rsid w:val="118107EC"/>
    <w:rsid w:val="12557610"/>
    <w:rsid w:val="13D50BC4"/>
    <w:rsid w:val="1509728D"/>
    <w:rsid w:val="158F4E06"/>
    <w:rsid w:val="16BB723D"/>
    <w:rsid w:val="1AA15ED9"/>
    <w:rsid w:val="1ACA2E6C"/>
    <w:rsid w:val="1B9828E3"/>
    <w:rsid w:val="1BE8440E"/>
    <w:rsid w:val="1D155CEE"/>
    <w:rsid w:val="1D8A0571"/>
    <w:rsid w:val="1F9268C0"/>
    <w:rsid w:val="23860B96"/>
    <w:rsid w:val="23F46D37"/>
    <w:rsid w:val="240371BF"/>
    <w:rsid w:val="29FD04D3"/>
    <w:rsid w:val="2A5135C1"/>
    <w:rsid w:val="2B0418B2"/>
    <w:rsid w:val="2C5855D7"/>
    <w:rsid w:val="2C8A61B5"/>
    <w:rsid w:val="2DF04E50"/>
    <w:rsid w:val="2E935FC6"/>
    <w:rsid w:val="2F1D3E0E"/>
    <w:rsid w:val="313C0ADE"/>
    <w:rsid w:val="319F7F4E"/>
    <w:rsid w:val="31C1391D"/>
    <w:rsid w:val="32A42528"/>
    <w:rsid w:val="33F739AD"/>
    <w:rsid w:val="34126C35"/>
    <w:rsid w:val="34E85CB9"/>
    <w:rsid w:val="359F7AA1"/>
    <w:rsid w:val="36AA5135"/>
    <w:rsid w:val="37E16F03"/>
    <w:rsid w:val="37E17A77"/>
    <w:rsid w:val="39055B84"/>
    <w:rsid w:val="3AB932A2"/>
    <w:rsid w:val="3D110B66"/>
    <w:rsid w:val="3D98207C"/>
    <w:rsid w:val="405E70E6"/>
    <w:rsid w:val="41272213"/>
    <w:rsid w:val="42367A26"/>
    <w:rsid w:val="44E268DA"/>
    <w:rsid w:val="450A2511"/>
    <w:rsid w:val="45DE583A"/>
    <w:rsid w:val="478F3F6F"/>
    <w:rsid w:val="4A627F82"/>
    <w:rsid w:val="4B4F25DA"/>
    <w:rsid w:val="4B5B39D2"/>
    <w:rsid w:val="4B801787"/>
    <w:rsid w:val="4BE068DB"/>
    <w:rsid w:val="4C200CD9"/>
    <w:rsid w:val="4D577224"/>
    <w:rsid w:val="4EAB630A"/>
    <w:rsid w:val="4EAF77F7"/>
    <w:rsid w:val="4ECE2238"/>
    <w:rsid w:val="51B611EF"/>
    <w:rsid w:val="53001ED7"/>
    <w:rsid w:val="595C6A5E"/>
    <w:rsid w:val="5AF92295"/>
    <w:rsid w:val="5CD71FC4"/>
    <w:rsid w:val="5D4C2B26"/>
    <w:rsid w:val="5D92680F"/>
    <w:rsid w:val="5E250236"/>
    <w:rsid w:val="5F2345A8"/>
    <w:rsid w:val="5F646C90"/>
    <w:rsid w:val="661A6405"/>
    <w:rsid w:val="66376316"/>
    <w:rsid w:val="68E06A63"/>
    <w:rsid w:val="69FCB36B"/>
    <w:rsid w:val="6B1738C6"/>
    <w:rsid w:val="6C4A05C8"/>
    <w:rsid w:val="6E2D7878"/>
    <w:rsid w:val="6E7E3605"/>
    <w:rsid w:val="6FD76CA3"/>
    <w:rsid w:val="6FF5CC65"/>
    <w:rsid w:val="71284DEB"/>
    <w:rsid w:val="715C0E4B"/>
    <w:rsid w:val="72734D90"/>
    <w:rsid w:val="73AD73D5"/>
    <w:rsid w:val="73B6EB34"/>
    <w:rsid w:val="768719DD"/>
    <w:rsid w:val="79EE5BA4"/>
    <w:rsid w:val="7A6A66F1"/>
    <w:rsid w:val="7A894339"/>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行距: 固定值 28.9 磅"/>
    <w:basedOn w:val="1"/>
    <w:qFormat/>
    <w:uiPriority w:val="0"/>
    <w:pPr>
      <w:spacing w:line="578" w:lineRule="exact"/>
    </w:pPr>
    <w:rPr>
      <w:rFonts w:cs="宋体"/>
      <w:szCs w:val="20"/>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420" w:leftChars="200"/>
    </w:pPr>
    <w:rPr>
      <w:rFonts w:cs="Calibri"/>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7"/>
    <w:qFormat/>
    <w:uiPriority w:val="0"/>
    <w:pPr>
      <w:ind w:firstLine="420" w:firstLineChars="200"/>
    </w:pPr>
    <w:rPr>
      <w:rFonts w:cs="Times New Roman"/>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9"/>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p0"/>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仿宋_GB2312" w:cs="Times New Roman"/>
      <w:kern w:val="0"/>
      <w:sz w:val="32"/>
      <w:szCs w:val="32"/>
      <w:lang w:val="en-US" w:eastAsia="zh-CN" w:bidi="ar"/>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c15:sqref>
                  </c15:fullRef>
                </c:ext>
              </c:extLst>
              <c:f>Sheet1!$A$2</c:f>
              <c:strCache>
                <c:ptCount val="1"/>
                <c:pt idx="0">
                  <c:v>收支总计（万元）</c:v>
                </c:pt>
              </c:strCache>
            </c:strRef>
          </c:cat>
          <c:val>
            <c:numRef>
              <c:extLst>
                <c:ext xmlns:c15="http://schemas.microsoft.com/office/drawing/2012/chart" uri="{02D57815-91ED-43cb-92C2-25804820EDAC}">
                  <c15:fullRef>
                    <c15:sqref>Sheet1!$B$2</c15:sqref>
                  </c15:fullRef>
                </c:ext>
              </c:extLst>
              <c:f>Sheet1!$B$2</c:f>
              <c:numCache>
                <c:formatCode>General</c:formatCode>
                <c:ptCount val="1"/>
                <c:pt idx="0">
                  <c:v>603.91</c:v>
                </c:pt>
              </c:numCache>
            </c:numRef>
          </c:val>
        </c:ser>
        <c:ser>
          <c:idx val="1"/>
          <c:order val="1"/>
          <c:tx>
            <c:strRef>
              <c:f>Sheet1!$C$1</c:f>
              <c:strCache>
                <c:ptCount val="1"/>
                <c:pt idx="0">
                  <c:v>2021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c15:sqref>
                  </c15:fullRef>
                </c:ext>
              </c:extLst>
              <c:f>Sheet1!$A$2</c:f>
              <c:strCache>
                <c:ptCount val="1"/>
                <c:pt idx="0">
                  <c:v>收支总计（万元）</c:v>
                </c:pt>
              </c:strCache>
            </c:strRef>
          </c:cat>
          <c:val>
            <c:numRef>
              <c:extLst>
                <c:ext xmlns:c15="http://schemas.microsoft.com/office/drawing/2012/chart" uri="{02D57815-91ED-43cb-92C2-25804820EDAC}">
                  <c15:fullRef>
                    <c15:sqref>Sheet1!$C$2</c15:sqref>
                  </c15:fullRef>
                </c:ext>
              </c:extLst>
              <c:f>Sheet1!$C$2</c:f>
              <c:numCache>
                <c:formatCode>General</c:formatCode>
                <c:ptCount val="1"/>
                <c:pt idx="0">
                  <c:v>565.83</c:v>
                </c:pt>
              </c:numCache>
            </c:numRef>
          </c:val>
        </c:ser>
        <c:dLbls>
          <c:showLegendKey val="0"/>
          <c:showVal val="1"/>
          <c:showCatName val="0"/>
          <c:showSerName val="0"/>
          <c:showPercent val="0"/>
          <c:showBubbleSize val="0"/>
        </c:dLbls>
        <c:gapWidth val="219"/>
        <c:overlap val="-27"/>
        <c:axId val="750718895"/>
        <c:axId val="179181036"/>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c15:sqref>
                        </c15:fullRef>
                        <c15:formulaRef>
                          <c15:sqref>Sheet1!$A$2</c15:sqref>
                        </c15:formulaRef>
                      </c:ext>
                    </c:extLst>
                    <c:strCache>
                      <c:ptCount val="1"/>
                      <c:pt idx="0">
                        <c:v>收支总计（万元）</c:v>
                      </c:pt>
                    </c:strCache>
                  </c:strRef>
                </c:cat>
              </c15:ser>
            </c15:filteredBarSeries>
          </c:ext>
        </c:extLst>
      </c:barChart>
      <c:catAx>
        <c:axId val="7507188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9181036"/>
        <c:crosses val="autoZero"/>
        <c:auto val="1"/>
        <c:lblAlgn val="ctr"/>
        <c:lblOffset val="100"/>
        <c:noMultiLvlLbl val="0"/>
      </c:catAx>
      <c:valAx>
        <c:axId val="1791810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071889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金额（万元)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496.36</c:v>
                </c:pt>
                <c:pt idx="1">
                  <c:v>0.03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450.45</c:v>
                </c:pt>
                <c:pt idx="1">
                  <c:v>19.82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财政拨款收、支总计（万元）</c:v>
                </c:pt>
              </c:strCache>
            </c:strRef>
          </c:cat>
          <c:val>
            <c:numRef>
              <c:f>Sheet1!$B$2</c:f>
              <c:numCache>
                <c:formatCode>General</c:formatCode>
                <c:ptCount val="1"/>
                <c:pt idx="0">
                  <c:v>572.82</c:v>
                </c:pt>
              </c:numCache>
            </c:numRef>
          </c:val>
        </c:ser>
        <c:ser>
          <c:idx val="1"/>
          <c:order val="1"/>
          <c:tx>
            <c:strRef>
              <c:f>Sheet1!$C$1</c:f>
              <c:strCache>
                <c:ptCount val="1"/>
                <c:pt idx="0">
                  <c:v>2021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财政拨款收、支总计（万元）</c:v>
                </c:pt>
              </c:strCache>
            </c:strRef>
          </c:cat>
          <c:val>
            <c:numRef>
              <c:f>Sheet1!$C$2</c:f>
              <c:numCache>
                <c:formatCode>General</c:formatCode>
                <c:ptCount val="1"/>
                <c:pt idx="0">
                  <c:v>565.8</c:v>
                </c:pt>
              </c:numCache>
            </c:numRef>
          </c:val>
        </c:ser>
        <c:dLbls>
          <c:showLegendKey val="0"/>
          <c:showVal val="1"/>
          <c:showCatName val="0"/>
          <c:showSerName val="0"/>
          <c:showPercent val="0"/>
          <c:showBubbleSize val="0"/>
        </c:dLbls>
        <c:gapWidth val="219"/>
        <c:overlap val="-27"/>
        <c:axId val="908931176"/>
        <c:axId val="66269329"/>
      </c:barChart>
      <c:catAx>
        <c:axId val="9089311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269329"/>
        <c:crosses val="autoZero"/>
        <c:auto val="1"/>
        <c:lblAlgn val="ctr"/>
        <c:lblOffset val="100"/>
        <c:noMultiLvlLbl val="0"/>
      </c:catAx>
      <c:valAx>
        <c:axId val="662693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89311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manualLayout>
          <c:layoutTarget val="inner"/>
          <c:xMode val="edge"/>
          <c:yMode val="edge"/>
          <c:x val="0.067325"/>
          <c:y val="0.1245"/>
          <c:w val="0.905175"/>
          <c:h val="0.716566666666667"/>
        </c:manualLayout>
      </c:layout>
      <c:barChart>
        <c:barDir val="col"/>
        <c:grouping val="clustered"/>
        <c:varyColors val="0"/>
        <c:ser>
          <c:idx val="0"/>
          <c:order val="0"/>
          <c:tx>
            <c:strRef>
              <c:f>Sheet1!$B$1</c:f>
              <c:strCache>
                <c:ptCount val="1"/>
                <c:pt idx="0">
                  <c:v>2020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Sheet1!$B$2</c:f>
              <c:numCache>
                <c:formatCode>General</c:formatCode>
                <c:ptCount val="1"/>
                <c:pt idx="0">
                  <c:v>414.54</c:v>
                </c:pt>
              </c:numCache>
            </c:numRef>
          </c:val>
        </c:ser>
        <c:ser>
          <c:idx val="1"/>
          <c:order val="1"/>
          <c:tx>
            <c:strRef>
              <c:f>Sheet1!$C$1</c:f>
              <c:strCache>
                <c:ptCount val="1"/>
                <c:pt idx="0">
                  <c:v>2021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Sheet1!$C$2</c:f>
              <c:numCache>
                <c:formatCode>General</c:formatCode>
                <c:ptCount val="1"/>
                <c:pt idx="0">
                  <c:v>470.27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一般公共预算财政拨款支出(万元）</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153100289"/>
        <c:axId val="168224160"/>
      </c:barChart>
      <c:catAx>
        <c:axId val="1531002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8224160"/>
        <c:crosses val="autoZero"/>
        <c:auto val="1"/>
        <c:lblAlgn val="ctr"/>
        <c:lblOffset val="100"/>
        <c:noMultiLvlLbl val="0"/>
      </c:catAx>
      <c:valAx>
        <c:axId val="168224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3100289"/>
        <c:crosses val="autoZero"/>
        <c:crossBetween val="between"/>
      </c:valAx>
      <c:spPr>
        <a:noFill/>
        <a:ln>
          <a:noFill/>
        </a:ln>
        <a:effectLst/>
      </c:spPr>
    </c:plotArea>
    <c:legend>
      <c:legendPos val="b"/>
      <c:legendEntry>
        <c:idx val="2"/>
        <c:delete val="1"/>
      </c:legendEntry>
      <c:layout>
        <c:manualLayout>
          <c:xMode val="edge"/>
          <c:yMode val="edge"/>
          <c:x val="0.4179375"/>
          <c:y val="0.9266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金额（万元）</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Sheet1!$A$2:$A$5</c:f>
              <c:strCache>
                <c:ptCount val="4"/>
                <c:pt idx="0">
                  <c:v>一般公共服务（类）支出</c:v>
                </c:pt>
                <c:pt idx="1">
                  <c:v>社会保障和就业（类）支出</c:v>
                </c:pt>
                <c:pt idx="2">
                  <c:v>卫生健康支出</c:v>
                </c:pt>
                <c:pt idx="3">
                  <c:v>住房保障支出</c:v>
                </c:pt>
              </c:strCache>
            </c:strRef>
          </c:cat>
          <c:val>
            <c:numRef>
              <c:f>Sheet1!$B$2:$B$5</c:f>
              <c:numCache>
                <c:formatCode>General</c:formatCode>
                <c:ptCount val="4"/>
                <c:pt idx="0">
                  <c:v>385.95</c:v>
                </c:pt>
                <c:pt idx="1">
                  <c:v>32.64</c:v>
                </c:pt>
                <c:pt idx="2">
                  <c:v>16.99</c:v>
                </c:pt>
                <c:pt idx="3">
                  <c:v>34.69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12965</Words>
  <Characters>13815</Characters>
  <Lines>61</Lines>
  <Paragraphs>17</Paragraphs>
  <TotalTime>10</TotalTime>
  <ScaleCrop>false</ScaleCrop>
  <LinksUpToDate>false</LinksUpToDate>
  <CharactersWithSpaces>14181</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哗啦啦的下雨了</cp:lastModifiedBy>
  <cp:lastPrinted>2022-08-09T01:11:00Z</cp:lastPrinted>
  <dcterms:modified xsi:type="dcterms:W3CDTF">2023-02-08T09:53:09Z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71EE4C5B63CC42F888BCD11980679D2B</vt:lpwstr>
  </property>
</Properties>
</file>