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96598"/>
      <w:bookmarkStart w:id="1" w:name="_Toc15378442"/>
      <w:bookmarkStart w:id="2" w:name="_Toc15377194"/>
      <w:bookmarkStart w:id="3" w:name="_Toc15396476"/>
      <w:bookmarkStart w:id="4" w:name="_Toc15377426"/>
      <w:r>
        <w:rPr>
          <w:rFonts w:hint="eastAsia" w:ascii="方正小标宋简体" w:hAnsi="方正小标宋简体" w:eastAsia="方正小标宋简体" w:cs="方正小标宋简体"/>
          <w:sz w:val="52"/>
          <w:szCs w:val="52"/>
        </w:rPr>
        <w:t>广元市</w:t>
      </w:r>
      <w:bookmarkStart w:id="5" w:name="_Toc15306268"/>
      <w:r>
        <w:rPr>
          <w:rFonts w:hint="eastAsia" w:ascii="方正小标宋简体" w:hAnsi="方正小标宋简体" w:eastAsia="方正小标宋简体" w:cs="方正小标宋简体"/>
          <w:sz w:val="52"/>
          <w:szCs w:val="52"/>
        </w:rPr>
        <w:t>公安局交通警察支队</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算</w:t>
      </w:r>
      <w:bookmarkEnd w:id="0"/>
      <w:bookmarkEnd w:id="1"/>
      <w:bookmarkEnd w:id="2"/>
      <w:bookmarkEnd w:id="3"/>
      <w:bookmarkEnd w:id="4"/>
      <w:bookmarkEnd w:id="5"/>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1"/>
      </w:pPr>
      <w:r>
        <w:rPr>
          <w:rFonts w:hint="eastAsia"/>
        </w:rPr>
        <w:t>公开时间：2022年9月21日</w:t>
      </w:r>
    </w:p>
    <w:p/>
    <w:p>
      <w:pPr>
        <w:pStyle w:val="11"/>
        <w:adjustRightInd w:val="0"/>
        <w:snapToGrid w:val="0"/>
        <w:spacing w:before="0" w:line="560" w:lineRule="exact"/>
        <w:jc w:val="left"/>
        <w:rPr>
          <w:rFonts w:asciiTheme="majorEastAsia" w:hAnsiTheme="majorEastAsia" w:eastAsiaTheme="majorEastAsia" w:cstheme="minorBidi"/>
          <w:b/>
          <w:sz w:val="32"/>
          <w:szCs w:val="32"/>
        </w:rPr>
      </w:pPr>
      <w:r>
        <w:rPr>
          <w:rFonts w:hint="eastAsia" w:asciiTheme="majorEastAsia" w:hAnsiTheme="majorEastAsia" w:eastAsiaTheme="majorEastAsia"/>
          <w:b/>
          <w:sz w:val="32"/>
          <w:szCs w:val="32"/>
        </w:rPr>
        <w:t>第一部分部门概况…………………………………………4-7</w:t>
      </w:r>
    </w:p>
    <w:p>
      <w:pPr>
        <w:spacing w:line="560" w:lineRule="exact"/>
        <w:ind w:firstLine="640" w:firstLineChars="200"/>
        <w:rPr>
          <w:rFonts w:asciiTheme="majorEastAsia" w:hAnsiTheme="majorEastAsia" w:eastAsiaTheme="majorEastAsia"/>
          <w:b/>
          <w:sz w:val="32"/>
          <w:szCs w:val="32"/>
        </w:rPr>
      </w:pPr>
      <w:r>
        <w:rPr>
          <w:rFonts w:hint="eastAsia" w:asciiTheme="majorEastAsia" w:hAnsiTheme="majorEastAsia" w:eastAsiaTheme="majorEastAsia"/>
          <w:sz w:val="32"/>
          <w:szCs w:val="32"/>
        </w:rPr>
        <w:t>一、基本职能及主要工作……………………………4-7</w:t>
      </w:r>
    </w:p>
    <w:p>
      <w:pPr>
        <w:spacing w:line="560" w:lineRule="exact"/>
        <w:ind w:firstLine="640" w:firstLineChars="200"/>
        <w:rPr>
          <w:rFonts w:asciiTheme="majorEastAsia" w:hAnsiTheme="majorEastAsia" w:eastAsiaTheme="majorEastAsia"/>
          <w:b/>
          <w:sz w:val="32"/>
          <w:szCs w:val="32"/>
        </w:rPr>
      </w:pPr>
      <w:r>
        <w:rPr>
          <w:rFonts w:hint="eastAsia" w:asciiTheme="majorEastAsia" w:hAnsiTheme="majorEastAsia" w:eastAsiaTheme="majorEastAsia"/>
          <w:sz w:val="32"/>
          <w:szCs w:val="32"/>
        </w:rPr>
        <w:t>二、机构设置……………………………………………7</w:t>
      </w:r>
    </w:p>
    <w:p>
      <w:pPr>
        <w:spacing w:line="560" w:lineRule="exact"/>
        <w:rPr>
          <w:rFonts w:asciiTheme="majorEastAsia" w:hAnsiTheme="majorEastAsia" w:eastAsiaTheme="majorEastAsia"/>
          <w:b/>
          <w:sz w:val="32"/>
          <w:szCs w:val="32"/>
        </w:rPr>
      </w:pPr>
      <w:r>
        <w:rPr>
          <w:rFonts w:hint="eastAsia" w:asciiTheme="majorEastAsia" w:hAnsiTheme="majorEastAsia" w:eastAsiaTheme="majorEastAsia"/>
          <w:b/>
          <w:sz w:val="32"/>
          <w:szCs w:val="32"/>
        </w:rPr>
        <w:t>第二部分 2021年度部门决算情况说明…………………8-16</w:t>
      </w:r>
    </w:p>
    <w:p>
      <w:pPr>
        <w:spacing w:line="560" w:lineRule="exact"/>
        <w:ind w:left="624" w:leftChars="297"/>
        <w:rPr>
          <w:rFonts w:asciiTheme="majorEastAsia" w:hAnsiTheme="majorEastAsia" w:eastAsiaTheme="majorEastAsia"/>
          <w:sz w:val="32"/>
          <w:szCs w:val="32"/>
        </w:rPr>
      </w:pPr>
      <w:r>
        <w:rPr>
          <w:rFonts w:hint="eastAsia" w:asciiTheme="majorEastAsia" w:hAnsiTheme="majorEastAsia" w:eastAsiaTheme="majorEastAsia"/>
          <w:sz w:val="32"/>
          <w:szCs w:val="32"/>
        </w:rPr>
        <w:t>一、收入支出决算总体情况说明………………………8二、收入决算情况说明………………………………8-9三、支出决算情况说明……………………………………9四、财政拨款收入支出决算总体情况说明…………9-10五、一般公共预算财政拨款支出决算情况说明……10-12</w:t>
      </w:r>
    </w:p>
    <w:p>
      <w:p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六、一般公共预算财政拨款基本支出决算情况说明…………………………………………………………12-13           </w:t>
      </w:r>
    </w:p>
    <w:p>
      <w:p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七、“三公”经费财政拨款支出决算情况说明……13-15</w:t>
      </w:r>
    </w:p>
    <w:p>
      <w:pPr>
        <w:spacing w:line="560" w:lineRule="exact"/>
        <w:ind w:firstLine="640" w:firstLineChars="200"/>
        <w:rPr>
          <w:rFonts w:asciiTheme="majorEastAsia" w:hAnsiTheme="majorEastAsia" w:eastAsiaTheme="majorEastAsia"/>
          <w:b/>
          <w:sz w:val="32"/>
          <w:szCs w:val="32"/>
        </w:rPr>
      </w:pPr>
      <w:r>
        <w:rPr>
          <w:rFonts w:hint="eastAsia" w:asciiTheme="majorEastAsia" w:hAnsiTheme="majorEastAsia" w:eastAsiaTheme="majorEastAsia"/>
          <w:sz w:val="32"/>
          <w:szCs w:val="32"/>
        </w:rPr>
        <w:t>八、政府性基金预算支出决算情况说明………………15</w:t>
      </w:r>
    </w:p>
    <w:p>
      <w:pPr>
        <w:pStyle w:val="12"/>
        <w:adjustRightInd w:val="0"/>
        <w:snapToGrid w:val="0"/>
        <w:spacing w:line="560" w:lineRule="exact"/>
        <w:ind w:left="580" w:leftChars="276"/>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九、国有资本经营预算支出决算情况说明……………15</w:t>
      </w:r>
      <w:r>
        <w:rPr>
          <w:rStyle w:val="16"/>
          <w:rFonts w:hint="eastAsia" w:asciiTheme="majorEastAsia" w:hAnsiTheme="majorEastAsia" w:eastAsiaTheme="majorEastAsia" w:cstheme="minorEastAsia"/>
          <w:color w:val="auto"/>
          <w:sz w:val="32"/>
          <w:szCs w:val="32"/>
          <w:u w:val="none"/>
        </w:rPr>
        <w:t>十、</w:t>
      </w:r>
      <w:r>
        <w:rPr>
          <w:rFonts w:hint="eastAsia" w:asciiTheme="majorEastAsia" w:hAnsiTheme="majorEastAsia" w:eastAsiaTheme="majorEastAsia" w:cstheme="minorEastAsia"/>
          <w:sz w:val="32"/>
          <w:szCs w:val="32"/>
        </w:rPr>
        <w:t>预算绩效管理情况</w:t>
      </w:r>
      <w:r>
        <w:rPr>
          <w:rFonts w:hint="eastAsia" w:asciiTheme="majorEastAsia" w:hAnsiTheme="majorEastAsia" w:eastAsiaTheme="majorEastAsia" w:cstheme="minorEastAsia"/>
          <w:sz w:val="32"/>
          <w:szCs w:val="32"/>
        </w:rPr>
        <w:tab/>
      </w:r>
      <w:r>
        <w:rPr>
          <w:rFonts w:hint="eastAsia" w:asciiTheme="majorEastAsia" w:hAnsiTheme="majorEastAsia" w:eastAsiaTheme="majorEastAsia" w:cstheme="minorEastAsia"/>
          <w:sz w:val="32"/>
          <w:szCs w:val="32"/>
        </w:rPr>
        <w:t>………………………………15</w:t>
      </w:r>
    </w:p>
    <w:p>
      <w:pPr>
        <w:adjustRightInd w:val="0"/>
        <w:snapToGrid w:val="0"/>
        <w:spacing w:line="560" w:lineRule="exact"/>
        <w:ind w:firstLine="560" w:firstLineChars="175"/>
        <w:jc w:val="left"/>
        <w:rPr>
          <w:rFonts w:asciiTheme="majorEastAsia" w:hAnsiTheme="majorEastAsia" w:eastAsiaTheme="majorEastAsia"/>
          <w:sz w:val="32"/>
          <w:szCs w:val="32"/>
        </w:rPr>
      </w:pPr>
      <w:r>
        <w:rPr>
          <w:rFonts w:hint="eastAsia" w:asciiTheme="majorEastAsia" w:hAnsiTheme="majorEastAsia" w:eastAsiaTheme="majorEastAsia" w:cstheme="minorEastAsia"/>
          <w:sz w:val="32"/>
          <w:szCs w:val="32"/>
        </w:rPr>
        <w:t>十一、其他重要事项的情况说明………………………16</w:t>
      </w:r>
    </w:p>
    <w:p>
      <w:pPr>
        <w:pStyle w:val="11"/>
        <w:adjustRightInd w:val="0"/>
        <w:snapToGrid w:val="0"/>
        <w:spacing w:before="0" w:line="560" w:lineRule="exact"/>
        <w:jc w:val="left"/>
        <w:rPr>
          <w:rFonts w:asciiTheme="majorEastAsia" w:hAnsiTheme="majorEastAsia" w:eastAsiaTheme="majorEastAsia" w:cstheme="minorBidi"/>
          <w:b/>
          <w:sz w:val="32"/>
          <w:szCs w:val="32"/>
        </w:rPr>
      </w:pPr>
      <w:r>
        <w:rPr>
          <w:rFonts w:hint="eastAsia" w:asciiTheme="majorEastAsia" w:hAnsiTheme="majorEastAsia" w:eastAsiaTheme="majorEastAsia"/>
          <w:b/>
          <w:sz w:val="32"/>
          <w:szCs w:val="32"/>
        </w:rPr>
        <w:t>第三部分名词解释………………………………………17-18</w:t>
      </w:r>
    </w:p>
    <w:p>
      <w:pPr>
        <w:pStyle w:val="11"/>
        <w:adjustRightInd w:val="0"/>
        <w:snapToGrid w:val="0"/>
        <w:spacing w:before="0" w:line="560" w:lineRule="exact"/>
        <w:jc w:val="left"/>
        <w:rPr>
          <w:rFonts w:asciiTheme="majorEastAsia" w:hAnsiTheme="majorEastAsia" w:eastAsiaTheme="majorEastAsia" w:cstheme="minorBidi"/>
          <w:b/>
          <w:sz w:val="32"/>
          <w:szCs w:val="32"/>
        </w:rPr>
      </w:pPr>
      <w:r>
        <w:rPr>
          <w:rFonts w:hint="eastAsia" w:asciiTheme="majorEastAsia" w:hAnsiTheme="majorEastAsia" w:eastAsiaTheme="majorEastAsia"/>
          <w:b/>
          <w:sz w:val="32"/>
          <w:szCs w:val="32"/>
        </w:rPr>
        <w:t>第四部分附件……………………………………………19-52</w:t>
      </w:r>
    </w:p>
    <w:p>
      <w:pPr>
        <w:pStyle w:val="11"/>
        <w:adjustRightInd w:val="0"/>
        <w:snapToGrid w:val="0"/>
        <w:spacing w:before="0" w:line="560" w:lineRule="exact"/>
        <w:jc w:val="left"/>
        <w:rPr>
          <w:rFonts w:asciiTheme="majorEastAsia" w:hAnsiTheme="majorEastAsia" w:eastAsiaTheme="majorEastAsia" w:cstheme="minorBidi"/>
          <w:b/>
          <w:sz w:val="32"/>
          <w:szCs w:val="32"/>
        </w:rPr>
      </w:pPr>
      <w:r>
        <w:rPr>
          <w:rFonts w:hint="eastAsia" w:asciiTheme="majorEastAsia" w:hAnsiTheme="majorEastAsia" w:eastAsiaTheme="majorEastAsia"/>
          <w:b/>
          <w:sz w:val="32"/>
          <w:szCs w:val="32"/>
        </w:rPr>
        <w:t>第五部分附表………………………………………………53</w:t>
      </w:r>
    </w:p>
    <w:p>
      <w:pPr>
        <w:pStyle w:val="12"/>
        <w:adjustRightInd w:val="0"/>
        <w:snapToGrid w:val="0"/>
        <w:spacing w:line="560" w:lineRule="exact"/>
        <w:jc w:val="left"/>
        <w:rPr>
          <w:rFonts w:asciiTheme="majorEastAsia" w:hAnsiTheme="majorEastAsia" w:eastAsiaTheme="majorEastAsia" w:cstheme="minorBidi"/>
          <w:sz w:val="32"/>
          <w:szCs w:val="32"/>
        </w:rPr>
      </w:pPr>
      <w:r>
        <w:rPr>
          <w:rFonts w:hint="eastAsia" w:asciiTheme="majorEastAsia" w:hAnsiTheme="majorEastAsia" w:eastAsiaTheme="majorEastAsia"/>
          <w:sz w:val="32"/>
          <w:szCs w:val="32"/>
        </w:rPr>
        <w:t>一、收入支出决算总表……………………………………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二、收入决算表…………………………………………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三、支出决算表…………………………………………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四、财政拨款收入支出决算总表…………………………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五、财政拨款支出决算明细表………………………………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六、一般公共预算财政拨款支出决算表……………………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七、一般公共预算财政拨款支出决算明细表………………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八、一般公共预算财政拨款基本支出决算表………………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九、一般公共预算财政拨款项目支出决算表………………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十、一般公共预算财政拨款“三公”经费支出决算表……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十一、政府性基金预算财政拨款收入支出决算表…………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十二、政府性基金预算财政拨款“三公”经费支出决算表…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十三、国有资本经营预算财政拨款收入支出决算表………</w:t>
      </w:r>
    </w:p>
    <w:p>
      <w:pPr>
        <w:pStyle w:val="12"/>
        <w:adjustRightInd w:val="0"/>
        <w:snapToGrid w:val="0"/>
        <w:spacing w:line="560" w:lineRule="exact"/>
        <w:jc w:val="left"/>
        <w:rPr>
          <w:rFonts w:asciiTheme="majorEastAsia" w:hAnsiTheme="majorEastAsia" w:eastAsiaTheme="majorEastAsia" w:cstheme="minorEastAsia"/>
          <w:sz w:val="32"/>
          <w:szCs w:val="32"/>
        </w:rPr>
      </w:pPr>
      <w:r>
        <w:rPr>
          <w:rFonts w:hint="eastAsia" w:asciiTheme="majorEastAsia" w:hAnsiTheme="majorEastAsia" w:eastAsiaTheme="majorEastAsia" w:cstheme="minorEastAsia"/>
          <w:sz w:val="32"/>
          <w:szCs w:val="32"/>
        </w:rPr>
        <w:t>十四、国有资本经营预算财政拨款支出决算表……………</w:t>
      </w:r>
    </w:p>
    <w:p>
      <w:pPr>
        <w:spacing w:line="560" w:lineRule="exact"/>
        <w:jc w:val="center"/>
        <w:rPr>
          <w:rStyle w:val="17"/>
          <w:rFonts w:ascii="黑体" w:hAnsi="黑体" w:eastAsia="黑体"/>
          <w:b w:val="0"/>
        </w:rPr>
      </w:pPr>
      <w:bookmarkStart w:id="6" w:name="_Toc15396599"/>
      <w:bookmarkStart w:id="7" w:name="_Toc15377196"/>
      <w:r>
        <w:rPr>
          <w:rFonts w:ascii="仿宋" w:hAnsi="仿宋" w:eastAsia="仿宋"/>
          <w:sz w:val="24"/>
        </w:rPr>
        <w:br w:type="page"/>
      </w:r>
      <w:r>
        <w:rPr>
          <w:rFonts w:hint="eastAsia" w:ascii="黑体" w:eastAsia="黑体"/>
          <w:sz w:val="44"/>
          <w:szCs w:val="44"/>
        </w:rPr>
        <w:t>第一部分</w:t>
      </w:r>
      <w:r>
        <w:rPr>
          <w:rStyle w:val="17"/>
          <w:rFonts w:hint="eastAsia" w:ascii="黑体" w:hAnsi="黑体" w:eastAsia="黑体"/>
          <w:b w:val="0"/>
        </w:rPr>
        <w:t>部门概况</w:t>
      </w:r>
      <w:bookmarkEnd w:id="6"/>
      <w:bookmarkEnd w:id="7"/>
      <w:bookmarkStart w:id="8" w:name="_Toc15396600"/>
      <w:bookmarkStart w:id="9" w:name="_Toc15377197"/>
    </w:p>
    <w:p>
      <w:pPr>
        <w:rPr>
          <w:rFonts w:ascii="黑体" w:eastAsia="黑体"/>
          <w:sz w:val="32"/>
          <w:szCs w:val="32"/>
        </w:rPr>
      </w:pPr>
    </w:p>
    <w:p>
      <w:pPr>
        <w:ind w:firstLine="640" w:firstLineChars="200"/>
        <w:rPr>
          <w:rStyle w:val="18"/>
          <w:rFonts w:ascii="黑体" w:hAnsi="黑体" w:eastAsia="黑体"/>
          <w:b w:val="0"/>
        </w:rPr>
      </w:pPr>
      <w:r>
        <w:rPr>
          <w:rFonts w:hint="eastAsia" w:ascii="黑体" w:eastAsia="黑体"/>
          <w:sz w:val="32"/>
          <w:szCs w:val="32"/>
        </w:rPr>
        <w:t>一、基</w:t>
      </w:r>
      <w:r>
        <w:rPr>
          <w:rStyle w:val="18"/>
          <w:rFonts w:hint="eastAsia" w:ascii="黑体" w:hAnsi="黑体" w:eastAsia="黑体"/>
          <w:b w:val="0"/>
        </w:rPr>
        <w:t>本职能及主要工作</w:t>
      </w:r>
      <w:bookmarkEnd w:id="8"/>
      <w:bookmarkEnd w:id="9"/>
      <w:bookmarkStart w:id="10" w:name="_Toc15377198"/>
      <w:bookmarkStart w:id="11" w:name="_Toc15378445"/>
    </w:p>
    <w:p>
      <w:pPr>
        <w:ind w:firstLine="640" w:firstLineChars="200"/>
        <w:rPr>
          <w:rFonts w:ascii="黑体" w:hAnsi="仿宋" w:eastAsia="黑体"/>
          <w:bCs/>
          <w:kern w:val="44"/>
          <w:sz w:val="32"/>
          <w:szCs w:val="32"/>
        </w:rPr>
      </w:pPr>
      <w:r>
        <w:rPr>
          <w:rFonts w:hint="eastAsia" w:ascii="仿宋" w:hAnsi="仿宋" w:eastAsia="仿宋"/>
          <w:bCs/>
          <w:sz w:val="32"/>
          <w:szCs w:val="32"/>
        </w:rPr>
        <w:t>（一）主要职能。</w:t>
      </w:r>
      <w:bookmarkEnd w:id="10"/>
      <w:bookmarkEnd w:id="11"/>
      <w:r>
        <w:rPr>
          <w:rFonts w:hint="eastAsia" w:ascii="仿宋_GB2312" w:eastAsia="仿宋_GB2312"/>
          <w:sz w:val="32"/>
          <w:szCs w:val="32"/>
        </w:rPr>
        <w:t>一是负责全市20031公里道路（其中国道684公里、省道1337公里、县道3017公里、乡道2445公里、村道12155公里、专用道393公里）交通安全管理，纠正交通违章，维护交通秩序，处理突发事件，配合开展警卫工作。二是负责全市机动车及非机动车注册登记、核发牌证、过户、转籍等工作；三是负责全市机动车驾驶人考试及驾驶证的核发、补发等工作；四是负责交通事故责任认定、交通安全宣传以及参与道路交通管理工作规划。</w:t>
      </w:r>
    </w:p>
    <w:p>
      <w:pPr>
        <w:spacing w:line="560" w:lineRule="exact"/>
        <w:ind w:firstLine="640" w:firstLineChars="200"/>
        <w:rPr>
          <w:rFonts w:ascii="楷体_GB2312" w:eastAsia="楷体_GB2312"/>
          <w:b/>
          <w:sz w:val="32"/>
          <w:szCs w:val="32"/>
        </w:rPr>
      </w:pPr>
      <w:bookmarkStart w:id="12" w:name="_Toc15378446"/>
      <w:bookmarkStart w:id="13"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2"/>
      <w:bookmarkEnd w:id="13"/>
    </w:p>
    <w:p>
      <w:pPr>
        <w:spacing w:line="640" w:lineRule="exact"/>
        <w:ind w:firstLine="640" w:firstLineChars="200"/>
        <w:rPr>
          <w:rFonts w:ascii="仿宋_GB2312" w:eastAsia="仿宋_GB2312"/>
          <w:sz w:val="32"/>
        </w:rPr>
      </w:pPr>
      <w:r>
        <w:rPr>
          <w:rFonts w:hint="eastAsia" w:ascii="仿宋_GB2312" w:eastAsia="仿宋_GB2312"/>
          <w:sz w:val="32"/>
          <w:szCs w:val="32"/>
        </w:rPr>
        <w:t>2021年，全市公安交警部门紧紧围绕“防风险、保安全、护发展”主线，全力开展“护旗”系列专项行动和事故预防“减量控大”工作，有力维护了全市道路交通安全形势持续稳定，为建党100周年创造了安全有序、和谐文明的道路交通环境。</w:t>
      </w:r>
      <w:r>
        <w:rPr>
          <w:rFonts w:hint="eastAsia" w:ascii="仿宋_GB2312" w:eastAsia="仿宋_GB2312"/>
          <w:b/>
          <w:sz w:val="32"/>
          <w:szCs w:val="32"/>
        </w:rPr>
        <w:t>一是交通安保能力明显提高。</w:t>
      </w:r>
      <w:r>
        <w:rPr>
          <w:rFonts w:hint="eastAsia" w:ascii="仿宋_GB2312" w:hAnsi="仿宋" w:eastAsia="仿宋_GB2312"/>
          <w:sz w:val="32"/>
        </w:rPr>
        <w:t>2021年，完成一级警务任务6起，圆满完成李克强总理来广视察期间和春节、清明、国庆等重大活动、敏感节点的交通安保任务，实现了建党100周年期间“六个坚决防止、三个确保”工作目标。</w:t>
      </w:r>
      <w:r>
        <w:rPr>
          <w:rFonts w:hint="eastAsia" w:ascii="仿宋_GB2312" w:eastAsia="仿宋_GB2312"/>
          <w:sz w:val="32"/>
        </w:rPr>
        <w:t>成立安保维稳工作领导小组，召开4次总支会、9次行政办公会和17次视频动员部署会，研究制定总方案及5个子方案，细化责任分工。按照临战聚力、实战发力、决战决胜的具体部署开展攻坚，明确战时勤务6项重点工作，执行战时勤务5大机制，启动三级勤务7次、二级勤务6次、一级勤务5次。支队组成8个督导组开展督导督战，及时发现隐患短板，研究改进措施，确保各项措施落地落细。</w:t>
      </w:r>
      <w:r>
        <w:rPr>
          <w:rFonts w:hint="eastAsia" w:ascii="仿宋_GB2312" w:eastAsia="仿宋_GB2312"/>
          <w:b/>
          <w:sz w:val="32"/>
          <w:szCs w:val="32"/>
        </w:rPr>
        <w:t>二是交通形势明显好转。</w:t>
      </w:r>
      <w:r>
        <w:rPr>
          <w:rFonts w:hint="eastAsia" w:ascii="仿宋_GB2312" w:hAnsi="宋体" w:eastAsia="仿宋_GB2312" w:cs="宋体"/>
          <w:kern w:val="0"/>
          <w:sz w:val="32"/>
          <w:szCs w:val="32"/>
        </w:rPr>
        <w:t>借力政府综合治理平台，主动作为、合力攻坚，全市道路交通安全突出问题得到有效整改，</w:t>
      </w:r>
      <w:r>
        <w:rPr>
          <w:rFonts w:hint="eastAsia" w:ascii="仿宋_GB2312" w:eastAsia="仿宋_GB2312"/>
          <w:sz w:val="32"/>
          <w:szCs w:val="32"/>
        </w:rPr>
        <w:t>道路交通安全形势持续平稳，</w:t>
      </w:r>
      <w:r>
        <w:rPr>
          <w:rFonts w:hint="eastAsia" w:ascii="仿宋_GB2312" w:hAnsi="宋体" w:eastAsia="仿宋_GB2312"/>
          <w:sz w:val="32"/>
        </w:rPr>
        <w:t>事故死亡人数同比大幅下降11.8%。</w:t>
      </w:r>
      <w:r>
        <w:rPr>
          <w:rFonts w:hint="eastAsia" w:ascii="仿宋_GB2312" w:eastAsia="仿宋_GB2312"/>
          <w:sz w:val="32"/>
        </w:rPr>
        <w:t>推动应用道路交通安全风险隐患“四色”预警记分管理办法，全面落实约谈、督导、考核工作，层层压实属地管理责任。全年，约谈4个县区政府和1个市级部门，挂牌整治事故多发路段7处，下发整改通知书163份，消除源头安全隐患。常态开展国省道交通违法专项整治行动、周末夜查统一行动。设置乡镇交管办141个，劝导站1415个，交管员465人，劝导员1422人。充分发挥农村综治工作“网格员”接触面广、消息灵通的优势，创新探索“网格员参与交通管理”新模式，深化农村交通安全固本强基攻坚行动。</w:t>
      </w:r>
      <w:r>
        <w:rPr>
          <w:rFonts w:hint="eastAsia" w:ascii="仿宋_GB2312" w:eastAsia="仿宋_GB2312"/>
          <w:b/>
          <w:sz w:val="32"/>
          <w:szCs w:val="32"/>
        </w:rPr>
        <w:t>三是城区交通秩序明显改善。</w:t>
      </w:r>
      <w:r>
        <w:rPr>
          <w:rFonts w:hint="eastAsia" w:ascii="仿宋_GB2312" w:eastAsia="仿宋_GB2312"/>
          <w:sz w:val="32"/>
        </w:rPr>
        <w:t>以打好市城区“缓堵保畅”三年攻坚战为契机，综合施策，推进实施“五大行动”和“五大工程”，逐步改善城市交通拥堵难题。推动实施《道路交通建设项目交通安全设施建设“三同时”实施细则》《广元市城市建设项目交通影响评价管理办法》。同时，征集反馈交通管理意见建议680余条，召开专题协调会36次，联合开展社会文明交通行动100余场次。推动完成利州西路等18条道路“微整形”项目，整改影响交通通行的广告、绿化等道路设施500余处，完善人行盲道1800余米，新增停车泊位3300余个，增设自动抓拍系统2处。实行支队领导站早晚高峰制度，调整货运车、危化品运输车等车辆通行组织方案，优化公交线网，推行货车入城通行码（证）网上扫码办理。会同城管开展联合执法、勤务同步，严管重罚乱停乱放，清理整顿“马路市场”、占道经营以及停车设施挪用、占用等问题。</w:t>
      </w:r>
      <w:r>
        <w:rPr>
          <w:rFonts w:hint="eastAsia" w:ascii="仿宋_GB2312" w:eastAsia="仿宋_GB2312"/>
          <w:b/>
          <w:sz w:val="32"/>
          <w:szCs w:val="32"/>
        </w:rPr>
        <w:t>四是服务发展效应明显增强。</w:t>
      </w:r>
      <w:r>
        <w:rPr>
          <w:rFonts w:hint="eastAsia" w:ascii="仿宋_GB2312" w:eastAsia="仿宋_GB2312"/>
          <w:sz w:val="32"/>
        </w:rPr>
        <w:t>全市公安交警部门认真落实“我为群众办实事”实践活动，全力营造良好的营商环境，提升社会各界的满意度。下放45项业务，做到“应放尽放”，助推了12家机动车检测公司、19 家驾驶培训机构、120余家汽车销售商等汽车产业链发展。推动建成交管服务网点152家，取消7类需要群众提交的材料，实现县(区)主要中心场镇有2-3个代办点，城区服务半径在2公里内，构建了就近办、快捷办的格局。实施《公安交管服务群众便民措施》，开展驾驶证考试预约、上门接车年检等专属服务，推行“首违免罚”等惠民举措。共为群众办理电子驾照15万本，对5.3万起违法情节轻微交通违法行为不予处罚，对510台民生运输车辆取消办理入城证，“首违免罚”数达1.2万余次，“爱心助考”服务考生3.7万余人，服务专场驾驶证考生3300余人次。</w:t>
      </w:r>
      <w:bookmarkStart w:id="14" w:name="_Toc15396601"/>
      <w:bookmarkStart w:id="15" w:name="_Toc15377200"/>
    </w:p>
    <w:p>
      <w:pPr>
        <w:spacing w:line="640" w:lineRule="exact"/>
        <w:ind w:firstLine="640" w:firstLineChars="200"/>
        <w:rPr>
          <w:rStyle w:val="18"/>
          <w:rFonts w:ascii="仿宋_GB2312" w:hAnsi="Times New Roman" w:eastAsia="仿宋_GB2312" w:cs="Times New Roman"/>
          <w:b w:val="0"/>
          <w:bCs w:val="0"/>
        </w:rPr>
      </w:pPr>
      <w:r>
        <w:rPr>
          <w:rFonts w:hint="eastAsia" w:ascii="黑体" w:eastAsia="黑体"/>
          <w:sz w:val="32"/>
          <w:szCs w:val="32"/>
        </w:rPr>
        <w:t>二、</w:t>
      </w:r>
      <w:r>
        <w:rPr>
          <w:rFonts w:hint="eastAsia" w:ascii="黑体" w:hAnsi="黑体" w:eastAsia="黑体"/>
          <w:sz w:val="32"/>
          <w:szCs w:val="32"/>
        </w:rPr>
        <w:t>机</w:t>
      </w:r>
      <w:r>
        <w:rPr>
          <w:rStyle w:val="18"/>
          <w:rFonts w:hint="eastAsia" w:ascii="黑体" w:hAnsi="黑体" w:eastAsia="黑体"/>
          <w:b w:val="0"/>
        </w:rPr>
        <w:t>构设置</w:t>
      </w:r>
      <w:bookmarkEnd w:id="14"/>
      <w:bookmarkEnd w:id="15"/>
    </w:p>
    <w:p>
      <w:pPr>
        <w:ind w:firstLine="800" w:firstLineChars="250"/>
        <w:rPr>
          <w:rFonts w:ascii="仿宋_GB2312" w:eastAsia="仿宋_GB2312"/>
          <w:sz w:val="32"/>
          <w:szCs w:val="32"/>
        </w:rPr>
      </w:pPr>
      <w:r>
        <w:rPr>
          <w:rFonts w:hint="eastAsia" w:ascii="仿宋_GB2312" w:eastAsia="仿宋_GB2312"/>
          <w:sz w:val="32"/>
          <w:szCs w:val="32"/>
        </w:rPr>
        <w:t>交警支队下属二级预算单位0个，下设交警一大队、二大队、三大队、四大队、特勤大队和办公室、政工科、事故科、秩序科、宣法科、指挥中心、车管所、非机所等13个正科级单位；业务指导和监督苍溪、剑阁、旺苍、青川、元坝、朝天六个县区交警大队，本年机构情况无变化</w:t>
      </w:r>
      <w:bookmarkStart w:id="16" w:name="_Toc15396602"/>
      <w:bookmarkStart w:id="17" w:name="_Toc15377204"/>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center"/>
        <w:rPr>
          <w:rStyle w:val="17"/>
          <w:rFonts w:ascii="仿宋" w:hAnsi="仿宋" w:eastAsia="仿宋"/>
          <w:b w:val="0"/>
          <w:bCs w:val="0"/>
          <w:kern w:val="0"/>
        </w:rPr>
      </w:pPr>
      <w:r>
        <w:rPr>
          <w:rFonts w:hint="eastAsia" w:ascii="黑体" w:hAnsi="黑体" w:eastAsia="黑体"/>
          <w:sz w:val="44"/>
          <w:szCs w:val="44"/>
        </w:rPr>
        <w:t>第二部分 2021年度</w:t>
      </w:r>
      <w:r>
        <w:rPr>
          <w:rStyle w:val="17"/>
          <w:rFonts w:hint="eastAsia" w:ascii="黑体" w:hAnsi="黑体" w:eastAsia="黑体"/>
          <w:b w:val="0"/>
        </w:rPr>
        <w:t>部门决算情况说明</w:t>
      </w:r>
      <w:bookmarkEnd w:id="16"/>
      <w:bookmarkEnd w:id="17"/>
    </w:p>
    <w:p>
      <w:pPr>
        <w:spacing w:line="600" w:lineRule="exact"/>
        <w:ind w:firstLine="640" w:firstLineChars="200"/>
        <w:outlineLvl w:val="1"/>
        <w:rPr>
          <w:rFonts w:ascii="黑体" w:eastAsia="黑体"/>
          <w:sz w:val="32"/>
          <w:szCs w:val="32"/>
        </w:rPr>
      </w:pPr>
      <w:bookmarkStart w:id="18" w:name="_Toc15396603"/>
      <w:bookmarkStart w:id="19" w:name="_Toc15377205"/>
    </w:p>
    <w:p>
      <w:pPr>
        <w:spacing w:line="600" w:lineRule="exact"/>
        <w:ind w:firstLine="640" w:firstLineChars="200"/>
        <w:outlineLvl w:val="1"/>
        <w:rPr>
          <w:rStyle w:val="18"/>
          <w:rFonts w:ascii="黑体" w:hAnsi="黑体" w:eastAsia="黑体"/>
          <w:b w:val="0"/>
        </w:rPr>
      </w:pPr>
      <w:r>
        <w:rPr>
          <w:rFonts w:hint="eastAsia" w:ascii="黑体" w:eastAsia="黑体"/>
          <w:sz w:val="32"/>
          <w:szCs w:val="32"/>
        </w:rPr>
        <w:t>一、</w:t>
      </w:r>
      <w:r>
        <w:rPr>
          <w:rFonts w:hint="eastAsia" w:ascii="黑体" w:hAnsi="黑体" w:eastAsia="黑体"/>
          <w:sz w:val="32"/>
          <w:szCs w:val="32"/>
        </w:rPr>
        <w:t>收</w:t>
      </w:r>
      <w:r>
        <w:rPr>
          <w:rStyle w:val="18"/>
          <w:rFonts w:hint="eastAsia" w:ascii="黑体" w:hAnsi="黑体" w:eastAsia="黑体"/>
          <w:b w:val="0"/>
        </w:rPr>
        <w:t>入支出决算总体情况说明</w:t>
      </w:r>
      <w:bookmarkEnd w:id="18"/>
      <w:bookmarkEnd w:id="19"/>
    </w:p>
    <w:p>
      <w:pPr>
        <w:spacing w:line="560" w:lineRule="exact"/>
        <w:ind w:firstLine="680" w:firstLineChars="200"/>
        <w:rPr>
          <w:rFonts w:ascii="仿宋_GB2312" w:eastAsia="仿宋_GB2312"/>
          <w:sz w:val="32"/>
          <w:szCs w:val="32"/>
        </w:rPr>
      </w:pPr>
      <w:r>
        <w:rPr>
          <w:rFonts w:hint="eastAsia" w:ascii="仿宋_GB2312" w:eastAsia="仿宋_GB2312"/>
          <w:spacing w:val="10"/>
          <w:sz w:val="32"/>
          <w:szCs w:val="32"/>
        </w:rPr>
        <w:t>2021年收、支总计9258.24万元，与2020年相比，收、支总计增加486.37万元，增长了5.54%。</w:t>
      </w:r>
      <w:r>
        <w:rPr>
          <w:rFonts w:hint="eastAsia" w:ascii="仿宋_GB2312" w:eastAsia="仿宋_GB2312"/>
          <w:sz w:val="32"/>
          <w:szCs w:val="32"/>
        </w:rPr>
        <w:t>主要原因是：一是协警员保障标准从2020年的人均3.8万元提高到人均4.5万元；二是2021年年终奖提标，工资福利支出高于2020年；三是新进民警8人，人员经费增加。</w:t>
      </w:r>
    </w:p>
    <w:p>
      <w:pPr>
        <w:pStyle w:val="2"/>
        <w:spacing w:before="93"/>
      </w:pPr>
      <w:r>
        <w:drawing>
          <wp:inline distT="0" distB="0" distL="0" distR="0">
            <wp:extent cx="5751830" cy="2820670"/>
            <wp:effectExtent l="19050" t="0" r="20128"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（图1：收、支决算总计变动情况图）</w:t>
      </w:r>
    </w:p>
    <w:p>
      <w:pPr>
        <w:ind w:firstLine="640" w:firstLineChars="200"/>
        <w:rPr>
          <w:rStyle w:val="18"/>
          <w:rFonts w:ascii="黑体" w:hAnsi="黑体" w:eastAsia="黑体"/>
          <w:b w:val="0"/>
        </w:rPr>
      </w:pPr>
      <w:bookmarkStart w:id="20" w:name="_Toc15396604"/>
      <w:bookmarkStart w:id="21" w:name="_Toc15377206"/>
      <w:r>
        <w:rPr>
          <w:rFonts w:hint="eastAsia" w:ascii="黑体" w:eastAsia="黑体"/>
          <w:sz w:val="32"/>
          <w:szCs w:val="32"/>
        </w:rPr>
        <w:t>二、收</w:t>
      </w:r>
      <w:r>
        <w:rPr>
          <w:rStyle w:val="18"/>
          <w:rFonts w:hint="eastAsia" w:ascii="黑体" w:hAnsi="黑体" w:eastAsia="黑体"/>
          <w:b w:val="0"/>
        </w:rPr>
        <w:t>入决算情况说明</w:t>
      </w:r>
      <w:bookmarkEnd w:id="20"/>
      <w:bookmarkEnd w:id="21"/>
    </w:p>
    <w:p>
      <w:pPr>
        <w:spacing w:line="600" w:lineRule="exact"/>
        <w:ind w:firstLine="640" w:firstLineChars="200"/>
        <w:outlineLvl w:val="1"/>
        <w:rPr>
          <w:rFonts w:ascii="黑体" w:hAnsi="黑体" w:eastAsia="黑体" w:cstheme="majorBidi"/>
          <w:bCs/>
          <w:sz w:val="32"/>
          <w:szCs w:val="32"/>
        </w:rPr>
      </w:pPr>
      <w:r>
        <w:rPr>
          <w:rFonts w:hint="eastAsia" w:ascii="仿宋_GB2312" w:hAnsi="仿宋" w:eastAsia="仿宋_GB2312"/>
          <w:sz w:val="32"/>
          <w:szCs w:val="32"/>
        </w:rPr>
        <w:t>2021年本年收入合计8788.66万元，其中：一般公共预算财政拨款收入8472.95万元，占96.41%，政府性基金预算财政拨款收入300.00万元，占3.41%，其他收入15.71万元，占0.18%。</w:t>
      </w:r>
    </w:p>
    <w:p>
      <w:pPr>
        <w:pStyle w:val="2"/>
        <w:spacing w:before="93"/>
      </w:pPr>
    </w:p>
    <w:p>
      <w:pPr>
        <w:pStyle w:val="2"/>
        <w:spacing w:before="93"/>
      </w:pPr>
      <w:r>
        <w:rPr>
          <w:rFonts w:hint="eastAsia"/>
        </w:rPr>
        <w:drawing>
          <wp:inline distT="0" distB="0" distL="0" distR="0">
            <wp:extent cx="5565140" cy="2397760"/>
            <wp:effectExtent l="19050" t="0" r="16126" b="2156"/>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left" w:pos="6494"/>
        </w:tabs>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（图2：收入决算结构图）</w:t>
      </w:r>
      <w:r>
        <w:rPr>
          <w:rFonts w:hint="eastAsia" w:ascii="仿宋_GB2312" w:hAnsi="仿宋" w:eastAsia="仿宋_GB2312"/>
          <w:sz w:val="32"/>
          <w:szCs w:val="32"/>
        </w:rPr>
        <w:tab/>
      </w:r>
    </w:p>
    <w:p>
      <w:pPr>
        <w:ind w:firstLine="640" w:firstLineChars="200"/>
        <w:rPr>
          <w:rStyle w:val="18"/>
          <w:rFonts w:ascii="黑体" w:hAnsi="黑体" w:eastAsia="黑体"/>
          <w:b w:val="0"/>
        </w:rPr>
      </w:pPr>
      <w:bookmarkStart w:id="22" w:name="_Toc15396605"/>
      <w:bookmarkStart w:id="23" w:name="_Toc15377207"/>
      <w:r>
        <w:rPr>
          <w:rFonts w:hint="eastAsia" w:ascii="黑体" w:eastAsia="黑体"/>
          <w:sz w:val="32"/>
          <w:szCs w:val="32"/>
        </w:rPr>
        <w:t>三、支</w:t>
      </w:r>
      <w:r>
        <w:rPr>
          <w:rStyle w:val="18"/>
          <w:rFonts w:hint="eastAsia" w:ascii="黑体" w:hAnsi="黑体" w:eastAsia="黑体"/>
          <w:b w:val="0"/>
        </w:rPr>
        <w:t>出决算情况说明</w:t>
      </w:r>
      <w:bookmarkEnd w:id="22"/>
      <w:bookmarkEnd w:id="23"/>
    </w:p>
    <w:p>
      <w:pPr>
        <w:ind w:firstLine="640" w:firstLineChars="200"/>
        <w:rPr>
          <w:rFonts w:ascii="仿宋_GB2312" w:hAnsi="仿宋" w:eastAsia="仿宋_GB2312"/>
          <w:sz w:val="32"/>
          <w:szCs w:val="32"/>
        </w:rPr>
      </w:pPr>
      <w:r>
        <w:rPr>
          <w:rFonts w:hint="eastAsia" w:ascii="仿宋_GB2312" w:hAnsi="仿宋" w:eastAsia="仿宋_GB2312"/>
          <w:sz w:val="32"/>
          <w:szCs w:val="32"/>
        </w:rPr>
        <w:t>2021年本年支出合计9055.75万元，其中：基本支出7437.09万元，占82.13%；项目支出1618.66万元，占17.87%。</w:t>
      </w:r>
    </w:p>
    <w:p>
      <w:pPr>
        <w:pStyle w:val="2"/>
        <w:spacing w:before="93"/>
      </w:pPr>
      <w:r>
        <w:rPr>
          <w:rFonts w:hint="eastAsia"/>
        </w:rPr>
        <w:drawing>
          <wp:inline distT="0" distB="0" distL="0" distR="0">
            <wp:extent cx="5670550" cy="2328545"/>
            <wp:effectExtent l="19050" t="0" r="25112"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（图3：支出决算结构图）</w:t>
      </w:r>
    </w:p>
    <w:p>
      <w:pPr>
        <w:spacing w:line="600" w:lineRule="exact"/>
        <w:ind w:firstLine="640" w:firstLineChars="200"/>
        <w:outlineLvl w:val="1"/>
        <w:rPr>
          <w:rStyle w:val="1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24"/>
      <w:bookmarkEnd w:id="25"/>
    </w:p>
    <w:p>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2021年财政拨款收、支总计9242.53万元，与2020年相比，财政拨款收、支总计增加595.98万元，增长了6.89%，</w:t>
      </w:r>
      <w:r>
        <w:rPr>
          <w:rFonts w:hint="eastAsia" w:ascii="仿宋_GB2312" w:eastAsia="仿宋_GB2312"/>
          <w:sz w:val="32"/>
          <w:szCs w:val="32"/>
        </w:rPr>
        <w:t>主要变动原因是：一是协警员保障标准从2020年的人均3.8万元提高到人均4.5万元；二是2021年年终奖提标，工资福利支出高于2020年；三是新进民警8人，人员经费增加。</w:t>
      </w:r>
    </w:p>
    <w:p>
      <w:pPr>
        <w:pStyle w:val="2"/>
        <w:spacing w:before="93"/>
      </w:pPr>
      <w:r>
        <w:drawing>
          <wp:inline distT="0" distB="0" distL="0" distR="0">
            <wp:extent cx="5691505" cy="2700020"/>
            <wp:effectExtent l="19050" t="0" r="23363" b="5032"/>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（图4：财政拨款收、支决算总计变动情况）</w:t>
      </w:r>
    </w:p>
    <w:p>
      <w:pPr>
        <w:spacing w:line="600" w:lineRule="exact"/>
        <w:ind w:firstLine="640" w:firstLineChars="200"/>
        <w:outlineLvl w:val="1"/>
        <w:rPr>
          <w:rStyle w:val="1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2021年一般公共预算财政拨款支出8740.04万元，占本年支出合计的94.56%。与2020年相比，一般公共预算财政拨款支出增加863.08万元，增长10.96%。主要变动原因是</w:t>
      </w:r>
      <w:r>
        <w:rPr>
          <w:rFonts w:hint="eastAsia" w:ascii="仿宋_GB2312" w:eastAsia="仿宋_GB2312"/>
          <w:sz w:val="32"/>
          <w:szCs w:val="32"/>
        </w:rPr>
        <w:t>一是协警员保障标准从2020年的人均3.8万元提高到人均4.5万元；二是2021年年终奖提标，工资福利支出高于2020年；三是新进民警8人，人员经费增加。</w:t>
      </w:r>
    </w:p>
    <w:p>
      <w:pPr>
        <w:pStyle w:val="2"/>
        <w:spacing w:before="93"/>
      </w:pPr>
      <w:r>
        <w:drawing>
          <wp:inline distT="0" distB="0" distL="0" distR="0">
            <wp:extent cx="5946775" cy="2820670"/>
            <wp:effectExtent l="19050" t="0" r="15659"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2021年一般公共预算财政拨款支出8740.04万元，主要用于以下方面:</w:t>
      </w:r>
      <w:r>
        <w:rPr>
          <w:rFonts w:hint="eastAsia" w:ascii="仿宋_GB2312" w:eastAsia="仿宋_GB2312"/>
          <w:sz w:val="32"/>
          <w:szCs w:val="32"/>
        </w:rPr>
        <w:t xml:space="preserve"> 公共安全支出7697.26</w:t>
      </w:r>
      <w:r>
        <w:rPr>
          <w:rFonts w:hint="eastAsia" w:ascii="仿宋_GB2312" w:hAnsi="仿宋" w:eastAsia="仿宋_GB2312"/>
          <w:sz w:val="32"/>
          <w:szCs w:val="32"/>
        </w:rPr>
        <w:t>万元，占88.07%；</w:t>
      </w:r>
      <w:r>
        <w:rPr>
          <w:rFonts w:hint="eastAsia" w:ascii="仿宋_GB2312" w:eastAsia="仿宋_GB2312"/>
          <w:sz w:val="32"/>
          <w:szCs w:val="32"/>
        </w:rPr>
        <w:t>社会保障和就业支出372.32</w:t>
      </w:r>
      <w:r>
        <w:rPr>
          <w:rFonts w:hint="eastAsia" w:ascii="仿宋_GB2312" w:hAnsi="仿宋" w:eastAsia="仿宋_GB2312"/>
          <w:sz w:val="32"/>
          <w:szCs w:val="32"/>
        </w:rPr>
        <w:t>万元，占4.26%；</w:t>
      </w:r>
      <w:r>
        <w:rPr>
          <w:rFonts w:hint="eastAsia" w:ascii="仿宋_GB2312" w:eastAsia="仿宋_GB2312"/>
          <w:sz w:val="32"/>
          <w:szCs w:val="32"/>
        </w:rPr>
        <w:t>卫生健康支出154.48</w:t>
      </w:r>
      <w:r>
        <w:rPr>
          <w:rFonts w:hint="eastAsia" w:ascii="仿宋_GB2312" w:hAnsi="仿宋" w:eastAsia="仿宋_GB2312"/>
          <w:sz w:val="32"/>
          <w:szCs w:val="32"/>
        </w:rPr>
        <w:t>万元，占1.77%；</w:t>
      </w:r>
      <w:r>
        <w:rPr>
          <w:rFonts w:hint="eastAsia" w:ascii="仿宋_GB2312" w:eastAsia="仿宋_GB2312"/>
          <w:sz w:val="32"/>
          <w:szCs w:val="32"/>
        </w:rPr>
        <w:t>住房保障支出515.98</w:t>
      </w:r>
      <w:r>
        <w:rPr>
          <w:rFonts w:hint="eastAsia" w:ascii="仿宋_GB2312" w:hAnsi="仿宋" w:eastAsia="仿宋_GB2312"/>
          <w:bCs/>
          <w:sz w:val="32"/>
          <w:szCs w:val="32"/>
        </w:rPr>
        <w:t>万元，占5.9%</w:t>
      </w:r>
      <w:r>
        <w:rPr>
          <w:rFonts w:hint="eastAsia" w:ascii="仿宋_GB2312" w:hAnsi="仿宋" w:eastAsia="仿宋_GB2312"/>
          <w:sz w:val="32"/>
          <w:szCs w:val="32"/>
        </w:rPr>
        <w:t>。</w:t>
      </w:r>
    </w:p>
    <w:p>
      <w:pPr>
        <w:pStyle w:val="2"/>
        <w:spacing w:before="93"/>
      </w:pPr>
      <w:r>
        <w:rPr>
          <w:rFonts w:hint="eastAsia"/>
        </w:rPr>
        <w:drawing>
          <wp:inline distT="0" distB="0" distL="0" distR="0">
            <wp:extent cx="5501640" cy="2777490"/>
            <wp:effectExtent l="19050" t="0" r="22644" b="3594"/>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_GB2312" w:hAnsi="仿宋" w:eastAsia="仿宋_GB2312"/>
          <w:sz w:val="32"/>
          <w:szCs w:val="32"/>
        </w:rPr>
      </w:pPr>
      <w:bookmarkStart w:id="31" w:name="_Toc15377444"/>
      <w:bookmarkStart w:id="32" w:name="_Toc15378460"/>
      <w:bookmarkStart w:id="33" w:name="_Toc15377213"/>
      <w:r>
        <w:rPr>
          <w:rFonts w:hint="eastAsia" w:ascii="仿宋_GB2312" w:hAnsi="仿宋" w:eastAsia="仿宋_GB2312"/>
          <w:sz w:val="32"/>
          <w:szCs w:val="32"/>
        </w:rPr>
        <w:t>2021年一般公共预算支出决算数为8740.04万元，</w:t>
      </w:r>
      <w:r>
        <w:rPr>
          <w:rStyle w:val="15"/>
          <w:rFonts w:hint="eastAsia" w:ascii="仿宋_GB2312" w:hAnsi="仿宋" w:eastAsia="仿宋_GB2312"/>
          <w:b w:val="0"/>
          <w:bCs/>
          <w:sz w:val="32"/>
          <w:szCs w:val="32"/>
        </w:rPr>
        <w:t>完成预算97.74%。其中：</w:t>
      </w:r>
      <w:bookmarkEnd w:id="31"/>
      <w:bookmarkEnd w:id="32"/>
      <w:bookmarkEnd w:id="33"/>
    </w:p>
    <w:p>
      <w:pPr>
        <w:spacing w:line="600" w:lineRule="exact"/>
        <w:ind w:firstLine="643" w:firstLineChars="200"/>
        <w:rPr>
          <w:rFonts w:ascii="仿宋_GB2312" w:hAnsi="仿宋" w:eastAsia="仿宋_GB2312"/>
          <w:sz w:val="32"/>
          <w:szCs w:val="32"/>
        </w:rPr>
      </w:pPr>
      <w:r>
        <w:rPr>
          <w:rStyle w:val="15"/>
          <w:rFonts w:hint="eastAsia" w:ascii="仿宋_GB2312" w:hAnsi="仿宋" w:eastAsia="仿宋_GB2312"/>
          <w:bCs/>
          <w:sz w:val="32"/>
          <w:szCs w:val="32"/>
        </w:rPr>
        <w:t>1.</w:t>
      </w:r>
      <w:r>
        <w:rPr>
          <w:rFonts w:hint="eastAsia" w:ascii="仿宋_GB2312" w:hAnsi="仿宋" w:eastAsia="仿宋_GB2312"/>
          <w:b/>
          <w:sz w:val="32"/>
          <w:szCs w:val="32"/>
        </w:rPr>
        <w:t xml:space="preserve"> 公共安全支出(类)公安（款）其他公安支出（项）</w:t>
      </w:r>
      <w:r>
        <w:rPr>
          <w:rStyle w:val="15"/>
          <w:rFonts w:hint="eastAsia" w:ascii="仿宋_GB2312" w:hAnsi="仿宋" w:eastAsia="仿宋_GB2312"/>
          <w:b w:val="0"/>
          <w:bCs/>
          <w:sz w:val="32"/>
          <w:szCs w:val="32"/>
        </w:rPr>
        <w:t>:支出决算为7697.26万元，完成预算97.74%，决算数小于预算数的主要原因是</w:t>
      </w:r>
      <w:r>
        <w:rPr>
          <w:rFonts w:hint="eastAsia" w:ascii="仿宋_GB2312" w:hAnsi="仿宋" w:eastAsia="仿宋_GB2312"/>
          <w:sz w:val="32"/>
          <w:szCs w:val="32"/>
        </w:rPr>
        <w:t>城区交通管理设施建设经费年底才到账，部分资金尚未支付完毕</w:t>
      </w:r>
      <w:r>
        <w:rPr>
          <w:rFonts w:hint="eastAsia" w:ascii="仿宋_GB2312" w:eastAsia="仿宋_GB2312"/>
          <w:spacing w:val="10"/>
          <w:sz w:val="32"/>
          <w:szCs w:val="32"/>
        </w:rPr>
        <w:t>。</w:t>
      </w:r>
    </w:p>
    <w:p>
      <w:pPr>
        <w:spacing w:line="360" w:lineRule="auto"/>
        <w:ind w:firstLine="630" w:firstLineChars="196"/>
        <w:rPr>
          <w:rFonts w:ascii="仿宋_GB2312" w:hAnsi="仿宋" w:eastAsia="仿宋_GB2312"/>
          <w:sz w:val="32"/>
          <w:szCs w:val="32"/>
        </w:rPr>
      </w:pPr>
      <w:r>
        <w:rPr>
          <w:rStyle w:val="15"/>
          <w:rFonts w:hint="eastAsia" w:ascii="仿宋_GB2312" w:hAnsi="仿宋" w:eastAsia="仿宋_GB2312"/>
          <w:bCs/>
          <w:sz w:val="32"/>
          <w:szCs w:val="32"/>
        </w:rPr>
        <w:t>2.社会保障和就业支出（类）行政单位离退休（款）:</w:t>
      </w:r>
      <w:r>
        <w:rPr>
          <w:rStyle w:val="15"/>
          <w:rFonts w:hint="eastAsia" w:ascii="仿宋_GB2312" w:hAnsi="仿宋" w:eastAsia="仿宋_GB2312"/>
          <w:b w:val="0"/>
          <w:bCs/>
          <w:sz w:val="32"/>
          <w:szCs w:val="32"/>
        </w:rPr>
        <w:t>其中：</w:t>
      </w:r>
      <w:r>
        <w:rPr>
          <w:rStyle w:val="15"/>
          <w:rFonts w:hint="eastAsia" w:ascii="仿宋_GB2312" w:hAnsi="仿宋" w:eastAsia="仿宋_GB2312"/>
          <w:b w:val="0"/>
          <w:sz w:val="32"/>
          <w:szCs w:val="32"/>
        </w:rPr>
        <w:t>机关事业单位基本养老保险缴费（项）</w:t>
      </w:r>
      <w:r>
        <w:rPr>
          <w:rStyle w:val="15"/>
          <w:rFonts w:hint="eastAsia" w:ascii="仿宋_GB2312" w:hAnsi="仿宋" w:eastAsia="仿宋_GB2312"/>
          <w:b w:val="0"/>
          <w:bCs/>
          <w:sz w:val="32"/>
          <w:szCs w:val="32"/>
        </w:rPr>
        <w:t>支出决算为319.88万元，完成预算100%；</w:t>
      </w:r>
      <w:r>
        <w:rPr>
          <w:rStyle w:val="15"/>
          <w:rFonts w:hint="eastAsia" w:ascii="仿宋_GB2312" w:hAnsi="仿宋" w:eastAsia="仿宋_GB2312"/>
          <w:b w:val="0"/>
          <w:sz w:val="32"/>
          <w:szCs w:val="32"/>
        </w:rPr>
        <w:t>机关事业单位职业年金缴费（项）</w:t>
      </w:r>
      <w:r>
        <w:rPr>
          <w:rStyle w:val="15"/>
          <w:rFonts w:hint="eastAsia" w:ascii="仿宋_GB2312" w:hAnsi="仿宋" w:eastAsia="仿宋_GB2312"/>
          <w:b w:val="0"/>
          <w:bCs/>
          <w:sz w:val="32"/>
          <w:szCs w:val="32"/>
        </w:rPr>
        <w:t>支出决算为32.34万元，完成预算100%，死亡抚恤（项）支出决算为20.10万元，完成预算100%。</w:t>
      </w:r>
    </w:p>
    <w:p>
      <w:pPr>
        <w:spacing w:line="600" w:lineRule="exact"/>
        <w:ind w:firstLine="643" w:firstLineChars="200"/>
        <w:rPr>
          <w:rStyle w:val="15"/>
          <w:rFonts w:ascii="仿宋_GB2312" w:hAnsi="仿宋" w:eastAsia="仿宋_GB2312"/>
          <w:b w:val="0"/>
          <w:bCs/>
          <w:sz w:val="32"/>
          <w:szCs w:val="32"/>
        </w:rPr>
      </w:pPr>
      <w:r>
        <w:rPr>
          <w:rStyle w:val="15"/>
          <w:rFonts w:hint="eastAsia" w:ascii="仿宋_GB2312" w:hAnsi="仿宋" w:eastAsia="仿宋_GB2312"/>
          <w:bCs/>
          <w:sz w:val="32"/>
          <w:szCs w:val="32"/>
        </w:rPr>
        <w:t>3.卫生健康支出（类）行政事业单位医疗（款）行政单位医疗（项）:</w:t>
      </w:r>
      <w:r>
        <w:rPr>
          <w:rStyle w:val="15"/>
          <w:rFonts w:hint="eastAsia" w:ascii="仿宋_GB2312" w:hAnsi="仿宋" w:eastAsia="仿宋_GB2312"/>
          <w:b w:val="0"/>
          <w:bCs/>
          <w:sz w:val="32"/>
          <w:szCs w:val="32"/>
        </w:rPr>
        <w:t>支出决算为154.48万元，完成预算100%。</w:t>
      </w:r>
    </w:p>
    <w:p>
      <w:pPr>
        <w:spacing w:line="360" w:lineRule="auto"/>
        <w:ind w:firstLine="630" w:firstLineChars="196"/>
        <w:rPr>
          <w:rFonts w:ascii="仿宋_GB2312" w:hAnsi="仿宋" w:eastAsia="仿宋_GB2312"/>
          <w:sz w:val="32"/>
          <w:szCs w:val="32"/>
        </w:rPr>
      </w:pPr>
      <w:r>
        <w:rPr>
          <w:rStyle w:val="15"/>
          <w:rFonts w:hint="eastAsia" w:ascii="仿宋_GB2312" w:hAnsi="仿宋" w:eastAsia="仿宋_GB2312"/>
          <w:bCs/>
          <w:sz w:val="32"/>
          <w:szCs w:val="32"/>
        </w:rPr>
        <w:t>4.住房保障支出（类）住房改革支出（款）住房公积金（项）:</w:t>
      </w:r>
      <w:r>
        <w:rPr>
          <w:rStyle w:val="15"/>
          <w:rFonts w:hint="eastAsia" w:ascii="仿宋_GB2312" w:hAnsi="仿宋" w:eastAsia="仿宋_GB2312"/>
          <w:b w:val="0"/>
          <w:bCs/>
          <w:sz w:val="32"/>
          <w:szCs w:val="32"/>
        </w:rPr>
        <w:t>支出决算为515.98万元，完成预算100%。</w:t>
      </w:r>
    </w:p>
    <w:p>
      <w:pPr>
        <w:tabs>
          <w:tab w:val="right" w:pos="8306"/>
        </w:tabs>
        <w:spacing w:line="600" w:lineRule="exact"/>
        <w:ind w:firstLine="640"/>
        <w:outlineLvl w:val="1"/>
        <w:rPr>
          <w:rStyle w:val="1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34"/>
      <w:bookmarkEnd w:id="35"/>
      <w:r>
        <w:rPr>
          <w:rStyle w:val="18"/>
          <w:rFonts w:ascii="黑体" w:hAnsi="黑体" w:eastAsia="黑体"/>
          <w:b w:val="0"/>
        </w:rPr>
        <w:tab/>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2021年一般公共预算财政拨款基本支出7421.38万元，其中：</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人员经费4752.41万元，主要包括：基本工资、津贴补贴、奖金、伙食补助费、机关事业单位基本养老保险缴费、</w:t>
      </w:r>
      <w:r>
        <w:rPr>
          <w:rFonts w:hint="eastAsia" w:ascii="仿宋_GB2312" w:hAnsi="仿宋" w:eastAsia="仿宋_GB2312"/>
          <w:sz w:val="32"/>
          <w:szCs w:val="32"/>
          <w:lang w:eastAsia="zh-CN"/>
        </w:rPr>
        <w:t>职工基本医疗保险缴费、</w:t>
      </w:r>
      <w:r>
        <w:rPr>
          <w:rFonts w:hint="eastAsia" w:ascii="仿宋_GB2312" w:hAnsi="仿宋" w:eastAsia="仿宋_GB2312"/>
          <w:sz w:val="32"/>
          <w:szCs w:val="32"/>
        </w:rPr>
        <w:t>职业年金缴费、其他社会保障缴费、其他工资福利支出、抚恤金、生活补助、医疗费补助、住房公积金等。</w:t>
      </w:r>
      <w:r>
        <w:rPr>
          <w:rFonts w:hint="eastAsia" w:ascii="仿宋_GB2312" w:hAnsi="仿宋" w:eastAsia="仿宋_GB2312"/>
          <w:sz w:val="32"/>
          <w:szCs w:val="32"/>
        </w:rPr>
        <w:br w:type="textWrapping"/>
      </w:r>
      <w:r>
        <w:rPr>
          <w:rFonts w:hint="eastAsia" w:ascii="仿宋_GB2312" w:hAnsi="仿宋" w:eastAsia="仿宋_GB2312"/>
          <w:sz w:val="32"/>
          <w:szCs w:val="32"/>
        </w:rPr>
        <w:t>　　公用经费2668.97万元，主要包括：办公费、印刷费、手续费、水费、电费、邮电费、物业管理费、差旅费、维修（护）费、租赁费、会议费、培训费、公务接待费、劳务费、委托业务费、工会经费、福利费、公务用车运行维护费、其他交通费、其他商品和服务支出等。</w:t>
      </w:r>
    </w:p>
    <w:p>
      <w:pPr>
        <w:spacing w:line="600" w:lineRule="exact"/>
        <w:ind w:firstLine="640"/>
        <w:outlineLvl w:val="1"/>
        <w:rPr>
          <w:rStyle w:val="18"/>
          <w:rFonts w:ascii="黑体" w:hAnsi="黑体" w:eastAsia="黑体"/>
          <w:b w:val="0"/>
        </w:rPr>
      </w:pPr>
      <w:bookmarkStart w:id="36" w:name="_Toc15396609"/>
      <w:bookmarkStart w:id="37" w:name="_Toc15377215"/>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2021年“三公”经费财政拨款支出决算为315.72万元，完成预算93.71%，决算数小于预算数的主要原因是</w:t>
      </w:r>
      <w:r>
        <w:rPr>
          <w:rFonts w:hint="eastAsia" w:ascii="仿宋_GB2312" w:eastAsia="仿宋_GB2312"/>
          <w:spacing w:val="10"/>
          <w:sz w:val="32"/>
          <w:szCs w:val="32"/>
        </w:rPr>
        <w:t>响应政府号召过紧日子</w:t>
      </w:r>
      <w:r>
        <w:rPr>
          <w:rFonts w:hint="eastAsia" w:ascii="仿宋_GB2312" w:hAnsi="仿宋" w:eastAsia="仿宋_GB2312"/>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2021年“三公”经费财政拨款支出决算中，因公出国（境）费支出决算0万元，占0%；公务用车购置及运行维护费支出决算310.92万元，占98.48%；公务接待费支出决算4.8万元，占1.52%。具体情况如下：</w:t>
      </w:r>
    </w:p>
    <w:p>
      <w:pPr>
        <w:pStyle w:val="2"/>
        <w:spacing w:before="93"/>
      </w:pPr>
    </w:p>
    <w:p>
      <w:pPr>
        <w:pStyle w:val="2"/>
        <w:spacing w:before="93"/>
      </w:pPr>
    </w:p>
    <w:p>
      <w:pPr>
        <w:pStyle w:val="2"/>
        <w:spacing w:before="93"/>
      </w:pPr>
      <w:r>
        <w:rPr>
          <w:rFonts w:hint="eastAsia"/>
        </w:rPr>
        <w:drawing>
          <wp:inline distT="0" distB="0" distL="0" distR="0">
            <wp:extent cx="5797550" cy="3027680"/>
            <wp:effectExtent l="19050" t="0" r="12448" b="1078"/>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（图7：“三公”经费财政拨款支出结构）</w:t>
      </w:r>
    </w:p>
    <w:p>
      <w:pPr>
        <w:spacing w:line="360" w:lineRule="auto"/>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因公出国（境）经费支出0万元</w:t>
      </w:r>
      <w:r>
        <w:rPr>
          <w:rFonts w:hint="eastAsia" w:ascii="仿宋_GB2312" w:eastAsia="仿宋_GB2312"/>
          <w:sz w:val="32"/>
          <w:szCs w:val="32"/>
        </w:rPr>
        <w:t>，年初未安排预算，因公出国（境）支出决算较2020年无变化。</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公务用车购置及运行维护费支出310.92万元,</w:t>
      </w:r>
      <w:r>
        <w:rPr>
          <w:rStyle w:val="15"/>
          <w:rFonts w:hint="eastAsia" w:ascii="仿宋_GB2312" w:hAnsi="仿宋" w:eastAsia="仿宋_GB2312"/>
          <w:b w:val="0"/>
          <w:bCs/>
          <w:sz w:val="32"/>
          <w:szCs w:val="32"/>
        </w:rPr>
        <w:t>完成预算93.67%。</w:t>
      </w:r>
      <w:r>
        <w:rPr>
          <w:rFonts w:hint="eastAsia" w:ascii="仿宋_GB2312" w:eastAsia="仿宋_GB2312"/>
          <w:sz w:val="32"/>
          <w:szCs w:val="32"/>
        </w:rPr>
        <w:t>公务用车购置及运行维护费支出决算比2020年增加109.97万元，增长54.73%。主要原因是更新购置了执勤执法车辆6辆。</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其中：公务用车购置支出109.29万元。全年按规定更新购置公务用车6辆，其中：轿车5辆，金额84.39万元，小型普通客车1辆，金额24.9万元。截至2021年12月底，单位共有公务用车58辆，其中：</w:t>
      </w:r>
      <w:r>
        <w:rPr>
          <w:rFonts w:hint="eastAsia" w:ascii="仿宋_GB2312" w:hAnsi="仿宋" w:eastAsia="仿宋_GB2312" w:cs="仿宋_GB2312"/>
          <w:sz w:val="32"/>
          <w:szCs w:val="32"/>
        </w:rPr>
        <w:t>执勤执法用车48辆，特种车辆9辆，其他车辆1辆</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公务用车运行维护费支出201.63万元。主要用于城区巡逻检查、处理事故、警卫开道、出差等所需的公务用车燃料费、维修费、过路过桥费、保险费支出。</w:t>
      </w:r>
    </w:p>
    <w:p>
      <w:pPr>
        <w:spacing w:line="600" w:lineRule="exact"/>
        <w:ind w:firstLine="640"/>
        <w:rPr>
          <w:rFonts w:ascii="仿宋_GB2312" w:eastAsia="仿宋_GB2312"/>
          <w:sz w:val="32"/>
          <w:szCs w:val="32"/>
        </w:rPr>
      </w:pPr>
      <w:r>
        <w:rPr>
          <w:rFonts w:hint="eastAsia" w:ascii="仿宋_GB2312" w:eastAsia="仿宋_GB2312"/>
          <w:sz w:val="32"/>
          <w:szCs w:val="32"/>
        </w:rPr>
        <w:t>3.公务接待费支出4.8万元，</w:t>
      </w:r>
      <w:r>
        <w:rPr>
          <w:rStyle w:val="15"/>
          <w:rFonts w:hint="eastAsia" w:ascii="仿宋_GB2312" w:hAnsi="仿宋" w:eastAsia="仿宋_GB2312"/>
          <w:b w:val="0"/>
          <w:bCs/>
          <w:sz w:val="32"/>
          <w:szCs w:val="32"/>
        </w:rPr>
        <w:t>完成预算96%。</w:t>
      </w:r>
      <w:r>
        <w:rPr>
          <w:rFonts w:hint="eastAsia" w:ascii="仿宋_GB2312" w:eastAsia="仿宋_GB2312"/>
          <w:sz w:val="32"/>
          <w:szCs w:val="32"/>
        </w:rPr>
        <w:t>公务接待费支出决算比2020年基本持平。其中：</w:t>
      </w:r>
    </w:p>
    <w:p>
      <w:pPr>
        <w:spacing w:line="600" w:lineRule="exact"/>
        <w:ind w:firstLine="640"/>
        <w:rPr>
          <w:rFonts w:ascii="仿宋_GB2312" w:eastAsia="仿宋_GB2312"/>
          <w:sz w:val="32"/>
          <w:szCs w:val="32"/>
        </w:rPr>
      </w:pPr>
      <w:r>
        <w:rPr>
          <w:rFonts w:hint="eastAsia" w:ascii="仿宋_GB2312" w:hAnsi="仿宋" w:eastAsia="仿宋_GB2312"/>
          <w:sz w:val="32"/>
          <w:szCs w:val="32"/>
        </w:rPr>
        <w:t>国内公务接待支出4.8</w:t>
      </w:r>
      <w:r>
        <w:rPr>
          <w:rFonts w:hint="eastAsia" w:ascii="仿宋_GB2312" w:eastAsia="仿宋_GB2312"/>
          <w:sz w:val="32"/>
          <w:szCs w:val="32"/>
        </w:rPr>
        <w:t>万元，主要用于</w:t>
      </w:r>
      <w:r>
        <w:rPr>
          <w:rFonts w:hint="eastAsia" w:ascii="仿宋_GB2312" w:hAnsi="仿宋" w:eastAsia="仿宋_GB2312"/>
          <w:sz w:val="32"/>
          <w:szCs w:val="32"/>
        </w:rPr>
        <w:t>国内公务接待支出4.8</w:t>
      </w:r>
      <w:r>
        <w:rPr>
          <w:rFonts w:hint="eastAsia" w:ascii="仿宋_GB2312" w:eastAsia="仿宋_GB2312"/>
          <w:sz w:val="32"/>
          <w:szCs w:val="32"/>
        </w:rPr>
        <w:t>万元，公务接待费主要用于执行公务、开展业务活动开支的交通费、住宿费、用餐费等。国内公务接待38批次，320人次（不包括陪同人员），共计支出4.8万元，具体内容包括：接待上级单位检查工作人员支出2.06万元，接待下级交警大队办事民警支出2.74万元。</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外事接待支出0</w:t>
      </w:r>
      <w:r>
        <w:rPr>
          <w:rFonts w:hint="eastAsia" w:ascii="仿宋_GB2312" w:eastAsia="仿宋_GB2312"/>
          <w:sz w:val="32"/>
          <w:szCs w:val="32"/>
        </w:rPr>
        <w:t>万元。</w:t>
      </w:r>
    </w:p>
    <w:p>
      <w:pPr>
        <w:spacing w:line="600" w:lineRule="exact"/>
        <w:ind w:firstLine="640"/>
        <w:outlineLvl w:val="1"/>
        <w:rPr>
          <w:rStyle w:val="18"/>
          <w:rFonts w:ascii="黑体" w:hAnsi="黑体" w:eastAsia="黑体"/>
        </w:rPr>
      </w:pPr>
      <w:bookmarkStart w:id="40" w:name="_Toc15396610"/>
      <w:bookmarkStart w:id="41" w:name="_Toc15377218"/>
      <w:r>
        <w:rPr>
          <w:rFonts w:hint="eastAsia" w:ascii="黑体" w:eastAsia="黑体"/>
          <w:sz w:val="32"/>
          <w:szCs w:val="32"/>
        </w:rPr>
        <w:t>八、</w:t>
      </w:r>
      <w:r>
        <w:rPr>
          <w:rStyle w:val="1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21年政府性基金预算财政拨款支出300万元。</w:t>
      </w:r>
    </w:p>
    <w:p>
      <w:pPr>
        <w:numPr>
          <w:ilvl w:val="0"/>
          <w:numId w:val="1"/>
        </w:numPr>
        <w:spacing w:line="600" w:lineRule="exact"/>
        <w:ind w:firstLine="640"/>
        <w:outlineLvl w:val="1"/>
        <w:rPr>
          <w:rStyle w:val="18"/>
          <w:rFonts w:ascii="黑体" w:hAnsi="黑体" w:eastAsia="黑体"/>
          <w:b w:val="0"/>
        </w:rPr>
      </w:pPr>
      <w:bookmarkStart w:id="42" w:name="_Toc15377219"/>
      <w:bookmarkStart w:id="43" w:name="_Toc15396611"/>
      <w:r>
        <w:rPr>
          <w:rStyle w:val="1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w:t>
      </w:r>
      <w:bookmarkStart w:id="44" w:name="_Toc15396612"/>
      <w:bookmarkStart w:id="45" w:name="_Toc15377221"/>
      <w:r>
        <w:rPr>
          <w:rFonts w:hint="eastAsia" w:ascii="仿宋_GB2312" w:eastAsia="仿宋_GB2312"/>
          <w:sz w:val="32"/>
          <w:szCs w:val="32"/>
        </w:rPr>
        <w:t>万元。</w:t>
      </w:r>
    </w:p>
    <w:p>
      <w:pPr>
        <w:numPr>
          <w:ilvl w:val="0"/>
          <w:numId w:val="1"/>
        </w:numPr>
        <w:spacing w:line="600" w:lineRule="exact"/>
        <w:ind w:firstLine="640"/>
        <w:outlineLvl w:val="1"/>
        <w:rPr>
          <w:rStyle w:val="18"/>
          <w:rFonts w:ascii="黑体" w:hAnsi="黑体" w:eastAsia="黑体"/>
          <w:b w:val="0"/>
        </w:rPr>
      </w:pPr>
      <w:r>
        <w:rPr>
          <w:rStyle w:val="18"/>
          <w:rFonts w:hint="eastAsia" w:ascii="黑体" w:hAnsi="黑体" w:eastAsia="黑体"/>
          <w:b w:val="0"/>
        </w:rPr>
        <w:t>预算绩效管理情况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协警员经费项目等11个项目开展了预算事前绩效评估，对11个项目编制了绩效目标，预算执行过程中，选取11个项目开展绩效监控，年终执行完毕后，对11个项目开展了绩效自评。同时，本部门对2021年部门整体开展绩效自评，《2021年广元市公安局交通警察支队整体绩效评价报告》见附件（第四部分）。</w:t>
      </w:r>
    </w:p>
    <w:p>
      <w:pPr>
        <w:pStyle w:val="2"/>
        <w:spacing w:before="93"/>
      </w:pPr>
    </w:p>
    <w:p>
      <w:pPr>
        <w:numPr>
          <w:ilvl w:val="0"/>
          <w:numId w:val="1"/>
        </w:numPr>
        <w:spacing w:line="600" w:lineRule="exact"/>
        <w:ind w:firstLine="640"/>
        <w:outlineLvl w:val="1"/>
        <w:rPr>
          <w:rStyle w:val="18"/>
          <w:rFonts w:ascii="黑体" w:hAnsi="黑体" w:eastAsia="黑体"/>
          <w:b w:val="0"/>
        </w:rPr>
      </w:pPr>
      <w:r>
        <w:rPr>
          <w:rStyle w:val="1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21年，机关运行经费支出2668.97万元，与</w:t>
      </w:r>
      <w:r>
        <w:rPr>
          <w:rFonts w:ascii="仿宋_GB2312" w:eastAsia="仿宋_GB2312"/>
          <w:sz w:val="32"/>
          <w:szCs w:val="32"/>
        </w:rPr>
        <w:t>20</w:t>
      </w:r>
      <w:r>
        <w:rPr>
          <w:rFonts w:hint="eastAsia" w:ascii="仿宋_GB2312" w:eastAsia="仿宋_GB2312"/>
          <w:sz w:val="32"/>
          <w:szCs w:val="32"/>
        </w:rPr>
        <w:t>20年决算数基本持平。</w:t>
      </w:r>
    </w:p>
    <w:p>
      <w:pPr>
        <w:spacing w:line="600" w:lineRule="exact"/>
        <w:ind w:firstLine="643" w:firstLineChars="200"/>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21年，政府采购支出总额837.93万元，其中：政府采购货物支出525.43万元、政府采购工程支出117.6万元、政府采购服务支出194.9万元。主要用于</w:t>
      </w:r>
      <w:r>
        <w:rPr>
          <w:rFonts w:hint="eastAsia" w:ascii="仿宋_GB2312" w:hAnsi="仿宋" w:eastAsia="仿宋_GB2312" w:cs="仿宋_GB2312"/>
          <w:sz w:val="32"/>
          <w:szCs w:val="32"/>
        </w:rPr>
        <w:t>执勤执法装备购置、城区交通管理设施维护和建设、车管业务、违法处理</w:t>
      </w:r>
      <w:r>
        <w:rPr>
          <w:rFonts w:hint="eastAsia" w:ascii="仿宋_GB2312" w:eastAsia="仿宋_GB2312"/>
          <w:sz w:val="32"/>
          <w:szCs w:val="32"/>
        </w:rPr>
        <w:t>。授予中小企业合同金额657.93万元，占政府采购支出总额的78.52</w:t>
      </w:r>
      <w:r>
        <w:rPr>
          <w:rFonts w:ascii="仿宋_GB2312" w:eastAsia="仿宋_GB2312"/>
          <w:sz w:val="32"/>
          <w:szCs w:val="32"/>
        </w:rPr>
        <w:t>%</w:t>
      </w:r>
      <w:r>
        <w:rPr>
          <w:rFonts w:hint="eastAsia" w:ascii="仿宋_GB2312" w:eastAsia="仿宋_GB2312"/>
          <w:sz w:val="32"/>
          <w:szCs w:val="32"/>
        </w:rPr>
        <w:t>，其中：授予小微企业合同金额657.93万元，占政府采购支出总额的78.52</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日，交警支队共有车辆58辆，其中：</w:t>
      </w:r>
      <w:r>
        <w:rPr>
          <w:rFonts w:hint="eastAsia" w:ascii="仿宋_GB2312" w:hAnsi="仿宋" w:eastAsia="仿宋_GB2312" w:cs="仿宋_GB2312"/>
          <w:sz w:val="32"/>
          <w:szCs w:val="32"/>
        </w:rPr>
        <w:t>执勤执法用车48辆，特种车辆9辆，其他车辆1辆。主要</w:t>
      </w:r>
      <w:r>
        <w:rPr>
          <w:rFonts w:hint="eastAsia" w:ascii="仿宋_GB2312" w:eastAsia="仿宋_GB2312"/>
          <w:sz w:val="32"/>
          <w:szCs w:val="32"/>
        </w:rPr>
        <w:t>用于城区巡逻检查、处理事故、警卫开道、出差等。单价50万元以上通用设备11台（套），单价100万元以上专用设备2台（套）。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1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17"/>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其他收入：指单位取得的除上述收入以外的各项收入。主要是利息、上级部门拨款。</w:t>
      </w:r>
    </w:p>
    <w:p>
      <w:pPr>
        <w:widowControl/>
        <w:pBdr>
          <w:bottom w:val="single" w:color="FFFFFF" w:sz="8" w:space="31"/>
        </w:pBdr>
        <w:shd w:val="clear" w:color="auto" w:fill="FFFFFF"/>
        <w:spacing w:line="560" w:lineRule="exact"/>
        <w:ind w:firstLine="668"/>
        <w:rPr>
          <w:rFonts w:ascii="仿宋_GB2312" w:eastAsia="仿宋_GB2312"/>
          <w:color w:val="000000"/>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color w:val="000000"/>
          <w:sz w:val="32"/>
          <w:szCs w:val="32"/>
        </w:rPr>
        <w:t xml:space="preserve"> 公共安全（类）公安（款）其他公安支出（项）：指各级公安机关开展各类公安业务管理工作的支出</w:t>
      </w:r>
      <w:r>
        <w:rPr>
          <w:rFonts w:hint="eastAsia" w:ascii="仿宋_GB2312" w:eastAsia="仿宋_GB2312"/>
          <w:sz w:val="32"/>
          <w:szCs w:val="32"/>
        </w:rPr>
        <w:t>。</w:t>
      </w:r>
    </w:p>
    <w:p>
      <w:pPr>
        <w:widowControl/>
        <w:pBdr>
          <w:bottom w:val="single" w:color="FFFFFF" w:sz="8" w:space="31"/>
        </w:pBdr>
        <w:shd w:val="clear" w:color="auto" w:fill="FFFFFF"/>
        <w:spacing w:line="560" w:lineRule="exact"/>
        <w:ind w:firstLine="668"/>
        <w:rPr>
          <w:rFonts w:ascii="仿宋_GB2312" w:eastAsia="仿宋_GB2312" w:cs="仿宋_GB2312"/>
          <w:color w:val="333333"/>
          <w:kern w:val="0"/>
          <w:sz w:val="32"/>
          <w:szCs w:val="32"/>
          <w:shd w:val="clear" w:color="auto" w:fill="FFFFFF"/>
        </w:rPr>
      </w:pPr>
      <w:r>
        <w:rPr>
          <w:rFonts w:hint="eastAsia" w:ascii="仿宋_GB2312" w:eastAsia="仿宋_GB2312"/>
          <w:sz w:val="32"/>
          <w:szCs w:val="32"/>
        </w:rPr>
        <w:t>4.</w:t>
      </w:r>
      <w:r>
        <w:rPr>
          <w:rFonts w:hint="eastAsia" w:ascii="仿宋_GB2312" w:eastAsia="仿宋_GB2312" w:cs="仿宋_GB2312"/>
          <w:color w:val="333333"/>
          <w:kern w:val="0"/>
          <w:sz w:val="32"/>
          <w:szCs w:val="32"/>
          <w:shd w:val="clear" w:color="auto" w:fill="FFFFFF"/>
        </w:rPr>
        <w:t xml:space="preserve"> 社会保障和就业（类）行政事业单位养老支出（款）机关事业单位基本养老保险缴费支出（项）：指部门实施养老保险制度由单位缴纳的养老保险的支出。</w:t>
      </w:r>
    </w:p>
    <w:p>
      <w:pPr>
        <w:widowControl/>
        <w:pBdr>
          <w:bottom w:val="single" w:color="FFFFFF" w:sz="8" w:space="31"/>
        </w:pBdr>
        <w:shd w:val="clear" w:color="auto" w:fill="FFFFFF"/>
        <w:spacing w:line="560" w:lineRule="exact"/>
        <w:ind w:firstLine="600" w:firstLineChars="200"/>
        <w:rPr>
          <w:rStyle w:val="15"/>
          <w:rFonts w:ascii="仿宋_GB2312" w:hAnsi="仿宋" w:eastAsia="仿宋_GB2312"/>
          <w:b w:val="0"/>
          <w:sz w:val="32"/>
          <w:szCs w:val="32"/>
        </w:rPr>
      </w:pPr>
      <w:r>
        <w:rPr>
          <w:rFonts w:hint="eastAsia" w:ascii="仿宋_GB2312" w:eastAsia="仿宋_GB2312"/>
          <w:kern w:val="0"/>
          <w:sz w:val="30"/>
        </w:rPr>
        <w:t>5.</w:t>
      </w:r>
      <w:r>
        <w:rPr>
          <w:rFonts w:hint="eastAsia" w:ascii="仿宋_GB2312" w:eastAsia="仿宋_GB2312" w:cs="仿宋_GB2312"/>
          <w:kern w:val="0"/>
          <w:sz w:val="32"/>
          <w:szCs w:val="32"/>
          <w:shd w:val="clear" w:color="auto" w:fill="FFFFFF"/>
        </w:rPr>
        <w:t>社会保障和就业（类）行政事业单位养老支出（款）</w:t>
      </w:r>
      <w:r>
        <w:rPr>
          <w:rStyle w:val="15"/>
          <w:rFonts w:hint="eastAsia" w:ascii="仿宋_GB2312" w:hAnsi="仿宋" w:eastAsia="仿宋_GB2312"/>
          <w:b w:val="0"/>
          <w:sz w:val="32"/>
          <w:szCs w:val="32"/>
        </w:rPr>
        <w:t>机关事业单位职业年金缴费（项）：指部门实施养老保险</w:t>
      </w:r>
      <w:r>
        <w:rPr>
          <w:rFonts w:hint="eastAsia" w:ascii="仿宋_GB2312" w:eastAsia="仿宋_GB2312" w:cs="仿宋_GB2312"/>
          <w:kern w:val="0"/>
          <w:sz w:val="32"/>
          <w:szCs w:val="32"/>
          <w:shd w:val="clear" w:color="auto" w:fill="FFFFFF"/>
        </w:rPr>
        <w:t>由单位缴纳的职业年金的支出。</w:t>
      </w:r>
    </w:p>
    <w:p>
      <w:pPr>
        <w:widowControl/>
        <w:pBdr>
          <w:bottom w:val="single" w:color="FFFFFF" w:sz="8" w:space="31"/>
        </w:pBdr>
        <w:shd w:val="clear" w:color="auto" w:fill="FFFFFF"/>
        <w:spacing w:line="560" w:lineRule="exact"/>
        <w:ind w:firstLine="640" w:firstLineChars="200"/>
        <w:rPr>
          <w:rStyle w:val="15"/>
          <w:rFonts w:ascii="仿宋_GB2312" w:hAnsi="仿宋" w:eastAsia="仿宋_GB2312"/>
          <w:b w:val="0"/>
          <w:sz w:val="32"/>
          <w:szCs w:val="32"/>
        </w:rPr>
      </w:pPr>
      <w:r>
        <w:rPr>
          <w:rStyle w:val="15"/>
          <w:rFonts w:hint="eastAsia" w:ascii="仿宋_GB2312" w:hAnsi="仿宋" w:eastAsia="仿宋_GB2312"/>
          <w:b w:val="0"/>
          <w:sz w:val="32"/>
          <w:szCs w:val="32"/>
        </w:rPr>
        <w:t>6.</w:t>
      </w:r>
      <w:r>
        <w:rPr>
          <w:rFonts w:hint="eastAsia" w:ascii="仿宋_GB2312" w:eastAsia="仿宋_GB2312" w:cs="仿宋_GB2312"/>
          <w:color w:val="333333"/>
          <w:kern w:val="0"/>
          <w:sz w:val="32"/>
          <w:szCs w:val="32"/>
          <w:shd w:val="clear" w:color="auto" w:fill="FFFFFF"/>
        </w:rPr>
        <w:t>社会保障和就业（类）行政事业单位养老支出（款）</w:t>
      </w:r>
      <w:r>
        <w:rPr>
          <w:rStyle w:val="15"/>
          <w:rFonts w:hint="eastAsia" w:ascii="仿宋_GB2312" w:hAnsi="仿宋" w:eastAsia="仿宋_GB2312"/>
          <w:b w:val="0"/>
          <w:bCs/>
          <w:sz w:val="32"/>
          <w:szCs w:val="32"/>
        </w:rPr>
        <w:t>死亡抚恤（项）：</w:t>
      </w:r>
      <w:r>
        <w:rPr>
          <w:rFonts w:hint="eastAsia" w:ascii="仿宋_GB2312" w:eastAsia="仿宋_GB2312"/>
          <w:sz w:val="32"/>
          <w:szCs w:val="32"/>
        </w:rPr>
        <w:t>指按规定用于病故人员家属的一次性和定期抚恤金以及丧葬补助费。</w:t>
      </w:r>
    </w:p>
    <w:p>
      <w:pPr>
        <w:widowControl/>
        <w:pBdr>
          <w:bottom w:val="single" w:color="FFFFFF" w:sz="8" w:space="31"/>
        </w:pBdr>
        <w:shd w:val="clear" w:color="auto" w:fill="FFFFFF"/>
        <w:spacing w:line="560" w:lineRule="exact"/>
        <w:ind w:firstLine="640" w:firstLineChars="200"/>
        <w:rPr>
          <w:rFonts w:ascii="仿宋_GB2312" w:eastAsia="仿宋_GB2312" w:cs="仿宋_GB2312"/>
          <w:color w:val="333333"/>
          <w:kern w:val="0"/>
          <w:sz w:val="32"/>
          <w:szCs w:val="32"/>
          <w:shd w:val="clear" w:color="auto" w:fill="FFFFFF"/>
        </w:rPr>
      </w:pPr>
      <w:r>
        <w:rPr>
          <w:rFonts w:hint="eastAsia" w:ascii="仿宋_GB2312" w:eastAsia="仿宋_GB2312" w:cs="仿宋_GB2312"/>
          <w:color w:val="333333"/>
          <w:kern w:val="0"/>
          <w:sz w:val="32"/>
          <w:szCs w:val="32"/>
          <w:shd w:val="clear" w:color="auto" w:fill="FFFFFF"/>
        </w:rPr>
        <w:t>7.卫生健康（类）行政事业单位医疗（款）行政单位医疗（项）：指机关及参公管理事业单位用于单位应缴纳基本医疗保险支出。</w:t>
      </w:r>
    </w:p>
    <w:p>
      <w:pPr>
        <w:widowControl/>
        <w:pBdr>
          <w:bottom w:val="single" w:color="FFFFFF" w:sz="8" w:space="31"/>
        </w:pBdr>
        <w:shd w:val="clear" w:color="auto" w:fill="FFFFFF"/>
        <w:spacing w:line="560" w:lineRule="exact"/>
        <w:ind w:firstLine="640" w:firstLineChars="200"/>
        <w:rPr>
          <w:rFonts w:ascii="仿宋_GB2312" w:eastAsia="仿宋_GB2312" w:cs="仿宋_GB2312"/>
          <w:color w:val="333333"/>
          <w:kern w:val="0"/>
          <w:sz w:val="32"/>
          <w:szCs w:val="32"/>
          <w:shd w:val="clear" w:color="auto" w:fill="FFFFFF"/>
        </w:rPr>
      </w:pPr>
      <w:r>
        <w:rPr>
          <w:rFonts w:hint="eastAsia"/>
          <w:color w:val="000000"/>
          <w:sz w:val="32"/>
          <w:szCs w:val="32"/>
        </w:rPr>
        <w:t>8.</w:t>
      </w:r>
      <w:r>
        <w:rPr>
          <w:rFonts w:hint="eastAsia" w:ascii="仿宋_GB2312" w:eastAsia="仿宋_GB2312" w:cs="仿宋_GB2312"/>
          <w:color w:val="333333"/>
          <w:kern w:val="0"/>
          <w:sz w:val="32"/>
          <w:szCs w:val="32"/>
          <w:shd w:val="clear" w:color="auto" w:fill="FFFFFF"/>
        </w:rPr>
        <w:t>住房保障（类）住房改革支出（款）住房公积金（项）：指按照《住房公积金管理条例》的规定，由单位及其在职职工缴存的长期住房储金。</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Fonts w:ascii="仿宋" w:hAnsi="仿宋" w:eastAsia="仿宋"/>
          <w:b/>
          <w:sz w:val="32"/>
          <w:szCs w:val="32"/>
        </w:rPr>
      </w:pPr>
      <w:bookmarkStart w:id="51" w:name="_Toc15396614"/>
      <w:bookmarkStart w:id="52" w:name="_Toc15377226"/>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Style w:val="17"/>
          <w:rFonts w:ascii="黑体" w:hAnsi="黑体" w:eastAsia="黑体"/>
          <w:b w:val="0"/>
        </w:rPr>
      </w:pPr>
      <w:r>
        <w:rPr>
          <w:rFonts w:hint="eastAsia" w:ascii="黑体" w:hAnsi="黑体" w:eastAsia="黑体"/>
          <w:sz w:val="44"/>
          <w:szCs w:val="44"/>
        </w:rPr>
        <w:t>第</w:t>
      </w:r>
      <w:r>
        <w:rPr>
          <w:rStyle w:val="17"/>
          <w:rFonts w:hint="eastAsia" w:ascii="黑体" w:hAnsi="黑体" w:eastAsia="黑体"/>
          <w:b w:val="0"/>
        </w:rPr>
        <w:t>四部分 附件</w:t>
      </w:r>
      <w:bookmarkEnd w:id="51"/>
    </w:p>
    <w:p>
      <w:pPr>
        <w:spacing w:line="572" w:lineRule="exact"/>
        <w:jc w:val="center"/>
        <w:rPr>
          <w:rFonts w:ascii="方正小标宋简体" w:hAnsi="宋体" w:eastAsia="方正小标宋简体"/>
          <w:kern w:val="0"/>
          <w:sz w:val="40"/>
          <w:szCs w:val="44"/>
        </w:rPr>
      </w:pPr>
    </w:p>
    <w:p>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2021年广元市公安局交通警察支队</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整体绩效评价报告</w:t>
      </w:r>
    </w:p>
    <w:p>
      <w:pPr>
        <w:pStyle w:val="27"/>
        <w:widowControl/>
        <w:numPr>
          <w:ilvl w:val="0"/>
          <w:numId w:val="3"/>
        </w:numPr>
        <w:adjustRightInd w:val="0"/>
        <w:snapToGrid w:val="0"/>
        <w:spacing w:line="572" w:lineRule="exact"/>
        <w:ind w:firstLineChars="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部门（单位）概况</w:t>
      </w:r>
    </w:p>
    <w:p>
      <w:pPr>
        <w:spacing w:line="560" w:lineRule="exact"/>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shd w:val="clear" w:color="auto" w:fill="FFFFFF"/>
          <w:lang w:val="zh-CN"/>
        </w:rPr>
        <w:t>（一）机构组成。</w:t>
      </w:r>
      <w:r>
        <w:rPr>
          <w:rFonts w:hint="eastAsia" w:ascii="仿宋_GB2312" w:eastAsia="仿宋_GB2312"/>
          <w:sz w:val="32"/>
          <w:szCs w:val="32"/>
        </w:rPr>
        <w:t xml:space="preserve">交警支队下属二级预算单位0个，下设交警一大队、二大队、三大队、四大队、特勤大队和办公室、政工科、事故科、秩序科、宣法科、指挥中心、车管所、非机所等13个正科级单位；业务指导和监督苍溪、剑阁、旺苍、青川、元坝、朝天六个县区交警大队，本年机构情况无变化。 </w:t>
      </w:r>
    </w:p>
    <w:p>
      <w:pPr>
        <w:spacing w:line="560" w:lineRule="exact"/>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shd w:val="clear" w:color="auto" w:fill="FFFFFF"/>
          <w:lang w:val="zh-CN"/>
        </w:rPr>
        <w:t>（二）机构职能。</w:t>
      </w:r>
      <w:r>
        <w:rPr>
          <w:rFonts w:hint="eastAsia" w:ascii="仿宋_GB2312" w:eastAsia="仿宋_GB2312"/>
          <w:sz w:val="32"/>
          <w:szCs w:val="32"/>
        </w:rPr>
        <w:t>一是负责全市20031公里道路（其中国道684公里、省道1337公里、县道3017公里、乡道2445公里、村道12155公里、专用道393公里）交通安全管理，纠正交通违章，维护交通秩序，处理突发事件，配合开展警卫工作。二是负责全市机动车及非机动车注册登记、核发牌证、过户、转籍等工作；三是负责全市机动车驾驶人考试及驾驶证的核发、补发等工作；四是负责交通事故责任认定、交通安全宣传以及参与道路交通管理工作规划。</w:t>
      </w:r>
    </w:p>
    <w:p>
      <w:pPr>
        <w:spacing w:line="560" w:lineRule="exact"/>
        <w:ind w:firstLine="643" w:firstLineChars="200"/>
        <w:rPr>
          <w:rFonts w:ascii="仿宋_GB2312" w:eastAsia="仿宋_GB2312"/>
          <w:sz w:val="32"/>
          <w:szCs w:val="32"/>
        </w:rPr>
      </w:pPr>
      <w:r>
        <w:rPr>
          <w:rFonts w:hint="eastAsia" w:ascii="仿宋_GB2312" w:hAnsi="宋体" w:eastAsia="仿宋_GB2312" w:cs="宋体"/>
          <w:b/>
          <w:color w:val="000000"/>
          <w:kern w:val="0"/>
          <w:sz w:val="32"/>
          <w:szCs w:val="32"/>
          <w:shd w:val="clear" w:color="auto" w:fill="FFFFFF"/>
          <w:lang w:val="zh-CN"/>
        </w:rPr>
        <w:t>（三）人员概况。</w:t>
      </w:r>
      <w:r>
        <w:rPr>
          <w:rFonts w:hint="eastAsia" w:ascii="仿宋_GB2312" w:eastAsia="仿宋_GB2312"/>
          <w:sz w:val="32"/>
          <w:szCs w:val="32"/>
        </w:rPr>
        <w:t>交警支队现有在职在编民警</w:t>
      </w:r>
      <w:r>
        <w:rPr>
          <w:rFonts w:hint="eastAsia" w:ascii="仿宋_GB2312" w:eastAsia="仿宋_GB2312"/>
          <w:color w:val="000000" w:themeColor="text1"/>
          <w:sz w:val="32"/>
          <w:szCs w:val="32"/>
          <w14:textFill>
            <w14:solidFill>
              <w14:schemeClr w14:val="tx1"/>
            </w14:solidFill>
          </w14:textFill>
        </w:rPr>
        <w:t>221</w:t>
      </w:r>
      <w:r>
        <w:rPr>
          <w:rFonts w:hint="eastAsia" w:ascii="仿宋_GB2312" w:eastAsia="仿宋_GB2312"/>
          <w:sz w:val="32"/>
          <w:szCs w:val="32"/>
        </w:rPr>
        <w:t>人，工勤人员4名，辅警人员350名。</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spacing w:line="560" w:lineRule="exact"/>
        <w:ind w:firstLine="643" w:firstLineChars="200"/>
        <w:rPr>
          <w:rFonts w:ascii="仿宋_GB2312" w:eastAsia="仿宋_GB2312"/>
          <w:sz w:val="32"/>
          <w:szCs w:val="32"/>
        </w:rPr>
      </w:pPr>
      <w:r>
        <w:rPr>
          <w:rFonts w:hint="eastAsia" w:ascii="楷体_GB2312" w:hAnsi="宋体" w:eastAsia="楷体_GB2312" w:cs="宋体"/>
          <w:b/>
          <w:color w:val="000000"/>
          <w:kern w:val="0"/>
          <w:sz w:val="32"/>
          <w:szCs w:val="32"/>
          <w:shd w:val="clear" w:color="auto" w:fill="FFFFFF"/>
          <w:lang w:val="zh-CN"/>
        </w:rPr>
        <w:t>（一）部门财政资金收入情况。</w:t>
      </w:r>
      <w:r>
        <w:rPr>
          <w:rFonts w:hint="eastAsia" w:ascii="仿宋_GB2312" w:eastAsia="仿宋_GB2312"/>
          <w:sz w:val="32"/>
          <w:szCs w:val="32"/>
        </w:rPr>
        <w:t>2021年收入合计8788.66万元，其中</w:t>
      </w:r>
      <w:r>
        <w:rPr>
          <w:rFonts w:hint="eastAsia" w:ascii="仿宋_GB2312" w:hAnsi="仿宋" w:eastAsia="仿宋_GB2312"/>
          <w:sz w:val="32"/>
          <w:szCs w:val="32"/>
        </w:rPr>
        <w:t>一般公共预算财政拨款收入8472.95万元，政府性基金预算财政拨款收入300.00万元，其他收入15.71万元。</w:t>
      </w:r>
    </w:p>
    <w:p>
      <w:pPr>
        <w:spacing w:line="560" w:lineRule="exact"/>
        <w:ind w:firstLine="643" w:firstLineChars="200"/>
        <w:rPr>
          <w:rFonts w:ascii="仿宋_GB2312" w:eastAsia="仿宋_GB2312"/>
          <w:sz w:val="32"/>
          <w:szCs w:val="32"/>
        </w:rPr>
      </w:pPr>
      <w:r>
        <w:rPr>
          <w:rFonts w:hint="eastAsia" w:ascii="楷体_GB2312" w:hAnsi="宋体" w:eastAsia="楷体_GB2312" w:cs="宋体"/>
          <w:b/>
          <w:color w:val="000000"/>
          <w:kern w:val="0"/>
          <w:sz w:val="32"/>
          <w:szCs w:val="32"/>
          <w:shd w:val="clear" w:color="auto" w:fill="FFFFFF"/>
          <w:lang w:val="zh-CN"/>
        </w:rPr>
        <w:t>（二）部门财政资金支出情况。</w:t>
      </w:r>
      <w:r>
        <w:rPr>
          <w:rFonts w:hint="eastAsia" w:ascii="仿宋_GB2312" w:eastAsia="仿宋_GB2312"/>
          <w:sz w:val="32"/>
          <w:szCs w:val="32"/>
        </w:rPr>
        <w:t>2021年支出合计9055.75万元，其中：基本支出7437.09万元，项目支出1618.66万元。</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3" w:firstLineChars="200"/>
        <w:contextualSpacing/>
        <w:jc w:val="left"/>
        <w:rPr>
          <w:rFonts w:ascii="仿宋_GB2312" w:hAnsi="宋体" w:eastAsia="仿宋_GB2312" w:cs="宋体"/>
          <w:b/>
          <w:kern w:val="0"/>
          <w:sz w:val="32"/>
          <w:szCs w:val="32"/>
          <w:shd w:val="clear" w:color="auto" w:fill="FFFFFF"/>
          <w:lang w:val="zh-CN"/>
        </w:rPr>
      </w:pPr>
      <w:r>
        <w:rPr>
          <w:rFonts w:hint="eastAsia" w:ascii="仿宋_GB2312" w:hAnsi="宋体" w:eastAsia="仿宋_GB2312" w:cs="宋体"/>
          <w:b/>
          <w:kern w:val="0"/>
          <w:sz w:val="32"/>
          <w:szCs w:val="32"/>
          <w:shd w:val="clear" w:color="auto" w:fill="FFFFFF"/>
          <w:lang w:val="zh-CN"/>
        </w:rPr>
        <w:t>（一）部门预算项目绩效管理。</w:t>
      </w:r>
    </w:p>
    <w:p>
      <w:pPr>
        <w:widowControl/>
        <w:adjustRightInd w:val="0"/>
        <w:snapToGrid w:val="0"/>
        <w:spacing w:line="560" w:lineRule="exact"/>
        <w:ind w:firstLine="643" w:firstLineChars="200"/>
        <w:contextualSpacing/>
        <w:jc w:val="left"/>
        <w:rPr>
          <w:rFonts w:ascii="仿宋_GB2312" w:hAnsi="宋体" w:eastAsia="仿宋_GB2312" w:cs="宋体"/>
          <w:b/>
          <w:color w:val="000000"/>
          <w:kern w:val="0"/>
          <w:sz w:val="32"/>
          <w:szCs w:val="32"/>
          <w:shd w:val="clear" w:color="auto" w:fill="FFFFFF"/>
        </w:rPr>
      </w:pPr>
      <w:r>
        <w:rPr>
          <w:rFonts w:hint="eastAsia" w:ascii="仿宋_GB2312" w:hAnsi="宋体" w:eastAsia="仿宋_GB2312" w:cs="宋体"/>
          <w:b/>
          <w:color w:val="000000"/>
          <w:kern w:val="0"/>
          <w:sz w:val="32"/>
          <w:szCs w:val="32"/>
          <w:shd w:val="clear" w:color="auto" w:fill="FFFFFF"/>
        </w:rPr>
        <w:t>1.目标管理科学化。</w:t>
      </w:r>
    </w:p>
    <w:p>
      <w:pPr>
        <w:widowControl/>
        <w:adjustRightInd w:val="0"/>
        <w:snapToGrid w:val="0"/>
        <w:spacing w:line="560" w:lineRule="exact"/>
        <w:ind w:firstLine="643" w:firstLineChars="200"/>
        <w:contextualSpacing/>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w:t>
      </w:r>
      <w:r>
        <w:rPr>
          <w:rFonts w:hint="eastAsia" w:ascii="仿宋_GB2312" w:hAnsi="宋体" w:eastAsia="仿宋_GB2312" w:cs="宋体"/>
          <w:b/>
          <w:color w:val="000000"/>
          <w:kern w:val="0"/>
          <w:sz w:val="32"/>
          <w:szCs w:val="32"/>
          <w:shd w:val="clear" w:color="auto" w:fill="FFFFFF"/>
        </w:rPr>
        <w:t>1</w:t>
      </w:r>
      <w:r>
        <w:rPr>
          <w:rFonts w:hint="eastAsia" w:ascii="仿宋_GB2312" w:hAnsi="宋体" w:eastAsia="仿宋_GB2312" w:cs="宋体"/>
          <w:b/>
          <w:color w:val="000000"/>
          <w:kern w:val="0"/>
          <w:sz w:val="32"/>
          <w:szCs w:val="32"/>
          <w:shd w:val="clear" w:color="auto" w:fill="FFFFFF"/>
          <w:lang w:val="zh-CN"/>
        </w:rPr>
        <w:t>）</w:t>
      </w:r>
      <w:r>
        <w:rPr>
          <w:rFonts w:hint="eastAsia" w:ascii="仿宋_GB2312" w:hAnsi="宋体" w:eastAsia="仿宋_GB2312" w:cs="宋体"/>
          <w:b/>
          <w:color w:val="000000"/>
          <w:kern w:val="0"/>
          <w:sz w:val="32"/>
          <w:szCs w:val="32"/>
          <w:shd w:val="clear" w:color="auto" w:fill="FFFFFF"/>
        </w:rPr>
        <w:t>在</w:t>
      </w:r>
      <w:r>
        <w:rPr>
          <w:rFonts w:hint="eastAsia" w:ascii="仿宋_GB2312" w:hAnsi="宋体" w:eastAsia="仿宋_GB2312" w:cs="宋体"/>
          <w:b/>
          <w:color w:val="000000"/>
          <w:kern w:val="0"/>
          <w:sz w:val="32"/>
          <w:szCs w:val="32"/>
          <w:shd w:val="clear" w:color="auto" w:fill="FFFFFF"/>
          <w:lang w:val="zh-CN"/>
        </w:rPr>
        <w:t>目标制定</w:t>
      </w:r>
      <w:r>
        <w:rPr>
          <w:rFonts w:hint="eastAsia" w:ascii="仿宋_GB2312" w:hAnsi="宋体" w:eastAsia="仿宋_GB2312" w:cs="宋体"/>
          <w:b/>
          <w:color w:val="000000"/>
          <w:kern w:val="0"/>
          <w:sz w:val="32"/>
          <w:szCs w:val="32"/>
          <w:shd w:val="clear" w:color="auto" w:fill="FFFFFF"/>
        </w:rPr>
        <w:t>精细上下功夫</w:t>
      </w:r>
      <w:r>
        <w:rPr>
          <w:rFonts w:hint="eastAsia" w:ascii="仿宋_GB2312" w:hAnsi="宋体" w:eastAsia="仿宋_GB2312" w:cs="宋体"/>
          <w:b/>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支队根据预算绩效管理要求，在年初预算编制阶段，能够科学、合理</w:t>
      </w:r>
      <w:r>
        <w:rPr>
          <w:rFonts w:hint="eastAsia" w:ascii="仿宋_GB2312" w:eastAsia="仿宋_GB2312"/>
          <w:sz w:val="32"/>
          <w:szCs w:val="32"/>
          <w:lang w:eastAsia="zh-CN"/>
        </w:rPr>
        <w:t>地</w:t>
      </w:r>
      <w:r>
        <w:rPr>
          <w:rFonts w:hint="eastAsia" w:ascii="仿宋_GB2312" w:eastAsia="仿宋_GB2312"/>
          <w:sz w:val="32"/>
          <w:szCs w:val="32"/>
        </w:rPr>
        <w:t>设置绩效目标，充分考虑各项目的差异性，使绩效目标内容完整，细化量化，可操作性强，与预算匹配,所有项目均纳入支队党总支会议讨论并通过。</w:t>
      </w:r>
    </w:p>
    <w:p>
      <w:pPr>
        <w:spacing w:line="560" w:lineRule="exact"/>
        <w:ind w:firstLine="630" w:firstLineChars="196"/>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b/>
          <w:sz w:val="32"/>
          <w:szCs w:val="32"/>
        </w:rPr>
        <w:t>（2）在目标实现最优上下功夫。</w:t>
      </w:r>
      <w:r>
        <w:rPr>
          <w:rFonts w:hint="eastAsia" w:ascii="仿宋_GB2312" w:eastAsia="仿宋_GB2312"/>
          <w:sz w:val="32"/>
          <w:szCs w:val="32"/>
          <w:lang w:val="zh-CN"/>
        </w:rPr>
        <w:t>2021年，全市公安交警部门紧紧围绕“防</w:t>
      </w:r>
      <w:r>
        <w:rPr>
          <w:rFonts w:hint="eastAsia" w:ascii="仿宋_GB2312" w:hAnsi="宋体" w:eastAsia="仿宋_GB2312" w:cs="宋体"/>
          <w:color w:val="000000"/>
          <w:kern w:val="0"/>
          <w:sz w:val="32"/>
          <w:szCs w:val="32"/>
          <w:shd w:val="clear" w:color="auto" w:fill="FFFFFF"/>
          <w:lang w:val="zh-CN"/>
        </w:rPr>
        <w:t>风险、保安全、护发展”主线，全力开展“护旗”系列专项行动和事故预防“减量控大”工作，维护了全市道路交通安全形势持续稳定，为建党100周年创造了安全有序、和谐文明的道路交通环境。一是交通安保能力明显提高。完成一级警务任务6起，圆满完成李克强总理来广视察期间和春节、清明、国庆等重大活动、敏感节点的交通安保任务，实现了建党100周年期间“六个坚决防止、三个确保”工作目标。二是交通形势明显好转，事故死亡人数同比大幅下降11.8%，设置乡镇交管办141个，劝导站1415个，交管员465人，劝导员1422人。三是城区交通秩序明显改善。推动实施《道路交通建设项目交通安全设施建设“三同时”实施细则》《广元市城市建设项目交通影响评价管理办法》。同时，征集反馈交通管理意见建议680余条，召开专题协调会36次，联合开展社会文明交通行动100余场次。推动完成利州西路等18条道路“微整形”项目，整改影响交通通行的广告、绿化等道路设施500余处，完善人行盲道1800余米，新增停车泊位3300余个，增设自动抓拍系统2处。四是服务发展效应明显增强。实施《公安交管服务群众便民措施》，开展驾驶证考试预约、上门接车年检等专属服务，推行“首违免罚”等惠民举措。共为群众办理电子驾照15万本，对5.3万起违法情节轻微交通违法行为不予处罚，对510台民生运输车辆取消办理入城证，“首违免罚”数达1.2万余次，“爱心助考”服务考生3.7万余人，服务专场驾驶证考生3300余人次。</w:t>
      </w:r>
    </w:p>
    <w:p>
      <w:pPr>
        <w:widowControl/>
        <w:adjustRightInd w:val="0"/>
        <w:snapToGrid w:val="0"/>
        <w:spacing w:line="560" w:lineRule="exact"/>
        <w:ind w:firstLine="643" w:firstLineChars="200"/>
        <w:contextualSpacing/>
        <w:jc w:val="left"/>
        <w:rPr>
          <w:rFonts w:ascii="仿宋_GB2312" w:hAnsi="宋体" w:eastAsia="仿宋_GB2312" w:cs="宋体"/>
          <w:b/>
          <w:color w:val="000000"/>
          <w:kern w:val="0"/>
          <w:sz w:val="32"/>
          <w:szCs w:val="32"/>
          <w:shd w:val="clear" w:color="auto" w:fill="FFFFFF"/>
        </w:rPr>
      </w:pPr>
      <w:r>
        <w:rPr>
          <w:rFonts w:hint="eastAsia" w:ascii="仿宋_GB2312" w:hAnsi="宋体" w:eastAsia="仿宋_GB2312" w:cs="宋体"/>
          <w:b/>
          <w:color w:val="000000"/>
          <w:kern w:val="0"/>
          <w:sz w:val="32"/>
          <w:szCs w:val="32"/>
          <w:shd w:val="clear" w:color="auto" w:fill="FFFFFF"/>
        </w:rPr>
        <w:t>2.动态调整精准化。</w:t>
      </w:r>
    </w:p>
    <w:p>
      <w:pPr>
        <w:spacing w:line="600" w:lineRule="exact"/>
        <w:ind w:firstLine="645"/>
        <w:rPr>
          <w:rFonts w:ascii="仿宋_GB2312" w:hAnsi="仿宋" w:eastAsia="仿宋_GB2312"/>
          <w:sz w:val="32"/>
          <w:szCs w:val="32"/>
        </w:rPr>
      </w:pPr>
      <w:r>
        <w:rPr>
          <w:rFonts w:hint="eastAsia" w:ascii="仿宋_GB2312" w:hAnsi="宋体" w:eastAsia="仿宋_GB2312" w:cs="宋体"/>
          <w:b/>
          <w:color w:val="000000"/>
          <w:kern w:val="0"/>
          <w:sz w:val="32"/>
          <w:szCs w:val="32"/>
          <w:shd w:val="clear" w:color="auto" w:fill="FFFFFF"/>
          <w:lang w:val="zh-CN"/>
        </w:rPr>
        <w:t>（</w:t>
      </w:r>
      <w:r>
        <w:rPr>
          <w:rFonts w:hint="eastAsia" w:ascii="仿宋_GB2312" w:hAnsi="宋体" w:eastAsia="仿宋_GB2312" w:cs="宋体"/>
          <w:b/>
          <w:color w:val="000000"/>
          <w:kern w:val="0"/>
          <w:sz w:val="32"/>
          <w:szCs w:val="32"/>
          <w:shd w:val="clear" w:color="auto" w:fill="FFFFFF"/>
        </w:rPr>
        <w:t>1</w:t>
      </w:r>
      <w:r>
        <w:rPr>
          <w:rFonts w:hint="eastAsia" w:ascii="仿宋_GB2312" w:hAnsi="宋体" w:eastAsia="仿宋_GB2312" w:cs="宋体"/>
          <w:b/>
          <w:color w:val="000000"/>
          <w:kern w:val="0"/>
          <w:sz w:val="32"/>
          <w:szCs w:val="32"/>
          <w:shd w:val="clear" w:color="auto" w:fill="FFFFFF"/>
          <w:lang w:val="zh-CN"/>
        </w:rPr>
        <w:t>）</w:t>
      </w:r>
      <w:r>
        <w:rPr>
          <w:rFonts w:hint="eastAsia" w:ascii="仿宋_GB2312" w:hAnsi="宋体" w:eastAsia="仿宋_GB2312" w:cs="宋体"/>
          <w:b/>
          <w:color w:val="000000"/>
          <w:kern w:val="0"/>
          <w:sz w:val="32"/>
          <w:szCs w:val="32"/>
          <w:shd w:val="clear" w:color="auto" w:fill="FFFFFF"/>
        </w:rPr>
        <w:t>在支出控制方面。</w:t>
      </w:r>
      <w:r>
        <w:rPr>
          <w:rFonts w:hint="eastAsia" w:ascii="仿宋_GB2312" w:eastAsia="仿宋_GB2312"/>
          <w:sz w:val="32"/>
          <w:szCs w:val="32"/>
        </w:rPr>
        <w:t>2021年度，支队一般公共预算财政拨款基本支出7421.38万元，其中：人员经费支出4752.41万元。经费由</w:t>
      </w:r>
      <w:r>
        <w:rPr>
          <w:rFonts w:hint="eastAsia" w:ascii="仿宋_GB2312" w:hAnsi="仿宋" w:eastAsia="仿宋_GB2312"/>
          <w:sz w:val="32"/>
          <w:szCs w:val="32"/>
        </w:rPr>
        <w:t>基本工资、津贴补贴、奖金、伙食补助费、机关事业单位基本养老保险缴费、</w:t>
      </w:r>
      <w:r>
        <w:rPr>
          <w:rFonts w:hint="eastAsia" w:ascii="仿宋_GB2312" w:hAnsi="仿宋" w:eastAsia="仿宋_GB2312"/>
          <w:sz w:val="32"/>
          <w:szCs w:val="32"/>
          <w:lang w:eastAsia="zh-CN"/>
        </w:rPr>
        <w:t>职工基本医疗保险缴费、</w:t>
      </w:r>
      <w:r>
        <w:rPr>
          <w:rFonts w:hint="eastAsia" w:ascii="仿宋_GB2312" w:hAnsi="仿宋" w:eastAsia="仿宋_GB2312"/>
          <w:sz w:val="32"/>
          <w:szCs w:val="32"/>
        </w:rPr>
        <w:t>职业年金缴费、其他社会保障缴费、其他工资福利支出、抚恤金、生活补助、医疗费补助、住房公积金等。</w:t>
      </w:r>
      <w:r>
        <w:rPr>
          <w:rFonts w:hint="eastAsia" w:ascii="仿宋_GB2312" w:hAnsi="仿宋" w:eastAsia="仿宋_GB2312"/>
          <w:sz w:val="32"/>
          <w:szCs w:val="32"/>
        </w:rPr>
        <w:br w:type="textWrapping"/>
      </w:r>
      <w:r>
        <w:rPr>
          <w:rFonts w:hint="eastAsia" w:ascii="仿宋_GB2312" w:hAnsi="仿宋" w:eastAsia="仿宋_GB2312"/>
          <w:sz w:val="32"/>
          <w:szCs w:val="32"/>
        </w:rPr>
        <w:t>　　公用经费2668.97万元，主要包括：办公费、印刷费、手续费、水费、电费、邮电费、物业管理费、差旅费、维修（护）费、租赁费、会议费、培训费、公务接待费、劳务费、委托业务费、工会经费、福利费、公务用车运行维护费、其他交通费、其他商品和服务支出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一般公共预算财政拨款项目支出具体情况。2021年度财政拨款项目支出1318.66万元。主要包括:信息化平台建设、办公设备购置、执勤执法装备购置、车管成本、事故处理成本、交通安全宣传等支出。</w:t>
      </w:r>
    </w:p>
    <w:p>
      <w:pPr>
        <w:spacing w:line="560" w:lineRule="exact"/>
        <w:ind w:firstLine="640" w:firstLineChars="200"/>
        <w:rPr>
          <w:rFonts w:ascii="仿宋_GB2312" w:eastAsia="仿宋_GB2312"/>
          <w:sz w:val="32"/>
          <w:szCs w:val="32"/>
        </w:rPr>
      </w:pPr>
      <w:r>
        <w:rPr>
          <w:rFonts w:hint="eastAsia" w:ascii="仿宋_GB2312" w:hAnsi="宋体" w:eastAsia="仿宋_GB2312" w:cs="宋体"/>
          <w:color w:val="000000"/>
          <w:kern w:val="0"/>
          <w:sz w:val="32"/>
          <w:szCs w:val="32"/>
          <w:shd w:val="clear" w:color="auto" w:fill="FFFFFF"/>
        </w:rPr>
        <w:t>202</w:t>
      </w:r>
      <w:r>
        <w:rPr>
          <w:rFonts w:hint="eastAsia" w:ascii="仿宋_GB2312" w:eastAsia="仿宋_GB2312"/>
          <w:sz w:val="32"/>
          <w:szCs w:val="32"/>
        </w:rPr>
        <w:t>1年度“三公”经费财政拨款支出总额315.72万元，其中，因公出国（境）费支出0万元；公务用车购置109.29万元，运行维护支出201.63万元，公务接待费支出4.8万元。</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（2）在及时处理上。</w:t>
      </w:r>
      <w:r>
        <w:rPr>
          <w:rFonts w:hint="eastAsia" w:ascii="仿宋_GB2312" w:hAnsi="宋体" w:eastAsia="仿宋_GB2312" w:cs="宋体"/>
          <w:kern w:val="0"/>
          <w:sz w:val="32"/>
          <w:szCs w:val="32"/>
        </w:rPr>
        <w:t>为将绩效监控结果应用到预算调整上，使资金使用效率更加高效，2021年我支队对所有的项目进行了绩效监控，通过项目绩效监控来看，我支队所有项目运行良好。</w:t>
      </w:r>
    </w:p>
    <w:p>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（3）在执行进度上。</w:t>
      </w:r>
      <w:r>
        <w:rPr>
          <w:rFonts w:hint="eastAsia" w:ascii="仿宋_GB2312" w:hAnsi="宋体" w:eastAsia="仿宋_GB2312" w:cs="宋体"/>
          <w:kern w:val="0"/>
          <w:sz w:val="32"/>
          <w:szCs w:val="32"/>
        </w:rPr>
        <w:t>从项目绩效运行监控来看，我支队项目执行进度完全符合财政要求，不存在资金支付效率低下的问题。</w:t>
      </w:r>
    </w:p>
    <w:p>
      <w:pPr>
        <w:spacing w:line="560" w:lineRule="exact"/>
        <w:ind w:firstLine="803" w:firstLineChars="250"/>
        <w:rPr>
          <w:rFonts w:ascii="仿宋_GB2312" w:hAnsi="宋体" w:eastAsia="仿宋_GB2312" w:cs="宋体"/>
          <w:b/>
          <w:kern w:val="0"/>
          <w:sz w:val="32"/>
          <w:szCs w:val="32"/>
        </w:rPr>
      </w:pPr>
      <w:r>
        <w:rPr>
          <w:rFonts w:hint="eastAsia" w:ascii="仿宋_GB2312" w:hAnsi="宋体" w:eastAsia="仿宋_GB2312" w:cs="宋体"/>
          <w:b/>
          <w:kern w:val="0"/>
          <w:sz w:val="32"/>
          <w:szCs w:val="32"/>
        </w:rPr>
        <w:t>3.完成效率时序化。</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kern w:val="0"/>
          <w:sz w:val="32"/>
          <w:szCs w:val="32"/>
          <w:lang w:eastAsia="zh-CN"/>
        </w:rPr>
        <w:t>截至2021年</w:t>
      </w:r>
      <w:r>
        <w:rPr>
          <w:rFonts w:hint="eastAsia" w:ascii="仿宋_GB2312" w:hAnsi="宋体" w:eastAsia="仿宋_GB2312" w:cs="宋体"/>
          <w:kern w:val="0"/>
          <w:sz w:val="32"/>
          <w:szCs w:val="32"/>
        </w:rPr>
        <w:t>12月31日，我支队部门预算项目预算执行进度达到100%，按时按质完成了部门预算，且项目预算编制科学合理，资金使用高效，无结余资金。同时，对于资金的使用</w:t>
      </w:r>
      <w:r>
        <w:rPr>
          <w:rFonts w:hint="eastAsia" w:ascii="仿宋_GB2312" w:hAnsi="宋体" w:eastAsia="仿宋_GB2312" w:cs="宋体"/>
          <w:color w:val="000000"/>
          <w:kern w:val="0"/>
          <w:sz w:val="32"/>
          <w:szCs w:val="32"/>
          <w:shd w:val="clear" w:color="auto" w:fill="FFFFFF"/>
        </w:rPr>
        <w:t>强化了审核，不存在违规情况。</w:t>
      </w:r>
    </w:p>
    <w:p>
      <w:pPr>
        <w:widowControl/>
        <w:adjustRightInd w:val="0"/>
        <w:snapToGrid w:val="0"/>
        <w:spacing w:line="572" w:lineRule="exact"/>
        <w:ind w:firstLine="643" w:firstLineChars="200"/>
        <w:contextualSpacing/>
        <w:jc w:val="left"/>
        <w:rPr>
          <w:rFonts w:ascii="仿宋_GB2312" w:hAnsi="宋体" w:eastAsia="仿宋_GB2312" w:cs="宋体"/>
          <w:b/>
          <w:kern w:val="0"/>
          <w:sz w:val="32"/>
          <w:szCs w:val="32"/>
          <w:shd w:val="clear" w:color="auto" w:fill="FFFFFF"/>
          <w:lang w:val="zh-CN"/>
        </w:rPr>
      </w:pPr>
      <w:r>
        <w:rPr>
          <w:rFonts w:hint="eastAsia" w:ascii="仿宋_GB2312" w:hAnsi="宋体" w:eastAsia="仿宋_GB2312" w:cs="宋体"/>
          <w:b/>
          <w:kern w:val="0"/>
          <w:sz w:val="32"/>
          <w:szCs w:val="32"/>
          <w:shd w:val="clear" w:color="auto" w:fill="FFFFFF"/>
          <w:lang w:val="zh-CN"/>
        </w:rPr>
        <w:t>（二）结果应用情况</w:t>
      </w:r>
    </w:p>
    <w:p>
      <w:pPr>
        <w:widowControl/>
        <w:adjustRightInd w:val="0"/>
        <w:snapToGrid w:val="0"/>
        <w:spacing w:line="56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为强化绩效目标评价结果的应用：一是充分保障评价结果优秀且绩效突出的项目资金；二是依据绩效评价结果，科学合理编制下一年度预算。根据“谁支出、谁负责”的原则，对绩效目标完成情况进行监控，强化应用反馈，提高资金使用效率，同时，按照要求，在本部门网站上对绩效目标自评情况进行公开。</w:t>
      </w:r>
    </w:p>
    <w:p>
      <w:pPr>
        <w:widowControl/>
        <w:numPr>
          <w:ilvl w:val="0"/>
          <w:numId w:val="4"/>
        </w:numPr>
        <w:adjustRightInd w:val="0"/>
        <w:snapToGrid w:val="0"/>
        <w:spacing w:line="580" w:lineRule="exact"/>
        <w:ind w:firstLine="643" w:firstLineChars="200"/>
        <w:contextualSpacing/>
        <w:jc w:val="left"/>
        <w:rPr>
          <w:rFonts w:ascii="仿宋_GB2312" w:hAnsi="宋体" w:eastAsia="仿宋_GB2312" w:cs="宋体"/>
          <w:b/>
          <w:kern w:val="0"/>
          <w:sz w:val="32"/>
          <w:szCs w:val="32"/>
          <w:shd w:val="clear" w:color="auto" w:fill="FFFFFF"/>
          <w:lang w:val="zh-CN"/>
        </w:rPr>
      </w:pPr>
      <w:r>
        <w:rPr>
          <w:rFonts w:hint="eastAsia" w:ascii="仿宋_GB2312" w:hAnsi="宋体" w:eastAsia="仿宋_GB2312" w:cs="宋体"/>
          <w:b/>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我支队本次绩效自评内容真实完整，整体支出评价准确，自评得分为99.99分。</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spacing w:line="560" w:lineRule="exact"/>
        <w:ind w:firstLine="630" w:firstLineChars="196"/>
        <w:jc w:val="left"/>
        <w:rPr>
          <w:rFonts w:ascii="仿宋_GB2312" w:hAnsi="宋体" w:eastAsia="仿宋_GB2312" w:cs="宋体"/>
          <w:color w:val="000000"/>
          <w:kern w:val="0"/>
          <w:sz w:val="32"/>
          <w:szCs w:val="32"/>
        </w:rPr>
      </w:pPr>
      <w:r>
        <w:rPr>
          <w:rFonts w:hint="eastAsia" w:ascii="楷体_GB2312" w:hAnsi="楷体_GB2312" w:eastAsia="楷体_GB2312" w:cs="楷体_GB2312"/>
          <w:b/>
          <w:bCs/>
          <w:color w:val="000000"/>
          <w:kern w:val="0"/>
          <w:sz w:val="32"/>
          <w:szCs w:val="32"/>
          <w:shd w:val="clear" w:color="auto" w:fill="FFFFFF"/>
          <w:lang w:val="zh-CN"/>
        </w:rPr>
        <w:t>（一）评价结论。</w:t>
      </w:r>
      <w:r>
        <w:rPr>
          <w:rFonts w:hint="eastAsia" w:ascii="仿宋_GB2312" w:hAnsi="宋体" w:eastAsia="仿宋_GB2312" w:cs="宋体"/>
          <w:color w:val="000000"/>
          <w:kern w:val="0"/>
          <w:sz w:val="32"/>
          <w:szCs w:val="32"/>
        </w:rPr>
        <w:t>2021年，我支队从</w:t>
      </w:r>
      <w:r>
        <w:rPr>
          <w:rFonts w:hint="eastAsia" w:ascii="仿宋_GB2312" w:eastAsia="仿宋_GB2312"/>
          <w:color w:val="000000"/>
          <w:sz w:val="32"/>
          <w:szCs w:val="32"/>
        </w:rPr>
        <w:t>需求、论证、审批、实施和验收等环节着手，注重强化</w:t>
      </w:r>
      <w:r>
        <w:rPr>
          <w:rFonts w:hint="eastAsia" w:ascii="仿宋_GB2312" w:hAnsi="宋体" w:eastAsia="仿宋_GB2312" w:cs="宋体"/>
          <w:color w:val="000000"/>
          <w:kern w:val="0"/>
          <w:sz w:val="32"/>
          <w:szCs w:val="32"/>
        </w:rPr>
        <w:t>项目的规划与科学论证，</w:t>
      </w:r>
      <w:r>
        <w:rPr>
          <w:rFonts w:hint="eastAsia" w:ascii="仿宋_GB2312" w:eastAsia="仿宋_GB2312"/>
          <w:color w:val="000000"/>
          <w:sz w:val="32"/>
          <w:szCs w:val="32"/>
        </w:rPr>
        <w:t>规范绩效支出项目建设，严把项目建设进度和质量关，实现流程管理模式化和标准化</w:t>
      </w:r>
      <w:r>
        <w:rPr>
          <w:rFonts w:hint="eastAsia" w:ascii="仿宋_GB2312" w:hAnsi="宋体" w:eastAsia="仿宋_GB2312" w:cs="宋体"/>
          <w:color w:val="000000"/>
          <w:kern w:val="0"/>
          <w:sz w:val="32"/>
          <w:szCs w:val="32"/>
        </w:rPr>
        <w:t>；健全了资金的核算与管理制度，做到“量化到人头，落实到部门，具体到项目”，促进了财政资金的使用管理方式，极大</w:t>
      </w:r>
      <w:r>
        <w:rPr>
          <w:rFonts w:hint="eastAsia" w:ascii="仿宋_GB2312" w:hAnsi="宋体" w:eastAsia="仿宋_GB2312" w:cs="宋体"/>
          <w:color w:val="000000"/>
          <w:kern w:val="0"/>
          <w:sz w:val="32"/>
          <w:szCs w:val="32"/>
          <w:lang w:eastAsia="zh-CN"/>
        </w:rPr>
        <w:t>地</w:t>
      </w:r>
      <w:r>
        <w:rPr>
          <w:rFonts w:hint="eastAsia" w:ascii="仿宋_GB2312" w:hAnsi="宋体" w:eastAsia="仿宋_GB2312" w:cs="宋体"/>
          <w:color w:val="000000"/>
          <w:kern w:val="0"/>
          <w:sz w:val="32"/>
          <w:szCs w:val="32"/>
        </w:rPr>
        <w:t>保障了道路交通管理。</w:t>
      </w:r>
    </w:p>
    <w:p>
      <w:pPr>
        <w:snapToGrid w:val="0"/>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color w:val="000000"/>
          <w:kern w:val="0"/>
          <w:sz w:val="32"/>
          <w:szCs w:val="32"/>
          <w:shd w:val="clear" w:color="auto" w:fill="FFFFFF"/>
          <w:lang w:val="zh-CN"/>
        </w:rPr>
        <w:t>（二）存在问题。</w:t>
      </w:r>
      <w:r>
        <w:rPr>
          <w:rFonts w:hint="eastAsia" w:hAnsi="宋体" w:eastAsia="仿宋_GB2312"/>
          <w:bCs/>
          <w:kern w:val="0"/>
          <w:sz w:val="32"/>
          <w:szCs w:val="32"/>
        </w:rPr>
        <w:t>一是</w:t>
      </w:r>
      <w:r>
        <w:rPr>
          <w:rFonts w:hint="eastAsia" w:ascii="仿宋_GB2312" w:eastAsia="仿宋_GB2312"/>
          <w:sz w:val="32"/>
          <w:szCs w:val="32"/>
        </w:rPr>
        <w:t>城区交通管理设施建设经费年初无预算，需要垫付经费严重影响正常公务费支出；二是预算绩效管理专业性较强，有时对政策把握不够。</w:t>
      </w:r>
    </w:p>
    <w:p>
      <w:pPr>
        <w:widowControl/>
        <w:spacing w:line="560" w:lineRule="exact"/>
        <w:ind w:firstLine="639" w:firstLineChars="199"/>
        <w:jc w:val="left"/>
        <w:rPr>
          <w:rFonts w:hAnsi="宋体" w:eastAsia="仿宋_GB2312"/>
          <w:bCs/>
          <w:kern w:val="0"/>
          <w:sz w:val="32"/>
          <w:szCs w:val="32"/>
        </w:rPr>
      </w:pPr>
      <w:r>
        <w:rPr>
          <w:rFonts w:hint="eastAsia" w:ascii="楷体_GB2312" w:hAnsi="楷体_GB2312" w:eastAsia="楷体_GB2312" w:cs="楷体_GB2312"/>
          <w:b/>
          <w:bCs/>
          <w:color w:val="000000"/>
          <w:kern w:val="0"/>
          <w:sz w:val="32"/>
          <w:szCs w:val="32"/>
          <w:shd w:val="clear" w:color="auto" w:fill="FFFFFF"/>
          <w:lang w:val="zh-CN"/>
        </w:rPr>
        <w:t>（三）改进建议。</w:t>
      </w:r>
      <w:r>
        <w:rPr>
          <w:rFonts w:hint="eastAsia" w:ascii="仿宋_GB2312" w:eastAsia="仿宋_GB2312"/>
          <w:sz w:val="32"/>
          <w:szCs w:val="32"/>
        </w:rPr>
        <w:t>建议市财政在资金预算、项目建设等方面予以倾斜保障。</w:t>
      </w:r>
    </w:p>
    <w:p>
      <w:pPr>
        <w:pStyle w:val="2"/>
        <w:spacing w:before="93"/>
        <w:rPr>
          <w:rFonts w:hAnsi="宋体" w:cs="宋体"/>
          <w:sz w:val="32"/>
          <w:szCs w:val="32"/>
          <w:shd w:val="clear" w:color="auto" w:fill="FFFFFF"/>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r>
        <w:rPr>
          <w:rFonts w:hint="eastAsia" w:hAnsi="宋体" w:cs="宋体"/>
          <w:sz w:val="32"/>
          <w:szCs w:val="32"/>
          <w:shd w:val="clear" w:color="auto" w:fill="FFFFFF"/>
          <w:lang w:val="zh-CN"/>
        </w:rPr>
        <w:t>附件</w:t>
      </w:r>
    </w:p>
    <w:p>
      <w:pPr>
        <w:pStyle w:val="2"/>
        <w:spacing w:before="93"/>
        <w:rPr>
          <w:lang w:val="zh-CN"/>
        </w:rPr>
      </w:pPr>
    </w:p>
    <w:p>
      <w:pPr>
        <w:spacing w:line="576" w:lineRule="exact"/>
        <w:jc w:val="center"/>
        <w:rPr>
          <w:rFonts w:ascii="黑体" w:hAnsi="宋体" w:eastAsia="黑体"/>
          <w:color w:val="000000"/>
          <w:kern w:val="0"/>
          <w:sz w:val="44"/>
          <w:szCs w:val="44"/>
          <w:lang w:val="zh-CN"/>
        </w:rPr>
      </w:pPr>
      <w:r>
        <w:rPr>
          <w:rFonts w:hint="eastAsia" w:ascii="黑体" w:hAnsi="宋体" w:eastAsia="黑体"/>
          <w:color w:val="000000"/>
          <w:kern w:val="0"/>
          <w:sz w:val="44"/>
          <w:szCs w:val="44"/>
          <w:lang w:val="zh-CN"/>
        </w:rPr>
        <w:t>广元市公安局交通警察支队</w:t>
      </w:r>
    </w:p>
    <w:p>
      <w:pPr>
        <w:spacing w:line="576" w:lineRule="exact"/>
        <w:jc w:val="center"/>
        <w:rPr>
          <w:rFonts w:ascii="黑体" w:hAnsi="宋体" w:eastAsia="黑体"/>
          <w:color w:val="000000"/>
          <w:kern w:val="0"/>
          <w:sz w:val="44"/>
          <w:szCs w:val="44"/>
          <w:lang w:val="zh-CN"/>
        </w:rPr>
      </w:pPr>
      <w:r>
        <w:rPr>
          <w:rFonts w:hint="eastAsia" w:ascii="黑体" w:hAnsi="宋体" w:eastAsia="黑体"/>
          <w:color w:val="000000"/>
          <w:kern w:val="0"/>
          <w:sz w:val="44"/>
          <w:szCs w:val="44"/>
          <w:lang w:val="zh-CN"/>
        </w:rPr>
        <w:t>关于2021年度交通安全宣传费项目</w:t>
      </w:r>
    </w:p>
    <w:p>
      <w:pPr>
        <w:spacing w:line="576" w:lineRule="exact"/>
        <w:jc w:val="center"/>
        <w:rPr>
          <w:rFonts w:ascii="黑体" w:hAnsi="宋体" w:eastAsia="黑体"/>
          <w:color w:val="000000"/>
          <w:kern w:val="0"/>
          <w:sz w:val="44"/>
          <w:szCs w:val="44"/>
          <w:lang w:val="zh-CN"/>
        </w:rPr>
      </w:pPr>
      <w:r>
        <w:rPr>
          <w:rFonts w:hint="eastAsia" w:ascii="黑体" w:hAnsi="宋体" w:eastAsia="黑体"/>
          <w:color w:val="000000"/>
          <w:kern w:val="0"/>
          <w:sz w:val="44"/>
          <w:szCs w:val="44"/>
          <w:lang w:val="zh-CN"/>
        </w:rPr>
        <w:t>绩效自评报告</w:t>
      </w:r>
    </w:p>
    <w:p>
      <w:pPr>
        <w:adjustRightInd w:val="0"/>
        <w:snapToGrid w:val="0"/>
        <w:spacing w:line="576" w:lineRule="exact"/>
        <w:ind w:firstLine="640" w:firstLineChars="200"/>
        <w:rPr>
          <w:rFonts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公安机关交通管理部门及其</w:t>
      </w:r>
      <w:r>
        <w:rPr>
          <w:rFonts w:hint="eastAsia" w:ascii="仿宋_GB2312" w:hAnsi="宋体" w:eastAsia="仿宋_GB2312"/>
          <w:sz w:val="32"/>
          <w:szCs w:val="32"/>
          <w:lang w:val="zh-CN"/>
        </w:rPr>
        <w:t>交通警察</w:t>
      </w:r>
      <w:r>
        <w:rPr>
          <w:rFonts w:ascii="仿宋_GB2312" w:hAnsi="宋体" w:eastAsia="仿宋_GB2312"/>
          <w:sz w:val="32"/>
          <w:szCs w:val="32"/>
          <w:lang w:val="zh-CN"/>
        </w:rPr>
        <w:t>执行职务时，应当加强道路交通安全法律、法规的宣传，并模范遵守道路交通安全法律、法规。</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w:t>
      </w:r>
      <w:r>
        <w:rPr>
          <w:rFonts w:ascii="仿宋_GB2312" w:hAnsi="宋体" w:eastAsia="仿宋_GB2312"/>
          <w:sz w:val="32"/>
          <w:szCs w:val="32"/>
          <w:lang w:val="zh-CN"/>
        </w:rPr>
        <w:t>中华人民共和国道路交通安全法</w:t>
      </w:r>
      <w:r>
        <w:rPr>
          <w:rFonts w:hint="eastAsia" w:ascii="仿宋_GB2312" w:hAnsi="宋体" w:eastAsia="仿宋_GB2312"/>
          <w:sz w:val="32"/>
          <w:szCs w:val="32"/>
          <w:lang w:val="zh-CN"/>
        </w:rPr>
        <w:t>》第一章第六条二款“</w:t>
      </w:r>
      <w:r>
        <w:rPr>
          <w:rFonts w:ascii="仿宋_GB2312" w:hAnsi="宋体" w:eastAsia="仿宋_GB2312"/>
          <w:sz w:val="32"/>
          <w:szCs w:val="32"/>
          <w:lang w:val="zh-CN"/>
        </w:rPr>
        <w:t>公安机关交通管理部门及其</w:t>
      </w:r>
      <w:r>
        <w:rPr>
          <w:rFonts w:hint="eastAsia" w:ascii="仿宋_GB2312" w:hAnsi="宋体" w:eastAsia="仿宋_GB2312"/>
          <w:sz w:val="32"/>
          <w:szCs w:val="32"/>
          <w:lang w:val="zh-CN"/>
        </w:rPr>
        <w:t>交通警察</w:t>
      </w:r>
      <w:r>
        <w:rPr>
          <w:rFonts w:ascii="仿宋_GB2312" w:hAnsi="宋体" w:eastAsia="仿宋_GB2312"/>
          <w:sz w:val="32"/>
          <w:szCs w:val="32"/>
          <w:lang w:val="zh-CN"/>
        </w:rPr>
        <w:t>执行职务时，应当加强道路交通安全法律、法规的宣传，并模范遵守道路交通安全法律、法规。</w:t>
      </w:r>
      <w:r>
        <w:rPr>
          <w:rFonts w:hint="eastAsia" w:ascii="仿宋_GB2312" w:hAnsi="宋体" w:eastAsia="仿宋_GB2312"/>
          <w:sz w:val="32"/>
          <w:szCs w:val="32"/>
          <w:lang w:val="zh-CN"/>
        </w:rPr>
        <w:t>”和“四川省《</w:t>
      </w:r>
      <w:r>
        <w:rPr>
          <w:rFonts w:ascii="仿宋_GB2312" w:hAnsi="宋体" w:eastAsia="仿宋_GB2312"/>
          <w:sz w:val="32"/>
          <w:szCs w:val="32"/>
          <w:lang w:val="zh-CN"/>
        </w:rPr>
        <w:t>中华人民共和国道路交通安全法</w:t>
      </w:r>
      <w:r>
        <w:rPr>
          <w:rFonts w:hint="eastAsia" w:ascii="仿宋_GB2312" w:hAnsi="宋体" w:eastAsia="仿宋_GB2312"/>
          <w:sz w:val="32"/>
          <w:szCs w:val="32"/>
          <w:lang w:val="zh-CN"/>
        </w:rPr>
        <w:t>》实施办法”第一章第三条五项“</w:t>
      </w:r>
      <w:r>
        <w:rPr>
          <w:rFonts w:ascii="仿宋_GB2312" w:hAnsi="宋体" w:eastAsia="仿宋_GB2312"/>
          <w:sz w:val="32"/>
          <w:szCs w:val="32"/>
          <w:lang w:val="zh-CN"/>
        </w:rPr>
        <w:t>组织开展道路交通安全宣传教育，表彰奖励在道路交通安全工作中有突出贡献的单位与个人</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w:t>
      </w:r>
      <w:r>
        <w:rPr>
          <w:rFonts w:ascii="仿宋_GB2312" w:hAnsi="宋体" w:eastAsia="仿宋_GB2312"/>
          <w:sz w:val="32"/>
          <w:szCs w:val="32"/>
          <w:lang w:val="zh-CN"/>
        </w:rPr>
        <w:t>中华人民共和国道路交通安全法</w:t>
      </w:r>
      <w:r>
        <w:rPr>
          <w:rFonts w:hint="eastAsia" w:ascii="仿宋_GB2312" w:hAnsi="宋体" w:eastAsia="仿宋_GB2312"/>
          <w:sz w:val="32"/>
          <w:szCs w:val="32"/>
          <w:lang w:val="zh-CN"/>
        </w:rPr>
        <w:t>》第一章第六条二款“</w:t>
      </w:r>
      <w:r>
        <w:rPr>
          <w:rFonts w:ascii="仿宋_GB2312" w:hAnsi="宋体" w:eastAsia="仿宋_GB2312"/>
          <w:sz w:val="32"/>
          <w:szCs w:val="32"/>
          <w:lang w:val="zh-CN"/>
        </w:rPr>
        <w:t>公安机关交通管理部门及其</w:t>
      </w:r>
      <w:r>
        <w:rPr>
          <w:rFonts w:hint="eastAsia" w:ascii="仿宋_GB2312" w:hAnsi="宋体" w:eastAsia="仿宋_GB2312"/>
          <w:sz w:val="32"/>
          <w:szCs w:val="32"/>
          <w:lang w:val="zh-CN"/>
        </w:rPr>
        <w:t>交通警察</w:t>
      </w:r>
      <w:r>
        <w:rPr>
          <w:rFonts w:ascii="仿宋_GB2312" w:hAnsi="宋体" w:eastAsia="仿宋_GB2312"/>
          <w:sz w:val="32"/>
          <w:szCs w:val="32"/>
          <w:lang w:val="zh-CN"/>
        </w:rPr>
        <w:t>执行职务时，应当加强道路交通安全法律、法规的宣传，并模范遵守道路交通安全法律、法规。</w:t>
      </w:r>
      <w:r>
        <w:rPr>
          <w:rFonts w:hint="eastAsia" w:ascii="仿宋_GB2312" w:hAnsi="宋体" w:eastAsia="仿宋_GB2312"/>
          <w:sz w:val="32"/>
          <w:szCs w:val="32"/>
          <w:lang w:val="zh-CN"/>
        </w:rPr>
        <w:t>”和“四川省《</w:t>
      </w:r>
      <w:r>
        <w:rPr>
          <w:rFonts w:ascii="仿宋_GB2312" w:hAnsi="宋体" w:eastAsia="仿宋_GB2312"/>
          <w:sz w:val="32"/>
          <w:szCs w:val="32"/>
          <w:lang w:val="zh-CN"/>
        </w:rPr>
        <w:t>中华人民共和国道路交通安全法</w:t>
      </w:r>
      <w:r>
        <w:rPr>
          <w:rFonts w:hint="eastAsia" w:ascii="仿宋_GB2312" w:hAnsi="宋体" w:eastAsia="仿宋_GB2312"/>
          <w:sz w:val="32"/>
          <w:szCs w:val="32"/>
          <w:lang w:val="zh-CN"/>
        </w:rPr>
        <w:t>》实施办法”第一章第三条五项“</w:t>
      </w:r>
      <w:r>
        <w:rPr>
          <w:rFonts w:ascii="仿宋_GB2312" w:hAnsi="宋体" w:eastAsia="仿宋_GB2312"/>
          <w:sz w:val="32"/>
          <w:szCs w:val="32"/>
          <w:lang w:val="zh-CN"/>
        </w:rPr>
        <w:t>组织开展道路交通安全宣传教育，表彰奖励在道路交通安全工作中有突出贡献的单位与个人</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资金分配上主要以电视台、电台、报纸、网络等媒体为主要宣传渠道，另外配合发放宣传资料、举办专题讲座、开展专项行动等方式，多种渠道和方式进行道路交通安全宣传。</w:t>
      </w:r>
    </w:p>
    <w:p>
      <w:pPr>
        <w:adjustRightInd w:val="0"/>
        <w:snapToGrid w:val="0"/>
        <w:spacing w:line="576"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通过报纸、电台、电视台、互联网等宣传交通安全知识，实时开展“大曝光”、“大警示”、“大直播”等宣传行动，曝光典型案例，公布终身禁驾人员，举办交通安全宣传，开展执法大直播，与中省市级媒体及新媒体刊发稿件，完善宣传阵地，增加农村交通安全文化长廊及青少年交通体验馆，提升交通参与者的素质。</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通过项目实施，提升广大交通参与者的交通安全意识，为广大人民群众交通出行提供便利，有效减少交通事故的发生。</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项目内容与实际完全相符，申报目标是合理可行的。</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支队高度重视项目绩效自查自评工作，成立了以支队长任组长的项目自评领导小组，下设办公室具体负责自评工作，采取调阅资料、现场查看等方式开展自评工作。</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根据预算绩效管理要求，本单位在年初预算编制阶段，组织对该项目编制了绩效目标，申报项目资金39.8万元，财政批复39.8万元。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市财政预算39.8万元。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仿宋_GB2312" w:eastAsia="楷体_GB2312" w:cs="仿宋_GB2312"/>
          <w:bCs/>
          <w:sz w:val="32"/>
          <w:szCs w:val="32"/>
          <w:lang w:val="zh-CN"/>
        </w:rPr>
        <w:t>2．资金到位。</w:t>
      </w:r>
      <w:r>
        <w:rPr>
          <w:rFonts w:hint="eastAsia" w:ascii="仿宋_GB2312" w:hAnsi="宋体" w:eastAsia="仿宋_GB2312"/>
          <w:sz w:val="32"/>
          <w:szCs w:val="32"/>
          <w:lang w:val="zh-CN"/>
        </w:rPr>
        <w:t>市财政拨款39.8万元，到位率100%。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仿宋_GB2312" w:eastAsia="楷体_GB2312" w:cs="仿宋_GB2312"/>
          <w:bCs/>
          <w:sz w:val="32"/>
          <w:szCs w:val="32"/>
          <w:lang w:val="zh-CN"/>
        </w:rPr>
        <w:t>3．资金使用。</w:t>
      </w:r>
      <w:r>
        <w:rPr>
          <w:rFonts w:hint="eastAsia" w:ascii="仿宋_GB2312" w:hAnsi="宋体" w:eastAsia="仿宋_GB2312" w:cs="Times New Roman"/>
          <w:sz w:val="32"/>
          <w:szCs w:val="32"/>
          <w:lang w:val="zh-CN"/>
        </w:rPr>
        <w:t>截至2021年12</w:t>
      </w:r>
      <w:r>
        <w:rPr>
          <w:rFonts w:hint="eastAsia" w:ascii="仿宋_GB2312" w:hAnsi="宋体" w:eastAsia="仿宋_GB2312"/>
          <w:sz w:val="32"/>
          <w:szCs w:val="32"/>
          <w:lang w:val="zh-CN"/>
        </w:rPr>
        <w:t>月31日，支付资金39.8万元，完成预算的100%。该项目资金严格按照相关要求进行支付，</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ind w:firstLine="720"/>
        <w:rPr>
          <w:rFonts w:ascii="仿宋_GB2312" w:eastAsia="仿宋_GB2312" w:cs="宋体"/>
          <w:kern w:val="0"/>
          <w:sz w:val="32"/>
          <w:szCs w:val="32"/>
        </w:rPr>
      </w:pPr>
      <w:r>
        <w:rPr>
          <w:rFonts w:hint="eastAsia" w:ascii="仿宋_GB2312" w:eastAsia="仿宋_GB2312" w:cs="宋体"/>
          <w:kern w:val="0"/>
          <w:sz w:val="32"/>
          <w:szCs w:val="32"/>
        </w:rPr>
        <w:t>该项目具体实施部门为法制宣传科，年初由该科室就项目具体内容、所需资金、工作目标等形成报告，报告提交交警支队党总支会议审核，审核通过后根据财政批复情况由法制宣传科具体</w:t>
      </w:r>
      <w:r>
        <w:rPr>
          <w:rFonts w:hint="eastAsia" w:ascii="仿宋_GB2312" w:eastAsia="仿宋_GB2312" w:cs="宋体"/>
          <w:kern w:val="0"/>
          <w:sz w:val="32"/>
          <w:szCs w:val="32"/>
          <w:lang w:eastAsia="zh-CN"/>
        </w:rPr>
        <w:t>实施</w:t>
      </w:r>
      <w:r>
        <w:rPr>
          <w:rFonts w:hint="eastAsia" w:ascii="仿宋_GB2312" w:eastAsia="仿宋_GB2312" w:cs="宋体"/>
          <w:kern w:val="0"/>
          <w:sz w:val="32"/>
          <w:szCs w:val="32"/>
        </w:rPr>
        <w:t>。</w:t>
      </w:r>
    </w:p>
    <w:p>
      <w:pPr>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（二）项目管理情况。</w:t>
      </w:r>
    </w:p>
    <w:p>
      <w:pPr>
        <w:ind w:firstLine="640" w:firstLineChars="200"/>
        <w:rPr>
          <w:rFonts w:ascii="仿宋_GB2312" w:eastAsia="仿宋_GB2312"/>
          <w:sz w:val="32"/>
          <w:szCs w:val="32"/>
        </w:rPr>
      </w:pPr>
      <w:r>
        <w:rPr>
          <w:rFonts w:hint="eastAsia" w:ascii="仿宋_GB2312" w:eastAsia="仿宋_GB2312"/>
          <w:sz w:val="32"/>
          <w:szCs w:val="32"/>
        </w:rPr>
        <w:t>为确保支队各类项目规范采购和按期、优质完成，支队成立了由支队长任组长，政委任副组长，办公室主任、法宣科科长、政工科科长、办公室副主任为成员的领导小组。具体负责项目的申报、采购、建设、监管和验收，严格遵照《中华人民共和国招投标法》，凡达到政府采购标准的，全部委托市政府采购中心公开招标和采购。</w:t>
      </w:r>
    </w:p>
    <w:p>
      <w:pPr>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（三）项目监管情况。</w:t>
      </w:r>
    </w:p>
    <w:p>
      <w:pPr>
        <w:ind w:firstLine="640" w:firstLineChars="200"/>
        <w:rPr>
          <w:rFonts w:ascii="仿宋_GB2312" w:eastAsia="仿宋_GB2312"/>
          <w:sz w:val="32"/>
          <w:szCs w:val="32"/>
        </w:rPr>
      </w:pPr>
      <w:r>
        <w:rPr>
          <w:rFonts w:hint="eastAsia" w:ascii="仿宋_GB2312" w:eastAsia="仿宋_GB2312"/>
          <w:sz w:val="32"/>
          <w:szCs w:val="32"/>
        </w:rPr>
        <w:t>在项目组织实施中，支队安排了具体人员负责技术指导和监督；同时，支队严格按照标准和合同，严把质量关、进度关，确保该项目按期进行和达到预期目标。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ind w:firstLine="800" w:firstLineChars="250"/>
        <w:rPr>
          <w:rFonts w:ascii="仿宋_GB2312" w:hAnsi="仿宋_GB2312" w:eastAsia="仿宋_GB2312" w:cs="仿宋_GB2312"/>
          <w:sz w:val="32"/>
          <w:szCs w:val="32"/>
        </w:rPr>
      </w:pPr>
      <w:r>
        <w:rPr>
          <w:rFonts w:hint="eastAsia" w:ascii="仿宋_GB2312" w:hAnsi="宋体" w:eastAsia="仿宋_GB2312"/>
          <w:sz w:val="32"/>
          <w:szCs w:val="32"/>
          <w:lang w:val="zh-CN"/>
        </w:rPr>
        <w:t>完善了7个车管、9个违法处理、10个事故处理大厅和16所驾校阵地宣传设施，增加1处农村交通安全文化长廊及青少年交通体验馆。通过报纸、电台、电视台、互联网等宣传交通安全知识，实时开展“大曝光”、“大警示”、“大直播”等宣传行动，全年与中省市级媒体刊发稿件95篇，“新媒体”刊发稿件190余篇，发布重点时段“两公布一提示”12期，曝光典型案例600余起，举办现场交通安全宣传110余次，推送宣传短信50余万条。截至2021年</w:t>
      </w:r>
      <w:r>
        <w:rPr>
          <w:rFonts w:hint="eastAsia" w:ascii="仿宋_GB2312" w:hAnsi="仿宋_GB2312" w:eastAsia="仿宋_GB2312" w:cs="仿宋_GB2312"/>
          <w:sz w:val="32"/>
          <w:szCs w:val="32"/>
        </w:rPr>
        <w:t>12月31日该项目完全按照计划目标、高质量完成，并完成了资金支付。</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2021年交通安全形势明显趋好，</w:t>
      </w:r>
      <w:r>
        <w:rPr>
          <w:rFonts w:hint="eastAsia" w:ascii="仿宋_GB2312" w:hAnsi="仿宋_GB2312" w:eastAsia="仿宋_GB2312" w:cs="仿宋_GB2312"/>
          <w:sz w:val="32"/>
          <w:szCs w:val="32"/>
        </w:rPr>
        <w:t>推进了事故预防“减量控大”、交通安全守护“一盔一带”、“迎七一”交通安全百日攻坚战和全省公安机关“护旗”系列等专项工作的深入开展，</w:t>
      </w:r>
      <w:r>
        <w:rPr>
          <w:rFonts w:hint="eastAsia" w:ascii="仿宋_GB2312" w:hAnsi="宋体" w:eastAsia="仿宋_GB2312"/>
          <w:sz w:val="32"/>
          <w:szCs w:val="32"/>
          <w:lang w:val="zh-CN"/>
        </w:rPr>
        <w:t>交通事故呈逐年下降趋势，</w:t>
      </w:r>
      <w:r>
        <w:rPr>
          <w:rFonts w:hint="eastAsia" w:ascii="仿宋_GB2312" w:eastAsia="仿宋_GB2312"/>
          <w:sz w:val="32"/>
          <w:szCs w:val="32"/>
        </w:rPr>
        <w:t>没有发生一起一次死亡3人的交通事故，</w:t>
      </w:r>
      <w:r>
        <w:rPr>
          <w:rFonts w:hint="eastAsia" w:ascii="仿宋_GB2312" w:hAnsi="宋体" w:eastAsia="仿宋_GB2312"/>
          <w:sz w:val="32"/>
          <w:szCs w:val="32"/>
          <w:lang w:val="zh-CN"/>
        </w:rPr>
        <w:t>事故死亡人数同比大幅下降11.8%，</w:t>
      </w:r>
      <w:r>
        <w:rPr>
          <w:rFonts w:hint="eastAsia" w:ascii="仿宋_GB2312" w:hAnsi="仿宋_GB2312" w:eastAsia="仿宋_GB2312" w:cs="仿宋_GB2312"/>
          <w:sz w:val="32"/>
          <w:szCs w:val="32"/>
        </w:rPr>
        <w:t>为道路交通管理工作奠定了坚实基础，</w:t>
      </w:r>
      <w:r>
        <w:rPr>
          <w:rFonts w:hint="eastAsia" w:ascii="仿宋_GB2312" w:hAnsi="宋体" w:eastAsia="仿宋_GB2312"/>
          <w:sz w:val="32"/>
          <w:szCs w:val="32"/>
          <w:lang w:val="zh-CN"/>
        </w:rPr>
        <w:t>营造了遵守交通规则良好氛围，大大提高了交通参与者的素质。</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从评价情况来看，项目的预算资金管理科学合理，使用规范，完成了项目的既定目标，达到了预期使用效果，</w:t>
      </w:r>
      <w:r>
        <w:rPr>
          <w:rFonts w:hint="eastAsia" w:ascii="楷体_GB2312" w:eastAsia="楷体_GB2312"/>
          <w:sz w:val="32"/>
          <w:szCs w:val="32"/>
        </w:rPr>
        <w:t>得分是100分</w:t>
      </w:r>
      <w:r>
        <w:rPr>
          <w:rFonts w:hint="eastAsia" w:ascii="仿宋_GB2312" w:eastAsia="仿宋_GB2312"/>
          <w:sz w:val="32"/>
          <w:szCs w:val="32"/>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虽然交通安全宣传力度逐年加大，但还是有许多交通参与者交通安全意识淡薄，特别是非机车驾驶员和行人。</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下一步应当继续加大安全宣传力度，提高广大交通参与者的安全意识。</w:t>
      </w:r>
    </w:p>
    <w:p>
      <w:pPr>
        <w:pStyle w:val="2"/>
        <w:spacing w:before="93"/>
      </w:pPr>
    </w:p>
    <w:p>
      <w:pPr>
        <w:pStyle w:val="2"/>
        <w:spacing w:before="93"/>
      </w:pPr>
    </w:p>
    <w:tbl>
      <w:tblPr>
        <w:tblStyle w:val="13"/>
        <w:tblpPr w:leftFromText="180" w:rightFromText="180" w:vertAnchor="text" w:horzAnchor="page" w:tblpX="1281" w:tblpY="660"/>
        <w:tblOverlap w:val="never"/>
        <w:tblW w:w="9868" w:type="dxa"/>
        <w:tblInd w:w="-42" w:type="dxa"/>
        <w:tblLayout w:type="fixed"/>
        <w:tblCellMar>
          <w:top w:w="0" w:type="dxa"/>
          <w:left w:w="108" w:type="dxa"/>
          <w:bottom w:w="0" w:type="dxa"/>
          <w:right w:w="108" w:type="dxa"/>
        </w:tblCellMar>
      </w:tblPr>
      <w:tblGrid>
        <w:gridCol w:w="1987"/>
        <w:gridCol w:w="998"/>
        <w:gridCol w:w="151"/>
        <w:gridCol w:w="1645"/>
        <w:gridCol w:w="1196"/>
        <w:gridCol w:w="1231"/>
        <w:gridCol w:w="30"/>
        <w:gridCol w:w="2393"/>
        <w:gridCol w:w="237"/>
      </w:tblGrid>
      <w:tr>
        <w:tblPrEx>
          <w:tblCellMar>
            <w:top w:w="0" w:type="dxa"/>
            <w:left w:w="108" w:type="dxa"/>
            <w:bottom w:w="0" w:type="dxa"/>
            <w:right w:w="108" w:type="dxa"/>
          </w:tblCellMar>
        </w:tblPrEx>
        <w:trPr>
          <w:trHeight w:val="820" w:hRule="atLeast"/>
        </w:trPr>
        <w:tc>
          <w:tcPr>
            <w:tcW w:w="9631"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textAlignment w:val="center"/>
              <w:rPr>
                <w:rFonts w:ascii="宋体" w:hAnsi="宋体" w:cs="宋体"/>
                <w:sz w:val="32"/>
                <w:szCs w:val="32"/>
              </w:rPr>
            </w:pPr>
          </w:p>
          <w:p>
            <w:pPr>
              <w:widowControl/>
              <w:jc w:val="center"/>
              <w:textAlignment w:val="center"/>
              <w:rPr>
                <w:rFonts w:ascii="宋体" w:hAnsi="宋体" w:cs="宋体"/>
                <w:sz w:val="32"/>
                <w:szCs w:val="32"/>
              </w:rPr>
            </w:pPr>
            <w:r>
              <w:rPr>
                <w:rFonts w:hint="eastAsia" w:ascii="宋体" w:hAnsi="宋体" w:cs="宋体"/>
                <w:sz w:val="32"/>
                <w:szCs w:val="32"/>
              </w:rPr>
              <w:t>2021年部门预算项目绩效目标自评</w:t>
            </w:r>
          </w:p>
        </w:tc>
        <w:tc>
          <w:tcPr>
            <w:tcW w:w="237"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7" w:type="dxa"/>
          <w:trHeight w:val="309" w:hRule="atLeast"/>
        </w:trPr>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主管部门及代码</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202001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广元市公安局交通警察支队</w:t>
            </w:r>
          </w:p>
        </w:tc>
      </w:tr>
      <w:tr>
        <w:tblPrEx>
          <w:tblCellMar>
            <w:top w:w="0" w:type="dxa"/>
            <w:left w:w="108" w:type="dxa"/>
            <w:bottom w:w="0" w:type="dxa"/>
            <w:right w:w="108" w:type="dxa"/>
          </w:tblCellMar>
        </w:tblPrEx>
        <w:trPr>
          <w:gridAfter w:val="1"/>
          <w:wAfter w:w="237" w:type="dxa"/>
          <w:trHeight w:val="414" w:hRule="atLeast"/>
        </w:trPr>
        <w:tc>
          <w:tcPr>
            <w:tcW w:w="31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项目预算</w:t>
            </w:r>
            <w:r>
              <w:rPr>
                <w:rFonts w:hint="eastAsia" w:ascii="宋体" w:hAnsi="宋体" w:cs="宋体"/>
                <w:kern w:val="0"/>
                <w:sz w:val="20"/>
                <w:szCs w:val="20"/>
              </w:rPr>
              <w:br w:type="textWrapping"/>
            </w:r>
            <w:r>
              <w:rPr>
                <w:rFonts w:hint="eastAsia" w:ascii="宋体" w:hAnsi="宋体" w:cs="宋体"/>
                <w:kern w:val="0"/>
                <w:sz w:val="20"/>
                <w:szCs w:val="20"/>
              </w:rPr>
              <w:t>执行情况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预算数：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执行数：</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w:t>
            </w:r>
          </w:p>
        </w:tc>
      </w:tr>
      <w:tr>
        <w:tblPrEx>
          <w:tblCellMar>
            <w:top w:w="0" w:type="dxa"/>
            <w:left w:w="108" w:type="dxa"/>
            <w:bottom w:w="0" w:type="dxa"/>
            <w:right w:w="108" w:type="dxa"/>
          </w:tblCellMar>
        </w:tblPrEx>
        <w:trPr>
          <w:gridAfter w:val="1"/>
          <w:wAfter w:w="237" w:type="dxa"/>
          <w:trHeight w:val="674" w:hRule="atLeast"/>
        </w:trPr>
        <w:tc>
          <w:tcPr>
            <w:tcW w:w="31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w:t>
            </w:r>
          </w:p>
        </w:tc>
      </w:tr>
      <w:tr>
        <w:tblPrEx>
          <w:tblCellMar>
            <w:top w:w="0" w:type="dxa"/>
            <w:left w:w="108" w:type="dxa"/>
            <w:bottom w:w="0" w:type="dxa"/>
            <w:right w:w="108" w:type="dxa"/>
          </w:tblCellMar>
        </w:tblPrEx>
        <w:trPr>
          <w:gridAfter w:val="1"/>
          <w:wAfter w:w="237" w:type="dxa"/>
          <w:trHeight w:val="414" w:hRule="atLeast"/>
        </w:trPr>
        <w:tc>
          <w:tcPr>
            <w:tcW w:w="31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r>
      <w:tr>
        <w:tblPrEx>
          <w:tblCellMar>
            <w:top w:w="0" w:type="dxa"/>
            <w:left w:w="108" w:type="dxa"/>
            <w:bottom w:w="0" w:type="dxa"/>
            <w:right w:w="108" w:type="dxa"/>
          </w:tblCellMar>
        </w:tblPrEx>
        <w:trPr>
          <w:gridAfter w:val="1"/>
          <w:wAfter w:w="237" w:type="dxa"/>
          <w:trHeight w:val="264" w:hRule="atLeast"/>
        </w:trPr>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年度总体目标</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完成情况</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目标实际完成情况</w:t>
            </w:r>
          </w:p>
        </w:tc>
      </w:tr>
      <w:tr>
        <w:tblPrEx>
          <w:tblCellMar>
            <w:top w:w="0" w:type="dxa"/>
            <w:left w:w="108" w:type="dxa"/>
            <w:bottom w:w="0" w:type="dxa"/>
            <w:right w:w="108" w:type="dxa"/>
          </w:tblCellMar>
        </w:tblPrEx>
        <w:trPr>
          <w:gridAfter w:val="1"/>
          <w:wAfter w:w="237" w:type="dxa"/>
          <w:trHeight w:val="968"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通过报纸、电台、电视台、互联网等宣传交通安全知识，提升交通参与者的素质。</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通过报纸、电台、电视台、互联网等宣传交通安全知识，实时开展“大曝光”、“大警示”、“大直播”等宣传行动，曝光典型案例，公布终身禁驾人员，举办交通安全宣传，开展执法大直播，极大提升了交通参与者的素质。</w:t>
            </w:r>
          </w:p>
        </w:tc>
      </w:tr>
      <w:tr>
        <w:tblPrEx>
          <w:tblCellMar>
            <w:top w:w="0" w:type="dxa"/>
            <w:left w:w="108" w:type="dxa"/>
            <w:bottom w:w="0" w:type="dxa"/>
            <w:right w:w="108" w:type="dxa"/>
          </w:tblCellMar>
        </w:tblPrEx>
        <w:trPr>
          <w:gridAfter w:val="1"/>
          <w:wAfter w:w="237" w:type="dxa"/>
          <w:trHeight w:val="842" w:hRule="atLeast"/>
        </w:trPr>
        <w:tc>
          <w:tcPr>
            <w:tcW w:w="198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99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gridAfter w:val="1"/>
          <w:wAfter w:w="237" w:type="dxa"/>
          <w:trHeight w:val="620"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796" w:type="dxa"/>
            <w:gridSpan w:val="2"/>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196"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完善宣传设施</w:t>
            </w:r>
          </w:p>
        </w:tc>
        <w:tc>
          <w:tcPr>
            <w:tcW w:w="1261"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对交通安全宣传设施及阵地进行完善</w:t>
            </w:r>
          </w:p>
        </w:tc>
        <w:tc>
          <w:tcPr>
            <w:tcW w:w="2393"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完善了7个车管、9个违法处理、10个事故处理大厅和16所驾校阵地宣传设施，增加1处农村交通安全文化长廊及青少年交通体验馆。</w:t>
            </w:r>
          </w:p>
        </w:tc>
      </w:tr>
      <w:tr>
        <w:tblPrEx>
          <w:tblCellMar>
            <w:top w:w="0" w:type="dxa"/>
            <w:left w:w="108" w:type="dxa"/>
            <w:bottom w:w="0" w:type="dxa"/>
            <w:right w:w="108" w:type="dxa"/>
          </w:tblCellMar>
        </w:tblPrEx>
        <w:trPr>
          <w:gridAfter w:val="1"/>
          <w:wAfter w:w="237" w:type="dxa"/>
          <w:trHeight w:val="394"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796" w:type="dxa"/>
            <w:gridSpan w:val="2"/>
            <w:vMerge w:val="continue"/>
            <w:tcBorders>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kern w:val="0"/>
                <w:sz w:val="20"/>
                <w:szCs w:val="20"/>
              </w:rPr>
            </w:pPr>
          </w:p>
        </w:tc>
        <w:tc>
          <w:tcPr>
            <w:tcW w:w="1196"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通过报纸、新媒体等平台宣传交通安全</w:t>
            </w:r>
          </w:p>
        </w:tc>
        <w:tc>
          <w:tcPr>
            <w:tcW w:w="1261"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在报纸、新媒体平台刊发稿件</w:t>
            </w:r>
          </w:p>
        </w:tc>
        <w:tc>
          <w:tcPr>
            <w:tcW w:w="2393"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全年与中省市级媒体刊发稿件95篇，“新媒体”刊发稿件190余篇，发布重点时段“两公布一提示”12期。</w:t>
            </w:r>
          </w:p>
        </w:tc>
      </w:tr>
      <w:tr>
        <w:tblPrEx>
          <w:tblCellMar>
            <w:top w:w="0" w:type="dxa"/>
            <w:left w:w="108" w:type="dxa"/>
            <w:bottom w:w="0" w:type="dxa"/>
            <w:right w:w="108" w:type="dxa"/>
          </w:tblCellMar>
        </w:tblPrEx>
        <w:trPr>
          <w:gridAfter w:val="1"/>
          <w:wAfter w:w="237" w:type="dxa"/>
          <w:trHeight w:val="390"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796" w:type="dxa"/>
            <w:gridSpan w:val="2"/>
            <w:vMerge w:val="continue"/>
            <w:tcBorders>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kern w:val="0"/>
                <w:sz w:val="20"/>
                <w:szCs w:val="20"/>
              </w:rPr>
            </w:pPr>
          </w:p>
        </w:tc>
        <w:tc>
          <w:tcPr>
            <w:tcW w:w="1196"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典型案例曝光率</w:t>
            </w:r>
          </w:p>
        </w:tc>
        <w:tc>
          <w:tcPr>
            <w:tcW w:w="1261"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曝光典型案例</w:t>
            </w:r>
          </w:p>
        </w:tc>
        <w:tc>
          <w:tcPr>
            <w:tcW w:w="2393"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曝光典型案例600余起</w:t>
            </w:r>
          </w:p>
        </w:tc>
      </w:tr>
      <w:tr>
        <w:tblPrEx>
          <w:tblCellMar>
            <w:top w:w="0" w:type="dxa"/>
            <w:left w:w="108" w:type="dxa"/>
            <w:bottom w:w="0" w:type="dxa"/>
            <w:right w:w="108" w:type="dxa"/>
          </w:tblCellMar>
        </w:tblPrEx>
        <w:trPr>
          <w:gridAfter w:val="1"/>
          <w:wAfter w:w="237" w:type="dxa"/>
          <w:trHeight w:val="231"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796" w:type="dxa"/>
            <w:gridSpan w:val="2"/>
            <w:vMerge w:val="continue"/>
            <w:tcBorders>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kern w:val="0"/>
                <w:sz w:val="20"/>
                <w:szCs w:val="20"/>
              </w:rPr>
            </w:pPr>
          </w:p>
        </w:tc>
        <w:tc>
          <w:tcPr>
            <w:tcW w:w="1196"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举办交通安全宣传</w:t>
            </w:r>
          </w:p>
        </w:tc>
        <w:tc>
          <w:tcPr>
            <w:tcW w:w="1261"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举办现场交通安全宣传</w:t>
            </w:r>
          </w:p>
        </w:tc>
        <w:tc>
          <w:tcPr>
            <w:tcW w:w="2393"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举办现场交通安全宣传110余次</w:t>
            </w:r>
          </w:p>
        </w:tc>
      </w:tr>
      <w:tr>
        <w:tblPrEx>
          <w:tblCellMar>
            <w:top w:w="0" w:type="dxa"/>
            <w:left w:w="108" w:type="dxa"/>
            <w:bottom w:w="0" w:type="dxa"/>
            <w:right w:w="108" w:type="dxa"/>
          </w:tblCellMar>
        </w:tblPrEx>
        <w:trPr>
          <w:gridAfter w:val="1"/>
          <w:wAfter w:w="237" w:type="dxa"/>
          <w:trHeight w:val="475"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796" w:type="dxa"/>
            <w:gridSpan w:val="2"/>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kern w:val="0"/>
                <w:sz w:val="20"/>
                <w:szCs w:val="20"/>
              </w:rPr>
            </w:pPr>
          </w:p>
        </w:tc>
        <w:tc>
          <w:tcPr>
            <w:tcW w:w="1196" w:type="dxa"/>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推送宣传短信</w:t>
            </w:r>
          </w:p>
        </w:tc>
        <w:tc>
          <w:tcPr>
            <w:tcW w:w="1261" w:type="dxa"/>
            <w:gridSpan w:val="2"/>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推送宣传短信</w:t>
            </w:r>
          </w:p>
        </w:tc>
        <w:tc>
          <w:tcPr>
            <w:tcW w:w="2393" w:type="dxa"/>
            <w:tcBorders>
              <w:top w:val="single" w:color="auto" w:sz="4" w:space="0"/>
              <w:left w:val="single" w:color="000000" w:sz="4" w:space="0"/>
              <w:bottom w:val="single" w:color="000000"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推送宣传短信50余万条</w:t>
            </w:r>
          </w:p>
        </w:tc>
      </w:tr>
      <w:tr>
        <w:tblPrEx>
          <w:tblCellMar>
            <w:top w:w="0" w:type="dxa"/>
            <w:left w:w="108" w:type="dxa"/>
            <w:bottom w:w="0" w:type="dxa"/>
            <w:right w:w="108" w:type="dxa"/>
          </w:tblCellMar>
        </w:tblPrEx>
        <w:trPr>
          <w:gridAfter w:val="1"/>
          <w:wAfter w:w="237" w:type="dxa"/>
          <w:trHeight w:val="149"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796" w:type="dxa"/>
            <w:gridSpan w:val="2"/>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196"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交通安全形势</w:t>
            </w:r>
          </w:p>
        </w:tc>
        <w:tc>
          <w:tcPr>
            <w:tcW w:w="1261"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交通安全形势</w:t>
            </w:r>
          </w:p>
        </w:tc>
        <w:tc>
          <w:tcPr>
            <w:tcW w:w="2393"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交通安全形势明显趋好，交通事故成逐年下降趋势。</w:t>
            </w:r>
          </w:p>
        </w:tc>
      </w:tr>
      <w:tr>
        <w:tblPrEx>
          <w:tblCellMar>
            <w:top w:w="0" w:type="dxa"/>
            <w:left w:w="108" w:type="dxa"/>
            <w:bottom w:w="0" w:type="dxa"/>
            <w:right w:w="108" w:type="dxa"/>
          </w:tblCellMar>
        </w:tblPrEx>
        <w:trPr>
          <w:gridAfter w:val="1"/>
          <w:wAfter w:w="237" w:type="dxa"/>
          <w:trHeight w:val="504"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before="93"/>
              <w:jc w:val="center"/>
              <w:rPr>
                <w:sz w:val="20"/>
                <w:szCs w:val="20"/>
              </w:rPr>
            </w:pPr>
            <w:r>
              <w:rPr>
                <w:rFonts w:hint="eastAsia" w:hAnsi="仿宋_GB2312" w:cs="仿宋_GB2312"/>
                <w:sz w:val="20"/>
                <w:szCs w:val="20"/>
              </w:rPr>
              <w:t>2021年12月31日</w:t>
            </w:r>
          </w:p>
        </w:tc>
      </w:tr>
      <w:tr>
        <w:tblPrEx>
          <w:tblCellMar>
            <w:top w:w="0" w:type="dxa"/>
            <w:left w:w="108" w:type="dxa"/>
            <w:bottom w:w="0" w:type="dxa"/>
            <w:right w:w="108" w:type="dxa"/>
          </w:tblCellMar>
        </w:tblPrEx>
        <w:trPr>
          <w:gridAfter w:val="1"/>
          <w:wAfter w:w="237" w:type="dxa"/>
          <w:trHeight w:val="583"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交通安全宣传费用</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39.8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39.8</w:t>
            </w:r>
          </w:p>
        </w:tc>
      </w:tr>
      <w:tr>
        <w:tblPrEx>
          <w:tblCellMar>
            <w:top w:w="0" w:type="dxa"/>
            <w:left w:w="108" w:type="dxa"/>
            <w:bottom w:w="0" w:type="dxa"/>
            <w:right w:w="108" w:type="dxa"/>
          </w:tblCellMar>
        </w:tblPrEx>
        <w:trPr>
          <w:gridAfter w:val="1"/>
          <w:wAfter w:w="237" w:type="dxa"/>
          <w:trHeight w:val="583"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效益</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指标</w:t>
            </w:r>
          </w:p>
        </w:tc>
        <w:tc>
          <w:tcPr>
            <w:tcW w:w="1796" w:type="dxa"/>
            <w:gridSpan w:val="2"/>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交通安全参与者的素质</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提升交通参与者的素质</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营造了遵守交通规则良好氛围，大大提高了交通参与者的素质。</w:t>
            </w:r>
          </w:p>
        </w:tc>
      </w:tr>
      <w:tr>
        <w:tblPrEx>
          <w:tblCellMar>
            <w:top w:w="0" w:type="dxa"/>
            <w:left w:w="108" w:type="dxa"/>
            <w:bottom w:w="0" w:type="dxa"/>
            <w:right w:w="108" w:type="dxa"/>
          </w:tblCellMar>
        </w:tblPrEx>
        <w:trPr>
          <w:gridAfter w:val="1"/>
          <w:wAfter w:w="237" w:type="dxa"/>
          <w:trHeight w:val="583" w:hRule="atLeast"/>
        </w:trPr>
        <w:tc>
          <w:tcPr>
            <w:tcW w:w="198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796" w:type="dxa"/>
            <w:gridSpan w:val="2"/>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交通安全形势</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交通安全形势明显趋好，交通事故成逐年下降趋势。</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交通安全形势明显趋好，交通事故成逐年下降趋势。</w:t>
            </w:r>
          </w:p>
        </w:tc>
      </w:tr>
      <w:tr>
        <w:tblPrEx>
          <w:tblCellMar>
            <w:top w:w="0" w:type="dxa"/>
            <w:left w:w="108" w:type="dxa"/>
            <w:bottom w:w="0" w:type="dxa"/>
            <w:right w:w="108" w:type="dxa"/>
          </w:tblCellMar>
        </w:tblPrEx>
        <w:trPr>
          <w:gridAfter w:val="1"/>
          <w:wAfter w:w="237" w:type="dxa"/>
          <w:trHeight w:val="644" w:hRule="atLeast"/>
        </w:trPr>
        <w:tc>
          <w:tcPr>
            <w:tcW w:w="198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满意</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度指标</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交通参与者</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满意度达到95%以上</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满意度达到95%以上</w:t>
            </w:r>
          </w:p>
        </w:tc>
      </w:tr>
    </w:tbl>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pStyle w:val="2"/>
        <w:spacing w:before="93"/>
      </w:pPr>
    </w:p>
    <w:p>
      <w:pPr>
        <w:adjustRightInd w:val="0"/>
        <w:snapToGrid w:val="0"/>
        <w:spacing w:line="576" w:lineRule="exact"/>
        <w:jc w:val="center"/>
        <w:rPr>
          <w:rFonts w:ascii="黑体" w:eastAsia="黑体"/>
          <w:sz w:val="44"/>
          <w:szCs w:val="44"/>
        </w:rPr>
      </w:pPr>
      <w:r>
        <w:rPr>
          <w:rFonts w:hint="eastAsia" w:ascii="黑体" w:eastAsia="黑体"/>
          <w:sz w:val="44"/>
          <w:szCs w:val="44"/>
        </w:rPr>
        <w:t>广元市公安局交通警察支队</w:t>
      </w:r>
    </w:p>
    <w:p>
      <w:pPr>
        <w:spacing w:line="600" w:lineRule="exact"/>
        <w:jc w:val="center"/>
        <w:rPr>
          <w:rFonts w:ascii="黑体" w:hAnsi="宋体" w:eastAsia="黑体"/>
          <w:kern w:val="0"/>
          <w:sz w:val="44"/>
          <w:szCs w:val="44"/>
          <w:lang w:val="zh-CN"/>
        </w:rPr>
      </w:pPr>
      <w:r>
        <w:rPr>
          <w:rFonts w:hint="eastAsia" w:ascii="黑体" w:hAnsi="宋体" w:eastAsia="黑体"/>
          <w:kern w:val="0"/>
          <w:sz w:val="44"/>
          <w:szCs w:val="44"/>
        </w:rPr>
        <w:t>关于2021年度交通事故处理成本</w:t>
      </w:r>
      <w:r>
        <w:rPr>
          <w:rFonts w:hint="eastAsia" w:ascii="黑体" w:hAnsi="宋体" w:eastAsia="黑体"/>
          <w:kern w:val="0"/>
          <w:sz w:val="44"/>
          <w:szCs w:val="44"/>
          <w:lang w:val="zh-CN"/>
        </w:rPr>
        <w:t>项目</w:t>
      </w:r>
    </w:p>
    <w:p>
      <w:pPr>
        <w:spacing w:line="600" w:lineRule="exact"/>
        <w:jc w:val="center"/>
        <w:rPr>
          <w:rFonts w:ascii="黑体" w:hAnsi="宋体" w:eastAsia="黑体"/>
          <w:kern w:val="0"/>
          <w:sz w:val="44"/>
          <w:szCs w:val="44"/>
          <w:lang w:val="zh-CN"/>
        </w:rPr>
      </w:pPr>
      <w:r>
        <w:rPr>
          <w:rFonts w:hint="eastAsia" w:ascii="黑体" w:hAnsi="宋体" w:eastAsia="黑体"/>
          <w:kern w:val="0"/>
          <w:sz w:val="44"/>
          <w:szCs w:val="44"/>
        </w:rPr>
        <w:t>绩效自评报告</w:t>
      </w:r>
    </w:p>
    <w:p>
      <w:pPr>
        <w:spacing w:line="600" w:lineRule="exact"/>
        <w:rPr>
          <w:rFonts w:ascii="宋体" w:eastAsia="仿宋_GB2312"/>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支队下属一、二、三、特勤四个大队，承担着广元市利州区、经开区的道路交通事故处理工作。在道路交通事故调查处理中的职能有：现场勘查、检查、询（讯）问当事人、证人、检测、收集证据、制作道路交通事故认定书、损害赔偿调解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根据《道路交通事故处理程序规定》第四条</w:t>
      </w:r>
      <w:r>
        <w:rPr>
          <w:rFonts w:ascii="仿宋_GB2312" w:hAnsi="宋体" w:eastAsia="仿宋_GB2312"/>
          <w:sz w:val="32"/>
          <w:szCs w:val="32"/>
          <w:lang w:val="zh-CN"/>
        </w:rPr>
        <w:t>”</w:t>
      </w:r>
      <w:r>
        <w:rPr>
          <w:rFonts w:hint="eastAsia" w:ascii="仿宋_GB2312" w:hAnsi="宋体" w:eastAsia="仿宋_GB2312"/>
          <w:sz w:val="32"/>
          <w:szCs w:val="32"/>
          <w:lang w:val="zh-CN"/>
        </w:rPr>
        <w:t>道路交通事故调查处理应当由公安机关交通管理部门负责。</w:t>
      </w:r>
      <w:r>
        <w:rPr>
          <w:rFonts w:ascii="仿宋_GB2312" w:hAnsi="宋体" w:eastAsia="仿宋_GB2312"/>
          <w:sz w:val="32"/>
          <w:szCs w:val="32"/>
          <w:lang w:val="zh-CN"/>
        </w:rPr>
        <w:t>”</w:t>
      </w:r>
    </w:p>
    <w:p>
      <w:pPr>
        <w:adjustRightInd w:val="0"/>
        <w:snapToGrid w:val="0"/>
        <w:spacing w:line="600" w:lineRule="exact"/>
        <w:ind w:firstLine="480" w:firstLineChars="150"/>
        <w:rPr>
          <w:rFonts w:ascii="仿宋_GB2312" w:hAnsi="宋体" w:eastAsia="仿宋_GB2312"/>
          <w:sz w:val="32"/>
          <w:szCs w:val="32"/>
          <w:lang w:val="zh-CN"/>
        </w:rPr>
      </w:pPr>
      <w:r>
        <w:rPr>
          <w:rFonts w:ascii="仿宋_GB2312" w:hAnsi="宋体" w:eastAsia="仿宋_GB2312"/>
          <w:sz w:val="32"/>
          <w:szCs w:val="32"/>
          <w:lang w:val="zh-CN"/>
        </w:rPr>
        <w:t xml:space="preserve"> 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支队先后制定了《财务管理规定》、《内部会计监督制度》、《工程和大宗物品采购管理规定》、《“三重一大”事项集体决策制度》等各项规章制度。本项目严格按照财务管理规定、财政预算情况和项目的必要性进行资金分配和提供支持。</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该项目资金分配首先考虑交通事故处理必需的车辆使用费、技术检测费、差旅费、办案业务费等，在资金允许的情况下适当考虑软件和设备更新。</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交通事故现场勘查、调查、检验鉴定、责任认定和损害赔偿调解，交通事故逃逸案的侦破和追责。</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 xml:space="preserve"> 2</w:t>
      </w:r>
      <w:r>
        <w:rPr>
          <w:rFonts w:hint="eastAsia" w:ascii="仿宋_GB2312" w:hAnsi="宋体" w:eastAsia="仿宋_GB2312"/>
          <w:sz w:val="32"/>
          <w:szCs w:val="32"/>
          <w:lang w:val="zh-CN"/>
        </w:rPr>
        <w:t>．项目应实现的具体绩效目标。</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通过项目实施，所有交通事故能够得到快速有效的处理，逃逸案得到及时侦破，有效提高办案效率和人民群众满意度。</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．项目的相符性和合理性。</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项目内容与实际完全相符，申报目标是合理可行的。</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支队高度重视项目绩效自查自评工作，成立了以支队长任组长的项目自评领导小组，下设办公室具体负责自评工作，采取调阅资料和进行群众问卷调查等方式开展自评工作。</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根据预算绩效管理要求，本单位在年初预算编制阶段，组织对该项目编制了绩效目标，申报项目资金30万元，财政批复30万元</w:t>
      </w:r>
      <w:r>
        <w:rPr>
          <w:rFonts w:hint="eastAsia" w:ascii="仿宋_GB2312" w:hAnsi="宋体" w:eastAsia="仿宋_GB2312"/>
          <w:sz w:val="32"/>
          <w:szCs w:val="32"/>
          <w:lang w:val="zh-CN"/>
        </w:rPr>
        <w:t>。</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市财政预算30万元。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市财政拨款30万元，到位率100%。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截至2021年12月31日，支付资金30万元，完成预算的100%。该项目资金严格按照相关要求进行支付，</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（三）项目财务管理情况。</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该项目具体实施部门为事故处理科，年初由该科室就项目具体内容、所需资金、工作目标等形成报告，报告提交交警支队党总支会议审核，审核通过后根据财政批复情况由事故处理科具体实施。</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（二）项目管理情况。</w:t>
      </w:r>
    </w:p>
    <w:p>
      <w:pPr>
        <w:ind w:firstLine="640" w:firstLineChars="200"/>
        <w:rPr>
          <w:rFonts w:ascii="仿宋_GB2312" w:eastAsia="仿宋_GB2312"/>
          <w:sz w:val="32"/>
          <w:szCs w:val="32"/>
        </w:rPr>
      </w:pPr>
      <w:r>
        <w:rPr>
          <w:rFonts w:hint="eastAsia" w:ascii="仿宋_GB2312" w:eastAsia="仿宋_GB2312"/>
          <w:sz w:val="32"/>
          <w:szCs w:val="32"/>
        </w:rPr>
        <w:t>为确保支队各类项目规范采购和按期、优质完成，支队成立了由支队长任组长，政委任副组长，办公室主任、法宣科科长、政工科科长、办公室副主任为成员的领导小组。具体负责项目的申报、采购、建设、监管和验收，严格遵照《中华人民共和国招投标法》，凡达到政府采购标准的，全部委托市政府采购中心公开招标和采购。</w:t>
      </w:r>
    </w:p>
    <w:p>
      <w:pPr>
        <w:ind w:firstLine="640" w:firstLineChars="200"/>
        <w:rPr>
          <w:rFonts w:ascii="楷体" w:hAnsi="楷体" w:eastAsia="楷体"/>
          <w:b/>
          <w:sz w:val="32"/>
          <w:szCs w:val="32"/>
          <w:lang w:val="zh-CN"/>
        </w:rPr>
      </w:pPr>
      <w:r>
        <w:rPr>
          <w:rFonts w:hint="eastAsia" w:ascii="仿宋_GB2312" w:eastAsia="仿宋_GB2312"/>
          <w:sz w:val="32"/>
          <w:szCs w:val="32"/>
        </w:rPr>
        <w:t>（三）</w:t>
      </w:r>
      <w:r>
        <w:rPr>
          <w:rFonts w:hint="eastAsia" w:ascii="楷体" w:hAnsi="楷体" w:eastAsia="楷体"/>
          <w:b/>
          <w:sz w:val="32"/>
          <w:szCs w:val="32"/>
          <w:lang w:val="zh-CN"/>
        </w:rPr>
        <w:t>项目监管情况。</w:t>
      </w:r>
    </w:p>
    <w:p>
      <w:pPr>
        <w:ind w:firstLine="640" w:firstLineChars="200"/>
        <w:rPr>
          <w:rFonts w:ascii="仿宋_GB2312" w:eastAsia="仿宋_GB2312"/>
          <w:sz w:val="32"/>
          <w:szCs w:val="32"/>
        </w:rPr>
      </w:pPr>
      <w:r>
        <w:rPr>
          <w:rFonts w:hint="eastAsia" w:ascii="仿宋_GB2312" w:eastAsia="仿宋_GB2312"/>
          <w:sz w:val="32"/>
          <w:szCs w:val="32"/>
        </w:rPr>
        <w:t>在项目组织实施中，支队安排了具体人员负责技术指导和监督；同时，支队严格按照标准和合同，严把质量关、进度关，确保该项目按期进行和达到预期目标。</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2021年，支队下属一、二、三、特勤四个大队共处理道路交通2万余起，按照相关规定对每起事故进行现场勘查、调查、检验鉴定、收集证据、制作认定书、损害赔偿调解。交通事故处理成本费支出30万元。</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通过项目实施，交通事故得到快速有效的处理，逃逸案得到及时侦破，有效地提高了办案效率和人民群众满意度。 </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从评价情况来看，项目的预算资金管理科学合理，使用规范，完成了项目的既定目标，达到了预期使用效果，得分是99分。</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在事故处理过程因多方面的原因,不能让事故双方100%满意。</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一是在事故处理过程中，尽量做到处理程序、法律法规的应用无瑕疵。二是耐心做好解释工作和法律法规的宣讲，争取让人民群众100%满意。</w:t>
      </w:r>
    </w:p>
    <w:tbl>
      <w:tblPr>
        <w:tblStyle w:val="13"/>
        <w:tblpPr w:leftFromText="180" w:rightFromText="180" w:vertAnchor="text" w:horzAnchor="page" w:tblpX="1281" w:tblpY="660"/>
        <w:tblOverlap w:val="never"/>
        <w:tblW w:w="9868" w:type="dxa"/>
        <w:tblInd w:w="-42" w:type="dxa"/>
        <w:tblLayout w:type="fixed"/>
        <w:tblCellMar>
          <w:top w:w="0" w:type="dxa"/>
          <w:left w:w="108" w:type="dxa"/>
          <w:bottom w:w="0" w:type="dxa"/>
          <w:right w:w="108" w:type="dxa"/>
        </w:tblCellMar>
      </w:tblPr>
      <w:tblGrid>
        <w:gridCol w:w="2036"/>
        <w:gridCol w:w="1023"/>
        <w:gridCol w:w="155"/>
        <w:gridCol w:w="1685"/>
        <w:gridCol w:w="1225"/>
        <w:gridCol w:w="1261"/>
        <w:gridCol w:w="31"/>
        <w:gridCol w:w="2452"/>
      </w:tblGrid>
      <w:tr>
        <w:tblPrEx>
          <w:tblCellMar>
            <w:top w:w="0" w:type="dxa"/>
            <w:left w:w="108" w:type="dxa"/>
            <w:bottom w:w="0" w:type="dxa"/>
            <w:right w:w="108" w:type="dxa"/>
          </w:tblCellMar>
        </w:tblPrEx>
        <w:trPr>
          <w:trHeight w:val="820" w:hRule="atLeast"/>
        </w:trPr>
        <w:tc>
          <w:tcPr>
            <w:tcW w:w="9868" w:type="dxa"/>
            <w:gridSpan w:val="8"/>
            <w:tcBorders>
              <w:top w:val="nil"/>
              <w:left w:val="nil"/>
              <w:bottom w:val="nil"/>
              <w:right w:val="nil"/>
            </w:tcBorders>
            <w:shd w:val="clear" w:color="auto" w:fill="auto"/>
            <w:vAlign w:val="center"/>
          </w:tcPr>
          <w:p>
            <w:pPr>
              <w:widowControl/>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r>
              <w:rPr>
                <w:rFonts w:hint="eastAsia" w:ascii="宋体" w:hAnsi="宋体" w:cs="宋体"/>
                <w:sz w:val="32"/>
                <w:szCs w:val="32"/>
              </w:rPr>
              <w:t>2021年部门预算项目绩效目标自评</w:t>
            </w:r>
          </w:p>
        </w:tc>
      </w:tr>
      <w:tr>
        <w:tblPrEx>
          <w:tblCellMar>
            <w:top w:w="0" w:type="dxa"/>
            <w:left w:w="108" w:type="dxa"/>
            <w:bottom w:w="0" w:type="dxa"/>
            <w:right w:w="108" w:type="dxa"/>
          </w:tblCellMar>
        </w:tblPrEx>
        <w:trPr>
          <w:trHeight w:val="309" w:hRule="atLeast"/>
        </w:trPr>
        <w:tc>
          <w:tcPr>
            <w:tcW w:w="3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主管部门及代码</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202001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广元市公安局交通警察支队</w:t>
            </w:r>
          </w:p>
        </w:tc>
      </w:tr>
      <w:tr>
        <w:tblPrEx>
          <w:tblCellMar>
            <w:top w:w="0" w:type="dxa"/>
            <w:left w:w="108" w:type="dxa"/>
            <w:bottom w:w="0" w:type="dxa"/>
            <w:right w:w="108" w:type="dxa"/>
          </w:tblCellMar>
        </w:tblPrEx>
        <w:trPr>
          <w:trHeight w:val="414" w:hRule="atLeast"/>
        </w:trPr>
        <w:tc>
          <w:tcPr>
            <w:tcW w:w="3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项目预算</w:t>
            </w:r>
            <w:r>
              <w:rPr>
                <w:rFonts w:hint="eastAsia" w:ascii="宋体" w:hAnsi="宋体" w:cs="宋体"/>
                <w:kern w:val="0"/>
                <w:sz w:val="20"/>
                <w:szCs w:val="20"/>
              </w:rPr>
              <w:br w:type="textWrapping"/>
            </w:r>
            <w:r>
              <w:rPr>
                <w:rFonts w:hint="eastAsia" w:ascii="宋体" w:hAnsi="宋体" w:cs="宋体"/>
                <w:kern w:val="0"/>
                <w:sz w:val="20"/>
                <w:szCs w:val="20"/>
              </w:rPr>
              <w:t>执行情况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预算数：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执行数：</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30</w:t>
            </w:r>
          </w:p>
        </w:tc>
      </w:tr>
      <w:tr>
        <w:tblPrEx>
          <w:tblCellMar>
            <w:top w:w="0" w:type="dxa"/>
            <w:left w:w="108" w:type="dxa"/>
            <w:bottom w:w="0" w:type="dxa"/>
            <w:right w:w="108" w:type="dxa"/>
          </w:tblCellMar>
        </w:tblPrEx>
        <w:trPr>
          <w:trHeight w:val="67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30</w:t>
            </w:r>
          </w:p>
        </w:tc>
      </w:tr>
      <w:tr>
        <w:tblPrEx>
          <w:tblCellMar>
            <w:top w:w="0" w:type="dxa"/>
            <w:left w:w="108" w:type="dxa"/>
            <w:bottom w:w="0" w:type="dxa"/>
            <w:right w:w="108" w:type="dxa"/>
          </w:tblCellMar>
        </w:tblPrEx>
        <w:trPr>
          <w:trHeight w:val="41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年度总体目标</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完成情况</w:t>
            </w: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目标实际完成情况</w:t>
            </w:r>
          </w:p>
        </w:tc>
      </w:tr>
      <w:tr>
        <w:tblPrEx>
          <w:tblCellMar>
            <w:top w:w="0" w:type="dxa"/>
            <w:left w:w="108" w:type="dxa"/>
            <w:bottom w:w="0" w:type="dxa"/>
            <w:right w:w="108" w:type="dxa"/>
          </w:tblCellMar>
        </w:tblPrEx>
        <w:trPr>
          <w:trHeight w:val="968"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 xml:space="preserve">  1、道路交通事故现场处置。2、交通事故责任认定。3、交通事故调解和逃逸案件的侦破。</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 xml:space="preserve">  1、道路交通事故现场处置。2、交通事故责任认定。3、交通事故调解和逃逸案件的侦破。</w:t>
            </w:r>
          </w:p>
        </w:tc>
      </w:tr>
      <w:tr>
        <w:tblPrEx>
          <w:tblCellMar>
            <w:top w:w="0" w:type="dxa"/>
            <w:left w:w="108" w:type="dxa"/>
            <w:bottom w:w="0" w:type="dxa"/>
            <w:right w:w="108" w:type="dxa"/>
          </w:tblCellMar>
        </w:tblPrEx>
        <w:trPr>
          <w:trHeight w:val="842" w:hRule="atLeast"/>
        </w:trPr>
        <w:tc>
          <w:tcPr>
            <w:tcW w:w="203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02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394"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p>
        </w:tc>
        <w:tc>
          <w:tcPr>
            <w:tcW w:w="1840" w:type="dxa"/>
            <w:gridSpan w:val="2"/>
            <w:tcBorders>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kern w:val="0"/>
                <w:sz w:val="20"/>
                <w:szCs w:val="20"/>
              </w:rPr>
            </w:pP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交通事故处理量</w:t>
            </w:r>
          </w:p>
        </w:tc>
        <w:tc>
          <w:tcPr>
            <w:tcW w:w="1292"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每年大概处理交通事故2万余起。</w:t>
            </w:r>
          </w:p>
        </w:tc>
        <w:tc>
          <w:tcPr>
            <w:tcW w:w="2452"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处理交通事故2万余起。</w:t>
            </w:r>
          </w:p>
        </w:tc>
      </w:tr>
      <w:tr>
        <w:tblPrEx>
          <w:tblCellMar>
            <w:top w:w="0" w:type="dxa"/>
            <w:left w:w="108" w:type="dxa"/>
            <w:bottom w:w="0" w:type="dxa"/>
            <w:right w:w="108" w:type="dxa"/>
          </w:tblCellMar>
        </w:tblPrEx>
        <w:trPr>
          <w:trHeight w:val="336"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事故调解率</w:t>
            </w:r>
          </w:p>
        </w:tc>
        <w:tc>
          <w:tcPr>
            <w:tcW w:w="1292"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事故调解率达到98.8%</w:t>
            </w:r>
          </w:p>
        </w:tc>
        <w:tc>
          <w:tcPr>
            <w:tcW w:w="2452"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事故调解率达到98.8%</w:t>
            </w:r>
          </w:p>
        </w:tc>
      </w:tr>
      <w:tr>
        <w:tblPrEx>
          <w:tblCellMar>
            <w:top w:w="0" w:type="dxa"/>
            <w:left w:w="108" w:type="dxa"/>
            <w:bottom w:w="0" w:type="dxa"/>
            <w:right w:w="108" w:type="dxa"/>
          </w:tblCellMar>
        </w:tblPrEx>
        <w:trPr>
          <w:trHeight w:val="309"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现场处置快速高效</w:t>
            </w:r>
          </w:p>
        </w:tc>
        <w:tc>
          <w:tcPr>
            <w:tcW w:w="1292"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接到报警电话后，白天5分钟、夜间10分钟内出发，所有事故处置率达到100%。</w:t>
            </w:r>
          </w:p>
        </w:tc>
        <w:tc>
          <w:tcPr>
            <w:tcW w:w="2452"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接到报警电话后，白天5分钟、夜间10分钟内出发，所有事故处置率达到100%。</w:t>
            </w:r>
          </w:p>
        </w:tc>
      </w:tr>
      <w:tr>
        <w:tblPrEx>
          <w:tblCellMar>
            <w:top w:w="0" w:type="dxa"/>
            <w:left w:w="108" w:type="dxa"/>
            <w:bottom w:w="0" w:type="dxa"/>
            <w:right w:w="108" w:type="dxa"/>
          </w:tblCellMar>
        </w:tblPrEx>
        <w:trPr>
          <w:trHeight w:val="394"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逃逸案件破案率</w:t>
            </w:r>
          </w:p>
        </w:tc>
        <w:tc>
          <w:tcPr>
            <w:tcW w:w="1292"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侦破交通肇事逃逸案，破案率达到100%。</w:t>
            </w:r>
          </w:p>
        </w:tc>
        <w:tc>
          <w:tcPr>
            <w:tcW w:w="2452"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侦破交通肇事逃逸案10余起，破案率达到100%。</w:t>
            </w:r>
          </w:p>
        </w:tc>
      </w:tr>
      <w:tr>
        <w:tblPrEx>
          <w:tblCellMar>
            <w:top w:w="0" w:type="dxa"/>
            <w:left w:w="108" w:type="dxa"/>
            <w:bottom w:w="0" w:type="dxa"/>
            <w:right w:w="108" w:type="dxa"/>
          </w:tblCellMar>
        </w:tblPrEx>
        <w:trPr>
          <w:trHeight w:val="504"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before="93"/>
              <w:jc w:val="center"/>
              <w:rPr>
                <w:sz w:val="20"/>
                <w:szCs w:val="20"/>
              </w:rPr>
            </w:pPr>
            <w:r>
              <w:rPr>
                <w:rFonts w:hint="eastAsia" w:hAnsi="仿宋_GB2312" w:cs="仿宋_GB2312"/>
                <w:sz w:val="20"/>
                <w:szCs w:val="20"/>
              </w:rPr>
              <w:t>2021年12月31日</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事故处理成本</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30</w:t>
            </w:r>
          </w:p>
        </w:tc>
      </w:tr>
      <w:tr>
        <w:tblPrEx>
          <w:tblCellMar>
            <w:top w:w="0" w:type="dxa"/>
            <w:left w:w="108" w:type="dxa"/>
            <w:bottom w:w="0" w:type="dxa"/>
            <w:right w:w="108" w:type="dxa"/>
          </w:tblCellMar>
        </w:tblPrEx>
        <w:trPr>
          <w:trHeight w:val="1607" w:hRule="atLeast"/>
        </w:trPr>
        <w:tc>
          <w:tcPr>
            <w:tcW w:w="2036"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效益</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交通事故得到快速有效的处理</w:t>
            </w:r>
          </w:p>
        </w:tc>
        <w:tc>
          <w:tcPr>
            <w:tcW w:w="1292"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让交通事故得到快速有效的处理，逃逸案得到及时侦破。</w:t>
            </w:r>
          </w:p>
        </w:tc>
        <w:tc>
          <w:tcPr>
            <w:tcW w:w="2452"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有了经费的保障能让所有交通事故得到快速有效的处理，逃逸案得到及时侦破，有效地提高了办案效率和人民群众满意度。</w:t>
            </w:r>
          </w:p>
        </w:tc>
      </w:tr>
    </w:tbl>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adjustRightInd w:val="0"/>
        <w:snapToGrid w:val="0"/>
        <w:spacing w:line="576" w:lineRule="exact"/>
        <w:jc w:val="center"/>
        <w:rPr>
          <w:rFonts w:ascii="黑体" w:eastAsia="黑体"/>
          <w:sz w:val="44"/>
          <w:szCs w:val="44"/>
        </w:rPr>
      </w:pPr>
    </w:p>
    <w:p>
      <w:pPr>
        <w:pStyle w:val="2"/>
        <w:spacing w:before="93"/>
      </w:pPr>
    </w:p>
    <w:p>
      <w:pPr>
        <w:pStyle w:val="2"/>
        <w:spacing w:before="93"/>
      </w:pPr>
    </w:p>
    <w:p>
      <w:pPr>
        <w:pStyle w:val="2"/>
        <w:spacing w:before="93"/>
      </w:pPr>
    </w:p>
    <w:p>
      <w:pPr>
        <w:pStyle w:val="2"/>
        <w:spacing w:before="93"/>
      </w:pPr>
    </w:p>
    <w:p>
      <w:pPr>
        <w:adjustRightInd w:val="0"/>
        <w:snapToGrid w:val="0"/>
        <w:spacing w:line="576" w:lineRule="exact"/>
        <w:jc w:val="center"/>
        <w:rPr>
          <w:rFonts w:ascii="黑体" w:eastAsia="黑体"/>
          <w:sz w:val="44"/>
          <w:szCs w:val="44"/>
        </w:rPr>
      </w:pPr>
      <w:r>
        <w:rPr>
          <w:rFonts w:hint="eastAsia" w:ascii="黑体" w:eastAsia="黑体"/>
          <w:sz w:val="44"/>
          <w:szCs w:val="44"/>
        </w:rPr>
        <w:t>广元市公安局交通警察支队</w:t>
      </w:r>
    </w:p>
    <w:p>
      <w:pPr>
        <w:spacing w:line="600" w:lineRule="exact"/>
        <w:jc w:val="center"/>
        <w:rPr>
          <w:rFonts w:ascii="黑体" w:hAnsi="宋体" w:eastAsia="黑体"/>
          <w:kern w:val="0"/>
          <w:sz w:val="44"/>
          <w:szCs w:val="44"/>
          <w:lang w:val="zh-CN"/>
        </w:rPr>
      </w:pPr>
      <w:r>
        <w:rPr>
          <w:rFonts w:hint="eastAsia" w:ascii="黑体" w:hAnsi="宋体" w:eastAsia="黑体"/>
          <w:kern w:val="0"/>
          <w:sz w:val="44"/>
          <w:szCs w:val="44"/>
        </w:rPr>
        <w:t>关于2021年度</w:t>
      </w:r>
      <w:r>
        <w:rPr>
          <w:rFonts w:hint="eastAsia" w:ascii="方正小标宋简体" w:hAnsi="宋体" w:eastAsia="方正小标宋简体"/>
          <w:kern w:val="0"/>
          <w:sz w:val="40"/>
          <w:szCs w:val="48"/>
        </w:rPr>
        <w:t>事故车辆检测费</w:t>
      </w:r>
      <w:r>
        <w:rPr>
          <w:rFonts w:hint="eastAsia" w:ascii="黑体" w:hAnsi="宋体" w:eastAsia="黑体"/>
          <w:kern w:val="0"/>
          <w:sz w:val="44"/>
          <w:szCs w:val="44"/>
          <w:lang w:val="zh-CN"/>
        </w:rPr>
        <w:t>项目</w:t>
      </w:r>
    </w:p>
    <w:p>
      <w:pPr>
        <w:spacing w:line="600" w:lineRule="exact"/>
        <w:jc w:val="center"/>
        <w:rPr>
          <w:rFonts w:ascii="黑体" w:hAnsi="宋体" w:eastAsia="黑体"/>
          <w:kern w:val="0"/>
          <w:sz w:val="44"/>
          <w:szCs w:val="44"/>
          <w:lang w:val="zh-CN"/>
        </w:rPr>
      </w:pPr>
      <w:r>
        <w:rPr>
          <w:rFonts w:hint="eastAsia" w:ascii="黑体" w:hAnsi="宋体" w:eastAsia="黑体"/>
          <w:kern w:val="0"/>
          <w:sz w:val="44"/>
          <w:szCs w:val="44"/>
        </w:rPr>
        <w:t>绩效自评报告</w:t>
      </w:r>
    </w:p>
    <w:p>
      <w:pPr>
        <w:spacing w:line="600" w:lineRule="exact"/>
        <w:jc w:val="center"/>
        <w:rPr>
          <w:rFonts w:ascii="方正小标宋简体" w:hAnsi="宋体" w:eastAsia="方正小标宋简体"/>
          <w:kern w:val="0"/>
          <w:sz w:val="40"/>
          <w:szCs w:val="48"/>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公安局交通警察支队，承担着广元市利州区、经开区的道路交通事故处理工作，为公正处理交通事故提供有力证据，掌握事故发生的全面情况，按照相关规定必要时需要对事故车辆进行检验鉴定的，应当委托具备资质的鉴定机构进行检验、鉴定。</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道路交通事故处理程序规定》第四十九条第一款“需要进行检验鉴定、鉴定的，公安机关交通管理部门应当按照有关规定，自事故现场调查结束之后三日内委托具备资质的鉴定机构进行检验、鉴定。”和第五十条“检验、鉴定费用由公安机关交通管理部门承担。”之规定。</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支队先后制定了《财务管理规定》、《内部会计监督制度》、《工程和大宗物品采购管理规定》、《“三重一大”事项集体决策制度》等各项规章制度。本项目严格按照财务管理规定、财政预算情况和项目的必要性进行资金分配和提供支持。</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按照道路交通事故所需进行的车辆检验和鉴定的项目，全部纳入预算。</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支队下属各大队在事故处理工作中，以事实为根据、以法律为准绳，遵循合法、公正、公开、便民、效率的原则，通过专业机构对事故车辆的安全技术性能、车辆属性、车辆行驶速度、同一性等项目进行司法鉴定，从而形成事故处理的科学合理的证据链，为公正处理事故提供了有力的证据。</w:t>
      </w:r>
    </w:p>
    <w:p>
      <w:pPr>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通过专业机构对事故车辆的安全技术性能、车辆属性、车辆行驶速度、同一性等项目进行司法鉴定，从而形成事故处理的科学合理的证据链，为公正处理事故提供了有力的证据。</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．项目的相符性和合理性。</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项目内容与实际完全相符，申报目标是合理可行的。</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支队高度重视项目绩效自查自评工作，成立了以支队长任组长的项目自评领导小组，下设办公室具体负责自评工作，采取调阅资料和进行群众问卷调查等方式开展自评工作。</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根据预算绩效管理要求，本单位在年初预算编制阶段，组织对该项目编制了绩效目标，申报项目资金39.83万元，财政批复39.83万元</w:t>
      </w:r>
      <w:r>
        <w:rPr>
          <w:rFonts w:hint="eastAsia" w:ascii="仿宋_GB2312" w:hAnsi="宋体" w:eastAsia="仿宋_GB2312"/>
          <w:sz w:val="32"/>
          <w:szCs w:val="32"/>
          <w:lang w:val="zh-CN"/>
        </w:rPr>
        <w:t>。</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市财政预算39.83万元。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市财政拨款39.83万元，到位率100%。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截至2021年12月31日，支付资金39.83万元，完成预算的100%。该项目资金严格按照相关要求进行支付，</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（三）项目财务管理情况。</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（一）项目组织架构及实施流程。</w:t>
      </w:r>
    </w:p>
    <w:p>
      <w:pPr>
        <w:adjustRightInd w:val="0"/>
        <w:snapToGrid w:val="0"/>
        <w:spacing w:line="600"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该项目具体实施部门为事故处理科，年初由该科室就项目具体内容、所需资金、工作目标等形成报告，报告提交交警支队党总支会议审核，审核通过后根据财政批复情况由事故处理科具体</w:t>
      </w:r>
      <w:r>
        <w:rPr>
          <w:rFonts w:hint="eastAsia" w:ascii="仿宋_GB2312" w:hAnsi="宋体" w:eastAsia="仿宋_GB2312" w:cs="宋体"/>
          <w:kern w:val="0"/>
          <w:sz w:val="32"/>
          <w:szCs w:val="32"/>
          <w:lang w:eastAsia="zh-CN"/>
        </w:rPr>
        <w:t>实施</w:t>
      </w:r>
      <w:r>
        <w:rPr>
          <w:rFonts w:hint="eastAsia" w:ascii="仿宋_GB2312" w:hAnsi="宋体" w:eastAsia="仿宋_GB2312" w:cs="宋体"/>
          <w:kern w:val="0"/>
          <w:sz w:val="32"/>
          <w:szCs w:val="32"/>
        </w:rPr>
        <w:t>。</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sz w:val="32"/>
          <w:szCs w:val="32"/>
        </w:rPr>
        <w:t>项目申报严格遵照《中华人民共和国招投标法》，委托市政府采购中心公开招标，</w:t>
      </w:r>
      <w:r>
        <w:rPr>
          <w:rFonts w:hint="eastAsia" w:ascii="仿宋_GB2312" w:hAnsi="宋体" w:eastAsia="仿宋_GB2312"/>
          <w:sz w:val="32"/>
          <w:szCs w:val="32"/>
          <w:lang w:val="zh-CN"/>
        </w:rPr>
        <w:t>中标机构为四川荣诚司法鉴定所。</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（三）项目监管情况。</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事故车辆检测由各大队根据所检车辆数、项目通知检验鉴定司法机构进行检测，经大队负责人审核后报支队事故科，事故科审核后再履行相关财务报销手续，再由支队财务部门支付检测费用给检验鉴定机构。</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2021年共检验鉴定事故车辆665辆，其中：大型客车9辆，小型客车421辆，货车97辆，摩托车135辆，其他车辆3辆。支出费用39.83万元。</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通过项目实施，</w:t>
      </w:r>
      <w:r>
        <w:rPr>
          <w:rFonts w:hint="eastAsia" w:ascii="仿宋_GB2312" w:hAnsi="宋体" w:eastAsia="仿宋_GB2312"/>
          <w:sz w:val="32"/>
          <w:szCs w:val="32"/>
          <w:lang w:val="zh-CN"/>
        </w:rPr>
        <w:t>从而形成事故处理的科学合理的证据链，为公正处理事故提供了有力的证据，</w:t>
      </w:r>
      <w:r>
        <w:rPr>
          <w:rFonts w:hint="eastAsia" w:ascii="仿宋_GB2312" w:hAnsi="仿宋_GB2312" w:eastAsia="仿宋_GB2312" w:cs="仿宋_GB2312"/>
          <w:sz w:val="32"/>
          <w:szCs w:val="32"/>
        </w:rPr>
        <w:t>大大提高了交通事故责任认定的准确率，同时也减轻了交通事故发生者的经济负担，项目运行几年一切良好。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从评价情况来看，项目的预算资金管理科学合理，使用规范，完成了项目的既定目标，达到了预期使用效果，</w:t>
      </w:r>
      <w:r>
        <w:rPr>
          <w:rFonts w:hint="eastAsia" w:ascii="楷体_GB2312" w:eastAsia="楷体_GB2312"/>
          <w:sz w:val="32"/>
          <w:szCs w:val="32"/>
        </w:rPr>
        <w:t>得分是100分</w:t>
      </w:r>
      <w:r>
        <w:rPr>
          <w:rFonts w:hint="eastAsia" w:ascii="仿宋_GB2312" w:eastAsia="仿宋_GB2312"/>
          <w:sz w:val="32"/>
          <w:szCs w:val="32"/>
        </w:rPr>
        <w:t>。</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tbl>
      <w:tblPr>
        <w:tblStyle w:val="13"/>
        <w:tblpPr w:leftFromText="180" w:rightFromText="180" w:vertAnchor="text" w:horzAnchor="page" w:tblpX="1281" w:tblpY="660"/>
        <w:tblOverlap w:val="never"/>
        <w:tblW w:w="9868" w:type="dxa"/>
        <w:tblInd w:w="-42" w:type="dxa"/>
        <w:tblLayout w:type="fixed"/>
        <w:tblCellMar>
          <w:top w:w="0" w:type="dxa"/>
          <w:left w:w="108" w:type="dxa"/>
          <w:bottom w:w="0" w:type="dxa"/>
          <w:right w:w="108" w:type="dxa"/>
        </w:tblCellMar>
      </w:tblPr>
      <w:tblGrid>
        <w:gridCol w:w="2036"/>
        <w:gridCol w:w="1023"/>
        <w:gridCol w:w="155"/>
        <w:gridCol w:w="1685"/>
        <w:gridCol w:w="1225"/>
        <w:gridCol w:w="1261"/>
        <w:gridCol w:w="136"/>
        <w:gridCol w:w="2347"/>
      </w:tblGrid>
      <w:tr>
        <w:tblPrEx>
          <w:tblCellMar>
            <w:top w:w="0" w:type="dxa"/>
            <w:left w:w="108" w:type="dxa"/>
            <w:bottom w:w="0" w:type="dxa"/>
            <w:right w:w="108" w:type="dxa"/>
          </w:tblCellMar>
        </w:tblPrEx>
        <w:trPr>
          <w:trHeight w:val="820" w:hRule="atLeast"/>
        </w:trPr>
        <w:tc>
          <w:tcPr>
            <w:tcW w:w="9868"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p>
          <w:p>
            <w:pPr>
              <w:widowControl/>
              <w:jc w:val="center"/>
              <w:textAlignment w:val="center"/>
              <w:rPr>
                <w:rFonts w:ascii="宋体" w:hAnsi="宋体" w:cs="宋体"/>
                <w:sz w:val="32"/>
                <w:szCs w:val="32"/>
              </w:rPr>
            </w:pPr>
            <w:r>
              <w:rPr>
                <w:rFonts w:hint="eastAsia" w:ascii="宋体" w:hAnsi="宋体" w:cs="宋体"/>
                <w:sz w:val="32"/>
                <w:szCs w:val="32"/>
              </w:rPr>
              <w:t>2021年部门预算项目绩效目标自评</w:t>
            </w:r>
          </w:p>
        </w:tc>
      </w:tr>
      <w:tr>
        <w:tblPrEx>
          <w:tblCellMar>
            <w:top w:w="0" w:type="dxa"/>
            <w:left w:w="108" w:type="dxa"/>
            <w:bottom w:w="0" w:type="dxa"/>
            <w:right w:w="108" w:type="dxa"/>
          </w:tblCellMar>
        </w:tblPrEx>
        <w:trPr>
          <w:trHeight w:val="309" w:hRule="atLeast"/>
        </w:trPr>
        <w:tc>
          <w:tcPr>
            <w:tcW w:w="3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主管部门及代码</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202001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广元市公安局交通警察支队</w:t>
            </w:r>
          </w:p>
        </w:tc>
      </w:tr>
      <w:tr>
        <w:tblPrEx>
          <w:tblCellMar>
            <w:top w:w="0" w:type="dxa"/>
            <w:left w:w="108" w:type="dxa"/>
            <w:bottom w:w="0" w:type="dxa"/>
            <w:right w:w="108" w:type="dxa"/>
          </w:tblCellMar>
        </w:tblPrEx>
        <w:trPr>
          <w:trHeight w:val="414" w:hRule="atLeast"/>
        </w:trPr>
        <w:tc>
          <w:tcPr>
            <w:tcW w:w="3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项目预算</w:t>
            </w:r>
            <w:r>
              <w:rPr>
                <w:rFonts w:hint="eastAsia" w:ascii="宋体" w:hAnsi="宋体" w:cs="宋体"/>
                <w:kern w:val="0"/>
                <w:sz w:val="20"/>
                <w:szCs w:val="20"/>
              </w:rPr>
              <w:br w:type="textWrapping"/>
            </w:r>
            <w:r>
              <w:rPr>
                <w:rFonts w:hint="eastAsia" w:ascii="宋体" w:hAnsi="宋体" w:cs="宋体"/>
                <w:kern w:val="0"/>
                <w:sz w:val="20"/>
                <w:szCs w:val="20"/>
              </w:rPr>
              <w:t>执行情况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预算数：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执行数：</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39.83</w:t>
            </w:r>
          </w:p>
        </w:tc>
      </w:tr>
      <w:tr>
        <w:tblPrEx>
          <w:tblCellMar>
            <w:top w:w="0" w:type="dxa"/>
            <w:left w:w="108" w:type="dxa"/>
            <w:bottom w:w="0" w:type="dxa"/>
            <w:right w:w="108" w:type="dxa"/>
          </w:tblCellMar>
        </w:tblPrEx>
        <w:trPr>
          <w:trHeight w:val="67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39.83</w:t>
            </w:r>
          </w:p>
        </w:tc>
      </w:tr>
      <w:tr>
        <w:tblPrEx>
          <w:tblCellMar>
            <w:top w:w="0" w:type="dxa"/>
            <w:left w:w="108" w:type="dxa"/>
            <w:bottom w:w="0" w:type="dxa"/>
            <w:right w:w="108" w:type="dxa"/>
          </w:tblCellMar>
        </w:tblPrEx>
        <w:trPr>
          <w:trHeight w:val="41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年度总体目标</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完成情况</w:t>
            </w: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目标实际完成情况</w:t>
            </w:r>
          </w:p>
        </w:tc>
      </w:tr>
      <w:tr>
        <w:tblPrEx>
          <w:tblCellMar>
            <w:top w:w="0" w:type="dxa"/>
            <w:left w:w="108" w:type="dxa"/>
            <w:bottom w:w="0" w:type="dxa"/>
            <w:right w:w="108" w:type="dxa"/>
          </w:tblCellMar>
        </w:tblPrEx>
        <w:trPr>
          <w:trHeight w:val="968"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 xml:space="preserve">  完成对交通事故中需要检测车辆进行检测并出具报告，为交通事故的责任认定提供依据。</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 xml:space="preserve">  完成对交通事故中需要检测车辆进行检测并出具报告，为交通事故的责任认定提供依据。</w:t>
            </w:r>
          </w:p>
        </w:tc>
      </w:tr>
      <w:tr>
        <w:tblPrEx>
          <w:tblCellMar>
            <w:top w:w="0" w:type="dxa"/>
            <w:left w:w="108" w:type="dxa"/>
            <w:bottom w:w="0" w:type="dxa"/>
            <w:right w:w="108" w:type="dxa"/>
          </w:tblCellMar>
        </w:tblPrEx>
        <w:trPr>
          <w:trHeight w:val="842" w:hRule="atLeast"/>
        </w:trPr>
        <w:tc>
          <w:tcPr>
            <w:tcW w:w="203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02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620"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交通事故中需要检测车辆</w:t>
            </w:r>
          </w:p>
        </w:tc>
        <w:tc>
          <w:tcPr>
            <w:tcW w:w="1397"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检验鉴定事故车辆</w:t>
            </w:r>
          </w:p>
        </w:tc>
        <w:tc>
          <w:tcPr>
            <w:tcW w:w="2347"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2021年共检验鉴定事故车辆665辆，其中：大型客车9辆，小型客车421辆，货车97辆，摩托车135辆，其他车辆3辆。</w:t>
            </w:r>
          </w:p>
        </w:tc>
      </w:tr>
      <w:tr>
        <w:tblPrEx>
          <w:tblCellMar>
            <w:top w:w="0" w:type="dxa"/>
            <w:left w:w="108" w:type="dxa"/>
            <w:bottom w:w="0" w:type="dxa"/>
            <w:right w:w="108" w:type="dxa"/>
          </w:tblCellMar>
        </w:tblPrEx>
        <w:trPr>
          <w:trHeight w:val="149"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检测结果专业准确</w:t>
            </w:r>
          </w:p>
        </w:tc>
        <w:tc>
          <w:tcPr>
            <w:tcW w:w="1397"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准确率达到100%</w:t>
            </w:r>
          </w:p>
        </w:tc>
        <w:tc>
          <w:tcPr>
            <w:tcW w:w="2347"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准确率达到100%</w:t>
            </w:r>
          </w:p>
        </w:tc>
      </w:tr>
      <w:tr>
        <w:tblPrEx>
          <w:tblCellMar>
            <w:top w:w="0" w:type="dxa"/>
            <w:left w:w="108" w:type="dxa"/>
            <w:bottom w:w="0" w:type="dxa"/>
            <w:right w:w="108" w:type="dxa"/>
          </w:tblCellMar>
        </w:tblPrEx>
        <w:trPr>
          <w:trHeight w:val="504"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before="93"/>
              <w:jc w:val="center"/>
              <w:rPr>
                <w:sz w:val="20"/>
                <w:szCs w:val="20"/>
              </w:rPr>
            </w:pPr>
            <w:r>
              <w:rPr>
                <w:rFonts w:hint="eastAsia" w:hAnsi="仿宋_GB2312" w:cs="仿宋_GB2312"/>
                <w:sz w:val="20"/>
                <w:szCs w:val="20"/>
              </w:rPr>
              <w:t>2021年12月31日</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交通事故中需要检测车辆</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39.83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39.83</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效益</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经济效益</w:t>
            </w:r>
          </w:p>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交通事故发生者</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减轻交通事故发生者的经济负担</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减轻交通事故发生者的经济负担</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为交通事故处理提供技术支持</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为交通事故处理提供强有力的依据，大大提高交通事故责任认定的准确率</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为交通事故处理提供了强有力的依据，大大提高了交通事故责任认定的准确率</w:t>
            </w:r>
          </w:p>
        </w:tc>
      </w:tr>
      <w:tr>
        <w:tblPrEx>
          <w:tblCellMar>
            <w:top w:w="0" w:type="dxa"/>
            <w:left w:w="108" w:type="dxa"/>
            <w:bottom w:w="0" w:type="dxa"/>
            <w:right w:w="108" w:type="dxa"/>
          </w:tblCellMar>
        </w:tblPrEx>
        <w:trPr>
          <w:trHeight w:val="339"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满意</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度指标</w:t>
            </w:r>
          </w:p>
        </w:tc>
        <w:tc>
          <w:tcPr>
            <w:tcW w:w="1840" w:type="dxa"/>
            <w:gridSpan w:val="2"/>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交通事故发生者</w:t>
            </w:r>
          </w:p>
        </w:tc>
        <w:tc>
          <w:tcPr>
            <w:tcW w:w="1397"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满意度达到95%以上</w:t>
            </w:r>
          </w:p>
        </w:tc>
        <w:tc>
          <w:tcPr>
            <w:tcW w:w="2347"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满意度达到95%以上</w:t>
            </w:r>
          </w:p>
        </w:tc>
      </w:tr>
      <w:tr>
        <w:tblPrEx>
          <w:tblCellMar>
            <w:top w:w="0" w:type="dxa"/>
            <w:left w:w="108" w:type="dxa"/>
            <w:bottom w:w="0" w:type="dxa"/>
            <w:right w:w="108" w:type="dxa"/>
          </w:tblCellMar>
        </w:tblPrEx>
        <w:trPr>
          <w:trHeight w:val="291" w:hRule="atLeast"/>
        </w:trPr>
        <w:tc>
          <w:tcPr>
            <w:tcW w:w="203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840" w:type="dxa"/>
            <w:gridSpan w:val="2"/>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交通事故处理部门</w:t>
            </w:r>
          </w:p>
        </w:tc>
        <w:tc>
          <w:tcPr>
            <w:tcW w:w="1397" w:type="dxa"/>
            <w:gridSpan w:val="2"/>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满意度达到95%以上</w:t>
            </w:r>
          </w:p>
        </w:tc>
        <w:tc>
          <w:tcPr>
            <w:tcW w:w="2347" w:type="dxa"/>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满意度达到95%以上</w:t>
            </w:r>
          </w:p>
        </w:tc>
      </w:tr>
    </w:tbl>
    <w:p>
      <w:pPr>
        <w:spacing w:line="600" w:lineRule="exact"/>
        <w:jc w:val="center"/>
        <w:rPr>
          <w:rFonts w:ascii="黑体" w:hAnsi="宋体" w:eastAsia="黑体"/>
          <w:kern w:val="0"/>
          <w:sz w:val="44"/>
          <w:szCs w:val="44"/>
        </w:rPr>
      </w:pPr>
      <w:r>
        <w:rPr>
          <w:rFonts w:hint="eastAsia" w:ascii="黑体" w:hAnsi="宋体" w:eastAsia="黑体"/>
          <w:kern w:val="0"/>
          <w:sz w:val="44"/>
          <w:szCs w:val="44"/>
        </w:rPr>
        <w:t>广元市公安局交通警察支队</w:t>
      </w:r>
    </w:p>
    <w:p>
      <w:pPr>
        <w:spacing w:line="600" w:lineRule="exact"/>
        <w:jc w:val="center"/>
        <w:rPr>
          <w:rFonts w:ascii="黑体" w:hAnsi="宋体" w:eastAsia="黑体"/>
          <w:kern w:val="0"/>
          <w:sz w:val="44"/>
          <w:szCs w:val="44"/>
        </w:rPr>
      </w:pPr>
      <w:r>
        <w:rPr>
          <w:rFonts w:hint="eastAsia" w:ascii="黑体" w:hAnsi="宋体" w:eastAsia="黑体"/>
          <w:kern w:val="0"/>
          <w:sz w:val="44"/>
          <w:szCs w:val="44"/>
        </w:rPr>
        <w:t>关于2021年度道路交通事故救助基金管理</w:t>
      </w:r>
    </w:p>
    <w:p>
      <w:pPr>
        <w:spacing w:line="600" w:lineRule="exact"/>
        <w:jc w:val="center"/>
        <w:rPr>
          <w:rFonts w:ascii="黑体" w:hAnsi="宋体" w:eastAsia="黑体"/>
          <w:kern w:val="0"/>
          <w:sz w:val="44"/>
          <w:szCs w:val="44"/>
        </w:rPr>
      </w:pPr>
      <w:r>
        <w:rPr>
          <w:rFonts w:hint="eastAsia" w:ascii="黑体" w:hAnsi="宋体" w:eastAsia="黑体"/>
          <w:kern w:val="0"/>
          <w:sz w:val="44"/>
          <w:szCs w:val="44"/>
        </w:rPr>
        <w:t>中心工作经费</w:t>
      </w:r>
      <w:r>
        <w:rPr>
          <w:rFonts w:hint="eastAsia" w:ascii="黑体" w:hAnsi="宋体" w:eastAsia="黑体"/>
          <w:kern w:val="0"/>
          <w:sz w:val="44"/>
          <w:szCs w:val="44"/>
          <w:lang w:val="zh-CN"/>
        </w:rPr>
        <w:t>项目</w:t>
      </w:r>
      <w:r>
        <w:rPr>
          <w:rFonts w:hint="eastAsia" w:ascii="黑体" w:hAnsi="宋体" w:eastAsia="黑体"/>
          <w:kern w:val="0"/>
          <w:sz w:val="44"/>
          <w:szCs w:val="44"/>
        </w:rPr>
        <w:t>绩效自评报告</w:t>
      </w:r>
    </w:p>
    <w:p>
      <w:pPr>
        <w:spacing w:line="600" w:lineRule="exact"/>
        <w:rPr>
          <w:rFonts w:ascii="黑体" w:eastAsia="黑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广元道路交通事故社会救助基金管理中心的职能有：一是受理、审核垫付申请，并依法垫付；二是依法追偿垫付款；三是其他管理救助基金的职责。</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四川省道路交通事故社会救助基金管理试行办法》第六条、第七条之规定建立救助基金管理机构“救助基金管理中心”，该中心原则上设在各级公安机关交通管理部门，具体负责本级救助基金日常管理工作。</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四川省道路交通事故社会救助基金管理财务管理试行办法》规定，各级救助基金管理机构的费用支出（包括人员费用、办公费、追偿费、委托代理费），由同级财政部门纳入预算管理，切实保证基金管理机构的基本需要。</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根据“救助基金管理中心”的工作需要，切实保证基金管理机构的基本需求。</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一是交通事故中，所有逃逸和未保险车辆造成的人员伤亡产生的医疗和丧葬费的垫付；二是垫付基金的追偿和核销；三是救助基金如何使用的宣传工作。</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通过项目实施，让交通事故中符合救助的伤员得到及时治疗，大大降低事故的死亡率，死亡人员能够及时安葬。</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．项目的相符性和合理性。</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项目内容与实际完全相符，申报目标是合理可行的。</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支队高度重视项目绩效自查自评工作，成立了以支队长任组长的项目自评领导小组，下设办公室具体负责自评工作，采取调阅资料和进行群众问卷调查等方式开展自评工作。</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根据预算绩效管理要求，本单位在年初预算编制阶段，组织对该项目编制了绩效目标，申报项目资金10.00万元，财政批复10.00万元</w:t>
      </w:r>
      <w:r>
        <w:rPr>
          <w:rFonts w:hint="eastAsia" w:ascii="仿宋_GB2312" w:hAnsi="宋体" w:eastAsia="仿宋_GB2312"/>
          <w:sz w:val="32"/>
          <w:szCs w:val="32"/>
          <w:lang w:val="zh-CN"/>
        </w:rPr>
        <w:t>。</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市财政预算10.00万元。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市财政拨款10.00万元，到位率100%。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p>
    <w:p>
      <w:pPr>
        <w:ind w:firstLine="640" w:firstLineChars="200"/>
        <w:rPr>
          <w:rFonts w:eastAsia="仿宋_GB2312"/>
          <w:sz w:val="32"/>
          <w:szCs w:val="32"/>
        </w:rPr>
      </w:pPr>
      <w:r>
        <w:rPr>
          <w:rFonts w:hint="eastAsia" w:ascii="仿宋_GB2312" w:hAnsi="宋体" w:eastAsia="仿宋_GB2312"/>
          <w:sz w:val="32"/>
          <w:szCs w:val="32"/>
          <w:lang w:val="zh-CN"/>
        </w:rPr>
        <w:t>截至2021年12月31日，支付资金10.00万元，完成预算的100%。该项目资金严格按照相关要求进行支付，</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（三）项目财务管理情况。</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该项目具体实施部门为事故处理科，年初由该科室就项目具体内容、所需资金、工作目标等形成报告，报告提交交警支队党总支会议审核，审核通过后根据财政批复情况由事故处理科具体实施。</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（二）项目管理情况。</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救助基金管理中心负责日常工作和管理。</w:t>
      </w:r>
    </w:p>
    <w:p>
      <w:pPr>
        <w:ind w:firstLine="643" w:firstLineChars="200"/>
        <w:rPr>
          <w:rFonts w:ascii="楷体" w:hAnsi="楷体" w:eastAsia="楷体"/>
          <w:b/>
          <w:sz w:val="32"/>
          <w:szCs w:val="32"/>
          <w:lang w:val="zh-CN"/>
        </w:rPr>
      </w:pPr>
      <w:r>
        <w:rPr>
          <w:rFonts w:hint="eastAsia" w:ascii="楷体" w:hAnsi="楷体" w:eastAsia="楷体"/>
          <w:b/>
          <w:sz w:val="32"/>
          <w:szCs w:val="32"/>
          <w:lang w:val="zh-CN"/>
        </w:rPr>
        <w:t>（三）项目监管情况。</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支队事故科负责业务监督和指导，支队财务部门负责费用的审核和支付。</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2021年，共为</w:t>
      </w:r>
      <w:r>
        <w:rPr>
          <w:rFonts w:hint="eastAsia" w:ascii="仿宋_GB2312" w:hAnsi="仿宋_GB2312" w:eastAsia="仿宋_GB2312" w:cs="仿宋_GB2312"/>
          <w:sz w:val="32"/>
          <w:szCs w:val="32"/>
        </w:rPr>
        <w:t>交通事故中符合救助条件的39人垫付了医疗费用62.74万元，组织宣传活动8场，发放宣传资料3万余份，共支出办公经费10.00万元。</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spacing w:line="360" w:lineRule="auto"/>
        <w:ind w:firstLine="640" w:firstLineChars="200"/>
        <w:rPr>
          <w:rFonts w:ascii="仿宋_GB2312" w:hAnsi="宋体" w:eastAsia="仿宋_GB2312" w:cs="宋体"/>
          <w:kern w:val="0"/>
          <w:sz w:val="32"/>
          <w:szCs w:val="32"/>
          <w:shd w:val="clear" w:color="auto" w:fill="FFFFFF"/>
          <w:lang w:val="zh-CN"/>
        </w:rPr>
      </w:pPr>
      <w:r>
        <w:rPr>
          <w:rFonts w:hint="eastAsia" w:ascii="仿宋_GB2312" w:hAnsi="仿宋_GB2312" w:eastAsia="仿宋_GB2312" w:cs="仿宋_GB2312"/>
          <w:sz w:val="32"/>
          <w:szCs w:val="32"/>
        </w:rPr>
        <w:t>通过项目实施，让交通事故中符合救助的伤员得到及时治疗，大大降低了事故的死亡率，死亡人员得到及时安葬，</w:t>
      </w:r>
      <w:r>
        <w:rPr>
          <w:rFonts w:hint="eastAsia" w:ascii="仿宋_GB2312" w:hAnsi="宋体" w:eastAsia="仿宋_GB2312" w:cs="宋体"/>
          <w:kern w:val="0"/>
          <w:sz w:val="32"/>
          <w:szCs w:val="32"/>
        </w:rPr>
        <w:t>有效保护道路交通事故中受害人的合法权益，解决医疗机构的后顾之忧，保障事故当事双方得到政府关怀，</w:t>
      </w:r>
      <w:r>
        <w:rPr>
          <w:rFonts w:ascii="仿宋_GB2312" w:hAnsi="宋体" w:eastAsia="仿宋_GB2312" w:cs="宋体"/>
          <w:kern w:val="0"/>
          <w:sz w:val="32"/>
          <w:szCs w:val="32"/>
          <w:shd w:val="clear" w:color="auto" w:fill="FFFFFF"/>
          <w:lang w:val="zh-CN"/>
        </w:rPr>
        <w:t>有效缓解受害家庭生活</w:t>
      </w:r>
      <w:r>
        <w:rPr>
          <w:rFonts w:hint="eastAsia" w:ascii="仿宋_GB2312" w:hAnsi="宋体" w:eastAsia="仿宋_GB2312" w:cs="宋体"/>
          <w:kern w:val="0"/>
          <w:sz w:val="32"/>
          <w:szCs w:val="32"/>
          <w:shd w:val="clear" w:color="auto" w:fill="FFFFFF"/>
          <w:lang w:val="zh-CN"/>
        </w:rPr>
        <w:t>陷入</w:t>
      </w:r>
      <w:r>
        <w:rPr>
          <w:rFonts w:ascii="仿宋_GB2312" w:hAnsi="宋体" w:eastAsia="仿宋_GB2312" w:cs="宋体"/>
          <w:kern w:val="0"/>
          <w:sz w:val="32"/>
          <w:szCs w:val="32"/>
          <w:shd w:val="clear" w:color="auto" w:fill="FFFFFF"/>
          <w:lang w:val="zh-CN"/>
        </w:rPr>
        <w:t>困难</w:t>
      </w:r>
      <w:r>
        <w:rPr>
          <w:rFonts w:hint="eastAsia" w:ascii="仿宋_GB2312" w:hAnsi="宋体" w:eastAsia="仿宋_GB2312" w:cs="宋体"/>
          <w:kern w:val="0"/>
          <w:sz w:val="32"/>
          <w:szCs w:val="32"/>
          <w:shd w:val="clear" w:color="auto" w:fill="FFFFFF"/>
          <w:lang w:val="zh-CN"/>
        </w:rPr>
        <w:t>，</w:t>
      </w:r>
      <w:r>
        <w:rPr>
          <w:rFonts w:hint="eastAsia" w:ascii="仿宋_GB2312" w:hAnsi="宋体" w:eastAsia="仿宋_GB2312" w:cs="宋体"/>
          <w:kern w:val="0"/>
          <w:sz w:val="32"/>
          <w:szCs w:val="32"/>
        </w:rPr>
        <w:t>降低</w:t>
      </w:r>
      <w:r>
        <w:rPr>
          <w:rFonts w:ascii="仿宋_GB2312" w:hAnsi="宋体" w:eastAsia="仿宋_GB2312" w:cs="宋体"/>
          <w:kern w:val="0"/>
          <w:sz w:val="32"/>
          <w:szCs w:val="32"/>
        </w:rPr>
        <w:t>道路交通事故引发的社会问题，</w:t>
      </w:r>
      <w:r>
        <w:rPr>
          <w:rFonts w:ascii="仿宋_GB2312" w:hAnsi="宋体" w:eastAsia="仿宋_GB2312" w:cs="宋体"/>
          <w:kern w:val="0"/>
          <w:sz w:val="32"/>
          <w:szCs w:val="32"/>
          <w:shd w:val="clear" w:color="auto" w:fill="FFFFFF"/>
          <w:lang w:val="zh-CN"/>
        </w:rPr>
        <w:t>道路交通事故救助基金逐步成为广大群众看得见</w:t>
      </w:r>
      <w:r>
        <w:rPr>
          <w:rFonts w:hint="eastAsia" w:ascii="仿宋_GB2312" w:hAnsi="宋体" w:eastAsia="仿宋_GB2312" w:cs="宋体"/>
          <w:kern w:val="0"/>
          <w:sz w:val="32"/>
          <w:szCs w:val="32"/>
          <w:shd w:val="clear" w:color="auto" w:fill="FFFFFF"/>
          <w:lang w:val="zh-CN"/>
        </w:rPr>
        <w:t>、</w:t>
      </w:r>
      <w:r>
        <w:rPr>
          <w:rFonts w:ascii="仿宋_GB2312" w:hAnsi="宋体" w:eastAsia="仿宋_GB2312" w:cs="宋体"/>
          <w:kern w:val="0"/>
          <w:sz w:val="32"/>
          <w:szCs w:val="32"/>
          <w:shd w:val="clear" w:color="auto" w:fill="FFFFFF"/>
          <w:lang w:val="zh-CN"/>
        </w:rPr>
        <w:t>摸得着</w:t>
      </w:r>
      <w:r>
        <w:rPr>
          <w:rFonts w:hint="eastAsia" w:ascii="仿宋_GB2312" w:hAnsi="宋体" w:eastAsia="仿宋_GB2312" w:cs="宋体"/>
          <w:kern w:val="0"/>
          <w:sz w:val="32"/>
          <w:szCs w:val="32"/>
          <w:shd w:val="clear" w:color="auto" w:fill="FFFFFF"/>
          <w:lang w:val="zh-CN"/>
        </w:rPr>
        <w:t>、</w:t>
      </w:r>
      <w:r>
        <w:rPr>
          <w:rFonts w:ascii="仿宋_GB2312" w:hAnsi="宋体" w:eastAsia="仿宋_GB2312" w:cs="宋体"/>
          <w:kern w:val="0"/>
          <w:sz w:val="32"/>
          <w:szCs w:val="32"/>
          <w:shd w:val="clear" w:color="auto" w:fill="FFFFFF"/>
          <w:lang w:val="zh-CN"/>
        </w:rPr>
        <w:t>想得起</w:t>
      </w:r>
      <w:r>
        <w:rPr>
          <w:rFonts w:hint="eastAsia" w:ascii="仿宋_GB2312" w:hAnsi="宋体" w:eastAsia="仿宋_GB2312" w:cs="宋体"/>
          <w:kern w:val="0"/>
          <w:sz w:val="32"/>
          <w:szCs w:val="32"/>
          <w:shd w:val="clear" w:color="auto" w:fill="FFFFFF"/>
          <w:lang w:val="zh-CN"/>
        </w:rPr>
        <w:t>、</w:t>
      </w:r>
      <w:r>
        <w:rPr>
          <w:rFonts w:ascii="仿宋_GB2312" w:hAnsi="宋体" w:eastAsia="仿宋_GB2312" w:cs="宋体"/>
          <w:kern w:val="0"/>
          <w:sz w:val="32"/>
          <w:szCs w:val="32"/>
          <w:shd w:val="clear" w:color="auto" w:fill="FFFFFF"/>
          <w:lang w:val="zh-CN"/>
        </w:rPr>
        <w:t>用得上的惠民政策</w:t>
      </w:r>
      <w:r>
        <w:rPr>
          <w:rFonts w:hint="eastAsia" w:ascii="仿宋_GB2312" w:hAnsi="宋体" w:eastAsia="仿宋_GB2312" w:cs="宋体"/>
          <w:kern w:val="0"/>
          <w:sz w:val="32"/>
          <w:szCs w:val="32"/>
          <w:shd w:val="clear" w:color="auto" w:fill="FFFFFF"/>
          <w:lang w:val="zh-CN"/>
        </w:rPr>
        <w:t>，</w:t>
      </w:r>
      <w:r>
        <w:rPr>
          <w:rFonts w:ascii="仿宋_GB2312" w:hAnsi="宋体" w:eastAsia="仿宋_GB2312" w:cs="宋体"/>
          <w:kern w:val="0"/>
          <w:sz w:val="32"/>
          <w:szCs w:val="32"/>
          <w:shd w:val="clear" w:color="auto" w:fill="FFFFFF"/>
          <w:lang w:val="zh-CN"/>
        </w:rPr>
        <w:t>增强人民群众的满意感</w:t>
      </w:r>
      <w:r>
        <w:rPr>
          <w:rFonts w:hint="eastAsia" w:ascii="仿宋_GB2312" w:hAnsi="宋体" w:eastAsia="仿宋_GB2312" w:cs="宋体"/>
          <w:kern w:val="0"/>
          <w:sz w:val="32"/>
          <w:szCs w:val="32"/>
          <w:shd w:val="clear" w:color="auto" w:fill="FFFFFF"/>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从评价情况来看，项目的预算资金管理科学合理，使用规范，完成了项目的既定目标，达到了预期使用效果，得分是100分。</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由于宣传还不到位，许多符合条件的救助者还不知道道路事故救助基金的存在，无法享受到国家给予的福利政策。</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加大宣传力度，让更多符合条件的救助者受益。</w:t>
      </w:r>
    </w:p>
    <w:tbl>
      <w:tblPr>
        <w:tblStyle w:val="13"/>
        <w:tblpPr w:leftFromText="180" w:rightFromText="180" w:vertAnchor="text" w:horzAnchor="page" w:tblpX="1281" w:tblpY="660"/>
        <w:tblOverlap w:val="never"/>
        <w:tblW w:w="9868" w:type="dxa"/>
        <w:tblInd w:w="-42" w:type="dxa"/>
        <w:tblLayout w:type="fixed"/>
        <w:tblCellMar>
          <w:top w:w="0" w:type="dxa"/>
          <w:left w:w="108" w:type="dxa"/>
          <w:bottom w:w="0" w:type="dxa"/>
          <w:right w:w="108" w:type="dxa"/>
        </w:tblCellMar>
      </w:tblPr>
      <w:tblGrid>
        <w:gridCol w:w="2036"/>
        <w:gridCol w:w="1023"/>
        <w:gridCol w:w="155"/>
        <w:gridCol w:w="1685"/>
        <w:gridCol w:w="1225"/>
        <w:gridCol w:w="1261"/>
        <w:gridCol w:w="136"/>
        <w:gridCol w:w="2347"/>
      </w:tblGrid>
      <w:tr>
        <w:tblPrEx>
          <w:tblCellMar>
            <w:top w:w="0" w:type="dxa"/>
            <w:left w:w="108" w:type="dxa"/>
            <w:bottom w:w="0" w:type="dxa"/>
            <w:right w:w="108" w:type="dxa"/>
          </w:tblCellMar>
        </w:tblPrEx>
        <w:trPr>
          <w:trHeight w:val="820" w:hRule="atLeast"/>
        </w:trPr>
        <w:tc>
          <w:tcPr>
            <w:tcW w:w="9868"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sz w:val="32"/>
                <w:szCs w:val="32"/>
              </w:rPr>
            </w:pPr>
            <w:r>
              <w:rPr>
                <w:rFonts w:hint="eastAsia" w:ascii="宋体" w:hAnsi="宋体" w:cs="宋体"/>
                <w:sz w:val="32"/>
                <w:szCs w:val="32"/>
              </w:rPr>
              <w:t>2021年部门预算项目绩效目标自评</w:t>
            </w:r>
          </w:p>
        </w:tc>
      </w:tr>
      <w:tr>
        <w:tblPrEx>
          <w:tblCellMar>
            <w:top w:w="0" w:type="dxa"/>
            <w:left w:w="108" w:type="dxa"/>
            <w:bottom w:w="0" w:type="dxa"/>
            <w:right w:w="108" w:type="dxa"/>
          </w:tblCellMar>
        </w:tblPrEx>
        <w:trPr>
          <w:trHeight w:val="309" w:hRule="atLeast"/>
        </w:trPr>
        <w:tc>
          <w:tcPr>
            <w:tcW w:w="3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主管部门及代码</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202001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广元市公安局交通警察支队</w:t>
            </w:r>
          </w:p>
        </w:tc>
      </w:tr>
      <w:tr>
        <w:tblPrEx>
          <w:tblCellMar>
            <w:top w:w="0" w:type="dxa"/>
            <w:left w:w="108" w:type="dxa"/>
            <w:bottom w:w="0" w:type="dxa"/>
            <w:right w:w="108" w:type="dxa"/>
          </w:tblCellMar>
        </w:tblPrEx>
        <w:trPr>
          <w:trHeight w:val="414" w:hRule="atLeast"/>
        </w:trPr>
        <w:tc>
          <w:tcPr>
            <w:tcW w:w="3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项目预算</w:t>
            </w:r>
            <w:r>
              <w:rPr>
                <w:rFonts w:hint="eastAsia" w:ascii="宋体" w:hAnsi="宋体" w:cs="宋体"/>
                <w:kern w:val="0"/>
                <w:sz w:val="20"/>
                <w:szCs w:val="20"/>
              </w:rPr>
              <w:br w:type="textWrapping"/>
            </w:r>
            <w:r>
              <w:rPr>
                <w:rFonts w:hint="eastAsia" w:ascii="宋体" w:hAnsi="宋体" w:cs="宋体"/>
                <w:kern w:val="0"/>
                <w:sz w:val="20"/>
                <w:szCs w:val="20"/>
              </w:rPr>
              <w:t>执行情况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预算数：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执行数：</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67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41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年度总体目标</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完成情况</w:t>
            </w: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目标实际完成情况</w:t>
            </w:r>
          </w:p>
        </w:tc>
      </w:tr>
      <w:tr>
        <w:tblPrEx>
          <w:tblCellMar>
            <w:top w:w="0" w:type="dxa"/>
            <w:left w:w="108" w:type="dxa"/>
            <w:bottom w:w="0" w:type="dxa"/>
            <w:right w:w="108" w:type="dxa"/>
          </w:tblCellMar>
        </w:tblPrEx>
        <w:trPr>
          <w:trHeight w:val="968"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textAlignment w:val="top"/>
              <w:rPr>
                <w:rFonts w:ascii="宋体" w:hAnsi="宋体" w:cs="宋体"/>
                <w:sz w:val="20"/>
                <w:szCs w:val="20"/>
              </w:rPr>
            </w:pPr>
            <w:r>
              <w:rPr>
                <w:rFonts w:hint="eastAsia" w:ascii="宋体" w:hAnsi="宋体" w:cs="宋体"/>
                <w:sz w:val="20"/>
                <w:szCs w:val="20"/>
              </w:rPr>
              <w:t xml:space="preserve">1、交通事故中，逃逸和未保险车辆造成的人员伤亡产生的医疗和丧葬费的垫付。2、救助基金如何使用的宣传工作。3、基金的追偿和核销工作。    </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1、交通事故中，逃逸和未保险车辆造成的人员伤亡产生的医疗和丧葬费的垫付。 2、救助基金使用的宣传工作。3、基金的追偿和核销工作。</w:t>
            </w:r>
          </w:p>
        </w:tc>
      </w:tr>
      <w:tr>
        <w:tblPrEx>
          <w:tblCellMar>
            <w:top w:w="0" w:type="dxa"/>
            <w:left w:w="108" w:type="dxa"/>
            <w:bottom w:w="0" w:type="dxa"/>
            <w:right w:w="108" w:type="dxa"/>
          </w:tblCellMar>
        </w:tblPrEx>
        <w:trPr>
          <w:trHeight w:val="842" w:hRule="atLeast"/>
        </w:trPr>
        <w:tc>
          <w:tcPr>
            <w:tcW w:w="203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02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149"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完成指标</w:t>
            </w:r>
          </w:p>
        </w:tc>
        <w:tc>
          <w:tcPr>
            <w:tcW w:w="1840" w:type="dxa"/>
            <w:gridSpan w:val="2"/>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质量指标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道路交通事故基金使用率</w:t>
            </w:r>
          </w:p>
        </w:tc>
        <w:tc>
          <w:tcPr>
            <w:tcW w:w="1397"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让逃逸和未买保险的事故受伤人员得到救助。</w:t>
            </w:r>
          </w:p>
        </w:tc>
        <w:tc>
          <w:tcPr>
            <w:tcW w:w="2347" w:type="dxa"/>
            <w:tcBorders>
              <w:top w:val="single" w:color="000000"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90%以上的逃逸和未买保险的事故得到救助。</w:t>
            </w:r>
          </w:p>
        </w:tc>
      </w:tr>
      <w:tr>
        <w:tblPrEx>
          <w:tblCellMar>
            <w:top w:w="0" w:type="dxa"/>
            <w:left w:w="108" w:type="dxa"/>
            <w:bottom w:w="0" w:type="dxa"/>
            <w:right w:w="108" w:type="dxa"/>
          </w:tblCellMar>
        </w:tblPrEx>
        <w:trPr>
          <w:trHeight w:val="504"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before="93"/>
              <w:jc w:val="center"/>
              <w:rPr>
                <w:sz w:val="20"/>
                <w:szCs w:val="20"/>
              </w:rPr>
            </w:pPr>
            <w:r>
              <w:rPr>
                <w:rFonts w:hint="eastAsia" w:hAnsi="仿宋_GB2312" w:cs="仿宋_GB2312"/>
                <w:sz w:val="20"/>
                <w:szCs w:val="20"/>
              </w:rPr>
              <w:t>2021年12月31日</w:t>
            </w:r>
          </w:p>
        </w:tc>
      </w:tr>
      <w:tr>
        <w:tblPrEx>
          <w:tblCellMar>
            <w:top w:w="0" w:type="dxa"/>
            <w:left w:w="108" w:type="dxa"/>
            <w:bottom w:w="0" w:type="dxa"/>
            <w:right w:w="108" w:type="dxa"/>
          </w:tblCellMar>
        </w:tblPrEx>
        <w:trPr>
          <w:trHeight w:val="655"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办公费、差旅费、宣传费</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auto" w:sz="4" w:space="0"/>
              <w:left w:val="single" w:color="000000" w:sz="4" w:space="0"/>
              <w:bottom w:val="single" w:color="000000"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事故伤亡人员救助</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让符合救助的伤员得到及时治疗，大大降低了事故的死亡率，死亡人员得到及时安葬</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让符合救助的伤员得到及时治疗，大大降低了事故的死亡率，死亡人员得到及时安葬</w:t>
            </w:r>
          </w:p>
        </w:tc>
      </w:tr>
      <w:tr>
        <w:tblPrEx>
          <w:tblCellMar>
            <w:top w:w="0" w:type="dxa"/>
            <w:left w:w="108" w:type="dxa"/>
            <w:bottom w:w="0" w:type="dxa"/>
            <w:right w:w="108" w:type="dxa"/>
          </w:tblCellMar>
        </w:tblPrEx>
        <w:trPr>
          <w:trHeight w:val="339" w:hRule="atLeast"/>
        </w:trPr>
        <w:tc>
          <w:tcPr>
            <w:tcW w:w="2036"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满意</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度指标</w:t>
            </w:r>
          </w:p>
        </w:tc>
        <w:tc>
          <w:tcPr>
            <w:tcW w:w="1840"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受救助者</w:t>
            </w:r>
          </w:p>
        </w:tc>
        <w:tc>
          <w:tcPr>
            <w:tcW w:w="1397"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满意率达到100%</w:t>
            </w:r>
          </w:p>
        </w:tc>
        <w:tc>
          <w:tcPr>
            <w:tcW w:w="2347"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满意率达到100%</w:t>
            </w:r>
          </w:p>
        </w:tc>
      </w:tr>
    </w:tbl>
    <w:p>
      <w:pPr>
        <w:adjustRightInd w:val="0"/>
        <w:snapToGrid w:val="0"/>
        <w:spacing w:line="576" w:lineRule="exact"/>
        <w:jc w:val="center"/>
        <w:rPr>
          <w:rFonts w:ascii="黑体" w:eastAsia="黑体"/>
          <w:sz w:val="44"/>
          <w:szCs w:val="44"/>
        </w:rPr>
      </w:pPr>
    </w:p>
    <w:p>
      <w:pPr>
        <w:spacing w:line="600" w:lineRule="exact"/>
        <w:jc w:val="center"/>
        <w:rPr>
          <w:rFonts w:ascii="方正小标宋简体" w:hAnsi="宋体" w:eastAsia="方正小标宋简体"/>
          <w:kern w:val="0"/>
          <w:sz w:val="44"/>
          <w:szCs w:val="52"/>
        </w:rPr>
      </w:pPr>
      <w:r>
        <w:rPr>
          <w:rFonts w:hint="eastAsia" w:ascii="方正小标宋简体" w:hAnsi="宋体" w:eastAsia="方正小标宋简体"/>
          <w:kern w:val="0"/>
          <w:sz w:val="44"/>
          <w:szCs w:val="52"/>
        </w:rPr>
        <w:t>广元市公安局交通警察支队</w:t>
      </w:r>
    </w:p>
    <w:p>
      <w:pPr>
        <w:spacing w:line="600" w:lineRule="exact"/>
        <w:jc w:val="center"/>
        <w:rPr>
          <w:rFonts w:ascii="方正小标宋简体" w:hAnsi="宋体" w:eastAsia="方正小标宋简体"/>
          <w:kern w:val="0"/>
          <w:sz w:val="44"/>
          <w:szCs w:val="52"/>
        </w:rPr>
      </w:pPr>
      <w:r>
        <w:rPr>
          <w:rFonts w:hint="eastAsia" w:ascii="方正小标宋简体" w:hAnsi="宋体" w:eastAsia="方正小标宋简体"/>
          <w:kern w:val="0"/>
          <w:sz w:val="44"/>
          <w:szCs w:val="52"/>
        </w:rPr>
        <w:t>关于2021年度考场租赁费</w:t>
      </w:r>
      <w:r>
        <w:rPr>
          <w:rFonts w:hint="eastAsia" w:ascii="方正小标宋简体" w:hAnsi="宋体" w:eastAsia="方正小标宋简体"/>
          <w:kern w:val="0"/>
          <w:sz w:val="44"/>
          <w:szCs w:val="52"/>
          <w:lang w:val="zh-CN"/>
        </w:rPr>
        <w:t>项目</w:t>
      </w:r>
      <w:r>
        <w:rPr>
          <w:rFonts w:hint="eastAsia" w:ascii="方正小标宋简体" w:hAnsi="宋体" w:eastAsia="方正小标宋简体"/>
          <w:kern w:val="0"/>
          <w:sz w:val="44"/>
          <w:szCs w:val="52"/>
        </w:rPr>
        <w:t>绩效</w:t>
      </w:r>
    </w:p>
    <w:p>
      <w:pPr>
        <w:spacing w:line="600" w:lineRule="exact"/>
        <w:jc w:val="center"/>
        <w:rPr>
          <w:rFonts w:ascii="方正小标宋简体" w:hAnsi="宋体" w:eastAsia="方正小标宋简体"/>
          <w:kern w:val="0"/>
          <w:sz w:val="44"/>
          <w:szCs w:val="52"/>
          <w:lang w:val="zh-CN"/>
        </w:rPr>
      </w:pPr>
      <w:r>
        <w:rPr>
          <w:rFonts w:hint="eastAsia" w:ascii="方正小标宋简体" w:hAnsi="宋体" w:eastAsia="方正小标宋简体"/>
          <w:kern w:val="0"/>
          <w:sz w:val="44"/>
          <w:szCs w:val="52"/>
        </w:rPr>
        <w:t>自评报告</w:t>
      </w:r>
    </w:p>
    <w:p>
      <w:pPr>
        <w:spacing w:line="600" w:lineRule="exact"/>
        <w:rPr>
          <w:rFonts w:ascii="宋体" w:eastAsia="仿宋_GB2312"/>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支队下属车管所，承担着全市科目一、科目二、科目三、科目四的考试。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中华人民共和国公安部令》第139号，公安部关于修改《机动车驾驶证申领和使用规定》的决定的四十八条之规定，公安机关交通管理部门应当根据当地考试需求建设考场，配备足够的考试车辆。对考场布局、数量不能满足本地考试需求的，应当采取政府购买服务等方式使用社会考场。</w:t>
      </w:r>
    </w:p>
    <w:p>
      <w:pPr>
        <w:adjustRightInd w:val="0"/>
        <w:snapToGrid w:val="0"/>
        <w:spacing w:line="600" w:lineRule="exact"/>
        <w:ind w:firstLine="480" w:firstLineChars="150"/>
        <w:rPr>
          <w:rFonts w:ascii="仿宋_GB2312" w:hAnsi="宋体" w:eastAsia="仿宋_GB2312"/>
          <w:sz w:val="32"/>
          <w:szCs w:val="32"/>
          <w:lang w:val="zh-CN"/>
        </w:rPr>
      </w:pPr>
      <w:r>
        <w:rPr>
          <w:rFonts w:ascii="仿宋_GB2312" w:hAnsi="宋体" w:eastAsia="仿宋_GB2312"/>
          <w:sz w:val="32"/>
          <w:szCs w:val="32"/>
          <w:lang w:val="zh-CN"/>
        </w:rPr>
        <w:t xml:space="preserve"> 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支队先后制定了《财务管理规定》、《内部会计监督制度》、《工程和大宗物品采购管理规定》、《“三重一大”事项集体决策制度》等各项规章制度。本项目严格按照财务管理规定、财政预算情况和项目的必要性进行资金分配和提供支持。</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该项目资金分配主要用于考场租赁的租金。</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完成全市范围所有新申请驾照人员，科目一、科目二、科目三、科目四的考试。</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通过项目实施，大概完成23万人次考试。</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．项目的相符性和合理性。</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项目内容与实际完全相符，申报目标是合理可行的。</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支队高度重视项目绩效自查自评工作，成立了以支队长任组长的项目自评领导小组，下设办公室具体负责自评工作，采取调阅资料和进行群众问卷调查等方式开展自评工作。</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根据预算绩效管理要求，本单位在年初预算编制阶段，组织对该项目编制了绩效目标，申报项目资金20.00万元，财政批复20.00万元</w:t>
      </w:r>
      <w:r>
        <w:rPr>
          <w:rFonts w:hint="eastAsia" w:ascii="仿宋_GB2312" w:hAnsi="宋体" w:eastAsia="仿宋_GB2312"/>
          <w:sz w:val="32"/>
          <w:szCs w:val="32"/>
          <w:lang w:val="zh-CN"/>
        </w:rPr>
        <w:t>。</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市财政预算20.00万元。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市财政拨款20.00万元，到位率100%。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p>
    <w:p>
      <w:pPr>
        <w:ind w:firstLine="640" w:firstLineChars="200"/>
        <w:rPr>
          <w:rFonts w:eastAsia="仿宋_GB2312"/>
          <w:sz w:val="32"/>
          <w:szCs w:val="32"/>
        </w:rPr>
      </w:pPr>
      <w:r>
        <w:rPr>
          <w:rFonts w:hint="eastAsia" w:ascii="仿宋_GB2312" w:hAnsi="宋体" w:eastAsia="仿宋_GB2312"/>
          <w:sz w:val="32"/>
          <w:szCs w:val="32"/>
          <w:lang w:val="zh-CN"/>
        </w:rPr>
        <w:t>截至2021年12月31日，支付资金20.00万元，完成预算的100%。该项目资金严格按照相关要求进行支付，</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（三）项目财务管理情况。</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该项目具体实施部门为车管所，年初由该所就项目具体内容、所需资金、工作目标等形成报告，报告提交交警支队党总支会议审核，审核通过后根据财政批复情况由车管所具体实施</w:t>
      </w:r>
      <w:bookmarkStart w:id="67" w:name="_GoBack"/>
      <w:bookmarkEnd w:id="67"/>
      <w:r>
        <w:rPr>
          <w:rFonts w:hint="eastAsia" w:ascii="仿宋_GB2312" w:hAnsi="宋体" w:eastAsia="仿宋_GB2312"/>
          <w:sz w:val="32"/>
          <w:szCs w:val="32"/>
          <w:lang w:val="zh-CN"/>
        </w:rPr>
        <w:t>。</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b/>
          <w:sz w:val="32"/>
          <w:szCs w:val="32"/>
          <w:lang w:val="zh-CN"/>
        </w:rPr>
        <w:t>（二）项目管理情况。</w:t>
      </w:r>
    </w:p>
    <w:p>
      <w:pPr>
        <w:adjustRightInd w:val="0"/>
        <w:snapToGrid w:val="0"/>
        <w:spacing w:line="54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我支队按照公平竞争、择优选定的原则，通过询价谈判的方式最终确定租用凤凰驾校和广运集团驾校的考试场地，驾校负责考场的日常维护和管理。</w:t>
      </w:r>
    </w:p>
    <w:p>
      <w:pPr>
        <w:adjustRightInd w:val="0"/>
        <w:snapToGrid w:val="0"/>
        <w:spacing w:line="540" w:lineRule="exact"/>
        <w:ind w:firstLine="720"/>
        <w:rPr>
          <w:rFonts w:ascii="楷体" w:hAnsi="楷体" w:eastAsia="楷体"/>
          <w:b/>
          <w:sz w:val="32"/>
          <w:szCs w:val="32"/>
          <w:lang w:val="zh-CN"/>
        </w:rPr>
      </w:pPr>
      <w:r>
        <w:rPr>
          <w:rFonts w:hint="eastAsia" w:ascii="仿宋_GB2312" w:hAnsi="宋体" w:eastAsia="仿宋_GB2312"/>
          <w:sz w:val="32"/>
          <w:szCs w:val="32"/>
          <w:lang w:val="zh-CN"/>
        </w:rPr>
        <w:t>（三）</w:t>
      </w:r>
      <w:r>
        <w:rPr>
          <w:rFonts w:hint="eastAsia" w:ascii="楷体" w:hAnsi="楷体" w:eastAsia="楷体"/>
          <w:b/>
          <w:sz w:val="32"/>
          <w:szCs w:val="32"/>
          <w:lang w:val="zh-CN"/>
        </w:rPr>
        <w:t>项目监管情况。</w:t>
      </w:r>
    </w:p>
    <w:p>
      <w:pPr>
        <w:adjustRightInd w:val="0"/>
        <w:snapToGrid w:val="0"/>
        <w:spacing w:line="54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车管所定期开展考试场地、考试车辆、考试设备和考场管理情况的监督检查。</w:t>
      </w:r>
    </w:p>
    <w:p>
      <w:pPr>
        <w:adjustRightInd w:val="0"/>
        <w:snapToGrid w:val="0"/>
        <w:spacing w:line="54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40"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54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2021年，完成约23万人次考试，考场租赁费支出20.00万元。</w:t>
      </w:r>
    </w:p>
    <w:p>
      <w:pPr>
        <w:adjustRightInd w:val="0"/>
        <w:snapToGrid w:val="0"/>
        <w:spacing w:line="540" w:lineRule="exact"/>
        <w:ind w:firstLine="643" w:firstLineChars="20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通过项目实施，充分利用社会资源，大大节约了经费支出。</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黑体" w:hAnsi="宋体" w:eastAsia="黑体"/>
          <w:sz w:val="32"/>
          <w:szCs w:val="32"/>
        </w:rPr>
        <w:t>五、评价结论及建议</w:t>
      </w:r>
    </w:p>
    <w:p>
      <w:pPr>
        <w:adjustRightInd w:val="0"/>
        <w:snapToGrid w:val="0"/>
        <w:spacing w:line="540" w:lineRule="exact"/>
        <w:ind w:firstLine="643" w:firstLineChars="200"/>
        <w:rPr>
          <w:rFonts w:ascii="仿宋_GB2312" w:hAnsi="仿宋_GB2312" w:eastAsia="仿宋_GB2312" w:cs="仿宋_GB2312"/>
          <w:sz w:val="32"/>
          <w:szCs w:val="32"/>
        </w:rPr>
      </w:pPr>
      <w:r>
        <w:rPr>
          <w:rFonts w:hint="eastAsia" w:ascii="楷体" w:hAnsi="楷体" w:eastAsia="楷体"/>
          <w:b/>
          <w:sz w:val="32"/>
          <w:szCs w:val="32"/>
          <w:lang w:val="zh-CN"/>
        </w:rPr>
        <w:t>（一）评价结论。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从评价情况来看，项目的预算资金管理科学合理，使用规范，完成了项目的既定目标，达到了预期使用效果，得分是100分。</w:t>
      </w:r>
    </w:p>
    <w:p>
      <w:pPr>
        <w:adjustRightInd w:val="0"/>
        <w:snapToGrid w:val="0"/>
        <w:spacing w:line="540" w:lineRule="exact"/>
        <w:ind w:firstLine="643" w:firstLineChars="20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adjustRightInd w:val="0"/>
        <w:snapToGrid w:val="0"/>
        <w:spacing w:line="540"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adjustRightInd w:val="0"/>
        <w:snapToGrid w:val="0"/>
        <w:spacing w:line="5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80" w:lineRule="exact"/>
        <w:ind w:firstLine="480" w:firstLineChars="150"/>
        <w:rPr>
          <w:rFonts w:ascii="仿宋_GB2312" w:hAnsi="仿宋_GB2312" w:eastAsia="仿宋_GB2312" w:cs="仿宋_GB2312"/>
          <w:sz w:val="32"/>
          <w:szCs w:val="32"/>
        </w:rPr>
      </w:pPr>
    </w:p>
    <w:tbl>
      <w:tblPr>
        <w:tblStyle w:val="13"/>
        <w:tblpPr w:leftFromText="180" w:rightFromText="180" w:vertAnchor="text" w:horzAnchor="page" w:tblpX="1281" w:tblpY="660"/>
        <w:tblOverlap w:val="never"/>
        <w:tblW w:w="9868" w:type="dxa"/>
        <w:tblInd w:w="-42" w:type="dxa"/>
        <w:tblLayout w:type="fixed"/>
        <w:tblCellMar>
          <w:top w:w="0" w:type="dxa"/>
          <w:left w:w="108" w:type="dxa"/>
          <w:bottom w:w="0" w:type="dxa"/>
          <w:right w:w="108" w:type="dxa"/>
        </w:tblCellMar>
      </w:tblPr>
      <w:tblGrid>
        <w:gridCol w:w="2036"/>
        <w:gridCol w:w="1023"/>
        <w:gridCol w:w="155"/>
        <w:gridCol w:w="1685"/>
        <w:gridCol w:w="1225"/>
        <w:gridCol w:w="1261"/>
        <w:gridCol w:w="31"/>
        <w:gridCol w:w="2452"/>
      </w:tblGrid>
      <w:tr>
        <w:tblPrEx>
          <w:tblCellMar>
            <w:top w:w="0" w:type="dxa"/>
            <w:left w:w="108" w:type="dxa"/>
            <w:bottom w:w="0" w:type="dxa"/>
            <w:right w:w="108" w:type="dxa"/>
          </w:tblCellMar>
        </w:tblPrEx>
        <w:trPr>
          <w:trHeight w:val="820" w:hRule="atLeast"/>
        </w:trPr>
        <w:tc>
          <w:tcPr>
            <w:tcW w:w="9868" w:type="dxa"/>
            <w:gridSpan w:val="8"/>
            <w:tcBorders>
              <w:top w:val="nil"/>
              <w:left w:val="nil"/>
              <w:bottom w:val="nil"/>
              <w:right w:val="nil"/>
            </w:tcBorders>
            <w:shd w:val="clear" w:color="auto" w:fill="auto"/>
            <w:vAlign w:val="center"/>
          </w:tcPr>
          <w:p>
            <w:pPr>
              <w:widowControl/>
              <w:ind w:firstLine="160" w:firstLineChars="50"/>
              <w:jc w:val="center"/>
              <w:textAlignment w:val="center"/>
              <w:rPr>
                <w:rFonts w:ascii="宋体" w:hAnsi="宋体" w:cs="宋体"/>
                <w:sz w:val="32"/>
                <w:szCs w:val="32"/>
              </w:rPr>
            </w:pPr>
          </w:p>
          <w:p>
            <w:pPr>
              <w:pStyle w:val="2"/>
              <w:spacing w:before="93"/>
            </w:pPr>
          </w:p>
          <w:p>
            <w:pPr>
              <w:pStyle w:val="2"/>
              <w:spacing w:before="93"/>
            </w:pPr>
          </w:p>
          <w:p>
            <w:pPr>
              <w:pStyle w:val="2"/>
              <w:spacing w:before="93"/>
            </w:pPr>
          </w:p>
          <w:p>
            <w:pPr>
              <w:widowControl/>
              <w:ind w:firstLine="160" w:firstLineChars="50"/>
              <w:jc w:val="center"/>
              <w:textAlignment w:val="center"/>
              <w:rPr>
                <w:rFonts w:ascii="宋体" w:hAnsi="宋体" w:cs="宋体"/>
                <w:sz w:val="32"/>
                <w:szCs w:val="32"/>
              </w:rPr>
            </w:pPr>
            <w:r>
              <w:rPr>
                <w:rFonts w:hint="eastAsia" w:ascii="宋体" w:hAnsi="宋体" w:cs="宋体"/>
                <w:sz w:val="32"/>
                <w:szCs w:val="32"/>
              </w:rPr>
              <w:t>2021年部门预算项目绩效目标自评</w:t>
            </w:r>
          </w:p>
        </w:tc>
      </w:tr>
      <w:tr>
        <w:tblPrEx>
          <w:tblCellMar>
            <w:top w:w="0" w:type="dxa"/>
            <w:left w:w="108" w:type="dxa"/>
            <w:bottom w:w="0" w:type="dxa"/>
            <w:right w:w="108" w:type="dxa"/>
          </w:tblCellMar>
        </w:tblPrEx>
        <w:trPr>
          <w:trHeight w:val="309" w:hRule="atLeast"/>
        </w:trPr>
        <w:tc>
          <w:tcPr>
            <w:tcW w:w="3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主管部门及代码</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202001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广元市公安局交通警察支队</w:t>
            </w:r>
          </w:p>
        </w:tc>
      </w:tr>
      <w:tr>
        <w:tblPrEx>
          <w:tblCellMar>
            <w:top w:w="0" w:type="dxa"/>
            <w:left w:w="108" w:type="dxa"/>
            <w:bottom w:w="0" w:type="dxa"/>
            <w:right w:w="108" w:type="dxa"/>
          </w:tblCellMar>
        </w:tblPrEx>
        <w:trPr>
          <w:trHeight w:val="414" w:hRule="atLeast"/>
        </w:trPr>
        <w:tc>
          <w:tcPr>
            <w:tcW w:w="3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项目预算</w:t>
            </w:r>
            <w:r>
              <w:rPr>
                <w:rFonts w:hint="eastAsia" w:ascii="宋体" w:hAnsi="宋体" w:cs="宋体"/>
                <w:kern w:val="0"/>
                <w:sz w:val="20"/>
                <w:szCs w:val="20"/>
              </w:rPr>
              <w:br w:type="textWrapping"/>
            </w:r>
            <w:r>
              <w:rPr>
                <w:rFonts w:hint="eastAsia" w:ascii="宋体" w:hAnsi="宋体" w:cs="宋体"/>
                <w:kern w:val="0"/>
                <w:sz w:val="20"/>
                <w:szCs w:val="20"/>
              </w:rPr>
              <w:t>执行情况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预算数：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执行数：</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w:t>
            </w:r>
          </w:p>
        </w:tc>
      </w:tr>
      <w:tr>
        <w:tblPrEx>
          <w:tblCellMar>
            <w:top w:w="0" w:type="dxa"/>
            <w:left w:w="108" w:type="dxa"/>
            <w:bottom w:w="0" w:type="dxa"/>
            <w:right w:w="108" w:type="dxa"/>
          </w:tblCellMar>
        </w:tblPrEx>
        <w:trPr>
          <w:trHeight w:val="67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其中：</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财政拨款</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sz w:val="20"/>
                <w:szCs w:val="20"/>
              </w:rPr>
              <w:t>20</w:t>
            </w:r>
          </w:p>
        </w:tc>
      </w:tr>
      <w:tr>
        <w:tblPrEx>
          <w:tblCellMar>
            <w:top w:w="0" w:type="dxa"/>
            <w:left w:w="108" w:type="dxa"/>
            <w:bottom w:w="0" w:type="dxa"/>
            <w:right w:w="108" w:type="dxa"/>
          </w:tblCellMar>
        </w:tblPrEx>
        <w:trPr>
          <w:trHeight w:val="414" w:hRule="atLeast"/>
        </w:trPr>
        <w:tc>
          <w:tcPr>
            <w:tcW w:w="3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p>
        </w:tc>
      </w:tr>
      <w:tr>
        <w:tblPrEx>
          <w:tblCellMar>
            <w:top w:w="0" w:type="dxa"/>
            <w:left w:w="108" w:type="dxa"/>
            <w:bottom w:w="0" w:type="dxa"/>
            <w:right w:w="108" w:type="dxa"/>
          </w:tblCellMar>
        </w:tblPrEx>
        <w:trPr>
          <w:trHeight w:val="264" w:hRule="atLeast"/>
        </w:trPr>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0"/>
                <w:szCs w:val="20"/>
              </w:rPr>
            </w:pPr>
            <w:r>
              <w:rPr>
                <w:rFonts w:hint="eastAsia" w:ascii="宋体" w:hAnsi="宋体" w:cs="宋体"/>
                <w:kern w:val="0"/>
                <w:sz w:val="20"/>
                <w:szCs w:val="20"/>
              </w:rPr>
              <w:t>年度总体目标</w:t>
            </w:r>
          </w:p>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完成情况</w:t>
            </w: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0"/>
                <w:szCs w:val="20"/>
              </w:rPr>
            </w:pPr>
            <w:r>
              <w:rPr>
                <w:rFonts w:hint="eastAsia" w:ascii="宋体" w:hAnsi="宋体" w:cs="宋体"/>
                <w:kern w:val="0"/>
                <w:sz w:val="20"/>
                <w:szCs w:val="20"/>
              </w:rPr>
              <w:t>目标实际完成情况</w:t>
            </w:r>
          </w:p>
        </w:tc>
      </w:tr>
      <w:tr>
        <w:tblPrEx>
          <w:tblCellMar>
            <w:top w:w="0" w:type="dxa"/>
            <w:left w:w="108" w:type="dxa"/>
            <w:bottom w:w="0" w:type="dxa"/>
            <w:right w:w="108" w:type="dxa"/>
          </w:tblCellMar>
        </w:tblPrEx>
        <w:trPr>
          <w:trHeight w:val="968"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0"/>
                <w:szCs w:val="20"/>
              </w:rPr>
            </w:pPr>
          </w:p>
        </w:tc>
        <w:tc>
          <w:tcPr>
            <w:tcW w:w="4088"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 xml:space="preserve">  完成全市范围所有新申请驾照人员，科目一、科目二、科目三、科目四的考试。</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top"/>
              <w:rPr>
                <w:rFonts w:ascii="宋体" w:hAnsi="宋体" w:cs="宋体"/>
                <w:sz w:val="20"/>
                <w:szCs w:val="20"/>
              </w:rPr>
            </w:pPr>
            <w:r>
              <w:rPr>
                <w:rFonts w:hint="eastAsia" w:ascii="宋体" w:hAnsi="宋体" w:cs="宋体"/>
                <w:sz w:val="20"/>
                <w:szCs w:val="20"/>
              </w:rPr>
              <w:t xml:space="preserve">      完成全市范围所有新申请驾照人员，科目一、科目二、科目三、科目四的考试。</w:t>
            </w:r>
          </w:p>
        </w:tc>
      </w:tr>
      <w:tr>
        <w:tblPrEx>
          <w:tblCellMar>
            <w:top w:w="0" w:type="dxa"/>
            <w:left w:w="108" w:type="dxa"/>
            <w:bottom w:w="0" w:type="dxa"/>
            <w:right w:w="108" w:type="dxa"/>
          </w:tblCellMar>
        </w:tblPrEx>
        <w:trPr>
          <w:trHeight w:val="842" w:hRule="atLeast"/>
        </w:trPr>
        <w:tc>
          <w:tcPr>
            <w:tcW w:w="203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年度绩效指标完成情况</w:t>
            </w:r>
          </w:p>
        </w:tc>
        <w:tc>
          <w:tcPr>
            <w:tcW w:w="102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w:t>
            </w:r>
          </w:p>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指标</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预期指标值</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实际完成指标值</w:t>
            </w:r>
          </w:p>
        </w:tc>
      </w:tr>
      <w:tr>
        <w:tblPrEx>
          <w:tblCellMar>
            <w:top w:w="0" w:type="dxa"/>
            <w:left w:w="108" w:type="dxa"/>
            <w:bottom w:w="0" w:type="dxa"/>
            <w:right w:w="108" w:type="dxa"/>
          </w:tblCellMar>
        </w:tblPrEx>
        <w:trPr>
          <w:trHeight w:val="390"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sz w:val="20"/>
                <w:szCs w:val="20"/>
              </w:rPr>
              <w:t>完成指标</w:t>
            </w:r>
          </w:p>
        </w:tc>
        <w:tc>
          <w:tcPr>
            <w:tcW w:w="1840" w:type="dxa"/>
            <w:gridSpan w:val="2"/>
            <w:tcBorders>
              <w:left w:val="single" w:color="000000" w:sz="4" w:space="0"/>
              <w:right w:val="single" w:color="000000" w:sz="4" w:space="0"/>
            </w:tcBorders>
            <w:shd w:val="clear" w:color="auto" w:fill="auto"/>
            <w:vAlign w:val="bottom"/>
          </w:tcPr>
          <w:p>
            <w:pPr>
              <w:widowControl/>
              <w:spacing w:line="320" w:lineRule="exact"/>
              <w:ind w:left="640"/>
              <w:jc w:val="center"/>
              <w:textAlignment w:val="bottom"/>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数量指标</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完成考试人次</w:t>
            </w:r>
          </w:p>
        </w:tc>
        <w:tc>
          <w:tcPr>
            <w:tcW w:w="1292" w:type="dxa"/>
            <w:gridSpan w:val="2"/>
            <w:tcBorders>
              <w:top w:val="single" w:color="auto" w:sz="4" w:space="0"/>
              <w:left w:val="single" w:color="000000" w:sz="4" w:space="0"/>
              <w:bottom w:val="single" w:color="auto" w:sz="4" w:space="0"/>
              <w:right w:val="single" w:color="000000" w:sz="4" w:space="0"/>
            </w:tcBorders>
            <w:shd w:val="clear" w:color="auto" w:fill="auto"/>
            <w:vAlign w:val="bottom"/>
          </w:tcPr>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每年约10万人次考试</w:t>
            </w:r>
          </w:p>
        </w:tc>
        <w:tc>
          <w:tcPr>
            <w:tcW w:w="2452" w:type="dxa"/>
            <w:tcBorders>
              <w:top w:val="single" w:color="auto" w:sz="4" w:space="0"/>
              <w:left w:val="single" w:color="000000" w:sz="4" w:space="0"/>
              <w:bottom w:val="single" w:color="auto" w:sz="4" w:space="0"/>
              <w:right w:val="single" w:color="000000" w:sz="4" w:space="0"/>
            </w:tcBorders>
            <w:shd w:val="clear" w:color="auto" w:fill="auto"/>
            <w:vAlign w:val="bottom"/>
          </w:tcPr>
          <w:p>
            <w:pPr>
              <w:pStyle w:val="2"/>
              <w:spacing w:before="93"/>
              <w:jc w:val="center"/>
              <w:rPr>
                <w:sz w:val="20"/>
                <w:szCs w:val="20"/>
              </w:rPr>
            </w:pPr>
            <w:r>
              <w:rPr>
                <w:rFonts w:hint="eastAsia"/>
                <w:sz w:val="20"/>
                <w:szCs w:val="20"/>
              </w:rPr>
              <w:t>完成约23万人次考试</w:t>
            </w:r>
          </w:p>
        </w:tc>
      </w:tr>
      <w:tr>
        <w:tblPrEx>
          <w:tblCellMar>
            <w:top w:w="0" w:type="dxa"/>
            <w:left w:w="108" w:type="dxa"/>
            <w:bottom w:w="0" w:type="dxa"/>
            <w:right w:w="108" w:type="dxa"/>
          </w:tblCellMar>
        </w:tblPrEx>
        <w:trPr>
          <w:trHeight w:val="504"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完成时间</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2021年12月31日</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2"/>
              <w:spacing w:before="93"/>
              <w:jc w:val="center"/>
              <w:rPr>
                <w:sz w:val="20"/>
                <w:szCs w:val="20"/>
              </w:rPr>
            </w:pPr>
            <w:r>
              <w:rPr>
                <w:rFonts w:hint="eastAsia" w:hAnsi="仿宋_GB2312" w:cs="仿宋_GB2312"/>
                <w:sz w:val="20"/>
                <w:szCs w:val="20"/>
              </w:rPr>
              <w:t>2021年12月31日</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0"/>
                <w:szCs w:val="20"/>
              </w:rPr>
            </w:pP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考场租赁</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r>
      <w:tr>
        <w:tblPrEx>
          <w:tblCellMar>
            <w:top w:w="0" w:type="dxa"/>
            <w:left w:w="108" w:type="dxa"/>
            <w:bottom w:w="0" w:type="dxa"/>
            <w:right w:w="108" w:type="dxa"/>
          </w:tblCellMar>
        </w:tblPrEx>
        <w:trPr>
          <w:trHeight w:val="583" w:hRule="atLeast"/>
        </w:trPr>
        <w:tc>
          <w:tcPr>
            <w:tcW w:w="2036"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0"/>
                <w:szCs w:val="20"/>
              </w:rPr>
            </w:pPr>
          </w:p>
        </w:tc>
        <w:tc>
          <w:tcPr>
            <w:tcW w:w="102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效益</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指标</w:t>
            </w:r>
          </w:p>
        </w:tc>
        <w:tc>
          <w:tcPr>
            <w:tcW w:w="1840"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p>
          <w:p>
            <w:pPr>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经济效益指标</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节约资金</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利用社会资源，节约经费支出。</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ascii="仿宋_GB2312" w:hAnsi="仿宋_GB2312" w:eastAsia="仿宋_GB2312" w:cs="仿宋_GB2312"/>
                <w:sz w:val="20"/>
                <w:szCs w:val="20"/>
              </w:rPr>
            </w:pPr>
            <w:r>
              <w:rPr>
                <w:rFonts w:hint="eastAsia" w:ascii="仿宋_GB2312" w:hAnsi="仿宋_GB2312" w:eastAsia="仿宋_GB2312" w:cs="仿宋_GB2312"/>
                <w:sz w:val="20"/>
                <w:szCs w:val="20"/>
              </w:rPr>
              <w:t>充分利用社会资源，大大节约经费支出。</w:t>
            </w:r>
          </w:p>
        </w:tc>
      </w:tr>
    </w:tbl>
    <w:p>
      <w:pPr>
        <w:adjustRightInd w:val="0"/>
        <w:snapToGrid w:val="0"/>
        <w:spacing w:line="576" w:lineRule="exact"/>
        <w:rPr>
          <w:rFonts w:eastAsia="仿宋_GB2312"/>
          <w:sz w:val="32"/>
          <w:szCs w:val="32"/>
        </w:rPr>
      </w:pPr>
    </w:p>
    <w:p>
      <w:pPr>
        <w:widowControl/>
        <w:jc w:val="center"/>
        <w:rPr>
          <w:rFonts w:ascii="黑体" w:hAnsi="黑体" w:eastAsia="黑体"/>
          <w:bCs/>
          <w:kern w:val="44"/>
          <w:sz w:val="20"/>
          <w:szCs w:val="20"/>
        </w:rPr>
      </w:pPr>
      <w:r>
        <w:rPr>
          <w:rStyle w:val="17"/>
          <w:rFonts w:ascii="黑体" w:hAnsi="黑体" w:eastAsia="黑体"/>
          <w:b w:val="0"/>
          <w:sz w:val="20"/>
          <w:szCs w:val="20"/>
        </w:rPr>
        <w:br w:type="page"/>
      </w:r>
      <w:bookmarkStart w:id="53" w:name="_Toc15396618"/>
      <w:r>
        <w:rPr>
          <w:rFonts w:hint="eastAsia" w:ascii="黑体" w:hAnsi="黑体" w:eastAsia="黑体"/>
          <w:sz w:val="44"/>
          <w:szCs w:val="44"/>
        </w:rPr>
        <w:t>第</w:t>
      </w:r>
      <w:r>
        <w:rPr>
          <w:rStyle w:val="17"/>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18"/>
          <w:rFonts w:hint="eastAsia" w:ascii="仿宋" w:hAnsi="仿宋" w:eastAsia="仿宋"/>
          <w:b w:val="0"/>
          <w:bCs w:val="0"/>
        </w:rPr>
        <w:t>入决算表</w:t>
      </w:r>
      <w:bookmarkEnd w:id="55"/>
    </w:p>
    <w:p>
      <w:pPr>
        <w:pStyle w:val="4"/>
        <w:rPr>
          <w:rFonts w:ascii="仿宋" w:hAnsi="仿宋" w:eastAsia="仿宋"/>
        </w:rPr>
      </w:pPr>
      <w:bookmarkStart w:id="56"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57"/>
    </w:p>
    <w:p>
      <w:pPr>
        <w:pStyle w:val="4"/>
        <w:rPr>
          <w:rStyle w:val="18"/>
          <w:rFonts w:ascii="仿宋" w:hAnsi="仿宋" w:eastAsia="仿宋"/>
          <w:b w:val="0"/>
          <w:bCs w:val="0"/>
        </w:rPr>
      </w:pPr>
      <w:bookmarkStart w:id="58"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65"/>
    </w:p>
    <w:p>
      <w:pPr>
        <w:pStyle w:val="4"/>
        <w:rPr>
          <w:rStyle w:val="18"/>
          <w:rFonts w:ascii="仿宋" w:hAnsi="仿宋" w:eastAsia="仿宋"/>
          <w:b w:val="0"/>
          <w:bCs w:val="0"/>
        </w:rPr>
      </w:pPr>
      <w:bookmarkStart w:id="66"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66"/>
    </w:p>
    <w:p>
      <w:pPr>
        <w:pStyle w:val="4"/>
        <w:rPr>
          <w:rFonts w:ascii="仿宋" w:hAnsi="仿宋" w:eastAsia="仿宋"/>
          <w:bCs w:val="0"/>
        </w:rPr>
      </w:pPr>
      <w:r>
        <w:rPr>
          <w:rStyle w:val="18"/>
          <w:rFonts w:hint="eastAsia" w:ascii="仿宋" w:hAnsi="仿宋" w:eastAsia="仿宋"/>
          <w:b w:val="0"/>
          <w:bCs/>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6E578-9836-4162-B9E7-4C8446BE19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4221EAAC-5DA6-49DA-9161-426914159BDE}"/>
  </w:font>
  <w:font w:name="Cambria">
    <w:panose1 w:val="02040503050406030204"/>
    <w:charset w:val="00"/>
    <w:family w:val="roman"/>
    <w:pitch w:val="default"/>
    <w:sig w:usb0="E00006FF" w:usb1="420024FF" w:usb2="02000000" w:usb3="00000000" w:csb0="2000019F" w:csb1="00000000"/>
    <w:embedRegular r:id="rId3" w:fontKey="{771BB408-14AA-4B21-BAE9-C20E9FB24B4C}"/>
  </w:font>
  <w:font w:name="仿宋">
    <w:panose1 w:val="02010609060101010101"/>
    <w:charset w:val="86"/>
    <w:family w:val="auto"/>
    <w:pitch w:val="default"/>
    <w:sig w:usb0="800002BF" w:usb1="38CF7CFA" w:usb2="00000016" w:usb3="00000000" w:csb0="00040001" w:csb1="00000000"/>
    <w:embedRegular r:id="rId4" w:fontKey="{2F93AD36-64E9-4A49-9AF5-D7DB78DEF456}"/>
  </w:font>
  <w:font w:name="方正小标宋简体">
    <w:panose1 w:val="02000000000000000000"/>
    <w:charset w:val="86"/>
    <w:family w:val="script"/>
    <w:pitch w:val="default"/>
    <w:sig w:usb0="00000001" w:usb1="08000000" w:usb2="00000000" w:usb3="00000000" w:csb0="00040000" w:csb1="00000000"/>
    <w:embedRegular r:id="rId5" w:fontKey="{D3B7CE5F-D6F0-456F-80AE-5E3F1481DA19}"/>
  </w:font>
  <w:font w:name="楷体_GB2312">
    <w:altName w:val="楷体"/>
    <w:panose1 w:val="02010609030101010101"/>
    <w:charset w:val="86"/>
    <w:family w:val="modern"/>
    <w:pitch w:val="default"/>
    <w:sig w:usb0="00000000" w:usb1="00000000" w:usb2="00000010" w:usb3="00000000" w:csb0="00040000" w:csb1="00000000"/>
    <w:embedRegular r:id="rId6" w:fontKey="{3E2A86F2-E8C2-47D1-8A40-03AF9D24F001}"/>
  </w:font>
  <w:font w:name="楷体">
    <w:panose1 w:val="02010609060101010101"/>
    <w:charset w:val="86"/>
    <w:family w:val="modern"/>
    <w:pitch w:val="default"/>
    <w:sig w:usb0="800002BF" w:usb1="38CF7CFA" w:usb2="00000016" w:usb3="00000000" w:csb0="00040001" w:csb1="00000000"/>
    <w:embedRegular r:id="rId7" w:fontKey="{C6F15CFF-01A9-4583-A540-6AB0CE35241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3E794925"/>
    <w:multiLevelType w:val="singleLevel"/>
    <w:tmpl w:val="3E794925"/>
    <w:lvl w:ilvl="0" w:tentative="0">
      <w:start w:val="3"/>
      <w:numFmt w:val="chineseCounting"/>
      <w:suff w:val="nothing"/>
      <w:lvlText w:val="（%1）"/>
      <w:lvlJc w:val="left"/>
      <w:rPr>
        <w:rFonts w:hint="eastAsia"/>
      </w:rPr>
    </w:lvl>
  </w:abstractNum>
  <w:abstractNum w:abstractNumId="3">
    <w:nsid w:val="650F4075"/>
    <w:multiLevelType w:val="multilevel"/>
    <w:tmpl w:val="650F4075"/>
    <w:lvl w:ilvl="0" w:tentative="0">
      <w:start w:val="1"/>
      <w:numFmt w:val="japaneseCounting"/>
      <w:lvlText w:val="%1、"/>
      <w:lvlJc w:val="left"/>
      <w:pPr>
        <w:ind w:left="1270" w:hanging="63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15F58"/>
    <w:rsid w:val="000222C6"/>
    <w:rsid w:val="0002549F"/>
    <w:rsid w:val="00027364"/>
    <w:rsid w:val="00035162"/>
    <w:rsid w:val="00042C99"/>
    <w:rsid w:val="00043D3D"/>
    <w:rsid w:val="00045B64"/>
    <w:rsid w:val="000468DB"/>
    <w:rsid w:val="0006487A"/>
    <w:rsid w:val="00065F8F"/>
    <w:rsid w:val="00065FD6"/>
    <w:rsid w:val="00070A43"/>
    <w:rsid w:val="000712A1"/>
    <w:rsid w:val="000768F2"/>
    <w:rsid w:val="00081F7A"/>
    <w:rsid w:val="00086EFD"/>
    <w:rsid w:val="0009184B"/>
    <w:rsid w:val="00094236"/>
    <w:rsid w:val="0009593C"/>
    <w:rsid w:val="00097322"/>
    <w:rsid w:val="000A6A92"/>
    <w:rsid w:val="000B047F"/>
    <w:rsid w:val="000B5923"/>
    <w:rsid w:val="000B5A48"/>
    <w:rsid w:val="000B5DC6"/>
    <w:rsid w:val="000B6FF3"/>
    <w:rsid w:val="000C3467"/>
    <w:rsid w:val="000C3CA6"/>
    <w:rsid w:val="000C6041"/>
    <w:rsid w:val="000D1267"/>
    <w:rsid w:val="000D1D50"/>
    <w:rsid w:val="000D5782"/>
    <w:rsid w:val="000E2046"/>
    <w:rsid w:val="000E2AC2"/>
    <w:rsid w:val="000E6613"/>
    <w:rsid w:val="000E7119"/>
    <w:rsid w:val="001100B1"/>
    <w:rsid w:val="00114E9B"/>
    <w:rsid w:val="00116924"/>
    <w:rsid w:val="00121CF6"/>
    <w:rsid w:val="00122E8E"/>
    <w:rsid w:val="00122FDF"/>
    <w:rsid w:val="001274EB"/>
    <w:rsid w:val="00136C4E"/>
    <w:rsid w:val="00142216"/>
    <w:rsid w:val="00144D6A"/>
    <w:rsid w:val="0014729F"/>
    <w:rsid w:val="00157BAB"/>
    <w:rsid w:val="00163FEC"/>
    <w:rsid w:val="001654D1"/>
    <w:rsid w:val="00174518"/>
    <w:rsid w:val="0018106D"/>
    <w:rsid w:val="00183CEE"/>
    <w:rsid w:val="001877A7"/>
    <w:rsid w:val="00191536"/>
    <w:rsid w:val="001934AC"/>
    <w:rsid w:val="00196687"/>
    <w:rsid w:val="001A439E"/>
    <w:rsid w:val="001A6487"/>
    <w:rsid w:val="001B4DC5"/>
    <w:rsid w:val="001C0962"/>
    <w:rsid w:val="001C0FB6"/>
    <w:rsid w:val="001D2B20"/>
    <w:rsid w:val="001D7531"/>
    <w:rsid w:val="001E56D3"/>
    <w:rsid w:val="001E5B15"/>
    <w:rsid w:val="001E737D"/>
    <w:rsid w:val="001E7DBF"/>
    <w:rsid w:val="001F0592"/>
    <w:rsid w:val="001F7506"/>
    <w:rsid w:val="002006CD"/>
    <w:rsid w:val="00202B36"/>
    <w:rsid w:val="00204B7A"/>
    <w:rsid w:val="00204CDE"/>
    <w:rsid w:val="0021101A"/>
    <w:rsid w:val="00220536"/>
    <w:rsid w:val="00222041"/>
    <w:rsid w:val="0022641C"/>
    <w:rsid w:val="00235629"/>
    <w:rsid w:val="00244EBE"/>
    <w:rsid w:val="002462C3"/>
    <w:rsid w:val="00255871"/>
    <w:rsid w:val="00260C38"/>
    <w:rsid w:val="002616C0"/>
    <w:rsid w:val="00265372"/>
    <w:rsid w:val="002662AA"/>
    <w:rsid w:val="002763C8"/>
    <w:rsid w:val="00280496"/>
    <w:rsid w:val="00294DC9"/>
    <w:rsid w:val="00295495"/>
    <w:rsid w:val="002A31DE"/>
    <w:rsid w:val="002B2613"/>
    <w:rsid w:val="002C7135"/>
    <w:rsid w:val="002D2C37"/>
    <w:rsid w:val="002D6D05"/>
    <w:rsid w:val="002E29E0"/>
    <w:rsid w:val="002F1818"/>
    <w:rsid w:val="002F1A35"/>
    <w:rsid w:val="002F567B"/>
    <w:rsid w:val="003216A9"/>
    <w:rsid w:val="00327C3C"/>
    <w:rsid w:val="00331181"/>
    <w:rsid w:val="003359BF"/>
    <w:rsid w:val="00335A74"/>
    <w:rsid w:val="00335B84"/>
    <w:rsid w:val="00351BEF"/>
    <w:rsid w:val="00355B05"/>
    <w:rsid w:val="0036561B"/>
    <w:rsid w:val="0037013F"/>
    <w:rsid w:val="00380C92"/>
    <w:rsid w:val="003A484F"/>
    <w:rsid w:val="003A4883"/>
    <w:rsid w:val="003A5A81"/>
    <w:rsid w:val="003B0BE0"/>
    <w:rsid w:val="003B0C1B"/>
    <w:rsid w:val="003B2476"/>
    <w:rsid w:val="003B2726"/>
    <w:rsid w:val="003B3544"/>
    <w:rsid w:val="003B688C"/>
    <w:rsid w:val="003C0291"/>
    <w:rsid w:val="003C39AE"/>
    <w:rsid w:val="003C7B60"/>
    <w:rsid w:val="003D0C0F"/>
    <w:rsid w:val="003D1FB2"/>
    <w:rsid w:val="003D46A6"/>
    <w:rsid w:val="003D66DA"/>
    <w:rsid w:val="003E1310"/>
    <w:rsid w:val="003E2AC8"/>
    <w:rsid w:val="003E6F55"/>
    <w:rsid w:val="00403465"/>
    <w:rsid w:val="00406254"/>
    <w:rsid w:val="004223DE"/>
    <w:rsid w:val="00432215"/>
    <w:rsid w:val="00434489"/>
    <w:rsid w:val="00437085"/>
    <w:rsid w:val="00443880"/>
    <w:rsid w:val="004464F4"/>
    <w:rsid w:val="00466EFF"/>
    <w:rsid w:val="00471401"/>
    <w:rsid w:val="00473F31"/>
    <w:rsid w:val="0048263A"/>
    <w:rsid w:val="00487E5D"/>
    <w:rsid w:val="00490175"/>
    <w:rsid w:val="004A711F"/>
    <w:rsid w:val="004B0A31"/>
    <w:rsid w:val="004B199D"/>
    <w:rsid w:val="004B4690"/>
    <w:rsid w:val="004C54D9"/>
    <w:rsid w:val="004C5BDE"/>
    <w:rsid w:val="004D0DF0"/>
    <w:rsid w:val="004D2C95"/>
    <w:rsid w:val="004E0A2D"/>
    <w:rsid w:val="004E206B"/>
    <w:rsid w:val="004E6DF7"/>
    <w:rsid w:val="004F05C8"/>
    <w:rsid w:val="004F0FBD"/>
    <w:rsid w:val="00505A47"/>
    <w:rsid w:val="00512FDA"/>
    <w:rsid w:val="00516BBF"/>
    <w:rsid w:val="00520160"/>
    <w:rsid w:val="00520DA0"/>
    <w:rsid w:val="005308D2"/>
    <w:rsid w:val="00565452"/>
    <w:rsid w:val="005664BB"/>
    <w:rsid w:val="00566FFA"/>
    <w:rsid w:val="00571348"/>
    <w:rsid w:val="0057481D"/>
    <w:rsid w:val="00583505"/>
    <w:rsid w:val="0058486E"/>
    <w:rsid w:val="00585B33"/>
    <w:rsid w:val="0059014D"/>
    <w:rsid w:val="005A0F74"/>
    <w:rsid w:val="005A1CE7"/>
    <w:rsid w:val="005A2DED"/>
    <w:rsid w:val="005B5C64"/>
    <w:rsid w:val="005B623E"/>
    <w:rsid w:val="005C4205"/>
    <w:rsid w:val="005C5337"/>
    <w:rsid w:val="005C6BD0"/>
    <w:rsid w:val="005D1C8B"/>
    <w:rsid w:val="005D468D"/>
    <w:rsid w:val="005D5CED"/>
    <w:rsid w:val="005E0148"/>
    <w:rsid w:val="005E3573"/>
    <w:rsid w:val="005F1A4C"/>
    <w:rsid w:val="00601CF6"/>
    <w:rsid w:val="00601D22"/>
    <w:rsid w:val="00605688"/>
    <w:rsid w:val="006070AF"/>
    <w:rsid w:val="00607E6C"/>
    <w:rsid w:val="006101B1"/>
    <w:rsid w:val="00614E44"/>
    <w:rsid w:val="006215AE"/>
    <w:rsid w:val="0062270A"/>
    <w:rsid w:val="00622830"/>
    <w:rsid w:val="00623DA0"/>
    <w:rsid w:val="00630AEF"/>
    <w:rsid w:val="006325F8"/>
    <w:rsid w:val="00633463"/>
    <w:rsid w:val="00634C9A"/>
    <w:rsid w:val="006366B5"/>
    <w:rsid w:val="006440E4"/>
    <w:rsid w:val="00646A12"/>
    <w:rsid w:val="00655393"/>
    <w:rsid w:val="006608ED"/>
    <w:rsid w:val="006631CA"/>
    <w:rsid w:val="0066343B"/>
    <w:rsid w:val="00664777"/>
    <w:rsid w:val="006704AA"/>
    <w:rsid w:val="006722C8"/>
    <w:rsid w:val="00672D65"/>
    <w:rsid w:val="006748A4"/>
    <w:rsid w:val="00681A31"/>
    <w:rsid w:val="0068304F"/>
    <w:rsid w:val="00683E73"/>
    <w:rsid w:val="006928B1"/>
    <w:rsid w:val="006A22D5"/>
    <w:rsid w:val="006A3141"/>
    <w:rsid w:val="006A474E"/>
    <w:rsid w:val="006A5E34"/>
    <w:rsid w:val="006B2422"/>
    <w:rsid w:val="006B2B9A"/>
    <w:rsid w:val="006C1937"/>
    <w:rsid w:val="006D1545"/>
    <w:rsid w:val="006E3970"/>
    <w:rsid w:val="006F020C"/>
    <w:rsid w:val="006F3B82"/>
    <w:rsid w:val="007127B7"/>
    <w:rsid w:val="0071798E"/>
    <w:rsid w:val="00720892"/>
    <w:rsid w:val="007209C7"/>
    <w:rsid w:val="00720F95"/>
    <w:rsid w:val="0072710C"/>
    <w:rsid w:val="00727EDB"/>
    <w:rsid w:val="007416B6"/>
    <w:rsid w:val="00741BA8"/>
    <w:rsid w:val="0074487E"/>
    <w:rsid w:val="00745C1C"/>
    <w:rsid w:val="00746F48"/>
    <w:rsid w:val="0075404D"/>
    <w:rsid w:val="0076182A"/>
    <w:rsid w:val="00767B7E"/>
    <w:rsid w:val="007702FA"/>
    <w:rsid w:val="007770C3"/>
    <w:rsid w:val="00783F39"/>
    <w:rsid w:val="00784D24"/>
    <w:rsid w:val="00785511"/>
    <w:rsid w:val="00785FBA"/>
    <w:rsid w:val="00786E4A"/>
    <w:rsid w:val="007875EB"/>
    <w:rsid w:val="0079426B"/>
    <w:rsid w:val="007D1682"/>
    <w:rsid w:val="007D312A"/>
    <w:rsid w:val="007D3F19"/>
    <w:rsid w:val="007D5C1E"/>
    <w:rsid w:val="007E23B0"/>
    <w:rsid w:val="007E23E5"/>
    <w:rsid w:val="007F1991"/>
    <w:rsid w:val="007F2C2F"/>
    <w:rsid w:val="007F55FC"/>
    <w:rsid w:val="007F5665"/>
    <w:rsid w:val="00800112"/>
    <w:rsid w:val="0080661E"/>
    <w:rsid w:val="00812CA1"/>
    <w:rsid w:val="00813348"/>
    <w:rsid w:val="00814D10"/>
    <w:rsid w:val="00817BF8"/>
    <w:rsid w:val="00825178"/>
    <w:rsid w:val="008253BB"/>
    <w:rsid w:val="0083037A"/>
    <w:rsid w:val="0083706E"/>
    <w:rsid w:val="008408F6"/>
    <w:rsid w:val="008423A5"/>
    <w:rsid w:val="00850625"/>
    <w:rsid w:val="00853718"/>
    <w:rsid w:val="0085418E"/>
    <w:rsid w:val="00855221"/>
    <w:rsid w:val="00860645"/>
    <w:rsid w:val="00860876"/>
    <w:rsid w:val="008718AB"/>
    <w:rsid w:val="00871F71"/>
    <w:rsid w:val="00872FD8"/>
    <w:rsid w:val="008805F9"/>
    <w:rsid w:val="00885AF4"/>
    <w:rsid w:val="008916DA"/>
    <w:rsid w:val="008939CD"/>
    <w:rsid w:val="0089648B"/>
    <w:rsid w:val="00896876"/>
    <w:rsid w:val="008B3A25"/>
    <w:rsid w:val="008B768C"/>
    <w:rsid w:val="008C0944"/>
    <w:rsid w:val="008C1769"/>
    <w:rsid w:val="008C4DB1"/>
    <w:rsid w:val="008C4EAF"/>
    <w:rsid w:val="008C5176"/>
    <w:rsid w:val="008C7FD0"/>
    <w:rsid w:val="008E1DE7"/>
    <w:rsid w:val="008E3E50"/>
    <w:rsid w:val="008E707C"/>
    <w:rsid w:val="008E76E9"/>
    <w:rsid w:val="00900B08"/>
    <w:rsid w:val="00902155"/>
    <w:rsid w:val="00902FA3"/>
    <w:rsid w:val="00903B39"/>
    <w:rsid w:val="00920837"/>
    <w:rsid w:val="00923564"/>
    <w:rsid w:val="0092392E"/>
    <w:rsid w:val="009315F9"/>
    <w:rsid w:val="00933499"/>
    <w:rsid w:val="00935C98"/>
    <w:rsid w:val="00946945"/>
    <w:rsid w:val="00951248"/>
    <w:rsid w:val="0095152F"/>
    <w:rsid w:val="00954C49"/>
    <w:rsid w:val="00955E37"/>
    <w:rsid w:val="0096363B"/>
    <w:rsid w:val="0097099F"/>
    <w:rsid w:val="00971997"/>
    <w:rsid w:val="00971FFC"/>
    <w:rsid w:val="009720E4"/>
    <w:rsid w:val="00980383"/>
    <w:rsid w:val="0098660A"/>
    <w:rsid w:val="00992A02"/>
    <w:rsid w:val="009931C3"/>
    <w:rsid w:val="0099725E"/>
    <w:rsid w:val="009B2C43"/>
    <w:rsid w:val="009B4EAE"/>
    <w:rsid w:val="009B7573"/>
    <w:rsid w:val="009C22F4"/>
    <w:rsid w:val="009C2A4B"/>
    <w:rsid w:val="009C2E98"/>
    <w:rsid w:val="009D3447"/>
    <w:rsid w:val="009D41DE"/>
    <w:rsid w:val="009D4711"/>
    <w:rsid w:val="009F1185"/>
    <w:rsid w:val="009F18CD"/>
    <w:rsid w:val="009F2A13"/>
    <w:rsid w:val="009F7527"/>
    <w:rsid w:val="00A04EB0"/>
    <w:rsid w:val="00A13CC1"/>
    <w:rsid w:val="00A16847"/>
    <w:rsid w:val="00A237D8"/>
    <w:rsid w:val="00A268C4"/>
    <w:rsid w:val="00A307CD"/>
    <w:rsid w:val="00A331C8"/>
    <w:rsid w:val="00A3552F"/>
    <w:rsid w:val="00A40A00"/>
    <w:rsid w:val="00A4142F"/>
    <w:rsid w:val="00A422EB"/>
    <w:rsid w:val="00A43B28"/>
    <w:rsid w:val="00A45BB7"/>
    <w:rsid w:val="00A563B7"/>
    <w:rsid w:val="00A56DF2"/>
    <w:rsid w:val="00A56E6E"/>
    <w:rsid w:val="00A67AB5"/>
    <w:rsid w:val="00A733B2"/>
    <w:rsid w:val="00A741C2"/>
    <w:rsid w:val="00A75309"/>
    <w:rsid w:val="00A90638"/>
    <w:rsid w:val="00A91760"/>
    <w:rsid w:val="00A93B00"/>
    <w:rsid w:val="00A93C21"/>
    <w:rsid w:val="00AA21FE"/>
    <w:rsid w:val="00AA5BC5"/>
    <w:rsid w:val="00AA6606"/>
    <w:rsid w:val="00AB64C9"/>
    <w:rsid w:val="00AC3C6A"/>
    <w:rsid w:val="00AD5620"/>
    <w:rsid w:val="00AD656B"/>
    <w:rsid w:val="00AD7C1B"/>
    <w:rsid w:val="00AE16BA"/>
    <w:rsid w:val="00AE1EBE"/>
    <w:rsid w:val="00AF2892"/>
    <w:rsid w:val="00B00FE7"/>
    <w:rsid w:val="00B03C9D"/>
    <w:rsid w:val="00B060AE"/>
    <w:rsid w:val="00B104EC"/>
    <w:rsid w:val="00B10517"/>
    <w:rsid w:val="00B14E76"/>
    <w:rsid w:val="00B161B8"/>
    <w:rsid w:val="00B16586"/>
    <w:rsid w:val="00B2048C"/>
    <w:rsid w:val="00B310B9"/>
    <w:rsid w:val="00B35F3F"/>
    <w:rsid w:val="00B36CBB"/>
    <w:rsid w:val="00B425E0"/>
    <w:rsid w:val="00B440AA"/>
    <w:rsid w:val="00B44B70"/>
    <w:rsid w:val="00B4644B"/>
    <w:rsid w:val="00B47C03"/>
    <w:rsid w:val="00B518D5"/>
    <w:rsid w:val="00B53C56"/>
    <w:rsid w:val="00B57DAF"/>
    <w:rsid w:val="00B63833"/>
    <w:rsid w:val="00B63875"/>
    <w:rsid w:val="00B77EA6"/>
    <w:rsid w:val="00B81598"/>
    <w:rsid w:val="00B841F1"/>
    <w:rsid w:val="00B944D6"/>
    <w:rsid w:val="00BB32F0"/>
    <w:rsid w:val="00BB4DF0"/>
    <w:rsid w:val="00BC13B9"/>
    <w:rsid w:val="00BC289F"/>
    <w:rsid w:val="00BC2D50"/>
    <w:rsid w:val="00BC5207"/>
    <w:rsid w:val="00BC5361"/>
    <w:rsid w:val="00BC5460"/>
    <w:rsid w:val="00BC6B50"/>
    <w:rsid w:val="00BD0E25"/>
    <w:rsid w:val="00BF5BD6"/>
    <w:rsid w:val="00C0322F"/>
    <w:rsid w:val="00C03E31"/>
    <w:rsid w:val="00C116F2"/>
    <w:rsid w:val="00C3320F"/>
    <w:rsid w:val="00C33E72"/>
    <w:rsid w:val="00C354B2"/>
    <w:rsid w:val="00C35554"/>
    <w:rsid w:val="00C424F2"/>
    <w:rsid w:val="00C42709"/>
    <w:rsid w:val="00C42D67"/>
    <w:rsid w:val="00C533CC"/>
    <w:rsid w:val="00C5708C"/>
    <w:rsid w:val="00C5751C"/>
    <w:rsid w:val="00C61BFC"/>
    <w:rsid w:val="00C61C16"/>
    <w:rsid w:val="00C62B85"/>
    <w:rsid w:val="00C65438"/>
    <w:rsid w:val="00C87FD8"/>
    <w:rsid w:val="00C91381"/>
    <w:rsid w:val="00C91CBB"/>
    <w:rsid w:val="00CB11DB"/>
    <w:rsid w:val="00CB4E70"/>
    <w:rsid w:val="00CC09B6"/>
    <w:rsid w:val="00CC666F"/>
    <w:rsid w:val="00CD1E3F"/>
    <w:rsid w:val="00CE44F6"/>
    <w:rsid w:val="00CE49DA"/>
    <w:rsid w:val="00CE7234"/>
    <w:rsid w:val="00CE7B61"/>
    <w:rsid w:val="00CF5A1F"/>
    <w:rsid w:val="00D00095"/>
    <w:rsid w:val="00D001D9"/>
    <w:rsid w:val="00D02EBD"/>
    <w:rsid w:val="00D03A9B"/>
    <w:rsid w:val="00D114F0"/>
    <w:rsid w:val="00D121EA"/>
    <w:rsid w:val="00D20620"/>
    <w:rsid w:val="00D254F7"/>
    <w:rsid w:val="00D26091"/>
    <w:rsid w:val="00D2685C"/>
    <w:rsid w:val="00D34E7C"/>
    <w:rsid w:val="00D35489"/>
    <w:rsid w:val="00D36AFE"/>
    <w:rsid w:val="00D51276"/>
    <w:rsid w:val="00D5587A"/>
    <w:rsid w:val="00D62E24"/>
    <w:rsid w:val="00D6458C"/>
    <w:rsid w:val="00D67753"/>
    <w:rsid w:val="00D7035F"/>
    <w:rsid w:val="00D97903"/>
    <w:rsid w:val="00DA204B"/>
    <w:rsid w:val="00DA5B03"/>
    <w:rsid w:val="00DA634F"/>
    <w:rsid w:val="00DA65AC"/>
    <w:rsid w:val="00DA7796"/>
    <w:rsid w:val="00DB1913"/>
    <w:rsid w:val="00DC018B"/>
    <w:rsid w:val="00DC410D"/>
    <w:rsid w:val="00DC5A81"/>
    <w:rsid w:val="00DC68CA"/>
    <w:rsid w:val="00DC7CBA"/>
    <w:rsid w:val="00DD20CE"/>
    <w:rsid w:val="00DD73B7"/>
    <w:rsid w:val="00DF28BC"/>
    <w:rsid w:val="00DF34B9"/>
    <w:rsid w:val="00E01053"/>
    <w:rsid w:val="00E01C94"/>
    <w:rsid w:val="00E07ACF"/>
    <w:rsid w:val="00E331A1"/>
    <w:rsid w:val="00E33202"/>
    <w:rsid w:val="00E336A9"/>
    <w:rsid w:val="00E472B1"/>
    <w:rsid w:val="00E50624"/>
    <w:rsid w:val="00E51D01"/>
    <w:rsid w:val="00E568DF"/>
    <w:rsid w:val="00E64269"/>
    <w:rsid w:val="00E82267"/>
    <w:rsid w:val="00E853CE"/>
    <w:rsid w:val="00E856B8"/>
    <w:rsid w:val="00E867B6"/>
    <w:rsid w:val="00E96C2A"/>
    <w:rsid w:val="00EA010F"/>
    <w:rsid w:val="00EB5B5D"/>
    <w:rsid w:val="00ED1B63"/>
    <w:rsid w:val="00ED3C1F"/>
    <w:rsid w:val="00ED4085"/>
    <w:rsid w:val="00ED420E"/>
    <w:rsid w:val="00ED53AB"/>
    <w:rsid w:val="00ED6FBE"/>
    <w:rsid w:val="00EE2F57"/>
    <w:rsid w:val="00EF27E9"/>
    <w:rsid w:val="00EF33AD"/>
    <w:rsid w:val="00EF4C34"/>
    <w:rsid w:val="00EF77C6"/>
    <w:rsid w:val="00F05438"/>
    <w:rsid w:val="00F1089E"/>
    <w:rsid w:val="00F1361C"/>
    <w:rsid w:val="00F13AF4"/>
    <w:rsid w:val="00F156F0"/>
    <w:rsid w:val="00F160C7"/>
    <w:rsid w:val="00F2322C"/>
    <w:rsid w:val="00F2408F"/>
    <w:rsid w:val="00F240E9"/>
    <w:rsid w:val="00F36D8F"/>
    <w:rsid w:val="00F417B1"/>
    <w:rsid w:val="00F45853"/>
    <w:rsid w:val="00F602DF"/>
    <w:rsid w:val="00F6669A"/>
    <w:rsid w:val="00F754A1"/>
    <w:rsid w:val="00F81FD9"/>
    <w:rsid w:val="00F841AA"/>
    <w:rsid w:val="00F84A94"/>
    <w:rsid w:val="00F87E96"/>
    <w:rsid w:val="00F943C1"/>
    <w:rsid w:val="00FA23E8"/>
    <w:rsid w:val="00FA6C87"/>
    <w:rsid w:val="00FA6DA8"/>
    <w:rsid w:val="00FB724C"/>
    <w:rsid w:val="00FD3CC1"/>
    <w:rsid w:val="00FD6361"/>
    <w:rsid w:val="00FE359F"/>
    <w:rsid w:val="00FE5167"/>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9DC3A01"/>
    <w:rsid w:val="29FD04D3"/>
    <w:rsid w:val="2C8A61B5"/>
    <w:rsid w:val="2DF04E50"/>
    <w:rsid w:val="319F7F4E"/>
    <w:rsid w:val="359F7AA1"/>
    <w:rsid w:val="36AA5135"/>
    <w:rsid w:val="37E16F03"/>
    <w:rsid w:val="3D98207C"/>
    <w:rsid w:val="3EBC2FED"/>
    <w:rsid w:val="44E268DA"/>
    <w:rsid w:val="4A627F82"/>
    <w:rsid w:val="4B4F25DA"/>
    <w:rsid w:val="4BE068DB"/>
    <w:rsid w:val="4D577224"/>
    <w:rsid w:val="4EAB630A"/>
    <w:rsid w:val="4ECE2238"/>
    <w:rsid w:val="5AF92295"/>
    <w:rsid w:val="5CCD7075"/>
    <w:rsid w:val="5CD71FC4"/>
    <w:rsid w:val="5F2345A8"/>
    <w:rsid w:val="66376316"/>
    <w:rsid w:val="6C4A05C8"/>
    <w:rsid w:val="6E7E3605"/>
    <w:rsid w:val="6FF5CC65"/>
    <w:rsid w:val="715C0E4B"/>
    <w:rsid w:val="72734D90"/>
    <w:rsid w:val="73AD73D5"/>
    <w:rsid w:val="73B6EB34"/>
    <w:rsid w:val="79EE5BA4"/>
    <w:rsid w:val="7A894339"/>
    <w:rsid w:val="7D3A02E7"/>
    <w:rsid w:val="7EEF11D3"/>
    <w:rsid w:val="7FA30C79"/>
    <w:rsid w:val="7FC96657"/>
    <w:rsid w:val="D8D6DB89"/>
    <w:rsid w:val="DB6F4CAB"/>
    <w:rsid w:val="DF6F9789"/>
    <w:rsid w:val="FFEAB47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caption"/>
    <w:basedOn w:val="1"/>
    <w:next w:val="1"/>
    <w:qFormat/>
    <w:uiPriority w:val="0"/>
    <w:pPr>
      <w:suppressLineNumbers/>
      <w:suppressAutoHyphens/>
      <w:spacing w:before="120" w:after="120"/>
    </w:pPr>
    <w:rPr>
      <w:rFonts w:ascii="Calibri" w:hAnsi="Calibri"/>
      <w:i/>
      <w:iCs/>
      <w:sz w:val="24"/>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5"/>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收入支出决算对比</a:t>
            </a:r>
            <a:endParaRPr lang="zh-CN" altLang="en-US"/>
          </a:p>
        </c:rich>
      </c:tx>
      <c:layout/>
      <c:overlay val="0"/>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8771.8699999999</c:v>
                </c:pt>
                <c:pt idx="1">
                  <c:v>9258.24000000001</c:v>
                </c:pt>
              </c:numCache>
            </c:numRef>
          </c:val>
        </c:ser>
        <c:dLbls>
          <c:showLegendKey val="0"/>
          <c:showVal val="1"/>
          <c:showCatName val="0"/>
          <c:showSerName val="0"/>
          <c:showPercent val="0"/>
          <c:showBubbleSize val="0"/>
        </c:dLbls>
        <c:gapWidth val="150"/>
        <c:overlap val="-25"/>
        <c:axId val="130647552"/>
        <c:axId val="164808192"/>
      </c:barChart>
      <c:catAx>
        <c:axId val="1306475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4808192"/>
        <c:crosses val="autoZero"/>
        <c:auto val="1"/>
        <c:lblAlgn val="ctr"/>
        <c:lblOffset val="100"/>
        <c:noMultiLvlLbl val="0"/>
      </c:catAx>
      <c:valAx>
        <c:axId val="16480819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647552"/>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年收入决算情况</a:t>
            </a:r>
            <a:endParaRPr lang="zh-CN" altLang="en-US"/>
          </a:p>
        </c:rich>
      </c:tx>
      <c:layout/>
      <c:overlay val="0"/>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explosion val="31"/>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96.41%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3.41%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0978352554941637"/>
                  <c:y val="0.015834912114291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0.18%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政府性基金收入</c:v>
                </c:pt>
                <c:pt idx="2">
                  <c:v>其他收入</c:v>
                </c:pt>
              </c:strCache>
            </c:strRef>
          </c:cat>
          <c:val>
            <c:numRef>
              <c:f>Sheet1!$B$2:$B$4</c:f>
              <c:numCache>
                <c:formatCode>General</c:formatCode>
                <c:ptCount val="3"/>
                <c:pt idx="0">
                  <c:v>8472.94999999994</c:v>
                </c:pt>
                <c:pt idx="1">
                  <c:v>300</c:v>
                </c:pt>
                <c:pt idx="2">
                  <c:v>15.71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2428450735387"/>
          <c:y val="0.084287522659185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2021年支出决算情况</c:v>
                </c:pt>
              </c:strCache>
            </c:strRef>
          </c:tx>
          <c:explosion val="0"/>
          <c:dPt>
            <c:idx val="0"/>
            <c:bubble3D val="0"/>
          </c:dPt>
          <c:dPt>
            <c:idx val="1"/>
            <c:bubble3D val="0"/>
            <c:explosion val="17"/>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82.13%</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17.87%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7437.09</c:v>
                </c:pt>
                <c:pt idx="1">
                  <c:v>1618.66</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680565849762347"/>
          <c:y val="0.721501193962624"/>
          <c:w val="0.274034807554016"/>
          <c:h val="0.0986002087472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财政拨款收入支出决算对比</a:t>
            </a:r>
            <a:endParaRPr lang="zh-CN" altLang="en-US"/>
          </a:p>
        </c:rich>
      </c:tx>
      <c:layout/>
      <c:overlay val="0"/>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8646.54999999997</c:v>
                </c:pt>
                <c:pt idx="1">
                  <c:v>9242.53</c:v>
                </c:pt>
              </c:numCache>
            </c:numRef>
          </c:val>
        </c:ser>
        <c:dLbls>
          <c:showLegendKey val="0"/>
          <c:showVal val="1"/>
          <c:showCatName val="0"/>
          <c:showSerName val="0"/>
          <c:showPercent val="0"/>
          <c:showBubbleSize val="0"/>
        </c:dLbls>
        <c:gapWidth val="150"/>
        <c:overlap val="-25"/>
        <c:axId val="235135360"/>
        <c:axId val="235136896"/>
      </c:barChart>
      <c:catAx>
        <c:axId val="2351353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5136896"/>
        <c:crosses val="autoZero"/>
        <c:auto val="1"/>
        <c:lblAlgn val="ctr"/>
        <c:lblOffset val="100"/>
        <c:noMultiLvlLbl val="0"/>
      </c:catAx>
      <c:valAx>
        <c:axId val="23513689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513536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一般公共预算财政拨款支出对比</a:t>
            </a:r>
            <a:endParaRPr lang="zh-CN" altLang="en-US"/>
          </a:p>
        </c:rich>
      </c:tx>
      <c:layout/>
      <c:overlay val="0"/>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7876.96</c:v>
                </c:pt>
                <c:pt idx="1">
                  <c:v>8740.04</c:v>
                </c:pt>
              </c:numCache>
            </c:numRef>
          </c:val>
        </c:ser>
        <c:dLbls>
          <c:showLegendKey val="0"/>
          <c:showVal val="1"/>
          <c:showCatName val="0"/>
          <c:showSerName val="0"/>
          <c:showPercent val="0"/>
          <c:showBubbleSize val="0"/>
        </c:dLbls>
        <c:gapWidth val="150"/>
        <c:overlap val="-25"/>
        <c:axId val="235129088"/>
        <c:axId val="235249664"/>
      </c:barChart>
      <c:catAx>
        <c:axId val="2351290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5249664"/>
        <c:crosses val="autoZero"/>
        <c:auto val="1"/>
        <c:lblAlgn val="ctr"/>
        <c:lblOffset val="100"/>
        <c:noMultiLvlLbl val="0"/>
      </c:catAx>
      <c:valAx>
        <c:axId val="2352496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5129088"/>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a:t>一般公共财政拨款支出决算结构</a:t>
            </a:r>
            <a:endParaRPr lang="zh-CN" altLang="en-US" sz="1800"/>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explosion val="21"/>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88.07%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4.26%</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0424569919735507"/>
                  <c:y val="-0.08198378498898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35593588781677"/>
                  <c:y val="0.037958300842493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5.9%</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7697.26</c:v>
                </c:pt>
                <c:pt idx="1">
                  <c:v>372.32</c:v>
                </c:pt>
                <c:pt idx="2">
                  <c:v>154.48</c:v>
                </c:pt>
                <c:pt idx="3">
                  <c:v>515.98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1.52%</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98.48%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05017992510926"/>
                  <c:y val="0.014819022685453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公务接待费</c:v>
                </c:pt>
                <c:pt idx="1">
                  <c:v>公务用车购置及运行维护费</c:v>
                </c:pt>
                <c:pt idx="2">
                  <c:v>因公出国（境）</c:v>
                </c:pt>
              </c:strCache>
            </c:strRef>
          </c:cat>
          <c:val>
            <c:numRef>
              <c:f>Sheet1!$B$2:$B$4</c:f>
              <c:numCache>
                <c:formatCode>General</c:formatCode>
                <c:ptCount val="3"/>
                <c:pt idx="0">
                  <c:v>4.8</c:v>
                </c:pt>
                <c:pt idx="1">
                  <c:v>310.919999999999</c:v>
                </c:pt>
                <c:pt idx="2">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20263</Words>
  <Characters>21560</Characters>
  <Lines>160</Lines>
  <Paragraphs>45</Paragraphs>
  <TotalTime>3</TotalTime>
  <ScaleCrop>false</ScaleCrop>
  <LinksUpToDate>false</LinksUpToDate>
  <CharactersWithSpaces>21621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2022-09-06T16:29:00Z</dcterms:created>
  <dc:creator>曹颖</dc:creator>
  <cp:lastModifiedBy>玖千余为春秋</cp:lastModifiedBy>
  <cp:lastPrinted>2022-08-08T17:11:00Z</cp:lastPrinted>
  <dcterms:modified xsi:type="dcterms:W3CDTF">2023-07-22T03:42:03Z</dcterms:modified>
  <dc:title>四川省***</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4DAB204B67814AC78C2C82FADB6C97DC_13</vt:lpwstr>
  </property>
</Properties>
</file>