
<file path=[Content_Types].xml><?xml version="1.0" encoding="utf-8"?>
<Types xmlns="http://schemas.openxmlformats.org/package/2006/content-types">
  <Default Extension="xlsx" ContentType="application/vnd.openxmlformats-officedocument.spreadsheetml.shee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77425"/>
      <w:bookmarkStart w:id="3" w:name="_Toc15377193"/>
      <w:bookmarkStart w:id="4" w:name="_Toc31872"/>
      <w:bookmarkStart w:id="5" w:name="_Toc15396597"/>
      <w:bookmarkStart w:id="6" w:name="_Toc15378441"/>
      <w:r>
        <w:rPr>
          <w:rFonts w:hint="eastAsia" w:ascii="方正小标宋简体" w:hAnsi="方正小标宋简体" w:eastAsia="方正小标宋简体" w:cs="方正小标宋简体"/>
          <w:color w:val="auto"/>
          <w:sz w:val="72"/>
          <w:szCs w:val="72"/>
          <w:highlight w:val="none"/>
        </w:rPr>
        <w:t>2</w:t>
      </w:r>
      <w:bookmarkStart w:id="156" w:name="_GoBack"/>
      <w:bookmarkEnd w:id="156"/>
      <w:r>
        <w:rPr>
          <w:rFonts w:hint="eastAsia" w:ascii="方正小标宋简体" w:hAnsi="方正小标宋简体" w:eastAsia="方正小标宋简体" w:cs="方正小标宋简体"/>
          <w:color w:val="auto"/>
          <w:sz w:val="72"/>
          <w:szCs w:val="72"/>
          <w:highlight w:val="none"/>
        </w:rPr>
        <w:t>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7" w:name="_Toc30477"/>
      <w:bookmarkStart w:id="8" w:name="_Toc15396476"/>
      <w:bookmarkStart w:id="9" w:name="_Toc15396598"/>
      <w:bookmarkStart w:id="10" w:name="_Toc15377426"/>
      <w:bookmarkStart w:id="11" w:name="_Toc15378442"/>
      <w:bookmarkStart w:id="12" w:name="_Toc15377194"/>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13" w:name="_Toc15306268"/>
      <w:r>
        <w:rPr>
          <w:rFonts w:hint="eastAsia" w:ascii="方正小标宋简体" w:hAnsi="方正小标宋简体" w:eastAsia="方正小标宋简体" w:cs="方正小标宋简体"/>
          <w:color w:val="auto"/>
          <w:sz w:val="72"/>
          <w:szCs w:val="72"/>
          <w:highlight w:val="none"/>
          <w:lang w:val="en-US" w:eastAsia="zh-CN"/>
        </w:rPr>
        <w:t>港航发展中心（本级）</w:t>
      </w:r>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4" w:name="_Toc15197"/>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p>
    <w:p>
      <w:pPr>
        <w:adjustRightInd w:val="0"/>
        <w:snapToGrid w:val="0"/>
        <w:spacing w:line="360" w:lineRule="auto"/>
        <w:jc w:val="center"/>
        <w:outlineLvl w:val="9"/>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6151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"1-3" \h \u </w:instrText>
          </w:r>
          <w:r>
            <w:fldChar w:fldCharType="separate"/>
          </w:r>
        </w:p>
        <w:p>
          <w:pPr>
            <w:pStyle w:val="10"/>
            <w:tabs>
              <w:tab w:val="right" w:leader="dot" w:pos="8306"/>
              <w:tab w:val="clear" w:pos="8296"/>
            </w:tabs>
          </w:pPr>
          <w:r>
            <w:fldChar w:fldCharType="begin"/>
          </w:r>
          <w:r>
            <w:instrText xml:space="preserve"> HYPERLINK \l _Toc8247 </w:instrText>
          </w:r>
          <w:r>
            <w:fldChar w:fldCharType="separate"/>
          </w:r>
          <w:r>
            <w:rPr>
              <w:rFonts w:hint="eastAsia" w:ascii="黑体" w:hAnsi="黑体" w:eastAsia="黑体"/>
              <w:highlight w:val="none"/>
            </w:rPr>
            <w:t xml:space="preserve">第一部分 </w:t>
          </w:r>
          <w:r>
            <w:rPr>
              <w:rFonts w:hint="eastAsia" w:ascii="黑体" w:hAnsi="黑体" w:eastAsia="黑体"/>
              <w:highlight w:val="none"/>
              <w:lang w:eastAsia="zh-CN"/>
            </w:rPr>
            <w:t>单位</w:t>
          </w:r>
          <w:r>
            <w:rPr>
              <w:rFonts w:hint="eastAsia" w:ascii="黑体" w:hAnsi="黑体" w:eastAsia="黑体"/>
              <w:bCs w:val="0"/>
              <w:highlight w:val="none"/>
            </w:rPr>
            <w:t>概况</w:t>
          </w:r>
          <w:r>
            <w:tab/>
          </w:r>
          <w:r>
            <w:fldChar w:fldCharType="begin"/>
          </w:r>
          <w:r>
            <w:instrText xml:space="preserve"> PAGEREF _Toc8247 \h </w:instrText>
          </w:r>
          <w:r>
            <w:fldChar w:fldCharType="separate"/>
          </w:r>
          <w:r>
            <w:t>4</w:t>
          </w:r>
          <w:r>
            <w:fldChar w:fldCharType="end"/>
          </w:r>
          <w:r>
            <w:fldChar w:fldCharType="end"/>
          </w:r>
        </w:p>
        <w:p>
          <w:pPr>
            <w:pStyle w:val="11"/>
            <w:tabs>
              <w:tab w:val="right" w:leader="dot" w:pos="8306"/>
              <w:tab w:val="clear" w:pos="8296"/>
            </w:tabs>
          </w:pPr>
          <w:r>
            <w:fldChar w:fldCharType="begin"/>
          </w:r>
          <w:r>
            <w:instrText xml:space="preserve"> HYPERLINK \l _Toc13117 </w:instrText>
          </w:r>
          <w:r>
            <w:fldChar w:fldCharType="separate"/>
          </w:r>
          <w:r>
            <w:rPr>
              <w:rFonts w:hint="eastAsia" w:ascii="黑体" w:hAnsi="黑体" w:eastAsia="黑体"/>
              <w:bCs w:val="0"/>
              <w:lang w:eastAsia="zh-CN"/>
            </w:rPr>
            <w:t xml:space="preserve">一、 </w:t>
          </w:r>
          <w:r>
            <w:rPr>
              <w:rFonts w:hint="eastAsia" w:ascii="黑体" w:hAnsi="黑体" w:eastAsia="黑体"/>
              <w:bCs w:val="0"/>
              <w:highlight w:val="none"/>
            </w:rPr>
            <w:t>职能</w:t>
          </w:r>
          <w:r>
            <w:rPr>
              <w:rFonts w:hint="eastAsia" w:ascii="黑体" w:hAnsi="黑体" w:eastAsia="黑体"/>
              <w:bCs w:val="0"/>
              <w:highlight w:val="none"/>
              <w:lang w:eastAsia="zh-CN"/>
            </w:rPr>
            <w:t>简介</w:t>
          </w:r>
          <w:r>
            <w:tab/>
          </w:r>
          <w:r>
            <w:fldChar w:fldCharType="begin"/>
          </w:r>
          <w:r>
            <w:instrText xml:space="preserve"> PAGEREF _Toc13117 \h </w:instrText>
          </w:r>
          <w:r>
            <w:fldChar w:fldCharType="separate"/>
          </w:r>
          <w:r>
            <w:t>4</w:t>
          </w:r>
          <w:r>
            <w:fldChar w:fldCharType="end"/>
          </w:r>
          <w:r>
            <w:fldChar w:fldCharType="end"/>
          </w:r>
        </w:p>
        <w:p>
          <w:pPr>
            <w:pStyle w:val="11"/>
            <w:tabs>
              <w:tab w:val="right" w:leader="dot" w:pos="8306"/>
              <w:tab w:val="clear" w:pos="8296"/>
            </w:tabs>
          </w:pPr>
          <w:r>
            <w:fldChar w:fldCharType="begin"/>
          </w:r>
          <w:r>
            <w:instrText xml:space="preserve"> HYPERLINK \l _Toc28828 </w:instrText>
          </w:r>
          <w:r>
            <w:fldChar w:fldCharType="separate"/>
          </w:r>
          <w:r>
            <w:rPr>
              <w:rFonts w:hint="eastAsia" w:ascii="黑体" w:hAnsi="黑体" w:eastAsia="黑体"/>
              <w:highlight w:val="none"/>
              <w:lang w:val="en-US" w:eastAsia="zh-CN"/>
            </w:rPr>
            <w:t>二、2021年重点</w:t>
          </w:r>
          <w:r>
            <w:rPr>
              <w:rFonts w:hint="eastAsia" w:ascii="黑体" w:hAnsi="黑体" w:eastAsia="黑体"/>
              <w:highlight w:val="none"/>
            </w:rPr>
            <w:t>工作</w:t>
          </w:r>
          <w:r>
            <w:rPr>
              <w:rFonts w:hint="eastAsia" w:ascii="黑体" w:hAnsi="黑体" w:eastAsia="黑体"/>
              <w:highlight w:val="none"/>
              <w:lang w:eastAsia="zh-CN"/>
            </w:rPr>
            <w:t>完成情况</w:t>
          </w:r>
          <w:r>
            <w:tab/>
          </w:r>
          <w:r>
            <w:fldChar w:fldCharType="begin"/>
          </w:r>
          <w:r>
            <w:instrText xml:space="preserve"> PAGEREF _Toc28828 \h </w:instrText>
          </w:r>
          <w:r>
            <w:fldChar w:fldCharType="separate"/>
          </w:r>
          <w:r>
            <w:t>5</w:t>
          </w:r>
          <w:r>
            <w:fldChar w:fldCharType="end"/>
          </w:r>
          <w:r>
            <w:fldChar w:fldCharType="end"/>
          </w:r>
        </w:p>
        <w:p>
          <w:pPr>
            <w:pStyle w:val="10"/>
            <w:tabs>
              <w:tab w:val="right" w:leader="dot" w:pos="8306"/>
              <w:tab w:val="clear" w:pos="8296"/>
            </w:tabs>
          </w:pPr>
          <w:r>
            <w:fldChar w:fldCharType="begin"/>
          </w:r>
          <w:r>
            <w:instrText xml:space="preserve"> HYPERLINK \l _Toc25499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2021年度</w:t>
          </w:r>
          <w:r>
            <w:rPr>
              <w:rFonts w:hint="eastAsia" w:ascii="黑体" w:hAnsi="黑体" w:eastAsia="黑体"/>
              <w:bCs/>
              <w:highlight w:val="none"/>
              <w:lang w:eastAsia="zh-CN"/>
            </w:rPr>
            <w:t>单位</w:t>
          </w:r>
          <w:r>
            <w:rPr>
              <w:rFonts w:hint="eastAsia" w:ascii="黑体" w:hAnsi="黑体" w:eastAsia="黑体"/>
              <w:bCs/>
              <w:highlight w:val="none"/>
            </w:rPr>
            <w:t>决算情况说明</w:t>
          </w:r>
          <w:r>
            <w:tab/>
          </w:r>
          <w:r>
            <w:fldChar w:fldCharType="begin"/>
          </w:r>
          <w:r>
            <w:instrText xml:space="preserve"> PAGEREF _Toc25499 \h </w:instrText>
          </w:r>
          <w:r>
            <w:fldChar w:fldCharType="separate"/>
          </w:r>
          <w:r>
            <w:t>11</w:t>
          </w:r>
          <w:r>
            <w:fldChar w:fldCharType="end"/>
          </w:r>
          <w:r>
            <w:fldChar w:fldCharType="end"/>
          </w:r>
        </w:p>
        <w:p>
          <w:pPr>
            <w:pStyle w:val="11"/>
            <w:tabs>
              <w:tab w:val="right" w:leader="dot" w:pos="8306"/>
              <w:tab w:val="clear" w:pos="8296"/>
            </w:tabs>
          </w:pPr>
          <w:r>
            <w:fldChar w:fldCharType="begin"/>
          </w:r>
          <w:r>
            <w:instrText xml:space="preserve"> HYPERLINK \l _Toc7670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_Toc7670 \h </w:instrText>
          </w:r>
          <w:r>
            <w:fldChar w:fldCharType="separate"/>
          </w:r>
          <w:r>
            <w:t>11</w:t>
          </w:r>
          <w:r>
            <w:fldChar w:fldCharType="end"/>
          </w:r>
          <w:r>
            <w:fldChar w:fldCharType="end"/>
          </w:r>
        </w:p>
        <w:p>
          <w:pPr>
            <w:pStyle w:val="11"/>
            <w:tabs>
              <w:tab w:val="right" w:leader="dot" w:pos="8306"/>
              <w:tab w:val="clear" w:pos="8296"/>
            </w:tabs>
          </w:pPr>
          <w:r>
            <w:fldChar w:fldCharType="begin"/>
          </w:r>
          <w:r>
            <w:instrText xml:space="preserve"> HYPERLINK \l _Toc14031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_Toc14031 \h </w:instrText>
          </w:r>
          <w:r>
            <w:fldChar w:fldCharType="separate"/>
          </w:r>
          <w:r>
            <w:t>11</w:t>
          </w:r>
          <w:r>
            <w:fldChar w:fldCharType="end"/>
          </w:r>
          <w:r>
            <w:fldChar w:fldCharType="end"/>
          </w:r>
        </w:p>
        <w:p>
          <w:pPr>
            <w:pStyle w:val="11"/>
            <w:tabs>
              <w:tab w:val="right" w:leader="dot" w:pos="8306"/>
              <w:tab w:val="clear" w:pos="8296"/>
            </w:tabs>
          </w:pPr>
          <w:r>
            <w:fldChar w:fldCharType="begin"/>
          </w:r>
          <w:r>
            <w:instrText xml:space="preserve"> HYPERLINK \l _Toc28940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_Toc28940 \h </w:instrText>
          </w:r>
          <w:r>
            <w:fldChar w:fldCharType="separate"/>
          </w:r>
          <w:r>
            <w:t>12</w:t>
          </w:r>
          <w:r>
            <w:fldChar w:fldCharType="end"/>
          </w:r>
          <w:r>
            <w:fldChar w:fldCharType="end"/>
          </w:r>
        </w:p>
        <w:p>
          <w:pPr>
            <w:pStyle w:val="11"/>
            <w:tabs>
              <w:tab w:val="right" w:leader="dot" w:pos="8306"/>
              <w:tab w:val="clear" w:pos="8296"/>
            </w:tabs>
          </w:pPr>
          <w:r>
            <w:fldChar w:fldCharType="begin"/>
          </w:r>
          <w:r>
            <w:instrText xml:space="preserve"> HYPERLINK \l _Toc22633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_Toc22633 \h </w:instrText>
          </w:r>
          <w:r>
            <w:fldChar w:fldCharType="separate"/>
          </w:r>
          <w:r>
            <w:t>13</w:t>
          </w:r>
          <w:r>
            <w:fldChar w:fldCharType="end"/>
          </w:r>
          <w:r>
            <w:fldChar w:fldCharType="end"/>
          </w:r>
        </w:p>
        <w:p>
          <w:pPr>
            <w:pStyle w:val="11"/>
            <w:tabs>
              <w:tab w:val="right" w:leader="dot" w:pos="8306"/>
              <w:tab w:val="clear" w:pos="8296"/>
            </w:tabs>
          </w:pPr>
          <w:r>
            <w:fldChar w:fldCharType="begin"/>
          </w:r>
          <w:r>
            <w:instrText xml:space="preserve"> HYPERLINK \l _Toc8668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_Toc8668 \h </w:instrText>
          </w:r>
          <w:r>
            <w:fldChar w:fldCharType="separate"/>
          </w:r>
          <w:r>
            <w:t>14</w:t>
          </w:r>
          <w:r>
            <w:fldChar w:fldCharType="end"/>
          </w:r>
          <w:r>
            <w:fldChar w:fldCharType="end"/>
          </w:r>
        </w:p>
        <w:p>
          <w:pPr>
            <w:pStyle w:val="11"/>
            <w:tabs>
              <w:tab w:val="right" w:leader="dot" w:pos="8306"/>
              <w:tab w:val="clear" w:pos="8296"/>
            </w:tabs>
          </w:pPr>
          <w:r>
            <w:fldChar w:fldCharType="begin"/>
          </w:r>
          <w:r>
            <w:instrText xml:space="preserve"> HYPERLINK \l _Toc5692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_Toc5692 \h </w:instrText>
          </w:r>
          <w:r>
            <w:fldChar w:fldCharType="separate"/>
          </w:r>
          <w:r>
            <w:t>18</w:t>
          </w:r>
          <w:r>
            <w:fldChar w:fldCharType="end"/>
          </w:r>
          <w:r>
            <w:fldChar w:fldCharType="end"/>
          </w:r>
        </w:p>
        <w:p>
          <w:pPr>
            <w:pStyle w:val="11"/>
            <w:tabs>
              <w:tab w:val="right" w:leader="dot" w:pos="8306"/>
              <w:tab w:val="clear" w:pos="8296"/>
            </w:tabs>
          </w:pPr>
          <w:r>
            <w:fldChar w:fldCharType="begin"/>
          </w:r>
          <w:r>
            <w:instrText xml:space="preserve"> HYPERLINK \l _Toc28033 </w:instrText>
          </w:r>
          <w: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tab/>
          </w:r>
          <w:r>
            <w:fldChar w:fldCharType="begin"/>
          </w:r>
          <w:r>
            <w:instrText xml:space="preserve"> PAGEREF _Toc28033 \h </w:instrText>
          </w:r>
          <w:r>
            <w:fldChar w:fldCharType="separate"/>
          </w:r>
          <w:r>
            <w:t>18</w:t>
          </w:r>
          <w:r>
            <w:fldChar w:fldCharType="end"/>
          </w:r>
          <w:r>
            <w:fldChar w:fldCharType="end"/>
          </w:r>
        </w:p>
        <w:p>
          <w:pPr>
            <w:pStyle w:val="11"/>
            <w:tabs>
              <w:tab w:val="right" w:leader="dot" w:pos="8306"/>
              <w:tab w:val="clear" w:pos="8296"/>
            </w:tabs>
          </w:pPr>
          <w:r>
            <w:fldChar w:fldCharType="begin"/>
          </w:r>
          <w:r>
            <w:instrText xml:space="preserve"> HYPERLINK \l _Toc2981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_Toc2981 \h </w:instrText>
          </w:r>
          <w:r>
            <w:fldChar w:fldCharType="separate"/>
          </w:r>
          <w:r>
            <w:t>20</w:t>
          </w:r>
          <w:r>
            <w:fldChar w:fldCharType="end"/>
          </w:r>
          <w:r>
            <w:fldChar w:fldCharType="end"/>
          </w:r>
        </w:p>
        <w:p>
          <w:pPr>
            <w:pStyle w:val="11"/>
            <w:tabs>
              <w:tab w:val="right" w:leader="dot" w:pos="8306"/>
              <w:tab w:val="clear" w:pos="8296"/>
            </w:tabs>
          </w:pPr>
          <w:r>
            <w:fldChar w:fldCharType="begin"/>
          </w:r>
          <w:r>
            <w:instrText xml:space="preserve"> HYPERLINK \l _Toc20727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_Toc20727 \h </w:instrText>
          </w:r>
          <w:r>
            <w:fldChar w:fldCharType="separate"/>
          </w:r>
          <w:r>
            <w:t>20</w:t>
          </w:r>
          <w:r>
            <w:fldChar w:fldCharType="end"/>
          </w:r>
          <w:r>
            <w:fldChar w:fldCharType="end"/>
          </w:r>
        </w:p>
        <w:p>
          <w:pPr>
            <w:pStyle w:val="11"/>
            <w:tabs>
              <w:tab w:val="right" w:leader="dot" w:pos="8306"/>
              <w:tab w:val="clear" w:pos="8296"/>
            </w:tabs>
          </w:pPr>
          <w:r>
            <w:fldChar w:fldCharType="begin"/>
          </w:r>
          <w:r>
            <w:instrText xml:space="preserve"> HYPERLINK \l _Toc25969 </w:instrText>
          </w:r>
          <w:r>
            <w:fldChar w:fldCharType="separate"/>
          </w:r>
          <w:r>
            <w:rPr>
              <w:rFonts w:hint="eastAsia" w:ascii="黑体" w:hAnsi="黑体" w:eastAsia="黑体"/>
            </w:rPr>
            <w:t xml:space="preserve">十、 </w:t>
          </w:r>
          <w:r>
            <w:rPr>
              <w:rFonts w:hint="eastAsia" w:ascii="黑体" w:hAnsi="黑体" w:eastAsia="黑体"/>
              <w:highlight w:val="none"/>
              <w:lang w:val="en-US" w:eastAsia="zh-CN"/>
            </w:rPr>
            <w:t>预算绩效管理情况</w:t>
          </w:r>
          <w:r>
            <w:tab/>
          </w:r>
          <w:r>
            <w:fldChar w:fldCharType="begin"/>
          </w:r>
          <w:r>
            <w:instrText xml:space="preserve"> PAGEREF _Toc25969 \h </w:instrText>
          </w:r>
          <w:r>
            <w:fldChar w:fldCharType="separate"/>
          </w:r>
          <w:r>
            <w:t>21</w:t>
          </w:r>
          <w:r>
            <w:fldChar w:fldCharType="end"/>
          </w:r>
          <w:r>
            <w:fldChar w:fldCharType="end"/>
          </w:r>
        </w:p>
        <w:p>
          <w:pPr>
            <w:pStyle w:val="11"/>
            <w:tabs>
              <w:tab w:val="right" w:leader="dot" w:pos="8306"/>
              <w:tab w:val="clear" w:pos="8296"/>
            </w:tabs>
          </w:pPr>
          <w:r>
            <w:fldChar w:fldCharType="begin"/>
          </w:r>
          <w:r>
            <w:instrText xml:space="preserve"> HYPERLINK \l _Toc4323 </w:instrText>
          </w:r>
          <w:r>
            <w:fldChar w:fldCharType="separate"/>
          </w:r>
          <w:r>
            <w:rPr>
              <w:rFonts w:hint="eastAsia" w:ascii="黑体" w:hAnsi="黑体" w:eastAsia="黑体"/>
            </w:rPr>
            <w:t xml:space="preserve">十一、 </w:t>
          </w:r>
          <w:r>
            <w:rPr>
              <w:rFonts w:hint="eastAsia" w:ascii="黑体" w:hAnsi="黑体" w:eastAsia="黑体"/>
              <w:highlight w:val="none"/>
            </w:rPr>
            <w:t>其他重要事项的情况说明</w:t>
          </w:r>
          <w:r>
            <w:tab/>
          </w:r>
          <w:r>
            <w:fldChar w:fldCharType="begin"/>
          </w:r>
          <w:r>
            <w:instrText xml:space="preserve"> PAGEREF _Toc4323 \h </w:instrText>
          </w:r>
          <w:r>
            <w:fldChar w:fldCharType="separate"/>
          </w:r>
          <w:r>
            <w:t>21</w:t>
          </w:r>
          <w:r>
            <w:fldChar w:fldCharType="end"/>
          </w:r>
          <w:r>
            <w:fldChar w:fldCharType="end"/>
          </w:r>
        </w:p>
        <w:p>
          <w:pPr>
            <w:pStyle w:val="10"/>
            <w:tabs>
              <w:tab w:val="right" w:leader="dot" w:pos="8306"/>
              <w:tab w:val="clear" w:pos="8296"/>
            </w:tabs>
          </w:pPr>
          <w:r>
            <w:fldChar w:fldCharType="begin"/>
          </w:r>
          <w:r>
            <w:instrText xml:space="preserve"> HYPERLINK \l _Toc28673 </w:instrText>
          </w:r>
          <w:r>
            <w:fldChar w:fldCharType="separate"/>
          </w:r>
          <w:r>
            <w:rPr>
              <w:rFonts w:hint="eastAsia" w:ascii="黑体" w:hAnsi="黑体" w:eastAsia="黑体" w:cs="黑体"/>
              <w:szCs w:val="44"/>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_Toc28673 \h </w:instrText>
          </w:r>
          <w:r>
            <w:fldChar w:fldCharType="separate"/>
          </w:r>
          <w:r>
            <w:t>23</w:t>
          </w:r>
          <w:r>
            <w:fldChar w:fldCharType="end"/>
          </w:r>
          <w:r>
            <w:fldChar w:fldCharType="end"/>
          </w:r>
        </w:p>
        <w:p>
          <w:pPr>
            <w:pStyle w:val="10"/>
            <w:tabs>
              <w:tab w:val="right" w:leader="dot" w:pos="8306"/>
              <w:tab w:val="clear" w:pos="8296"/>
            </w:tabs>
          </w:pPr>
          <w:r>
            <w:fldChar w:fldCharType="begin"/>
          </w:r>
          <w:r>
            <w:instrText xml:space="preserve"> HYPERLINK \l _Toc23756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_Toc23756 \h </w:instrText>
          </w:r>
          <w:r>
            <w:fldChar w:fldCharType="separate"/>
          </w:r>
          <w:r>
            <w:t>26</w:t>
          </w:r>
          <w:r>
            <w:fldChar w:fldCharType="end"/>
          </w:r>
          <w:r>
            <w:fldChar w:fldCharType="end"/>
          </w:r>
        </w:p>
        <w:p>
          <w:pPr>
            <w:pStyle w:val="10"/>
            <w:tabs>
              <w:tab w:val="right" w:leader="dot" w:pos="8306"/>
              <w:tab w:val="clear" w:pos="8296"/>
            </w:tabs>
          </w:pPr>
          <w:r>
            <w:fldChar w:fldCharType="begin"/>
          </w:r>
          <w:r>
            <w:instrText xml:space="preserve"> HYPERLINK \l _Toc3541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_Toc3541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_Toc24018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_Toc24018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_Toc17457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_Toc17457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_Toc26116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_Toc26116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_Toc14825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_Toc14825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_Toc10636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_Toc10636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_Toc4701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_Toc4701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_Toc945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_Toc945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_Toc29581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_Toc29581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_Toc17122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_Toc17122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_Toc30938 </w:instrText>
          </w:r>
          <w:r>
            <w:fldChar w:fldCharType="separate"/>
          </w:r>
          <w:r>
            <w:rPr>
              <w:rFonts w:hint="eastAsia" w:ascii="仿宋" w:hAnsi="仿宋" w:eastAsia="仿宋"/>
              <w:bCs w:val="0"/>
              <w:highlight w:val="none"/>
            </w:rPr>
            <w:t>十、</w:t>
          </w:r>
          <w:r>
            <w:rPr>
              <w:rFonts w:hint="eastAsia" w:ascii="仿宋" w:hAnsi="仿宋" w:eastAsia="仿宋"/>
              <w:highlight w:val="none"/>
            </w:rPr>
            <w:t>一</w:t>
          </w:r>
          <w:r>
            <w:rPr>
              <w:rFonts w:hint="eastAsia" w:ascii="仿宋" w:hAnsi="仿宋" w:eastAsia="仿宋"/>
              <w:bCs w:val="0"/>
              <w:highlight w:val="none"/>
            </w:rPr>
            <w:t>般公共预算财政拨款“三公”经费支出决算表</w:t>
          </w:r>
          <w:r>
            <w:tab/>
          </w:r>
          <w:r>
            <w:fldChar w:fldCharType="begin"/>
          </w:r>
          <w:r>
            <w:instrText xml:space="preserve"> PAGEREF _Toc30938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_Toc10492 </w:instrText>
          </w:r>
          <w:r>
            <w:fldChar w:fldCharType="separate"/>
          </w:r>
          <w:r>
            <w:rPr>
              <w:rFonts w:hint="eastAsia" w:ascii="仿宋" w:hAnsi="仿宋" w:eastAsia="仿宋"/>
              <w:bCs w:val="0"/>
              <w:highlight w:val="none"/>
            </w:rPr>
            <w:t>十一、</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_Toc10492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_Toc10403 </w:instrText>
          </w:r>
          <w:r>
            <w:fldChar w:fldCharType="separate"/>
          </w:r>
          <w:r>
            <w:rPr>
              <w:rFonts w:hint="eastAsia" w:ascii="仿宋" w:hAnsi="仿宋" w:eastAsia="仿宋"/>
              <w:bCs w:val="0"/>
              <w:highlight w:val="none"/>
            </w:rPr>
            <w:t>十二、</w:t>
          </w:r>
          <w:r>
            <w:rPr>
              <w:rFonts w:hint="eastAsia" w:ascii="仿宋" w:hAnsi="仿宋" w:eastAsia="仿宋"/>
              <w:highlight w:val="none"/>
            </w:rPr>
            <w:t>政</w:t>
          </w:r>
          <w:r>
            <w:rPr>
              <w:rFonts w:hint="eastAsia" w:ascii="仿宋" w:hAnsi="仿宋" w:eastAsia="仿宋"/>
              <w:bCs w:val="0"/>
              <w:highlight w:val="none"/>
            </w:rPr>
            <w:t>府性基金预算财政拨款“三公”经费支出决算表</w:t>
          </w:r>
          <w:r>
            <w:tab/>
          </w:r>
          <w:r>
            <w:fldChar w:fldCharType="begin"/>
          </w:r>
          <w:r>
            <w:instrText xml:space="preserve"> PAGEREF _Toc10403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_Toc9977 </w:instrText>
          </w:r>
          <w:r>
            <w:fldChar w:fldCharType="separate"/>
          </w:r>
          <w:r>
            <w:rPr>
              <w:rFonts w:hint="eastAsia" w:ascii="仿宋" w:hAnsi="仿宋" w:eastAsia="仿宋"/>
              <w:bCs w:val="0"/>
              <w:highlight w:val="none"/>
            </w:rPr>
            <w:t>十三、</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_Toc9977 \h </w:instrText>
          </w:r>
          <w:r>
            <w:fldChar w:fldCharType="separate"/>
          </w:r>
          <w:r>
            <w:t>47</w:t>
          </w:r>
          <w:r>
            <w:fldChar w:fldCharType="end"/>
          </w:r>
          <w:r>
            <w:fldChar w:fldCharType="end"/>
          </w:r>
        </w:p>
        <w:p>
          <w:pPr>
            <w:pStyle w:val="11"/>
            <w:tabs>
              <w:tab w:val="right" w:leader="dot" w:pos="8306"/>
              <w:tab w:val="clear" w:pos="8296"/>
            </w:tabs>
          </w:pPr>
          <w:r>
            <w:fldChar w:fldCharType="begin"/>
          </w:r>
          <w:r>
            <w:instrText xml:space="preserve"> HYPERLINK \l _Toc27591 </w:instrText>
          </w:r>
          <w:r>
            <w:fldChar w:fldCharType="separate"/>
          </w:r>
          <w:r>
            <w:rPr>
              <w:rFonts w:hint="eastAsia" w:ascii="仿宋" w:hAnsi="仿宋" w:eastAsia="仿宋"/>
              <w:bCs w:val="0"/>
              <w:highlight w:val="none"/>
              <w:lang w:eastAsia="zh-CN"/>
            </w:rPr>
            <w:t>十四、国有资本经营预算财政拨款支出决算表</w:t>
          </w:r>
          <w:r>
            <w:tab/>
          </w:r>
          <w:r>
            <w:fldChar w:fldCharType="begin"/>
          </w:r>
          <w:r>
            <w:instrText xml:space="preserve"> PAGEREF _Toc27591 \h </w:instrText>
          </w:r>
          <w:r>
            <w:fldChar w:fldCharType="separate"/>
          </w:r>
          <w:r>
            <w:t>47</w:t>
          </w:r>
          <w:r>
            <w:fldChar w:fldCharType="end"/>
          </w:r>
          <w:r>
            <w:fldChar w:fldCharType="end"/>
          </w:r>
        </w:p>
        <w:p>
          <w:r>
            <w:fldChar w:fldCharType="end"/>
          </w:r>
        </w:p>
      </w:sdtContent>
    </w:sdt>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jc w:val="center"/>
        <w:rPr>
          <w:rStyle w:val="24"/>
          <w:rFonts w:ascii="黑体" w:hAnsi="黑体" w:eastAsia="黑体"/>
          <w:b/>
          <w:bCs w:val="0"/>
          <w:color w:val="auto"/>
          <w:highlight w:val="none"/>
        </w:rPr>
      </w:pPr>
      <w:bookmarkStart w:id="15" w:name="_Toc824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15"/>
    </w:p>
    <w:p>
      <w:pPr>
        <w:pStyle w:val="4"/>
        <w:numPr>
          <w:ilvl w:val="0"/>
          <w:numId w:val="1"/>
        </w:numPr>
        <w:rPr>
          <w:rStyle w:val="25"/>
          <w:rFonts w:hint="eastAsia" w:ascii="黑体" w:hAnsi="黑体" w:eastAsia="黑体"/>
          <w:b w:val="0"/>
          <w:bCs w:val="0"/>
          <w:color w:val="auto"/>
          <w:highlight w:val="none"/>
          <w:lang w:eastAsia="zh-CN"/>
        </w:rPr>
      </w:pPr>
      <w:bookmarkStart w:id="16" w:name="_Toc13117"/>
      <w:bookmarkStart w:id="17" w:name="_Toc15377197"/>
      <w:bookmarkStart w:id="18" w:name="_Toc15396600"/>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16"/>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1．主要职能。广元市港航发展中心的主要职责：</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贯彻执行国家、省、市有关水路交通的方针政策、法律法 规和规章，承担全市水运行业发展规划、计划编制的事务工作；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负责全市通航设施运行调度，承担涉水工程航道通航条件影响评价的协调工作；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指导全市港口、航道基础设施建设和维护管理工作，指导和协调县区完成嘉陵江以外其他航道建设，督促航道养护机构按 照年度养护计划完成航道日常养护工作；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承担港口岸线利用项目技术审查工作；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负责水路交通运输发展服务和水路交通战备工作；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承担全市船员考试服务工作；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7</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负责船舶检验、船舶设计图纸技术审查及船舶建造企业业 务指导工作；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8</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指导水上交通运输、港口、航道基础设施建设养护等安全生产工作；参与水上交通事故调查船舶技术鉴定工作；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9</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承担嘉陵江数字化航道建设、运行和维护工作；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10</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负责水运行业的客货运周转量等综合统计工作；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11</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承担航运海事行政审批事项现场踏勘、核查相关事务工作；</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12</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完成市交通运输局交办的其他任务。</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机构情况，包括当年变动情况及原因。2020年度，广元市航务管理局更名为广元市港航发展中心，为广元市交通运输局管理的公益一类事业单位，副县级，保留参公管理。根据中共广元市委机构编制委员会关于印发《广元市港航发展中心职能配置、内设机构和人员编制制定》的通知（广编办〔2020〕59号），中心内设机构共6个，分别为：综合科、港口航道科、航运服务科、船舶检验科、信息技术科、人事科。</w:t>
      </w:r>
    </w:p>
    <w:p>
      <w:pPr>
        <w:snapToGrid w:val="0"/>
        <w:spacing w:line="520" w:lineRule="exact"/>
        <w:ind w:firstLine="640" w:firstLineChars="200"/>
        <w:rPr>
          <w:rFonts w:hint="eastAsia"/>
        </w:rPr>
      </w:pPr>
      <w:r>
        <w:rPr>
          <w:rFonts w:hint="eastAsia" w:ascii="仿宋_GB2312" w:hAnsi="仿宋" w:eastAsia="仿宋_GB2312" w:cs="Times New Roman"/>
          <w:sz w:val="32"/>
          <w:szCs w:val="32"/>
        </w:rPr>
        <w:t>3．人员情况，包括当年变动情况及原因。人员概况广元市港航发展中心核定编制人员</w:t>
      </w:r>
      <w:r>
        <w:rPr>
          <w:rFonts w:hint="eastAsia" w:ascii="仿宋_GB2312" w:hAnsi="仿宋" w:eastAsia="仿宋_GB2312" w:cs="Times New Roman"/>
          <w:sz w:val="32"/>
          <w:szCs w:val="32"/>
          <w:lang w:val="en-US" w:eastAsia="zh-CN"/>
        </w:rPr>
        <w:t>20</w:t>
      </w:r>
      <w:r>
        <w:rPr>
          <w:rFonts w:hint="eastAsia" w:ascii="仿宋_GB2312" w:hAnsi="仿宋" w:eastAsia="仿宋_GB2312" w:cs="Times New Roman"/>
          <w:sz w:val="32"/>
          <w:szCs w:val="32"/>
        </w:rPr>
        <w:t>人，</w:t>
      </w:r>
      <w:r>
        <w:rPr>
          <w:rFonts w:hint="eastAsia" w:ascii="仿宋_GB2312" w:hAnsi="仿宋" w:eastAsia="仿宋_GB2312" w:cs="Times New Roman"/>
          <w:sz w:val="32"/>
          <w:szCs w:val="32"/>
          <w:lang w:val="en-US" w:eastAsia="zh-CN"/>
        </w:rPr>
        <w:t>实有19人。</w:t>
      </w:r>
    </w:p>
    <w:p>
      <w:pPr>
        <w:pStyle w:val="4"/>
        <w:numPr>
          <w:ilvl w:val="0"/>
          <w:numId w:val="0"/>
        </w:numPr>
        <w:rPr>
          <w:rFonts w:hint="eastAsia" w:ascii="黑体" w:hAnsi="黑体" w:eastAsia="黑体"/>
          <w:b w:val="0"/>
          <w:color w:val="auto"/>
          <w:highlight w:val="none"/>
          <w:lang w:eastAsia="zh-CN"/>
        </w:rPr>
      </w:pPr>
      <w:bookmarkStart w:id="19" w:name="_Toc28828"/>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7"/>
      <w:bookmarkEnd w:id="18"/>
      <w:r>
        <w:rPr>
          <w:rFonts w:hint="eastAsia" w:ascii="黑体" w:hAnsi="黑体" w:eastAsia="黑体"/>
          <w:b w:val="0"/>
          <w:color w:val="auto"/>
          <w:highlight w:val="none"/>
          <w:lang w:eastAsia="zh-CN"/>
        </w:rPr>
        <w:t>完成情况</w:t>
      </w:r>
      <w:bookmarkEnd w:id="19"/>
    </w:p>
    <w:p>
      <w:pPr>
        <w:snapToGrid w:val="0"/>
        <w:spacing w:line="520" w:lineRule="exact"/>
        <w:ind w:firstLine="640" w:firstLineChars="200"/>
        <w:rPr>
          <w:rFonts w:hint="eastAsia" w:ascii="仿宋_GB2312" w:hAnsi="仿宋" w:eastAsia="仿宋_GB2312" w:cs="Times New Roman"/>
          <w:sz w:val="32"/>
          <w:szCs w:val="32"/>
          <w:highlight w:val="yellow"/>
        </w:rPr>
      </w:pP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rPr>
        <w:t>聚焦固本强基，基础设施有巩固</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rPr>
        <w:t>）加快推进项目建设。广元港苍溪港区张家坝作业区（一区）一期工程达到开港试运行条件，嘉陵江上石盘电航综合枢纽船闸工程完成交工验收，嘉陵江水东坝航电综合枢纽工程前期工作完成勘察设计招标代理机构公开比选，水上交通安全监测综合信息系统项目建设完成，苍溪西门滩水毁工程建设完成，中心办公楼维修项目已经完工，桃花岛应急锚地建设完成方案论证。全年完成投资8680万元，占目标任务的108.8%。</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不断强化航道养护。以高质量航道管养为目标，严格按照《航道养护技术规范》、《内河航道绿色养护技术指南》，坚持管养并重、突出重点、分类维护、保障畅通的原则，全面加强了航道、航标、船艇、整治建筑物的维护管理。完成了嘉陵江川境段航运配套工程E标段整治建筑物丁坝群验收移交，加快推进了浙水、回水、江口及射箭航道管理站房和码头土地报建工作。（</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统筹布局水运发展规划。抢抓国家加快内河水运发展和川渝共建长江上游航运中心的机遇，积极和省航务海事中心对接“十四五”水运发展规划，将嘉陵江亭子口升船机改造工程、嘉陵江水东坝综合枢纽、广元港苍溪港区张家坝作业区等重点项目纳入“十四五”规划，项目总投资达28.56亿元。完成2021年高等级航道专项养护工程项目省级补助资金建议，积极争取上级补助资金1655.69万元。</w:t>
      </w:r>
    </w:p>
    <w:p>
      <w:pPr>
        <w:snapToGrid w:val="0"/>
        <w:spacing w:line="520" w:lineRule="exact"/>
        <w:ind w:firstLine="640" w:firstLineChars="200"/>
        <w:rPr>
          <w:rFonts w:hint="eastAsia" w:ascii="仿宋_GB2312" w:hAnsi="仿宋" w:eastAsia="仿宋_GB2312" w:cs="Times New Roman"/>
          <w:sz w:val="32"/>
          <w:szCs w:val="32"/>
          <w:highlight w:val="yellow"/>
        </w:rPr>
      </w:pP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rPr>
        <w:t>聚焦水运发展，服务水平有提高</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圆满完成2021年水路春运工作。印发了《2021年水路春运保障工作方案》，严格落实水上交通运输疫情常态化防控措施，准确把握全市水路春运旅客流量、流向和高峰时段，充分做好运力保障，严格执行春运值班制度，扎实开展“情满旅途”活动，精准服务广大旅客平安健康出行。春运期间，全市日均投入客渡船92艘，2632客位，安全运输旅客共计13.37万人次，实现了无安全事故、无服务投诉、无旅客滞留的“三无”工作目标。（</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rPr>
        <w:t>）扎实推进水运服务保障工作。全年完成客货运总周转量3200万吨公里，因受新冠肺炎疫情影响，同比增长10.01%。认真组织开展了2021年度水路运输核查工作，通过核查的水路运输企业4家</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营运船舶116艘，形成了《广元市水运市场调查报告》。加快亭子口水利枢纽船闸工程验收工作进度，推动亭子口水利枢纽和苍溪航电电调联动，配合部省加快建立嘉陵江通航建筑物联合调度机制，顺利完成第一阶段试运行任务，初步实现了船舶待闸时间缩短三分之一的目标，打通了疆煤经广元港入渝新通道。组织了朝天区八庙沟嘉陵江大桥航评论证，有序推进了上石盘库区夜航前期调研论证工作。（</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规范开展船舶检验工作。认真把好船舶安全源头关，完成新建船舶图纸审查12套，完成船舶建造检验9艘、营运检验138艘，完成渔船检验57艘，完成“兴川江”8号、9号两艘千吨级多用途货船倾斜及试航实验、系泊实验，完成嘉陵江流域最大运输船舶的建造检验工作，填补了川东北大型船舶检验空白，全省船检工作现场会、全省船检业务培训会先后在我市召开。</w:t>
      </w:r>
    </w:p>
    <w:p>
      <w:pPr>
        <w:snapToGrid w:val="0"/>
        <w:spacing w:line="520" w:lineRule="exact"/>
        <w:ind w:firstLine="640" w:firstLineChars="200"/>
        <w:rPr>
          <w:rFonts w:hint="eastAsia" w:ascii="仿宋_GB2312" w:hAnsi="仿宋" w:eastAsia="仿宋_GB2312" w:cs="Times New Roman"/>
          <w:sz w:val="32"/>
          <w:szCs w:val="32"/>
          <w:highlight w:val="yellow"/>
        </w:rPr>
      </w:pP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聚焦行业基础，发展动能有提升</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rPr>
        <w:t>）顺利推进机构改革工作。提高政治站位，统一思想认识，推动交通运输综合行政执法改革工作落地落实，坚决落实好市委和交通运输局党组对港航管理体制改革的决策部署，做到态度坚决、行动坚定，确保机构改革和事业发展两手抓、两不误、两促进，做到了中心组建期间思想不乱、工作不断、干劲不减。改革后加快厘清职责，主动做好职责对接、工作衔接“后半篇”文章，确保今年各项目标任务的实现。（</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rPr>
        <w:t>）不断夯实行业安全管理基础。制定了《安全生产工作责任清单》和《2021年全市水上交通防汛工作方案》，印发了《关于认真做好2021年汛期水上交通安全工作的通知》，修订了《水上交通突发事件应急预案》，指导水运企业建立了《企业安全生产责任清单》，召开了季度安全生产例会暨企业安全生产标准化建设、船舶港口码头污染防治工作培训会，完成等级航道船舶碰撞桥梁风险摸底自查，排查桥梁66座，发现存在安全风险桥梁58座并上报省局；落实了汛情水情传递机制，成立了由20人组成的应急救援队，建立了应急救援物资储备库，保障了安全形势持续稳定。（</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持续筑牢水运行业环保底线。全面启动了绿水绿航绿色发展五年行动，首批磷酸铁锂新能源船舶建造完成并顺利投运，全省“绿水绿航、绿色交通，新能源船舶投放仪式”在我市举行。协助市交通运输局全力做好了第二轮中央生态环境保护督察迎检准备工作，配合开展了水上交通环保工作专项检查，对全市渡口、码头、船舶等环保设施设备配置及运行情况进行督导检查，督促船舶100%安装船E行APP，全面落实船舶防污染联单管理制度。建立了船舶和港口污染防治工作情况季度调度机制，指导相关县区完成长江经济带船舶和港口码头污染突出问题整治验收工作，完成全市106艘符合改造条件船舶防污染设施设备的加装改造。《中国交通报》《四川日报》等省部级主流媒体集中采访报道了我市港口船舶防污染工作成效。（</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rPr>
        <w:t>）深入开展扫黑除恶斗争。传达学习了中办国办《关于常态化开展扫黑除恶斗争巩固专项斗争成果的意见》精神和四川省扫黑除恶领导小组相关会议精神，切实履行好常态化开展扫黑除恶斗争政治责任。我中心制定了《广元市港航发展中心常态化开展扫黑除恶斗争工作方案》，调整了常态化扫黑除恶斗争工作领导小组，继续加强宣传，张贴扫黑除恶宣传标语12条，制作扫黑除恶宣传专栏，设置了线索举报箱。（</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有效开展疫情防控工作。深刻认识疫情防控工作的重要性，严格落实上级工作部署要求，切实扛起疫情防控政治责任，保障各项防控工作落细落实。加强了春节、国庆节等特殊时间节点的疫情防控，全体干部职工100%注册了天府健康通，对办公区进出口进行了改造升级，加强门卫值守、进出扫码、防疫值班，对水上交通疫情防控工作进行了周密的安排部署，切实做好了客渡船舶、码头消毒处置和防疫防护等工作，确保了行业疫情防控形势稳定。（</w:t>
      </w:r>
      <w:r>
        <w:rPr>
          <w:rFonts w:hint="eastAsia" w:ascii="仿宋_GB2312" w:hAnsi="仿宋" w:eastAsia="仿宋_GB2312" w:cs="Times New Roman"/>
          <w:sz w:val="32"/>
          <w:szCs w:val="32"/>
          <w:highlight w:val="none"/>
          <w:lang w:val="en-US" w:eastAsia="zh-CN"/>
        </w:rPr>
        <w:t>6</w:t>
      </w:r>
      <w:r>
        <w:rPr>
          <w:rFonts w:hint="eastAsia" w:ascii="仿宋_GB2312" w:hAnsi="仿宋" w:eastAsia="仿宋_GB2312" w:cs="Times New Roman"/>
          <w:sz w:val="32"/>
          <w:szCs w:val="32"/>
          <w:highlight w:val="none"/>
        </w:rPr>
        <w:t>）大力实施乡村振兴战略。继所帮扶的1个贫困村和1个插花村顺利实现脱贫后，我中心按照《广元市乡村振兴战略规划（2018-2022年）》及有关工作要求，第一时间向昭化区太公镇黄金村选派了第一书记和工作队员，第一书记脱产驻村开展工作，工作队以乡村产业兴旺为抓手、以乡风文明为保障，不断探索创新，力争高质量实现黄金村乡村振兴发展目标。（</w:t>
      </w:r>
      <w:r>
        <w:rPr>
          <w:rFonts w:hint="eastAsia" w:ascii="仿宋_GB2312" w:hAnsi="仿宋" w:eastAsia="仿宋_GB2312" w:cs="Times New Roman"/>
          <w:sz w:val="32"/>
          <w:szCs w:val="32"/>
          <w:highlight w:val="none"/>
          <w:lang w:val="en-US" w:eastAsia="zh-CN"/>
        </w:rPr>
        <w:t>7</w:t>
      </w:r>
      <w:r>
        <w:rPr>
          <w:rFonts w:hint="eastAsia" w:ascii="仿宋_GB2312" w:hAnsi="仿宋" w:eastAsia="仿宋_GB2312" w:cs="Times New Roman"/>
          <w:sz w:val="32"/>
          <w:szCs w:val="32"/>
          <w:highlight w:val="none"/>
        </w:rPr>
        <w:t>）有序推动机关管理工作。认真做好了公共机构节能降耗、垃圾分类、信访维稳、提案办理、史志编纂、目标管理、12328投诉受理、精神文明建设及保密等工作，出台了《三重一大制度》等机关管理各类制度16项，认真开展了“三提三创”活动，稳步推进了国家卫生城市复审和第七届文明城市创建工作，重点做好了中国共产党成立100周年安保维稳工作，积极配合完成市审计局对杨映刚同志的经济责任审计及问题整改工作，高效推进了法治政府示范市创建工作，积极做好了宣传报道工作，多篇政务信息被《中国交通报》《中国水运报》《四川交通》《广元日报》等媒体采用。</w:t>
      </w:r>
    </w:p>
    <w:p>
      <w:pPr>
        <w:snapToGrid w:val="0"/>
        <w:spacing w:line="520" w:lineRule="exact"/>
        <w:ind w:firstLine="640" w:firstLineChars="200"/>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rPr>
        <w:t>聚焦思想建设，党建工作有成效</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rPr>
        <w:t>）加强基层党组织建设。全市交通运输综合行政执法改革后，我中心第一时间建立了新的基层党组织，并及时完成了改选。中心党建工作按照新时代党的建设总要求，坚持党的领导，强化思想理论教育，严肃党内政治生活，通过“三会一课”、组织生活会、谈心谈话、民主评议党员等制度载体，使党员干部牢固树立“四个意识”，坚定“四个自信”、做到“两个维护”。严格党员管理监督，结合落实中央“八项规定”，持续反对“四风”，党组织功能不断强化。（</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rPr>
        <w:t>）扎实开展党史学习教育。党史学习教育启动以来，按照市委、市交通运输局党组统一部署，我中心围绕学史明理、学史增信、学史崇德、学史力行和学党史、悟思想、办实事、开新局的要求目标，采取集体学习、个人自学、走访调研、学习研讨、讲党课、开展主题党日等多种形式，以“我为群众办实事”为有力抓手，不断推动党史学习教育走深走实，同时积极参加全市交通运输系统“学史力行 争当发展先行官”演讲比赛并获一等奖。（</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全面抓好党风廉政建设和反腐败工作。印发了《2021年党风廉政建设工作要点》《2021年全面从严治党三张清单》，认真落实党风廉政建设各项规定，层层签订党风廉政建设责任书，组织党员干部观看反腐倡廉警示教育片</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研究制定了精准监督三张责任清单，实现了重点岗位管理制度化，领导权力透明化。同时全面推开干部纪律作风整顿工作，针对突出问题，强化组织领导，明确整顿内容，形成长效机制，进一步严纪律、正风气、净生态，形成了改进作风、严明纪律的整体效应。</w:t>
      </w:r>
    </w:p>
    <w:p>
      <w:pPr>
        <w:rPr>
          <w:rFonts w:hint="eastAsia"/>
        </w:rPr>
      </w:pP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20" w:name="_Toc15396602"/>
      <w:bookmarkStart w:id="21" w:name="_Toc25499"/>
      <w:bookmarkStart w:id="22"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20"/>
      <w:bookmarkEnd w:id="21"/>
      <w:bookmarkEnd w:id="22"/>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3" w:name="_Toc7670"/>
      <w:bookmarkStart w:id="24" w:name="_Toc15377205"/>
      <w:bookmarkStart w:id="25" w:name="_Toc15396603"/>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23"/>
      <w:bookmarkEnd w:id="24"/>
      <w:bookmarkEnd w:id="25"/>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3857.15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4975.20万元</w:t>
      </w:r>
      <w:r>
        <w:rPr>
          <w:rFonts w:hint="eastAsia" w:ascii="仿宋" w:hAnsi="仿宋" w:eastAsia="仿宋"/>
          <w:color w:val="auto"/>
          <w:sz w:val="32"/>
          <w:szCs w:val="32"/>
          <w:highlight w:val="none"/>
        </w:rPr>
        <w:t>相比，收、支总计各减少</w:t>
      </w:r>
      <w:r>
        <w:rPr>
          <w:rFonts w:hint="eastAsia" w:ascii="仿宋" w:hAnsi="仿宋" w:eastAsia="仿宋"/>
          <w:color w:val="auto"/>
          <w:sz w:val="32"/>
          <w:szCs w:val="32"/>
          <w:highlight w:val="none"/>
          <w:lang w:val="en-US" w:eastAsia="zh-CN"/>
        </w:rPr>
        <w:t>1118.05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22.47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年初结转减少。</w:t>
      </w:r>
    </w:p>
    <w:p>
      <w:pPr>
        <w:spacing w:line="600" w:lineRule="exact"/>
        <w:ind w:firstLine="640" w:firstLineChars="200"/>
        <w:rPr>
          <w:rFonts w:ascii="仿宋" w:hAnsi="仿宋" w:eastAsia="仿宋"/>
          <w:color w:val="auto"/>
          <w:sz w:val="32"/>
          <w:szCs w:val="32"/>
          <w:highlight w:val="none"/>
        </w:rPr>
      </w:pPr>
      <w:r>
        <w:rPr>
          <w:rFonts w:hint="eastAsia" w:ascii="仿宋_GB2312" w:eastAsia="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33020</wp:posOffset>
            </wp:positionH>
            <wp:positionV relativeFrom="paragraph">
              <wp:posOffset>57785</wp:posOffset>
            </wp:positionV>
            <wp:extent cx="5080000" cy="3241675"/>
            <wp:effectExtent l="4445" t="4445" r="5715" b="1524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ind w:firstLine="640" w:firstLineChars="200"/>
        <w:jc w:val="left"/>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26" w:name="_Toc15396604"/>
      <w:bookmarkStart w:id="27" w:name="_Toc14031"/>
      <w:bookmarkStart w:id="28" w:name="_Toc15377206"/>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26"/>
      <w:bookmarkEnd w:id="27"/>
      <w:bookmarkEnd w:id="28"/>
    </w:p>
    <w:p>
      <w:pPr>
        <w:spacing w:line="600" w:lineRule="exact"/>
        <w:ind w:firstLine="640" w:firstLineChars="200"/>
        <w:outlineLvl w:val="1"/>
        <w:rPr>
          <w:rFonts w:ascii="仿宋" w:hAnsi="仿宋" w:eastAsia="仿宋"/>
          <w:b/>
          <w:color w:val="auto"/>
          <w:sz w:val="32"/>
          <w:szCs w:val="32"/>
          <w:highlight w:val="none"/>
        </w:rPr>
      </w:pPr>
      <w:bookmarkStart w:id="29" w:name="_Toc2015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1983.82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1343.73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67.73</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199.19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10.04</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440.90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22.22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9"/>
    </w:p>
    <w:p>
      <w:pPr>
        <w:pStyle w:val="2"/>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39370</wp:posOffset>
            </wp:positionH>
            <wp:positionV relativeFrom="paragraph">
              <wp:posOffset>449580</wp:posOffset>
            </wp:positionV>
            <wp:extent cx="5080000" cy="3482340"/>
            <wp:effectExtent l="4445" t="4445" r="5715" b="1841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30" w:name="_Toc15396605"/>
      <w:bookmarkStart w:id="31" w:name="_Toc28940"/>
      <w:bookmarkStart w:id="32" w:name="_Toc15377207"/>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30"/>
      <w:bookmarkEnd w:id="31"/>
      <w:bookmarkEnd w:id="32"/>
    </w:p>
    <w:p>
      <w:pPr>
        <w:spacing w:line="600" w:lineRule="exact"/>
        <w:ind w:firstLine="640" w:firstLineChars="200"/>
        <w:outlineLvl w:val="1"/>
        <w:rPr>
          <w:rFonts w:ascii="仿宋" w:hAnsi="仿宋" w:eastAsia="仿宋"/>
          <w:color w:val="auto"/>
          <w:sz w:val="32"/>
          <w:szCs w:val="32"/>
          <w:highlight w:val="none"/>
        </w:rPr>
      </w:pPr>
      <w:bookmarkStart w:id="33" w:name="_Toc2241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2393.50</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416.74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17.41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1976.76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82.59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3"/>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1312" behindDoc="0" locked="0" layoutInCell="1" allowOverlap="1">
            <wp:simplePos x="0" y="0"/>
            <wp:positionH relativeFrom="column">
              <wp:posOffset>124460</wp:posOffset>
            </wp:positionH>
            <wp:positionV relativeFrom="paragraph">
              <wp:posOffset>95885</wp:posOffset>
            </wp:positionV>
            <wp:extent cx="5080000" cy="3529330"/>
            <wp:effectExtent l="4445" t="4445" r="5715" b="1714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5"/>
          <w:rFonts w:ascii="黑体" w:hAnsi="黑体" w:eastAsia="黑体"/>
          <w:b w:val="0"/>
          <w:color w:val="auto"/>
          <w:highlight w:val="none"/>
        </w:rPr>
      </w:pPr>
      <w:bookmarkStart w:id="34" w:name="_Toc15377208"/>
      <w:bookmarkStart w:id="35" w:name="_Toc22633"/>
      <w:bookmarkStart w:id="36" w:name="_Toc15396606"/>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34"/>
      <w:bookmarkEnd w:id="35"/>
      <w:bookmarkEnd w:id="36"/>
    </w:p>
    <w:p>
      <w:pPr>
        <w:snapToGrid w:val="0"/>
        <w:spacing w:line="52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1921.95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1268.39万元</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653.56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51.53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cs="Times New Roman"/>
          <w:sz w:val="32"/>
          <w:szCs w:val="32"/>
          <w:lang w:val="en-US" w:eastAsia="zh-CN"/>
        </w:rPr>
        <w:t>2021年“高等级航道养护管理”项目883万元、“内河航道应急抢通补助”项目199.19万元为一次性项目。</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198120</wp:posOffset>
            </wp:positionH>
            <wp:positionV relativeFrom="paragraph">
              <wp:posOffset>118745</wp:posOffset>
            </wp:positionV>
            <wp:extent cx="5080000" cy="3810000"/>
            <wp:effectExtent l="4445" t="4445" r="5715" b="1079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25"/>
          <w:rFonts w:ascii="黑体" w:hAnsi="黑体" w:eastAsia="黑体"/>
          <w:b w:val="0"/>
          <w:color w:val="auto"/>
          <w:highlight w:val="none"/>
        </w:rPr>
      </w:pPr>
      <w:bookmarkStart w:id="37" w:name="_Toc15396607"/>
      <w:bookmarkStart w:id="38" w:name="_Toc8668"/>
      <w:bookmarkStart w:id="39"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37"/>
      <w:bookmarkEnd w:id="38"/>
      <w:bookmarkEnd w:id="39"/>
    </w:p>
    <w:p>
      <w:pPr>
        <w:spacing w:line="600" w:lineRule="exact"/>
        <w:ind w:firstLine="643" w:firstLineChars="200"/>
        <w:outlineLvl w:val="2"/>
        <w:rPr>
          <w:rFonts w:ascii="仿宋" w:hAnsi="仿宋" w:eastAsia="仿宋"/>
          <w:b/>
          <w:color w:val="auto"/>
          <w:sz w:val="32"/>
          <w:szCs w:val="32"/>
          <w:highlight w:val="none"/>
        </w:rPr>
      </w:pPr>
      <w:bookmarkStart w:id="40" w:name="_Toc15377210"/>
      <w:bookmarkStart w:id="41" w:name="_Toc26128"/>
      <w:r>
        <w:rPr>
          <w:rFonts w:hint="eastAsia" w:ascii="仿宋" w:hAnsi="仿宋" w:eastAsia="仿宋"/>
          <w:b/>
          <w:color w:val="auto"/>
          <w:sz w:val="32"/>
          <w:szCs w:val="32"/>
          <w:highlight w:val="none"/>
        </w:rPr>
        <w:t>（一）一般公共预算财政拨款支出决算总体情况</w:t>
      </w:r>
      <w:bookmarkEnd w:id="40"/>
      <w:bookmarkEnd w:id="41"/>
    </w:p>
    <w:p>
      <w:pPr>
        <w:spacing w:line="600" w:lineRule="exact"/>
        <w:ind w:firstLine="640" w:firstLineChars="200"/>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1608.61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67.21</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798.29万元</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810.32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101.51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cs="Times New Roman"/>
          <w:sz w:val="32"/>
          <w:szCs w:val="32"/>
          <w:lang w:val="en-US" w:eastAsia="zh-CN"/>
        </w:rPr>
        <w:t>2021年“高等级航道养护管理”项目为一次性项目。</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121285</wp:posOffset>
            </wp:positionH>
            <wp:positionV relativeFrom="paragraph">
              <wp:posOffset>189865</wp:posOffset>
            </wp:positionV>
            <wp:extent cx="5080000" cy="3810000"/>
            <wp:effectExtent l="4445" t="4445" r="5715" b="1079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42" w:name="_Toc27261"/>
      <w:bookmarkStart w:id="43" w:name="_Toc15377211"/>
      <w:r>
        <w:rPr>
          <w:rFonts w:hint="eastAsia" w:ascii="仿宋" w:hAnsi="仿宋" w:eastAsia="仿宋"/>
          <w:b/>
          <w:color w:val="auto"/>
          <w:sz w:val="32"/>
          <w:szCs w:val="32"/>
          <w:highlight w:val="none"/>
        </w:rPr>
        <w:t>（二）一般公共预算财政拨款支出决算结构情况</w:t>
      </w:r>
      <w:bookmarkEnd w:id="42"/>
      <w:bookmarkEnd w:id="43"/>
    </w:p>
    <w:p>
      <w:pPr>
        <w:spacing w:line="600" w:lineRule="exact"/>
        <w:ind w:firstLine="640"/>
        <w:rPr>
          <w:rFonts w:hint="eastAsia" w:ascii="仿宋" w:hAnsi="仿宋" w:eastAsia="仿宋"/>
          <w:b/>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1608.61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79.18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类</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支出</w:t>
      </w:r>
      <w:r>
        <w:rPr>
          <w:rFonts w:hint="eastAsia" w:ascii="仿宋" w:hAnsi="仿宋" w:eastAsia="仿宋"/>
          <w:b w:val="0"/>
          <w:bCs w:val="0"/>
          <w:color w:val="auto"/>
          <w:sz w:val="32"/>
          <w:szCs w:val="32"/>
          <w:highlight w:val="none"/>
          <w:lang w:val="en-US" w:eastAsia="zh-CN"/>
        </w:rPr>
        <w:t>11.73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交通运输（类）</w:t>
      </w:r>
      <w:r>
        <w:rPr>
          <w:rFonts w:hint="eastAsia" w:ascii="仿宋" w:hAnsi="仿宋" w:eastAsia="仿宋"/>
          <w:color w:val="auto"/>
          <w:sz w:val="32"/>
          <w:szCs w:val="32"/>
          <w:highlight w:val="none"/>
          <w:lang w:val="en-US" w:eastAsia="zh-CN"/>
        </w:rPr>
        <w:t>支出1492.40万元，占92.78%；</w:t>
      </w:r>
      <w:r>
        <w:rPr>
          <w:rFonts w:hint="eastAsia" w:ascii="仿宋" w:hAnsi="仿宋" w:eastAsia="仿宋"/>
          <w:b/>
          <w:bCs/>
          <w:color w:val="auto"/>
          <w:sz w:val="32"/>
          <w:szCs w:val="32"/>
          <w:highlight w:val="none"/>
        </w:rPr>
        <w:t>住房保障</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类</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lang w:val="en-US" w:eastAsia="zh-CN"/>
        </w:rPr>
        <w:t>支出25.29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250825</wp:posOffset>
            </wp:positionH>
            <wp:positionV relativeFrom="paragraph">
              <wp:posOffset>271145</wp:posOffset>
            </wp:positionV>
            <wp:extent cx="5080000" cy="3810000"/>
            <wp:effectExtent l="4445" t="4445" r="5715" b="1079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44" w:name="_Toc15377212"/>
      <w:bookmarkStart w:id="45" w:name="_Toc4617"/>
      <w:r>
        <w:rPr>
          <w:rFonts w:hint="eastAsia" w:ascii="仿宋" w:hAnsi="仿宋" w:eastAsia="仿宋"/>
          <w:b/>
          <w:color w:val="auto"/>
          <w:sz w:val="32"/>
          <w:szCs w:val="32"/>
          <w:highlight w:val="none"/>
        </w:rPr>
        <w:t>（三）一般公共预算财政拨款支出决算具体情况</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444"/>
      <w:bookmarkStart w:id="47" w:name="_Toc17690"/>
      <w:bookmarkStart w:id="48" w:name="_Toc15378460"/>
      <w:bookmarkStart w:id="49"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1608.61万元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96.11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46"/>
      <w:bookmarkEnd w:id="47"/>
      <w:bookmarkEnd w:id="48"/>
      <w:bookmarkEnd w:id="49"/>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1</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（类）行政事业单位养老支出（款）事业单位离退休（项）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37.64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2</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（类）行政事业单位养老支出（款）机关事业单位基本养老保险缴费支出（项）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22.86</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3</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（类）行政事业单位养老支出（款）机关事业单位职业年金缴费支出（项）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17.80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4</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社会保障和就业</w:t>
      </w:r>
      <w:r>
        <w:rPr>
          <w:rStyle w:val="14"/>
          <w:rFonts w:hint="eastAsia" w:ascii="仿宋" w:hAnsi="仿宋" w:eastAsia="仿宋"/>
          <w:bCs/>
          <w:color w:val="auto"/>
          <w:sz w:val="32"/>
          <w:szCs w:val="32"/>
          <w:highlight w:val="none"/>
          <w:lang w:eastAsia="zh-CN"/>
        </w:rPr>
        <w:t>支出</w:t>
      </w:r>
      <w:r>
        <w:rPr>
          <w:rStyle w:val="14"/>
          <w:rFonts w:hint="eastAsia" w:ascii="仿宋" w:hAnsi="仿宋" w:eastAsia="仿宋"/>
          <w:bCs/>
          <w:color w:val="auto"/>
          <w:sz w:val="32"/>
          <w:szCs w:val="32"/>
          <w:highlight w:val="none"/>
        </w:rPr>
        <w:t>（类）其他社会保障和就业支出（款）其他社会保障和就业支出（项）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0.88</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5</w:t>
      </w:r>
      <w:r>
        <w:rPr>
          <w:rStyle w:val="14"/>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4"/>
          <w:rFonts w:hint="eastAsia" w:ascii="仿宋" w:hAnsi="仿宋" w:eastAsia="仿宋"/>
          <w:bCs/>
          <w:color w:val="auto"/>
          <w:sz w:val="32"/>
          <w:szCs w:val="32"/>
          <w:highlight w:val="none"/>
        </w:rPr>
        <w:t>（类）行政事业单位医疗（款）事业单位医疗（项）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11.73</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6</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交通运输支出（类）公路水路运输（款）行政运行（项）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300.54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7</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交通运输支出（类）公路水路运输（款）一般行政管理事务（项）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43.90</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99.80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w:t>
      </w:r>
      <w:r>
        <w:rPr>
          <w:rStyle w:val="14"/>
          <w:rFonts w:hint="eastAsia" w:ascii="仿宋" w:hAnsi="仿宋" w:eastAsia="仿宋"/>
          <w:b w:val="0"/>
          <w:bCs/>
          <w:color w:val="auto"/>
          <w:sz w:val="32"/>
          <w:szCs w:val="32"/>
          <w:highlight w:val="none"/>
          <w:lang w:val="en-US" w:eastAsia="zh-CN"/>
        </w:rPr>
        <w:t>房屋维修维护项目结余0.09万元</w:t>
      </w:r>
      <w:r>
        <w:rPr>
          <w:rStyle w:val="14"/>
          <w:rFonts w:hint="eastAsia" w:ascii="仿宋" w:hAnsi="仿宋" w:eastAsia="仿宋"/>
          <w:b w:val="0"/>
          <w:bCs/>
          <w:color w:val="auto"/>
          <w:sz w:val="32"/>
          <w:szCs w:val="32"/>
          <w:highlight w:val="none"/>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hint="eastAsia" w:ascii="仿宋" w:hAnsi="仿宋" w:eastAsia="仿宋"/>
          <w:bCs/>
          <w:color w:val="auto"/>
          <w:sz w:val="32"/>
          <w:szCs w:val="32"/>
          <w:highlight w:val="none"/>
          <w:lang w:val="en-US" w:eastAsia="zh-CN"/>
        </w:rPr>
        <w:t>8</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交通运输支出（类）公路水路运输（款）航道维护（项）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891.54</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spacing w:line="600" w:lineRule="exact"/>
        <w:ind w:firstLine="643" w:firstLineChars="200"/>
        <w:rPr>
          <w:rFonts w:ascii="仿宋" w:hAnsi="仿宋" w:eastAsia="仿宋"/>
          <w:b/>
          <w:color w:val="auto"/>
          <w:sz w:val="32"/>
          <w:szCs w:val="32"/>
          <w:highlight w:val="none"/>
        </w:rPr>
      </w:pPr>
      <w:r>
        <w:rPr>
          <w:rStyle w:val="14"/>
          <w:rFonts w:hint="eastAsia" w:ascii="仿宋" w:hAnsi="仿宋" w:eastAsia="仿宋"/>
          <w:bCs/>
          <w:color w:val="auto"/>
          <w:sz w:val="32"/>
          <w:szCs w:val="32"/>
          <w:highlight w:val="none"/>
          <w:lang w:val="en-US" w:eastAsia="zh-CN"/>
        </w:rPr>
        <w:t>9</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交通运输支出（类）公路水路运输（款）其他公路水路运输支出（项）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256.42</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79.76</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，决算数小于预算数的主要原因是</w:t>
      </w:r>
      <w:r>
        <w:rPr>
          <w:rStyle w:val="14"/>
          <w:rFonts w:hint="eastAsia" w:ascii="仿宋" w:hAnsi="仿宋" w:eastAsia="仿宋"/>
          <w:b w:val="0"/>
          <w:bCs/>
          <w:color w:val="auto"/>
          <w:sz w:val="32"/>
          <w:szCs w:val="32"/>
          <w:highlight w:val="none"/>
          <w:lang w:val="en-US" w:eastAsia="zh-CN"/>
        </w:rPr>
        <w:t>信息化项目建设未完成，按照建设进度支付资金，65.06万元资金结转下年</w:t>
      </w:r>
      <w:r>
        <w:rPr>
          <w:rStyle w:val="14"/>
          <w:rFonts w:hint="eastAsia" w:ascii="仿宋" w:hAnsi="仿宋" w:eastAsia="仿宋"/>
          <w:b w:val="0"/>
          <w:bCs/>
          <w:color w:val="auto"/>
          <w:sz w:val="32"/>
          <w:szCs w:val="32"/>
          <w:highlight w:val="none"/>
        </w:rPr>
        <w:t>。</w:t>
      </w:r>
    </w:p>
    <w:p>
      <w:pPr>
        <w:spacing w:line="600" w:lineRule="exact"/>
        <w:ind w:firstLine="643" w:firstLineChars="200"/>
        <w:rPr>
          <w:rFonts w:hint="default" w:ascii="仿宋" w:hAnsi="仿宋" w:eastAsia="仿宋"/>
          <w:b/>
          <w:color w:val="auto"/>
          <w:sz w:val="32"/>
          <w:szCs w:val="32"/>
          <w:highlight w:val="none"/>
          <w:lang w:val="en-US" w:eastAsia="zh-CN"/>
        </w:rPr>
      </w:pPr>
      <w:r>
        <w:rPr>
          <w:rStyle w:val="14"/>
          <w:rFonts w:ascii="仿宋" w:hAnsi="仿宋" w:eastAsia="仿宋"/>
          <w:bCs/>
          <w:color w:val="auto"/>
          <w:sz w:val="32"/>
          <w:szCs w:val="32"/>
          <w:highlight w:val="none"/>
        </w:rPr>
        <w:t>1</w:t>
      </w:r>
      <w:r>
        <w:rPr>
          <w:rStyle w:val="14"/>
          <w:rFonts w:hint="eastAsia" w:ascii="仿宋" w:hAnsi="仿宋" w:eastAsia="仿宋"/>
          <w:bCs/>
          <w:color w:val="auto"/>
          <w:sz w:val="32"/>
          <w:szCs w:val="32"/>
          <w:highlight w:val="none"/>
          <w:lang w:val="en-US" w:eastAsia="zh-CN"/>
        </w:rPr>
        <w:t>0</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住房</w:t>
      </w:r>
      <w:r>
        <w:rPr>
          <w:rStyle w:val="14"/>
          <w:rFonts w:hint="eastAsia" w:ascii="仿宋" w:hAnsi="仿宋" w:eastAsia="仿宋"/>
          <w:bCs/>
          <w:color w:val="auto"/>
          <w:sz w:val="32"/>
          <w:szCs w:val="32"/>
          <w:highlight w:val="none"/>
          <w:lang w:val="en-US" w:eastAsia="zh-CN"/>
        </w:rPr>
        <w:t>保障</w:t>
      </w:r>
      <w:r>
        <w:rPr>
          <w:rStyle w:val="14"/>
          <w:rFonts w:hint="eastAsia" w:ascii="仿宋" w:hAnsi="仿宋" w:eastAsia="仿宋"/>
          <w:bCs/>
          <w:color w:val="auto"/>
          <w:sz w:val="32"/>
          <w:szCs w:val="32"/>
          <w:highlight w:val="none"/>
        </w:rPr>
        <w:t>支出（类）住房</w:t>
      </w:r>
      <w:r>
        <w:rPr>
          <w:rStyle w:val="14"/>
          <w:rFonts w:hint="eastAsia" w:ascii="仿宋" w:hAnsi="仿宋" w:eastAsia="仿宋"/>
          <w:bCs/>
          <w:color w:val="auto"/>
          <w:sz w:val="32"/>
          <w:szCs w:val="32"/>
          <w:highlight w:val="none"/>
          <w:lang w:val="en-US" w:eastAsia="zh-CN"/>
        </w:rPr>
        <w:t>改革</w:t>
      </w:r>
      <w:r>
        <w:rPr>
          <w:rStyle w:val="14"/>
          <w:rFonts w:hint="eastAsia" w:ascii="仿宋" w:hAnsi="仿宋" w:eastAsia="仿宋"/>
          <w:bCs/>
          <w:color w:val="auto"/>
          <w:sz w:val="32"/>
          <w:szCs w:val="32"/>
          <w:highlight w:val="none"/>
        </w:rPr>
        <w:t>支出（款）住房公积金（项）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支出决算为</w:t>
      </w:r>
      <w:r>
        <w:rPr>
          <w:rStyle w:val="14"/>
          <w:rFonts w:hint="eastAsia" w:ascii="仿宋" w:hAnsi="仿宋" w:eastAsia="仿宋"/>
          <w:b w:val="0"/>
          <w:bCs/>
          <w:color w:val="auto"/>
          <w:sz w:val="32"/>
          <w:szCs w:val="32"/>
          <w:highlight w:val="none"/>
          <w:lang w:val="en-US" w:eastAsia="zh-CN"/>
        </w:rPr>
        <w:t>25.29</w:t>
      </w:r>
      <w:r>
        <w:rPr>
          <w:rStyle w:val="14"/>
          <w:rFonts w:hint="eastAsia" w:ascii="仿宋" w:hAnsi="仿宋" w:eastAsia="仿宋"/>
          <w:b w:val="0"/>
          <w:bCs/>
          <w:color w:val="auto"/>
          <w:sz w:val="32"/>
          <w:szCs w:val="32"/>
          <w:highlight w:val="none"/>
        </w:rPr>
        <w:t>万元，完成预算</w:t>
      </w:r>
      <w:r>
        <w:rPr>
          <w:rStyle w:val="14"/>
          <w:rFonts w:hint="eastAsia" w:ascii="仿宋" w:hAnsi="仿宋" w:eastAsia="仿宋"/>
          <w:b w:val="0"/>
          <w:bCs/>
          <w:color w:val="auto"/>
          <w:sz w:val="32"/>
          <w:szCs w:val="32"/>
          <w:highlight w:val="none"/>
          <w:lang w:val="en-US" w:eastAsia="zh-CN"/>
        </w:rPr>
        <w:t>100</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，决算数等于预算数</w:t>
      </w:r>
      <w:r>
        <w:rPr>
          <w:rStyle w:val="14"/>
          <w:rFonts w:hint="eastAsia" w:ascii="仿宋" w:hAnsi="仿宋" w:eastAsia="仿宋"/>
          <w:b w:val="0"/>
          <w:bCs/>
          <w:color w:val="auto"/>
          <w:sz w:val="32"/>
          <w:szCs w:val="32"/>
          <w:highlight w:val="none"/>
          <w:lang w:val="en-US" w:eastAsia="zh-CN"/>
        </w:rPr>
        <w:t>。</w:t>
      </w:r>
    </w:p>
    <w:p>
      <w:pPr>
        <w:tabs>
          <w:tab w:val="right" w:pos="8306"/>
        </w:tabs>
        <w:spacing w:line="600" w:lineRule="exact"/>
        <w:ind w:firstLine="640"/>
        <w:outlineLvl w:val="1"/>
        <w:rPr>
          <w:rStyle w:val="25"/>
          <w:color w:val="auto"/>
          <w:highlight w:val="none"/>
        </w:rPr>
      </w:pPr>
      <w:bookmarkStart w:id="50" w:name="_Toc5692"/>
      <w:bookmarkStart w:id="51" w:name="_Toc15396608"/>
      <w:bookmarkStart w:id="52"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50"/>
      <w:bookmarkEnd w:id="51"/>
      <w:bookmarkEnd w:id="52"/>
      <w:r>
        <w:rPr>
          <w:rStyle w:val="25"/>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416.74</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368.67</w:t>
      </w:r>
      <w:r>
        <w:rPr>
          <w:rFonts w:hint="eastAsia" w:ascii="仿宋" w:hAnsi="仿宋" w:eastAsia="仿宋"/>
          <w:color w:val="auto"/>
          <w:sz w:val="32"/>
          <w:szCs w:val="32"/>
          <w:highlight w:val="none"/>
        </w:rPr>
        <w:t>万元，主要包括：基本工资、津贴补贴、奖金、机关事业单位基本养老保险缴费、职业年金缴费、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eastAsia="zh-CN"/>
        </w:rPr>
        <w:t>住房公积金、</w:t>
      </w:r>
      <w:r>
        <w:rPr>
          <w:rFonts w:hint="eastAsia" w:ascii="仿宋" w:hAnsi="仿宋" w:eastAsia="仿宋"/>
          <w:color w:val="auto"/>
          <w:sz w:val="32"/>
          <w:szCs w:val="32"/>
          <w:highlight w:val="none"/>
        </w:rPr>
        <w:t>其他工资福利支出、离休费、生活补助、奖励金等。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48.07</w:t>
      </w:r>
      <w:r>
        <w:rPr>
          <w:rFonts w:hint="eastAsia" w:ascii="仿宋" w:hAnsi="仿宋" w:eastAsia="仿宋"/>
          <w:color w:val="auto"/>
          <w:sz w:val="32"/>
          <w:szCs w:val="32"/>
          <w:highlight w:val="none"/>
        </w:rPr>
        <w:t>万元，主要包括：办公费、咨询费、水费、电费、物业管理费、差旅费、维修（护）费、公务接待费、劳务费、工会经费、福利费、公务用车运行维护费、其他交通费、其他商品和服务支出等。</w:t>
      </w:r>
    </w:p>
    <w:p>
      <w:pPr>
        <w:spacing w:line="600" w:lineRule="exact"/>
        <w:ind w:firstLine="640"/>
        <w:outlineLvl w:val="1"/>
        <w:rPr>
          <w:rStyle w:val="25"/>
          <w:rFonts w:ascii="黑体" w:hAnsi="黑体" w:eastAsia="黑体"/>
          <w:b w:val="0"/>
          <w:color w:val="auto"/>
          <w:highlight w:val="none"/>
        </w:rPr>
      </w:pPr>
      <w:bookmarkStart w:id="53" w:name="_Toc15377215"/>
      <w:bookmarkStart w:id="54" w:name="_Toc28033"/>
      <w:bookmarkStart w:id="55" w:name="_Toc15396609"/>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53"/>
      <w:bookmarkEnd w:id="54"/>
      <w:bookmarkEnd w:id="55"/>
    </w:p>
    <w:p>
      <w:pPr>
        <w:spacing w:line="600" w:lineRule="exact"/>
        <w:ind w:firstLine="640"/>
        <w:outlineLvl w:val="2"/>
        <w:rPr>
          <w:rFonts w:ascii="仿宋" w:hAnsi="仿宋" w:eastAsia="仿宋"/>
          <w:b/>
          <w:color w:val="auto"/>
          <w:sz w:val="32"/>
          <w:szCs w:val="32"/>
          <w:highlight w:val="none"/>
        </w:rPr>
      </w:pPr>
      <w:bookmarkStart w:id="56" w:name="_Toc15377216"/>
      <w:bookmarkStart w:id="57" w:name="_Toc10911"/>
      <w:r>
        <w:rPr>
          <w:rFonts w:hint="eastAsia" w:ascii="仿宋" w:hAnsi="仿宋" w:eastAsia="仿宋"/>
          <w:b/>
          <w:color w:val="auto"/>
          <w:sz w:val="32"/>
          <w:szCs w:val="32"/>
          <w:highlight w:val="none"/>
        </w:rPr>
        <w:t>（一）“三公”经费财政拨款支出决算总体情况说明</w:t>
      </w:r>
      <w:bookmarkEnd w:id="56"/>
      <w:bookmarkEnd w:id="57"/>
    </w:p>
    <w:p>
      <w:pPr>
        <w:spacing w:line="600" w:lineRule="exact"/>
        <w:ind w:firstLine="64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3.67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29.36</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val="en-US" w:eastAsia="zh-CN"/>
        </w:rPr>
        <w:t>机构改革后单位职能划出、车辆减少</w:t>
      </w:r>
      <w:r>
        <w:rPr>
          <w:rFonts w:hint="eastAsia" w:ascii="仿宋" w:hAnsi="仿宋" w:eastAsia="仿宋"/>
          <w:color w:val="auto"/>
          <w:sz w:val="32"/>
          <w:szCs w:val="32"/>
          <w:highlight w:val="none"/>
        </w:rPr>
        <w:t>。</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w:t>
      </w:r>
      <w:r>
        <w:rPr>
          <w:rFonts w:hint="eastAsia" w:ascii="仿宋" w:hAnsi="仿宋" w:eastAsia="仿宋"/>
          <w:color w:val="auto"/>
          <w:sz w:val="32"/>
          <w:szCs w:val="32"/>
          <w:highlight w:val="none"/>
          <w:lang w:eastAsia="zh-CN"/>
        </w:rPr>
        <w:t>较</w:t>
      </w:r>
      <w:r>
        <w:rPr>
          <w:rFonts w:hint="eastAsia" w:ascii="仿宋" w:hAnsi="仿宋" w:eastAsia="仿宋"/>
          <w:color w:val="auto"/>
          <w:sz w:val="32"/>
          <w:szCs w:val="32"/>
          <w:highlight w:val="none"/>
          <w:lang w:val="en-US" w:eastAsia="zh-CN"/>
        </w:rPr>
        <w:t>2020年减少6.66万元，下降64.47%，主要原因是机构改革后车辆划出，公务用车运行维护费支出减少。</w:t>
      </w:r>
    </w:p>
    <w:p>
      <w:pPr>
        <w:spacing w:line="600" w:lineRule="exact"/>
        <w:ind w:firstLine="640"/>
        <w:outlineLvl w:val="2"/>
        <w:rPr>
          <w:rFonts w:ascii="仿宋" w:hAnsi="仿宋" w:eastAsia="仿宋"/>
          <w:b/>
          <w:color w:val="auto"/>
          <w:sz w:val="32"/>
          <w:szCs w:val="32"/>
          <w:highlight w:val="none"/>
        </w:rPr>
      </w:pPr>
      <w:bookmarkStart w:id="58" w:name="_Toc434"/>
      <w:bookmarkStart w:id="59" w:name="_Toc15377217"/>
      <w:r>
        <w:rPr>
          <w:rFonts w:hint="eastAsia" w:ascii="仿宋" w:hAnsi="仿宋" w:eastAsia="仿宋"/>
          <w:b/>
          <w:color w:val="auto"/>
          <w:sz w:val="32"/>
          <w:szCs w:val="32"/>
          <w:highlight w:val="none"/>
        </w:rPr>
        <w:t>（二）“三公”经费财政拨款支出决算具体情况说明</w:t>
      </w:r>
      <w:bookmarkEnd w:id="58"/>
      <w:bookmarkEnd w:id="5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2.42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65.94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34.06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pPr>
      <w:r>
        <w:rPr>
          <w:rFonts w:hint="eastAsia" w:eastAsia="仿宋"/>
          <w:lang w:eastAsia="zh-CN"/>
        </w:rPr>
        <w:drawing>
          <wp:inline distT="0" distB="0" distL="114300" distR="114300">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hint="eastAsia" w:eastAsia="仿宋_GB2312"/>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w:t>
      </w:r>
      <w:r>
        <w:rPr>
          <w:rFonts w:hint="eastAsia" w:ascii="仿宋_GB2312" w:eastAsia="仿宋_GB2312"/>
          <w:b/>
          <w:color w:val="auto"/>
          <w:sz w:val="32"/>
          <w:szCs w:val="32"/>
          <w:highlight w:val="none"/>
          <w:lang w:eastAsia="zh-CN"/>
        </w:rPr>
        <w:t>（境）</w:t>
      </w:r>
      <w:r>
        <w:rPr>
          <w:rFonts w:hint="eastAsia" w:ascii="仿宋_GB2312" w:eastAsia="仿宋_GB2312"/>
          <w:b/>
          <w:color w:val="auto"/>
          <w:sz w:val="32"/>
          <w:szCs w:val="32"/>
          <w:highlight w:val="none"/>
        </w:rPr>
        <w:t>经费</w:t>
      </w:r>
      <w:r>
        <w:rPr>
          <w:rFonts w:hint="eastAsia" w:ascii="仿宋_GB2312" w:eastAsia="仿宋_GB2312"/>
          <w:b/>
          <w:color w:val="auto"/>
          <w:sz w:val="32"/>
          <w:szCs w:val="32"/>
          <w:highlight w:val="none"/>
          <w:lang w:val="en-US" w:eastAsia="zh-CN"/>
        </w:rPr>
        <w:t>支出</w:t>
      </w:r>
      <w:r>
        <w:rPr>
          <w:rFonts w:hint="eastAsia" w:ascii="仿宋_GB2312" w:eastAsia="仿宋_GB2312"/>
          <w:b w:val="0"/>
          <w:bCs/>
          <w:color w:val="auto"/>
          <w:sz w:val="32"/>
          <w:szCs w:val="32"/>
          <w:highlight w:val="none"/>
        </w:rPr>
        <w:t>0万元</w:t>
      </w:r>
      <w:r>
        <w:rPr>
          <w:rFonts w:hint="eastAsia" w:ascii="仿宋_GB2312" w:eastAsia="仿宋_GB2312"/>
          <w:b/>
          <w:color w:val="auto"/>
          <w:sz w:val="32"/>
          <w:szCs w:val="32"/>
          <w:highlight w:val="none"/>
        </w:rPr>
        <w:t>，</w:t>
      </w:r>
      <w:r>
        <w:rPr>
          <w:rFonts w:hint="eastAsia" w:ascii="仿宋_GB2312" w:eastAsia="仿宋_GB2312"/>
          <w:b w:val="0"/>
          <w:bCs/>
          <w:color w:val="auto"/>
          <w:sz w:val="32"/>
          <w:szCs w:val="32"/>
          <w:highlight w:val="none"/>
          <w:lang w:eastAsia="zh-CN"/>
        </w:rPr>
        <w:t>当年未安排因公出国（境）经费预算，支出决算较上年无变化。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2.42</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22</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7.31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75.13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机构改革车辆划出</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val="en-US" w:eastAsia="zh-CN"/>
        </w:rPr>
        <w:t>其中轿车1辆</w:t>
      </w:r>
      <w:r>
        <w:rPr>
          <w:rFonts w:hint="eastAsia" w:ascii="仿宋_GB2312" w:eastAsia="仿宋_GB2312"/>
          <w:color w:val="auto"/>
          <w:sz w:val="32"/>
          <w:szCs w:val="32"/>
          <w:highlight w:val="none"/>
        </w:rPr>
        <w:t>。</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2.42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日常公务出行</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1.25</w:t>
      </w:r>
      <w:r>
        <w:rPr>
          <w:rFonts w:hint="eastAsia" w:ascii="仿宋_GB2312" w:eastAsia="仿宋_GB2312"/>
          <w:color w:val="auto"/>
          <w:sz w:val="32"/>
          <w:szCs w:val="32"/>
          <w:highlight w:val="none"/>
        </w:rPr>
        <w:t>万元，</w:t>
      </w:r>
      <w:r>
        <w:rPr>
          <w:rStyle w:val="14"/>
          <w:rFonts w:hint="eastAsia" w:ascii="仿宋" w:hAnsi="仿宋" w:eastAsia="仿宋"/>
          <w:b w:val="0"/>
          <w:bCs/>
          <w:color w:val="auto"/>
          <w:sz w:val="32"/>
          <w:szCs w:val="32"/>
          <w:highlight w:val="none"/>
        </w:rPr>
        <w:t>完成预算</w:t>
      </w:r>
      <w:r>
        <w:rPr>
          <w:rStyle w:val="14"/>
          <w:rFonts w:hint="eastAsia" w:ascii="仿宋" w:hAnsi="仿宋" w:eastAsia="仿宋"/>
          <w:b w:val="0"/>
          <w:bCs/>
          <w:color w:val="auto"/>
          <w:sz w:val="32"/>
          <w:szCs w:val="32"/>
          <w:highlight w:val="none"/>
          <w:lang w:val="en-US" w:eastAsia="zh-CN"/>
        </w:rPr>
        <w:t>83.33</w:t>
      </w:r>
      <w:r>
        <w:rPr>
          <w:rStyle w:val="14"/>
          <w:rFonts w:ascii="仿宋" w:hAnsi="仿宋" w:eastAsia="仿宋"/>
          <w:b w:val="0"/>
          <w:bCs/>
          <w:color w:val="auto"/>
          <w:sz w:val="32"/>
          <w:szCs w:val="32"/>
          <w:highlight w:val="none"/>
        </w:rPr>
        <w:t>%</w:t>
      </w:r>
      <w:r>
        <w:rPr>
          <w:rStyle w:val="14"/>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0.6万元</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0.65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108.33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疫情缓和，接待人次增多</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1.25</w:t>
      </w:r>
      <w:r>
        <w:rPr>
          <w:rFonts w:hint="eastAsia" w:ascii="仿宋_GB2312" w:eastAsia="仿宋_GB2312"/>
          <w:color w:val="auto"/>
          <w:sz w:val="32"/>
          <w:szCs w:val="32"/>
          <w:highlight w:val="none"/>
        </w:rPr>
        <w:t>万元，主要用于执行公务用餐费等。国内公务接待</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108</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1.25</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省航务局来广安全督查，支出0.07万元。省交通运输厅安全检查，支出0.04万元。南充市航务管理局考察学习水上应急救助项目建设，支出0.15万元。部水运局调研嘉陵江通航建筑物联合调度，支出0.33万元。省交通厅调研水路交通情况，支出0.20万元。乐山市港航发展中心来广交流，支出0.15万元。省海事局来广调研海事情况，支出0.18万元。泸州市交通运输局来广交流，支出0.13万元。</w:t>
      </w:r>
    </w:p>
    <w:p>
      <w:pPr>
        <w:spacing w:line="600" w:lineRule="exact"/>
        <w:ind w:firstLine="643" w:firstLineChars="20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Style w:val="25"/>
          <w:rFonts w:hint="default" w:ascii="黑体" w:hAnsi="黑体" w:eastAsia="黑体"/>
          <w:color w:val="auto"/>
          <w:highlight w:val="none"/>
          <w:lang w:val="en-US" w:eastAsia="zh-CN"/>
        </w:rPr>
      </w:pPr>
      <w:bookmarkStart w:id="60" w:name="_Toc15396610"/>
      <w:bookmarkStart w:id="61" w:name="_Toc2981"/>
      <w:bookmarkStart w:id="62" w:name="_Toc15377218"/>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60"/>
      <w:bookmarkEnd w:id="61"/>
      <w:bookmarkEnd w:id="62"/>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248.19</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5"/>
          <w:rFonts w:ascii="黑体" w:hAnsi="黑体" w:eastAsia="黑体"/>
          <w:b w:val="0"/>
          <w:color w:val="auto"/>
          <w:highlight w:val="none"/>
        </w:rPr>
      </w:pPr>
      <w:bookmarkStart w:id="63" w:name="_Toc15377219"/>
      <w:bookmarkStart w:id="64" w:name="_Toc15396611"/>
      <w:bookmarkStart w:id="65" w:name="_Toc20727"/>
      <w:r>
        <w:rPr>
          <w:rStyle w:val="25"/>
          <w:rFonts w:hint="eastAsia" w:ascii="黑体" w:hAnsi="黑体" w:eastAsia="黑体"/>
          <w:b w:val="0"/>
          <w:color w:val="auto"/>
          <w:highlight w:val="none"/>
        </w:rPr>
        <w:t>国有资本经营预算支出决算情况说明</w:t>
      </w:r>
      <w:bookmarkEnd w:id="63"/>
      <w:bookmarkEnd w:id="64"/>
      <w:bookmarkEnd w:id="65"/>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5"/>
          <w:rFonts w:hint="eastAsia" w:ascii="黑体" w:hAnsi="黑体" w:eastAsia="黑体"/>
          <w:b w:val="0"/>
          <w:color w:val="auto"/>
          <w:highlight w:val="none"/>
        </w:rPr>
      </w:pPr>
      <w:bookmarkStart w:id="66" w:name="_Toc25969"/>
      <w:bookmarkStart w:id="67" w:name="_Toc15377221"/>
      <w:bookmarkStart w:id="68" w:name="_Toc15396612"/>
      <w:r>
        <w:rPr>
          <w:rStyle w:val="25"/>
          <w:rFonts w:hint="eastAsia" w:ascii="黑体" w:hAnsi="黑体" w:eastAsia="黑体"/>
          <w:b w:val="0"/>
          <w:color w:val="auto"/>
          <w:highlight w:val="none"/>
          <w:lang w:val="en-US" w:eastAsia="zh-CN"/>
        </w:rPr>
        <w:t>预算绩效管理情况</w:t>
      </w:r>
      <w:bookmarkEnd w:id="66"/>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根据预算绩效管理要求，本部门在2021年度预算编制阶段，组织对船舶检验与修造管理专项工作经费项目（项目名称）等</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个项目编制了绩效目标，预算执行过程中，选取8个项目开展绩效监控，年终执行完毕后，对8个项目开展了绩效自评。（有追加项目）同时，本部门对2021年部门整体开展绩效自评，</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5"/>
          <w:rFonts w:hint="eastAsia" w:ascii="黑体" w:hAnsi="黑体" w:eastAsia="黑体"/>
          <w:b w:val="0"/>
          <w:color w:val="auto"/>
          <w:highlight w:val="none"/>
        </w:rPr>
      </w:pPr>
      <w:bookmarkStart w:id="69" w:name="_Toc4323"/>
      <w:r>
        <w:rPr>
          <w:rStyle w:val="25"/>
          <w:rFonts w:hint="eastAsia" w:ascii="黑体" w:hAnsi="黑体" w:eastAsia="黑体"/>
          <w:b w:val="0"/>
          <w:color w:val="auto"/>
          <w:highlight w:val="none"/>
        </w:rPr>
        <w:t>其他重要事项的情况说明</w:t>
      </w:r>
      <w:bookmarkEnd w:id="67"/>
      <w:bookmarkEnd w:id="68"/>
      <w:bookmarkEnd w:id="69"/>
    </w:p>
    <w:p>
      <w:pPr>
        <w:spacing w:line="600" w:lineRule="exact"/>
        <w:ind w:firstLine="643" w:firstLineChars="200"/>
        <w:outlineLvl w:val="2"/>
        <w:rPr>
          <w:rFonts w:ascii="仿宋" w:hAnsi="仿宋" w:eastAsia="仿宋"/>
          <w:color w:val="auto"/>
          <w:sz w:val="32"/>
          <w:szCs w:val="32"/>
          <w:highlight w:val="none"/>
        </w:rPr>
      </w:pPr>
      <w:bookmarkStart w:id="70" w:name="_Toc15377222"/>
      <w:bookmarkStart w:id="71" w:name="_Toc20827"/>
      <w:r>
        <w:rPr>
          <w:rFonts w:hint="eastAsia" w:ascii="仿宋" w:hAnsi="仿宋" w:eastAsia="仿宋"/>
          <w:b/>
          <w:color w:val="auto"/>
          <w:sz w:val="32"/>
          <w:szCs w:val="32"/>
          <w:highlight w:val="none"/>
        </w:rPr>
        <w:t>（一）机关运行经费支出情况</w:t>
      </w:r>
      <w:bookmarkEnd w:id="70"/>
      <w:bookmarkEnd w:id="71"/>
    </w:p>
    <w:p>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广元市港航发展中心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48.07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67.81万元</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19.74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29.11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机构改革人员减少，持续做好过紧日子政策要求。</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2" w:name="_Toc15377223"/>
      <w:bookmarkStart w:id="73" w:name="_Toc3897"/>
      <w:r>
        <w:rPr>
          <w:rFonts w:hint="eastAsia" w:ascii="仿宋" w:hAnsi="仿宋" w:eastAsia="仿宋"/>
          <w:b/>
          <w:color w:val="auto"/>
          <w:sz w:val="32"/>
          <w:szCs w:val="32"/>
          <w:highlight w:val="none"/>
        </w:rPr>
        <w:t>（二）政府采购支出情况</w:t>
      </w:r>
      <w:bookmarkEnd w:id="72"/>
      <w:bookmarkEnd w:id="7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广元市港航发展中心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39.55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39.55</w:t>
      </w:r>
      <w:r>
        <w:rPr>
          <w:rFonts w:hint="eastAsia" w:ascii="仿宋_GB2312" w:eastAsia="仿宋_GB2312"/>
          <w:color w:val="auto"/>
          <w:sz w:val="32"/>
          <w:szCs w:val="32"/>
          <w:highlight w:val="none"/>
        </w:rPr>
        <w:t>万元。主要用于水上交通安全监测综合信息系统计算机存储资源采购。授予中小企业合同金额</w:t>
      </w:r>
      <w:r>
        <w:rPr>
          <w:rFonts w:hint="eastAsia" w:ascii="仿宋_GB2312" w:eastAsia="仿宋_GB2312"/>
          <w:color w:val="auto"/>
          <w:sz w:val="32"/>
          <w:szCs w:val="32"/>
          <w:highlight w:val="none"/>
          <w:lang w:val="en-US" w:eastAsia="zh-CN"/>
        </w:rPr>
        <w:t>39.55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39.55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4" w:name="_Toc16574"/>
      <w:bookmarkStart w:id="75" w:name="_Toc15377224"/>
      <w:r>
        <w:rPr>
          <w:rFonts w:hint="eastAsia" w:ascii="仿宋" w:hAnsi="仿宋" w:eastAsia="仿宋"/>
          <w:b/>
          <w:color w:val="auto"/>
          <w:sz w:val="32"/>
          <w:szCs w:val="32"/>
          <w:highlight w:val="none"/>
        </w:rPr>
        <w:t>（三）国有资产占有使用情况</w:t>
      </w:r>
      <w:bookmarkEnd w:id="74"/>
      <w:bookmarkEnd w:id="75"/>
    </w:p>
    <w:p>
      <w:pPr>
        <w:autoSpaceDE w:val="0"/>
        <w:autoSpaceDN w:val="0"/>
        <w:adjustRightInd w:val="0"/>
        <w:spacing w:line="600" w:lineRule="exact"/>
        <w:ind w:firstLine="640" w:firstLineChars="200"/>
        <w:jc w:val="left"/>
        <w:rPr>
          <w:highlight w:val="yellow"/>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广元市港航发展中心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保障出差检查工作及应急抢险。</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76" w:name="_Toc15377225"/>
      <w:bookmarkStart w:id="77" w:name="_Toc28673"/>
      <w:bookmarkStart w:id="78" w:name="_Toc15396613"/>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76"/>
      <w:bookmarkEnd w:id="77"/>
      <w:bookmarkEnd w:id="78"/>
    </w:p>
    <w:p>
      <w:pPr>
        <w:spacing w:line="600" w:lineRule="exact"/>
        <w:jc w:val="left"/>
        <w:rPr>
          <w:rFonts w:ascii="宋体"/>
          <w:b/>
          <w:color w:val="auto"/>
          <w:sz w:val="44"/>
          <w:szCs w:val="4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eastAsia="仿宋_GB2312"/>
          <w:lang w:val="en-US" w:eastAsia="zh-CN"/>
        </w:rPr>
      </w:pPr>
      <w:bookmarkStart w:id="79" w:name="_Toc29271"/>
      <w:bookmarkStart w:id="80" w:name="_Toc23756"/>
      <w:bookmarkStart w:id="81" w:name="_Toc15396614"/>
      <w:bookmarkStart w:id="82" w:name="_Toc15377226"/>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财政拨款收入：指单位从同级财政部门取得的财政预算资金。</w:t>
      </w:r>
      <w:bookmarkEnd w:id="7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eastAsia="仿宋_GB2312"/>
          <w:color w:val="auto"/>
          <w:sz w:val="32"/>
          <w:szCs w:val="32"/>
          <w:highlight w:val="none"/>
        </w:rPr>
      </w:pPr>
      <w:bookmarkStart w:id="83" w:name="_Toc1072"/>
      <w:r>
        <w:rPr>
          <w:rFonts w:hint="eastAsia" w:ascii="仿宋_GB2312" w:eastAsia="仿宋_GB2312"/>
          <w:color w:val="auto"/>
          <w:sz w:val="32"/>
          <w:szCs w:val="32"/>
          <w:highlight w:val="none"/>
        </w:rPr>
        <w:t>2.其他收入：指单位取得的除上述收入以外的各项收入</w:t>
      </w:r>
      <w:r>
        <w:rPr>
          <w:rFonts w:hint="eastAsia" w:ascii="仿宋_GB2312" w:eastAsia="仿宋_GB2312"/>
          <w:color w:val="auto"/>
          <w:sz w:val="32"/>
          <w:szCs w:val="32"/>
          <w:highlight w:val="none"/>
          <w:lang w:val="en-US" w:eastAsia="zh-CN"/>
        </w:rPr>
        <w:t>,主要是交通运输局拨水毁资金</w:t>
      </w:r>
      <w:r>
        <w:rPr>
          <w:rFonts w:hint="eastAsia" w:ascii="仿宋_GB2312" w:eastAsia="仿宋_GB2312"/>
          <w:color w:val="auto"/>
          <w:sz w:val="32"/>
          <w:szCs w:val="32"/>
          <w:highlight w:val="none"/>
        </w:rPr>
        <w:t>。</w:t>
      </w:r>
      <w:bookmarkEnd w:id="8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eastAsia="仿宋_GB2312"/>
          <w:color w:val="auto"/>
          <w:sz w:val="32"/>
          <w:szCs w:val="32"/>
          <w:highlight w:val="none"/>
        </w:rPr>
      </w:pPr>
      <w:bookmarkStart w:id="84" w:name="_Toc17288"/>
      <w:r>
        <w:rPr>
          <w:rFonts w:hint="eastAsia" w:ascii="仿宋_GB2312" w:eastAsia="仿宋_GB2312"/>
          <w:color w:val="auto"/>
          <w:sz w:val="32"/>
          <w:szCs w:val="32"/>
          <w:highlight w:val="none"/>
        </w:rPr>
        <w:t>3.年初结转和结余：指以前年度尚未完成、结转到本年按有关规定继续使用的资金。</w:t>
      </w:r>
      <w:bookmarkEnd w:id="84"/>
      <w:r>
        <w:rPr>
          <w:rFonts w:hint="eastAsia" w:ascii="仿宋_GB2312" w:eastAsia="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eastAsia="仿宋_GB2312"/>
          <w:color w:val="auto"/>
          <w:sz w:val="32"/>
          <w:szCs w:val="32"/>
          <w:highlight w:val="none"/>
        </w:rPr>
      </w:pPr>
      <w:bookmarkStart w:id="85" w:name="_Toc17995"/>
      <w:r>
        <w:rPr>
          <w:rFonts w:hint="eastAsia" w:ascii="仿宋_GB2312" w:eastAsia="仿宋_GB2312"/>
          <w:color w:val="auto"/>
          <w:sz w:val="32"/>
          <w:szCs w:val="32"/>
          <w:highlight w:val="none"/>
        </w:rPr>
        <w:t>4.年末结转和结余：指单位按有关规定结转到下年或以后年度继续使用的资金。</w:t>
      </w:r>
      <w:bookmarkEnd w:id="85"/>
      <w:r>
        <w:rPr>
          <w:rFonts w:hint="eastAsia" w:ascii="仿宋_GB2312" w:eastAsia="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86" w:name="_Toc23884"/>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（类）行政事业单位养老支出（款）事业单位离退休（项）：反映事业单位开支的离退休经费。</w:t>
      </w:r>
      <w:bookmarkEnd w:id="8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lang w:val="en-US" w:eastAsia="zh-CN"/>
        </w:rPr>
      </w:pPr>
      <w:bookmarkStart w:id="87" w:name="_Toc9513"/>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（类）行政事业单位养老支出（款）机关事业单位基本养老保险缴费支出（项）：反映</w:t>
      </w:r>
      <w:r>
        <w:rPr>
          <w:rFonts w:hint="eastAsia" w:ascii="仿宋_GB2312" w:eastAsia="仿宋_GB2312"/>
          <w:color w:val="auto"/>
          <w:sz w:val="32"/>
          <w:szCs w:val="32"/>
          <w:highlight w:val="none"/>
          <w:lang w:eastAsia="zh-CN"/>
        </w:rPr>
        <w:t>机关事业单位实施养老保险制度由单位实际缴纳的基本养老保险费支出</w:t>
      </w:r>
      <w:r>
        <w:rPr>
          <w:rFonts w:hint="eastAsia" w:ascii="仿宋_GB2312" w:eastAsia="仿宋_GB2312"/>
          <w:color w:val="auto"/>
          <w:sz w:val="32"/>
          <w:szCs w:val="32"/>
          <w:highlight w:val="none"/>
        </w:rPr>
        <w:t>。</w:t>
      </w:r>
      <w:bookmarkEnd w:id="8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88" w:name="_Toc65"/>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（类）行政事业单位养老支出（款）机关事业单位职业年金缴费支出（项）：反映</w:t>
      </w:r>
      <w:r>
        <w:rPr>
          <w:rFonts w:hint="eastAsia" w:ascii="仿宋_GB2312" w:eastAsia="仿宋_GB2312"/>
          <w:color w:val="auto"/>
          <w:sz w:val="32"/>
          <w:szCs w:val="32"/>
          <w:highlight w:val="none"/>
          <w:lang w:eastAsia="zh-CN"/>
        </w:rPr>
        <w:t>行政事业单位实施养老保险制度由单位实际缴纳的职业年金支出</w:t>
      </w:r>
      <w:r>
        <w:rPr>
          <w:rFonts w:hint="eastAsia" w:ascii="仿宋_GB2312" w:eastAsia="仿宋_GB2312"/>
          <w:color w:val="auto"/>
          <w:sz w:val="32"/>
          <w:szCs w:val="32"/>
          <w:highlight w:val="none"/>
        </w:rPr>
        <w:t>。</w:t>
      </w:r>
      <w:bookmarkEnd w:id="8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89" w:name="_Toc30753"/>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（类）其他社会保障和就业支出（款）其他社会保障和就业支出（项）：反映其他用于社会保障和就业方面的支出。</w:t>
      </w:r>
      <w:bookmarkEnd w:id="8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0" w:name="_Toc24898"/>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卫生健康支出（类）行政事业单位医疗（款）事业单位医疗（项）：反映财政部门集中安排的事业单位基本医疗保险经费，未参加医疗保险的事业单位的公费医疗经费，按国家规定享受离休人员待遇人员的医疗经费。</w:t>
      </w:r>
      <w:bookmarkEnd w:id="9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1" w:name="_Toc22938"/>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.交通运输支出（类）公路水路运输（款）行政运行（项）：反映行政单位（包括实行公务员管理的事业单位）的基本支出。</w:t>
      </w:r>
      <w:bookmarkEnd w:id="9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2" w:name="_Toc17927"/>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.交通运输支出（类）公路水路运输（款）一般行政管理事务（项）：反映行政单位（包括实行公务员管理的事业单位）未单独设置项级科目的其他项目支出。</w:t>
      </w:r>
      <w:bookmarkEnd w:id="9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3" w:name="_Toc1249"/>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.交通运输支出（类）公路水路运输（款）航道维护（项）：指内河航道整治、维护方面的支出。</w:t>
      </w:r>
      <w:bookmarkEnd w:id="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4" w:name="_Toc9316"/>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.交通运输支出（类）公路水路运输（款）其他公路水路运输支出（项）：反映其他用于公路水路运输方面的支出。</w:t>
      </w:r>
      <w:bookmarkEnd w:id="94"/>
    </w:p>
    <w:p>
      <w:pPr>
        <w:pStyle w:val="2"/>
        <w:ind w:firstLine="640" w:firstLineChars="200"/>
        <w:rPr>
          <w:rFonts w:hint="eastAsia" w:eastAsia="仿宋_GB2312"/>
          <w:lang w:eastAsia="zh-CN"/>
        </w:rPr>
      </w:pPr>
      <w:r>
        <w:rPr>
          <w:rFonts w:hint="eastAsia"/>
          <w:color w:val="auto"/>
          <w:sz w:val="32"/>
          <w:szCs w:val="32"/>
          <w:highlight w:val="none"/>
          <w:lang w:val="en-US" w:eastAsia="zh-CN"/>
        </w:rPr>
        <w:t>14.</w:t>
      </w:r>
      <w:r>
        <w:rPr>
          <w:rFonts w:hint="eastAsia" w:ascii="仿宋_GB2312" w:eastAsia="仿宋_GB2312"/>
          <w:color w:val="auto"/>
          <w:sz w:val="32"/>
          <w:szCs w:val="32"/>
          <w:highlight w:val="none"/>
        </w:rPr>
        <w:t>交通运输支出（类）</w:t>
      </w:r>
      <w:r>
        <w:rPr>
          <w:rFonts w:hint="eastAsia"/>
          <w:color w:val="auto"/>
          <w:sz w:val="32"/>
          <w:szCs w:val="32"/>
          <w:highlight w:val="none"/>
          <w:lang w:eastAsia="zh-CN"/>
        </w:rPr>
        <w:t>港口建设费安排的支出（款）航道建设和维护（项）：反映港口建设费安排用于航道整治、维护方面的支出。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5" w:name="_Toc14420"/>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.住房保障支出（类）住房改革支出（款）住房公积金（项）：反映行政事业单位按人力资源和社会保障部、财政部规定的基本工资和津贴补贴以及规定比例为职工缴纳的住房公积金。</w:t>
      </w:r>
      <w:bookmarkEnd w:id="9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6" w:name="_Toc20742"/>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.基本支出：指为保障机构正常运转、完成日常工作任务而发生的人员支出和公用支出。</w:t>
      </w:r>
      <w:bookmarkEnd w:id="9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eastAsia="仿宋_GB2312"/>
          <w:color w:val="auto"/>
          <w:sz w:val="32"/>
          <w:szCs w:val="32"/>
          <w:highlight w:val="none"/>
        </w:rPr>
      </w:pPr>
      <w:bookmarkStart w:id="97" w:name="_Toc17820"/>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.项目支出：指在基本支出之外为完成特定行政任务和事业发展目标所发生的支出。</w:t>
      </w:r>
      <w:bookmarkEnd w:id="97"/>
      <w:r>
        <w:rPr>
          <w:rFonts w:hint="eastAsia" w:ascii="仿宋_GB2312" w:eastAsia="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仿宋_GB2312" w:eastAsia="仿宋_GB2312"/>
          <w:color w:val="auto"/>
          <w:sz w:val="32"/>
          <w:szCs w:val="32"/>
          <w:highlight w:val="none"/>
        </w:rPr>
      </w:pPr>
      <w:bookmarkStart w:id="98" w:name="_Toc14151"/>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9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0"/>
        <w:rPr>
          <w:rFonts w:ascii="宋体"/>
          <w:b/>
          <w:color w:val="auto"/>
          <w:sz w:val="44"/>
          <w:szCs w:val="44"/>
          <w:highlight w:val="none"/>
        </w:rPr>
      </w:pPr>
      <w:bookmarkStart w:id="99" w:name="_Toc4532"/>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r>
        <w:rPr>
          <w:rFonts w:ascii="宋体"/>
          <w:b/>
          <w:color w:val="auto"/>
          <w:sz w:val="44"/>
          <w:szCs w:val="44"/>
          <w:highlight w:val="none"/>
        </w:rPr>
        <w:br w:type="page"/>
      </w:r>
      <w:bookmarkEnd w:id="99"/>
    </w:p>
    <w:p>
      <w:pPr>
        <w:spacing w:line="600" w:lineRule="exact"/>
        <w:jc w:val="center"/>
        <w:outlineLvl w:val="0"/>
        <w:rPr>
          <w:rStyle w:val="24"/>
          <w:rFonts w:ascii="黑体" w:hAnsi="黑体" w:eastAsia="黑体"/>
          <w:b w:val="0"/>
          <w:color w:val="auto"/>
          <w:highlight w:val="none"/>
        </w:rPr>
      </w:pPr>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四部分 附件</w:t>
      </w:r>
      <w:bookmarkEnd w:id="80"/>
      <w:bookmarkEnd w:id="81"/>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bookmarkStart w:id="100" w:name="_Toc15396618"/>
      <w:r>
        <w:rPr>
          <w:rFonts w:hint="eastAsia" w:ascii="方正小标宋简体" w:hAnsi="方正小标宋简体" w:eastAsia="方正小标宋简体" w:cs="方正小标宋简体"/>
          <w:color w:val="auto"/>
          <w:kern w:val="2"/>
          <w:sz w:val="40"/>
          <w:szCs w:val="40"/>
          <w:highlight w:val="none"/>
          <w:lang w:val="en-US" w:eastAsia="zh-CN" w:bidi="ar-SA"/>
        </w:rPr>
        <w:t>2021年水上交通安全监测综合信息系统采购</w:t>
      </w:r>
    </w:p>
    <w:p>
      <w:pPr>
        <w:keepNext w:val="0"/>
        <w:keepLines w:val="0"/>
        <w:pageBreakBefore w:val="0"/>
        <w:widowControl w:val="0"/>
        <w:kinsoku/>
        <w:wordWrap/>
        <w:overflowPunct/>
        <w:topLinePunct w:val="0"/>
        <w:autoSpaceDE/>
        <w:autoSpaceDN/>
        <w:bidi w:val="0"/>
        <w:spacing w:line="600" w:lineRule="exact"/>
        <w:jc w:val="center"/>
        <w:textAlignment w:val="auto"/>
        <w:outlineLvl w:val="1"/>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01" w:name="_Toc9957"/>
      <w:r>
        <w:rPr>
          <w:rFonts w:hint="eastAsia" w:ascii="方正小标宋简体" w:hAnsi="方正小标宋简体" w:eastAsia="方正小标宋简体" w:cs="方正小标宋简体"/>
          <w:color w:val="auto"/>
          <w:kern w:val="2"/>
          <w:sz w:val="40"/>
          <w:szCs w:val="40"/>
          <w:highlight w:val="none"/>
          <w:lang w:val="en-US" w:eastAsia="zh-CN" w:bidi="ar-SA"/>
        </w:rPr>
        <w:t>项目</w:t>
      </w: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bookmarkEnd w:id="101"/>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adjustRightInd w:val="0"/>
        <w:snapToGrid w:val="0"/>
        <w:spacing w:line="576" w:lineRule="exact"/>
        <w:ind w:firstLine="720"/>
        <w:outlineLvl w:val="1"/>
        <w:rPr>
          <w:rFonts w:hint="eastAsia" w:ascii="黑体" w:hAnsi="黑体" w:eastAsia="黑体" w:cs="黑体"/>
          <w:bCs/>
          <w:sz w:val="32"/>
          <w:szCs w:val="32"/>
          <w:lang w:val="zh-CN"/>
        </w:rPr>
      </w:pPr>
      <w:bookmarkStart w:id="102" w:name="_Toc20043"/>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bookmarkEnd w:id="102"/>
    </w:p>
    <w:p>
      <w:pPr>
        <w:numPr>
          <w:ilvl w:val="0"/>
          <w:numId w:val="5"/>
        </w:numPr>
        <w:adjustRightInd w:val="0"/>
        <w:snapToGrid w:val="0"/>
        <w:spacing w:line="576" w:lineRule="exact"/>
        <w:ind w:firstLine="720"/>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lang w:val="zh-CN"/>
        </w:rPr>
        <w:t>项目</w:t>
      </w:r>
      <w:r>
        <w:rPr>
          <w:rFonts w:hint="eastAsia" w:ascii="楷体_GB2312" w:hAnsi="楷体_GB2312" w:eastAsia="楷体_GB2312" w:cs="楷体_GB2312"/>
          <w:bCs/>
          <w:sz w:val="32"/>
          <w:szCs w:val="32"/>
          <w:lang w:val="en-US" w:eastAsia="zh-CN"/>
        </w:rPr>
        <w:t>基本情况。</w:t>
      </w:r>
      <w:r>
        <w:rPr>
          <w:rFonts w:hint="eastAsia" w:ascii="仿宋_GB2312" w:hAnsi="仿宋_GB2312" w:eastAsia="仿宋_GB2312" w:cs="仿宋_GB2312"/>
          <w:sz w:val="32"/>
          <w:szCs w:val="32"/>
          <w:lang w:val="en-US" w:eastAsia="zh-CN"/>
        </w:rPr>
        <w:t>项目主管部门实施该项目。项目资金由以前年度省级专项资金形成。资金专门用于该项目。资金分配属于专款专用。</w:t>
      </w:r>
    </w:p>
    <w:p>
      <w:pPr>
        <w:numPr>
          <w:ilvl w:val="0"/>
          <w:numId w:val="5"/>
        </w:numPr>
        <w:adjustRightInd w:val="0"/>
        <w:snapToGrid w:val="0"/>
        <w:spacing w:line="576" w:lineRule="exact"/>
        <w:ind w:firstLine="720"/>
        <w:rPr>
          <w:rFonts w:hint="eastAsia" w:ascii="仿宋_GB2312" w:hAnsi="宋体" w:eastAsia="仿宋_GB2312"/>
          <w:sz w:val="32"/>
          <w:szCs w:val="32"/>
          <w:lang w:val="zh-CN"/>
        </w:rPr>
      </w:pPr>
      <w:r>
        <w:rPr>
          <w:rFonts w:hint="eastAsia" w:ascii="楷体_GB2312" w:hAnsi="楷体_GB2312" w:eastAsia="楷体_GB2312" w:cs="楷体_GB2312"/>
          <w:bCs/>
          <w:sz w:val="32"/>
          <w:szCs w:val="32"/>
          <w:lang w:val="zh-CN"/>
        </w:rPr>
        <w:t>项目绩效目标。</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实现通航水域“全方位覆盖、全天候监控、快速反应”的现代化水上交通安全监管系统和救助体系，有效防范和坚决遏制发生重特大事故，实现广元“四型海事”、海事“三化”发展目标，保障广元重点水域通航环境安全与通畅，实现广元海事监管信息化、智慧化、现代化。</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航道视频监控</w:t>
      </w:r>
      <w:r>
        <w:rPr>
          <w:rFonts w:hint="eastAsia" w:ascii="仿宋_GB2312" w:hAnsi="宋体" w:eastAsia="仿宋_GB2312"/>
          <w:sz w:val="32"/>
          <w:szCs w:val="32"/>
          <w:lang w:val="zh-CN"/>
        </w:rPr>
        <w:tab/>
      </w:r>
      <w:r>
        <w:rPr>
          <w:rFonts w:hint="eastAsia" w:ascii="仿宋_GB2312" w:hAnsi="宋体" w:eastAsia="仿宋_GB2312"/>
          <w:sz w:val="32"/>
          <w:szCs w:val="32"/>
          <w:lang w:val="zh-CN"/>
        </w:rPr>
        <w:t>15处、码头监控5处、水位检测1处、拟定全市通航水域信息化建设、维护规划1处；开展两个港口作业区、三个通航建筑物及亭子湖、白龙湖、升钟水库等重点区域信息化实施督导工作，指导县区完善信息化硬件及软件设施建设和维护工作8处、工程合格率100%、完成水上交通信息化建设内容2020-2021年；严格控制项目建设费用574.75万；提高政府效率、树立良好形象；确保航运安全、支撑经济发展；丰富监管手段、增强管理水平；促进信息公开、正确引导市场；节约人力、时间等管理成本；加强硬件管理、提升使用效率；提高运输效率、降低货运成本；通过建立网络系统监测预警，以减少实地巡航对河道、航道生态系统干扰；为全市通航水域安全监管提供巡航监控、区域监管以及综合指挥等海事监管功能；开展重点时段、重点区域信息化设施的维护、升级改造，每个季度不少于一次的嘉陵江高等级航道专项信息化维护；服务对象满意度</w:t>
      </w:r>
      <w:r>
        <w:rPr>
          <w:rFonts w:hint="eastAsia" w:ascii="仿宋_GB2312" w:hAnsi="宋体" w:eastAsia="仿宋_GB2312"/>
          <w:sz w:val="32"/>
          <w:szCs w:val="32"/>
          <w:lang w:val="zh-CN"/>
        </w:rPr>
        <w:tab/>
      </w:r>
      <w:r>
        <w:rPr>
          <w:rFonts w:hint="eastAsia" w:ascii="仿宋_GB2312" w:hAnsi="宋体" w:eastAsia="仿宋_GB2312"/>
          <w:sz w:val="32"/>
          <w:szCs w:val="32"/>
          <w:lang w:val="zh-CN"/>
        </w:rPr>
        <w:t>&gt;=90%。</w:t>
      </w:r>
      <w:r>
        <w:rPr>
          <w:rFonts w:hint="eastAsia" w:ascii="仿宋_GB2312" w:hAnsi="仿宋_GB2312" w:eastAsia="仿宋_GB2312" w:cs="仿宋_GB2312"/>
          <w:sz w:val="32"/>
          <w:szCs w:val="32"/>
          <w:lang w:val="zh-CN" w:eastAsia="zh-CN"/>
        </w:rPr>
        <w:t>资金申报相符性。</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仿宋_GB2312" w:eastAsia="仿宋_GB2312" w:cs="仿宋_GB2312"/>
          <w:sz w:val="32"/>
          <w:szCs w:val="32"/>
          <w:lang w:val="zh-CN" w:eastAsia="zh-CN"/>
        </w:rPr>
        <w:t>项目申报内容与具体实施内容相符、申报目标合理可行。</w:t>
      </w:r>
    </w:p>
    <w:p>
      <w:pPr>
        <w:numPr>
          <w:ilvl w:val="0"/>
          <w:numId w:val="5"/>
        </w:numPr>
        <w:adjustRightInd w:val="0"/>
        <w:snapToGrid w:val="0"/>
        <w:spacing w:line="576" w:lineRule="exact"/>
        <w:ind w:firstLine="720"/>
        <w:rPr>
          <w:rFonts w:hint="eastAsia" w:ascii="仿宋_GB2312" w:hAnsi="宋体" w:eastAsia="仿宋_GB2312" w:cs="Times New Roman"/>
          <w:sz w:val="32"/>
          <w:szCs w:val="32"/>
          <w:lang w:val="zh-CN" w:eastAsia="zh-CN"/>
        </w:rPr>
      </w:pPr>
      <w:r>
        <w:rPr>
          <w:rFonts w:hint="eastAsia" w:ascii="楷体_GB2312" w:hAnsi="楷体_GB2312" w:eastAsia="楷体_GB2312" w:cs="楷体_GB2312"/>
          <w:bCs/>
          <w:sz w:val="32"/>
          <w:szCs w:val="32"/>
          <w:lang w:val="zh-CN"/>
        </w:rPr>
        <w:t>项目</w:t>
      </w:r>
      <w:r>
        <w:rPr>
          <w:rFonts w:hint="eastAsia" w:ascii="楷体_GB2312" w:hAnsi="楷体_GB2312" w:eastAsia="楷体_GB2312" w:cs="楷体_GB2312"/>
          <w:bCs/>
          <w:sz w:val="32"/>
          <w:szCs w:val="32"/>
          <w:lang w:val="en-US" w:eastAsia="zh-CN"/>
        </w:rPr>
        <w:t>自评步骤及方法。</w:t>
      </w:r>
      <w:r>
        <w:rPr>
          <w:rFonts w:hint="eastAsia" w:ascii="仿宋_GB2312" w:hAnsi="宋体" w:eastAsia="仿宋_GB2312" w:cs="Times New Roman"/>
          <w:sz w:val="32"/>
          <w:szCs w:val="32"/>
          <w:lang w:val="en-US" w:eastAsia="zh-CN"/>
        </w:rPr>
        <w:t>业务科室对照《2022年市级专项预算项目支出绩效评价指标体系》完善相关指标并进行自评打分。</w:t>
      </w:r>
    </w:p>
    <w:p>
      <w:pPr>
        <w:adjustRightInd w:val="0"/>
        <w:snapToGrid w:val="0"/>
        <w:spacing w:line="576" w:lineRule="exact"/>
        <w:ind w:firstLine="720"/>
        <w:outlineLvl w:val="1"/>
        <w:rPr>
          <w:rFonts w:hint="eastAsia" w:ascii="黑体" w:hAnsi="黑体" w:eastAsia="黑体" w:cs="黑体"/>
          <w:bCs/>
          <w:sz w:val="32"/>
          <w:szCs w:val="32"/>
        </w:rPr>
      </w:pPr>
      <w:bookmarkStart w:id="103" w:name="_Toc500"/>
      <w:r>
        <w:rPr>
          <w:rFonts w:hint="eastAsia" w:ascii="黑体" w:hAnsi="黑体" w:eastAsia="黑体" w:cs="黑体"/>
          <w:bCs/>
          <w:sz w:val="32"/>
          <w:szCs w:val="32"/>
        </w:rPr>
        <w:t>二、项目实施及管理情况</w:t>
      </w:r>
      <w:bookmarkEnd w:id="103"/>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（一）项目资金申报及批复情况。</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仿宋_GB2312" w:hAnsi="仿宋_GB2312" w:eastAsia="仿宋_GB2312" w:cs="仿宋_GB2312"/>
          <w:sz w:val="32"/>
          <w:szCs w:val="32"/>
          <w:lang w:val="zh-CN"/>
        </w:rPr>
        <w:t>项目资金申报</w:t>
      </w:r>
      <w:r>
        <w:rPr>
          <w:rFonts w:hint="eastAsia" w:ascii="仿宋_GB2312" w:hAnsi="仿宋_GB2312" w:eastAsia="仿宋_GB2312" w:cs="仿宋_GB2312"/>
          <w:sz w:val="32"/>
          <w:szCs w:val="32"/>
        </w:rPr>
        <w:t>321.48万元</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zh-CN"/>
        </w:rPr>
        <w:t>批复</w:t>
      </w:r>
      <w:r>
        <w:rPr>
          <w:rFonts w:hint="eastAsia" w:ascii="仿宋_GB2312" w:hAnsi="仿宋_GB2312" w:eastAsia="仿宋_GB2312" w:cs="仿宋_GB2312"/>
          <w:sz w:val="32"/>
          <w:szCs w:val="32"/>
        </w:rPr>
        <w:t>321.48万元。</w:t>
      </w:r>
    </w:p>
    <w:p>
      <w:pPr>
        <w:numPr>
          <w:ilvl w:val="0"/>
          <w:numId w:val="7"/>
        </w:num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资金计划、到位及使用情况。</w:t>
      </w:r>
    </w:p>
    <w:p>
      <w:pPr>
        <w:adjustRightInd w:val="0"/>
        <w:snapToGrid w:val="0"/>
        <w:spacing w:line="576"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1.资金计划及到位。该项目资金计划321.48万元，截止评价时点实际到位321.48万元，为省级财政拨款资金，资金到位率100%。</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2.资金使用。截止评价时点项目资金的实际支出</w:t>
      </w:r>
      <w:r>
        <w:rPr>
          <w:rFonts w:hint="eastAsia" w:ascii="仿宋_GB2312" w:hAnsi="宋体" w:eastAsia="仿宋_GB2312"/>
          <w:sz w:val="32"/>
          <w:szCs w:val="32"/>
        </w:rPr>
        <w:t>256.42万元</w:t>
      </w:r>
      <w:r>
        <w:rPr>
          <w:rFonts w:hint="eastAsia" w:ascii="仿宋_GB2312" w:hAnsi="宋体" w:eastAsia="仿宋_GB2312"/>
          <w:sz w:val="32"/>
          <w:szCs w:val="32"/>
          <w:lang w:val="zh-CN"/>
        </w:rPr>
        <w:t>，主要用于水上交通安全监测综合信息系统采购支出。支付依据合规合法，资金支付</w:t>
      </w:r>
      <w:r>
        <w:rPr>
          <w:rFonts w:hint="eastAsia" w:ascii="仿宋_GB2312" w:hAnsi="宋体" w:eastAsia="仿宋_GB2312"/>
          <w:sz w:val="32"/>
          <w:szCs w:val="32"/>
          <w:lang w:val="en-US" w:eastAsia="zh-CN"/>
        </w:rPr>
        <w:t>按照合同进度付款。</w:t>
      </w:r>
    </w:p>
    <w:p>
      <w:pPr>
        <w:adjustRightInd w:val="0"/>
        <w:snapToGrid w:val="0"/>
        <w:spacing w:line="576" w:lineRule="exact"/>
        <w:ind w:firstLine="720"/>
        <w:rPr>
          <w:rFonts w:hint="eastAsia" w:ascii="仿宋_GB2312" w:hAnsi="宋体" w:eastAsia="仿宋_GB2312"/>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）项目财务管理情况。</w:t>
      </w:r>
      <w:r>
        <w:rPr>
          <w:rFonts w:hint="eastAsia" w:ascii="仿宋_GB2312" w:hAnsi="宋体" w:eastAsia="仿宋_GB2312"/>
          <w:sz w:val="32"/>
          <w:szCs w:val="32"/>
          <w:lang w:val="zh-CN"/>
        </w:rPr>
        <w:t>项目会计核算及账务处理</w:t>
      </w:r>
      <w:r>
        <w:rPr>
          <w:rFonts w:hint="eastAsia" w:ascii="仿宋_GB2312" w:hAnsi="宋体" w:eastAsia="仿宋_GB2312"/>
          <w:sz w:val="32"/>
          <w:szCs w:val="32"/>
        </w:rPr>
        <w:t>按照《预算法》《单位内控制度》</w:t>
      </w:r>
      <w:r>
        <w:rPr>
          <w:rFonts w:hint="eastAsia" w:ascii="仿宋_GB2312" w:hAnsi="宋体" w:eastAsia="仿宋_GB2312"/>
          <w:sz w:val="32"/>
          <w:szCs w:val="32"/>
          <w:lang w:val="zh-CN"/>
        </w:rPr>
        <w:t>等相关</w:t>
      </w:r>
      <w:r>
        <w:rPr>
          <w:rFonts w:hint="eastAsia" w:ascii="仿宋_GB2312" w:hAnsi="宋体" w:eastAsia="仿宋_GB2312"/>
          <w:sz w:val="32"/>
          <w:szCs w:val="32"/>
        </w:rPr>
        <w:t>规定，</w:t>
      </w:r>
      <w:r>
        <w:rPr>
          <w:rFonts w:hint="eastAsia" w:ascii="仿宋_GB2312" w:hAnsi="宋体" w:eastAsia="仿宋_GB2312"/>
          <w:sz w:val="32"/>
          <w:szCs w:val="32"/>
          <w:lang w:val="zh-CN"/>
        </w:rPr>
        <w:t>严格执行财务管理制度、财务处理及时、会计核算规范。</w:t>
      </w:r>
    </w:p>
    <w:p>
      <w:pPr>
        <w:adjustRightInd w:val="0"/>
        <w:snapToGrid w:val="0"/>
        <w:spacing w:line="576" w:lineRule="exact"/>
        <w:ind w:firstLine="720"/>
        <w:outlineLvl w:val="1"/>
        <w:rPr>
          <w:rFonts w:hint="eastAsia" w:ascii="黑体" w:hAnsi="黑体" w:eastAsia="黑体" w:cs="黑体"/>
          <w:bCs/>
          <w:sz w:val="32"/>
          <w:szCs w:val="32"/>
          <w:lang w:val="zh-CN" w:eastAsia="zh-CN"/>
        </w:rPr>
      </w:pPr>
      <w:bookmarkStart w:id="104" w:name="_Toc30875"/>
      <w:r>
        <w:rPr>
          <w:rFonts w:hint="eastAsia" w:ascii="黑体" w:hAnsi="黑体" w:eastAsia="黑体" w:cs="黑体"/>
          <w:bCs/>
          <w:sz w:val="32"/>
          <w:szCs w:val="32"/>
          <w:lang w:val="zh-CN" w:eastAsia="zh-CN"/>
        </w:rPr>
        <w:t>三、项目组织实施情况</w:t>
      </w:r>
      <w:bookmarkEnd w:id="10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（一）项目组织架构及实施流程。</w:t>
      </w:r>
      <w:r>
        <w:rPr>
          <w:rFonts w:hint="eastAsia" w:ascii="仿宋_GB2312" w:hAnsi="宋体" w:eastAsia="仿宋_GB2312" w:cs="Times New Roman"/>
          <w:b w:val="0"/>
          <w:bCs w:val="0"/>
          <w:sz w:val="32"/>
          <w:szCs w:val="32"/>
          <w:lang w:val="zh-CN"/>
        </w:rPr>
        <w:t>根据政府采购管理要求，港航发展中心政府采购领导小组，作为政府采购的领导机构，由</w:t>
      </w:r>
      <w:r>
        <w:rPr>
          <w:rFonts w:hint="eastAsia" w:ascii="仿宋_GB2312" w:hAnsi="宋体" w:eastAsia="仿宋_GB2312" w:cs="Times New Roman"/>
          <w:b w:val="0"/>
          <w:bCs w:val="0"/>
          <w:sz w:val="32"/>
          <w:szCs w:val="32"/>
          <w:lang w:val="en-US" w:eastAsia="zh-CN"/>
        </w:rPr>
        <w:t>中心主任</w:t>
      </w:r>
      <w:r>
        <w:rPr>
          <w:rFonts w:hint="eastAsia" w:ascii="仿宋_GB2312" w:hAnsi="宋体" w:eastAsia="仿宋_GB2312" w:cs="Times New Roman"/>
          <w:b w:val="0"/>
          <w:bCs w:val="0"/>
          <w:sz w:val="32"/>
          <w:szCs w:val="32"/>
          <w:lang w:val="zh-CN"/>
        </w:rPr>
        <w:t>和相关科室的负责人组成。</w:t>
      </w:r>
      <w:r>
        <w:rPr>
          <w:rFonts w:hint="eastAsia" w:ascii="仿宋_GB2312" w:hAnsi="宋体" w:eastAsia="仿宋_GB2312" w:cs="Times New Roman"/>
          <w:b w:val="0"/>
          <w:bCs w:val="0"/>
          <w:sz w:val="32"/>
          <w:szCs w:val="32"/>
          <w:lang w:val="en-US" w:eastAsia="zh-CN"/>
        </w:rPr>
        <w:t>综合科</w:t>
      </w:r>
      <w:r>
        <w:rPr>
          <w:rFonts w:hint="eastAsia" w:ascii="仿宋_GB2312" w:hAnsi="宋体" w:eastAsia="仿宋_GB2312" w:cs="Times New Roman"/>
          <w:b w:val="0"/>
          <w:bCs w:val="0"/>
          <w:sz w:val="32"/>
          <w:szCs w:val="32"/>
          <w:lang w:val="zh-CN"/>
        </w:rPr>
        <w:t>为政府采购工作的具体管理部门，负责政府采购的管理和监督工作。相关科室根据职能分工和预算管理权限，履行政府采购相关具体职责。部门集中采购项目应通过委托的集中采购机构进行采购。</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（二）项目管理情况。</w:t>
      </w:r>
      <w:r>
        <w:rPr>
          <w:rFonts w:hint="eastAsia" w:ascii="仿宋_GB2312" w:hAnsi="宋体" w:eastAsia="仿宋_GB2312" w:cs="Times New Roman"/>
          <w:b w:val="0"/>
          <w:bCs w:val="0"/>
          <w:sz w:val="32"/>
          <w:szCs w:val="32"/>
          <w:lang w:val="zh-CN"/>
        </w:rPr>
        <w:t>项目实施执行招投标、政府采购、项目公示制等相关规定。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（三）项目监管情况。</w:t>
      </w:r>
      <w:r>
        <w:rPr>
          <w:rFonts w:hint="eastAsia" w:ascii="仿宋_GB2312" w:hAnsi="宋体" w:eastAsia="仿宋_GB2312" w:cs="Times New Roman"/>
          <w:b w:val="0"/>
          <w:bCs w:val="0"/>
          <w:sz w:val="32"/>
          <w:szCs w:val="32"/>
          <w:lang w:val="en-US" w:eastAsia="zh-CN"/>
        </w:rPr>
        <w:t>综合科</w:t>
      </w:r>
      <w:r>
        <w:rPr>
          <w:rFonts w:hint="eastAsia" w:ascii="仿宋_GB2312" w:hAnsi="宋体" w:eastAsia="仿宋_GB2312" w:cs="Times New Roman"/>
          <w:b w:val="0"/>
          <w:bCs w:val="0"/>
          <w:sz w:val="32"/>
          <w:szCs w:val="32"/>
          <w:lang w:val="zh-CN"/>
        </w:rPr>
        <w:t>为政府采购工作的具体管理部门，负责政府采购的管理和监督工作。</w:t>
      </w:r>
      <w:r>
        <w:rPr>
          <w:rFonts w:hint="eastAsia" w:ascii="仿宋_GB2312" w:hAnsi="宋体" w:eastAsia="仿宋_GB2312" w:cs="Times New Roman"/>
          <w:b w:val="0"/>
          <w:bCs w:val="0"/>
          <w:sz w:val="32"/>
          <w:szCs w:val="32"/>
          <w:lang w:val="en-US" w:eastAsia="zh-CN"/>
        </w:rPr>
        <w:t>通过中心主任办公会每月通报项目进展情况，及时对项目实施进行督促，实现了项目与计划基本相符。</w:t>
      </w:r>
    </w:p>
    <w:p>
      <w:pPr>
        <w:adjustRightInd w:val="0"/>
        <w:snapToGrid w:val="0"/>
        <w:spacing w:line="576" w:lineRule="exact"/>
        <w:ind w:firstLine="720"/>
        <w:outlineLvl w:val="1"/>
        <w:rPr>
          <w:rFonts w:hint="eastAsia" w:ascii="黑体" w:hAnsi="黑体" w:eastAsia="黑体" w:cs="黑体"/>
          <w:bCs/>
          <w:sz w:val="32"/>
          <w:szCs w:val="32"/>
          <w:lang w:val="zh-CN"/>
        </w:rPr>
      </w:pPr>
      <w:bookmarkStart w:id="105" w:name="_Toc29232"/>
      <w:r>
        <w:rPr>
          <w:rFonts w:hint="eastAsia" w:ascii="黑体" w:hAnsi="黑体" w:eastAsia="黑体" w:cs="黑体"/>
          <w:bCs/>
          <w:sz w:val="32"/>
          <w:szCs w:val="32"/>
          <w:lang w:val="en-US" w:eastAsia="zh-CN"/>
        </w:rPr>
        <w:t>四</w:t>
      </w:r>
      <w:r>
        <w:rPr>
          <w:rFonts w:hint="eastAsia" w:ascii="黑体" w:hAnsi="黑体" w:eastAsia="黑体" w:cs="黑体"/>
          <w:bCs/>
          <w:sz w:val="32"/>
          <w:szCs w:val="32"/>
        </w:rPr>
        <w:t>、项目绩效情况</w:t>
      </w:r>
      <w:bookmarkEnd w:id="105"/>
      <w:r>
        <w:rPr>
          <w:rFonts w:hint="eastAsia" w:ascii="黑体" w:hAnsi="黑体" w:eastAsia="黑体" w:cs="黑体"/>
          <w:bCs/>
          <w:sz w:val="32"/>
          <w:szCs w:val="32"/>
          <w:lang w:val="zh-CN"/>
        </w:rPr>
        <w:tab/>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建设航道视频监控15处，码头监控5处，水位监测1处，拟定全市通航水域信息化建设、维护规划1处。开展两个港口作业区、三个通航建筑物及亭子湖、白龙湖、升钟水库等重点区域信息化实施督导工作，指导县区完善信息化硬件及软件设施建设和维护工作8处，工程合格率100%，完成2020年至2021年水上交通信息化建设内容。</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zh-CN"/>
        </w:rPr>
        <w:t>）项目效益情况。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1.提高政府效率、树立良好形象；确保航运安全、支撑经济发展；丰富监管手段、增强管理水平；促进信息公开、正确引导市场。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2.节约人力、时间等管理成本；加强硬件管理、提升使用效率；提高运输效率、降低货运成本。</w:t>
      </w:r>
      <w:r>
        <w:rPr>
          <w:rFonts w:hint="eastAsia" w:ascii="仿宋_GB2312" w:eastAsia="仿宋_GB2312"/>
          <w:sz w:val="32"/>
          <w:szCs w:val="32"/>
        </w:rPr>
        <w:tab/>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3.通过建立网络系统监测预警，以减少实地巡航对河道、航道生态系统干扰。</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4.为全市通航水域安全监管提供巡航监控、区域监管以及综合指挥等功能。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06" w:name="_Toc30082"/>
      <w:r>
        <w:rPr>
          <w:rFonts w:hint="eastAsia" w:ascii="黑体" w:hAnsi="宋体" w:eastAsia="黑体" w:cs="Times New Roman"/>
          <w:b w:val="0"/>
          <w:bCs w:val="0"/>
          <w:sz w:val="32"/>
          <w:szCs w:val="32"/>
        </w:rPr>
        <w:t>五、评价结论及建议</w:t>
      </w:r>
      <w:bookmarkEnd w:id="106"/>
    </w:p>
    <w:p>
      <w:pPr>
        <w:adjustRightInd w:val="0"/>
        <w:snapToGrid w:val="0"/>
        <w:spacing w:line="576" w:lineRule="exact"/>
        <w:ind w:firstLine="720"/>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zh-CN"/>
        </w:rPr>
        <w:t>（一）评价结论。</w:t>
      </w:r>
      <w:r>
        <w:rPr>
          <w:rFonts w:hint="eastAsia" w:ascii="楷体_GB2312" w:hAnsi="楷体_GB2312" w:eastAsia="楷体_GB2312" w:cs="楷体_GB2312"/>
          <w:bCs/>
          <w:sz w:val="32"/>
          <w:szCs w:val="32"/>
          <w:lang w:val="en-US" w:eastAsia="zh-CN"/>
        </w:rPr>
        <w:t>从该项目完成度来看，总体按照合同进度实施，项目资金按照工程量拨付。从该项目运行情况来看，已验收进入试运行阶段，目前运行效果较为理想。</w:t>
      </w:r>
    </w:p>
    <w:p>
      <w:pPr>
        <w:adjustRightInd w:val="0"/>
        <w:snapToGrid w:val="0"/>
        <w:spacing w:line="576" w:lineRule="exact"/>
        <w:ind w:firstLine="720"/>
        <w:rPr>
          <w:rFonts w:hint="eastAsia" w:ascii="仿宋_GB2312" w:hAnsi="宋体" w:eastAsia="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val="zh-CN"/>
        </w:rPr>
        <w:t>）存在的问题。</w:t>
      </w:r>
      <w:r>
        <w:rPr>
          <w:rFonts w:hint="eastAsia" w:ascii="仿宋_GB2312" w:hAnsi="宋体" w:eastAsia="仿宋_GB2312"/>
          <w:sz w:val="32"/>
          <w:szCs w:val="32"/>
        </w:rPr>
        <w:t>该项目为政府采购项目，项目资金量大、报备环节多、程序繁杂、支付期跨度大，按照财政局政策规定资金2年未支付完需收回，有硬性工作需要的项目再打报告申请。</w:t>
      </w:r>
    </w:p>
    <w:p>
      <w:pPr>
        <w:adjustRightInd w:val="0"/>
        <w:snapToGrid w:val="0"/>
        <w:spacing w:line="576" w:lineRule="exact"/>
        <w:ind w:firstLine="720"/>
        <w:rPr>
          <w:rFonts w:ascii="仿宋_GB2312" w:hAnsi="仿宋_GB2312" w:eastAsia="仿宋_GB2312" w:cs="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）相关建议。</w:t>
      </w:r>
      <w:r>
        <w:rPr>
          <w:rFonts w:hint="eastAsia" w:ascii="仿宋_GB2312" w:hAnsi="宋体" w:eastAsia="仿宋_GB2312"/>
          <w:sz w:val="32"/>
          <w:szCs w:val="32"/>
        </w:rPr>
        <w:t>有合同且资金有保障的项目，特事特办不执行资金2年收回规定，以减少申报环节业务量。</w:t>
      </w:r>
    </w:p>
    <w:p>
      <w:pPr>
        <w:pStyle w:val="2"/>
        <w:rPr>
          <w:rFonts w:hint="eastAsia"/>
          <w:color w:val="auto"/>
          <w:highlight w:val="none"/>
          <w:lang w:val="zh-CN"/>
        </w:rPr>
      </w:pPr>
    </w:p>
    <w:p>
      <w:pPr>
        <w:pStyle w:val="2"/>
        <w:rPr>
          <w:rFonts w:hint="eastAsia"/>
          <w:color w:val="auto"/>
          <w:highlight w:val="none"/>
          <w:lang w:val="zh-CN"/>
        </w:rPr>
      </w:pPr>
      <w:r>
        <w:drawing>
          <wp:inline distT="0" distB="0" distL="114300" distR="114300">
            <wp:extent cx="5267325" cy="6696075"/>
            <wp:effectExtent l="0" t="0" r="5715" b="952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3"/>
                    <a:stretch>
                      <a:fillRect/>
                    </a:stretch>
                  </pic:blipFill>
                  <pic:spPr>
                    <a:xfrm>
                      <a:off x="0" y="0"/>
                      <a:ext cx="5267325" cy="6696075"/>
                    </a:xfrm>
                    <a:prstGeom prst="rect">
                      <a:avLst/>
                    </a:prstGeom>
                    <a:noFill/>
                    <a:ln>
                      <a:noFill/>
                    </a:ln>
                  </pic:spPr>
                </pic:pic>
              </a:graphicData>
            </a:graphic>
          </wp:inline>
        </w:drawing>
      </w:r>
    </w:p>
    <w:p>
      <w:pPr>
        <w:rPr>
          <w:rFonts w:hint="eastAsia"/>
          <w:color w:val="auto"/>
          <w:highlight w:val="none"/>
          <w:lang w:val="zh-CN"/>
        </w:rPr>
      </w:pPr>
      <w:r>
        <w:rPr>
          <w:rFonts w:hint="eastAsia"/>
          <w:color w:val="auto"/>
          <w:highlight w:val="none"/>
          <w:lang w:val="zh-CN"/>
        </w:rP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2021年船舶检验与修造管理项目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p>
    <w:p>
      <w:pPr>
        <w:pStyle w:val="2"/>
        <w:rPr>
          <w:rFonts w:hint="eastAsia"/>
          <w:lang w:val="zh-CN" w:eastAsia="zh-CN"/>
        </w:rPr>
      </w:pPr>
    </w:p>
    <w:p>
      <w:pPr>
        <w:adjustRightInd w:val="0"/>
        <w:snapToGrid w:val="0"/>
        <w:spacing w:line="576" w:lineRule="exact"/>
        <w:ind w:firstLine="720"/>
        <w:outlineLvl w:val="1"/>
        <w:rPr>
          <w:rFonts w:hint="eastAsia" w:ascii="黑体" w:hAnsi="黑体" w:eastAsia="黑体" w:cs="黑体"/>
          <w:bCs/>
          <w:sz w:val="32"/>
          <w:szCs w:val="32"/>
          <w:lang w:val="zh-CN"/>
        </w:rPr>
      </w:pPr>
      <w:bookmarkStart w:id="107" w:name="_Toc16714"/>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bookmarkEnd w:id="107"/>
    </w:p>
    <w:p>
      <w:pPr>
        <w:numPr>
          <w:ilvl w:val="0"/>
          <w:numId w:val="8"/>
        </w:numPr>
        <w:adjustRightInd w:val="0"/>
        <w:snapToGrid w:val="0"/>
        <w:spacing w:line="576" w:lineRule="exact"/>
        <w:ind w:firstLine="720"/>
        <w:rPr>
          <w:rFonts w:hint="eastAsia" w:ascii="华文楷体" w:hAnsi="华文楷体" w:eastAsia="华文楷体" w:cs="华文楷体"/>
          <w:sz w:val="32"/>
          <w:szCs w:val="32"/>
        </w:rPr>
      </w:pPr>
      <w:r>
        <w:rPr>
          <w:rFonts w:hint="eastAsia" w:ascii="华文楷体" w:hAnsi="华文楷体" w:eastAsia="华文楷体" w:cs="华文楷体"/>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zh-CN"/>
        </w:rPr>
        <w:t>项目主管</w:t>
      </w:r>
      <w:r>
        <w:rPr>
          <w:rFonts w:hint="eastAsia" w:ascii="仿宋_GB2312" w:hAnsi="宋体" w:eastAsia="仿宋_GB2312"/>
          <w:sz w:val="32"/>
          <w:szCs w:val="32"/>
          <w:lang w:val="en-US" w:eastAsia="zh-CN"/>
        </w:rPr>
        <w:t>部门</w:t>
      </w:r>
      <w:r>
        <w:rPr>
          <w:rFonts w:hint="eastAsia" w:ascii="仿宋_GB2312" w:hAnsi="宋体" w:eastAsia="仿宋_GB2312"/>
          <w:sz w:val="32"/>
          <w:szCs w:val="32"/>
          <w:lang w:val="zh-CN"/>
        </w:rPr>
        <w:t>实施该项目。</w:t>
      </w:r>
      <w:r>
        <w:rPr>
          <w:rFonts w:hint="eastAsia" w:ascii="仿宋_GB2312" w:hAnsi="宋体" w:eastAsia="仿宋_GB2312"/>
          <w:sz w:val="32"/>
          <w:szCs w:val="32"/>
          <w:lang w:val="en-US" w:eastAsia="zh-CN"/>
        </w:rPr>
        <w:t>根据工作职能职责申报项目资金。项目资金仅对船舶方面的工作费用进行报销。项目资金专款专用。</w:t>
      </w:r>
    </w:p>
    <w:p>
      <w:pPr>
        <w:numPr>
          <w:ilvl w:val="0"/>
          <w:numId w:val="8"/>
        </w:numPr>
        <w:adjustRightInd w:val="0"/>
        <w:snapToGrid w:val="0"/>
        <w:spacing w:line="576" w:lineRule="exact"/>
        <w:ind w:firstLine="720"/>
        <w:rPr>
          <w:rFonts w:hint="eastAsia" w:ascii="华文楷体" w:hAnsi="华文楷体" w:eastAsia="华文楷体" w:cs="华文楷体"/>
          <w:sz w:val="32"/>
          <w:szCs w:val="32"/>
          <w:lang w:val="zh-CN"/>
        </w:rPr>
      </w:pPr>
      <w:r>
        <w:rPr>
          <w:rFonts w:hint="eastAsia" w:ascii="华文楷体" w:hAnsi="华文楷体" w:eastAsia="华文楷体" w:cs="华文楷体"/>
          <w:sz w:val="32"/>
          <w:szCs w:val="32"/>
          <w:lang w:val="zh-CN"/>
        </w:rPr>
        <w:t>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完成全市船舶建造检验、营运检验、船舶设计图纸审查工作，加强对船舶修造企业业务指导，严把船舶建造和检验关确保船舶建造质量。积极与市农业农村局对接，梳理渔船检验相关业务，加强渔船检验人员适任制资格培训考试工作，确保渔船检验业务平稳有序地开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2.船舶检验&gt;=433艘；新建船舶设计图及建造检查=实际新增船舶数；加强渔船检验人员适任制资格培训考试工作&gt;=2次；全年2021年1月-12月；运输成本</w:t>
      </w:r>
      <w:r>
        <w:rPr>
          <w:rFonts w:hint="eastAsia" w:ascii="仿宋_GB2312" w:hAnsi="宋体" w:eastAsia="仿宋_GB2312"/>
          <w:sz w:val="32"/>
          <w:szCs w:val="32"/>
          <w:lang w:val="en-US" w:eastAsia="zh-CN"/>
        </w:rPr>
        <w:tab/>
      </w:r>
      <w:r>
        <w:rPr>
          <w:rFonts w:hint="eastAsia" w:ascii="仿宋_GB2312" w:hAnsi="宋体" w:eastAsia="仿宋_GB2312"/>
          <w:sz w:val="32"/>
          <w:szCs w:val="32"/>
          <w:lang w:val="en-US" w:eastAsia="zh-CN"/>
        </w:rPr>
        <w:t>&gt;=下降15%；运输时间&gt;=降低20%；运量增加</w:t>
      </w:r>
      <w:r>
        <w:rPr>
          <w:rFonts w:hint="eastAsia" w:ascii="仿宋_GB2312" w:hAnsi="宋体" w:eastAsia="仿宋_GB2312"/>
          <w:sz w:val="32"/>
          <w:szCs w:val="32"/>
          <w:lang w:val="en-US" w:eastAsia="zh-CN"/>
        </w:rPr>
        <w:tab/>
      </w:r>
      <w:r>
        <w:rPr>
          <w:rFonts w:hint="eastAsia" w:ascii="仿宋_GB2312" w:hAnsi="宋体" w:eastAsia="仿宋_GB2312"/>
          <w:sz w:val="32"/>
          <w:szCs w:val="32"/>
          <w:lang w:val="en-US" w:eastAsia="zh-CN"/>
        </w:rPr>
        <w:t>&gt;30%；货物装卸时间缩短=2倍；新能源船舶图纸设计、审批工作；新能源渡船和充电桩设施的试点建造工作； 满意度指标</w:t>
      </w:r>
      <w:r>
        <w:rPr>
          <w:rFonts w:hint="eastAsia" w:ascii="仿宋_GB2312" w:hAnsi="宋体" w:eastAsia="仿宋_GB2312"/>
          <w:sz w:val="32"/>
          <w:szCs w:val="32"/>
          <w:lang w:val="en-US" w:eastAsia="zh-CN"/>
        </w:rPr>
        <w:tab/>
      </w:r>
      <w:r>
        <w:rPr>
          <w:rFonts w:hint="eastAsia" w:ascii="仿宋_GB2312" w:hAnsi="宋体" w:eastAsia="仿宋_GB2312"/>
          <w:sz w:val="32"/>
          <w:szCs w:val="32"/>
          <w:lang w:val="en-US" w:eastAsia="zh-CN"/>
        </w:rPr>
        <w:t>&gt;=95%。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val="zh-CN"/>
        </w:rPr>
        <w:t>项目申报内容与具体实施内容相符、申报目标合理可行。</w:t>
      </w:r>
    </w:p>
    <w:p>
      <w:pPr>
        <w:numPr>
          <w:ilvl w:val="0"/>
          <w:numId w:val="8"/>
        </w:numPr>
        <w:adjustRightInd w:val="0"/>
        <w:snapToGrid w:val="0"/>
        <w:spacing w:line="576" w:lineRule="exact"/>
        <w:ind w:firstLine="720"/>
        <w:rPr>
          <w:rFonts w:hint="eastAsia" w:ascii="华文楷体" w:hAnsi="华文楷体" w:eastAsia="华文楷体" w:cs="华文楷体"/>
          <w:sz w:val="32"/>
          <w:szCs w:val="32"/>
          <w:lang w:val="zh-CN"/>
        </w:rPr>
      </w:pPr>
      <w:r>
        <w:rPr>
          <w:rFonts w:hint="eastAsia" w:ascii="华文楷体" w:hAnsi="华文楷体" w:eastAsia="华文楷体" w:cs="华文楷体"/>
          <w:sz w:val="32"/>
          <w:szCs w:val="32"/>
          <w:lang w:val="zh-CN"/>
        </w:rPr>
        <w:t>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业务科室对照《2022年市级专项预算项目支出绩效评价指标体系》，完善相关指标并进行自评打分。</w:t>
      </w:r>
    </w:p>
    <w:p>
      <w:pPr>
        <w:numPr>
          <w:ilvl w:val="0"/>
          <w:numId w:val="9"/>
        </w:numPr>
        <w:adjustRightInd w:val="0"/>
        <w:snapToGrid w:val="0"/>
        <w:spacing w:line="576" w:lineRule="exact"/>
        <w:ind w:firstLine="720"/>
        <w:outlineLvl w:val="1"/>
        <w:rPr>
          <w:rFonts w:hint="eastAsia" w:ascii="黑体" w:hAnsi="黑体" w:eastAsia="黑体" w:cs="黑体"/>
          <w:bCs/>
          <w:sz w:val="32"/>
          <w:szCs w:val="32"/>
        </w:rPr>
      </w:pPr>
      <w:bookmarkStart w:id="108" w:name="_Toc10984"/>
      <w:r>
        <w:rPr>
          <w:rFonts w:hint="eastAsia" w:ascii="黑体" w:hAnsi="黑体" w:eastAsia="黑体" w:cs="黑体"/>
          <w:bCs/>
          <w:sz w:val="32"/>
          <w:szCs w:val="32"/>
        </w:rPr>
        <w:t>项目资金申报及使用情况</w:t>
      </w:r>
      <w:bookmarkEnd w:id="108"/>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楷体_GB2312" w:hAnsi="宋体" w:eastAsia="楷体_GB2312" w:cs="Times New Roman"/>
          <w:b w:val="0"/>
          <w:bCs w:val="0"/>
          <w:sz w:val="32"/>
          <w:szCs w:val="32"/>
          <w:lang w:val="zh-CN"/>
        </w:rPr>
        <w:t>项目资金申报及批复情况。</w:t>
      </w:r>
      <w:r>
        <w:rPr>
          <w:rFonts w:hint="eastAsia" w:ascii="仿宋_GB2312" w:hAnsi="宋体" w:eastAsia="仿宋_GB2312"/>
          <w:sz w:val="32"/>
          <w:szCs w:val="32"/>
          <w:lang w:val="zh-CN"/>
        </w:rPr>
        <w:t>项目资金申报</w:t>
      </w:r>
      <w:r>
        <w:rPr>
          <w:rFonts w:hint="eastAsia" w:ascii="仿宋_GB2312" w:hAnsi="宋体" w:eastAsia="仿宋_GB2312"/>
          <w:sz w:val="32"/>
          <w:szCs w:val="32"/>
        </w:rPr>
        <w:t>5万元</w:t>
      </w:r>
      <w:r>
        <w:rPr>
          <w:rFonts w:hint="eastAsia" w:ascii="仿宋_GB2312" w:hAnsi="宋体" w:eastAsia="仿宋_GB2312"/>
          <w:sz w:val="32"/>
          <w:szCs w:val="32"/>
          <w:lang w:val="zh-CN"/>
        </w:rPr>
        <w:t>、</w:t>
      </w:r>
      <w:r>
        <w:rPr>
          <w:rFonts w:hint="eastAsia" w:ascii="仿宋_GB2312" w:hAnsi="宋体" w:eastAsia="仿宋_GB2312"/>
          <w:sz w:val="32"/>
          <w:szCs w:val="32"/>
        </w:rPr>
        <w:t>财政</w:t>
      </w:r>
      <w:r>
        <w:rPr>
          <w:rFonts w:hint="eastAsia" w:ascii="仿宋_GB2312" w:hAnsi="宋体" w:eastAsia="仿宋_GB2312"/>
          <w:sz w:val="32"/>
          <w:szCs w:val="32"/>
          <w:lang w:val="zh-CN"/>
        </w:rPr>
        <w:t>批复</w:t>
      </w:r>
      <w:r>
        <w:rPr>
          <w:rFonts w:hint="eastAsia" w:ascii="仿宋_GB2312" w:hAnsi="宋体" w:eastAsia="仿宋_GB2312"/>
          <w:sz w:val="32"/>
          <w:szCs w:val="32"/>
        </w:rPr>
        <w:t>5万元。</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0" w:firstLineChars="200"/>
        <w:textAlignment w:val="auto"/>
        <w:rPr>
          <w:rFonts w:hint="eastAsia" w:ascii="华文楷体" w:hAnsi="华文楷体" w:eastAsia="华文楷体" w:cs="华文楷体"/>
          <w:b w:val="0"/>
          <w:bCs w:val="0"/>
          <w:sz w:val="32"/>
          <w:szCs w:val="32"/>
          <w:lang w:val="zh-CN"/>
        </w:rPr>
      </w:pPr>
      <w:r>
        <w:rPr>
          <w:rFonts w:hint="eastAsia" w:ascii="华文楷体" w:hAnsi="华文楷体" w:eastAsia="华文楷体" w:cs="华文楷体"/>
          <w:b w:val="0"/>
          <w:bCs w:val="0"/>
          <w:sz w:val="32"/>
          <w:szCs w:val="32"/>
          <w:lang w:val="zh-CN"/>
        </w:rPr>
        <w:t>资金计划、到位及使用情况</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资金计划及到位。</w:t>
      </w:r>
      <w:r>
        <w:rPr>
          <w:rFonts w:hint="eastAsia" w:ascii="仿宋_GB2312" w:hAnsi="宋体" w:eastAsia="仿宋_GB2312" w:cs="Times New Roman"/>
          <w:sz w:val="32"/>
          <w:szCs w:val="32"/>
          <w:lang w:val="zh-CN" w:eastAsia="zh-CN"/>
        </w:rPr>
        <w:t>该项目资金计划5万元项目资金申报5万元，财政批复5万元，截止评价时点实际到位5万元，为本级财政拨款资金，资金到位率100%。</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资金使用。</w:t>
      </w:r>
      <w:r>
        <w:rPr>
          <w:rFonts w:hint="eastAsia" w:ascii="仿宋_GB2312" w:hAnsi="宋体" w:eastAsia="仿宋_GB2312" w:cs="Times New Roman"/>
          <w:sz w:val="32"/>
          <w:szCs w:val="32"/>
          <w:lang w:val="en-US" w:eastAsia="zh-CN"/>
        </w:rPr>
        <w:t>已全部使用完毕，</w:t>
      </w:r>
      <w:r>
        <w:rPr>
          <w:rFonts w:hint="eastAsia" w:ascii="仿宋_GB2312" w:hAnsi="宋体" w:eastAsia="仿宋_GB2312"/>
          <w:sz w:val="32"/>
          <w:szCs w:val="32"/>
          <w:lang w:val="zh-CN"/>
        </w:rPr>
        <w:t>支付依据合规合法，资金支付与预算相符。</w:t>
      </w:r>
    </w:p>
    <w:p>
      <w:pPr>
        <w:adjustRightInd w:val="0"/>
        <w:snapToGrid w:val="0"/>
        <w:spacing w:line="576" w:lineRule="exact"/>
        <w:ind w:firstLine="720"/>
        <w:rPr>
          <w:rFonts w:hint="eastAsia" w:ascii="华文楷体" w:hAnsi="华文楷体" w:eastAsia="华文楷体" w:cs="华文楷体"/>
          <w:b w:val="0"/>
          <w:bCs w:val="0"/>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）项目财务管理情况。</w:t>
      </w:r>
      <w:r>
        <w:rPr>
          <w:rFonts w:hint="eastAsia" w:ascii="仿宋_GB2312" w:hAnsi="宋体" w:eastAsia="仿宋_GB2312"/>
          <w:sz w:val="32"/>
          <w:szCs w:val="32"/>
          <w:lang w:val="zh-CN"/>
        </w:rPr>
        <w:t>项目会计核算及账务处理</w:t>
      </w:r>
      <w:r>
        <w:rPr>
          <w:rFonts w:hint="eastAsia" w:ascii="仿宋_GB2312" w:hAnsi="宋体" w:eastAsia="仿宋_GB2312"/>
          <w:sz w:val="32"/>
          <w:szCs w:val="32"/>
        </w:rPr>
        <w:t>按照《预算法》《单位内控制度》</w:t>
      </w:r>
      <w:r>
        <w:rPr>
          <w:rFonts w:hint="eastAsia" w:ascii="仿宋_GB2312" w:hAnsi="宋体" w:eastAsia="仿宋_GB2312"/>
          <w:sz w:val="32"/>
          <w:szCs w:val="32"/>
          <w:lang w:val="zh-CN"/>
        </w:rPr>
        <w:t>等相关</w:t>
      </w:r>
      <w:r>
        <w:rPr>
          <w:rFonts w:hint="eastAsia" w:ascii="仿宋_GB2312" w:hAnsi="宋体" w:eastAsia="仿宋_GB2312"/>
          <w:sz w:val="32"/>
          <w:szCs w:val="32"/>
        </w:rPr>
        <w:t>规定，</w:t>
      </w:r>
      <w:r>
        <w:rPr>
          <w:rFonts w:hint="eastAsia" w:ascii="仿宋_GB2312" w:hAnsi="宋体" w:eastAsia="仿宋_GB2312"/>
          <w:sz w:val="32"/>
          <w:szCs w:val="32"/>
          <w:lang w:val="zh-CN"/>
        </w:rPr>
        <w:t>严格执行财务管理制度、财务处理及时、会计核算规范。</w:t>
      </w:r>
    </w:p>
    <w:p>
      <w:pPr>
        <w:adjustRightInd w:val="0"/>
        <w:snapToGrid w:val="0"/>
        <w:spacing w:line="576" w:lineRule="exact"/>
        <w:ind w:firstLine="720"/>
        <w:outlineLvl w:val="1"/>
        <w:rPr>
          <w:rFonts w:hint="eastAsia" w:ascii="黑体" w:hAnsi="黑体" w:eastAsia="黑体" w:cs="黑体"/>
          <w:bCs/>
          <w:sz w:val="32"/>
          <w:szCs w:val="32"/>
        </w:rPr>
      </w:pPr>
      <w:bookmarkStart w:id="109" w:name="_Toc23706"/>
      <w:r>
        <w:rPr>
          <w:rFonts w:hint="eastAsia" w:ascii="黑体" w:hAnsi="黑体" w:eastAsia="黑体" w:cs="黑体"/>
          <w:bCs/>
          <w:sz w:val="32"/>
          <w:szCs w:val="32"/>
          <w:lang w:val="en-US" w:eastAsia="zh-CN"/>
        </w:rPr>
        <w:t>三、</w:t>
      </w:r>
      <w:r>
        <w:rPr>
          <w:rFonts w:hint="eastAsia" w:ascii="黑体" w:hAnsi="黑体" w:eastAsia="黑体" w:cs="黑体"/>
          <w:bCs/>
          <w:sz w:val="32"/>
          <w:szCs w:val="32"/>
        </w:rPr>
        <w:t>项目实施及管理情况</w:t>
      </w:r>
      <w:bookmarkEnd w:id="109"/>
    </w:p>
    <w:p>
      <w:pPr>
        <w:adjustRightInd w:val="0"/>
        <w:snapToGrid w:val="0"/>
        <w:spacing w:line="576" w:lineRule="exact"/>
        <w:ind w:firstLine="720"/>
        <w:rPr>
          <w:rFonts w:hint="eastAsia" w:ascii="仿宋_GB2312" w:hAnsi="宋体" w:eastAsia="仿宋_GB2312"/>
          <w:sz w:val="32"/>
          <w:szCs w:val="32"/>
          <w:lang w:val="en-US" w:eastAsia="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一</w:t>
      </w:r>
      <w:r>
        <w:rPr>
          <w:rFonts w:hint="eastAsia" w:ascii="楷体_GB2312" w:hAnsi="楷体_GB2312" w:eastAsia="楷体_GB2312" w:cs="楷体_GB2312"/>
          <w:bCs/>
          <w:sz w:val="32"/>
          <w:szCs w:val="32"/>
          <w:lang w:val="zh-CN"/>
        </w:rPr>
        <w:t>）项目组织架构及实施流程。</w:t>
      </w:r>
      <w:r>
        <w:rPr>
          <w:rFonts w:hint="eastAsia" w:ascii="仿宋_GB2312" w:hAnsi="宋体" w:eastAsia="仿宋_GB2312"/>
          <w:sz w:val="32"/>
          <w:szCs w:val="32"/>
          <w:lang w:val="en-US" w:eastAsia="zh-CN"/>
        </w:rPr>
        <w:t>由船检科牵头，对全市船舶进行检验与修造开展专项工作。</w:t>
      </w:r>
      <w:r>
        <w:rPr>
          <w:rFonts w:hint="eastAsia" w:ascii="仿宋_GB2312" w:hAnsi="宋体" w:eastAsia="仿宋_GB2312"/>
          <w:sz w:val="32"/>
          <w:szCs w:val="32"/>
          <w:lang w:val="zh-CN"/>
        </w:rPr>
        <w:t>该经费项目主要用于船舶检验与修造管理专项工作经费项目支出。</w:t>
      </w:r>
    </w:p>
    <w:p>
      <w:pPr>
        <w:adjustRightInd w:val="0"/>
        <w:snapToGrid w:val="0"/>
        <w:spacing w:line="576" w:lineRule="exact"/>
        <w:ind w:firstLine="720"/>
        <w:rPr>
          <w:rFonts w:hint="eastAsia" w:ascii="仿宋_GB2312" w:hAnsi="宋体" w:eastAsia="仿宋_GB2312"/>
          <w:sz w:val="32"/>
          <w:szCs w:val="32"/>
          <w:lang w:val="zh-CN"/>
        </w:rPr>
      </w:pPr>
      <w:r>
        <w:rPr>
          <w:rFonts w:hint="eastAsia" w:ascii="楷体_GB2312" w:hAnsi="楷体_GB2312" w:eastAsia="楷体_GB2312" w:cs="楷体_GB2312"/>
          <w:bCs/>
          <w:sz w:val="32"/>
          <w:szCs w:val="32"/>
          <w:lang w:val="zh-CN"/>
        </w:rPr>
        <w:t>（二）项目管理情况。</w:t>
      </w:r>
      <w:r>
        <w:rPr>
          <w:rFonts w:hint="eastAsia" w:ascii="仿宋_GB2312" w:hAnsi="宋体" w:eastAsia="仿宋_GB2312" w:cs="Times New Roman"/>
          <w:b w:val="0"/>
          <w:bCs w:val="0"/>
          <w:sz w:val="32"/>
          <w:szCs w:val="32"/>
          <w:lang w:val="en-US" w:eastAsia="zh-CN"/>
        </w:rPr>
        <w:t>按照《预算法》对项目进行预算公开，每季度进行绩效项目分析。</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（三）项目监管情况。</w:t>
      </w:r>
      <w:r>
        <w:rPr>
          <w:rFonts w:hint="eastAsia" w:ascii="仿宋_GB2312" w:hAnsi="宋体" w:eastAsia="仿宋_GB2312"/>
          <w:sz w:val="32"/>
          <w:szCs w:val="32"/>
          <w:lang w:val="zh-CN"/>
        </w:rPr>
        <w:t>该经费项目主要用于船舶检验与修造管理专项工作经费项目支出。</w:t>
      </w:r>
      <w:r>
        <w:rPr>
          <w:rFonts w:hint="eastAsia" w:ascii="仿宋_GB2312" w:hAnsi="宋体" w:eastAsia="仿宋_GB2312"/>
          <w:sz w:val="32"/>
          <w:szCs w:val="32"/>
          <w:lang w:val="en-US" w:eastAsia="zh-CN"/>
        </w:rPr>
        <w:t>每月通过中心主任办公会对项目进度情况进行通报，</w:t>
      </w:r>
      <w:r>
        <w:rPr>
          <w:rFonts w:hint="eastAsia" w:ascii="仿宋_GB2312" w:hAnsi="宋体" w:eastAsia="仿宋_GB2312"/>
          <w:sz w:val="32"/>
          <w:szCs w:val="32"/>
          <w:lang w:val="zh-CN"/>
        </w:rPr>
        <w:t>截止评价日，基本完成了资金的申报、审核、支付流程。截止评价时点项目资金的实际支出</w:t>
      </w:r>
      <w:r>
        <w:rPr>
          <w:rFonts w:hint="eastAsia" w:ascii="仿宋_GB2312" w:hAnsi="宋体" w:eastAsia="仿宋_GB2312"/>
          <w:sz w:val="32"/>
          <w:szCs w:val="32"/>
        </w:rPr>
        <w:t>5万元</w:t>
      </w:r>
      <w:r>
        <w:rPr>
          <w:rFonts w:hint="eastAsia" w:ascii="仿宋_GB2312" w:hAnsi="宋体" w:eastAsia="仿宋_GB2312"/>
          <w:sz w:val="32"/>
          <w:szCs w:val="32"/>
          <w:lang w:val="zh-CN"/>
        </w:rPr>
        <w:t>，主要用于船舶检验与修造管理专项工作经费项目支出。支付依据合规合法，资金支付与预算相符。</w:t>
      </w:r>
    </w:p>
    <w:p>
      <w:pPr>
        <w:adjustRightInd w:val="0"/>
        <w:snapToGrid w:val="0"/>
        <w:spacing w:line="576" w:lineRule="exact"/>
        <w:ind w:firstLine="720"/>
        <w:outlineLvl w:val="1"/>
        <w:rPr>
          <w:rFonts w:hint="eastAsia" w:ascii="黑体" w:hAnsi="黑体" w:eastAsia="黑体" w:cs="黑体"/>
          <w:bCs/>
          <w:sz w:val="32"/>
          <w:szCs w:val="32"/>
          <w:lang w:val="zh-CN"/>
        </w:rPr>
      </w:pPr>
      <w:bookmarkStart w:id="110" w:name="_Toc15247"/>
      <w:r>
        <w:rPr>
          <w:rFonts w:hint="eastAsia" w:ascii="黑体" w:hAnsi="黑体" w:eastAsia="黑体" w:cs="黑体"/>
          <w:bCs/>
          <w:sz w:val="32"/>
          <w:szCs w:val="32"/>
          <w:lang w:val="en-US" w:eastAsia="zh-CN"/>
        </w:rPr>
        <w:t>四</w:t>
      </w:r>
      <w:r>
        <w:rPr>
          <w:rFonts w:hint="eastAsia" w:ascii="黑体" w:hAnsi="黑体" w:eastAsia="黑体" w:cs="黑体"/>
          <w:bCs/>
          <w:sz w:val="32"/>
          <w:szCs w:val="32"/>
        </w:rPr>
        <w:t>、项目绩效情况</w:t>
      </w:r>
      <w:bookmarkEnd w:id="110"/>
      <w:r>
        <w:rPr>
          <w:rFonts w:hint="eastAsia" w:ascii="黑体" w:hAnsi="黑体" w:eastAsia="黑体" w:cs="黑体"/>
          <w:bCs/>
          <w:sz w:val="32"/>
          <w:szCs w:val="32"/>
          <w:lang w:val="zh-CN"/>
        </w:rPr>
        <w:tab/>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eastAsia="仿宋_GB2312"/>
          <w:sz w:val="32"/>
          <w:szCs w:val="32"/>
        </w:rPr>
        <w:t>认真把好船舶安全源头关，完成新建船舶图纸审查12套，完成船舶建造检验9艘、营运检验138艘，完成渔船检验57艘，完成“兴川江”8号、9号两艘千吨级多用途货船倾斜及试航实验、系泊实验，完成嘉陵江流域最大运输船舶的建造检验工作。</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zh-CN"/>
        </w:rPr>
        <w:t>）项目效益情况。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填补了川东北大型船舶检验空白，全省船检工作现场会、全省船检业务培训会先后在我市召开。</w:t>
      </w:r>
    </w:p>
    <w:p>
      <w:pPr>
        <w:spacing w:line="576" w:lineRule="exact"/>
        <w:ind w:firstLine="640" w:firstLineChars="200"/>
        <w:outlineLvl w:val="1"/>
        <w:rPr>
          <w:rFonts w:hint="eastAsia" w:ascii="黑体" w:hAnsi="黑体" w:eastAsia="黑体" w:cs="黑体"/>
          <w:bCs/>
          <w:sz w:val="32"/>
          <w:szCs w:val="32"/>
        </w:rPr>
      </w:pPr>
      <w:bookmarkStart w:id="111" w:name="_Toc17278"/>
      <w:r>
        <w:rPr>
          <w:rFonts w:hint="eastAsia" w:ascii="黑体" w:hAnsi="黑体" w:eastAsia="黑体" w:cs="黑体"/>
          <w:bCs/>
          <w:sz w:val="32"/>
          <w:szCs w:val="32"/>
          <w:lang w:val="en-US" w:eastAsia="zh-CN"/>
        </w:rPr>
        <w:t>五</w:t>
      </w:r>
      <w:r>
        <w:rPr>
          <w:rFonts w:hint="eastAsia" w:ascii="黑体" w:hAnsi="黑体" w:eastAsia="黑体" w:cs="黑体"/>
          <w:bCs/>
          <w:sz w:val="32"/>
          <w:szCs w:val="32"/>
        </w:rPr>
        <w:t>、问题及建议</w:t>
      </w:r>
      <w:bookmarkEnd w:id="111"/>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rPr>
      </w:pPr>
      <w:r>
        <w:rPr>
          <w:rFonts w:hint="eastAsia" w:ascii="楷体_GB2312" w:hAnsi="楷体_GB2312" w:eastAsia="楷体_GB2312" w:cs="楷体_GB2312"/>
          <w:bCs/>
          <w:sz w:val="32"/>
          <w:szCs w:val="32"/>
          <w:lang w:val="zh-CN"/>
        </w:rPr>
        <w:t>（一）评价结论。</w:t>
      </w:r>
      <w:r>
        <w:rPr>
          <w:rFonts w:hint="eastAsia" w:ascii="仿宋_GB2312" w:hAnsi="宋体" w:eastAsia="仿宋_GB2312" w:cs="Times New Roman"/>
          <w:sz w:val="32"/>
          <w:szCs w:val="32"/>
          <w:lang w:val="en-US" w:eastAsia="zh-CN"/>
        </w:rPr>
        <w:t>此专项资金解决了部分船检师外出进行船检以及调研工作的差旅费、工作必要开支，保障了该项工作能基本完成。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highlight w:val="yellow"/>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val="zh-CN"/>
        </w:rPr>
        <w:t>）存在的问题。</w:t>
      </w:r>
      <w:r>
        <w:rPr>
          <w:rFonts w:hint="eastAsia" w:ascii="仿宋_GB2312" w:hAnsi="宋体" w:eastAsia="仿宋_GB2312"/>
          <w:sz w:val="32"/>
          <w:szCs w:val="32"/>
        </w:rPr>
        <w:t>中心承担了全市船舶建造检验及20米以上大船营运检验职责，加之2020年市农业农村局渔船检验职责全部转隶至我中心船舶检验机构，中心船舶检验工作任务重、压力大，而中心目前仅有验船师2名，远远无法满足全市船舶检验工作需要，有可能导致船舶脱检、迟检。</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olor w:val="auto"/>
          <w:sz w:val="44"/>
          <w:szCs w:val="44"/>
          <w:highlight w:val="none"/>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）相关建议。</w:t>
      </w:r>
      <w:r>
        <w:rPr>
          <w:rFonts w:hint="eastAsia" w:ascii="仿宋_GB2312" w:hAnsi="宋体" w:eastAsia="仿宋_GB2312"/>
          <w:sz w:val="32"/>
          <w:szCs w:val="32"/>
        </w:rPr>
        <w:t>增加相关福利待遇，激励职工考取注册验船师资格，化解验船师短缺矛盾。</w:t>
      </w:r>
      <w:r>
        <w:rPr>
          <w:rFonts w:hint="eastAsia" w:ascii="黑体" w:hAnsi="黑体" w:eastAsia="黑体"/>
          <w:color w:val="auto"/>
          <w:sz w:val="44"/>
          <w:szCs w:val="44"/>
          <w:highlight w:val="none"/>
        </w:rP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drawing>
          <wp:anchor distT="0" distB="0" distL="114935" distR="114935" simplePos="0" relativeHeight="251665408" behindDoc="0" locked="0" layoutInCell="1" allowOverlap="1">
            <wp:simplePos x="0" y="0"/>
            <wp:positionH relativeFrom="column">
              <wp:posOffset>41910</wp:posOffset>
            </wp:positionH>
            <wp:positionV relativeFrom="paragraph">
              <wp:posOffset>93980</wp:posOffset>
            </wp:positionV>
            <wp:extent cx="5269230" cy="6055360"/>
            <wp:effectExtent l="0" t="0" r="3810" b="10160"/>
            <wp:wrapTopAndBottom/>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4"/>
                    <a:stretch>
                      <a:fillRect/>
                    </a:stretch>
                  </pic:blipFill>
                  <pic:spPr>
                    <a:xfrm>
                      <a:off x="0" y="0"/>
                      <a:ext cx="5269230" cy="6055360"/>
                    </a:xfrm>
                    <a:prstGeom prst="rect">
                      <a:avLst/>
                    </a:prstGeom>
                    <a:noFill/>
                    <a:ln>
                      <a:noFill/>
                    </a:ln>
                  </pic:spPr>
                </pic:pic>
              </a:graphicData>
            </a:graphic>
          </wp:anchor>
        </w:drawing>
      </w:r>
      <w:r>
        <w:rPr>
          <w:rFonts w:hint="eastAsia" w:ascii="黑体" w:hAnsi="黑体" w:eastAsia="黑体"/>
          <w:color w:val="auto"/>
          <w:sz w:val="44"/>
          <w:szCs w:val="44"/>
          <w:highlight w:val="none"/>
        </w:rPr>
        <w:br w:type="page"/>
      </w:r>
      <w:r>
        <w:rPr>
          <w:rFonts w:hint="eastAsia" w:ascii="方正小标宋简体" w:hAnsi="方正小标宋简体" w:eastAsia="方正小标宋简体" w:cs="方正小标宋简体"/>
          <w:color w:val="auto"/>
          <w:kern w:val="2"/>
          <w:sz w:val="40"/>
          <w:szCs w:val="40"/>
          <w:highlight w:val="none"/>
          <w:lang w:val="en-US" w:eastAsia="zh-CN" w:bidi="ar-SA"/>
        </w:rPr>
        <w:t>2021年嘉陵江数字航道平台运行维护项目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p>
    <w:p>
      <w:pPr>
        <w:rPr>
          <w:rFonts w:hint="eastAsia" w:ascii="黑体" w:hAnsi="黑体" w:eastAsia="黑体" w:cs="黑体"/>
          <w:bCs/>
          <w:sz w:val="32"/>
          <w:szCs w:val="32"/>
        </w:rPr>
      </w:pPr>
    </w:p>
    <w:p>
      <w:pPr>
        <w:outlineLvl w:val="1"/>
        <w:rPr>
          <w:rFonts w:hint="eastAsia" w:ascii="黑体" w:hAnsi="黑体" w:eastAsia="黑体" w:cs="黑体"/>
          <w:bCs/>
          <w:sz w:val="32"/>
          <w:szCs w:val="32"/>
          <w:lang w:val="zh-CN"/>
        </w:rPr>
      </w:pPr>
      <w:bookmarkStart w:id="112" w:name="_Toc31353"/>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bookmarkEnd w:id="112"/>
    </w:p>
    <w:p>
      <w:pPr>
        <w:numPr>
          <w:ilvl w:val="0"/>
          <w:numId w:val="12"/>
        </w:numPr>
        <w:adjustRightInd w:val="0"/>
        <w:snapToGrid w:val="0"/>
        <w:spacing w:line="576" w:lineRule="exact"/>
        <w:ind w:firstLine="720"/>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lang w:val="zh-CN"/>
        </w:rPr>
        <w:t>项目基本情况。</w:t>
      </w:r>
      <w:r>
        <w:rPr>
          <w:rFonts w:hint="eastAsia" w:ascii="仿宋_GB2312" w:hAnsi="仿宋_GB2312" w:eastAsia="仿宋_GB2312" w:cs="仿宋_GB2312"/>
          <w:sz w:val="32"/>
          <w:szCs w:val="32"/>
          <w:lang w:val="en-US" w:eastAsia="zh-CN"/>
        </w:rPr>
        <w:t>该项目由主管部门自主实施，是根据工作职能职责设立，项目资金全部专款专用于</w:t>
      </w:r>
      <w:r>
        <w:rPr>
          <w:rFonts w:hint="eastAsia" w:ascii="仿宋_GB2312" w:hAnsi="仿宋_GB2312" w:eastAsia="仿宋_GB2312" w:cs="仿宋_GB2312"/>
          <w:sz w:val="32"/>
          <w:szCs w:val="32"/>
        </w:rPr>
        <w:t>嘉陵江数字航道平台运行维护</w:t>
      </w:r>
      <w:r>
        <w:rPr>
          <w:rFonts w:hint="eastAsia" w:ascii="仿宋_GB2312" w:hAnsi="仿宋_GB2312" w:eastAsia="仿宋_GB2312" w:cs="仿宋_GB2312"/>
          <w:sz w:val="32"/>
          <w:szCs w:val="32"/>
          <w:lang w:eastAsia="zh-CN"/>
        </w:rPr>
        <w:t>。</w:t>
      </w:r>
    </w:p>
    <w:p>
      <w:pPr>
        <w:numPr>
          <w:ilvl w:val="0"/>
          <w:numId w:val="12"/>
        </w:numPr>
        <w:adjustRightInd w:val="0"/>
        <w:snapToGrid w:val="0"/>
        <w:spacing w:line="576" w:lineRule="exact"/>
        <w:ind w:firstLine="720"/>
        <w:rPr>
          <w:rFonts w:hint="eastAsia" w:ascii="仿宋_GB2312" w:hAnsi="宋体" w:eastAsia="仿宋_GB2312"/>
          <w:sz w:val="32"/>
          <w:szCs w:val="32"/>
          <w:lang w:val="zh-CN"/>
        </w:rPr>
      </w:pPr>
      <w:r>
        <w:rPr>
          <w:rFonts w:hint="eastAsia" w:ascii="楷体_GB2312" w:hAnsi="楷体_GB2312" w:eastAsia="楷体_GB2312" w:cs="楷体_GB2312"/>
          <w:bCs/>
          <w:sz w:val="32"/>
          <w:szCs w:val="32"/>
          <w:lang w:val="zh-CN"/>
        </w:rPr>
        <w:t>项目绩效目标。</w:t>
      </w:r>
    </w:p>
    <w:p>
      <w:pPr>
        <w:keepNext w:val="0"/>
        <w:keepLines w:val="0"/>
        <w:pageBreakBefore w:val="0"/>
        <w:widowControl w:val="0"/>
        <w:numPr>
          <w:ilvl w:val="0"/>
          <w:numId w:val="13"/>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zh-CN"/>
        </w:rPr>
        <w:t>实现嘉陵江高等级航道可视化，管养科学化，为航道管养提供科学依据，为船舶企业和船主提供清晰可见的嘉陵江电子航道图，优化船舶过闸安检互认机制，达到“一次认证全江通行”，为建设成渝地区北向重要门户枢纽和生态康养“后花园”贡献广元水运力量。</w:t>
      </w:r>
    </w:p>
    <w:p>
      <w:pPr>
        <w:keepNext w:val="0"/>
        <w:keepLines w:val="0"/>
        <w:pageBreakBefore w:val="0"/>
        <w:widowControl w:val="0"/>
        <w:numPr>
          <w:ilvl w:val="0"/>
          <w:numId w:val="13"/>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航道监控=15处、码头监控=5处、水位监测=4处、通航建筑物及船闸=3处；拟定全市通航水域信息化建设、维护规划</w:t>
      </w:r>
      <w:r>
        <w:rPr>
          <w:rFonts w:hint="eastAsia" w:ascii="仿宋_GB2312" w:hAnsi="宋体" w:eastAsia="仿宋_GB2312"/>
          <w:sz w:val="32"/>
          <w:szCs w:val="32"/>
          <w:lang w:val="zh-CN"/>
        </w:rPr>
        <w:tab/>
      </w:r>
      <w:r>
        <w:rPr>
          <w:rFonts w:hint="eastAsia" w:ascii="仿宋_GB2312" w:hAnsi="宋体" w:eastAsia="仿宋_GB2312"/>
          <w:sz w:val="32"/>
          <w:szCs w:val="32"/>
          <w:lang w:val="zh-CN"/>
        </w:rPr>
        <w:t>=100%；实现通航水域“全方位覆盖”的现代化水上交通信息化综合管理，提升航道及通航建筑物通行效率，全面服务于航运事业发展=100%、对两个港口作业区、三个通航建筑物及亭子湖、白龙湖、升钟水库等重点区域的信息化设施建设维护进行专项督导=8处；全年</w:t>
      </w:r>
      <w:r>
        <w:rPr>
          <w:rFonts w:hint="eastAsia" w:ascii="仿宋_GB2312" w:hAnsi="宋体" w:eastAsia="仿宋_GB2312"/>
          <w:sz w:val="32"/>
          <w:szCs w:val="32"/>
          <w:lang w:val="zh-CN"/>
        </w:rPr>
        <w:tab/>
      </w:r>
      <w:r>
        <w:rPr>
          <w:rFonts w:hint="eastAsia" w:ascii="仿宋_GB2312" w:hAnsi="宋体" w:eastAsia="仿宋_GB2312"/>
          <w:sz w:val="32"/>
          <w:szCs w:val="32"/>
          <w:lang w:val="zh-CN"/>
        </w:rPr>
        <w:t>2021年1月-12月；平台运行及维护费用</w:t>
      </w:r>
      <w:r>
        <w:rPr>
          <w:rFonts w:hint="eastAsia" w:ascii="仿宋_GB2312" w:hAnsi="宋体" w:eastAsia="仿宋_GB2312"/>
          <w:sz w:val="32"/>
          <w:szCs w:val="32"/>
          <w:lang w:val="zh-CN"/>
        </w:rPr>
        <w:tab/>
      </w:r>
      <w:r>
        <w:rPr>
          <w:rFonts w:hint="eastAsia" w:ascii="仿宋_GB2312" w:hAnsi="宋体" w:eastAsia="仿宋_GB2312"/>
          <w:sz w:val="32"/>
          <w:szCs w:val="32"/>
          <w:lang w:val="zh-CN"/>
        </w:rPr>
        <w:t>&lt;=12.31万元；落实信息化建设维护工作，提高信息化维护监管能力，为成渝经济圈协同发展贡献广元水运力量；服务对象满意度</w:t>
      </w:r>
      <w:r>
        <w:rPr>
          <w:rFonts w:hint="eastAsia" w:ascii="仿宋_GB2312" w:hAnsi="宋体" w:eastAsia="仿宋_GB2312"/>
          <w:sz w:val="32"/>
          <w:szCs w:val="32"/>
          <w:lang w:val="zh-CN"/>
        </w:rPr>
        <w:tab/>
      </w:r>
      <w:r>
        <w:rPr>
          <w:rFonts w:hint="eastAsia" w:ascii="仿宋_GB2312" w:hAnsi="宋体" w:eastAsia="仿宋_GB2312"/>
          <w:sz w:val="32"/>
          <w:szCs w:val="32"/>
          <w:lang w:val="zh-CN"/>
        </w:rPr>
        <w:t>&gt;=90%。</w:t>
      </w:r>
    </w:p>
    <w:p>
      <w:pPr>
        <w:keepNext w:val="0"/>
        <w:keepLines w:val="0"/>
        <w:pageBreakBefore w:val="0"/>
        <w:widowControl w:val="0"/>
        <w:numPr>
          <w:ilvl w:val="0"/>
          <w:numId w:val="13"/>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项目申报内容与具体实施内容相符、申报目标合理可行。</w:t>
      </w:r>
    </w:p>
    <w:p>
      <w:pPr>
        <w:numPr>
          <w:ilvl w:val="0"/>
          <w:numId w:val="12"/>
        </w:numPr>
        <w:adjustRightInd w:val="0"/>
        <w:snapToGrid w:val="0"/>
        <w:spacing w:line="576" w:lineRule="exact"/>
        <w:ind w:firstLine="720"/>
        <w:rPr>
          <w:rFonts w:hint="eastAsia" w:ascii="仿宋_GB2312" w:hAnsi="宋体" w:eastAsia="仿宋_GB2312" w:cs="Times New Roman"/>
          <w:sz w:val="32"/>
          <w:szCs w:val="32"/>
          <w:lang w:val="zh-CN" w:eastAsia="zh-CN"/>
        </w:rPr>
      </w:pPr>
      <w:r>
        <w:rPr>
          <w:rFonts w:hint="eastAsia" w:ascii="楷体_GB2312" w:hAnsi="楷体_GB2312" w:eastAsia="楷体_GB2312" w:cs="楷体_GB2312"/>
          <w:bCs/>
          <w:sz w:val="32"/>
          <w:szCs w:val="32"/>
          <w:lang w:val="zh-CN"/>
        </w:rPr>
        <w:t>项目自评步骤及方法。</w:t>
      </w:r>
      <w:r>
        <w:rPr>
          <w:rFonts w:hint="eastAsia" w:ascii="仿宋_GB2312" w:hAnsi="宋体" w:eastAsia="仿宋_GB2312" w:cs="Times New Roman"/>
          <w:sz w:val="32"/>
          <w:szCs w:val="32"/>
          <w:lang w:val="zh-CN" w:eastAsia="zh-CN"/>
        </w:rPr>
        <w:t>业务科室对照《2022年市级专项预算项目支出绩效评价指标体系》，完善相关指标并进行自评打分。</w:t>
      </w:r>
    </w:p>
    <w:p>
      <w:pPr>
        <w:adjustRightInd w:val="0"/>
        <w:snapToGrid w:val="0"/>
        <w:spacing w:line="576" w:lineRule="exact"/>
        <w:ind w:firstLine="720"/>
        <w:outlineLvl w:val="1"/>
        <w:rPr>
          <w:rFonts w:hint="eastAsia" w:ascii="黑体" w:hAnsi="黑体" w:eastAsia="黑体" w:cs="黑体"/>
          <w:bCs/>
          <w:sz w:val="32"/>
          <w:szCs w:val="32"/>
        </w:rPr>
      </w:pPr>
      <w:bookmarkStart w:id="113" w:name="_Toc29091"/>
      <w:r>
        <w:rPr>
          <w:rFonts w:hint="eastAsia" w:ascii="黑体" w:hAnsi="黑体" w:eastAsia="黑体" w:cs="黑体"/>
          <w:bCs/>
          <w:sz w:val="32"/>
          <w:szCs w:val="32"/>
        </w:rPr>
        <w:t>二、项目实施及管理情况</w:t>
      </w:r>
      <w:bookmarkEnd w:id="113"/>
    </w:p>
    <w:p>
      <w:pPr>
        <w:adjustRightInd w:val="0"/>
        <w:snapToGrid w:val="0"/>
        <w:spacing w:line="576" w:lineRule="exact"/>
        <w:ind w:firstLine="720"/>
        <w:rPr>
          <w:rFonts w:hint="eastAsia" w:ascii="仿宋_GB2312" w:hAnsi="宋体" w:eastAsia="仿宋_GB2312" w:cs="Times New Roman"/>
          <w:sz w:val="32"/>
          <w:szCs w:val="32"/>
          <w:lang w:val="zh-CN"/>
        </w:rPr>
      </w:pPr>
      <w:r>
        <w:rPr>
          <w:rFonts w:hint="eastAsia" w:ascii="楷体_GB2312" w:hAnsi="楷体_GB2312" w:eastAsia="楷体_GB2312" w:cs="楷体_GB2312"/>
          <w:bCs/>
          <w:sz w:val="32"/>
          <w:szCs w:val="32"/>
          <w:lang w:val="zh-CN"/>
        </w:rPr>
        <w:t>（一）项目资金申报及批复情况。</w:t>
      </w:r>
      <w:r>
        <w:rPr>
          <w:rFonts w:hint="eastAsia" w:ascii="仿宋_GB2312" w:hAnsi="宋体" w:eastAsia="仿宋_GB2312" w:cs="Times New Roman"/>
          <w:sz w:val="32"/>
          <w:szCs w:val="32"/>
          <w:lang w:val="zh-CN"/>
        </w:rPr>
        <w:t>项目资金申报7.31万元、财政批复7.31万元。</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val="zh-CN"/>
        </w:rPr>
        <w:t>）资金计划、到位及使用情况。</w:t>
      </w:r>
    </w:p>
    <w:p>
      <w:pPr>
        <w:adjustRightInd w:val="0"/>
        <w:snapToGrid w:val="0"/>
        <w:spacing w:line="576" w:lineRule="exact"/>
        <w:ind w:firstLine="720"/>
        <w:rPr>
          <w:rFonts w:hint="eastAsia" w:ascii="仿宋_GB2312" w:hAnsi="宋体" w:eastAsia="仿宋_GB2312"/>
          <w:sz w:val="32"/>
          <w:szCs w:val="32"/>
        </w:rPr>
      </w:pPr>
      <w:r>
        <w:rPr>
          <w:rFonts w:hint="eastAsia" w:ascii="仿宋_GB2312" w:hAnsi="宋体" w:eastAsia="仿宋_GB2312"/>
          <w:sz w:val="32"/>
          <w:szCs w:val="32"/>
          <w:lang w:val="zh-CN"/>
        </w:rPr>
        <w:t>1．资金计划及到位。该项目资金计划</w:t>
      </w:r>
      <w:r>
        <w:rPr>
          <w:rFonts w:hint="eastAsia" w:ascii="仿宋_GB2312" w:hAnsi="宋体" w:eastAsia="仿宋_GB2312"/>
          <w:sz w:val="32"/>
          <w:szCs w:val="32"/>
        </w:rPr>
        <w:t>7.31万元，</w:t>
      </w:r>
      <w:r>
        <w:rPr>
          <w:rFonts w:hint="eastAsia" w:ascii="仿宋_GB2312" w:hAnsi="宋体" w:eastAsia="仿宋_GB2312"/>
          <w:sz w:val="32"/>
          <w:szCs w:val="32"/>
          <w:lang w:val="zh-CN"/>
        </w:rPr>
        <w:t>截止评价时点实际到位</w:t>
      </w:r>
      <w:r>
        <w:rPr>
          <w:rFonts w:hint="eastAsia" w:ascii="仿宋_GB2312" w:hAnsi="宋体" w:eastAsia="仿宋_GB2312"/>
          <w:sz w:val="32"/>
          <w:szCs w:val="32"/>
        </w:rPr>
        <w:t>7.31万元</w:t>
      </w:r>
      <w:r>
        <w:rPr>
          <w:rFonts w:hint="eastAsia" w:ascii="仿宋_GB2312" w:hAnsi="宋体" w:eastAsia="仿宋_GB2312"/>
          <w:sz w:val="32"/>
          <w:szCs w:val="32"/>
          <w:lang w:val="zh-CN"/>
        </w:rPr>
        <w:t>，</w:t>
      </w:r>
      <w:r>
        <w:rPr>
          <w:rStyle w:val="30"/>
          <w:rFonts w:ascii="仿宋_GB2312" w:hAnsi="宋体" w:eastAsia="仿宋_GB2312"/>
          <w:sz w:val="32"/>
          <w:szCs w:val="32"/>
        </w:rPr>
        <w:t>为本级财政拨款资金</w:t>
      </w:r>
      <w:r>
        <w:rPr>
          <w:rStyle w:val="30"/>
          <w:rFonts w:hint="eastAsia" w:ascii="仿宋_GB2312" w:hAnsi="宋体" w:eastAsia="仿宋_GB2312"/>
          <w:sz w:val="32"/>
          <w:szCs w:val="32"/>
        </w:rPr>
        <w:t>，</w:t>
      </w:r>
      <w:r>
        <w:rPr>
          <w:rFonts w:hint="eastAsia" w:ascii="仿宋_GB2312" w:hAnsi="宋体" w:eastAsia="仿宋_GB2312"/>
          <w:sz w:val="32"/>
          <w:szCs w:val="32"/>
          <w:lang w:val="zh-CN"/>
        </w:rPr>
        <w:t>资金到位率</w:t>
      </w:r>
      <w:r>
        <w:rPr>
          <w:rFonts w:hint="eastAsia" w:ascii="仿宋_GB2312" w:hAnsi="宋体" w:eastAsia="仿宋_GB2312"/>
          <w:sz w:val="32"/>
          <w:szCs w:val="32"/>
        </w:rPr>
        <w:t>100%。</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2．资金使用。截止评价时点项目资金的实际支出</w:t>
      </w:r>
      <w:r>
        <w:rPr>
          <w:rFonts w:hint="eastAsia" w:ascii="仿宋_GB2312" w:hAnsi="宋体" w:eastAsia="仿宋_GB2312"/>
          <w:sz w:val="32"/>
          <w:szCs w:val="32"/>
        </w:rPr>
        <w:t>7.31万元</w:t>
      </w:r>
      <w:r>
        <w:rPr>
          <w:rFonts w:hint="eastAsia" w:ascii="仿宋_GB2312" w:hAnsi="宋体" w:eastAsia="仿宋_GB2312"/>
          <w:sz w:val="32"/>
          <w:szCs w:val="32"/>
          <w:lang w:val="zh-CN"/>
        </w:rPr>
        <w:t>，主要用于嘉陵江数字航道平台运行维护项目支出。支付依据合规合法，资金支付与预算相符。</w:t>
      </w:r>
    </w:p>
    <w:p>
      <w:pPr>
        <w:adjustRightInd w:val="0"/>
        <w:snapToGrid w:val="0"/>
        <w:spacing w:line="576" w:lineRule="exact"/>
        <w:ind w:firstLine="720"/>
        <w:rPr>
          <w:rFonts w:hint="eastAsia" w:ascii="仿宋_GB2312" w:hAnsi="宋体" w:eastAsia="仿宋_GB2312"/>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）项目财务管理情况。</w:t>
      </w:r>
      <w:r>
        <w:rPr>
          <w:rFonts w:hint="eastAsia" w:ascii="仿宋_GB2312" w:hAnsi="宋体" w:eastAsia="仿宋_GB2312"/>
          <w:sz w:val="32"/>
          <w:szCs w:val="32"/>
          <w:lang w:val="zh-CN"/>
        </w:rPr>
        <w:t>项目会计核算及账务处理</w:t>
      </w:r>
      <w:r>
        <w:rPr>
          <w:rFonts w:hint="eastAsia" w:ascii="仿宋_GB2312" w:hAnsi="宋体" w:eastAsia="仿宋_GB2312"/>
          <w:sz w:val="32"/>
          <w:szCs w:val="32"/>
        </w:rPr>
        <w:t>按照《预算法》《单位内控制度》</w:t>
      </w:r>
      <w:r>
        <w:rPr>
          <w:rFonts w:hint="eastAsia" w:ascii="仿宋_GB2312" w:hAnsi="宋体" w:eastAsia="仿宋_GB2312"/>
          <w:sz w:val="32"/>
          <w:szCs w:val="32"/>
          <w:lang w:val="zh-CN"/>
        </w:rPr>
        <w:t>等相关</w:t>
      </w:r>
      <w:r>
        <w:rPr>
          <w:rFonts w:hint="eastAsia" w:ascii="仿宋_GB2312" w:hAnsi="宋体" w:eastAsia="仿宋_GB2312"/>
          <w:sz w:val="32"/>
          <w:szCs w:val="32"/>
        </w:rPr>
        <w:t>规定，</w:t>
      </w:r>
      <w:r>
        <w:rPr>
          <w:rFonts w:hint="eastAsia" w:ascii="仿宋_GB2312" w:hAnsi="宋体" w:eastAsia="仿宋_GB2312"/>
          <w:sz w:val="32"/>
          <w:szCs w:val="32"/>
          <w:lang w:val="zh-CN"/>
        </w:rPr>
        <w:t>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14" w:name="_Toc24198"/>
      <w:r>
        <w:rPr>
          <w:rFonts w:hint="eastAsia" w:ascii="黑体" w:hAnsi="宋体" w:eastAsia="黑体" w:cs="Times New Roman"/>
          <w:b w:val="0"/>
          <w:bCs w:val="0"/>
          <w:sz w:val="32"/>
          <w:szCs w:val="32"/>
        </w:rPr>
        <w:t>三、项目实施及管理情况</w:t>
      </w:r>
      <w:bookmarkEnd w:id="114"/>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宋体" w:eastAsia="楷体_GB2312" w:cs="Times New Roman"/>
          <w:b w:val="0"/>
          <w:bCs w:val="0"/>
          <w:sz w:val="32"/>
          <w:szCs w:val="32"/>
          <w:lang w:val="zh-CN"/>
        </w:rPr>
        <w:t>（一）项目组织架构及实施流程。</w:t>
      </w:r>
      <w:r>
        <w:rPr>
          <w:rFonts w:hint="eastAsia" w:ascii="楷体_GB2312" w:hAnsi="宋体" w:eastAsia="楷体_GB2312" w:cs="Times New Roman"/>
          <w:b w:val="0"/>
          <w:bCs w:val="0"/>
          <w:sz w:val="32"/>
          <w:szCs w:val="32"/>
          <w:lang w:val="en-US" w:eastAsia="zh-CN"/>
        </w:rPr>
        <w:t>该项目由信息科牵头实施，</w:t>
      </w:r>
      <w:r>
        <w:rPr>
          <w:rFonts w:hint="eastAsia" w:ascii="仿宋_GB2312" w:hAnsi="宋体" w:eastAsia="仿宋_GB2312"/>
          <w:sz w:val="32"/>
          <w:szCs w:val="32"/>
          <w:lang w:val="zh-CN"/>
        </w:rPr>
        <w:t>经费项目用于嘉陵江数字航道平台运行维护项目支出。截止评价日，基本完成了资金的申报、审核、支付流程。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楷体_GB2312" w:cs="Times New Roman"/>
          <w:b w:val="0"/>
          <w:bCs w:val="0"/>
          <w:sz w:val="32"/>
          <w:szCs w:val="32"/>
          <w:lang w:val="en-US" w:eastAsia="zh-CN"/>
        </w:rPr>
      </w:pPr>
      <w:r>
        <w:rPr>
          <w:rFonts w:hint="eastAsia" w:ascii="楷体_GB2312" w:hAnsi="宋体" w:eastAsia="楷体_GB2312" w:cs="Times New Roman"/>
          <w:b w:val="0"/>
          <w:bCs w:val="0"/>
          <w:sz w:val="32"/>
          <w:szCs w:val="32"/>
          <w:lang w:val="zh-CN"/>
        </w:rPr>
        <w:t>（二）项目管理情况。</w:t>
      </w:r>
      <w:r>
        <w:rPr>
          <w:rFonts w:hint="eastAsia" w:ascii="仿宋_GB2312" w:hAnsi="宋体" w:eastAsia="仿宋_GB2312" w:cs="Times New Roman"/>
          <w:b w:val="0"/>
          <w:bCs w:val="0"/>
          <w:sz w:val="32"/>
          <w:szCs w:val="32"/>
          <w:lang w:val="en-US" w:eastAsia="zh-CN"/>
        </w:rPr>
        <w:t>按照《预算法》对项目进行预算公开，每季度进行绩效项目分析。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（三）项目监管情况。</w:t>
      </w:r>
      <w:r>
        <w:rPr>
          <w:rFonts w:hint="eastAsia" w:ascii="仿宋_GB2312" w:hAnsi="宋体" w:eastAsia="仿宋_GB2312" w:cs="Times New Roman"/>
          <w:b w:val="0"/>
          <w:bCs w:val="0"/>
          <w:sz w:val="32"/>
          <w:szCs w:val="32"/>
          <w:lang w:val="zh-CN"/>
        </w:rPr>
        <w:t>通过中心主任办公会每月通报项目进展情况，及时对项目实施进行督促，实现了项目与计划基本相符。</w:t>
      </w:r>
    </w:p>
    <w:p>
      <w:pPr>
        <w:adjustRightInd w:val="0"/>
        <w:snapToGrid w:val="0"/>
        <w:spacing w:line="576" w:lineRule="exact"/>
        <w:ind w:firstLine="720"/>
        <w:outlineLvl w:val="1"/>
        <w:rPr>
          <w:rFonts w:hint="eastAsia" w:ascii="黑体" w:hAnsi="黑体" w:eastAsia="黑体" w:cs="黑体"/>
          <w:bCs/>
          <w:sz w:val="32"/>
          <w:szCs w:val="32"/>
          <w:lang w:val="zh-CN"/>
        </w:rPr>
      </w:pPr>
      <w:bookmarkStart w:id="115" w:name="_Toc27814"/>
      <w:r>
        <w:rPr>
          <w:rFonts w:hint="eastAsia" w:ascii="黑体" w:hAnsi="黑体" w:eastAsia="黑体" w:cs="黑体"/>
          <w:bCs/>
          <w:sz w:val="32"/>
          <w:szCs w:val="32"/>
          <w:lang w:val="en-US" w:eastAsia="zh-CN"/>
        </w:rPr>
        <w:t>四</w:t>
      </w:r>
      <w:r>
        <w:rPr>
          <w:rFonts w:hint="eastAsia" w:ascii="黑体" w:hAnsi="黑体" w:eastAsia="黑体" w:cs="黑体"/>
          <w:bCs/>
          <w:sz w:val="32"/>
          <w:szCs w:val="32"/>
        </w:rPr>
        <w:t>、项目绩效情况</w:t>
      </w:r>
      <w:bookmarkEnd w:id="115"/>
      <w:r>
        <w:rPr>
          <w:rFonts w:hint="eastAsia" w:ascii="黑体" w:hAnsi="黑体" w:eastAsia="黑体" w:cs="黑体"/>
          <w:bCs/>
          <w:sz w:val="32"/>
          <w:szCs w:val="32"/>
          <w:lang w:val="zh-CN"/>
        </w:rPr>
        <w:tab/>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实现通航水域“全方位覆盖”的现代化水上交通信息化综合管理，提升航道及通航建筑物通行效率，全面服务于航运事业发展。对两个港口作业区、三个通航建筑物及亭子湖、白龙湖、升钟水库等重点区域的信息化设施建设维护进行专项督导。</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zh-CN"/>
        </w:rPr>
        <w:t>）项目效益情况。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实现嘉陵江高等级航道及渡口、码头、船闸等港口航道设施可视化，管养科学化，为航道管养提供科学依据，落实信息化建设维护工作，提高信息化维护监管能力，为建设成渝地区北向重要门户枢纽和生态康养“后花园”贡献广元水运力量。</w:t>
      </w:r>
    </w:p>
    <w:p>
      <w:pPr>
        <w:spacing w:line="576" w:lineRule="exact"/>
        <w:ind w:firstLine="640" w:firstLineChars="200"/>
        <w:outlineLvl w:val="1"/>
        <w:rPr>
          <w:rFonts w:hint="eastAsia" w:ascii="黑体" w:hAnsi="黑体" w:eastAsia="黑体" w:cs="黑体"/>
          <w:bCs/>
          <w:sz w:val="32"/>
          <w:szCs w:val="32"/>
        </w:rPr>
      </w:pPr>
      <w:bookmarkStart w:id="116" w:name="_Toc8219"/>
      <w:r>
        <w:rPr>
          <w:rFonts w:hint="eastAsia" w:ascii="黑体" w:hAnsi="黑体" w:eastAsia="黑体" w:cs="黑体"/>
          <w:bCs/>
          <w:sz w:val="32"/>
          <w:szCs w:val="32"/>
          <w:lang w:val="en-US" w:eastAsia="zh-CN"/>
        </w:rPr>
        <w:t>五</w:t>
      </w:r>
      <w:r>
        <w:rPr>
          <w:rFonts w:hint="eastAsia" w:ascii="黑体" w:hAnsi="黑体" w:eastAsia="黑体" w:cs="黑体"/>
          <w:bCs/>
          <w:sz w:val="32"/>
          <w:szCs w:val="32"/>
        </w:rPr>
        <w:t>、问题及建议</w:t>
      </w:r>
      <w:bookmarkEnd w:id="116"/>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en-US" w:eastAsia="zh-CN"/>
        </w:rPr>
      </w:pPr>
      <w:r>
        <w:rPr>
          <w:rFonts w:hint="eastAsia" w:ascii="楷体_GB2312" w:hAnsi="宋体" w:eastAsia="楷体_GB2312" w:cs="Times New Roman"/>
          <w:b w:val="0"/>
          <w:bCs w:val="0"/>
          <w:sz w:val="32"/>
          <w:szCs w:val="32"/>
          <w:lang w:val="zh-CN"/>
        </w:rPr>
        <w:t>（一）评价结论。</w:t>
      </w:r>
      <w:r>
        <w:rPr>
          <w:rFonts w:hint="eastAsia" w:ascii="仿宋_GB2312" w:hAnsi="宋体" w:eastAsia="仿宋_GB2312"/>
          <w:sz w:val="32"/>
          <w:szCs w:val="32"/>
          <w:lang w:val="en-US" w:eastAsia="zh-CN"/>
        </w:rPr>
        <w:t>信息化建设项目随着专业化、一体化的发展，在航道管养上提供了科学依据，将管养效率大大提高，该项目的可持续运行十分有必要。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val="zh-CN"/>
        </w:rPr>
        <w:t>）存在的问题。</w:t>
      </w:r>
      <w:r>
        <w:rPr>
          <w:rFonts w:hint="eastAsia" w:ascii="仿宋_GB2312" w:hAnsi="宋体" w:eastAsia="仿宋_GB2312"/>
          <w:sz w:val="32"/>
          <w:szCs w:val="32"/>
        </w:rPr>
        <w:t>信息化建设不仅需要硬件设备支撑，建设好该项目的同时更需要培养专业人员加以应用，才能发挥其实际价值，目前急缺专业操作维护人员。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）相关建议。</w:t>
      </w:r>
      <w:r>
        <w:rPr>
          <w:rFonts w:hint="eastAsia" w:ascii="仿宋_GB2312" w:hAnsi="宋体" w:eastAsia="仿宋_GB2312"/>
          <w:sz w:val="32"/>
          <w:szCs w:val="32"/>
        </w:rPr>
        <w:t>配套相关专业人员培训费用。</w:t>
      </w:r>
    </w:p>
    <w:p>
      <w:pPr>
        <w:rPr>
          <w:rFonts w:hint="eastAsia" w:ascii="仿宋_GB2312" w:hAnsi="宋体" w:eastAsia="仿宋_GB2312"/>
          <w:sz w:val="32"/>
          <w:szCs w:val="32"/>
        </w:rPr>
      </w:pPr>
      <w:r>
        <w:rPr>
          <w:rFonts w:hint="eastAsia" w:ascii="仿宋_GB2312" w:hAnsi="宋体" w:eastAsia="仿宋_GB2312"/>
          <w:sz w:val="32"/>
          <w:szCs w:val="32"/>
        </w:rPr>
        <w:br w:type="page"/>
      </w:r>
    </w:p>
    <w:p>
      <w:pPr>
        <w:rPr>
          <w:rFonts w:hint="eastAsia"/>
        </w:rPr>
      </w:pPr>
    </w:p>
    <w:p>
      <w:pPr>
        <w:pStyle w:val="2"/>
        <w:rPr>
          <w:rFonts w:hint="eastAsia"/>
        </w:rPr>
      </w:pPr>
      <w:r>
        <w:drawing>
          <wp:inline distT="0" distB="0" distL="114300" distR="114300">
            <wp:extent cx="5267325" cy="7472680"/>
            <wp:effectExtent l="0" t="0" r="5715" b="1016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5"/>
                    <a:stretch>
                      <a:fillRect/>
                    </a:stretch>
                  </pic:blipFill>
                  <pic:spPr>
                    <a:xfrm>
                      <a:off x="0" y="0"/>
                      <a:ext cx="5267325" cy="74726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rPr>
        <w:br w:type="page"/>
      </w:r>
      <w:r>
        <w:rPr>
          <w:rFonts w:hint="eastAsia" w:ascii="方正小标宋简体" w:hAnsi="方正小标宋简体" w:eastAsia="方正小标宋简体" w:cs="方正小标宋简体"/>
          <w:color w:val="auto"/>
          <w:kern w:val="2"/>
          <w:sz w:val="40"/>
          <w:szCs w:val="40"/>
          <w:highlight w:val="none"/>
          <w:lang w:val="en-US" w:eastAsia="zh-CN" w:bidi="ar-SA"/>
        </w:rPr>
        <w:t>2021年嘉陵江上石盘至两江口航道养护工程</w:t>
      </w:r>
    </w:p>
    <w:p>
      <w:pPr>
        <w:keepNext w:val="0"/>
        <w:keepLines w:val="0"/>
        <w:pageBreakBefore w:val="0"/>
        <w:widowControl w:val="0"/>
        <w:kinsoku/>
        <w:wordWrap/>
        <w:overflowPunct/>
        <w:topLinePunct w:val="0"/>
        <w:autoSpaceDE/>
        <w:autoSpaceDN/>
        <w:bidi w:val="0"/>
        <w:spacing w:line="600" w:lineRule="exact"/>
        <w:jc w:val="center"/>
        <w:textAlignment w:val="auto"/>
        <w:outlineLvl w:val="1"/>
        <w:rPr>
          <w:rFonts w:hint="eastAsia" w:ascii="方正小标宋简体" w:hAnsi="方正小标宋简体" w:eastAsia="方正小标宋简体" w:cs="方正小标宋简体"/>
          <w:color w:val="auto"/>
          <w:kern w:val="2"/>
          <w:sz w:val="40"/>
          <w:szCs w:val="40"/>
          <w:highlight w:val="none"/>
          <w:lang w:val="zh-CN" w:eastAsia="zh-CN" w:bidi="ar-SA"/>
        </w:rPr>
      </w:pPr>
      <w:bookmarkStart w:id="117" w:name="_Toc6064"/>
      <w:r>
        <w:rPr>
          <w:rFonts w:hint="eastAsia" w:ascii="方正小标宋简体" w:hAnsi="方正小标宋简体" w:eastAsia="方正小标宋简体" w:cs="方正小标宋简体"/>
          <w:color w:val="auto"/>
          <w:kern w:val="2"/>
          <w:sz w:val="40"/>
          <w:szCs w:val="40"/>
          <w:highlight w:val="none"/>
          <w:lang w:val="en-US" w:eastAsia="zh-CN" w:bidi="ar-SA"/>
        </w:rPr>
        <w:t>项目</w:t>
      </w: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bookmarkEnd w:id="117"/>
    </w:p>
    <w:p>
      <w:pPr>
        <w:rPr>
          <w:rFonts w:hint="eastAsia"/>
        </w:rPr>
      </w:pPr>
    </w:p>
    <w:p>
      <w:pPr>
        <w:adjustRightInd w:val="0"/>
        <w:snapToGrid w:val="0"/>
        <w:spacing w:line="576" w:lineRule="exact"/>
        <w:ind w:firstLine="720"/>
        <w:outlineLvl w:val="1"/>
        <w:rPr>
          <w:rFonts w:hint="eastAsia" w:ascii="黑体" w:hAnsi="黑体" w:eastAsia="黑体" w:cs="黑体"/>
          <w:bCs/>
          <w:sz w:val="32"/>
          <w:szCs w:val="32"/>
          <w:lang w:val="zh-CN"/>
        </w:rPr>
      </w:pPr>
      <w:bookmarkStart w:id="118" w:name="_Toc14533"/>
      <w:r>
        <w:rPr>
          <w:rFonts w:hint="eastAsia" w:ascii="黑体" w:hAnsi="黑体" w:eastAsia="黑体" w:cs="黑体"/>
          <w:bCs/>
          <w:sz w:val="32"/>
          <w:szCs w:val="32"/>
        </w:rPr>
        <w:t>一、</w:t>
      </w:r>
      <w:r>
        <w:rPr>
          <w:rFonts w:hint="eastAsia" w:ascii="黑体" w:hAnsi="黑体" w:eastAsia="黑体" w:cs="黑体"/>
          <w:bCs/>
          <w:sz w:val="32"/>
          <w:szCs w:val="32"/>
          <w:lang w:val="zh-CN"/>
        </w:rPr>
        <w:t>项目概况</w:t>
      </w:r>
      <w:bookmarkEnd w:id="118"/>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sz w:val="32"/>
          <w:szCs w:val="32"/>
          <w:lang w:val="en-US" w:eastAsia="zh-CN"/>
        </w:rPr>
      </w:pPr>
      <w:r>
        <w:rPr>
          <w:rFonts w:hint="eastAsia" w:ascii="楷体_GB2312" w:hAnsi="宋体" w:eastAsia="楷体_GB2312" w:cs="Times New Roman"/>
          <w:b w:val="0"/>
          <w:bCs w:val="0"/>
          <w:sz w:val="32"/>
          <w:szCs w:val="32"/>
          <w:lang w:val="zh-CN"/>
        </w:rPr>
        <w:t>（一）项目基本情况。</w:t>
      </w:r>
      <w:r>
        <w:rPr>
          <w:rFonts w:hint="eastAsia" w:ascii="仿宋_GB2312" w:hAnsi="宋体" w:eastAsia="仿宋_GB2312"/>
          <w:sz w:val="32"/>
          <w:szCs w:val="32"/>
          <w:lang w:val="zh-CN"/>
        </w:rPr>
        <w:t>项目主管</w:t>
      </w:r>
      <w:r>
        <w:rPr>
          <w:rFonts w:hint="eastAsia" w:ascii="仿宋_GB2312" w:hAnsi="宋体" w:eastAsia="仿宋_GB2312"/>
          <w:sz w:val="32"/>
          <w:szCs w:val="32"/>
          <w:lang w:val="en-US" w:eastAsia="zh-CN"/>
        </w:rPr>
        <w:t>部门</w:t>
      </w:r>
      <w:r>
        <w:rPr>
          <w:rFonts w:hint="eastAsia" w:ascii="仿宋_GB2312" w:hAnsi="宋体" w:eastAsia="仿宋_GB2312"/>
          <w:sz w:val="32"/>
          <w:szCs w:val="32"/>
          <w:lang w:val="zh-CN"/>
        </w:rPr>
        <w:t>实施该项目。</w:t>
      </w:r>
      <w:r>
        <w:rPr>
          <w:rFonts w:hint="eastAsia" w:ascii="仿宋_GB2312" w:hAnsi="宋体" w:eastAsia="仿宋_GB2312"/>
          <w:sz w:val="32"/>
          <w:szCs w:val="32"/>
          <w:lang w:val="en-US" w:eastAsia="zh-CN"/>
        </w:rPr>
        <w:t>根据高等级航道养护管理职能职责申报项目资金。项目资金仅对</w:t>
      </w:r>
      <w:r>
        <w:rPr>
          <w:rFonts w:hint="eastAsia" w:ascii="仿宋_GB2312" w:hAnsi="仿宋_GB2312" w:eastAsia="仿宋_GB2312" w:cs="仿宋_GB2312"/>
          <w:sz w:val="32"/>
          <w:szCs w:val="32"/>
        </w:rPr>
        <w:t>2021年嘉陵江上石盘至两江口航道养护工程项目</w:t>
      </w:r>
      <w:r>
        <w:rPr>
          <w:rFonts w:hint="eastAsia" w:ascii="仿宋_GB2312" w:hAnsi="仿宋_GB2312" w:eastAsia="仿宋_GB2312" w:cs="仿宋_GB2312"/>
          <w:sz w:val="32"/>
          <w:szCs w:val="32"/>
          <w:lang w:val="en-US" w:eastAsia="zh-CN"/>
        </w:rPr>
        <w:t>支出，做到</w:t>
      </w:r>
      <w:r>
        <w:rPr>
          <w:rFonts w:hint="eastAsia" w:ascii="仿宋_GB2312" w:hAnsi="宋体" w:eastAsia="仿宋_GB2312"/>
          <w:sz w:val="32"/>
          <w:szCs w:val="32"/>
          <w:lang w:val="en-US" w:eastAsia="zh-CN"/>
        </w:rPr>
        <w:t>项目资金专款专用。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val="zh-CN" w:eastAsia="zh-CN"/>
        </w:rPr>
        <w:t>对嘉陵江上石盘至两江口航道进行疏浚，保障航道通航尺度，确保航道通畅。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lang w:val="zh-CN" w:eastAsia="zh-CN"/>
        </w:rPr>
        <w:t>疏浚长度7000</w:t>
      </w:r>
      <w:r>
        <w:rPr>
          <w:rFonts w:hint="eastAsia" w:ascii="仿宋_GB2312" w:hAnsi="宋体" w:eastAsia="仿宋_GB2312" w:cs="Times New Roman"/>
          <w:sz w:val="32"/>
          <w:szCs w:val="32"/>
          <w:lang w:val="en-US" w:eastAsia="zh-CN"/>
        </w:rPr>
        <w:t>米</w:t>
      </w:r>
      <w:r>
        <w:rPr>
          <w:rFonts w:hint="eastAsia" w:ascii="仿宋_GB2312" w:hAnsi="宋体" w:eastAsia="仿宋_GB2312" w:cs="Times New Roman"/>
          <w:sz w:val="32"/>
          <w:szCs w:val="32"/>
          <w:lang w:val="zh-CN" w:eastAsia="zh-CN"/>
        </w:rPr>
        <w:t>=507786m³、4处丁坝=9278m³、满足航道通航尺度1.0×24×130m（水深×直线段宽度（双线）×弯曲半径）；2021年度完成项目建设=60天；严格控制在预算范围内883万元&lt;=883万元；保障船舶正常通行100吨级船舶；控制施工对水环境的影响、缩短工期；保障航道畅通=100%；船舶业主满意度&gt;=90%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val="zh-CN" w:eastAsia="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eastAsia="zh-CN"/>
        </w:rPr>
      </w:pPr>
      <w:r>
        <w:rPr>
          <w:rFonts w:hint="eastAsia" w:ascii="楷体_GB2312" w:hAnsi="宋体" w:eastAsia="楷体_GB2312" w:cs="Times New Roman"/>
          <w:b w:val="0"/>
          <w:bCs w:val="0"/>
          <w:sz w:val="32"/>
          <w:szCs w:val="32"/>
          <w:lang w:val="zh-CN"/>
        </w:rPr>
        <w:t>（三）项目自评步骤及方法。</w:t>
      </w:r>
      <w:r>
        <w:rPr>
          <w:rFonts w:hint="eastAsia" w:ascii="仿宋_GB2312" w:hAnsi="宋体" w:eastAsia="仿宋_GB2312" w:cs="Times New Roman"/>
          <w:sz w:val="32"/>
          <w:szCs w:val="32"/>
          <w:lang w:val="zh-CN" w:eastAsia="zh-CN"/>
        </w:rPr>
        <w:t>业务科室对照《2022年市级专项预算项目支出绩效评价指标体系》完善相关指标并进行自评打分。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19" w:name="_Toc17657"/>
      <w:r>
        <w:rPr>
          <w:rFonts w:hint="eastAsia" w:ascii="黑体" w:hAnsi="宋体" w:eastAsia="黑体" w:cs="Times New Roman"/>
          <w:b w:val="0"/>
          <w:bCs w:val="0"/>
          <w:sz w:val="32"/>
          <w:szCs w:val="32"/>
        </w:rPr>
        <w:t>二、项目资金申报及使用情况</w:t>
      </w:r>
      <w:bookmarkEnd w:id="119"/>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项目资金申报883万元、财政批复883万元。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（二）资金计划、到位及使用情况。</w:t>
      </w:r>
    </w:p>
    <w:p>
      <w:pPr>
        <w:adjustRightInd w:val="0"/>
        <w:snapToGrid w:val="0"/>
        <w:spacing w:line="576" w:lineRule="exact"/>
        <w:ind w:firstLine="720"/>
        <w:rPr>
          <w:rFonts w:hint="eastAsia" w:ascii="仿宋_GB2312" w:hAnsi="宋体" w:eastAsia="仿宋_GB2312" w:cs="Times New Roman"/>
          <w:sz w:val="32"/>
          <w:szCs w:val="32"/>
        </w:rPr>
      </w:pPr>
      <w:r>
        <w:rPr>
          <w:rFonts w:hint="eastAsia" w:ascii="仿宋_GB2312" w:hAnsi="宋体" w:eastAsia="仿宋_GB2312" w:cs="Times New Roman"/>
          <w:sz w:val="32"/>
          <w:szCs w:val="32"/>
          <w:lang w:val="zh-CN"/>
        </w:rPr>
        <w:t>1．资金计划及到位。该项目资金计划</w:t>
      </w:r>
      <w:r>
        <w:rPr>
          <w:rFonts w:hint="eastAsia" w:ascii="仿宋_GB2312" w:hAnsi="宋体" w:eastAsia="仿宋_GB2312" w:cs="Times New Roman"/>
          <w:sz w:val="32"/>
          <w:szCs w:val="32"/>
        </w:rPr>
        <w:t>883万元，</w:t>
      </w:r>
      <w:r>
        <w:rPr>
          <w:rFonts w:hint="eastAsia" w:ascii="仿宋_GB2312" w:hAnsi="宋体" w:eastAsia="仿宋_GB2312" w:cs="Times New Roman"/>
          <w:sz w:val="32"/>
          <w:szCs w:val="32"/>
          <w:lang w:val="zh-CN"/>
        </w:rPr>
        <w:t>截止评价时点实际到位</w:t>
      </w:r>
      <w:r>
        <w:rPr>
          <w:rFonts w:hint="eastAsia" w:ascii="仿宋_GB2312" w:hAnsi="宋体" w:eastAsia="仿宋_GB2312" w:cs="Times New Roman"/>
          <w:sz w:val="32"/>
          <w:szCs w:val="32"/>
        </w:rPr>
        <w:t>883万元</w:t>
      </w:r>
      <w:r>
        <w:rPr>
          <w:rFonts w:hint="eastAsia" w:ascii="仿宋_GB2312" w:hAnsi="宋体" w:eastAsia="仿宋_GB2312" w:cs="Times New Roman"/>
          <w:sz w:val="32"/>
          <w:szCs w:val="32"/>
          <w:lang w:val="zh-CN"/>
        </w:rPr>
        <w:t>，</w:t>
      </w:r>
      <w:r>
        <w:rPr>
          <w:rStyle w:val="30"/>
          <w:rFonts w:ascii="仿宋_GB2312" w:hAnsi="宋体" w:eastAsia="仿宋_GB2312" w:cs="Times New Roman"/>
          <w:sz w:val="32"/>
          <w:szCs w:val="32"/>
        </w:rPr>
        <w:t>为</w:t>
      </w:r>
      <w:r>
        <w:rPr>
          <w:rStyle w:val="30"/>
          <w:rFonts w:hint="eastAsia" w:ascii="仿宋_GB2312" w:hAnsi="宋体" w:eastAsia="仿宋_GB2312" w:cs="Times New Roman"/>
          <w:sz w:val="32"/>
          <w:szCs w:val="32"/>
        </w:rPr>
        <w:t>省级</w:t>
      </w:r>
      <w:r>
        <w:rPr>
          <w:rStyle w:val="30"/>
          <w:rFonts w:ascii="仿宋_GB2312" w:hAnsi="宋体" w:eastAsia="仿宋_GB2312" w:cs="Times New Roman"/>
          <w:sz w:val="32"/>
          <w:szCs w:val="32"/>
        </w:rPr>
        <w:t>财政拨款资金</w:t>
      </w:r>
      <w:r>
        <w:rPr>
          <w:rStyle w:val="30"/>
          <w:rFonts w:hint="eastAsia" w:ascii="仿宋_GB2312" w:hAnsi="宋体" w:eastAsia="仿宋_GB2312" w:cs="Times New Roman"/>
          <w:sz w:val="32"/>
          <w:szCs w:val="32"/>
        </w:rPr>
        <w:t>，</w:t>
      </w:r>
      <w:r>
        <w:rPr>
          <w:rFonts w:hint="eastAsia" w:ascii="仿宋_GB2312" w:hAnsi="宋体" w:eastAsia="仿宋_GB2312" w:cs="Times New Roman"/>
          <w:sz w:val="32"/>
          <w:szCs w:val="32"/>
          <w:lang w:val="zh-CN"/>
        </w:rPr>
        <w:t>资金到位率</w:t>
      </w:r>
      <w:r>
        <w:rPr>
          <w:rFonts w:hint="eastAsia" w:ascii="仿宋_GB2312" w:hAnsi="宋体" w:eastAsia="仿宋_GB2312" w:cs="Times New Roman"/>
          <w:sz w:val="32"/>
          <w:szCs w:val="32"/>
        </w:rPr>
        <w:t>100%。</w:t>
      </w:r>
    </w:p>
    <w:p>
      <w:pPr>
        <w:adjustRightInd w:val="0"/>
        <w:snapToGrid w:val="0"/>
        <w:spacing w:line="576" w:lineRule="exact"/>
        <w:ind w:firstLine="720"/>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2．资金使用。截止评价时点项目资金的实际支出</w:t>
      </w:r>
      <w:r>
        <w:rPr>
          <w:rFonts w:hint="eastAsia" w:ascii="仿宋_GB2312" w:hAnsi="宋体" w:eastAsia="仿宋_GB2312" w:cs="Times New Roman"/>
          <w:sz w:val="32"/>
          <w:szCs w:val="32"/>
        </w:rPr>
        <w:t>883万元</w:t>
      </w:r>
      <w:r>
        <w:rPr>
          <w:rFonts w:hint="eastAsia" w:ascii="仿宋_GB2312" w:hAnsi="宋体" w:eastAsia="仿宋_GB2312" w:cs="Times New Roman"/>
          <w:sz w:val="32"/>
          <w:szCs w:val="32"/>
          <w:lang w:val="zh-CN"/>
        </w:rPr>
        <w:t>，主要用于嘉陵江上石盘至两江口航道</w:t>
      </w:r>
      <w:r>
        <w:rPr>
          <w:rFonts w:hint="eastAsia" w:ascii="仿宋_GB2312" w:hAnsi="宋体" w:eastAsia="仿宋_GB2312" w:cs="Times New Roman"/>
          <w:sz w:val="32"/>
          <w:szCs w:val="32"/>
        </w:rPr>
        <w:t>养护</w:t>
      </w:r>
      <w:r>
        <w:rPr>
          <w:rFonts w:hint="eastAsia" w:ascii="仿宋_GB2312" w:hAnsi="宋体" w:eastAsia="仿宋_GB2312" w:cs="Times New Roman"/>
          <w:sz w:val="32"/>
          <w:szCs w:val="32"/>
          <w:lang w:val="zh-CN"/>
        </w:rPr>
        <w:t>支出。支付依据合规合法，资金支付与预算相符。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（三）项目财务管理情况。</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项目会计核算及账务处理</w:t>
      </w:r>
      <w:r>
        <w:rPr>
          <w:rFonts w:hint="eastAsia" w:ascii="仿宋_GB2312" w:hAnsi="宋体" w:eastAsia="仿宋_GB2312"/>
          <w:sz w:val="32"/>
          <w:szCs w:val="32"/>
        </w:rPr>
        <w:t>按照《预算法》《单位内控制度》</w:t>
      </w:r>
      <w:r>
        <w:rPr>
          <w:rFonts w:hint="eastAsia" w:ascii="仿宋_GB2312" w:hAnsi="宋体" w:eastAsia="仿宋_GB2312"/>
          <w:sz w:val="32"/>
          <w:szCs w:val="32"/>
          <w:lang w:val="zh-CN"/>
        </w:rPr>
        <w:t>等相关</w:t>
      </w:r>
      <w:r>
        <w:rPr>
          <w:rFonts w:hint="eastAsia" w:ascii="仿宋_GB2312" w:hAnsi="宋体" w:eastAsia="仿宋_GB2312"/>
          <w:sz w:val="32"/>
          <w:szCs w:val="32"/>
        </w:rPr>
        <w:t>规定，</w:t>
      </w:r>
      <w:r>
        <w:rPr>
          <w:rFonts w:hint="eastAsia" w:ascii="仿宋_GB2312" w:hAnsi="宋体" w:eastAsia="仿宋_GB2312"/>
          <w:sz w:val="32"/>
          <w:szCs w:val="32"/>
          <w:lang w:val="zh-CN"/>
        </w:rPr>
        <w:t>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20" w:name="_Toc32056"/>
      <w:r>
        <w:rPr>
          <w:rFonts w:hint="eastAsia" w:ascii="黑体" w:hAnsi="宋体" w:eastAsia="黑体" w:cs="Times New Roman"/>
          <w:b w:val="0"/>
          <w:bCs w:val="0"/>
          <w:sz w:val="32"/>
          <w:szCs w:val="32"/>
        </w:rPr>
        <w:t>三、项目实施及管理情况</w:t>
      </w:r>
      <w:bookmarkEnd w:id="120"/>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宋体" w:eastAsia="楷体_GB2312" w:cs="Times New Roman"/>
          <w:b w:val="0"/>
          <w:bCs w:val="0"/>
          <w:sz w:val="32"/>
          <w:szCs w:val="32"/>
          <w:lang w:val="zh-CN"/>
        </w:rPr>
        <w:t>（一）项目组织架构及实施流程。</w:t>
      </w:r>
      <w:r>
        <w:rPr>
          <w:rFonts w:hint="eastAsia" w:ascii="楷体_GB2312" w:hAnsi="宋体" w:eastAsia="楷体_GB2312" w:cs="Times New Roman"/>
          <w:b w:val="0"/>
          <w:bCs w:val="0"/>
          <w:sz w:val="32"/>
          <w:szCs w:val="32"/>
          <w:lang w:val="en-US" w:eastAsia="zh-CN"/>
        </w:rPr>
        <w:t>由港口科牵头，</w:t>
      </w:r>
      <w:r>
        <w:rPr>
          <w:rFonts w:hint="eastAsia" w:ascii="仿宋_GB2312" w:hAnsi="仿宋_GB2312" w:eastAsia="仿宋_GB2312" w:cs="仿宋_GB2312"/>
          <w:sz w:val="32"/>
          <w:szCs w:val="32"/>
          <w:lang w:val="en-US" w:eastAsia="zh-CN"/>
        </w:rPr>
        <w:t>项目主管部门在实施该项目。项目资金由省级补助资金构成。资金分配属于专款专用</w:t>
      </w:r>
      <w:r>
        <w:rPr>
          <w:rFonts w:hint="eastAsia" w:ascii="仿宋_GB2312" w:hAnsi="宋体" w:eastAsia="仿宋_GB2312" w:cs="Times New Roman"/>
          <w:sz w:val="32"/>
          <w:szCs w:val="32"/>
          <w:lang w:val="zh-CN"/>
        </w:rPr>
        <w:t>于嘉陵江上石盘至两江口航道</w:t>
      </w:r>
      <w:r>
        <w:rPr>
          <w:rFonts w:hint="eastAsia" w:ascii="仿宋_GB2312" w:hAnsi="宋体" w:eastAsia="仿宋_GB2312" w:cs="Times New Roman"/>
          <w:sz w:val="32"/>
          <w:szCs w:val="32"/>
        </w:rPr>
        <w:t>养护</w:t>
      </w:r>
      <w:r>
        <w:rPr>
          <w:rFonts w:hint="eastAsia" w:ascii="仿宋_GB2312" w:hAnsi="宋体" w:eastAsia="仿宋_GB2312" w:cs="Times New Roman"/>
          <w:sz w:val="32"/>
          <w:szCs w:val="32"/>
          <w:lang w:val="zh-CN"/>
        </w:rPr>
        <w:t>支出。截止评价日，基本完成了资金的申报、审核、支付流程。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（二）项目管理情况。</w:t>
      </w:r>
      <w:r>
        <w:rPr>
          <w:rFonts w:hint="eastAsia" w:ascii="仿宋_GB2312" w:hAnsi="宋体" w:eastAsia="仿宋_GB2312" w:cs="Times New Roman"/>
          <w:b w:val="0"/>
          <w:bCs w:val="0"/>
          <w:sz w:val="32"/>
          <w:szCs w:val="32"/>
          <w:lang w:val="en-US" w:eastAsia="zh-CN"/>
        </w:rPr>
        <w:t>按照《预算法》对项目进行预算公开，每季度进行绩效项目分析。</w:t>
      </w:r>
    </w:p>
    <w:p>
      <w:pPr>
        <w:adjustRightInd w:val="0"/>
        <w:snapToGrid w:val="0"/>
        <w:spacing w:line="576" w:lineRule="exact"/>
        <w:ind w:firstLine="720"/>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（三）项目监管情况。</w:t>
      </w:r>
      <w:r>
        <w:rPr>
          <w:rFonts w:hint="eastAsia" w:ascii="仿宋_GB2312" w:hAnsi="宋体" w:eastAsia="仿宋_GB2312"/>
          <w:sz w:val="32"/>
          <w:szCs w:val="32"/>
          <w:lang w:val="en-US" w:eastAsia="zh-CN"/>
        </w:rPr>
        <w:t>每月通过中心主任办公会对项目进度情况进行通报，</w:t>
      </w:r>
      <w:r>
        <w:rPr>
          <w:rFonts w:hint="eastAsia" w:ascii="仿宋_GB2312" w:hAnsi="宋体" w:eastAsia="仿宋_GB2312"/>
          <w:sz w:val="32"/>
          <w:szCs w:val="32"/>
          <w:lang w:val="zh-CN"/>
        </w:rPr>
        <w:t>截止评价日，基本完成了资金的申报、审核、支付流程。截止评价时点项目资金的实际支出</w:t>
      </w:r>
      <w:r>
        <w:rPr>
          <w:rFonts w:hint="eastAsia" w:ascii="仿宋_GB2312" w:hAnsi="宋体" w:eastAsia="仿宋_GB2312"/>
          <w:sz w:val="32"/>
          <w:szCs w:val="32"/>
          <w:lang w:val="en-US" w:eastAsia="zh-CN"/>
        </w:rPr>
        <w:t>883</w:t>
      </w:r>
      <w:r>
        <w:rPr>
          <w:rFonts w:hint="eastAsia" w:ascii="仿宋_GB2312" w:hAnsi="宋体" w:eastAsia="仿宋_GB2312"/>
          <w:sz w:val="32"/>
          <w:szCs w:val="32"/>
        </w:rPr>
        <w:t>万元</w:t>
      </w:r>
      <w:r>
        <w:rPr>
          <w:rFonts w:hint="eastAsia" w:ascii="仿宋_GB2312" w:hAnsi="宋体" w:eastAsia="仿宋_GB2312"/>
          <w:sz w:val="32"/>
          <w:szCs w:val="32"/>
          <w:lang w:val="zh-CN"/>
        </w:rPr>
        <w:t>，支付依据合规合法，资金支付与预算相符。</w:t>
      </w:r>
    </w:p>
    <w:p>
      <w:pPr>
        <w:adjustRightInd w:val="0"/>
        <w:snapToGrid w:val="0"/>
        <w:spacing w:line="576" w:lineRule="exact"/>
        <w:ind w:firstLine="720"/>
        <w:outlineLvl w:val="1"/>
        <w:rPr>
          <w:rFonts w:hint="eastAsia" w:ascii="黑体" w:hAnsi="黑体" w:eastAsia="黑体" w:cs="黑体"/>
          <w:bCs/>
          <w:sz w:val="32"/>
          <w:szCs w:val="32"/>
          <w:lang w:val="zh-CN"/>
        </w:rPr>
      </w:pPr>
      <w:bookmarkStart w:id="121" w:name="_Toc31828"/>
      <w:r>
        <w:rPr>
          <w:rFonts w:hint="eastAsia" w:ascii="黑体" w:hAnsi="黑体" w:eastAsia="黑体" w:cs="黑体"/>
          <w:bCs/>
          <w:sz w:val="32"/>
          <w:szCs w:val="32"/>
          <w:lang w:val="en-US" w:eastAsia="zh-CN"/>
        </w:rPr>
        <w:t>四</w:t>
      </w:r>
      <w:r>
        <w:rPr>
          <w:rFonts w:hint="eastAsia" w:ascii="黑体" w:hAnsi="黑体" w:eastAsia="黑体" w:cs="黑体"/>
          <w:bCs/>
          <w:sz w:val="32"/>
          <w:szCs w:val="32"/>
        </w:rPr>
        <w:t>、项目绩效情况</w:t>
      </w:r>
      <w:bookmarkEnd w:id="121"/>
      <w:r>
        <w:rPr>
          <w:rFonts w:hint="eastAsia" w:ascii="黑体" w:hAnsi="黑体" w:eastAsia="黑体" w:cs="黑体"/>
          <w:bCs/>
          <w:sz w:val="32"/>
          <w:szCs w:val="32"/>
          <w:lang w:val="zh-CN"/>
        </w:rPr>
        <w:tab/>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adjustRightInd w:val="0"/>
        <w:snapToGrid w:val="0"/>
        <w:spacing w:line="576"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2021年度完成项目建设，</w:t>
      </w:r>
      <w:r>
        <w:rPr>
          <w:rFonts w:hint="eastAsia" w:ascii="仿宋_GB2312" w:hAnsi="宋体" w:eastAsia="仿宋_GB2312"/>
          <w:sz w:val="32"/>
          <w:szCs w:val="32"/>
          <w:lang w:val="zh-CN"/>
        </w:rPr>
        <w:t>疏浚长度7000米507786m³，4处丁坝9278m³，满足航道通航尺度1.0×24×130m（水深×直线段宽度（双线）×弯曲半径）。</w:t>
      </w:r>
      <w:r>
        <w:rPr>
          <w:rFonts w:hint="eastAsia" w:ascii="仿宋_GB2312" w:eastAsia="仿宋_GB2312"/>
          <w:sz w:val="32"/>
          <w:szCs w:val="32"/>
        </w:rPr>
        <w:t>控制施工对水环境的影响，保障100吨级船舶正常通行。</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zh-CN"/>
        </w:rPr>
        <w:t>）项目效益情况。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以高质量航道管养为目标，严格按照《航道养护技术规范》、《内河航道绿色养护技术指南》，坚持管养并重、突出重点、分类维护、保障畅通的原则，全面加强了航道、航标、船艇、整治建筑物的维护管理。</w:t>
      </w:r>
    </w:p>
    <w:p>
      <w:pPr>
        <w:spacing w:line="576" w:lineRule="exact"/>
        <w:ind w:firstLine="640" w:firstLineChars="200"/>
        <w:outlineLvl w:val="1"/>
        <w:rPr>
          <w:rFonts w:hint="eastAsia" w:ascii="黑体" w:hAnsi="黑体" w:eastAsia="黑体" w:cs="黑体"/>
          <w:bCs/>
          <w:sz w:val="32"/>
          <w:szCs w:val="32"/>
        </w:rPr>
      </w:pPr>
      <w:bookmarkStart w:id="122" w:name="_Toc3110"/>
      <w:r>
        <w:rPr>
          <w:rFonts w:hint="eastAsia" w:ascii="黑体" w:hAnsi="黑体" w:eastAsia="黑体" w:cs="黑体"/>
          <w:bCs/>
          <w:sz w:val="32"/>
          <w:szCs w:val="32"/>
          <w:lang w:val="en-US" w:eastAsia="zh-CN"/>
        </w:rPr>
        <w:t>五</w:t>
      </w:r>
      <w:r>
        <w:rPr>
          <w:rFonts w:hint="eastAsia" w:ascii="黑体" w:hAnsi="黑体" w:eastAsia="黑体" w:cs="黑体"/>
          <w:bCs/>
          <w:sz w:val="32"/>
          <w:szCs w:val="32"/>
        </w:rPr>
        <w:t>、问题及建议</w:t>
      </w:r>
      <w:bookmarkEnd w:id="122"/>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sz w:val="32"/>
          <w:szCs w:val="32"/>
          <w:lang w:val="zh-CN"/>
        </w:rPr>
      </w:pPr>
      <w:r>
        <w:rPr>
          <w:rFonts w:hint="eastAsia" w:ascii="楷体_GB2312" w:hAnsi="宋体" w:eastAsia="楷体_GB2312" w:cs="Times New Roman"/>
          <w:b w:val="0"/>
          <w:bCs w:val="0"/>
          <w:sz w:val="32"/>
          <w:szCs w:val="32"/>
          <w:lang w:val="zh-CN"/>
        </w:rPr>
        <w:t>（一）评价结论。</w:t>
      </w:r>
      <w:r>
        <w:rPr>
          <w:rFonts w:hint="eastAsia" w:ascii="仿宋_GB2312" w:hAnsi="宋体" w:eastAsia="仿宋_GB2312" w:cs="Times New Roman"/>
          <w:sz w:val="32"/>
          <w:szCs w:val="32"/>
          <w:lang w:val="en-US" w:eastAsia="zh-CN"/>
        </w:rPr>
        <w:t>该项目属于先实施再申报的应急抢险维护管理工程，具有很多不可控因素，如实施时间不可控、项目金额不可控、资金到位不可控等。</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val="zh-CN"/>
        </w:rPr>
        <w:t>）存在的问题。</w:t>
      </w:r>
      <w:r>
        <w:rPr>
          <w:rFonts w:hint="eastAsia" w:ascii="仿宋_GB2312" w:hAnsi="宋体" w:eastAsia="仿宋_GB2312"/>
          <w:sz w:val="32"/>
          <w:szCs w:val="32"/>
        </w:rPr>
        <w:t>高等级航道占比较低，需要加强高等级航道建设、养护相关申报。</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val="zh-CN"/>
        </w:rPr>
        <w:t>）相关建议。</w:t>
      </w:r>
      <w:r>
        <w:rPr>
          <w:rFonts w:hint="eastAsia" w:ascii="仿宋_GB2312" w:hAnsi="宋体" w:eastAsia="仿宋_GB2312"/>
          <w:sz w:val="32"/>
          <w:szCs w:val="32"/>
        </w:rPr>
        <w:t>集中力量，集聚资源，补齐水运发展短板，挖掘水运发展潜力，进一步发展高等级航道建设。</w:t>
      </w:r>
    </w:p>
    <w:p>
      <w:pPr>
        <w:rPr>
          <w:rFonts w:hint="eastAsia"/>
        </w:rPr>
      </w:pPr>
      <w:r>
        <w:rPr>
          <w:rFonts w:hint="eastAsia"/>
        </w:rPr>
        <w:br w:type="page"/>
      </w:r>
    </w:p>
    <w:p>
      <w:r>
        <w:drawing>
          <wp:inline distT="0" distB="0" distL="114300" distR="114300">
            <wp:extent cx="5273675" cy="4605020"/>
            <wp:effectExtent l="0" t="0" r="14605" b="1270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6"/>
                    <a:stretch>
                      <a:fillRect/>
                    </a:stretch>
                  </pic:blipFill>
                  <pic:spPr>
                    <a:xfrm>
                      <a:off x="0" y="0"/>
                      <a:ext cx="5273675" cy="4605020"/>
                    </a:xfrm>
                    <a:prstGeom prst="rect">
                      <a:avLst/>
                    </a:prstGeom>
                    <a:noFill/>
                    <a:ln>
                      <a:noFill/>
                    </a:ln>
                  </pic:spPr>
                </pic:pic>
              </a:graphicData>
            </a:graphic>
          </wp:inline>
        </w:drawing>
      </w:r>
    </w:p>
    <w:p>
      <w:r>
        <w:br w:type="page"/>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2021年病退职工护理费项目</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支出绩效自评报告</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lang w:val="zh-CN"/>
        </w:rPr>
      </w:pPr>
      <w:bookmarkStart w:id="123" w:name="_Toc26420"/>
      <w:r>
        <w:rPr>
          <w:rFonts w:hint="eastAsia" w:ascii="黑体" w:hAnsi="宋体" w:eastAsia="黑体" w:cs="Times New Roman"/>
          <w:b w:val="0"/>
          <w:bCs w:val="0"/>
          <w:sz w:val="32"/>
          <w:szCs w:val="32"/>
        </w:rPr>
        <w:t>一、</w:t>
      </w:r>
      <w:r>
        <w:rPr>
          <w:rFonts w:hint="eastAsia" w:ascii="黑体" w:hAnsi="宋体" w:eastAsia="黑体" w:cs="Times New Roman"/>
          <w:b w:val="0"/>
          <w:bCs w:val="0"/>
          <w:sz w:val="32"/>
          <w:szCs w:val="32"/>
          <w:lang w:val="zh-CN"/>
        </w:rPr>
        <w:t>项目概况</w:t>
      </w:r>
      <w:bookmarkEnd w:id="123"/>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项目主管部门实施该项目。根据</w:t>
      </w:r>
      <w:r>
        <w:rPr>
          <w:rFonts w:hint="eastAsia" w:ascii="仿宋_GB2312" w:hAnsi="宋体" w:eastAsia="仿宋_GB2312" w:cs="Times New Roman"/>
          <w:b w:val="0"/>
          <w:bCs w:val="0"/>
          <w:sz w:val="32"/>
          <w:szCs w:val="32"/>
          <w:lang w:val="en-US" w:eastAsia="zh-CN"/>
        </w:rPr>
        <w:t>病退职工诉求向归口科室请示纳入专项</w:t>
      </w:r>
      <w:r>
        <w:rPr>
          <w:rFonts w:hint="eastAsia" w:ascii="仿宋_GB2312" w:hAnsi="宋体" w:eastAsia="仿宋_GB2312" w:cs="Times New Roman"/>
          <w:b w:val="0"/>
          <w:bCs w:val="0"/>
          <w:sz w:val="32"/>
          <w:szCs w:val="32"/>
          <w:lang w:val="zh-CN"/>
        </w:rPr>
        <w:t>申报项目资金。项目资金专款专用仅对</w:t>
      </w:r>
      <w:r>
        <w:rPr>
          <w:rFonts w:hint="eastAsia" w:ascii="仿宋_GB2312" w:hAnsi="宋体" w:eastAsia="仿宋_GB2312" w:cs="Times New Roman"/>
          <w:b w:val="0"/>
          <w:bCs w:val="0"/>
          <w:sz w:val="32"/>
          <w:szCs w:val="32"/>
          <w:lang w:val="en-US" w:eastAsia="zh-CN"/>
        </w:rPr>
        <w:t>病退职工支出</w:t>
      </w:r>
      <w:r>
        <w:rPr>
          <w:rFonts w:hint="eastAsia" w:ascii="仿宋_GB2312" w:hAnsi="宋体" w:eastAsia="仿宋_GB2312" w:cs="Times New Roman"/>
          <w:b w:val="0"/>
          <w:bCs w:val="0"/>
          <w:sz w:val="32"/>
          <w:szCs w:val="32"/>
          <w:lang w:val="zh-CN"/>
        </w:rPr>
        <w:t>。</w:t>
      </w:r>
    </w:p>
    <w:p>
      <w:pPr>
        <w:keepNext w:val="0"/>
        <w:keepLines w:val="0"/>
        <w:pageBreakBefore w:val="0"/>
        <w:widowControl w:val="0"/>
        <w:numPr>
          <w:ilvl w:val="0"/>
          <w:numId w:val="14"/>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项目绩效目标。</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按照市中级人民法院关于刘欣生活费用补贴的司法建议，给予病退职工刘欣4000元/月生活补贴，全年一次性6000元租房补贴，保障职工权益，消除不稳定因素。</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cs="Times New Roman"/>
          <w:b w:val="0"/>
          <w:bCs w:val="0"/>
          <w:sz w:val="32"/>
          <w:szCs w:val="32"/>
          <w:lang w:val="zh-CN"/>
        </w:rPr>
        <w:t>项目主要内容：护理病退职工=1人、保障全年生活=1人；及时签订护工合同2021年3月31日前；及时按照合同金额支付护理费用</w:t>
      </w:r>
      <w:r>
        <w:rPr>
          <w:rFonts w:hint="eastAsia" w:ascii="仿宋_GB2312" w:hAnsi="宋体" w:eastAsia="仿宋_GB2312" w:cs="Times New Roman"/>
          <w:b w:val="0"/>
          <w:bCs w:val="0"/>
          <w:sz w:val="32"/>
          <w:szCs w:val="32"/>
          <w:lang w:val="zh-CN"/>
        </w:rPr>
        <w:tab/>
      </w:r>
      <w:r>
        <w:rPr>
          <w:rFonts w:hint="eastAsia" w:ascii="仿宋_GB2312" w:hAnsi="宋体" w:eastAsia="仿宋_GB2312" w:cs="Times New Roman"/>
          <w:b w:val="0"/>
          <w:bCs w:val="0"/>
          <w:sz w:val="32"/>
          <w:szCs w:val="32"/>
          <w:lang w:val="zh-CN"/>
        </w:rPr>
        <w:t>12月30日前；每个月4000元生活补贴，全年一次性6000元租房补贴=5.4万元；保障职工权益，维护社会稳定；持续保障职工生活；职工满意度&gt;=95%。</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cs="Times New Roman"/>
          <w:sz w:val="32"/>
          <w:szCs w:val="32"/>
          <w:lang w:val="zh-CN" w:eastAsia="zh-CN"/>
        </w:rPr>
        <w:t>业务科室对照《2022年市级专项预算项目支出绩效评价指标体系》，完善相关指标并进行自评打分。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24" w:name="_Toc24748"/>
      <w:r>
        <w:rPr>
          <w:rFonts w:hint="eastAsia" w:ascii="黑体" w:hAnsi="宋体" w:eastAsia="黑体" w:cs="Times New Roman"/>
          <w:b w:val="0"/>
          <w:bCs w:val="0"/>
          <w:sz w:val="32"/>
          <w:szCs w:val="32"/>
        </w:rPr>
        <w:t>二、项目资金申报及使用情况</w:t>
      </w:r>
      <w:bookmarkEnd w:id="124"/>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仿宋_GB2312" w:hAnsi="宋体" w:eastAsia="仿宋_GB2312" w:cs="Times New Roman"/>
          <w:b w:val="0"/>
          <w:bCs w:val="0"/>
          <w:sz w:val="32"/>
          <w:szCs w:val="32"/>
          <w:lang w:val="zh-CN"/>
        </w:rPr>
        <w:t>项目资金申报5.4万元、财政批复5.4万元。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1．资金计划及到位。该项目资金计划5.4万元，截止评价时点实际到位5.4万元，为本级财政拨款资金。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资金使用。截止评价时点项目资金的实际支出5.4万元，主要用于病退职工刘欣生活补贴4.8万，全年一次性租房补贴0.6万元。支付依据合规合法，资金支付与预算相符，无虚列支出、挤占、挪用、转移财政资金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项目会计核算及账务处理</w:t>
      </w:r>
      <w:r>
        <w:rPr>
          <w:rFonts w:hint="eastAsia" w:ascii="仿宋_GB2312" w:hAnsi="宋体" w:eastAsia="仿宋_GB2312"/>
          <w:sz w:val="32"/>
          <w:szCs w:val="32"/>
        </w:rPr>
        <w:t>按照《预算法》《单位内控制度》</w:t>
      </w:r>
      <w:r>
        <w:rPr>
          <w:rFonts w:hint="eastAsia" w:ascii="仿宋_GB2312" w:hAnsi="宋体" w:eastAsia="仿宋_GB2312"/>
          <w:sz w:val="32"/>
          <w:szCs w:val="32"/>
          <w:lang w:val="zh-CN"/>
        </w:rPr>
        <w:t>等相关</w:t>
      </w:r>
      <w:r>
        <w:rPr>
          <w:rFonts w:hint="eastAsia" w:ascii="仿宋_GB2312" w:hAnsi="宋体" w:eastAsia="仿宋_GB2312"/>
          <w:sz w:val="32"/>
          <w:szCs w:val="32"/>
        </w:rPr>
        <w:t>规定，</w:t>
      </w:r>
      <w:r>
        <w:rPr>
          <w:rFonts w:hint="eastAsia" w:ascii="仿宋_GB2312" w:hAnsi="宋体" w:eastAsia="仿宋_GB2312"/>
          <w:sz w:val="32"/>
          <w:szCs w:val="32"/>
          <w:lang w:val="zh-CN"/>
        </w:rPr>
        <w:t>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cs="Times New Roman"/>
          <w:b w:val="0"/>
          <w:bCs w:val="0"/>
          <w:sz w:val="32"/>
          <w:szCs w:val="32"/>
        </w:rPr>
      </w:pPr>
      <w:bookmarkStart w:id="125" w:name="_Toc5581"/>
      <w:r>
        <w:rPr>
          <w:rFonts w:hint="eastAsia" w:ascii="黑体" w:hAnsi="宋体" w:eastAsia="黑体" w:cs="Times New Roman"/>
          <w:b w:val="0"/>
          <w:bCs w:val="0"/>
          <w:sz w:val="32"/>
          <w:szCs w:val="32"/>
        </w:rPr>
        <w:t>三、项目实施及管理情况</w:t>
      </w:r>
      <w:bookmarkEnd w:id="125"/>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cs="Times New Roman"/>
          <w:b w:val="0"/>
          <w:bCs w:val="0"/>
          <w:sz w:val="32"/>
          <w:szCs w:val="32"/>
          <w:lang w:val="zh-CN"/>
        </w:rPr>
      </w:pPr>
      <w:r>
        <w:rPr>
          <w:rFonts w:hint="eastAsia" w:ascii="楷体_GB2312" w:hAnsi="宋体" w:eastAsia="楷体_GB2312" w:cs="Times New Roman"/>
          <w:b w:val="0"/>
          <w:bCs w:val="0"/>
          <w:sz w:val="32"/>
          <w:szCs w:val="32"/>
          <w:lang w:val="zh-CN"/>
        </w:rPr>
        <w:t>（一）项目组织架构及实施流程。</w:t>
      </w:r>
      <w:r>
        <w:rPr>
          <w:rFonts w:hint="eastAsia" w:ascii="楷体_GB2312" w:hAnsi="宋体" w:eastAsia="楷体_GB2312" w:cs="Times New Roman"/>
          <w:b w:val="0"/>
          <w:bCs w:val="0"/>
          <w:sz w:val="32"/>
          <w:szCs w:val="32"/>
          <w:lang w:val="en-US" w:eastAsia="zh-CN"/>
        </w:rPr>
        <w:t>该项目由人事科牵头，</w:t>
      </w:r>
      <w:r>
        <w:rPr>
          <w:rFonts w:hint="eastAsia" w:ascii="仿宋_GB2312" w:hAnsi="宋体" w:eastAsia="仿宋_GB2312"/>
          <w:sz w:val="32"/>
          <w:szCs w:val="32"/>
          <w:lang w:val="zh-CN"/>
        </w:rPr>
        <w:t>经费项目主要用于</w:t>
      </w:r>
      <w:r>
        <w:rPr>
          <w:rFonts w:hint="eastAsia" w:ascii="仿宋_GB2312" w:hAnsi="宋体" w:eastAsia="仿宋_GB2312"/>
          <w:sz w:val="32"/>
          <w:szCs w:val="32"/>
        </w:rPr>
        <w:t>病退职工刘欣生活补贴4.8万元，全年一次性租房补贴0.6万元</w:t>
      </w:r>
      <w:r>
        <w:rPr>
          <w:rFonts w:hint="eastAsia" w:ascii="仿宋_GB2312" w:hAnsi="宋体" w:eastAsia="仿宋_GB2312"/>
          <w:sz w:val="32"/>
          <w:szCs w:val="32"/>
          <w:lang w:val="zh-CN"/>
        </w:rPr>
        <w:t>，截止评价日，基本完成了资金的申报、审核、支付流程。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（二）项目管理情况。</w:t>
      </w:r>
      <w:r>
        <w:rPr>
          <w:rFonts w:hint="eastAsia" w:ascii="仿宋_GB2312" w:hAnsi="宋体" w:eastAsia="仿宋_GB2312" w:cs="Times New Roman"/>
          <w:b w:val="0"/>
          <w:bCs w:val="0"/>
          <w:sz w:val="32"/>
          <w:szCs w:val="32"/>
          <w:lang w:val="zh-CN"/>
        </w:rPr>
        <w:t>按照《预算法》对项目进行预算公开，每季度进行绩效项目分析。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b w:val="0"/>
          <w:bCs w:val="0"/>
          <w:sz w:val="32"/>
          <w:szCs w:val="32"/>
          <w:lang w:val="zh-CN"/>
        </w:rPr>
      </w:pPr>
      <w:r>
        <w:rPr>
          <w:rFonts w:hint="eastAsia" w:ascii="楷体_GB2312" w:hAnsi="宋体" w:eastAsia="楷体_GB2312" w:cs="Times New Roman"/>
          <w:b w:val="0"/>
          <w:bCs w:val="0"/>
          <w:sz w:val="32"/>
          <w:szCs w:val="32"/>
          <w:lang w:val="zh-CN"/>
        </w:rPr>
        <w:t>（三）项目监管情况。</w:t>
      </w:r>
      <w:r>
        <w:rPr>
          <w:rFonts w:hint="eastAsia" w:ascii="仿宋_GB2312" w:hAnsi="宋体" w:eastAsia="仿宋_GB2312" w:cs="Times New Roman"/>
          <w:b w:val="0"/>
          <w:bCs w:val="0"/>
          <w:sz w:val="32"/>
          <w:szCs w:val="32"/>
          <w:lang w:val="zh-CN"/>
        </w:rPr>
        <w:t>通过中心主任办公会每月通报项目进展情况，及时对项目实施进行督促，实现了项目与计划基本相符。</w:t>
      </w:r>
    </w:p>
    <w:p>
      <w:pPr>
        <w:adjustRightInd w:val="0"/>
        <w:snapToGrid w:val="0"/>
        <w:spacing w:line="576" w:lineRule="exact"/>
        <w:ind w:firstLine="720"/>
        <w:outlineLvl w:val="1"/>
        <w:rPr>
          <w:rFonts w:hint="eastAsia" w:ascii="黑体" w:hAnsi="黑体" w:eastAsia="黑体" w:cs="黑体"/>
          <w:bCs/>
          <w:sz w:val="32"/>
          <w:szCs w:val="32"/>
          <w:lang w:val="zh-CN"/>
        </w:rPr>
      </w:pPr>
      <w:bookmarkStart w:id="126" w:name="_Toc3449"/>
      <w:r>
        <w:rPr>
          <w:rFonts w:hint="eastAsia" w:ascii="黑体" w:hAnsi="黑体" w:eastAsia="黑体" w:cs="黑体"/>
          <w:bCs/>
          <w:sz w:val="32"/>
          <w:szCs w:val="32"/>
          <w:lang w:val="en-US" w:eastAsia="zh-CN"/>
        </w:rPr>
        <w:t>四</w:t>
      </w:r>
      <w:r>
        <w:rPr>
          <w:rFonts w:hint="eastAsia" w:ascii="黑体" w:hAnsi="黑体" w:eastAsia="黑体" w:cs="黑体"/>
          <w:bCs/>
          <w:sz w:val="32"/>
          <w:szCs w:val="32"/>
        </w:rPr>
        <w:t>、项目绩效情况</w:t>
      </w:r>
      <w:bookmarkEnd w:id="126"/>
      <w:r>
        <w:rPr>
          <w:rFonts w:hint="eastAsia" w:ascii="黑体" w:hAnsi="黑体" w:eastAsia="黑体" w:cs="黑体"/>
          <w:bCs/>
          <w:sz w:val="32"/>
          <w:szCs w:val="32"/>
          <w:lang w:val="zh-CN"/>
        </w:rPr>
        <w:tab/>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（一）项目完成情况。</w:t>
      </w:r>
    </w:p>
    <w:p>
      <w:pPr>
        <w:spacing w:line="576"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保障护理病退职工</w:t>
      </w:r>
      <w:r>
        <w:rPr>
          <w:rFonts w:hint="eastAsia" w:ascii="仿宋_GB2312" w:hAnsi="宋体" w:eastAsia="仿宋_GB2312"/>
          <w:sz w:val="32"/>
          <w:szCs w:val="32"/>
        </w:rPr>
        <w:t>刘欣</w:t>
      </w:r>
      <w:r>
        <w:rPr>
          <w:rFonts w:hint="eastAsia" w:ascii="仿宋_GB2312" w:hAnsi="宋体" w:eastAsia="仿宋_GB2312"/>
          <w:sz w:val="32"/>
          <w:szCs w:val="32"/>
          <w:lang w:val="zh-CN"/>
        </w:rPr>
        <w:t>全年生活</w:t>
      </w:r>
      <w:r>
        <w:rPr>
          <w:rFonts w:hint="eastAsia" w:ascii="仿宋_GB2312" w:hAnsi="宋体" w:eastAsia="仿宋_GB2312"/>
          <w:sz w:val="32"/>
          <w:szCs w:val="32"/>
        </w:rPr>
        <w:t>补贴4.8万元，按照季度支付护理费用及租房补贴。</w:t>
      </w:r>
    </w:p>
    <w:p>
      <w:pPr>
        <w:adjustRightInd w:val="0"/>
        <w:snapToGrid w:val="0"/>
        <w:spacing w:line="576" w:lineRule="exact"/>
        <w:ind w:firstLine="720"/>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w:t>
      </w: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zh-CN"/>
        </w:rPr>
        <w:t>）项目效益情况。</w:t>
      </w:r>
    </w:p>
    <w:p>
      <w:pPr>
        <w:spacing w:line="576"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该项目</w:t>
      </w:r>
      <w:r>
        <w:rPr>
          <w:rFonts w:hint="eastAsia" w:ascii="仿宋_GB2312" w:hAnsi="宋体" w:eastAsia="仿宋_GB2312"/>
          <w:sz w:val="32"/>
          <w:szCs w:val="32"/>
          <w:lang w:val="zh-CN"/>
        </w:rPr>
        <w:t>保障</w:t>
      </w:r>
      <w:r>
        <w:rPr>
          <w:rFonts w:hint="eastAsia" w:ascii="仿宋_GB2312" w:hAnsi="宋体" w:eastAsia="仿宋_GB2312"/>
          <w:sz w:val="32"/>
          <w:szCs w:val="32"/>
        </w:rPr>
        <w:t>了</w:t>
      </w:r>
      <w:r>
        <w:rPr>
          <w:rFonts w:hint="eastAsia" w:ascii="仿宋_GB2312" w:hAnsi="宋体" w:eastAsia="仿宋_GB2312"/>
          <w:sz w:val="32"/>
          <w:szCs w:val="32"/>
          <w:lang w:val="zh-CN"/>
        </w:rPr>
        <w:t>职工权益，消除了不稳定因素。</w:t>
      </w:r>
    </w:p>
    <w:p>
      <w:pPr>
        <w:spacing w:line="576" w:lineRule="exact"/>
        <w:ind w:firstLine="640" w:firstLineChars="200"/>
        <w:outlineLvl w:val="1"/>
        <w:rPr>
          <w:rFonts w:hint="eastAsia" w:ascii="黑体" w:hAnsi="黑体" w:eastAsia="黑体" w:cs="黑体"/>
          <w:bCs/>
          <w:sz w:val="32"/>
          <w:szCs w:val="32"/>
        </w:rPr>
      </w:pPr>
      <w:bookmarkStart w:id="127" w:name="_Toc11836"/>
      <w:r>
        <w:rPr>
          <w:rFonts w:hint="eastAsia" w:ascii="黑体" w:hAnsi="黑体" w:eastAsia="黑体" w:cs="黑体"/>
          <w:bCs/>
          <w:sz w:val="32"/>
          <w:szCs w:val="32"/>
          <w:lang w:val="en-US" w:eastAsia="zh-CN"/>
        </w:rPr>
        <w:t>五</w:t>
      </w:r>
      <w:r>
        <w:rPr>
          <w:rFonts w:hint="eastAsia" w:ascii="黑体" w:hAnsi="黑体" w:eastAsia="黑体" w:cs="黑体"/>
          <w:bCs/>
          <w:sz w:val="32"/>
          <w:szCs w:val="32"/>
        </w:rPr>
        <w:t>、问题及建议</w:t>
      </w:r>
      <w:bookmarkEnd w:id="127"/>
    </w:p>
    <w:p>
      <w:pPr>
        <w:adjustRightInd w:val="0"/>
        <w:snapToGrid w:val="0"/>
        <w:spacing w:line="576" w:lineRule="exact"/>
        <w:ind w:firstLine="720"/>
        <w:rPr>
          <w:rFonts w:hint="default" w:ascii="楷体_GB2312" w:hAnsi="楷体_GB2312" w:eastAsia="仿宋_GB2312" w:cs="楷体_GB2312"/>
          <w:bCs/>
          <w:sz w:val="32"/>
          <w:szCs w:val="32"/>
          <w:lang w:val="en-US" w:eastAsia="zh-CN"/>
        </w:rPr>
      </w:pPr>
      <w:r>
        <w:rPr>
          <w:rFonts w:hint="eastAsia" w:ascii="楷体_GB2312" w:hAnsi="楷体_GB2312" w:eastAsia="楷体_GB2312" w:cs="楷体_GB2312"/>
          <w:bCs/>
          <w:sz w:val="32"/>
          <w:szCs w:val="32"/>
          <w:lang w:val="zh-CN"/>
        </w:rPr>
        <w:t>（一）评价结论。</w:t>
      </w:r>
      <w:r>
        <w:rPr>
          <w:rFonts w:hint="eastAsia" w:ascii="仿宋_GB2312" w:hAnsi="宋体" w:eastAsia="仿宋_GB2312"/>
          <w:sz w:val="32"/>
          <w:szCs w:val="32"/>
          <w:lang w:val="en-US" w:eastAsia="zh-CN"/>
        </w:rPr>
        <w:t>该项目的实施保障了职工的权益，通过专项资金保障了职工护理及租房的切实需求。</w:t>
      </w:r>
    </w:p>
    <w:p>
      <w:pPr>
        <w:adjustRightInd w:val="0"/>
        <w:snapToGrid w:val="0"/>
        <w:spacing w:line="576" w:lineRule="exact"/>
        <w:ind w:firstLine="720"/>
        <w:rPr>
          <w:rFonts w:hint="eastAsia" w:ascii="仿宋_GB2312" w:hAnsi="宋体" w:eastAsia="仿宋_GB2312"/>
          <w:sz w:val="32"/>
          <w:szCs w:val="32"/>
        </w:rPr>
      </w:pPr>
      <w:r>
        <w:rPr>
          <w:rFonts w:hint="eastAsia" w:ascii="楷体_GB2312" w:hAnsi="楷体_GB2312" w:eastAsia="楷体_GB2312" w:cs="楷体_GB2312"/>
          <w:bCs/>
          <w:sz w:val="32"/>
          <w:szCs w:val="32"/>
          <w:lang w:val="zh-CN"/>
        </w:rPr>
        <w:t>（一）存在的问题。</w:t>
      </w:r>
      <w:r>
        <w:rPr>
          <w:rFonts w:hint="eastAsia" w:ascii="仿宋_GB2312" w:hAnsi="宋体" w:eastAsia="仿宋_GB2312"/>
          <w:sz w:val="32"/>
          <w:szCs w:val="32"/>
        </w:rPr>
        <w:t>随着疫情防控的常态化形势，物价及生活成本的增高，相应的租房和护工费用逐年上升，该项目既定的费用和职工诉求有一定的差距。</w:t>
      </w:r>
    </w:p>
    <w:p>
      <w:pPr>
        <w:adjustRightInd w:val="0"/>
        <w:snapToGrid w:val="0"/>
        <w:spacing w:line="576" w:lineRule="exact"/>
        <w:ind w:firstLine="720"/>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lang w:val="zh-CN"/>
        </w:rPr>
        <w:t>（二）相关建议。</w:t>
      </w:r>
      <w:r>
        <w:rPr>
          <w:rFonts w:hint="eastAsia" w:ascii="仿宋_GB2312" w:hAnsi="宋体" w:eastAsia="仿宋_GB2312"/>
          <w:sz w:val="32"/>
          <w:szCs w:val="32"/>
        </w:rPr>
        <w:t>经考察、测算，结合物价等因素，建议按比例逐年提高该职工生活补贴及租房补贴。</w:t>
      </w:r>
    </w:p>
    <w:p>
      <w:pPr>
        <w:rPr>
          <w:rFonts w:hint="eastAsia"/>
        </w:rPr>
      </w:pPr>
      <w:r>
        <w:rPr>
          <w:rFonts w:hint="eastAsia"/>
        </w:rPr>
        <w:br w:type="page"/>
      </w:r>
      <w:r>
        <w:drawing>
          <wp:inline distT="0" distB="0" distL="114300" distR="114300">
            <wp:extent cx="5270500" cy="4757420"/>
            <wp:effectExtent l="0" t="0" r="2540" b="1270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7"/>
                    <a:stretch>
                      <a:fillRect/>
                    </a:stretch>
                  </pic:blipFill>
                  <pic:spPr>
                    <a:xfrm>
                      <a:off x="0" y="0"/>
                      <a:ext cx="5270500" cy="4757420"/>
                    </a:xfrm>
                    <a:prstGeom prst="rect">
                      <a:avLst/>
                    </a:prstGeom>
                    <a:noFill/>
                    <a:ln>
                      <a:noFill/>
                    </a:ln>
                  </pic:spPr>
                </pic:pic>
              </a:graphicData>
            </a:graphic>
          </wp:inline>
        </w:drawing>
      </w:r>
    </w:p>
    <w:p>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128" w:name="_Toc3541"/>
      <w:r>
        <w:rPr>
          <w:rFonts w:hint="eastAsia" w:ascii="黑体" w:hAnsi="黑体" w:eastAsia="黑体"/>
          <w:color w:val="auto"/>
          <w:sz w:val="44"/>
          <w:szCs w:val="44"/>
          <w:highlight w:val="none"/>
        </w:rPr>
        <w:t>第</w:t>
      </w:r>
      <w:r>
        <w:rPr>
          <w:rStyle w:val="24"/>
          <w:rFonts w:hint="eastAsia" w:ascii="黑体" w:hAnsi="黑体" w:eastAsia="黑体"/>
          <w:b w:val="0"/>
          <w:color w:val="auto"/>
          <w:highlight w:val="none"/>
        </w:rPr>
        <w:t>五部分 附表</w:t>
      </w:r>
      <w:bookmarkEnd w:id="82"/>
      <w:bookmarkEnd w:id="100"/>
      <w:bookmarkEnd w:id="128"/>
      <w:bookmarkStart w:id="129" w:name="_Toc15396619"/>
    </w:p>
    <w:p>
      <w:pPr>
        <w:pStyle w:val="4"/>
        <w:rPr>
          <w:rFonts w:ascii="仿宋" w:hAnsi="仿宋" w:eastAsia="仿宋"/>
          <w:color w:val="auto"/>
          <w:highlight w:val="none"/>
        </w:rPr>
      </w:pPr>
      <w:bookmarkStart w:id="130" w:name="_Toc24018"/>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129"/>
      <w:bookmarkEnd w:id="130"/>
    </w:p>
    <w:p>
      <w:pPr>
        <w:pStyle w:val="4"/>
        <w:rPr>
          <w:rFonts w:ascii="仿宋" w:hAnsi="仿宋" w:eastAsia="仿宋"/>
          <w:color w:val="auto"/>
          <w:highlight w:val="none"/>
        </w:rPr>
      </w:pPr>
      <w:bookmarkStart w:id="131" w:name="_Toc17457"/>
      <w:bookmarkStart w:id="132" w:name="_Toc15396620"/>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131"/>
      <w:bookmarkEnd w:id="132"/>
    </w:p>
    <w:p>
      <w:pPr>
        <w:pStyle w:val="4"/>
        <w:rPr>
          <w:rFonts w:ascii="仿宋" w:hAnsi="仿宋" w:eastAsia="仿宋"/>
          <w:color w:val="auto"/>
          <w:highlight w:val="none"/>
        </w:rPr>
      </w:pPr>
      <w:bookmarkStart w:id="133" w:name="_Toc26116"/>
      <w:bookmarkStart w:id="134"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133"/>
      <w:bookmarkEnd w:id="134"/>
    </w:p>
    <w:p>
      <w:pPr>
        <w:pStyle w:val="4"/>
        <w:rPr>
          <w:rFonts w:ascii="仿宋" w:hAnsi="仿宋" w:eastAsia="仿宋"/>
          <w:b w:val="0"/>
          <w:color w:val="auto"/>
          <w:highlight w:val="none"/>
        </w:rPr>
      </w:pPr>
      <w:bookmarkStart w:id="135" w:name="_Toc14825"/>
      <w:bookmarkStart w:id="136" w:name="_Toc1539662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135"/>
      <w:bookmarkEnd w:id="136"/>
    </w:p>
    <w:p>
      <w:pPr>
        <w:pStyle w:val="4"/>
        <w:rPr>
          <w:rStyle w:val="25"/>
          <w:rFonts w:ascii="仿宋" w:hAnsi="仿宋" w:eastAsia="仿宋"/>
          <w:b w:val="0"/>
          <w:bCs w:val="0"/>
          <w:color w:val="auto"/>
          <w:highlight w:val="none"/>
        </w:rPr>
      </w:pPr>
      <w:bookmarkStart w:id="137" w:name="_Toc15396623"/>
      <w:bookmarkStart w:id="138" w:name="_Toc10636"/>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137"/>
      <w:bookmarkEnd w:id="138"/>
      <w:bookmarkStart w:id="139" w:name="_Toc15396624"/>
    </w:p>
    <w:p>
      <w:pPr>
        <w:pStyle w:val="4"/>
        <w:rPr>
          <w:rFonts w:ascii="仿宋" w:hAnsi="仿宋" w:eastAsia="仿宋"/>
          <w:color w:val="auto"/>
          <w:highlight w:val="none"/>
        </w:rPr>
      </w:pPr>
      <w:bookmarkStart w:id="140" w:name="_Toc4701"/>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139"/>
      <w:bookmarkEnd w:id="140"/>
    </w:p>
    <w:p>
      <w:pPr>
        <w:pStyle w:val="4"/>
        <w:rPr>
          <w:rFonts w:ascii="仿宋" w:hAnsi="仿宋" w:eastAsia="仿宋"/>
          <w:color w:val="auto"/>
          <w:highlight w:val="none"/>
        </w:rPr>
      </w:pPr>
      <w:bookmarkStart w:id="141" w:name="_Toc945"/>
      <w:bookmarkStart w:id="142"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141"/>
      <w:bookmarkEnd w:id="142"/>
    </w:p>
    <w:p>
      <w:pPr>
        <w:pStyle w:val="4"/>
        <w:rPr>
          <w:rFonts w:ascii="仿宋" w:hAnsi="仿宋" w:eastAsia="仿宋"/>
          <w:color w:val="auto"/>
          <w:highlight w:val="none"/>
        </w:rPr>
      </w:pPr>
      <w:bookmarkStart w:id="143" w:name="_Toc15396626"/>
      <w:bookmarkStart w:id="144" w:name="_Toc29581"/>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43"/>
      <w:bookmarkEnd w:id="144"/>
    </w:p>
    <w:p>
      <w:pPr>
        <w:pStyle w:val="4"/>
        <w:rPr>
          <w:rFonts w:ascii="仿宋" w:hAnsi="仿宋" w:eastAsia="仿宋"/>
          <w:color w:val="auto"/>
          <w:highlight w:val="none"/>
        </w:rPr>
      </w:pPr>
      <w:bookmarkStart w:id="145" w:name="_Toc15396627"/>
      <w:bookmarkStart w:id="146" w:name="_Toc17122"/>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45"/>
      <w:bookmarkEnd w:id="146"/>
    </w:p>
    <w:p>
      <w:pPr>
        <w:pStyle w:val="4"/>
        <w:rPr>
          <w:rFonts w:ascii="仿宋" w:hAnsi="仿宋" w:eastAsia="仿宋"/>
          <w:color w:val="auto"/>
          <w:highlight w:val="none"/>
        </w:rPr>
      </w:pPr>
      <w:bookmarkStart w:id="147" w:name="_Toc30938"/>
      <w:bookmarkStart w:id="148" w:name="_Toc15396628"/>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147"/>
      <w:bookmarkEnd w:id="148"/>
    </w:p>
    <w:p>
      <w:pPr>
        <w:pStyle w:val="4"/>
        <w:rPr>
          <w:rFonts w:ascii="仿宋" w:hAnsi="仿宋" w:eastAsia="仿宋"/>
          <w:color w:val="auto"/>
          <w:highlight w:val="none"/>
        </w:rPr>
      </w:pPr>
      <w:bookmarkStart w:id="149" w:name="_Toc15396629"/>
      <w:bookmarkStart w:id="150" w:name="_Toc10492"/>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49"/>
      <w:bookmarkEnd w:id="150"/>
    </w:p>
    <w:p>
      <w:pPr>
        <w:pStyle w:val="4"/>
        <w:rPr>
          <w:rFonts w:ascii="仿宋" w:hAnsi="仿宋" w:eastAsia="仿宋"/>
          <w:color w:val="auto"/>
          <w:highlight w:val="none"/>
        </w:rPr>
      </w:pPr>
      <w:bookmarkStart w:id="151" w:name="_Toc15396630"/>
      <w:bookmarkStart w:id="152" w:name="_Toc10403"/>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151"/>
      <w:bookmarkEnd w:id="152"/>
    </w:p>
    <w:p>
      <w:pPr>
        <w:pStyle w:val="4"/>
        <w:rPr>
          <w:rStyle w:val="25"/>
          <w:rFonts w:hint="eastAsia" w:ascii="仿宋" w:hAnsi="仿宋" w:eastAsia="仿宋"/>
          <w:b w:val="0"/>
          <w:bCs w:val="0"/>
          <w:color w:val="auto"/>
          <w:highlight w:val="none"/>
        </w:rPr>
      </w:pPr>
      <w:bookmarkStart w:id="153" w:name="_Toc9977"/>
      <w:bookmarkStart w:id="154" w:name="_Toc15396631"/>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53"/>
      <w:bookmarkEnd w:id="154"/>
    </w:p>
    <w:p>
      <w:pPr>
        <w:rPr>
          <w:rFonts w:hint="eastAsia" w:eastAsia="仿宋"/>
          <w:color w:val="auto"/>
          <w:highlight w:val="none"/>
          <w:lang w:eastAsia="zh-CN"/>
        </w:rPr>
      </w:pPr>
      <w:bookmarkStart w:id="155" w:name="_Toc27591"/>
      <w:r>
        <w:rPr>
          <w:rStyle w:val="25"/>
          <w:rFonts w:hint="eastAsia" w:ascii="仿宋" w:hAnsi="仿宋" w:eastAsia="仿宋"/>
          <w:b w:val="0"/>
          <w:bCs w:val="0"/>
          <w:color w:val="auto"/>
          <w:highlight w:val="none"/>
          <w:lang w:eastAsia="zh-CN"/>
        </w:rPr>
        <w:t>十四、国有资本经营预算财政拨款支出决算表</w:t>
      </w:r>
      <w:bookmarkEnd w:id="15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15271EA-D291-41FC-8575-42D26CD09C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959E15D-C48C-4F1B-AB61-473DD86010FE}"/>
  </w:font>
  <w:font w:name="Cambria">
    <w:panose1 w:val="02040503050406030204"/>
    <w:charset w:val="00"/>
    <w:family w:val="roman"/>
    <w:pitch w:val="default"/>
    <w:sig w:usb0="E00002FF" w:usb1="400004FF" w:usb2="00000000" w:usb3="00000000" w:csb0="2000019F" w:csb1="00000000"/>
    <w:embedRegular r:id="rId3" w:fontKey="{049858AB-04A0-45AE-BAAE-E679CD3FDE90}"/>
  </w:font>
  <w:font w:name="仿宋_GB2312">
    <w:panose1 w:val="02010609030101010101"/>
    <w:charset w:val="86"/>
    <w:family w:val="modern"/>
    <w:pitch w:val="default"/>
    <w:sig w:usb0="00000001" w:usb1="080E0000" w:usb2="00000000" w:usb3="00000000" w:csb0="00040000" w:csb1="00000000"/>
    <w:embedRegular r:id="rId4" w:fontKey="{8A279E29-EB05-483D-BDF2-B854F11748E3}"/>
  </w:font>
  <w:font w:name="仿宋">
    <w:panose1 w:val="02010609060101010101"/>
    <w:charset w:val="86"/>
    <w:family w:val="auto"/>
    <w:pitch w:val="default"/>
    <w:sig w:usb0="800002BF" w:usb1="38CF7CFA" w:usb2="00000016" w:usb3="00000000" w:csb0="00040001" w:csb1="00000000"/>
    <w:embedRegular r:id="rId5" w:fontKey="{9B45BE0C-C89C-4227-9B6F-FA073E4250AE}"/>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6" w:fontKey="{767ADB51-1EDF-4DDD-A7B5-63DB6F395624}"/>
  </w:font>
  <w:font w:name="华文楷体">
    <w:panose1 w:val="02010600040101010101"/>
    <w:charset w:val="86"/>
    <w:family w:val="auto"/>
    <w:pitch w:val="default"/>
    <w:sig w:usb0="00000287" w:usb1="080F0000" w:usb2="00000000" w:usb3="00000000" w:csb0="0004009F" w:csb1="DFD70000"/>
    <w:embedRegular r:id="rId7" w:fontKey="{225088EB-2D85-4114-B486-B42E88253BB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4751F"/>
    <w:multiLevelType w:val="singleLevel"/>
    <w:tmpl w:val="B1C4751F"/>
    <w:lvl w:ilvl="0" w:tentative="0">
      <w:start w:val="1"/>
      <w:numFmt w:val="decimal"/>
      <w:lvlText w:val="%1."/>
      <w:lvlJc w:val="left"/>
      <w:pPr>
        <w:tabs>
          <w:tab w:val="left" w:pos="312"/>
        </w:tabs>
      </w:pPr>
    </w:lvl>
  </w:abstractNum>
  <w:abstractNum w:abstractNumId="1">
    <w:nsid w:val="BDDD1B19"/>
    <w:multiLevelType w:val="singleLevel"/>
    <w:tmpl w:val="BDDD1B19"/>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D7C13A2"/>
    <w:multiLevelType w:val="singleLevel"/>
    <w:tmpl w:val="DD7C13A2"/>
    <w:lvl w:ilvl="0" w:tentative="0">
      <w:start w:val="1"/>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E5B6B421"/>
    <w:multiLevelType w:val="singleLevel"/>
    <w:tmpl w:val="E5B6B421"/>
    <w:lvl w:ilvl="0" w:tentative="0">
      <w:start w:val="2"/>
      <w:numFmt w:val="chineseCounting"/>
      <w:suff w:val="nothing"/>
      <w:lvlText w:val="（%1）"/>
      <w:lvlJc w:val="left"/>
      <w:rPr>
        <w:rFonts w:hint="eastAsia"/>
      </w:rPr>
    </w:lvl>
  </w:abstractNum>
  <w:abstractNum w:abstractNumId="6">
    <w:nsid w:val="E94CA8EB"/>
    <w:multiLevelType w:val="singleLevel"/>
    <w:tmpl w:val="E94CA8EB"/>
    <w:lvl w:ilvl="0" w:tentative="0">
      <w:start w:val="1"/>
      <w:numFmt w:val="chineseCounting"/>
      <w:suff w:val="nothing"/>
      <w:lvlText w:val="（%1）"/>
      <w:lvlJc w:val="left"/>
      <w:rPr>
        <w:rFonts w:hint="eastAsia"/>
      </w:rPr>
    </w:lvl>
  </w:abstractNum>
  <w:abstractNum w:abstractNumId="7">
    <w:nsid w:val="F54C7F29"/>
    <w:multiLevelType w:val="singleLevel"/>
    <w:tmpl w:val="F54C7F29"/>
    <w:lvl w:ilvl="0" w:tentative="0">
      <w:start w:val="1"/>
      <w:numFmt w:val="decimal"/>
      <w:lvlText w:val="%1."/>
      <w:lvlJc w:val="left"/>
      <w:pPr>
        <w:tabs>
          <w:tab w:val="left" w:pos="312"/>
        </w:tabs>
      </w:pPr>
    </w:lvl>
  </w:abstractNum>
  <w:abstractNum w:abstractNumId="8">
    <w:nsid w:val="072543AB"/>
    <w:multiLevelType w:val="singleLevel"/>
    <w:tmpl w:val="072543AB"/>
    <w:lvl w:ilvl="0" w:tentative="0">
      <w:start w:val="1"/>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16D7C99E"/>
    <w:multiLevelType w:val="singleLevel"/>
    <w:tmpl w:val="16D7C99E"/>
    <w:lvl w:ilvl="0" w:tentative="0">
      <w:start w:val="2"/>
      <w:numFmt w:val="chineseCounting"/>
      <w:suff w:val="nothing"/>
      <w:lvlText w:val="（%1）"/>
      <w:lvlJc w:val="left"/>
      <w:rPr>
        <w:rFonts w:hint="eastAsia"/>
      </w:rPr>
    </w:lvl>
  </w:abstractNum>
  <w:abstractNum w:abstractNumId="11">
    <w:nsid w:val="3182DF4D"/>
    <w:multiLevelType w:val="singleLevel"/>
    <w:tmpl w:val="3182DF4D"/>
    <w:lvl w:ilvl="0" w:tentative="0">
      <w:start w:val="1"/>
      <w:numFmt w:val="decimal"/>
      <w:lvlText w:val="%1."/>
      <w:lvlJc w:val="left"/>
      <w:pPr>
        <w:tabs>
          <w:tab w:val="left" w:pos="312"/>
        </w:tabs>
      </w:pPr>
    </w:lvl>
  </w:abstractNum>
  <w:abstractNum w:abstractNumId="12">
    <w:nsid w:val="4DB33FCE"/>
    <w:multiLevelType w:val="singleLevel"/>
    <w:tmpl w:val="4DB33FCE"/>
    <w:lvl w:ilvl="0" w:tentative="0">
      <w:start w:val="1"/>
      <w:numFmt w:val="decimal"/>
      <w:lvlText w:val="%1."/>
      <w:lvlJc w:val="left"/>
      <w:pPr>
        <w:tabs>
          <w:tab w:val="left" w:pos="312"/>
        </w:tabs>
      </w:pPr>
    </w:lvl>
  </w:abstractNum>
  <w:abstractNum w:abstractNumId="13">
    <w:nsid w:val="4F07E91A"/>
    <w:multiLevelType w:val="singleLevel"/>
    <w:tmpl w:val="4F07E91A"/>
    <w:lvl w:ilvl="0" w:tentative="0">
      <w:start w:val="1"/>
      <w:numFmt w:val="chineseCounting"/>
      <w:suff w:val="nothing"/>
      <w:lvlText w:val="%1、"/>
      <w:lvlJc w:val="left"/>
      <w:rPr>
        <w:rFonts w:hint="eastAsia"/>
      </w:rPr>
    </w:lvl>
  </w:abstractNum>
  <w:abstractNum w:abstractNumId="14">
    <w:nsid w:val="77AD4344"/>
    <w:multiLevelType w:val="singleLevel"/>
    <w:tmpl w:val="77AD4344"/>
    <w:lvl w:ilvl="0" w:tentative="0">
      <w:start w:val="2"/>
      <w:numFmt w:val="chineseCounting"/>
      <w:suff w:val="nothing"/>
      <w:lvlText w:val="%1、"/>
      <w:lvlJc w:val="left"/>
      <w:rPr>
        <w:rFonts w:hint="eastAsia"/>
      </w:rPr>
    </w:lvl>
  </w:abstractNum>
  <w:num w:numId="1">
    <w:abstractNumId w:val="13"/>
  </w:num>
  <w:num w:numId="2">
    <w:abstractNumId w:val="9"/>
  </w:num>
  <w:num w:numId="3">
    <w:abstractNumId w:val="2"/>
  </w:num>
  <w:num w:numId="4">
    <w:abstractNumId w:val="4"/>
  </w:num>
  <w:num w:numId="5">
    <w:abstractNumId w:val="3"/>
  </w:num>
  <w:num w:numId="6">
    <w:abstractNumId w:val="11"/>
  </w:num>
  <w:num w:numId="7">
    <w:abstractNumId w:val="5"/>
  </w:num>
  <w:num w:numId="8">
    <w:abstractNumId w:val="1"/>
  </w:num>
  <w:num w:numId="9">
    <w:abstractNumId w:val="14"/>
  </w:num>
  <w:num w:numId="10">
    <w:abstractNumId w:val="8"/>
  </w:num>
  <w:num w:numId="11">
    <w:abstractNumId w:val="0"/>
  </w:num>
  <w:num w:numId="12">
    <w:abstractNumId w:val="6"/>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N2VlZDFkOTk2OWI1ZjQ0NDM3NDI3YjgyZjE0M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46"/>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E501B62"/>
    <w:rsid w:val="10C055FF"/>
    <w:rsid w:val="11263560"/>
    <w:rsid w:val="118107EC"/>
    <w:rsid w:val="11DD6519"/>
    <w:rsid w:val="11E36248"/>
    <w:rsid w:val="16BB723D"/>
    <w:rsid w:val="18015F3F"/>
    <w:rsid w:val="1BE8440E"/>
    <w:rsid w:val="1D155CEE"/>
    <w:rsid w:val="1E57B329"/>
    <w:rsid w:val="20F57F95"/>
    <w:rsid w:val="210E30F7"/>
    <w:rsid w:val="22D60519"/>
    <w:rsid w:val="240371BF"/>
    <w:rsid w:val="25C741E6"/>
    <w:rsid w:val="27842671"/>
    <w:rsid w:val="28891158"/>
    <w:rsid w:val="29FD04D3"/>
    <w:rsid w:val="2ABE7A3E"/>
    <w:rsid w:val="2EFA178C"/>
    <w:rsid w:val="30B46D73"/>
    <w:rsid w:val="319F7F4E"/>
    <w:rsid w:val="335C6818"/>
    <w:rsid w:val="385602BE"/>
    <w:rsid w:val="39AE70AB"/>
    <w:rsid w:val="3C0C0783"/>
    <w:rsid w:val="3E1F0891"/>
    <w:rsid w:val="3F795B0E"/>
    <w:rsid w:val="3F9F3A96"/>
    <w:rsid w:val="40350D30"/>
    <w:rsid w:val="44D6593D"/>
    <w:rsid w:val="458D5F84"/>
    <w:rsid w:val="48A040B5"/>
    <w:rsid w:val="493C27E9"/>
    <w:rsid w:val="496F39ED"/>
    <w:rsid w:val="49FF41D3"/>
    <w:rsid w:val="4A185DC8"/>
    <w:rsid w:val="4A1C4E51"/>
    <w:rsid w:val="4BE068DB"/>
    <w:rsid w:val="4BF6002B"/>
    <w:rsid w:val="4ECE2238"/>
    <w:rsid w:val="51DB4B86"/>
    <w:rsid w:val="52FF08F2"/>
    <w:rsid w:val="55333C3E"/>
    <w:rsid w:val="5D94154F"/>
    <w:rsid w:val="64CA39A1"/>
    <w:rsid w:val="6C4A05C8"/>
    <w:rsid w:val="6DBC7384"/>
    <w:rsid w:val="72734D90"/>
    <w:rsid w:val="79E7B28D"/>
    <w:rsid w:val="7C775BAB"/>
    <w:rsid w:val="7EB464B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NormalCharacter"/>
    <w:qFormat/>
    <w:uiPriority w:val="0"/>
    <w:rPr>
      <w:rFonts w:ascii="Times New Roman" w:hAnsi="Times New Roman"/>
      <w:kern w:val="2"/>
      <w:sz w:val="21"/>
      <w:szCs w:val="24"/>
      <w:lang w:val="en-US" w:eastAsia="zh-CN" w:bidi="ar-SA"/>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5.emf"/><Relationship Id="rId16" Type="http://schemas.openxmlformats.org/officeDocument/2006/relationships/image" Target="media/image4.emf"/><Relationship Id="rId15" Type="http://schemas.openxmlformats.org/officeDocument/2006/relationships/image" Target="media/image3.emf"/><Relationship Id="rId14" Type="http://schemas.openxmlformats.org/officeDocument/2006/relationships/image" Target="media/image2.emf"/><Relationship Id="rId13" Type="http://schemas.openxmlformats.org/officeDocument/2006/relationships/image" Target="media/image1.emf"/><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a:t>
            </a:r>
          </a:p>
        </c:rich>
      </c:tx>
      <c:layout>
        <c:manualLayout>
          <c:xMode val="edge"/>
          <c:yMode val="edge"/>
          <c:x val="0.423"/>
          <c:y val="0.0215"/>
        </c:manualLayout>
      </c:layout>
      <c:overlay val="0"/>
      <c:spPr>
        <a:noFill/>
        <a:ln>
          <a:noFill/>
        </a:ln>
        <a:effectLst/>
      </c:spPr>
    </c:title>
    <c:autoTitleDeleted val="0"/>
    <c:plotArea>
      <c:layout>
        <c:manualLayout>
          <c:layoutTarget val="inner"/>
          <c:xMode val="edge"/>
          <c:yMode val="edge"/>
          <c:x val="0.05495"/>
          <c:y val="0.00587659157688541"/>
          <c:w val="0.8938"/>
          <c:h val="0.667267384916748"/>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c:f>
              <c:strCache>
                <c:ptCount val="1"/>
                <c:pt idx="0">
                  <c:v>收、支决算总计</c:v>
                </c:pt>
              </c:strCache>
            </c:strRef>
          </c:cat>
          <c:val>
            <c:numRef>
              <c:f>Sheet1!$B$2</c:f>
              <c:numCache>
                <c:formatCode>General</c:formatCode>
                <c:ptCount val="1"/>
                <c:pt idx="0">
                  <c:v>4975.2</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c:f>
              <c:strCache>
                <c:ptCount val="1"/>
                <c:pt idx="0">
                  <c:v>收、支决算总计</c:v>
                </c:pt>
              </c:strCache>
            </c:strRef>
          </c:cat>
          <c:val>
            <c:numRef>
              <c:f>Sheet1!$C$2</c:f>
              <c:numCache>
                <c:formatCode>General</c:formatCode>
                <c:ptCount val="1"/>
                <c:pt idx="0">
                  <c:v>3857.15</c:v>
                </c:pt>
              </c:numCache>
            </c:numRef>
          </c:val>
        </c:ser>
        <c:dLbls>
          <c:showLegendKey val="0"/>
          <c:showVal val="0"/>
          <c:showCatName val="0"/>
          <c:showSerName val="0"/>
          <c:showPercent val="0"/>
          <c:showBubbleSize val="0"/>
        </c:dLbls>
        <c:gapWidth val="219"/>
        <c:overlap val="-27"/>
        <c:axId val="485947442"/>
        <c:axId val="928127757"/>
      </c:barChart>
      <c:catAx>
        <c:axId val="4859474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127757"/>
        <c:crosses val="autoZero"/>
        <c:auto val="1"/>
        <c:lblAlgn val="ctr"/>
        <c:lblOffset val="100"/>
        <c:noMultiLvlLbl val="0"/>
      </c:catAx>
      <c:valAx>
        <c:axId val="928127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594744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1343.73</c:v>
                </c:pt>
                <c:pt idx="1">
                  <c:v>199.19</c:v>
                </c:pt>
                <c:pt idx="2">
                  <c:v>440.99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ysClr val="windowText" lastClr="000000">
                  <a:lumMod val="65000"/>
                  <a:lumOff val="35000"/>
                </a:sys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rgbClr val="4F81BD"/>
              </a:solidFill>
              <a:ln w="19050">
                <a:solidFill>
                  <a:sysClr val="window" lastClr="FFFFFF"/>
                </a:solidFill>
              </a:ln>
              <a:effectLst/>
            </c:spPr>
          </c:dPt>
          <c:dPt>
            <c:idx val="1"/>
            <c:bubble3D val="0"/>
            <c:spPr>
              <a:solidFill>
                <a:srgbClr val="C0504D"/>
              </a:solidFill>
              <a:ln w="19050">
                <a:solidFill>
                  <a:sysClr val="window" lastClr="FFFFFF"/>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416.74</c:v>
                </c:pt>
                <c:pt idx="1">
                  <c:v>1976.76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c:f>
              <c:strCache>
                <c:ptCount val="1"/>
                <c:pt idx="0">
                  <c:v>财政拨款收、支决算总计</c:v>
                </c:pt>
              </c:strCache>
            </c:strRef>
          </c:cat>
          <c:val>
            <c:numRef>
              <c:f>Sheet1!$B$2</c:f>
              <c:numCache>
                <c:formatCode>General</c:formatCode>
                <c:ptCount val="1"/>
                <c:pt idx="0">
                  <c:v>1268.39</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c:f>
              <c:strCache>
                <c:ptCount val="1"/>
                <c:pt idx="0">
                  <c:v>财政拨款收、支决算总计</c:v>
                </c:pt>
              </c:strCache>
            </c:strRef>
          </c:cat>
          <c:val>
            <c:numRef>
              <c:f>Sheet1!$C$2</c:f>
              <c:numCache>
                <c:formatCode>General</c:formatCode>
                <c:ptCount val="1"/>
                <c:pt idx="0">
                  <c:v>1921.95</c:v>
                </c:pt>
              </c:numCache>
            </c:numRef>
          </c:val>
        </c:ser>
        <c:dLbls>
          <c:showLegendKey val="0"/>
          <c:showVal val="0"/>
          <c:showCatName val="0"/>
          <c:showSerName val="0"/>
          <c:showPercent val="0"/>
          <c:showBubbleSize val="0"/>
        </c:dLbls>
        <c:gapWidth val="219"/>
        <c:overlap val="-27"/>
        <c:axId val="604672808"/>
        <c:axId val="143057683"/>
      </c:barChart>
      <c:catAx>
        <c:axId val="6046728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057683"/>
        <c:crosses val="autoZero"/>
        <c:auto val="1"/>
        <c:lblAlgn val="ctr"/>
        <c:lblOffset val="100"/>
        <c:noMultiLvlLbl val="0"/>
      </c:catAx>
      <c:valAx>
        <c:axId val="1430576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6728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45"/>
          <c:y val="0.0386666666666667"/>
          <c:w val="0.8938"/>
          <c:h val="0.807233333333333"/>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elete val="1"/>
          </c:dLbls>
          <c:cat>
            <c:strRef>
              <c:f>Sheet1!$A$2</c:f>
              <c:strCache>
                <c:ptCount val="1"/>
                <c:pt idx="0">
                  <c:v>一般公共预算财政拨款支出决算</c:v>
                </c:pt>
              </c:strCache>
            </c:strRef>
          </c:cat>
          <c:val>
            <c:numRef>
              <c:f>Sheet1!$B$2</c:f>
              <c:numCache>
                <c:formatCode>General</c:formatCode>
                <c:ptCount val="1"/>
                <c:pt idx="0">
                  <c:v>798.29</c:v>
                </c:pt>
              </c:numCache>
            </c:numRef>
          </c:val>
        </c:ser>
        <c:ser>
          <c:idx val="1"/>
          <c:order val="1"/>
          <c:tx>
            <c:strRef>
              <c:f>Sheet1!$C$1</c:f>
              <c:strCache>
                <c:ptCount val="1"/>
                <c:pt idx="0">
                  <c:v>2021年</c:v>
                </c:pt>
              </c:strCache>
            </c:strRef>
          </c:tx>
          <c:spPr>
            <a:solidFill>
              <a:schemeClr val="accent2"/>
            </a:solidFill>
            <a:ln>
              <a:noFill/>
            </a:ln>
            <a:effectLst/>
          </c:spPr>
          <c:invertIfNegative val="0"/>
          <c:dLbls>
            <c:delete val="1"/>
          </c:dLbls>
          <c:cat>
            <c:strRef>
              <c:f>Sheet1!$A$2</c:f>
              <c:strCache>
                <c:ptCount val="1"/>
                <c:pt idx="0">
                  <c:v>一般公共预算财政拨款支出决算</c:v>
                </c:pt>
              </c:strCache>
            </c:strRef>
          </c:cat>
          <c:val>
            <c:numRef>
              <c:f>Sheet1!$C$2</c:f>
              <c:numCache>
                <c:formatCode>General</c:formatCode>
                <c:ptCount val="1"/>
                <c:pt idx="0">
                  <c:v>1608.61</c:v>
                </c:pt>
              </c:numCache>
            </c:numRef>
          </c:val>
        </c:ser>
        <c:dLbls>
          <c:showLegendKey val="0"/>
          <c:showVal val="0"/>
          <c:showCatName val="0"/>
          <c:showSerName val="0"/>
          <c:showPercent val="0"/>
          <c:showBubbleSize val="0"/>
        </c:dLbls>
        <c:gapWidth val="219"/>
        <c:overlap val="-27"/>
        <c:axId val="435003646"/>
        <c:axId val="669062268"/>
      </c:barChart>
      <c:catAx>
        <c:axId val="4350036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062268"/>
        <c:crosses val="autoZero"/>
        <c:auto val="1"/>
        <c:lblAlgn val="ctr"/>
        <c:lblOffset val="100"/>
        <c:noMultiLvlLbl val="0"/>
      </c:catAx>
      <c:valAx>
        <c:axId val="6690622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500364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社会保障和就业（类）</c:v>
                </c:pt>
                <c:pt idx="1">
                  <c:v>卫生健康（类）</c:v>
                </c:pt>
                <c:pt idx="2">
                  <c:v>交通运输（类）</c:v>
                </c:pt>
                <c:pt idx="3">
                  <c:v>住房保障（类）</c:v>
                </c:pt>
              </c:strCache>
            </c:strRef>
          </c:cat>
          <c:val>
            <c:numRef>
              <c:f>Sheet1!$B$2:$B$5</c:f>
              <c:numCache>
                <c:formatCode>General</c:formatCode>
                <c:ptCount val="4"/>
                <c:pt idx="0">
                  <c:v>79.18</c:v>
                </c:pt>
                <c:pt idx="1">
                  <c:v>11.73</c:v>
                </c:pt>
                <c:pt idx="2">
                  <c:v>1492.4</c:v>
                </c:pt>
                <c:pt idx="3">
                  <c:v>25.29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2.42</c:v>
                </c:pt>
                <c:pt idx="2">
                  <c:v>1.25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15856</Words>
  <Characters>16903</Characters>
  <Lines>61</Lines>
  <Paragraphs>17</Paragraphs>
  <TotalTime>40</TotalTime>
  <ScaleCrop>false</ScaleCrop>
  <LinksUpToDate>false</LinksUpToDate>
  <CharactersWithSpaces>17141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dada ==</cp:lastModifiedBy>
  <cp:lastPrinted>2022-08-06T10:23:00Z</cp:lastPrinted>
  <dcterms:modified xsi:type="dcterms:W3CDTF">2023-06-25T08:44:32Z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D0FD8BFC082140409AD9A87091D1E9DE_13</vt:lpwstr>
  </property>
</Properties>
</file>