
<file path=[Content_Types].xml><?xml version="1.0" encoding="utf-8"?>
<Types xmlns="http://schemas.openxmlformats.org/package/2006/content-types">
  <Default Extension="xml" ContentType="application/xml"/>
  <Default Extension="xlsx" ContentType="application/vnd.openxmlformats-officedocument.spreadsheetml.sheet"/>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outlineLvl w:val="0"/>
        <w:rPr>
          <w:rFonts w:hint="default" w:ascii="方正小标宋简体" w:hAnsi="宋体" w:eastAsia="方正小标宋简体"/>
          <w:color w:val="auto"/>
          <w:sz w:val="72"/>
          <w:szCs w:val="72"/>
          <w:highlight w:val="none"/>
          <w:lang w:val="en-US" w:eastAsia="zh-CN"/>
        </w:rPr>
      </w:pPr>
      <w:bookmarkStart w:id="0" w:name="_Toc15396597"/>
      <w:bookmarkStart w:id="1" w:name="_Toc15378441"/>
      <w:bookmarkStart w:id="2" w:name="_Toc15306267"/>
      <w:bookmarkStart w:id="3" w:name="_Toc15396475"/>
      <w:bookmarkStart w:id="4" w:name="_Toc15377193"/>
      <w:bookmarkStart w:id="5" w:name="_Toc15377425"/>
    </w:p>
    <w:p>
      <w:pPr>
        <w:spacing w:line="600" w:lineRule="exact"/>
        <w:jc w:val="center"/>
        <w:outlineLvl w:val="0"/>
        <w:rPr>
          <w:rFonts w:ascii="方正小标宋简体" w:hAnsi="宋体" w:eastAsia="方正小标宋简体"/>
          <w:color w:val="auto"/>
          <w:sz w:val="44"/>
          <w:szCs w:val="44"/>
          <w:highlight w:val="none"/>
        </w:rPr>
      </w:pPr>
    </w:p>
    <w:bookmarkEnd w:id="0"/>
    <w:bookmarkEnd w:id="1"/>
    <w:bookmarkEnd w:id="2"/>
    <w:bookmarkEnd w:id="3"/>
    <w:bookmarkEnd w:id="4"/>
    <w:bookmarkEnd w:id="5"/>
    <w:p>
      <w:pPr>
        <w:adjustRightInd w:val="0"/>
        <w:snapToGrid w:val="0"/>
        <w:spacing w:line="1000" w:lineRule="exact"/>
        <w:jc w:val="center"/>
        <w:outlineLvl w:val="0"/>
        <w:rPr>
          <w:rFonts w:hint="eastAsia" w:ascii="方正小标宋简体" w:hAnsi="宋体" w:eastAsia="方正小标宋简体"/>
          <w:b w:val="0"/>
          <w:bCs/>
          <w:color w:val="000000"/>
          <w:spacing w:val="0"/>
          <w:w w:val="100"/>
          <w:sz w:val="44"/>
          <w:szCs w:val="44"/>
        </w:rPr>
      </w:pPr>
      <w:bookmarkStart w:id="6" w:name="_Toc15377194"/>
      <w:bookmarkStart w:id="7" w:name="_Toc15377426"/>
      <w:bookmarkStart w:id="8" w:name="_Toc15396476"/>
      <w:bookmarkStart w:id="9" w:name="_Toc15396598"/>
      <w:bookmarkStart w:id="10" w:name="_Toc15378442"/>
      <w:r>
        <w:rPr>
          <w:rFonts w:hint="eastAsia" w:ascii="方正小标宋简体" w:hAnsi="宋体" w:eastAsia="方正小标宋简体"/>
          <w:b w:val="0"/>
          <w:bCs/>
          <w:color w:val="000000"/>
          <w:spacing w:val="0"/>
          <w:w w:val="100"/>
          <w:sz w:val="44"/>
          <w:szCs w:val="44"/>
        </w:rPr>
        <w:t>广元市</w:t>
      </w:r>
      <w:bookmarkStart w:id="11" w:name="_Toc15306268"/>
      <w:r>
        <w:rPr>
          <w:rFonts w:hint="eastAsia" w:ascii="方正小标宋简体" w:hAnsi="宋体" w:eastAsia="方正小标宋简体"/>
          <w:b w:val="0"/>
          <w:bCs/>
          <w:color w:val="000000"/>
          <w:spacing w:val="0"/>
          <w:w w:val="100"/>
          <w:sz w:val="44"/>
          <w:szCs w:val="44"/>
        </w:rPr>
        <w:t>政务服务和公共资源交易中心</w:t>
      </w:r>
      <w:bookmarkStart w:id="160" w:name="_GoBack"/>
      <w:bookmarkEnd w:id="160"/>
    </w:p>
    <w:p>
      <w:pPr>
        <w:adjustRightInd w:val="0"/>
        <w:snapToGrid w:val="0"/>
        <w:spacing w:line="1000" w:lineRule="exact"/>
        <w:jc w:val="center"/>
        <w:outlineLvl w:val="0"/>
        <w:rPr>
          <w:rFonts w:hint="eastAsia" w:ascii="方正小标宋简体" w:hAnsi="宋体" w:eastAsia="方正小标宋简体"/>
          <w:b w:val="0"/>
          <w:bCs/>
          <w:color w:val="000000"/>
          <w:spacing w:val="-23"/>
          <w:sz w:val="52"/>
          <w:szCs w:val="56"/>
        </w:rPr>
      </w:pPr>
    </w:p>
    <w:p>
      <w:pPr>
        <w:adjustRightInd w:val="0"/>
        <w:snapToGrid w:val="0"/>
        <w:spacing w:line="920" w:lineRule="exact"/>
        <w:jc w:val="center"/>
        <w:outlineLvl w:val="0"/>
        <w:rPr>
          <w:rFonts w:hint="eastAsia" w:ascii="方正小标宋简体" w:hAnsi="宋体" w:eastAsia="方正小标宋简体"/>
          <w:color w:val="000000"/>
          <w:sz w:val="72"/>
          <w:szCs w:val="72"/>
        </w:rPr>
      </w:pPr>
      <w:r>
        <w:rPr>
          <w:rFonts w:hint="eastAsia" w:ascii="方正小标宋简体" w:hAnsi="宋体" w:eastAsia="方正小标宋简体"/>
          <w:color w:val="000000"/>
          <w:sz w:val="72"/>
          <w:szCs w:val="72"/>
        </w:rPr>
        <w:t>部</w:t>
      </w:r>
    </w:p>
    <w:p>
      <w:pPr>
        <w:adjustRightInd w:val="0"/>
        <w:snapToGrid w:val="0"/>
        <w:spacing w:line="920" w:lineRule="exact"/>
        <w:jc w:val="center"/>
        <w:outlineLvl w:val="0"/>
        <w:rPr>
          <w:rFonts w:hint="eastAsia" w:ascii="方正小标宋简体" w:hAnsi="宋体" w:eastAsia="方正小标宋简体"/>
          <w:color w:val="000000"/>
          <w:sz w:val="72"/>
          <w:szCs w:val="72"/>
        </w:rPr>
      </w:pPr>
      <w:r>
        <w:rPr>
          <w:rFonts w:hint="eastAsia" w:ascii="方正小标宋简体" w:hAnsi="宋体" w:eastAsia="方正小标宋简体"/>
          <w:color w:val="000000"/>
          <w:sz w:val="72"/>
          <w:szCs w:val="72"/>
        </w:rPr>
        <w:t xml:space="preserve">     </w:t>
      </w:r>
    </w:p>
    <w:p>
      <w:pPr>
        <w:adjustRightInd w:val="0"/>
        <w:snapToGrid w:val="0"/>
        <w:spacing w:line="920" w:lineRule="exact"/>
        <w:jc w:val="center"/>
        <w:outlineLvl w:val="0"/>
        <w:rPr>
          <w:rFonts w:hint="eastAsia" w:ascii="方正小标宋简体" w:hAnsi="宋体" w:eastAsia="方正小标宋简体"/>
          <w:color w:val="000000"/>
          <w:sz w:val="72"/>
          <w:szCs w:val="72"/>
        </w:rPr>
      </w:pPr>
      <w:r>
        <w:rPr>
          <w:rFonts w:hint="eastAsia" w:ascii="方正小标宋简体" w:hAnsi="宋体" w:eastAsia="方正小标宋简体"/>
          <w:color w:val="000000"/>
          <w:sz w:val="72"/>
          <w:szCs w:val="72"/>
        </w:rPr>
        <w:t>门</w:t>
      </w:r>
    </w:p>
    <w:p>
      <w:pPr>
        <w:adjustRightInd w:val="0"/>
        <w:snapToGrid w:val="0"/>
        <w:spacing w:line="920" w:lineRule="exact"/>
        <w:jc w:val="center"/>
        <w:outlineLvl w:val="0"/>
        <w:rPr>
          <w:rFonts w:hint="eastAsia" w:ascii="方正小标宋简体" w:hAnsi="宋体" w:eastAsia="方正小标宋简体"/>
          <w:color w:val="000000"/>
          <w:sz w:val="72"/>
          <w:szCs w:val="72"/>
        </w:rPr>
      </w:pPr>
    </w:p>
    <w:p>
      <w:pPr>
        <w:adjustRightInd w:val="0"/>
        <w:snapToGrid w:val="0"/>
        <w:spacing w:line="920" w:lineRule="exact"/>
        <w:jc w:val="center"/>
        <w:outlineLvl w:val="0"/>
        <w:rPr>
          <w:rFonts w:hint="eastAsia" w:ascii="方正小标宋简体" w:hAnsi="宋体" w:eastAsia="方正小标宋简体"/>
          <w:color w:val="000000"/>
          <w:sz w:val="72"/>
          <w:szCs w:val="72"/>
        </w:rPr>
      </w:pPr>
      <w:r>
        <w:rPr>
          <w:rFonts w:hint="eastAsia" w:ascii="方正小标宋简体" w:hAnsi="宋体" w:eastAsia="方正小标宋简体"/>
          <w:color w:val="000000"/>
          <w:sz w:val="72"/>
          <w:szCs w:val="72"/>
        </w:rPr>
        <w:t>决</w:t>
      </w:r>
    </w:p>
    <w:p>
      <w:pPr>
        <w:adjustRightInd w:val="0"/>
        <w:snapToGrid w:val="0"/>
        <w:spacing w:line="920" w:lineRule="exact"/>
        <w:jc w:val="center"/>
        <w:outlineLvl w:val="0"/>
        <w:rPr>
          <w:rFonts w:hint="eastAsia" w:ascii="方正小标宋简体" w:hAnsi="宋体" w:eastAsia="方正小标宋简体"/>
          <w:color w:val="000000"/>
          <w:sz w:val="72"/>
          <w:szCs w:val="72"/>
        </w:rPr>
      </w:pPr>
    </w:p>
    <w:p>
      <w:pPr>
        <w:adjustRightInd w:val="0"/>
        <w:snapToGrid w:val="0"/>
        <w:spacing w:line="920" w:lineRule="exact"/>
        <w:jc w:val="center"/>
        <w:outlineLvl w:val="0"/>
        <w:rPr>
          <w:rFonts w:hint="eastAsia" w:ascii="方正小标宋简体" w:hAnsi="宋体" w:eastAsia="方正小标宋简体"/>
          <w:color w:val="000000"/>
          <w:sz w:val="72"/>
          <w:szCs w:val="72"/>
        </w:rPr>
      </w:pPr>
      <w:r>
        <w:rPr>
          <w:rFonts w:hint="eastAsia" w:ascii="方正小标宋简体" w:hAnsi="宋体" w:eastAsia="方正小标宋简体"/>
          <w:color w:val="000000"/>
          <w:sz w:val="72"/>
          <w:szCs w:val="72"/>
        </w:rPr>
        <w:t>算</w:t>
      </w:r>
      <w:bookmarkEnd w:id="6"/>
      <w:bookmarkEnd w:id="7"/>
      <w:bookmarkEnd w:id="8"/>
      <w:bookmarkEnd w:id="9"/>
      <w:bookmarkEnd w:id="10"/>
      <w:bookmarkEnd w:id="11"/>
    </w:p>
    <w:p>
      <w:pPr>
        <w:pStyle w:val="2"/>
        <w:rPr>
          <w:rFonts w:hint="eastAsia"/>
        </w:rPr>
      </w:pPr>
    </w:p>
    <w:p>
      <w:pPr>
        <w:adjustRightInd w:val="0"/>
        <w:snapToGrid w:val="0"/>
        <w:spacing w:line="1000" w:lineRule="exact"/>
        <w:jc w:val="center"/>
        <w:outlineLvl w:val="0"/>
        <w:rPr>
          <w:rFonts w:hint="eastAsia" w:ascii="楷体_GB2312" w:hAnsi="楷体_GB2312" w:eastAsia="楷体_GB2312" w:cs="楷体_GB2312"/>
          <w:b w:val="0"/>
          <w:bCs/>
          <w:color w:val="000000"/>
          <w:spacing w:val="-40"/>
          <w:sz w:val="48"/>
          <w:szCs w:val="52"/>
        </w:rPr>
      </w:pPr>
      <w:r>
        <w:rPr>
          <w:rFonts w:hint="eastAsia" w:ascii="楷体_GB2312" w:hAnsi="楷体_GB2312" w:eastAsia="楷体_GB2312" w:cs="楷体_GB2312"/>
          <w:b w:val="0"/>
          <w:bCs/>
          <w:color w:val="000000"/>
          <w:spacing w:val="-40"/>
          <w:sz w:val="48"/>
          <w:szCs w:val="52"/>
        </w:rPr>
        <w:t>202</w:t>
      </w:r>
      <w:r>
        <w:rPr>
          <w:rFonts w:hint="eastAsia" w:ascii="楷体_GB2312" w:hAnsi="楷体_GB2312" w:eastAsia="楷体_GB2312" w:cs="楷体_GB2312"/>
          <w:b w:val="0"/>
          <w:bCs/>
          <w:color w:val="000000"/>
          <w:spacing w:val="-40"/>
          <w:sz w:val="48"/>
          <w:szCs w:val="52"/>
          <w:lang w:val="en-US" w:eastAsia="zh-CN"/>
        </w:rPr>
        <w:t>1</w:t>
      </w:r>
      <w:r>
        <w:rPr>
          <w:rFonts w:hint="eastAsia" w:ascii="楷体_GB2312" w:hAnsi="楷体_GB2312" w:eastAsia="楷体_GB2312" w:cs="楷体_GB2312"/>
          <w:b w:val="0"/>
          <w:bCs/>
          <w:color w:val="000000"/>
          <w:spacing w:val="-40"/>
          <w:sz w:val="48"/>
          <w:szCs w:val="52"/>
        </w:rPr>
        <w:t>年度</w:t>
      </w:r>
    </w:p>
    <w:p>
      <w:pPr>
        <w:pStyle w:val="11"/>
        <w:keepNext w:val="0"/>
        <w:keepLines w:val="0"/>
        <w:pageBreakBefore w:val="0"/>
        <w:kinsoku/>
        <w:wordWrap/>
        <w:overflowPunct/>
        <w:topLinePunct w:val="0"/>
        <w:autoSpaceDE/>
        <w:autoSpaceDN/>
        <w:bidi w:val="0"/>
        <w:spacing w:before="0" w:line="576" w:lineRule="exact"/>
        <w:ind w:left="0" w:leftChars="0"/>
        <w:textAlignment w:val="auto"/>
      </w:pPr>
      <w:r>
        <w:rPr>
          <w:rFonts w:ascii="方正小标宋简体" w:hAnsi="宋体" w:eastAsia="方正小标宋简体"/>
          <w:color w:val="auto"/>
          <w:sz w:val="36"/>
          <w:szCs w:val="36"/>
          <w:highlight w:val="none"/>
        </w:rPr>
        <w:br w:type="page"/>
      </w:r>
    </w:p>
    <w:sdt>
      <w:sdtPr>
        <w:rPr>
          <w:rFonts w:ascii="宋体" w:hAnsi="宋体" w:eastAsia="宋体" w:cs="Times New Roman"/>
          <w:kern w:val="2"/>
          <w:sz w:val="32"/>
          <w:szCs w:val="32"/>
          <w:lang w:val="en-US" w:eastAsia="zh-CN" w:bidi="ar-SA"/>
        </w:rPr>
        <w:id w:val="67805542"/>
        <w:docPartObj>
          <w:docPartGallery w:val="Table of Contents"/>
          <w:docPartUnique/>
        </w:docPartObj>
      </w:sdtPr>
      <w:sdtEndPr>
        <w:rPr>
          <w:rFonts w:ascii="Times New Roman" w:hAnsi="Times New Roman" w:eastAsia="宋体" w:cs="Times New Roman"/>
          <w:kern w:val="2"/>
          <w:sz w:val="20"/>
          <w:szCs w:val="20"/>
          <w:lang w:val="en-US" w:eastAsia="zh-CN" w:bidi="ar-SA"/>
        </w:rPr>
      </w:sdtEndPr>
      <w:sdtContent>
        <w:p>
          <w:pPr>
            <w:spacing w:before="0" w:beforeLines="0" w:after="0" w:afterLines="0" w:line="240" w:lineRule="auto"/>
            <w:ind w:left="0" w:leftChars="0" w:right="0" w:rightChars="0" w:firstLine="0" w:firstLineChars="0"/>
            <w:jc w:val="center"/>
            <w:rPr>
              <w:rFonts w:ascii="宋体" w:hAnsi="宋体" w:eastAsia="宋体"/>
              <w:sz w:val="32"/>
              <w:szCs w:val="32"/>
            </w:rPr>
          </w:pPr>
          <w:bookmarkStart w:id="12" w:name="_Toc222704966_WPSOffice_Type2"/>
          <w:r>
            <w:rPr>
              <w:rFonts w:ascii="宋体" w:hAnsi="宋体" w:eastAsia="宋体"/>
              <w:sz w:val="32"/>
              <w:szCs w:val="32"/>
            </w:rPr>
            <w:t>目录</w:t>
          </w:r>
        </w:p>
        <w:p>
          <w:pPr>
            <w:pStyle w:val="11"/>
            <w:pageBreakBefore w:val="0"/>
            <w:kinsoku/>
            <w:wordWrap/>
            <w:overflowPunct/>
            <w:topLinePunct w:val="0"/>
            <w:bidi w:val="0"/>
            <w:spacing w:before="0" w:line="576" w:lineRule="exact"/>
            <w:ind w:left="0" w:leftChars="0" w:right="0"/>
            <w:rPr>
              <w:rFonts w:hint="eastAsia" w:ascii="楷体_GB2312" w:hAnsi="楷体_GB2312" w:eastAsia="楷体_GB2312" w:cs="楷体_GB2312"/>
              <w:color w:val="auto"/>
              <w:sz w:val="24"/>
              <w:szCs w:val="24"/>
              <w:highlight w:val="none"/>
            </w:rPr>
          </w:pPr>
          <w:r>
            <w:rPr>
              <w:rFonts w:hint="eastAsia" w:ascii="楷体_GB2312" w:hAnsi="楷体_GB2312" w:eastAsia="楷体_GB2312" w:cs="楷体_GB2312"/>
              <w:color w:val="auto"/>
              <w:sz w:val="24"/>
              <w:szCs w:val="24"/>
              <w:highlight w:val="none"/>
              <w:lang w:eastAsia="zh-CN"/>
            </w:rPr>
            <w:t>（</w:t>
          </w:r>
          <w:r>
            <w:rPr>
              <w:rFonts w:hint="eastAsia" w:ascii="楷体_GB2312" w:hAnsi="楷体_GB2312" w:eastAsia="楷体_GB2312" w:cs="楷体_GB2312"/>
              <w:color w:val="auto"/>
              <w:sz w:val="24"/>
              <w:szCs w:val="24"/>
              <w:highlight w:val="none"/>
            </w:rPr>
            <w:t>公开时间：20</w:t>
          </w:r>
          <w:r>
            <w:rPr>
              <w:rFonts w:hint="eastAsia" w:ascii="楷体_GB2312" w:hAnsi="楷体_GB2312" w:eastAsia="楷体_GB2312" w:cs="楷体_GB2312"/>
              <w:color w:val="auto"/>
              <w:sz w:val="24"/>
              <w:szCs w:val="24"/>
              <w:highlight w:val="none"/>
              <w:lang w:val="en-US" w:eastAsia="zh-CN"/>
            </w:rPr>
            <w:t>22</w:t>
          </w:r>
          <w:r>
            <w:rPr>
              <w:rFonts w:hint="eastAsia" w:ascii="楷体_GB2312" w:hAnsi="楷体_GB2312" w:eastAsia="楷体_GB2312" w:cs="楷体_GB2312"/>
              <w:color w:val="auto"/>
              <w:sz w:val="24"/>
              <w:szCs w:val="24"/>
              <w:highlight w:val="none"/>
            </w:rPr>
            <w:t>年</w:t>
          </w:r>
          <w:r>
            <w:rPr>
              <w:rFonts w:hint="eastAsia" w:ascii="楷体_GB2312" w:hAnsi="楷体_GB2312" w:eastAsia="楷体_GB2312" w:cs="楷体_GB2312"/>
              <w:color w:val="auto"/>
              <w:sz w:val="24"/>
              <w:szCs w:val="24"/>
              <w:highlight w:val="none"/>
              <w:lang w:val="en-US" w:eastAsia="zh-CN"/>
            </w:rPr>
            <w:t>9</w:t>
          </w:r>
          <w:r>
            <w:rPr>
              <w:rFonts w:hint="eastAsia" w:ascii="楷体_GB2312" w:hAnsi="楷体_GB2312" w:eastAsia="楷体_GB2312" w:cs="楷体_GB2312"/>
              <w:color w:val="auto"/>
              <w:sz w:val="24"/>
              <w:szCs w:val="24"/>
              <w:highlight w:val="none"/>
            </w:rPr>
            <w:t>月</w:t>
          </w:r>
          <w:r>
            <w:rPr>
              <w:rFonts w:hint="eastAsia" w:ascii="楷体_GB2312" w:hAnsi="楷体_GB2312" w:eastAsia="楷体_GB2312" w:cs="楷体_GB2312"/>
              <w:color w:val="auto"/>
              <w:sz w:val="24"/>
              <w:szCs w:val="24"/>
              <w:highlight w:val="none"/>
              <w:lang w:val="en-US" w:eastAsia="zh-CN"/>
            </w:rPr>
            <w:t>27</w:t>
          </w:r>
          <w:r>
            <w:rPr>
              <w:rFonts w:hint="eastAsia" w:ascii="楷体_GB2312" w:hAnsi="楷体_GB2312" w:eastAsia="楷体_GB2312" w:cs="楷体_GB2312"/>
              <w:color w:val="auto"/>
              <w:sz w:val="24"/>
              <w:szCs w:val="24"/>
              <w:highlight w:val="none"/>
            </w:rPr>
            <w:t>日</w:t>
          </w:r>
          <w:r>
            <w:rPr>
              <w:rFonts w:hint="eastAsia" w:ascii="楷体_GB2312" w:hAnsi="楷体_GB2312" w:eastAsia="楷体_GB2312" w:cs="楷体_GB2312"/>
              <w:color w:val="auto"/>
              <w:sz w:val="24"/>
              <w:szCs w:val="24"/>
              <w:highlight w:val="none"/>
              <w:lang w:eastAsia="zh-CN"/>
            </w:rPr>
            <w:t>）</w:t>
          </w:r>
        </w:p>
        <w:p>
          <w:pPr>
            <w:pStyle w:val="34"/>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rPr>
              <w:b/>
              <w:bCs/>
            </w:rPr>
            <w:fldChar w:fldCharType="begin"/>
          </w:r>
          <w:r>
            <w:instrText xml:space="preserve"> HYPERLINK \l _Toc1448299956_WPSOffice_Level1 </w:instrText>
          </w:r>
          <w:r>
            <w:rPr>
              <w:b/>
              <w:bCs/>
            </w:rPr>
            <w:fldChar w:fldCharType="separate"/>
          </w:r>
          <w:sdt>
            <w:sdtPr>
              <w:rPr>
                <w:rFonts w:ascii="Times New Roman" w:hAnsi="Times New Roman" w:eastAsia="宋体" w:cs="Times New Roman"/>
                <w:b/>
                <w:bCs/>
                <w:kern w:val="2"/>
                <w:sz w:val="32"/>
                <w:szCs w:val="32"/>
                <w:lang w:val="en-US" w:eastAsia="zh-CN" w:bidi="ar-SA"/>
              </w:rPr>
              <w:id w:val="67805542"/>
              <w:placeholder>
                <w:docPart w:val="{7865f629-67b2-42e1-afd4-259ff681c13b}"/>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黑体" w:eastAsia="黑体" w:cs="Times New Roman"/>
                  <w:b/>
                  <w:bCs/>
                </w:rPr>
                <w:t>第一部分 部门概况</w:t>
              </w:r>
            </w:sdtContent>
          </w:sdt>
          <w:r>
            <w:rPr>
              <w:b/>
              <w:bCs/>
            </w:rPr>
            <w:tab/>
          </w:r>
          <w:r>
            <w:rPr>
              <w:rFonts w:hint="eastAsia"/>
              <w:b/>
              <w:bCs/>
              <w:lang w:val="en-US" w:eastAsia="zh-CN"/>
            </w:rPr>
            <w:t>1</w:t>
          </w:r>
          <w:r>
            <w:rPr>
              <w:b/>
              <w:bCs/>
            </w:rPr>
            <w:fldChar w:fldCharType="end"/>
          </w:r>
        </w:p>
        <w:p>
          <w:pPr>
            <w:pStyle w:val="35"/>
            <w:pageBreakBefore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_Toc222704966_WPSOffice_Level2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060a2db9-35b4-4743-bf06-e1bd105145a0}"/>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黑体" w:eastAsia="黑体" w:cs="黑体"/>
                </w:rPr>
                <w:t>一、基本职能及主要工作</w:t>
              </w:r>
            </w:sdtContent>
          </w:sdt>
          <w:r>
            <w:tab/>
          </w:r>
          <w:r>
            <w:rPr>
              <w:rFonts w:hint="eastAsia"/>
              <w:lang w:val="en-US" w:eastAsia="zh-CN"/>
            </w:rPr>
            <w:t>1</w:t>
          </w:r>
          <w:r>
            <w:fldChar w:fldCharType="end"/>
          </w:r>
        </w:p>
        <w:p>
          <w:pPr>
            <w:pStyle w:val="35"/>
            <w:pageBreakBefore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_Toc1385557743_WPSOffice_Level2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f89e523d-fa52-4c91-9e3d-c58bd77e112b}"/>
              </w:placeholder>
            </w:sdtPr>
            <w:sdtEndPr>
              <w:rPr>
                <w:rFonts w:ascii="Times New Roman" w:hAnsi="Times New Roman" w:eastAsia="宋体" w:cs="Times New Roman"/>
                <w:b/>
                <w:bCs/>
                <w:kern w:val="2"/>
                <w:sz w:val="32"/>
                <w:szCs w:val="32"/>
                <w:lang w:val="en-US" w:eastAsia="zh-CN" w:bidi="ar-SA"/>
              </w:rPr>
            </w:sdtEndPr>
            <w:sdtContent>
              <w:r>
                <w:rPr>
                  <w:rFonts w:hint="eastAsia" w:ascii="黑体" w:eastAsia="黑体" w:hAnsiTheme="majorHAnsi" w:cstheme="majorBidi"/>
                </w:rPr>
                <w:t>二、</w:t>
              </w:r>
              <w:r>
                <w:rPr>
                  <w:rFonts w:hint="eastAsia" w:ascii="黑体" w:hAnsi="黑体" w:eastAsia="黑体" w:cstheme="majorBidi"/>
                </w:rPr>
                <w:t>机构设置</w:t>
              </w:r>
            </w:sdtContent>
          </w:sdt>
          <w:r>
            <w:tab/>
          </w:r>
          <w:r>
            <w:rPr>
              <w:rFonts w:hint="eastAsia"/>
              <w:lang w:val="en-US" w:eastAsia="zh-CN"/>
            </w:rPr>
            <w:t>3</w:t>
          </w:r>
          <w:r>
            <w:fldChar w:fldCharType="end"/>
          </w:r>
        </w:p>
        <w:p>
          <w:pPr>
            <w:pStyle w:val="34"/>
            <w:pageBreakBefore w:val="0"/>
            <w:tabs>
              <w:tab w:val="right" w:leader="dot" w:pos="8306"/>
            </w:tabs>
            <w:kinsoku/>
            <w:wordWrap/>
            <w:overflowPunct/>
            <w:topLinePunct w:val="0"/>
            <w:autoSpaceDE/>
            <w:autoSpaceDN/>
            <w:bidi w:val="0"/>
            <w:adjustRightInd/>
            <w:snapToGrid/>
            <w:spacing w:line="360" w:lineRule="exact"/>
            <w:textAlignment w:val="auto"/>
          </w:pPr>
          <w:r>
            <w:rPr>
              <w:b/>
              <w:bCs/>
            </w:rPr>
            <w:fldChar w:fldCharType="begin"/>
          </w:r>
          <w:r>
            <w:instrText xml:space="preserve"> HYPERLINK \l _Toc222704966_WPSOffice_Level1 </w:instrText>
          </w:r>
          <w:r>
            <w:rPr>
              <w:b/>
              <w:bCs/>
            </w:rPr>
            <w:fldChar w:fldCharType="separate"/>
          </w:r>
          <w:sdt>
            <w:sdtPr>
              <w:rPr>
                <w:rFonts w:ascii="Times New Roman" w:hAnsi="Times New Roman" w:eastAsia="宋体" w:cs="Times New Roman"/>
                <w:b/>
                <w:bCs/>
                <w:kern w:val="2"/>
                <w:sz w:val="32"/>
                <w:szCs w:val="32"/>
                <w:lang w:val="en-US" w:eastAsia="zh-CN" w:bidi="ar-SA"/>
              </w:rPr>
              <w:id w:val="67805542"/>
              <w:placeholder>
                <w:docPart w:val="{5bfd8a00-000c-45d7-ad60-87a19ed2fb3c}"/>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黑体" w:eastAsia="黑体" w:cs="Times New Roman"/>
                  <w:b/>
                  <w:bCs/>
                </w:rPr>
                <w:t>第二部分 2021年度部门决算情况说明</w:t>
              </w:r>
            </w:sdtContent>
          </w:sdt>
          <w:r>
            <w:rPr>
              <w:b/>
              <w:bCs/>
            </w:rPr>
            <w:tab/>
          </w:r>
          <w:r>
            <w:rPr>
              <w:rFonts w:hint="eastAsia"/>
              <w:b/>
              <w:bCs/>
              <w:lang w:val="en-US" w:eastAsia="zh-CN"/>
            </w:rPr>
            <w:t>4</w:t>
          </w:r>
          <w:r>
            <w:rPr>
              <w:b/>
              <w:bCs/>
            </w:rPr>
            <w:fldChar w:fldCharType="end"/>
          </w:r>
        </w:p>
        <w:p>
          <w:pPr>
            <w:pStyle w:val="35"/>
            <w:pageBreakBefore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_Toc1212522644_WPSOffice_Level2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d7f7f1c7-f89d-42de-9dc1-41e0036ef762}"/>
              </w:placeholder>
            </w:sdtPr>
            <w:sdtEndPr>
              <w:rPr>
                <w:rFonts w:ascii="Times New Roman" w:hAnsi="Times New Roman" w:eastAsia="宋体" w:cs="Times New Roman"/>
                <w:b/>
                <w:bCs/>
                <w:kern w:val="2"/>
                <w:sz w:val="32"/>
                <w:szCs w:val="32"/>
                <w:lang w:val="en-US" w:eastAsia="zh-CN" w:bidi="ar-SA"/>
              </w:rPr>
            </w:sdtEndPr>
            <w:sdtContent>
              <w:r>
                <w:rPr>
                  <w:rFonts w:hint="default" w:ascii="黑体" w:hAnsi="黑体" w:eastAsia="黑体" w:cstheme="majorBidi"/>
                </w:rPr>
                <w:t xml:space="preserve">一、 </w:t>
              </w:r>
              <w:r>
                <w:rPr>
                  <w:rFonts w:hint="eastAsia" w:ascii="黑体" w:hAnsi="黑体" w:eastAsia="黑体" w:cs="Times New Roman"/>
                </w:rPr>
                <w:t>收</w:t>
              </w:r>
              <w:r>
                <w:rPr>
                  <w:rFonts w:hint="eastAsia" w:ascii="黑体" w:hAnsi="黑体" w:eastAsia="黑体" w:cstheme="majorBidi"/>
                </w:rPr>
                <w:t>入支出决算总体情况说明</w:t>
              </w:r>
            </w:sdtContent>
          </w:sdt>
          <w:r>
            <w:tab/>
          </w:r>
          <w:r>
            <w:rPr>
              <w:rFonts w:hint="eastAsia"/>
              <w:lang w:val="en-US" w:eastAsia="zh-CN"/>
            </w:rPr>
            <w:t>4</w:t>
          </w:r>
          <w:r>
            <w:fldChar w:fldCharType="end"/>
          </w:r>
        </w:p>
        <w:p>
          <w:pPr>
            <w:pStyle w:val="35"/>
            <w:pageBreakBefore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_Toc1216322075_WPSOffice_Level2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91729adc-df94-43c3-b3fe-24d985601205}"/>
              </w:placeholder>
            </w:sdtPr>
            <w:sdtEndPr>
              <w:rPr>
                <w:rFonts w:ascii="Times New Roman" w:hAnsi="Times New Roman" w:eastAsia="宋体" w:cs="Times New Roman"/>
                <w:b/>
                <w:bCs/>
                <w:kern w:val="2"/>
                <w:sz w:val="32"/>
                <w:szCs w:val="32"/>
                <w:lang w:val="en-US" w:eastAsia="zh-CN" w:bidi="ar-SA"/>
              </w:rPr>
            </w:sdtEndPr>
            <w:sdtContent>
              <w:r>
                <w:rPr>
                  <w:rFonts w:hint="default" w:ascii="黑体" w:hAnsi="黑体" w:eastAsia="黑体" w:cstheme="majorBidi"/>
                </w:rPr>
                <w:t xml:space="preserve">二、 </w:t>
              </w:r>
              <w:r>
                <w:rPr>
                  <w:rFonts w:hint="eastAsia" w:ascii="黑体" w:hAnsi="黑体" w:eastAsia="黑体" w:cs="Times New Roman"/>
                </w:rPr>
                <w:t>收</w:t>
              </w:r>
              <w:r>
                <w:rPr>
                  <w:rFonts w:hint="eastAsia" w:ascii="黑体" w:hAnsi="黑体" w:eastAsia="黑体" w:cstheme="majorBidi"/>
                </w:rPr>
                <w:t>入决算情况说明</w:t>
              </w:r>
            </w:sdtContent>
          </w:sdt>
          <w:r>
            <w:tab/>
          </w:r>
          <w:r>
            <w:rPr>
              <w:rFonts w:hint="eastAsia"/>
              <w:lang w:val="en-US" w:eastAsia="zh-CN"/>
            </w:rPr>
            <w:t>4</w:t>
          </w:r>
          <w:r>
            <w:fldChar w:fldCharType="end"/>
          </w:r>
        </w:p>
        <w:p>
          <w:pPr>
            <w:pStyle w:val="35"/>
            <w:pageBreakBefore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_Toc1807486159_WPSOffice_Level2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768df780-6d0d-41ef-b2a2-bbc02d061dc9}"/>
              </w:placeholder>
            </w:sdtPr>
            <w:sdtEndPr>
              <w:rPr>
                <w:rFonts w:ascii="Times New Roman" w:hAnsi="Times New Roman" w:eastAsia="宋体" w:cs="Times New Roman"/>
                <w:b/>
                <w:bCs/>
                <w:kern w:val="2"/>
                <w:sz w:val="32"/>
                <w:szCs w:val="32"/>
                <w:lang w:val="en-US" w:eastAsia="zh-CN" w:bidi="ar-SA"/>
              </w:rPr>
            </w:sdtEndPr>
            <w:sdtContent>
              <w:r>
                <w:rPr>
                  <w:rFonts w:hint="default" w:ascii="黑体" w:hAnsi="黑体" w:eastAsia="黑体" w:cstheme="majorBidi"/>
                </w:rPr>
                <w:t xml:space="preserve">三、 </w:t>
              </w:r>
              <w:r>
                <w:rPr>
                  <w:rFonts w:hint="eastAsia" w:ascii="黑体" w:hAnsi="黑体" w:eastAsia="黑体" w:cs="Times New Roman"/>
                </w:rPr>
                <w:t>支</w:t>
              </w:r>
              <w:r>
                <w:rPr>
                  <w:rFonts w:hint="eastAsia" w:ascii="黑体" w:hAnsi="黑体" w:eastAsia="黑体" w:cstheme="majorBidi"/>
                </w:rPr>
                <w:t>出决算情况说明</w:t>
              </w:r>
            </w:sdtContent>
          </w:sdt>
          <w:r>
            <w:tab/>
          </w:r>
          <w:r>
            <w:rPr>
              <w:rFonts w:hint="eastAsia"/>
              <w:lang w:val="en-US" w:eastAsia="zh-CN"/>
            </w:rPr>
            <w:t>5</w:t>
          </w:r>
          <w:r>
            <w:fldChar w:fldCharType="end"/>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_Toc611086366_WPSOffice_Level2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aacde8e0-feb7-44ba-a04a-82d9dbad8477}"/>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黑体" w:eastAsia="黑体" w:cs="Times New Roman"/>
                </w:rPr>
                <w:t>四、财</w:t>
              </w:r>
              <w:r>
                <w:rPr>
                  <w:rFonts w:hint="eastAsia" w:ascii="黑体" w:hAnsi="黑体" w:eastAsia="黑体" w:cstheme="majorBidi"/>
                </w:rPr>
                <w:t>政拨款收入支出决算总体情况说明</w:t>
              </w:r>
            </w:sdtContent>
          </w:sdt>
          <w:r>
            <w:tab/>
          </w:r>
          <w:r>
            <w:rPr>
              <w:rFonts w:hint="eastAsia"/>
              <w:lang w:val="en-US" w:eastAsia="zh-CN"/>
            </w:rPr>
            <w:t>6</w:t>
          </w:r>
          <w:r>
            <w:fldChar w:fldCharType="end"/>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_Toc925448154_WPSOffice_Level2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5b54226c-93fb-4618-87c5-56380e49a999}"/>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黑体" w:eastAsia="黑体" w:cs="Times New Roman"/>
                </w:rPr>
                <w:t>五、一</w:t>
              </w:r>
              <w:r>
                <w:rPr>
                  <w:rFonts w:hint="eastAsia" w:ascii="黑体" w:hAnsi="黑体" w:eastAsia="黑体" w:cstheme="majorBidi"/>
                </w:rPr>
                <w:t>般公共预算财政拨款支出决算情况说明</w:t>
              </w:r>
            </w:sdtContent>
          </w:sdt>
          <w:r>
            <w:tab/>
          </w:r>
          <w:r>
            <w:rPr>
              <w:rFonts w:hint="eastAsia"/>
              <w:lang w:val="en-US" w:eastAsia="zh-CN"/>
            </w:rPr>
            <w:t>7</w:t>
          </w:r>
          <w:r>
            <w:fldChar w:fldCharType="end"/>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_Toc1950437793_WPSOffice_Level2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30ec238e-2157-481a-bde5-ce52e51a948f}"/>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黑体" w:eastAsia="黑体" w:cs="黑体"/>
                </w:rPr>
                <w:t>六、一般公共预算财政拨款基本支出决算情况说明</w:t>
              </w:r>
            </w:sdtContent>
          </w:sdt>
          <w:r>
            <w:tab/>
          </w:r>
          <w:r>
            <w:rPr>
              <w:rFonts w:hint="eastAsia"/>
              <w:lang w:val="en-US" w:eastAsia="zh-CN"/>
            </w:rPr>
            <w:t>1</w:t>
          </w:r>
          <w:r>
            <w:fldChar w:fldCharType="end"/>
          </w:r>
          <w:r>
            <w:rPr>
              <w:rFonts w:hint="eastAsia"/>
              <w:lang w:val="en-US" w:eastAsia="zh-CN"/>
            </w:rPr>
            <w:t>0</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_Toc29464689_WPSOffice_Level2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92f370e8-b845-4cc6-9552-2b0bc9c582b7}"/>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Times New Roman" w:eastAsia="黑体" w:cs="Times New Roman"/>
                </w:rPr>
                <w:t>七、</w:t>
              </w:r>
              <w:r>
                <w:rPr>
                  <w:rFonts w:hint="eastAsia" w:ascii="黑体" w:hAnsi="黑体" w:eastAsia="黑体" w:cstheme="majorBidi"/>
                </w:rPr>
                <w:t>“三公”经费财政拨款支出决算情况说明</w:t>
              </w:r>
            </w:sdtContent>
          </w:sdt>
          <w:r>
            <w:tab/>
          </w:r>
          <w:r>
            <w:rPr>
              <w:rFonts w:hint="eastAsia"/>
              <w:lang w:val="en-US" w:eastAsia="zh-CN"/>
            </w:rPr>
            <w:t>1</w:t>
          </w:r>
          <w:r>
            <w:fldChar w:fldCharType="end"/>
          </w:r>
          <w:r>
            <w:rPr>
              <w:rFonts w:hint="eastAsia"/>
              <w:lang w:val="en-US" w:eastAsia="zh-CN"/>
            </w:rPr>
            <w:t>1</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_Toc121537425_WPSOffice_Level2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777b5893-b564-4ff4-a8eb-e6ff93f32cd3}"/>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Times New Roman" w:eastAsia="黑体" w:cs="Times New Roman"/>
                </w:rPr>
                <w:t>八、</w:t>
              </w:r>
              <w:r>
                <w:rPr>
                  <w:rFonts w:hint="eastAsia" w:ascii="黑体" w:hAnsi="黑体" w:eastAsia="黑体" w:cstheme="majorBidi"/>
                </w:rPr>
                <w:t>政府性基金预算支出决算情况说明</w:t>
              </w:r>
            </w:sdtContent>
          </w:sdt>
          <w:r>
            <w:tab/>
          </w:r>
          <w:r>
            <w:rPr>
              <w:rFonts w:hint="eastAsia"/>
              <w:lang w:val="en-US" w:eastAsia="zh-CN"/>
            </w:rPr>
            <w:t>1</w:t>
          </w:r>
          <w:r>
            <w:fldChar w:fldCharType="end"/>
          </w:r>
          <w:r>
            <w:rPr>
              <w:rFonts w:hint="eastAsia"/>
              <w:lang w:val="en-US" w:eastAsia="zh-CN"/>
            </w:rPr>
            <w:t>2</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_Toc1632359369_WPSOffice_Level2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4cea6d3d-a486-4de9-b077-ceed0b102dca}"/>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黑体" w:eastAsia="黑体" w:cstheme="majorBidi"/>
                </w:rPr>
                <w:t>九、 国有资本经营预算支出决算情况说明</w:t>
              </w:r>
            </w:sdtContent>
          </w:sdt>
          <w:r>
            <w:tab/>
          </w:r>
          <w:r>
            <w:rPr>
              <w:rFonts w:hint="eastAsia"/>
              <w:lang w:val="en-US" w:eastAsia="zh-CN"/>
            </w:rPr>
            <w:t>1</w:t>
          </w:r>
          <w:r>
            <w:fldChar w:fldCharType="end"/>
          </w:r>
          <w:r>
            <w:rPr>
              <w:rFonts w:hint="eastAsia"/>
              <w:lang w:val="en-US" w:eastAsia="zh-CN"/>
            </w:rPr>
            <w:t>2</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_Toc379224359_WPSOffice_Level2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50364cbf-cc70-4c9a-8638-ba86be07dd4b}"/>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黑体" w:eastAsia="黑体" w:cstheme="majorBidi"/>
                </w:rPr>
                <w:t>十、 预算绩效管理情况</w:t>
              </w:r>
            </w:sdtContent>
          </w:sdt>
          <w:r>
            <w:tab/>
          </w:r>
          <w:r>
            <w:rPr>
              <w:rFonts w:hint="eastAsia"/>
              <w:lang w:val="en-US" w:eastAsia="zh-CN"/>
            </w:rPr>
            <w:t>1</w:t>
          </w:r>
          <w:r>
            <w:fldChar w:fldCharType="end"/>
          </w:r>
          <w:r>
            <w:rPr>
              <w:rFonts w:hint="eastAsia"/>
              <w:lang w:val="en-US" w:eastAsia="zh-CN"/>
            </w:rPr>
            <w:t>2</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_Toc693652699_WPSOffice_Level2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b85f5cc5-ee33-455f-bc5c-536786ae31b3}"/>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黑体" w:eastAsia="黑体" w:cstheme="majorBidi"/>
                </w:rPr>
                <w:t>十一、 其他重要事项的情况说明</w:t>
              </w:r>
            </w:sdtContent>
          </w:sdt>
          <w:r>
            <w:tab/>
          </w:r>
          <w:r>
            <w:rPr>
              <w:rFonts w:hint="eastAsia"/>
              <w:lang w:val="en-US" w:eastAsia="zh-CN"/>
            </w:rPr>
            <w:t>1</w:t>
          </w:r>
          <w:r>
            <w:fldChar w:fldCharType="end"/>
          </w:r>
          <w:r>
            <w:rPr>
              <w:rFonts w:hint="eastAsia"/>
              <w:lang w:val="en-US" w:eastAsia="zh-CN"/>
            </w:rPr>
            <w:t>3</w:t>
          </w:r>
        </w:p>
        <w:p>
          <w:pPr>
            <w:pStyle w:val="34"/>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rPr>
              <w:b/>
              <w:bCs/>
            </w:rPr>
            <w:fldChar w:fldCharType="begin"/>
          </w:r>
          <w:r>
            <w:instrText xml:space="preserve"> HYPERLINK \l _Toc1385557743_WPSOffice_Level1 </w:instrText>
          </w:r>
          <w:r>
            <w:rPr>
              <w:b/>
              <w:bCs/>
            </w:rPr>
            <w:fldChar w:fldCharType="separate"/>
          </w:r>
          <w:sdt>
            <w:sdtPr>
              <w:rPr>
                <w:rFonts w:ascii="Times New Roman" w:hAnsi="Times New Roman" w:eastAsia="宋体" w:cs="Times New Roman"/>
                <w:b/>
                <w:bCs/>
                <w:kern w:val="2"/>
                <w:sz w:val="32"/>
                <w:szCs w:val="32"/>
                <w:lang w:val="en-US" w:eastAsia="zh-CN" w:bidi="ar-SA"/>
              </w:rPr>
              <w:id w:val="67805542"/>
              <w:placeholder>
                <w:docPart w:val="{0348e617-3ad8-489c-ac82-2dd33e4aecdd}"/>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黑体" w:eastAsia="黑体" w:cs="Times New Roman"/>
                  <w:b/>
                  <w:bCs/>
                </w:rPr>
                <w:t>第三部分 名词解释</w:t>
              </w:r>
            </w:sdtContent>
          </w:sdt>
          <w:r>
            <w:rPr>
              <w:b/>
              <w:bCs/>
            </w:rPr>
            <w:tab/>
          </w:r>
          <w:r>
            <w:rPr>
              <w:rFonts w:hint="eastAsia"/>
              <w:b/>
              <w:bCs/>
              <w:lang w:val="en-US" w:eastAsia="zh-CN"/>
            </w:rPr>
            <w:t>1</w:t>
          </w:r>
          <w:r>
            <w:rPr>
              <w:b/>
              <w:bCs/>
            </w:rPr>
            <w:fldChar w:fldCharType="end"/>
          </w:r>
          <w:r>
            <w:rPr>
              <w:rFonts w:hint="eastAsia"/>
              <w:b/>
              <w:bCs/>
              <w:lang w:val="en-US" w:eastAsia="zh-CN"/>
            </w:rPr>
            <w:t>4</w:t>
          </w:r>
        </w:p>
        <w:p>
          <w:pPr>
            <w:pStyle w:val="34"/>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rPr>
              <w:b/>
              <w:bCs/>
            </w:rPr>
            <w:fldChar w:fldCharType="begin"/>
          </w:r>
          <w:r>
            <w:instrText xml:space="preserve"> HYPERLINK \l _Toc1212522644_WPSOffice_Level1 </w:instrText>
          </w:r>
          <w:r>
            <w:rPr>
              <w:b/>
              <w:bCs/>
            </w:rPr>
            <w:fldChar w:fldCharType="separate"/>
          </w:r>
          <w:sdt>
            <w:sdtPr>
              <w:rPr>
                <w:rFonts w:ascii="Times New Roman" w:hAnsi="Times New Roman" w:eastAsia="宋体" w:cs="Times New Roman"/>
                <w:b/>
                <w:bCs/>
                <w:kern w:val="2"/>
                <w:sz w:val="32"/>
                <w:szCs w:val="32"/>
                <w:lang w:val="en-US" w:eastAsia="zh-CN" w:bidi="ar-SA"/>
              </w:rPr>
              <w:id w:val="67805542"/>
              <w:placeholder>
                <w:docPart w:val="{4bac4bff-7dfe-4108-9479-eaab69c019f1}"/>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黑体" w:eastAsia="黑体" w:cs="Times New Roman"/>
                  <w:b/>
                  <w:bCs/>
                </w:rPr>
                <w:t>第四部分 附件</w:t>
              </w:r>
            </w:sdtContent>
          </w:sdt>
          <w:r>
            <w:rPr>
              <w:b/>
              <w:bCs/>
            </w:rPr>
            <w:tab/>
          </w:r>
          <w:r>
            <w:rPr>
              <w:rFonts w:hint="eastAsia"/>
              <w:b/>
              <w:bCs/>
              <w:lang w:val="en-US" w:eastAsia="zh-CN"/>
            </w:rPr>
            <w:t>1</w:t>
          </w:r>
          <w:r>
            <w:rPr>
              <w:b/>
              <w:bCs/>
            </w:rPr>
            <w:fldChar w:fldCharType="end"/>
          </w:r>
          <w:r>
            <w:rPr>
              <w:rFonts w:hint="eastAsia"/>
              <w:b/>
              <w:bCs/>
              <w:lang w:val="en-US" w:eastAsia="zh-CN"/>
            </w:rPr>
            <w:t>7</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_Toc105527166_WPSOffice_Level2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527eb37e-a9f6-4ac9-abf7-33844e510a37}"/>
              </w:placeholder>
            </w:sdtPr>
            <w:sdtEndPr>
              <w:rPr>
                <w:rFonts w:ascii="Times New Roman" w:hAnsi="Times New Roman" w:eastAsia="宋体" w:cs="Times New Roman"/>
                <w:b/>
                <w:bCs/>
                <w:kern w:val="2"/>
                <w:sz w:val="32"/>
                <w:szCs w:val="32"/>
                <w:lang w:val="en-US" w:eastAsia="zh-CN" w:bidi="ar-SA"/>
              </w:rPr>
            </w:sdtEndPr>
            <w:sdtContent>
              <w:r>
                <w:rPr>
                  <w:rFonts w:hint="eastAsia" w:ascii="方正小标宋简体" w:hAnsi="宋体" w:eastAsia="方正小标宋简体" w:cs="Times New Roman"/>
                </w:rPr>
                <w:t>2021年广元市政务服务和公共资源交易中心（汇总）</w:t>
              </w:r>
            </w:sdtContent>
          </w:sdt>
          <w:r>
            <w:tab/>
          </w:r>
          <w:r>
            <w:rPr>
              <w:rFonts w:hint="eastAsia"/>
              <w:lang w:val="en-US" w:eastAsia="zh-CN"/>
            </w:rPr>
            <w:t>1</w:t>
          </w:r>
          <w:r>
            <w:fldChar w:fldCharType="end"/>
          </w:r>
          <w:r>
            <w:rPr>
              <w:rFonts w:hint="eastAsia"/>
              <w:lang w:val="en-US" w:eastAsia="zh-CN"/>
            </w:rPr>
            <w:t>7</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_Toc708493665_WPSOffice_Level2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dda3599f-b15f-4150-b729-a776c46b1766}"/>
              </w:placeholder>
            </w:sdtPr>
            <w:sdtEndPr>
              <w:rPr>
                <w:rFonts w:ascii="Times New Roman" w:hAnsi="Times New Roman" w:eastAsia="宋体" w:cs="Times New Roman"/>
                <w:b/>
                <w:bCs/>
                <w:kern w:val="2"/>
                <w:sz w:val="32"/>
                <w:szCs w:val="32"/>
                <w:lang w:val="en-US" w:eastAsia="zh-CN" w:bidi="ar-SA"/>
              </w:rPr>
            </w:sdtEndPr>
            <w:sdtContent>
              <w:r>
                <w:rPr>
                  <w:rFonts w:hint="eastAsia" w:ascii="方正小标宋简体" w:hAnsi="宋体" w:eastAsia="方正小标宋简体" w:cs="Times New Roman"/>
                </w:rPr>
                <w:t>2021年部门整体绩效评价报告</w:t>
              </w:r>
            </w:sdtContent>
          </w:sdt>
          <w:r>
            <w:tab/>
          </w:r>
          <w:r>
            <w:rPr>
              <w:rFonts w:hint="eastAsia"/>
              <w:lang w:val="en-US" w:eastAsia="zh-CN"/>
            </w:rPr>
            <w:t>1</w:t>
          </w:r>
          <w:r>
            <w:fldChar w:fldCharType="end"/>
          </w:r>
          <w:r>
            <w:rPr>
              <w:rFonts w:hint="eastAsia"/>
              <w:lang w:val="en-US" w:eastAsia="zh-CN"/>
            </w:rPr>
            <w:t>7</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_Toc2046569256_WPSOffice_Level2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25416c74-7dd2-4844-80f0-745f1d566a4c}"/>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宋体" w:eastAsia="黑体" w:cs="宋体"/>
                </w:rPr>
                <w:t>一、部门概况</w:t>
              </w:r>
            </w:sdtContent>
          </w:sdt>
          <w:r>
            <w:tab/>
          </w:r>
          <w:r>
            <w:rPr>
              <w:rFonts w:hint="eastAsia"/>
              <w:lang w:val="en-US" w:eastAsia="zh-CN"/>
            </w:rPr>
            <w:t>1</w:t>
          </w:r>
          <w:r>
            <w:fldChar w:fldCharType="end"/>
          </w:r>
          <w:r>
            <w:rPr>
              <w:rFonts w:hint="eastAsia"/>
              <w:lang w:val="en-US" w:eastAsia="zh-CN"/>
            </w:rPr>
            <w:t>7</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kern w:val="2"/>
              <w:sz w:val="32"/>
              <w:szCs w:val="32"/>
              <w:lang w:val="en-US" w:eastAsia="zh-CN" w:bidi="ar-SA"/>
            </w:rPr>
          </w:pPr>
          <w:r>
            <w:rPr>
              <w:rFonts w:hint="eastAsia" w:ascii="方正小标宋简体" w:hAnsi="宋体" w:eastAsia="方正小标宋简体" w:cs="Times New Roman"/>
              <w:lang w:val="en-US" w:eastAsia="zh-CN"/>
            </w:rPr>
            <w:t>二、部门整体预算绩效管理情况</w:t>
          </w:r>
          <w:r>
            <w:rPr>
              <w:rFonts w:hint="eastAsia" w:ascii="方正小标宋简体" w:hAnsi="宋体" w:eastAsia="方正小标宋简体" w:cs="Times New Roman"/>
              <w:lang w:val="en-US" w:eastAsia="zh-CN"/>
            </w:rPr>
            <w:tab/>
          </w:r>
          <w:r>
            <w:rPr>
              <w:rFonts w:hint="eastAsia" w:ascii="方正小标宋简体" w:hAnsi="宋体" w:eastAsia="方正小标宋简体" w:cs="Times New Roman"/>
              <w:lang w:val="en-US" w:eastAsia="zh-CN"/>
            </w:rPr>
            <w:t>19</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default" w:ascii="方正小标宋简体" w:hAnsi="宋体" w:eastAsia="方正小标宋简体" w:cs="Times New Roman"/>
              <w:lang w:val="en-US" w:eastAsia="zh-CN"/>
            </w:rPr>
          </w:pPr>
          <w:r>
            <w:rPr>
              <w:rFonts w:hint="eastAsia" w:ascii="方正小标宋简体" w:hAnsi="宋体" w:eastAsia="方正小标宋简体" w:cs="Times New Roman"/>
              <w:lang w:val="en-US" w:eastAsia="zh-CN"/>
            </w:rPr>
            <w:fldChar w:fldCharType="begin"/>
          </w:r>
          <w:r>
            <w:rPr>
              <w:rFonts w:hint="eastAsia" w:ascii="方正小标宋简体" w:hAnsi="宋体" w:eastAsia="方正小标宋简体" w:cs="Times New Roman"/>
              <w:lang w:val="en-US" w:eastAsia="zh-CN"/>
            </w:rPr>
            <w:instrText xml:space="preserve"> HYPERLINK \l _Toc849782061_WPSOffice_Level2 </w:instrText>
          </w:r>
          <w:r>
            <w:rPr>
              <w:rFonts w:hint="eastAsia" w:ascii="方正小标宋简体" w:hAnsi="宋体" w:eastAsia="方正小标宋简体" w:cs="Times New Roman"/>
              <w:lang w:val="en-US" w:eastAsia="zh-CN"/>
            </w:rPr>
            <w:fldChar w:fldCharType="separate"/>
          </w:r>
          <w:sdt>
            <w:sdtPr>
              <w:rPr>
                <w:rFonts w:hint="eastAsia" w:ascii="方正小标宋简体" w:hAnsi="宋体" w:eastAsia="方正小标宋简体" w:cs="Times New Roman"/>
                <w:lang w:val="en-US" w:eastAsia="zh-CN"/>
              </w:rPr>
              <w:id w:val="67805542"/>
              <w:placeholder>
                <w:docPart w:val="{c6dc6f18-252b-410c-b953-31f9b10f1b57}"/>
              </w:placeholder>
            </w:sdtPr>
            <w:sdtEndPr>
              <w:rPr>
                <w:rFonts w:hint="eastAsia" w:ascii="方正小标宋简体" w:hAnsi="宋体" w:eastAsia="方正小标宋简体" w:cs="Times New Roman"/>
                <w:lang w:val="en-US" w:eastAsia="zh-CN"/>
              </w:rPr>
            </w:sdtEndPr>
            <w:sdtContent>
              <w:r>
                <w:rPr>
                  <w:rFonts w:hint="eastAsia" w:ascii="方正小标宋简体" w:hAnsi="宋体" w:eastAsia="方正小标宋简体" w:cs="Times New Roman"/>
                  <w:lang w:val="en-US" w:eastAsia="zh-CN"/>
                </w:rPr>
                <w:t>三、部门财政资金收支情况</w:t>
              </w:r>
            </w:sdtContent>
          </w:sdt>
          <w:r>
            <w:rPr>
              <w:rFonts w:hint="eastAsia" w:ascii="方正小标宋简体" w:hAnsi="宋体" w:eastAsia="方正小标宋简体" w:cs="Times New Roman"/>
              <w:lang w:val="en-US" w:eastAsia="zh-CN"/>
            </w:rPr>
            <w:tab/>
          </w:r>
          <w:r>
            <w:rPr>
              <w:rFonts w:hint="eastAsia" w:ascii="方正小标宋简体" w:hAnsi="宋体" w:eastAsia="方正小标宋简体" w:cs="Times New Roman"/>
              <w:lang w:val="en-US" w:eastAsia="zh-CN"/>
            </w:rPr>
            <w:t>2</w:t>
          </w:r>
          <w:r>
            <w:rPr>
              <w:rFonts w:hint="eastAsia" w:ascii="方正小标宋简体" w:hAnsi="宋体" w:eastAsia="方正小标宋简体" w:cs="Times New Roman"/>
              <w:lang w:val="en-US" w:eastAsia="zh-CN"/>
            </w:rPr>
            <w:fldChar w:fldCharType="end"/>
          </w:r>
          <w:r>
            <w:rPr>
              <w:rFonts w:hint="eastAsia" w:ascii="方正小标宋简体" w:hAnsi="宋体" w:eastAsia="方正小标宋简体" w:cs="Times New Roman"/>
              <w:lang w:val="en-US" w:eastAsia="zh-CN"/>
            </w:rPr>
            <w:t>0</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default" w:ascii="方正小标宋简体" w:hAnsi="宋体" w:eastAsia="方正小标宋简体" w:cs="Times New Roman"/>
              <w:lang w:val="en-US" w:eastAsia="zh-CN"/>
            </w:rPr>
          </w:pPr>
          <w:r>
            <w:rPr>
              <w:rFonts w:hint="eastAsia" w:ascii="方正小标宋简体" w:hAnsi="宋体" w:eastAsia="方正小标宋简体" w:cs="Times New Roman"/>
              <w:lang w:val="en-US" w:eastAsia="zh-CN"/>
            </w:rPr>
            <w:fldChar w:fldCharType="begin"/>
          </w:r>
          <w:r>
            <w:rPr>
              <w:rFonts w:hint="eastAsia" w:ascii="方正小标宋简体" w:hAnsi="宋体" w:eastAsia="方正小标宋简体" w:cs="Times New Roman"/>
              <w:lang w:val="en-US" w:eastAsia="zh-CN"/>
            </w:rPr>
            <w:instrText xml:space="preserve"> HYPERLINK \l _Toc1413253371_WPSOffice_Level2 </w:instrText>
          </w:r>
          <w:r>
            <w:rPr>
              <w:rFonts w:hint="eastAsia" w:ascii="方正小标宋简体" w:hAnsi="宋体" w:eastAsia="方正小标宋简体" w:cs="Times New Roman"/>
              <w:lang w:val="en-US" w:eastAsia="zh-CN"/>
            </w:rPr>
            <w:fldChar w:fldCharType="separate"/>
          </w:r>
          <w:sdt>
            <w:sdtPr>
              <w:rPr>
                <w:rFonts w:hint="eastAsia" w:ascii="方正小标宋简体" w:hAnsi="宋体" w:eastAsia="方正小标宋简体" w:cs="Times New Roman"/>
                <w:lang w:val="en-US" w:eastAsia="zh-CN"/>
              </w:rPr>
              <w:id w:val="67805542"/>
              <w:placeholder>
                <w:docPart w:val="{e914704b-b664-458b-9e13-34aca018d730}"/>
              </w:placeholder>
            </w:sdtPr>
            <w:sdtEndPr>
              <w:rPr>
                <w:rFonts w:hint="eastAsia" w:ascii="方正小标宋简体" w:hAnsi="宋体" w:eastAsia="方正小标宋简体" w:cs="Times New Roman"/>
                <w:lang w:val="en-US" w:eastAsia="zh-CN"/>
              </w:rPr>
            </w:sdtEndPr>
            <w:sdtContent>
              <w:r>
                <w:rPr>
                  <w:rFonts w:hint="eastAsia" w:ascii="方正小标宋简体" w:hAnsi="宋体" w:eastAsia="方正小标宋简体" w:cs="Times New Roman"/>
                  <w:lang w:val="en-US" w:eastAsia="zh-CN"/>
                </w:rPr>
                <w:t>四、存在的问题</w:t>
              </w:r>
            </w:sdtContent>
          </w:sdt>
          <w:r>
            <w:rPr>
              <w:rFonts w:hint="eastAsia" w:ascii="方正小标宋简体" w:hAnsi="宋体" w:eastAsia="方正小标宋简体" w:cs="Times New Roman"/>
              <w:lang w:val="en-US" w:eastAsia="zh-CN"/>
            </w:rPr>
            <w:tab/>
          </w:r>
          <w:r>
            <w:rPr>
              <w:rFonts w:hint="eastAsia" w:ascii="方正小标宋简体" w:hAnsi="宋体" w:eastAsia="方正小标宋简体" w:cs="Times New Roman"/>
              <w:lang w:val="en-US" w:eastAsia="zh-CN"/>
            </w:rPr>
            <w:t>2</w:t>
          </w:r>
          <w:r>
            <w:rPr>
              <w:rFonts w:hint="eastAsia" w:ascii="方正小标宋简体" w:hAnsi="宋体" w:eastAsia="方正小标宋简体" w:cs="Times New Roman"/>
              <w:lang w:val="en-US" w:eastAsia="zh-CN"/>
            </w:rPr>
            <w:fldChar w:fldCharType="end"/>
          </w:r>
          <w:r>
            <w:rPr>
              <w:rFonts w:hint="eastAsia" w:ascii="方正小标宋简体" w:hAnsi="宋体" w:eastAsia="方正小标宋简体" w:cs="Times New Roman"/>
              <w:lang w:val="en-US" w:eastAsia="zh-CN"/>
            </w:rPr>
            <w:t>3</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rPr>
              <w:rFonts w:hint="eastAsia" w:ascii="方正小标宋简体" w:hAnsi="宋体" w:eastAsia="方正小标宋简体" w:cs="Times New Roman"/>
              <w:lang w:val="en-US" w:eastAsia="zh-CN"/>
            </w:rPr>
            <w:fldChar w:fldCharType="begin"/>
          </w:r>
          <w:r>
            <w:rPr>
              <w:rFonts w:hint="eastAsia" w:ascii="方正小标宋简体" w:hAnsi="宋体" w:eastAsia="方正小标宋简体" w:cs="Times New Roman"/>
              <w:lang w:val="en-US" w:eastAsia="zh-CN"/>
            </w:rPr>
            <w:instrText xml:space="preserve"> HYPERLINK \l _Toc1254367636_WPSOffice_Level2 </w:instrText>
          </w:r>
          <w:r>
            <w:rPr>
              <w:rFonts w:hint="eastAsia" w:ascii="方正小标宋简体" w:hAnsi="宋体" w:eastAsia="方正小标宋简体" w:cs="Times New Roman"/>
              <w:lang w:val="en-US" w:eastAsia="zh-CN"/>
            </w:rPr>
            <w:fldChar w:fldCharType="separate"/>
          </w:r>
          <w:sdt>
            <w:sdtPr>
              <w:rPr>
                <w:rFonts w:hint="eastAsia" w:ascii="方正小标宋简体" w:hAnsi="宋体" w:eastAsia="方正小标宋简体" w:cs="Times New Roman"/>
                <w:lang w:val="en-US" w:eastAsia="zh-CN"/>
              </w:rPr>
              <w:id w:val="67805542"/>
              <w:placeholder>
                <w:docPart w:val="{0536c102-ae2e-43e4-a9b8-2cfcef8b6384}"/>
              </w:placeholder>
            </w:sdtPr>
            <w:sdtEndPr>
              <w:rPr>
                <w:rFonts w:hint="eastAsia" w:ascii="方正小标宋简体" w:hAnsi="宋体" w:eastAsia="方正小标宋简体" w:cs="Times New Roman"/>
                <w:lang w:val="en-US" w:eastAsia="zh-CN"/>
              </w:rPr>
            </w:sdtEndPr>
            <w:sdtContent>
              <w:r>
                <w:rPr>
                  <w:rFonts w:hint="eastAsia" w:ascii="方正小标宋简体" w:hAnsi="宋体" w:eastAsia="方正小标宋简体" w:cs="Times New Roman"/>
                  <w:lang w:val="en-US" w:eastAsia="zh-CN"/>
                </w:rPr>
                <w:t>五、整改建议和意见</w:t>
              </w:r>
            </w:sdtContent>
          </w:sdt>
          <w:r>
            <w:rPr>
              <w:rFonts w:hint="eastAsia" w:ascii="方正小标宋简体" w:hAnsi="宋体" w:eastAsia="方正小标宋简体" w:cs="Times New Roman"/>
              <w:lang w:val="en-US" w:eastAsia="zh-CN"/>
            </w:rPr>
            <w:tab/>
          </w:r>
          <w:r>
            <w:rPr>
              <w:rFonts w:hint="eastAsia" w:ascii="方正小标宋简体" w:hAnsi="宋体" w:eastAsia="方正小标宋简体" w:cs="Times New Roman"/>
              <w:lang w:val="en-US" w:eastAsia="zh-CN"/>
            </w:rPr>
            <w:t>2</w:t>
          </w:r>
          <w:r>
            <w:rPr>
              <w:rFonts w:hint="eastAsia" w:ascii="方正小标宋简体" w:hAnsi="宋体" w:eastAsia="方正小标宋简体" w:cs="Times New Roman"/>
              <w:lang w:val="en-US" w:eastAsia="zh-CN"/>
            </w:rPr>
            <w:fldChar w:fldCharType="end"/>
          </w:r>
          <w:r>
            <w:rPr>
              <w:rFonts w:hint="eastAsia"/>
              <w:lang w:val="en-US" w:eastAsia="zh-CN"/>
            </w:rPr>
            <w:t>3</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_Toc68032533_WPSOffice_Level2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6c2c896a-2217-48e0-83d1-14474d1db4b8}"/>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黑体" w:eastAsia="黑体" w:cs="黑体"/>
                </w:rPr>
                <w:t>一、项目概况</w:t>
              </w:r>
            </w:sdtContent>
          </w:sdt>
          <w:r>
            <w:tab/>
          </w:r>
          <w:r>
            <w:rPr>
              <w:rFonts w:hint="eastAsia"/>
              <w:lang w:val="en-US" w:eastAsia="zh-CN"/>
            </w:rPr>
            <w:t>2</w:t>
          </w:r>
          <w:r>
            <w:fldChar w:fldCharType="end"/>
          </w:r>
          <w:r>
            <w:rPr>
              <w:rFonts w:hint="eastAsia"/>
              <w:lang w:val="en-US" w:eastAsia="zh-CN"/>
            </w:rPr>
            <w:t>4</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_Toc1369306639_WPSOffice_Level2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435d448c-5ad7-44ad-a3ce-574c5a15b8bb}"/>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黑体" w:eastAsia="黑体" w:cs="黑体"/>
                </w:rPr>
                <w:t>二、项目资金申报及使用情况</w:t>
              </w:r>
            </w:sdtContent>
          </w:sdt>
          <w:r>
            <w:tab/>
          </w:r>
          <w:r>
            <w:rPr>
              <w:rFonts w:hint="eastAsia"/>
              <w:lang w:val="en-US" w:eastAsia="zh-CN"/>
            </w:rPr>
            <w:t>2</w:t>
          </w:r>
          <w:r>
            <w:fldChar w:fldCharType="end"/>
          </w:r>
          <w:r>
            <w:rPr>
              <w:rFonts w:hint="eastAsia"/>
              <w:lang w:val="en-US" w:eastAsia="zh-CN"/>
            </w:rPr>
            <w:t>5</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_Toc335018641_WPSOffice_Level2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534ae01a-2b27-43a3-a3ef-13c7f510c4a3}"/>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黑体" w:eastAsia="黑体" w:cs="黑体"/>
                </w:rPr>
                <w:t>三、项目实施及管理情况</w:t>
              </w:r>
            </w:sdtContent>
          </w:sdt>
          <w:r>
            <w:tab/>
          </w:r>
          <w:r>
            <w:rPr>
              <w:rFonts w:hint="eastAsia"/>
              <w:lang w:val="en-US" w:eastAsia="zh-CN"/>
            </w:rPr>
            <w:t>2</w:t>
          </w:r>
          <w:r>
            <w:fldChar w:fldCharType="end"/>
          </w:r>
          <w:r>
            <w:rPr>
              <w:rFonts w:hint="eastAsia"/>
              <w:lang w:val="en-US" w:eastAsia="zh-CN"/>
            </w:rPr>
            <w:t>6</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_Toc1041564122_WPSOffice_Level2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67a1d129-83de-427d-b1b8-9130fc26916d}"/>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黑体" w:eastAsia="黑体" w:cs="黑体"/>
                </w:rPr>
                <w:t>四、项目绩效情况</w:t>
              </w:r>
            </w:sdtContent>
          </w:sdt>
          <w:r>
            <w:tab/>
          </w:r>
          <w:r>
            <w:rPr>
              <w:rFonts w:hint="eastAsia"/>
              <w:lang w:val="en-US" w:eastAsia="zh-CN"/>
            </w:rPr>
            <w:t>2</w:t>
          </w:r>
          <w:r>
            <w:fldChar w:fldCharType="end"/>
          </w:r>
          <w:r>
            <w:rPr>
              <w:rFonts w:hint="eastAsia"/>
              <w:lang w:val="en-US" w:eastAsia="zh-CN"/>
            </w:rPr>
            <w:t>7</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_Toc982229498_WPSOffice_Level2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bb378360-d858-4d80-8962-02869139cfe1}"/>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黑体" w:eastAsia="黑体" w:cs="黑体"/>
                </w:rPr>
                <w:t>五、评价结论及建议</w:t>
              </w:r>
            </w:sdtContent>
          </w:sdt>
          <w:r>
            <w:tab/>
          </w:r>
          <w:r>
            <w:rPr>
              <w:rFonts w:hint="eastAsia"/>
              <w:lang w:val="en-US" w:eastAsia="zh-CN"/>
            </w:rPr>
            <w:t>2</w:t>
          </w:r>
          <w:r>
            <w:fldChar w:fldCharType="end"/>
          </w:r>
          <w:r>
            <w:rPr>
              <w:rFonts w:hint="eastAsia"/>
              <w:lang w:val="en-US" w:eastAsia="zh-CN"/>
            </w:rPr>
            <w:t>7</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_Toc1925249488_WPSOffice_Level2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f77ecbed-d817-48d8-b6be-b4203d0ed910}"/>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黑体" w:eastAsia="黑体" w:cs="Times New Roman"/>
                </w:rPr>
                <w:t>网络及信息系统运维费项目</w:t>
              </w:r>
            </w:sdtContent>
          </w:sdt>
          <w:r>
            <w:tab/>
          </w:r>
          <w:r>
            <w:rPr>
              <w:rFonts w:hint="eastAsia"/>
              <w:lang w:val="en-US" w:eastAsia="zh-CN"/>
            </w:rPr>
            <w:t>3</w:t>
          </w:r>
          <w:r>
            <w:fldChar w:fldCharType="end"/>
          </w:r>
          <w:r>
            <w:rPr>
              <w:rFonts w:hint="eastAsia"/>
              <w:lang w:val="en-US" w:eastAsia="zh-CN"/>
            </w:rPr>
            <w:t>1</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_Toc1418100697_WPSOffice_Level2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db3cdae4-d0ea-449e-8c36-74f4e4ad55f7}"/>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黑体" w:eastAsia="黑体" w:cs="Times New Roman"/>
                </w:rPr>
                <w:t>一、项目概况</w:t>
              </w:r>
            </w:sdtContent>
          </w:sdt>
          <w:r>
            <w:tab/>
          </w:r>
          <w:r>
            <w:rPr>
              <w:rFonts w:hint="eastAsia"/>
              <w:lang w:val="en-US" w:eastAsia="zh-CN"/>
            </w:rPr>
            <w:t>3</w:t>
          </w:r>
          <w:r>
            <w:fldChar w:fldCharType="end"/>
          </w:r>
          <w:r>
            <w:rPr>
              <w:rFonts w:hint="eastAsia"/>
              <w:lang w:val="en-US" w:eastAsia="zh-CN"/>
            </w:rPr>
            <w:t>1</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_Toc1538541169_WPSOffice_Level2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f06cdf66-ed71-4e6b-90b5-ac3b252eb66b}"/>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黑体" w:eastAsia="黑体" w:cs="Times New Roman"/>
                </w:rPr>
                <w:t>二、项目资金申报及使用情况</w:t>
              </w:r>
            </w:sdtContent>
          </w:sdt>
          <w:r>
            <w:tab/>
          </w:r>
          <w:r>
            <w:rPr>
              <w:rFonts w:hint="eastAsia"/>
              <w:lang w:val="en-US" w:eastAsia="zh-CN"/>
            </w:rPr>
            <w:t>3</w:t>
          </w:r>
          <w:r>
            <w:fldChar w:fldCharType="end"/>
          </w:r>
          <w:r>
            <w:rPr>
              <w:rFonts w:hint="eastAsia"/>
              <w:lang w:val="en-US" w:eastAsia="zh-CN"/>
            </w:rPr>
            <w:t>2</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_Toc615581813_WPSOffice_Level2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3e8e85d4-c760-4e17-b0a1-b9f35b054229}"/>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黑体" w:eastAsia="黑体" w:cs="Times New Roman"/>
                </w:rPr>
                <w:t>三、项目实施及管理情况</w:t>
              </w:r>
            </w:sdtContent>
          </w:sdt>
          <w:r>
            <w:tab/>
          </w:r>
          <w:r>
            <w:rPr>
              <w:rFonts w:hint="eastAsia"/>
              <w:lang w:val="en-US" w:eastAsia="zh-CN"/>
            </w:rPr>
            <w:t>3</w:t>
          </w:r>
          <w:r>
            <w:fldChar w:fldCharType="end"/>
          </w:r>
          <w:r>
            <w:rPr>
              <w:rFonts w:hint="eastAsia"/>
              <w:lang w:val="en-US" w:eastAsia="zh-CN"/>
            </w:rPr>
            <w:t>3</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_Toc2001069541_WPSOffice_Level2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5263c667-69e0-4f08-8b49-1a5142f4288a}"/>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黑体" w:eastAsia="黑体" w:cs="Times New Roman"/>
                </w:rPr>
                <w:t>四、项目绩效情况</w:t>
              </w:r>
            </w:sdtContent>
          </w:sdt>
          <w:r>
            <w:tab/>
          </w:r>
          <w:r>
            <w:rPr>
              <w:rFonts w:hint="eastAsia"/>
              <w:lang w:val="en-US" w:eastAsia="zh-CN"/>
            </w:rPr>
            <w:t>3</w:t>
          </w:r>
          <w:r>
            <w:fldChar w:fldCharType="end"/>
          </w:r>
          <w:r>
            <w:rPr>
              <w:rFonts w:hint="eastAsia"/>
              <w:lang w:val="en-US" w:eastAsia="zh-CN"/>
            </w:rPr>
            <w:t>4</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_Toc880550155_WPSOffice_Level2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b7e9deee-91e4-42a9-a1f6-daa08d1de8f6}"/>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黑体" w:eastAsia="黑体" w:cs="Times New Roman"/>
                </w:rPr>
                <w:t>五、评价结论及建议</w:t>
              </w:r>
            </w:sdtContent>
          </w:sdt>
          <w:r>
            <w:tab/>
          </w:r>
          <w:r>
            <w:rPr>
              <w:rFonts w:hint="eastAsia"/>
              <w:lang w:val="en-US" w:eastAsia="zh-CN"/>
            </w:rPr>
            <w:t>3</w:t>
          </w:r>
          <w:r>
            <w:fldChar w:fldCharType="end"/>
          </w:r>
          <w:r>
            <w:rPr>
              <w:rFonts w:hint="eastAsia"/>
              <w:lang w:val="en-US" w:eastAsia="zh-CN"/>
            </w:rPr>
            <w:t>4</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_Toc547776270_WPSOffice_Level2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bb525230-6abd-4003-9f98-3f3aa12dbec5}"/>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宋体" w:eastAsia="黑体" w:cs="Times New Roman"/>
                </w:rPr>
                <w:t>一、项目概况</w:t>
              </w:r>
            </w:sdtContent>
          </w:sdt>
          <w:r>
            <w:tab/>
          </w:r>
          <w:r>
            <w:rPr>
              <w:rFonts w:hint="eastAsia"/>
              <w:lang w:val="en-US" w:eastAsia="zh-CN"/>
            </w:rPr>
            <w:t>3</w:t>
          </w:r>
          <w:r>
            <w:fldChar w:fldCharType="end"/>
          </w:r>
          <w:r>
            <w:rPr>
              <w:rFonts w:hint="eastAsia"/>
              <w:lang w:val="en-US" w:eastAsia="zh-CN"/>
            </w:rPr>
            <w:t>6</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_Toc76290860_WPSOffice_Level2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d75fbdb8-74c7-426c-9330-49e0786a5c72}"/>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宋体" w:eastAsia="黑体" w:cs="Times New Roman"/>
                </w:rPr>
                <w:t>二、项目资金申报及使用情况</w:t>
              </w:r>
            </w:sdtContent>
          </w:sdt>
          <w:r>
            <w:tab/>
          </w:r>
          <w:r>
            <w:rPr>
              <w:rFonts w:hint="eastAsia"/>
              <w:lang w:val="en-US" w:eastAsia="zh-CN"/>
            </w:rPr>
            <w:t>3</w:t>
          </w:r>
          <w:r>
            <w:fldChar w:fldCharType="end"/>
          </w:r>
          <w:r>
            <w:rPr>
              <w:rFonts w:hint="eastAsia"/>
              <w:lang w:val="en-US" w:eastAsia="zh-CN"/>
            </w:rPr>
            <w:t>7</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_Toc118624251_WPSOffice_Level2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9572a8e1-8bc6-4356-9ddd-7b46b8649ec1}"/>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宋体" w:eastAsia="黑体" w:cs="Times New Roman"/>
                </w:rPr>
                <w:t>三、项目实施及管理情况</w:t>
              </w:r>
            </w:sdtContent>
          </w:sdt>
          <w:r>
            <w:tab/>
          </w:r>
          <w:r>
            <w:rPr>
              <w:rFonts w:hint="eastAsia"/>
              <w:lang w:val="en-US" w:eastAsia="zh-CN"/>
            </w:rPr>
            <w:t>3</w:t>
          </w:r>
          <w:r>
            <w:fldChar w:fldCharType="end"/>
          </w:r>
          <w:r>
            <w:rPr>
              <w:rFonts w:hint="eastAsia"/>
              <w:lang w:val="en-US" w:eastAsia="zh-CN"/>
            </w:rPr>
            <w:t>8</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_Toc1760298915_WPSOffice_Level2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31ae2411-7ec3-4757-bd00-d6da6dd2d2e7}"/>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宋体" w:eastAsia="黑体" w:cs="Times New Roman"/>
                </w:rPr>
                <w:t>四、项目绩效情况</w:t>
              </w:r>
            </w:sdtContent>
          </w:sdt>
          <w:r>
            <w:tab/>
          </w:r>
          <w:r>
            <w:rPr>
              <w:rFonts w:hint="eastAsia"/>
              <w:lang w:val="en-US" w:eastAsia="zh-CN"/>
            </w:rPr>
            <w:t>3</w:t>
          </w:r>
          <w:r>
            <w:fldChar w:fldCharType="end"/>
          </w:r>
          <w:r>
            <w:rPr>
              <w:rFonts w:hint="eastAsia"/>
              <w:lang w:val="en-US" w:eastAsia="zh-CN"/>
            </w:rPr>
            <w:t>9</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_Toc1292612935_WPSOffice_Level2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283d588f-f24a-4593-b66c-be06c6ec3c1e}"/>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宋体" w:eastAsia="黑体" w:cs="Times New Roman"/>
                </w:rPr>
                <w:t>五、评价结论及建议</w:t>
              </w:r>
            </w:sdtContent>
          </w:sdt>
          <w:r>
            <w:tab/>
          </w:r>
          <w:r>
            <w:rPr>
              <w:rFonts w:hint="eastAsia"/>
              <w:lang w:val="en-US" w:eastAsia="zh-CN"/>
            </w:rPr>
            <w:t>3</w:t>
          </w:r>
          <w:r>
            <w:fldChar w:fldCharType="end"/>
          </w:r>
          <w:r>
            <w:rPr>
              <w:rFonts w:hint="eastAsia"/>
              <w:lang w:val="en-US" w:eastAsia="zh-CN"/>
            </w:rPr>
            <w:t>9</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_Toc1926110410_WPSOffice_Level2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ede6268e-5f27-405f-90d9-6118ce2cd8ad}"/>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宋体" w:eastAsia="黑体" w:cs="Times New Roman"/>
                </w:rPr>
                <w:t>一、项目概况</w:t>
              </w:r>
            </w:sdtContent>
          </w:sdt>
          <w:r>
            <w:tab/>
          </w:r>
          <w:r>
            <w:rPr>
              <w:rFonts w:hint="eastAsia"/>
              <w:lang w:val="en-US" w:eastAsia="zh-CN"/>
            </w:rPr>
            <w:t>4</w:t>
          </w:r>
          <w:r>
            <w:fldChar w:fldCharType="end"/>
          </w:r>
          <w:r>
            <w:rPr>
              <w:rFonts w:hint="eastAsia"/>
              <w:lang w:val="en-US" w:eastAsia="zh-CN"/>
            </w:rPr>
            <w:t>2</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default" w:eastAsia="宋体"/>
              <w:lang w:val="en-US" w:eastAsia="zh-CN"/>
            </w:rPr>
          </w:pPr>
          <w:r>
            <w:fldChar w:fldCharType="begin"/>
          </w:r>
          <w:r>
            <w:instrText xml:space="preserve"> HYPERLINK \l _Toc223901633_WPSOffice_Level2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73c333cd-952a-44f1-bb32-d1be52f30d0f}"/>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宋体" w:eastAsia="黑体" w:cs="Times New Roman"/>
                </w:rPr>
                <w:t>二、项目资金申报及使用情况</w:t>
              </w:r>
            </w:sdtContent>
          </w:sdt>
          <w:r>
            <w:tab/>
          </w:r>
          <w:r>
            <w:fldChar w:fldCharType="end"/>
          </w:r>
          <w:r>
            <w:rPr>
              <w:rFonts w:hint="eastAsia"/>
              <w:lang w:val="en-US" w:eastAsia="zh-CN"/>
            </w:rPr>
            <w:t>43</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_Toc70577442_WPSOffice_Level2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63c394f5-a009-43ad-97ab-8c3d7c88f662}"/>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宋体" w:eastAsia="黑体" w:cs="Times New Roman"/>
                </w:rPr>
                <w:t>三、项目实施及管理情况</w:t>
              </w:r>
            </w:sdtContent>
          </w:sdt>
          <w:r>
            <w:tab/>
          </w:r>
          <w:r>
            <w:rPr>
              <w:rFonts w:hint="eastAsia"/>
              <w:lang w:val="en-US" w:eastAsia="zh-CN"/>
            </w:rPr>
            <w:t>4</w:t>
          </w:r>
          <w:r>
            <w:fldChar w:fldCharType="end"/>
          </w:r>
          <w:r>
            <w:rPr>
              <w:rFonts w:hint="eastAsia"/>
              <w:lang w:val="en-US" w:eastAsia="zh-CN"/>
            </w:rPr>
            <w:t>4</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_Toc1729064555_WPSOffice_Level2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36e7df20-e712-42ee-a43e-296dc6f27cc6}"/>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宋体" w:eastAsia="黑体" w:cs="Times New Roman"/>
                </w:rPr>
                <w:t>四、项目绩效情况</w:t>
              </w:r>
            </w:sdtContent>
          </w:sdt>
          <w:r>
            <w:tab/>
          </w:r>
          <w:r>
            <w:rPr>
              <w:rFonts w:hint="eastAsia"/>
              <w:lang w:val="en-US" w:eastAsia="zh-CN"/>
            </w:rPr>
            <w:t>4</w:t>
          </w:r>
          <w:r>
            <w:fldChar w:fldCharType="end"/>
          </w:r>
          <w:r>
            <w:rPr>
              <w:rFonts w:hint="eastAsia"/>
              <w:lang w:val="en-US" w:eastAsia="zh-CN"/>
            </w:rPr>
            <w:t>5</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_Toc253366323_WPSOffice_Level2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c3a53778-1a30-43ed-92ff-5cabac1d371f}"/>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宋体" w:eastAsia="黑体" w:cs="Times New Roman"/>
                </w:rPr>
                <w:t>五、评价结论及建议</w:t>
              </w:r>
            </w:sdtContent>
          </w:sdt>
          <w:r>
            <w:tab/>
          </w:r>
          <w:r>
            <w:rPr>
              <w:rFonts w:hint="eastAsia"/>
              <w:lang w:val="en-US" w:eastAsia="zh-CN"/>
            </w:rPr>
            <w:t>4</w:t>
          </w:r>
          <w:r>
            <w:fldChar w:fldCharType="end"/>
          </w:r>
          <w:r>
            <w:rPr>
              <w:rFonts w:hint="eastAsia"/>
              <w:lang w:val="en-US" w:eastAsia="zh-CN"/>
            </w:rPr>
            <w:t>5</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_Toc192114867_WPSOffice_Level2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8635ac66-93bb-4181-9956-e467e8fe2eee}"/>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黑体" w:eastAsia="黑体" w:cs="黑体"/>
                </w:rPr>
                <w:t>一、项目概况</w:t>
              </w:r>
            </w:sdtContent>
          </w:sdt>
          <w:r>
            <w:tab/>
          </w:r>
          <w:r>
            <w:rPr>
              <w:rFonts w:hint="eastAsia"/>
              <w:lang w:val="en-US" w:eastAsia="zh-CN"/>
            </w:rPr>
            <w:t>4</w:t>
          </w:r>
          <w:r>
            <w:fldChar w:fldCharType="end"/>
          </w:r>
          <w:r>
            <w:rPr>
              <w:rFonts w:hint="eastAsia"/>
              <w:lang w:val="en-US" w:eastAsia="zh-CN"/>
            </w:rPr>
            <w:t>8</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_Toc1213940277_WPSOffice_Level2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3783defb-f33f-4b9b-a494-3d6913ea7249}"/>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黑体" w:eastAsia="黑体" w:cs="黑体"/>
                </w:rPr>
                <w:t>二、项目资金申报及使用情况</w:t>
              </w:r>
            </w:sdtContent>
          </w:sdt>
          <w:r>
            <w:tab/>
          </w:r>
          <w:r>
            <w:rPr>
              <w:rFonts w:hint="eastAsia"/>
              <w:lang w:val="en-US" w:eastAsia="zh-CN"/>
            </w:rPr>
            <w:t>5</w:t>
          </w:r>
          <w:r>
            <w:fldChar w:fldCharType="end"/>
          </w:r>
          <w:r>
            <w:rPr>
              <w:rFonts w:hint="eastAsia"/>
              <w:lang w:val="en-US" w:eastAsia="zh-CN"/>
            </w:rPr>
            <w:t>0</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_Toc632590682_WPSOffice_Level2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c7147faf-8555-4e6a-845f-54882f53d262}"/>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黑体" w:eastAsia="黑体" w:cs="黑体"/>
                </w:rPr>
                <w:t>三、项目实施及管理情况</w:t>
              </w:r>
            </w:sdtContent>
          </w:sdt>
          <w:r>
            <w:tab/>
          </w:r>
          <w:r>
            <w:rPr>
              <w:rFonts w:hint="eastAsia"/>
              <w:lang w:val="en-US" w:eastAsia="zh-CN"/>
            </w:rPr>
            <w:t>5</w:t>
          </w:r>
          <w:r>
            <w:fldChar w:fldCharType="end"/>
          </w:r>
          <w:r>
            <w:rPr>
              <w:rFonts w:hint="eastAsia"/>
              <w:lang w:val="en-US" w:eastAsia="zh-CN"/>
            </w:rPr>
            <w:t>1</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_Toc885767566_WPSOffice_Level2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40253360-af9a-4648-aaf5-9187148191ee}"/>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黑体" w:eastAsia="黑体" w:cs="黑体"/>
                </w:rPr>
                <w:t>四、项目绩效情况</w:t>
              </w:r>
            </w:sdtContent>
          </w:sdt>
          <w:r>
            <w:tab/>
          </w:r>
          <w:r>
            <w:rPr>
              <w:rFonts w:hint="eastAsia"/>
              <w:lang w:val="en-US" w:eastAsia="zh-CN"/>
            </w:rPr>
            <w:t>5</w:t>
          </w:r>
          <w:r>
            <w:fldChar w:fldCharType="end"/>
          </w:r>
          <w:r>
            <w:rPr>
              <w:rFonts w:hint="eastAsia"/>
              <w:lang w:val="en-US" w:eastAsia="zh-CN"/>
            </w:rPr>
            <w:t>2</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_Toc1319467443_WPSOffice_Level2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3d578910-9caf-420d-8df4-89ab58a9347e}"/>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黑体" w:eastAsia="黑体" w:cs="黑体"/>
                </w:rPr>
                <w:t>五、评价结论及建议</w:t>
              </w:r>
            </w:sdtContent>
          </w:sdt>
          <w:r>
            <w:tab/>
          </w:r>
          <w:r>
            <w:rPr>
              <w:rFonts w:hint="eastAsia"/>
              <w:lang w:val="en-US" w:eastAsia="zh-CN"/>
            </w:rPr>
            <w:t>5</w:t>
          </w:r>
          <w:r>
            <w:fldChar w:fldCharType="end"/>
          </w:r>
          <w:r>
            <w:rPr>
              <w:rFonts w:hint="eastAsia"/>
              <w:lang w:val="en-US" w:eastAsia="zh-CN"/>
            </w:rPr>
            <w:t>2</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_Toc1341084348_WPSOffice_Level2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641417c5-7e44-4abe-9b22-51688902be0e}"/>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黑体" w:eastAsia="黑体" w:cs="Times New Roman"/>
                </w:rPr>
                <w:t>网络运行维护费</w:t>
              </w:r>
            </w:sdtContent>
          </w:sdt>
          <w:r>
            <w:tab/>
          </w:r>
          <w:r>
            <w:rPr>
              <w:rFonts w:hint="eastAsia"/>
              <w:lang w:val="en-US" w:eastAsia="zh-CN"/>
            </w:rPr>
            <w:t>5</w:t>
          </w:r>
          <w:r>
            <w:fldChar w:fldCharType="end"/>
          </w:r>
          <w:r>
            <w:rPr>
              <w:rFonts w:hint="eastAsia"/>
              <w:lang w:val="en-US" w:eastAsia="zh-CN"/>
            </w:rPr>
            <w:t>6</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_Toc784853174_WPSOffice_Level2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0cab9698-7e81-420b-99e5-3a9602ba0196}"/>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黑体" w:eastAsia="黑体" w:cs="Times New Roman"/>
                </w:rPr>
                <w:t>一、项目概况</w:t>
              </w:r>
            </w:sdtContent>
          </w:sdt>
          <w:r>
            <w:tab/>
          </w:r>
          <w:r>
            <w:rPr>
              <w:rFonts w:hint="eastAsia"/>
              <w:lang w:val="en-US" w:eastAsia="zh-CN"/>
            </w:rPr>
            <w:t>5</w:t>
          </w:r>
          <w:r>
            <w:fldChar w:fldCharType="end"/>
          </w:r>
          <w:r>
            <w:rPr>
              <w:rFonts w:hint="eastAsia"/>
              <w:lang w:val="en-US" w:eastAsia="zh-CN"/>
            </w:rPr>
            <w:t>6</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_Toc21765857_WPSOffice_Level2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19abeda5-88c6-49a4-a49f-4f53576a7388}"/>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黑体" w:eastAsia="黑体" w:cs="Times New Roman"/>
                </w:rPr>
                <w:t>二、项目资金申报及使用情况</w:t>
              </w:r>
            </w:sdtContent>
          </w:sdt>
          <w:r>
            <w:tab/>
          </w:r>
          <w:r>
            <w:rPr>
              <w:rFonts w:hint="eastAsia"/>
              <w:lang w:val="en-US" w:eastAsia="zh-CN"/>
            </w:rPr>
            <w:t>5</w:t>
          </w:r>
          <w:r>
            <w:fldChar w:fldCharType="end"/>
          </w:r>
          <w:r>
            <w:rPr>
              <w:rFonts w:hint="eastAsia"/>
              <w:lang w:val="en-US" w:eastAsia="zh-CN"/>
            </w:rPr>
            <w:t>7</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_Toc606854071_WPSOffice_Level2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01ebc942-4e7c-4655-bafb-dccdd412bf5b}"/>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黑体" w:eastAsia="黑体" w:cs="Times New Roman"/>
                </w:rPr>
                <w:t>三、项目实施及管理情况</w:t>
              </w:r>
            </w:sdtContent>
          </w:sdt>
          <w:r>
            <w:tab/>
          </w:r>
          <w:r>
            <w:rPr>
              <w:rFonts w:hint="eastAsia"/>
              <w:lang w:val="en-US" w:eastAsia="zh-CN"/>
            </w:rPr>
            <w:t>5</w:t>
          </w:r>
          <w:r>
            <w:fldChar w:fldCharType="end"/>
          </w:r>
          <w:r>
            <w:rPr>
              <w:rFonts w:hint="eastAsia"/>
              <w:lang w:val="en-US" w:eastAsia="zh-CN"/>
            </w:rPr>
            <w:t>7</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_Toc2039220810_WPSOffice_Level2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0a584acc-d1bc-472c-af9d-a206b7d4b698}"/>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黑体" w:eastAsia="黑体" w:cs="Times New Roman"/>
                </w:rPr>
                <w:t>四、项目绩效情况</w:t>
              </w:r>
            </w:sdtContent>
          </w:sdt>
          <w:r>
            <w:tab/>
          </w:r>
          <w:r>
            <w:rPr>
              <w:rFonts w:hint="eastAsia"/>
              <w:lang w:val="en-US" w:eastAsia="zh-CN"/>
            </w:rPr>
            <w:t>5</w:t>
          </w:r>
          <w:r>
            <w:fldChar w:fldCharType="end"/>
          </w:r>
          <w:r>
            <w:rPr>
              <w:rFonts w:hint="eastAsia"/>
              <w:lang w:val="en-US" w:eastAsia="zh-CN"/>
            </w:rPr>
            <w:t>8</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_Toc89798390_WPSOffice_Level2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2007baee-d7cf-416d-b332-e205eebf2915}"/>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黑体" w:eastAsia="黑体" w:cs="Times New Roman"/>
                </w:rPr>
                <w:t>五、评价结论及建议</w:t>
              </w:r>
            </w:sdtContent>
          </w:sdt>
          <w:r>
            <w:tab/>
          </w:r>
          <w:r>
            <w:rPr>
              <w:rFonts w:hint="eastAsia"/>
              <w:lang w:val="en-US" w:eastAsia="zh-CN"/>
            </w:rPr>
            <w:t>5</w:t>
          </w:r>
          <w:r>
            <w:fldChar w:fldCharType="end"/>
          </w:r>
          <w:r>
            <w:rPr>
              <w:rFonts w:hint="eastAsia"/>
              <w:lang w:val="en-US" w:eastAsia="zh-CN"/>
            </w:rPr>
            <w:t>8</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_Toc1976160710_WPSOffice_Level2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18e5de49-56d6-4af7-b1ff-da9a45d44917}"/>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宋体" w:eastAsia="黑体" w:cs="Times New Roman"/>
                </w:rPr>
                <w:t>一、项目概况</w:t>
              </w:r>
            </w:sdtContent>
          </w:sdt>
          <w:r>
            <w:tab/>
          </w:r>
          <w:r>
            <w:rPr>
              <w:rFonts w:hint="eastAsia"/>
              <w:lang w:val="en-US" w:eastAsia="zh-CN"/>
            </w:rPr>
            <w:t>6</w:t>
          </w:r>
          <w:r>
            <w:fldChar w:fldCharType="end"/>
          </w:r>
          <w:r>
            <w:rPr>
              <w:rFonts w:hint="eastAsia"/>
              <w:lang w:val="en-US" w:eastAsia="zh-CN"/>
            </w:rPr>
            <w:t>1</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_Toc226755803_WPSOffice_Level2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82b8e650-22b8-4c24-811b-0d8ab9411294}"/>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宋体" w:eastAsia="黑体" w:cs="Times New Roman"/>
                </w:rPr>
                <w:t>二、项目资金申报及使用情况</w:t>
              </w:r>
            </w:sdtContent>
          </w:sdt>
          <w:r>
            <w:tab/>
          </w:r>
          <w:bookmarkStart w:id="13" w:name="_Toc226755803_WPSOffice_Level2Page"/>
          <w:r>
            <w:t>6</w:t>
          </w:r>
          <w:bookmarkEnd w:id="13"/>
          <w:r>
            <w:rPr>
              <w:rFonts w:hint="eastAsia"/>
              <w:lang w:val="en-US" w:eastAsia="zh-CN"/>
            </w:rPr>
            <w:t>2</w:t>
          </w:r>
          <w:r>
            <w:fldChar w:fldCharType="end"/>
          </w:r>
        </w:p>
        <w:p>
          <w:pPr>
            <w:pStyle w:val="35"/>
            <w:pageBreakBefore w:val="0"/>
            <w:tabs>
              <w:tab w:val="right" w:leader="dot" w:pos="8306"/>
            </w:tabs>
            <w:kinsoku/>
            <w:wordWrap/>
            <w:overflowPunct/>
            <w:topLinePunct w:val="0"/>
            <w:autoSpaceDE/>
            <w:autoSpaceDN/>
            <w:bidi w:val="0"/>
            <w:adjustRightInd/>
            <w:snapToGrid/>
            <w:spacing w:line="360" w:lineRule="exact"/>
            <w:ind w:left="0" w:leftChars="0" w:firstLine="400" w:firstLineChars="200"/>
            <w:textAlignment w:val="auto"/>
            <w:rPr>
              <w:rFonts w:hint="eastAsia" w:eastAsia="宋体"/>
              <w:lang w:val="en-US" w:eastAsia="zh-CN"/>
            </w:rPr>
          </w:pPr>
          <w:r>
            <w:fldChar w:fldCharType="begin"/>
          </w:r>
          <w:r>
            <w:instrText xml:space="preserve"> HYPERLINK \l _Toc1131362513_WPSOffice_Level2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ba8f9455-db71-42b2-8e79-f8670df9fba3}"/>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宋体" w:eastAsia="黑体" w:cs="Times New Roman"/>
                </w:rPr>
                <w:t>三、项目实施及管理情况</w:t>
              </w:r>
            </w:sdtContent>
          </w:sdt>
          <w:r>
            <w:tab/>
          </w:r>
          <w:r>
            <w:rPr>
              <w:rFonts w:hint="eastAsia"/>
              <w:lang w:val="en-US" w:eastAsia="zh-CN"/>
            </w:rPr>
            <w:t>6</w:t>
          </w:r>
          <w:r>
            <w:fldChar w:fldCharType="end"/>
          </w:r>
          <w:r>
            <w:rPr>
              <w:rFonts w:hint="eastAsia"/>
              <w:lang w:val="en-US" w:eastAsia="zh-CN"/>
            </w:rPr>
            <w:t>3</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_Toc810906561_WPSOffice_Level2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da4088ba-d5f2-4f20-9f5c-a25e4e6e4014}"/>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宋体" w:eastAsia="黑体" w:cs="Times New Roman"/>
                </w:rPr>
                <w:t>四、项目绩效情况</w:t>
              </w:r>
            </w:sdtContent>
          </w:sdt>
          <w:r>
            <w:tab/>
          </w:r>
          <w:r>
            <w:rPr>
              <w:rFonts w:hint="eastAsia"/>
              <w:lang w:val="en-US" w:eastAsia="zh-CN"/>
            </w:rPr>
            <w:t>6</w:t>
          </w:r>
          <w:r>
            <w:fldChar w:fldCharType="end"/>
          </w:r>
          <w:r>
            <w:rPr>
              <w:rFonts w:hint="eastAsia"/>
              <w:lang w:val="en-US" w:eastAsia="zh-CN"/>
            </w:rPr>
            <w:t>4</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_Toc4521643_WPSOffice_Level2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ac8fb9fb-0463-46d8-b710-bcfbe30fdd88}"/>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宋体" w:eastAsia="黑体" w:cs="Times New Roman"/>
                </w:rPr>
                <w:t>五、评价结论及建议</w:t>
              </w:r>
            </w:sdtContent>
          </w:sdt>
          <w:r>
            <w:tab/>
          </w:r>
          <w:r>
            <w:rPr>
              <w:rFonts w:hint="eastAsia"/>
              <w:lang w:val="en-US" w:eastAsia="zh-CN"/>
            </w:rPr>
            <w:t>6</w:t>
          </w:r>
          <w:r>
            <w:fldChar w:fldCharType="end"/>
          </w:r>
          <w:r>
            <w:rPr>
              <w:rFonts w:hint="eastAsia"/>
              <w:lang w:val="en-US" w:eastAsia="zh-CN"/>
            </w:rPr>
            <w:t>4</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_Toc401979562_WPSOffice_Level2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2f801ac7-75e4-4a35-a129-0d199bbccf56}"/>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黑体" w:eastAsia="黑体" w:cs="Times New Roman"/>
                </w:rPr>
                <w:t>一、项目概况</w:t>
              </w:r>
            </w:sdtContent>
          </w:sdt>
          <w:r>
            <w:tab/>
          </w:r>
          <w:r>
            <w:rPr>
              <w:rFonts w:hint="eastAsia"/>
              <w:lang w:val="en-US" w:eastAsia="zh-CN"/>
            </w:rPr>
            <w:t>6</w:t>
          </w:r>
          <w:r>
            <w:fldChar w:fldCharType="end"/>
          </w:r>
          <w:r>
            <w:rPr>
              <w:rFonts w:hint="eastAsia"/>
              <w:lang w:val="en-US" w:eastAsia="zh-CN"/>
            </w:rPr>
            <w:t>7</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_Toc201964082_WPSOffice_Level2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067a2c79-1c29-4591-aa21-0f66d16f1c12}"/>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黑体" w:eastAsia="黑体" w:cs="Times New Roman"/>
                </w:rPr>
                <w:t>二、项目资金申报及使用情况</w:t>
              </w:r>
            </w:sdtContent>
          </w:sdt>
          <w:r>
            <w:tab/>
          </w:r>
          <w:r>
            <w:rPr>
              <w:rFonts w:hint="eastAsia"/>
              <w:lang w:val="en-US" w:eastAsia="zh-CN"/>
            </w:rPr>
            <w:t>6</w:t>
          </w:r>
          <w:r>
            <w:fldChar w:fldCharType="end"/>
          </w:r>
          <w:r>
            <w:rPr>
              <w:rFonts w:hint="eastAsia"/>
              <w:lang w:val="en-US" w:eastAsia="zh-CN"/>
            </w:rPr>
            <w:t>8</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_Toc620103457_WPSOffice_Level2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52c5c12b-9862-4775-9d62-7cd710ddc56b}"/>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黑体" w:eastAsia="黑体" w:cs="Times New Roman"/>
                </w:rPr>
                <w:t>三、项目实施及管理情况</w:t>
              </w:r>
            </w:sdtContent>
          </w:sdt>
          <w:r>
            <w:tab/>
          </w:r>
          <w:r>
            <w:rPr>
              <w:rFonts w:hint="eastAsia"/>
              <w:lang w:val="en-US" w:eastAsia="zh-CN"/>
            </w:rPr>
            <w:t>6</w:t>
          </w:r>
          <w:r>
            <w:fldChar w:fldCharType="end"/>
          </w:r>
          <w:r>
            <w:rPr>
              <w:rFonts w:hint="eastAsia"/>
              <w:lang w:val="en-US" w:eastAsia="zh-CN"/>
            </w:rPr>
            <w:t>9</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_Toc255565456_WPSOffice_Level2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e68f7b76-e732-42fe-a405-7048cb7ee3d5}"/>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黑体" w:eastAsia="黑体" w:cs="Times New Roman"/>
                </w:rPr>
                <w:t>四、项目绩效情况</w:t>
              </w:r>
            </w:sdtContent>
          </w:sdt>
          <w:r>
            <w:tab/>
          </w:r>
          <w:r>
            <w:rPr>
              <w:rFonts w:hint="eastAsia"/>
              <w:lang w:val="en-US" w:eastAsia="zh-CN"/>
            </w:rPr>
            <w:t>7</w:t>
          </w:r>
          <w:r>
            <w:fldChar w:fldCharType="end"/>
          </w:r>
          <w:r>
            <w:rPr>
              <w:rFonts w:hint="eastAsia"/>
              <w:lang w:val="en-US" w:eastAsia="zh-CN"/>
            </w:rPr>
            <w:t>0</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_Toc1082514237_WPSOffice_Level2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b3a7846b-c9e7-4e65-9055-b84910e38fb9}"/>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黑体" w:eastAsia="黑体" w:cs="Times New Roman"/>
                </w:rPr>
                <w:t>五、评价结论及建议</w:t>
              </w:r>
            </w:sdtContent>
          </w:sdt>
          <w:r>
            <w:tab/>
          </w:r>
          <w:bookmarkStart w:id="14" w:name="_Toc1082514237_WPSOffice_Level2Page"/>
          <w:r>
            <w:t>7</w:t>
          </w:r>
          <w:bookmarkEnd w:id="14"/>
          <w:r>
            <w:rPr>
              <w:rFonts w:hint="eastAsia"/>
              <w:lang w:val="en-US" w:eastAsia="zh-CN"/>
            </w:rPr>
            <w:t>0</w:t>
          </w:r>
          <w:r>
            <w:fldChar w:fldCharType="end"/>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_Toc1167879727_WPSOffice_Level2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686ac998-c39f-4480-ad59-6136ed08e4bd}"/>
              </w:placeholder>
            </w:sdtPr>
            <w:sdtEndPr>
              <w:rPr>
                <w:rFonts w:ascii="Times New Roman" w:hAnsi="Times New Roman" w:eastAsia="宋体" w:cs="Times New Roman"/>
                <w:b/>
                <w:bCs/>
                <w:kern w:val="2"/>
                <w:sz w:val="32"/>
                <w:szCs w:val="32"/>
                <w:lang w:val="en-US" w:eastAsia="zh-CN" w:bidi="ar-SA"/>
              </w:rPr>
            </w:sdtEndPr>
            <w:sdtContent>
              <w:r>
                <w:rPr>
                  <w:rFonts w:hint="eastAsia" w:ascii="仿宋_GB2312" w:hAnsi="仿宋_GB2312" w:eastAsia="仿宋_GB2312" w:cs="仿宋_GB2312"/>
                </w:rPr>
                <w:t>(2021年度)</w:t>
              </w:r>
            </w:sdtContent>
          </w:sdt>
          <w:r>
            <w:tab/>
          </w:r>
          <w:r>
            <w:rPr>
              <w:rFonts w:hint="eastAsia"/>
              <w:lang w:val="en-US" w:eastAsia="zh-CN"/>
            </w:rPr>
            <w:t>7</w:t>
          </w:r>
          <w:r>
            <w:fldChar w:fldCharType="end"/>
          </w:r>
          <w:r>
            <w:rPr>
              <w:rFonts w:hint="eastAsia"/>
              <w:lang w:val="en-US" w:eastAsia="zh-CN"/>
            </w:rPr>
            <w:t>1</w:t>
          </w:r>
        </w:p>
        <w:p>
          <w:pPr>
            <w:pStyle w:val="34"/>
            <w:pageBreakBefore w:val="0"/>
            <w:tabs>
              <w:tab w:val="right" w:leader="dot" w:pos="8306"/>
            </w:tabs>
            <w:kinsoku/>
            <w:wordWrap/>
            <w:overflowPunct/>
            <w:topLinePunct w:val="0"/>
            <w:autoSpaceDE/>
            <w:autoSpaceDN/>
            <w:bidi w:val="0"/>
            <w:adjustRightInd/>
            <w:snapToGrid/>
            <w:spacing w:line="360" w:lineRule="exact"/>
            <w:textAlignment w:val="auto"/>
          </w:pPr>
          <w:r>
            <w:rPr>
              <w:b/>
              <w:bCs/>
            </w:rPr>
            <w:fldChar w:fldCharType="begin"/>
          </w:r>
          <w:r>
            <w:instrText xml:space="preserve"> HYPERLINK \l _Toc1216322075_WPSOffice_Level1 </w:instrText>
          </w:r>
          <w:r>
            <w:rPr>
              <w:b/>
              <w:bCs/>
            </w:rPr>
            <w:fldChar w:fldCharType="separate"/>
          </w:r>
          <w:sdt>
            <w:sdtPr>
              <w:rPr>
                <w:rFonts w:ascii="Times New Roman" w:hAnsi="Times New Roman" w:eastAsia="宋体" w:cs="Times New Roman"/>
                <w:b/>
                <w:bCs/>
                <w:kern w:val="2"/>
                <w:sz w:val="32"/>
                <w:szCs w:val="32"/>
                <w:lang w:val="en-US" w:eastAsia="zh-CN" w:bidi="ar-SA"/>
              </w:rPr>
              <w:id w:val="67805542"/>
              <w:placeholder>
                <w:docPart w:val="{40469b5f-b01c-480b-8735-f3c910d62f09}"/>
              </w:placeholder>
            </w:sdtPr>
            <w:sdtEndPr>
              <w:rPr>
                <w:rFonts w:ascii="Times New Roman" w:hAnsi="Times New Roman" w:eastAsia="宋体" w:cs="Times New Roman"/>
                <w:b/>
                <w:bCs/>
                <w:kern w:val="2"/>
                <w:sz w:val="32"/>
                <w:szCs w:val="32"/>
                <w:lang w:val="en-US" w:eastAsia="zh-CN" w:bidi="ar-SA"/>
              </w:rPr>
            </w:sdtEndPr>
            <w:sdtContent>
              <w:r>
                <w:rPr>
                  <w:rFonts w:hint="eastAsia" w:ascii="黑体" w:hAnsi="黑体" w:eastAsia="黑体" w:cs="Times New Roman"/>
                  <w:b/>
                  <w:bCs/>
                </w:rPr>
                <w:t>第五部分 附表</w:t>
              </w:r>
            </w:sdtContent>
          </w:sdt>
          <w:r>
            <w:rPr>
              <w:b/>
              <w:bCs/>
            </w:rPr>
            <w:tab/>
          </w:r>
          <w:bookmarkStart w:id="15" w:name="_Toc1216322075_WPSOffice_Level1Page"/>
          <w:r>
            <w:rPr>
              <w:b/>
              <w:bCs/>
            </w:rPr>
            <w:t>7</w:t>
          </w:r>
          <w:bookmarkEnd w:id="15"/>
          <w:r>
            <w:rPr>
              <w:rFonts w:hint="eastAsia"/>
              <w:b/>
              <w:bCs/>
              <w:lang w:val="en-US" w:eastAsia="zh-CN"/>
            </w:rPr>
            <w:t>2</w:t>
          </w:r>
          <w:r>
            <w:rPr>
              <w:b/>
              <w:bCs/>
            </w:rPr>
            <w:fldChar w:fldCharType="end"/>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_Toc331856316_WPSOffice_Level2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d6388980-630a-4319-91a8-3666a28f5d1f}"/>
              </w:placeholder>
            </w:sdtPr>
            <w:sdtEndPr>
              <w:rPr>
                <w:rFonts w:ascii="Times New Roman" w:hAnsi="Times New Roman" w:eastAsia="宋体" w:cs="Times New Roman"/>
                <w:b/>
                <w:bCs/>
                <w:kern w:val="2"/>
                <w:sz w:val="32"/>
                <w:szCs w:val="32"/>
                <w:lang w:val="en-US" w:eastAsia="zh-CN" w:bidi="ar-SA"/>
              </w:rPr>
            </w:sdtEndPr>
            <w:sdtContent>
              <w:r>
                <w:rPr>
                  <w:rFonts w:hint="eastAsia" w:ascii="仿宋" w:hAnsi="仿宋" w:eastAsia="仿宋" w:cstheme="majorBidi"/>
                </w:rPr>
                <w:t>一、收入支出决算总表</w:t>
              </w:r>
            </w:sdtContent>
          </w:sdt>
          <w:r>
            <w:tab/>
          </w:r>
          <w:r>
            <w:rPr>
              <w:rFonts w:hint="eastAsia"/>
              <w:lang w:val="en-US" w:eastAsia="zh-CN"/>
            </w:rPr>
            <w:t>7</w:t>
          </w:r>
          <w:r>
            <w:fldChar w:fldCharType="end"/>
          </w:r>
          <w:r>
            <w:rPr>
              <w:rFonts w:hint="eastAsia"/>
              <w:lang w:val="en-US" w:eastAsia="zh-CN"/>
            </w:rPr>
            <w:t>2</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_Toc1201138488_WPSOffice_Level2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b32c13b3-6be5-4094-9ffe-c47b3a3c9702}"/>
              </w:placeholder>
            </w:sdtPr>
            <w:sdtEndPr>
              <w:rPr>
                <w:rFonts w:ascii="Times New Roman" w:hAnsi="Times New Roman" w:eastAsia="宋体" w:cs="Times New Roman"/>
                <w:b/>
                <w:bCs/>
                <w:kern w:val="2"/>
                <w:sz w:val="32"/>
                <w:szCs w:val="32"/>
                <w:lang w:val="en-US" w:eastAsia="zh-CN" w:bidi="ar-SA"/>
              </w:rPr>
            </w:sdtEndPr>
            <w:sdtContent>
              <w:r>
                <w:rPr>
                  <w:rFonts w:hint="eastAsia" w:ascii="仿宋" w:hAnsi="仿宋" w:eastAsia="仿宋" w:cstheme="majorBidi"/>
                </w:rPr>
                <w:t>二、收入决算表</w:t>
              </w:r>
            </w:sdtContent>
          </w:sdt>
          <w:r>
            <w:tab/>
          </w:r>
          <w:r>
            <w:rPr>
              <w:rFonts w:hint="eastAsia"/>
              <w:lang w:val="en-US" w:eastAsia="zh-CN"/>
            </w:rPr>
            <w:t>7</w:t>
          </w:r>
          <w:r>
            <w:fldChar w:fldCharType="end"/>
          </w:r>
          <w:r>
            <w:rPr>
              <w:rFonts w:hint="eastAsia"/>
              <w:lang w:val="en-US" w:eastAsia="zh-CN"/>
            </w:rPr>
            <w:t>2</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_Toc780694994_WPSOffice_Level2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33533652-a2be-444a-968b-724da452c347}"/>
              </w:placeholder>
            </w:sdtPr>
            <w:sdtEndPr>
              <w:rPr>
                <w:rFonts w:ascii="Times New Roman" w:hAnsi="Times New Roman" w:eastAsia="宋体" w:cs="Times New Roman"/>
                <w:b/>
                <w:bCs/>
                <w:kern w:val="2"/>
                <w:sz w:val="32"/>
                <w:szCs w:val="32"/>
                <w:lang w:val="en-US" w:eastAsia="zh-CN" w:bidi="ar-SA"/>
              </w:rPr>
            </w:sdtEndPr>
            <w:sdtContent>
              <w:r>
                <w:rPr>
                  <w:rFonts w:hint="eastAsia" w:ascii="仿宋" w:hAnsi="仿宋" w:eastAsia="仿宋" w:cstheme="majorBidi"/>
                </w:rPr>
                <w:t>三、支出决算表</w:t>
              </w:r>
            </w:sdtContent>
          </w:sdt>
          <w:r>
            <w:tab/>
          </w:r>
          <w:r>
            <w:rPr>
              <w:rFonts w:hint="eastAsia"/>
              <w:lang w:val="en-US" w:eastAsia="zh-CN"/>
            </w:rPr>
            <w:t>7</w:t>
          </w:r>
          <w:r>
            <w:fldChar w:fldCharType="end"/>
          </w:r>
          <w:r>
            <w:rPr>
              <w:rFonts w:hint="eastAsia"/>
              <w:lang w:val="en-US" w:eastAsia="zh-CN"/>
            </w:rPr>
            <w:t>2</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_Toc1624469251_WPSOffice_Level2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0558f77a-295e-406f-926f-c0c1c9d7de02}"/>
              </w:placeholder>
            </w:sdtPr>
            <w:sdtEndPr>
              <w:rPr>
                <w:rFonts w:ascii="Times New Roman" w:hAnsi="Times New Roman" w:eastAsia="宋体" w:cs="Times New Roman"/>
                <w:b/>
                <w:bCs/>
                <w:kern w:val="2"/>
                <w:sz w:val="32"/>
                <w:szCs w:val="32"/>
                <w:lang w:val="en-US" w:eastAsia="zh-CN" w:bidi="ar-SA"/>
              </w:rPr>
            </w:sdtEndPr>
            <w:sdtContent>
              <w:r>
                <w:rPr>
                  <w:rFonts w:hint="eastAsia" w:ascii="仿宋" w:hAnsi="仿宋" w:eastAsia="仿宋" w:cstheme="majorBidi"/>
                </w:rPr>
                <w:t>四、财政拨款收入支出决算总表</w:t>
              </w:r>
            </w:sdtContent>
          </w:sdt>
          <w:r>
            <w:tab/>
          </w:r>
          <w:r>
            <w:rPr>
              <w:rFonts w:hint="eastAsia"/>
              <w:lang w:val="en-US" w:eastAsia="zh-CN"/>
            </w:rPr>
            <w:t>7</w:t>
          </w:r>
          <w:r>
            <w:fldChar w:fldCharType="end"/>
          </w:r>
          <w:r>
            <w:rPr>
              <w:rFonts w:hint="eastAsia"/>
              <w:lang w:val="en-US" w:eastAsia="zh-CN"/>
            </w:rPr>
            <w:t>2</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_Toc979765250_WPSOffice_Level2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9a8111e7-6a87-4e5a-99a9-411535d39063}"/>
              </w:placeholder>
            </w:sdtPr>
            <w:sdtEndPr>
              <w:rPr>
                <w:rFonts w:ascii="Times New Roman" w:hAnsi="Times New Roman" w:eastAsia="宋体" w:cs="Times New Roman"/>
                <w:b/>
                <w:bCs/>
                <w:kern w:val="2"/>
                <w:sz w:val="32"/>
                <w:szCs w:val="32"/>
                <w:lang w:val="en-US" w:eastAsia="zh-CN" w:bidi="ar-SA"/>
              </w:rPr>
            </w:sdtEndPr>
            <w:sdtContent>
              <w:r>
                <w:rPr>
                  <w:rFonts w:hint="eastAsia" w:ascii="仿宋" w:hAnsi="仿宋" w:eastAsia="仿宋" w:cstheme="majorBidi"/>
                </w:rPr>
                <w:t>五、财政拨款支出决算明细表</w:t>
              </w:r>
            </w:sdtContent>
          </w:sdt>
          <w:r>
            <w:tab/>
          </w:r>
          <w:r>
            <w:rPr>
              <w:rFonts w:hint="eastAsia"/>
              <w:lang w:val="en-US" w:eastAsia="zh-CN"/>
            </w:rPr>
            <w:t>7</w:t>
          </w:r>
          <w:r>
            <w:fldChar w:fldCharType="end"/>
          </w:r>
          <w:r>
            <w:rPr>
              <w:rFonts w:hint="eastAsia"/>
              <w:lang w:val="en-US" w:eastAsia="zh-CN"/>
            </w:rPr>
            <w:t>2</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_Toc1004596628_WPSOffice_Level2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e57cd50d-6ca1-4c8c-9241-c6cd0bd0f870}"/>
              </w:placeholder>
            </w:sdtPr>
            <w:sdtEndPr>
              <w:rPr>
                <w:rFonts w:ascii="Times New Roman" w:hAnsi="Times New Roman" w:eastAsia="宋体" w:cs="Times New Roman"/>
                <w:b/>
                <w:bCs/>
                <w:kern w:val="2"/>
                <w:sz w:val="32"/>
                <w:szCs w:val="32"/>
                <w:lang w:val="en-US" w:eastAsia="zh-CN" w:bidi="ar-SA"/>
              </w:rPr>
            </w:sdtEndPr>
            <w:sdtContent>
              <w:r>
                <w:rPr>
                  <w:rFonts w:hint="eastAsia" w:ascii="仿宋" w:hAnsi="仿宋" w:eastAsia="仿宋" w:cstheme="majorBidi"/>
                </w:rPr>
                <w:t>六、一般公共预算财政拨款支出决算表</w:t>
              </w:r>
            </w:sdtContent>
          </w:sdt>
          <w:r>
            <w:tab/>
          </w:r>
          <w:r>
            <w:rPr>
              <w:rFonts w:hint="eastAsia"/>
              <w:lang w:val="en-US" w:eastAsia="zh-CN"/>
            </w:rPr>
            <w:t>7</w:t>
          </w:r>
          <w:r>
            <w:fldChar w:fldCharType="end"/>
          </w:r>
          <w:r>
            <w:rPr>
              <w:rFonts w:hint="eastAsia"/>
              <w:lang w:val="en-US" w:eastAsia="zh-CN"/>
            </w:rPr>
            <w:t>2</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_Toc1695046693_WPSOffice_Level2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c7cfc337-aca7-44d8-95a2-4ec9045fb735}"/>
              </w:placeholder>
            </w:sdtPr>
            <w:sdtEndPr>
              <w:rPr>
                <w:rFonts w:ascii="Times New Roman" w:hAnsi="Times New Roman" w:eastAsia="宋体" w:cs="Times New Roman"/>
                <w:b/>
                <w:bCs/>
                <w:kern w:val="2"/>
                <w:sz w:val="32"/>
                <w:szCs w:val="32"/>
                <w:lang w:val="en-US" w:eastAsia="zh-CN" w:bidi="ar-SA"/>
              </w:rPr>
            </w:sdtEndPr>
            <w:sdtContent>
              <w:r>
                <w:rPr>
                  <w:rFonts w:hint="eastAsia" w:ascii="仿宋" w:hAnsi="仿宋" w:eastAsia="仿宋" w:cstheme="majorBidi"/>
                </w:rPr>
                <w:t>七、一般公共预算财政拨款支出决算明细表</w:t>
              </w:r>
            </w:sdtContent>
          </w:sdt>
          <w:r>
            <w:tab/>
          </w:r>
          <w:r>
            <w:rPr>
              <w:rFonts w:hint="eastAsia"/>
              <w:lang w:val="en-US" w:eastAsia="zh-CN"/>
            </w:rPr>
            <w:t>7</w:t>
          </w:r>
          <w:r>
            <w:fldChar w:fldCharType="end"/>
          </w:r>
          <w:r>
            <w:rPr>
              <w:rFonts w:hint="eastAsia"/>
              <w:lang w:val="en-US" w:eastAsia="zh-CN"/>
            </w:rPr>
            <w:t>2</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_Toc561346158_WPSOffice_Level2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a4ed4ef3-a8e9-487f-a64e-bf9856964f87}"/>
              </w:placeholder>
            </w:sdtPr>
            <w:sdtEndPr>
              <w:rPr>
                <w:rFonts w:ascii="Times New Roman" w:hAnsi="Times New Roman" w:eastAsia="宋体" w:cs="Times New Roman"/>
                <w:b/>
                <w:bCs/>
                <w:kern w:val="2"/>
                <w:sz w:val="32"/>
                <w:szCs w:val="32"/>
                <w:lang w:val="en-US" w:eastAsia="zh-CN" w:bidi="ar-SA"/>
              </w:rPr>
            </w:sdtEndPr>
            <w:sdtContent>
              <w:r>
                <w:rPr>
                  <w:rFonts w:hint="eastAsia" w:ascii="仿宋" w:hAnsi="仿宋" w:eastAsia="仿宋" w:cstheme="majorBidi"/>
                </w:rPr>
                <w:t>八、一般公共预算财政拨款基本支出决算表</w:t>
              </w:r>
            </w:sdtContent>
          </w:sdt>
          <w:r>
            <w:tab/>
          </w:r>
          <w:r>
            <w:rPr>
              <w:rFonts w:hint="eastAsia"/>
              <w:lang w:val="en-US" w:eastAsia="zh-CN"/>
            </w:rPr>
            <w:t>7</w:t>
          </w:r>
          <w:r>
            <w:fldChar w:fldCharType="end"/>
          </w:r>
          <w:r>
            <w:rPr>
              <w:rFonts w:hint="eastAsia"/>
              <w:lang w:val="en-US" w:eastAsia="zh-CN"/>
            </w:rPr>
            <w:t>2</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_Toc1257962951_WPSOffice_Level2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220db443-ab00-4048-b841-b6ee6477a457}"/>
              </w:placeholder>
            </w:sdtPr>
            <w:sdtEndPr>
              <w:rPr>
                <w:rFonts w:ascii="Times New Roman" w:hAnsi="Times New Roman" w:eastAsia="宋体" w:cs="Times New Roman"/>
                <w:b/>
                <w:bCs/>
                <w:kern w:val="2"/>
                <w:sz w:val="32"/>
                <w:szCs w:val="32"/>
                <w:lang w:val="en-US" w:eastAsia="zh-CN" w:bidi="ar-SA"/>
              </w:rPr>
            </w:sdtEndPr>
            <w:sdtContent>
              <w:r>
                <w:rPr>
                  <w:rFonts w:hint="eastAsia" w:ascii="仿宋" w:hAnsi="仿宋" w:eastAsia="仿宋" w:cstheme="majorBidi"/>
                </w:rPr>
                <w:t>九、一般公共预算财政拨款项目支出决算表</w:t>
              </w:r>
            </w:sdtContent>
          </w:sdt>
          <w:r>
            <w:tab/>
          </w:r>
          <w:r>
            <w:rPr>
              <w:rFonts w:hint="eastAsia"/>
              <w:lang w:val="en-US" w:eastAsia="zh-CN"/>
            </w:rPr>
            <w:t>7</w:t>
          </w:r>
          <w:r>
            <w:fldChar w:fldCharType="end"/>
          </w:r>
          <w:r>
            <w:rPr>
              <w:rFonts w:hint="eastAsia"/>
              <w:lang w:val="en-US" w:eastAsia="zh-CN"/>
            </w:rPr>
            <w:t>2</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_Toc1887161561_WPSOffice_Level2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3fd7beef-1a91-4213-860d-b0cfdf3f2ae7}"/>
              </w:placeholder>
            </w:sdtPr>
            <w:sdtEndPr>
              <w:rPr>
                <w:rFonts w:ascii="Times New Roman" w:hAnsi="Times New Roman" w:eastAsia="宋体" w:cs="Times New Roman"/>
                <w:b/>
                <w:bCs/>
                <w:kern w:val="2"/>
                <w:sz w:val="32"/>
                <w:szCs w:val="32"/>
                <w:lang w:val="en-US" w:eastAsia="zh-CN" w:bidi="ar-SA"/>
              </w:rPr>
            </w:sdtEndPr>
            <w:sdtContent>
              <w:r>
                <w:rPr>
                  <w:rFonts w:hint="eastAsia" w:ascii="仿宋" w:hAnsi="仿宋" w:eastAsia="仿宋" w:cstheme="majorBidi"/>
                </w:rPr>
                <w:t>十、一般公共预算财政拨款“三公”经费支出决算表</w:t>
              </w:r>
            </w:sdtContent>
          </w:sdt>
          <w:r>
            <w:tab/>
          </w:r>
          <w:r>
            <w:rPr>
              <w:rFonts w:hint="eastAsia"/>
              <w:lang w:val="en-US" w:eastAsia="zh-CN"/>
            </w:rPr>
            <w:t>7</w:t>
          </w:r>
          <w:r>
            <w:fldChar w:fldCharType="end"/>
          </w:r>
          <w:r>
            <w:rPr>
              <w:rFonts w:hint="eastAsia"/>
              <w:lang w:val="en-US" w:eastAsia="zh-CN"/>
            </w:rPr>
            <w:t>2</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_Toc1775286435_WPSOffice_Level2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d34602aa-3716-45f1-bff0-7c704c6b86f3}"/>
              </w:placeholder>
            </w:sdtPr>
            <w:sdtEndPr>
              <w:rPr>
                <w:rFonts w:ascii="Times New Roman" w:hAnsi="Times New Roman" w:eastAsia="宋体" w:cs="Times New Roman"/>
                <w:b/>
                <w:bCs/>
                <w:kern w:val="2"/>
                <w:sz w:val="32"/>
                <w:szCs w:val="32"/>
                <w:lang w:val="en-US" w:eastAsia="zh-CN" w:bidi="ar-SA"/>
              </w:rPr>
            </w:sdtEndPr>
            <w:sdtContent>
              <w:r>
                <w:rPr>
                  <w:rFonts w:hint="eastAsia" w:ascii="仿宋" w:hAnsi="仿宋" w:eastAsia="仿宋" w:cstheme="majorBidi"/>
                </w:rPr>
                <w:t>十一、政府性基金预算财政拨款收入支出决算表</w:t>
              </w:r>
            </w:sdtContent>
          </w:sdt>
          <w:r>
            <w:tab/>
          </w:r>
          <w:r>
            <w:rPr>
              <w:rFonts w:hint="eastAsia"/>
              <w:lang w:val="en-US" w:eastAsia="zh-CN"/>
            </w:rPr>
            <w:t>7</w:t>
          </w:r>
          <w:r>
            <w:fldChar w:fldCharType="end"/>
          </w:r>
          <w:r>
            <w:rPr>
              <w:rFonts w:hint="eastAsia"/>
              <w:lang w:val="en-US" w:eastAsia="zh-CN"/>
            </w:rPr>
            <w:t>2</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_Toc1890553633_WPSOffice_Level2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3882b7a1-6481-4885-8c54-db2bb60703df}"/>
              </w:placeholder>
            </w:sdtPr>
            <w:sdtEndPr>
              <w:rPr>
                <w:rFonts w:ascii="Times New Roman" w:hAnsi="Times New Roman" w:eastAsia="宋体" w:cs="Times New Roman"/>
                <w:b/>
                <w:bCs/>
                <w:kern w:val="2"/>
                <w:sz w:val="32"/>
                <w:szCs w:val="32"/>
                <w:lang w:val="en-US" w:eastAsia="zh-CN" w:bidi="ar-SA"/>
              </w:rPr>
            </w:sdtEndPr>
            <w:sdtContent>
              <w:r>
                <w:rPr>
                  <w:rFonts w:hint="eastAsia" w:ascii="仿宋" w:hAnsi="仿宋" w:eastAsia="仿宋" w:cstheme="majorBidi"/>
                </w:rPr>
                <w:t>十二、政府性基金预算财政拨款“三公”经费支出决算表</w:t>
              </w:r>
            </w:sdtContent>
          </w:sdt>
          <w:r>
            <w:tab/>
          </w:r>
          <w:r>
            <w:rPr>
              <w:rFonts w:hint="eastAsia"/>
              <w:lang w:val="en-US" w:eastAsia="zh-CN"/>
            </w:rPr>
            <w:t>7</w:t>
          </w:r>
          <w:r>
            <w:fldChar w:fldCharType="end"/>
          </w:r>
          <w:r>
            <w:rPr>
              <w:rFonts w:hint="eastAsia"/>
              <w:lang w:val="en-US" w:eastAsia="zh-CN"/>
            </w:rPr>
            <w:t>2</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rPr>
              <w:rFonts w:hint="eastAsia" w:eastAsia="宋体"/>
              <w:lang w:val="en-US" w:eastAsia="zh-CN"/>
            </w:rPr>
          </w:pPr>
          <w:r>
            <w:fldChar w:fldCharType="begin"/>
          </w:r>
          <w:r>
            <w:instrText xml:space="preserve"> HYPERLINK \l _Toc625445479_WPSOffice_Level2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62db131d-e081-4b40-8235-883c5cf26d18}"/>
              </w:placeholder>
            </w:sdtPr>
            <w:sdtEndPr>
              <w:rPr>
                <w:rFonts w:ascii="Times New Roman" w:hAnsi="Times New Roman" w:eastAsia="宋体" w:cs="Times New Roman"/>
                <w:b/>
                <w:bCs/>
                <w:kern w:val="2"/>
                <w:sz w:val="32"/>
                <w:szCs w:val="32"/>
                <w:lang w:val="en-US" w:eastAsia="zh-CN" w:bidi="ar-SA"/>
              </w:rPr>
            </w:sdtEndPr>
            <w:sdtContent>
              <w:r>
                <w:rPr>
                  <w:rFonts w:hint="eastAsia" w:ascii="仿宋" w:hAnsi="仿宋" w:eastAsia="仿宋" w:cstheme="majorBidi"/>
                </w:rPr>
                <w:t>十三、国有资本经营预算财政拨款收入支出决算表</w:t>
              </w:r>
            </w:sdtContent>
          </w:sdt>
          <w:r>
            <w:tab/>
          </w:r>
          <w:r>
            <w:rPr>
              <w:rFonts w:hint="eastAsia"/>
              <w:lang w:val="en-US" w:eastAsia="zh-CN"/>
            </w:rPr>
            <w:t>7</w:t>
          </w:r>
          <w:r>
            <w:fldChar w:fldCharType="end"/>
          </w:r>
          <w:r>
            <w:rPr>
              <w:rFonts w:hint="eastAsia"/>
              <w:lang w:val="en-US" w:eastAsia="zh-CN"/>
            </w:rPr>
            <w:t>2</w:t>
          </w:r>
        </w:p>
        <w:p>
          <w:pPr>
            <w:pStyle w:val="35"/>
            <w:pageBreakBefore w:val="0"/>
            <w:tabs>
              <w:tab w:val="right" w:leader="dot" w:pos="8306"/>
            </w:tabs>
            <w:kinsoku/>
            <w:wordWrap/>
            <w:overflowPunct/>
            <w:topLinePunct w:val="0"/>
            <w:autoSpaceDE/>
            <w:autoSpaceDN/>
            <w:bidi w:val="0"/>
            <w:adjustRightInd/>
            <w:snapToGrid/>
            <w:spacing w:line="360" w:lineRule="exact"/>
            <w:textAlignment w:val="auto"/>
          </w:pPr>
          <w:r>
            <w:fldChar w:fldCharType="begin"/>
          </w:r>
          <w:r>
            <w:instrText xml:space="preserve"> HYPERLINK \l _Toc947270230_WPSOffice_Level2 </w:instrText>
          </w:r>
          <w:r>
            <w:fldChar w:fldCharType="separate"/>
          </w:r>
          <w:sdt>
            <w:sdtPr>
              <w:rPr>
                <w:rFonts w:ascii="Times New Roman" w:hAnsi="Times New Roman" w:eastAsia="宋体" w:cs="Times New Roman"/>
                <w:b/>
                <w:bCs/>
                <w:kern w:val="2"/>
                <w:sz w:val="32"/>
                <w:szCs w:val="32"/>
                <w:lang w:val="en-US" w:eastAsia="zh-CN" w:bidi="ar-SA"/>
              </w:rPr>
              <w:id w:val="67805542"/>
              <w:placeholder>
                <w:docPart w:val="{ceb21867-225b-4472-b244-2204599987f9}"/>
              </w:placeholder>
            </w:sdtPr>
            <w:sdtEndPr>
              <w:rPr>
                <w:rFonts w:ascii="Times New Roman" w:hAnsi="Times New Roman" w:eastAsia="宋体" w:cs="Times New Roman"/>
                <w:b/>
                <w:bCs/>
                <w:kern w:val="2"/>
                <w:sz w:val="32"/>
                <w:szCs w:val="32"/>
                <w:lang w:val="en-US" w:eastAsia="zh-CN" w:bidi="ar-SA"/>
              </w:rPr>
            </w:sdtEndPr>
            <w:sdtContent>
              <w:r>
                <w:rPr>
                  <w:rFonts w:hint="eastAsia" w:ascii="仿宋" w:hAnsi="仿宋" w:eastAsia="仿宋" w:cstheme="majorBidi"/>
                </w:rPr>
                <w:t>十四、国有资本经营预算财政拨款支出决算表</w:t>
              </w:r>
            </w:sdtContent>
          </w:sdt>
          <w:r>
            <w:tab/>
          </w:r>
          <w:r>
            <w:rPr>
              <w:rFonts w:hint="eastAsia"/>
              <w:lang w:val="en-US" w:eastAsia="zh-CN"/>
            </w:rPr>
            <w:t>7</w:t>
          </w:r>
          <w:r>
            <w:fldChar w:fldCharType="end"/>
          </w:r>
          <w:bookmarkEnd w:id="12"/>
          <w:r>
            <w:rPr>
              <w:rFonts w:hint="eastAsia"/>
              <w:lang w:val="en-US" w:eastAsia="zh-CN"/>
            </w:rPr>
            <w:t>2</w:t>
          </w:r>
        </w:p>
      </w:sdtContent>
    </w:sdt>
    <w:p>
      <w:pPr>
        <w:pStyle w:val="2"/>
        <w:pageBreakBefore w:val="0"/>
        <w:kinsoku/>
        <w:wordWrap/>
        <w:overflowPunct/>
        <w:topLinePunct w:val="0"/>
        <w:autoSpaceDE/>
        <w:autoSpaceDN/>
        <w:bidi w:val="0"/>
        <w:adjustRightInd/>
        <w:snapToGrid/>
        <w:spacing w:before="0" w:after="0" w:line="360" w:lineRule="exact"/>
        <w:textAlignment w:val="auto"/>
        <w:rPr>
          <w:rFonts w:hint="eastAsia"/>
          <w:lang w:eastAsia="zh-CN"/>
        </w:rPr>
      </w:pPr>
    </w:p>
    <w:p>
      <w:pPr>
        <w:pStyle w:val="3"/>
        <w:keepNext/>
        <w:keepLines/>
        <w:pageBreakBefore w:val="0"/>
        <w:widowControl w:val="0"/>
        <w:kinsoku/>
        <w:wordWrap/>
        <w:overflowPunct/>
        <w:topLinePunct w:val="0"/>
        <w:autoSpaceDE/>
        <w:autoSpaceDN/>
        <w:bidi w:val="0"/>
        <w:adjustRightInd/>
        <w:snapToGrid/>
        <w:spacing w:before="0" w:after="0" w:line="576" w:lineRule="exact"/>
        <w:jc w:val="center"/>
        <w:textAlignment w:val="auto"/>
        <w:rPr>
          <w:rFonts w:hint="eastAsia" w:ascii="黑体" w:hAnsi="黑体" w:eastAsia="黑体"/>
          <w:b w:val="0"/>
          <w:color w:val="auto"/>
          <w:highlight w:val="none"/>
        </w:rPr>
        <w:sectPr>
          <w:headerReference r:id="rId3" w:type="default"/>
          <w:pgSz w:w="11906" w:h="16838"/>
          <w:pgMar w:top="1440" w:right="1800" w:bottom="1440" w:left="1800" w:header="851" w:footer="992" w:gutter="0"/>
          <w:pgNumType w:fmt="decimal" w:start="1"/>
          <w:cols w:space="425" w:num="1"/>
          <w:titlePg/>
          <w:docGrid w:type="lines" w:linePitch="312" w:charSpace="0"/>
        </w:sectPr>
      </w:pPr>
      <w:bookmarkStart w:id="16" w:name="_Toc15396599"/>
      <w:bookmarkStart w:id="17" w:name="_Toc15377196"/>
      <w:bookmarkStart w:id="18" w:name="_Toc1448299956_WPSOffice_Level1"/>
    </w:p>
    <w:p>
      <w:pPr>
        <w:pStyle w:val="3"/>
        <w:keepNext/>
        <w:keepLines/>
        <w:pageBreakBefore w:val="0"/>
        <w:widowControl w:val="0"/>
        <w:kinsoku/>
        <w:wordWrap/>
        <w:overflowPunct/>
        <w:topLinePunct w:val="0"/>
        <w:autoSpaceDE/>
        <w:autoSpaceDN/>
        <w:bidi w:val="0"/>
        <w:adjustRightInd/>
        <w:snapToGrid/>
        <w:spacing w:before="0" w:after="0" w:line="576" w:lineRule="exact"/>
        <w:jc w:val="center"/>
        <w:textAlignment w:val="auto"/>
        <w:rPr>
          <w:rStyle w:val="19"/>
          <w:rFonts w:ascii="黑体" w:hAnsi="黑体" w:eastAsia="黑体"/>
          <w:b/>
          <w:bCs w:val="0"/>
          <w:color w:val="auto"/>
          <w:highlight w:val="none"/>
        </w:rPr>
      </w:pPr>
      <w:r>
        <w:rPr>
          <w:rFonts w:hint="eastAsia" w:ascii="黑体" w:hAnsi="黑体" w:eastAsia="黑体"/>
          <w:b w:val="0"/>
          <w:color w:val="auto"/>
          <w:highlight w:val="none"/>
        </w:rPr>
        <w:t xml:space="preserve">第一部分 </w:t>
      </w:r>
      <w:r>
        <w:rPr>
          <w:rStyle w:val="19"/>
          <w:rFonts w:hint="eastAsia" w:ascii="黑体" w:hAnsi="黑体" w:eastAsia="黑体"/>
          <w:b w:val="0"/>
          <w:bCs w:val="0"/>
          <w:color w:val="auto"/>
          <w:highlight w:val="none"/>
        </w:rPr>
        <w:t>部门概况</w:t>
      </w:r>
      <w:bookmarkEnd w:id="16"/>
      <w:bookmarkEnd w:id="17"/>
      <w:bookmarkEnd w:id="18"/>
    </w:p>
    <w:p>
      <w:pPr>
        <w:pStyle w:val="4"/>
        <w:keepNext/>
        <w:keepLines/>
        <w:pageBreakBefore w:val="0"/>
        <w:widowControl w:val="0"/>
        <w:kinsoku/>
        <w:wordWrap/>
        <w:overflowPunct/>
        <w:topLinePunct w:val="0"/>
        <w:autoSpaceDE/>
        <w:autoSpaceDN/>
        <w:bidi w:val="0"/>
        <w:adjustRightInd/>
        <w:snapToGrid/>
        <w:spacing w:before="0" w:after="0" w:line="576" w:lineRule="exact"/>
        <w:ind w:firstLine="640" w:firstLineChars="200"/>
        <w:textAlignment w:val="auto"/>
        <w:rPr>
          <w:rStyle w:val="20"/>
          <w:rFonts w:hint="eastAsia" w:ascii="黑体" w:hAnsi="黑体" w:eastAsia="黑体" w:cs="黑体"/>
          <w:b w:val="0"/>
          <w:bCs/>
          <w:color w:val="auto"/>
          <w:sz w:val="32"/>
          <w:szCs w:val="32"/>
          <w:highlight w:val="none"/>
        </w:rPr>
      </w:pPr>
      <w:bookmarkStart w:id="19" w:name="_Toc222704966_WPSOffice_Level2"/>
      <w:bookmarkStart w:id="20" w:name="_Toc15377197"/>
      <w:bookmarkStart w:id="21" w:name="_Toc15396600"/>
      <w:r>
        <w:rPr>
          <w:rFonts w:hint="eastAsia" w:ascii="黑体" w:hAnsi="黑体" w:eastAsia="黑体" w:cs="黑体"/>
          <w:b w:val="0"/>
          <w:bCs/>
          <w:color w:val="auto"/>
          <w:sz w:val="32"/>
          <w:szCs w:val="32"/>
          <w:highlight w:val="none"/>
        </w:rPr>
        <w:t>一、基</w:t>
      </w:r>
      <w:r>
        <w:rPr>
          <w:rStyle w:val="20"/>
          <w:rFonts w:hint="eastAsia" w:ascii="黑体" w:hAnsi="黑体" w:eastAsia="黑体" w:cs="黑体"/>
          <w:b w:val="0"/>
          <w:bCs/>
          <w:color w:val="auto"/>
          <w:sz w:val="32"/>
          <w:szCs w:val="32"/>
          <w:highlight w:val="none"/>
        </w:rPr>
        <w:t>本职能及主要工作</w:t>
      </w:r>
      <w:bookmarkEnd w:id="19"/>
      <w:bookmarkEnd w:id="20"/>
      <w:bookmarkEnd w:id="21"/>
      <w:bookmarkStart w:id="22" w:name="_Toc15377198"/>
      <w:bookmarkStart w:id="23" w:name="_Toc15378445"/>
    </w:p>
    <w:p>
      <w:pPr>
        <w:pStyle w:val="4"/>
        <w:keepNext/>
        <w:keepLines/>
        <w:pageBreakBefore w:val="0"/>
        <w:widowControl w:val="0"/>
        <w:kinsoku/>
        <w:wordWrap/>
        <w:overflowPunct/>
        <w:topLinePunct w:val="0"/>
        <w:autoSpaceDE/>
        <w:autoSpaceDN/>
        <w:bidi w:val="0"/>
        <w:adjustRightInd/>
        <w:snapToGrid/>
        <w:spacing w:before="0" w:after="0" w:line="576" w:lineRule="exact"/>
        <w:ind w:firstLine="640" w:firstLineChars="200"/>
        <w:textAlignment w:val="auto"/>
        <w:rPr>
          <w:rFonts w:hint="eastAsia" w:ascii="仿宋_GB2312" w:hAnsi="仿宋_GB2312" w:eastAsia="仿宋_GB2312" w:cs="仿宋_GB2312"/>
          <w:b w:val="0"/>
          <w:bCs/>
          <w:sz w:val="32"/>
          <w:szCs w:val="32"/>
        </w:rPr>
      </w:pPr>
      <w:r>
        <w:rPr>
          <w:rFonts w:hint="eastAsia" w:ascii="楷体_GB2312" w:hAnsi="楷体_GB2312" w:eastAsia="楷体_GB2312" w:cs="楷体_GB2312"/>
          <w:b w:val="0"/>
          <w:bCs/>
          <w:color w:val="auto"/>
          <w:sz w:val="32"/>
          <w:szCs w:val="32"/>
          <w:highlight w:val="none"/>
        </w:rPr>
        <w:t>（一）主要职能。</w:t>
      </w:r>
      <w:bookmarkEnd w:id="22"/>
      <w:bookmarkEnd w:id="23"/>
      <w:bookmarkStart w:id="24" w:name="_Toc15377199"/>
      <w:bookmarkStart w:id="25" w:name="_Toc15378446"/>
      <w:r>
        <w:rPr>
          <w:rFonts w:hint="eastAsia" w:ascii="仿宋_GB2312" w:hAnsi="仿宋_GB2312" w:eastAsia="仿宋_GB2312" w:cs="仿宋_GB2312"/>
          <w:b w:val="0"/>
          <w:bCs/>
          <w:sz w:val="32"/>
          <w:szCs w:val="32"/>
        </w:rPr>
        <w:t>2020年1月原广元市人民政府政务服务中心更名为广元市政务服务和公共资源交易中心，是广元市人民政府直属事业单位（参公管理），为正县级机构。主要职责：（1）贯彻实施政务服务和公共资源交易服务相关法律、法规和政策，为政务服务和公共资源交易活动提供场所、设施和服务。 （2）负责对进入市政务服务和公共资源交易中心的所有事项办理情况的指导监督和入驻单位窗口工作人员的日常管理。（3）负责实施市本级政务服务大厅标准化、规范化、便民化的建设和服务工作。负责入驻单位窗口服务事项清理、办事材料精简、服务流程优化、办事指南规范更新的指导和管理；负责入驻单位窗口为企业和群众开展全程代办、协办和上门服务、延时服务、预约服务；负责入驻单位窗口审批服务事项“一网办”“一门办”“一次办”的工作协调，开展优质服务。（4）负责一体化政务服务平台的运维工作。 （5）负责广元市公共资源交易信息中心的建设和管理。（6）负责全市12345政务服务热线的日常运行和管理。（7）负责对各县区、经济技术开发区政务服务和公共资源交易中心的业务指导。（8）负责全市重大投资项目联合审批的相关服务工作。（9）完成市委、市政府交办的其他任务</w:t>
      </w:r>
    </w:p>
    <w:p>
      <w:pPr>
        <w:pStyle w:val="6"/>
        <w:adjustRightInd w:val="0"/>
        <w:snapToGrid w:val="0"/>
        <w:spacing w:beforeLines="0" w:line="520" w:lineRule="exact"/>
        <w:ind w:firstLine="640" w:firstLineChars="200"/>
        <w:outlineLvl w:val="2"/>
        <w:rPr>
          <w:rFonts w:hint="eastAsia" w:hAnsi="仿宋"/>
          <w:bCs/>
          <w:color w:val="000000"/>
          <w:sz w:val="32"/>
          <w:szCs w:val="32"/>
        </w:rPr>
      </w:pPr>
      <w:r>
        <w:rPr>
          <w:rFonts w:hint="eastAsia" w:ascii="仿宋_GB2312" w:hAnsi="仿宋_GB2312" w:eastAsia="仿宋_GB2312" w:cs="仿宋_GB2312"/>
          <w:b w:val="0"/>
          <w:bCs/>
          <w:color w:val="000000"/>
          <w:sz w:val="32"/>
          <w:szCs w:val="32"/>
          <w:shd w:val="clear" w:color="auto" w:fill="FFFFFF"/>
          <w:lang w:val="zh-CN"/>
        </w:rPr>
        <w:t>广元市公共资源交易信息中心（市政府采购中心、市12345政务服务热线中心）为市政务服务和公共资源交易中心的直属事业单位，与市政务服务和公共资源交易中心一体化管理。主要职责：贯彻实施公共资源交易相关法律、法规和政策，为公共资源交易活动提供场所、设施和服务；制定</w:t>
      </w:r>
      <w:r>
        <w:rPr>
          <w:rFonts w:hint="eastAsia" w:hAnsi="宋体" w:cs="宋体"/>
          <w:color w:val="000000"/>
          <w:sz w:val="32"/>
          <w:szCs w:val="32"/>
          <w:shd w:val="clear" w:color="auto" w:fill="FFFFFF"/>
          <w:lang w:val="zh-CN"/>
        </w:rPr>
        <w:t>公共资源交易现场管理规章制度、工作流程并组织实施，指导全市公共资源交易活动现场和管理工作；承担全市工程建设招投标现场服务和管理工作，负责政府采购活动现场服务和管理工作，负责国有产权、特许经营权出（转）让等现场服务和管理工作，负责国有土地、矿业权出（转）让提供交易服务；承担市公共资源交易中心信息技术平台建设和管理，按照有关规定发布场内交易信息，为交易各方提供交易资讯、鉴证等服务；查验进场交易项目相关手续和参与交易活动各方主体资格；建立公共资源交易从业者场内信誉评价制度，协助有关部门建立公共资源交易信用评价体系；负责项目交易现场监督管理工作，记录、制止和纠正违反交易现场管理制度的行为，接受有关咨询、投诉，并按职责分工及时处理；承办市政府交办的其他事项。</w:t>
      </w:r>
    </w:p>
    <w:p>
      <w:pPr>
        <w:pStyle w:val="6"/>
        <w:adjustRightInd w:val="0"/>
        <w:snapToGrid w:val="0"/>
        <w:spacing w:before="93" w:line="600" w:lineRule="exact"/>
        <w:ind w:firstLine="672" w:firstLineChars="210"/>
        <w:outlineLvl w:val="2"/>
        <w:rPr>
          <w:rFonts w:hint="eastAsia" w:ascii="楷体_GB2312" w:hAnsi="楷体_GB2312" w:eastAsia="楷体_GB2312" w:cs="楷体_GB2312"/>
          <w:bCs/>
          <w:color w:val="auto"/>
          <w:sz w:val="32"/>
          <w:szCs w:val="32"/>
          <w:highlight w:val="none"/>
        </w:rPr>
      </w:pPr>
      <w:r>
        <w:rPr>
          <w:rFonts w:hint="eastAsia" w:ascii="楷体_GB2312" w:hAnsi="楷体_GB2312" w:eastAsia="楷体_GB2312" w:cs="楷体_GB2312"/>
          <w:bCs/>
          <w:color w:val="auto"/>
          <w:sz w:val="32"/>
          <w:szCs w:val="32"/>
          <w:highlight w:val="none"/>
        </w:rPr>
        <w:t>（二）20</w:t>
      </w:r>
      <w:r>
        <w:rPr>
          <w:rFonts w:hint="eastAsia" w:ascii="楷体_GB2312" w:hAnsi="楷体_GB2312" w:eastAsia="楷体_GB2312" w:cs="楷体_GB2312"/>
          <w:bCs/>
          <w:color w:val="auto"/>
          <w:sz w:val="32"/>
          <w:szCs w:val="32"/>
          <w:highlight w:val="none"/>
          <w:lang w:val="en-US" w:eastAsia="zh-CN"/>
        </w:rPr>
        <w:t>21</w:t>
      </w:r>
      <w:r>
        <w:rPr>
          <w:rFonts w:hint="eastAsia" w:ascii="楷体_GB2312" w:hAnsi="楷体_GB2312" w:eastAsia="楷体_GB2312" w:cs="楷体_GB2312"/>
          <w:bCs/>
          <w:color w:val="auto"/>
          <w:sz w:val="32"/>
          <w:szCs w:val="32"/>
          <w:highlight w:val="none"/>
        </w:rPr>
        <w:t>年重点工作完成情况。</w:t>
      </w:r>
      <w:bookmarkEnd w:id="24"/>
      <w:bookmarkEnd w:id="25"/>
    </w:p>
    <w:p>
      <w:pPr>
        <w:pStyle w:val="6"/>
        <w:pageBreakBefore w:val="0"/>
        <w:widowControl w:val="0"/>
        <w:kinsoku/>
        <w:wordWrap/>
        <w:overflowPunct/>
        <w:topLinePunct w:val="0"/>
        <w:autoSpaceDE/>
        <w:autoSpaceDN/>
        <w:bidi w:val="0"/>
        <w:adjustRightInd w:val="0"/>
        <w:snapToGrid w:val="0"/>
        <w:spacing w:beforeLines="0" w:line="576" w:lineRule="exact"/>
        <w:ind w:firstLine="640" w:firstLineChars="200"/>
        <w:textAlignment w:val="auto"/>
        <w:outlineLvl w:val="2"/>
        <w:rPr>
          <w:rFonts w:hint="eastAsia" w:hAnsi="宋体" w:cs="宋体"/>
          <w:color w:val="000000"/>
          <w:sz w:val="32"/>
          <w:szCs w:val="32"/>
          <w:shd w:val="clear" w:color="auto" w:fill="FFFFFF"/>
          <w:lang w:val="zh-CN"/>
        </w:rPr>
      </w:pPr>
      <w:r>
        <w:rPr>
          <w:rFonts w:hint="eastAsia" w:hAnsi="宋体" w:cs="宋体"/>
          <w:color w:val="000000"/>
          <w:sz w:val="32"/>
          <w:szCs w:val="32"/>
          <w:shd w:val="clear" w:color="auto" w:fill="FFFFFF"/>
          <w:lang w:val="zh-CN"/>
        </w:rPr>
        <w:t>1.整合市本级、利州区政务大厅同行业部门窗口，建立1个多功能服务中心、7个分类服务中心、12个服务区，开启了市、区同城一体化集成政务服务新模式。2.坚持“六个一”工作机制，常态化推进“一网通办”政务服务能力提升攻坚。2021年全省“一网通办”政务服务能力巩固提升成绩单，我市在全省市州中排第</w:t>
      </w:r>
      <w:r>
        <w:rPr>
          <w:rFonts w:hint="eastAsia" w:hAnsi="宋体" w:cs="宋体"/>
          <w:color w:val="000000"/>
          <w:sz w:val="32"/>
          <w:szCs w:val="32"/>
          <w:shd w:val="clear" w:color="auto" w:fill="FFFFFF"/>
          <w:lang w:val="zh-CN" w:eastAsia="zh-CN"/>
        </w:rPr>
        <w:t>二</w:t>
      </w:r>
      <w:r>
        <w:rPr>
          <w:rFonts w:hint="eastAsia" w:hAnsi="宋体" w:cs="宋体"/>
          <w:color w:val="000000"/>
          <w:sz w:val="32"/>
          <w:szCs w:val="32"/>
          <w:shd w:val="clear" w:color="auto" w:fill="FFFFFF"/>
          <w:lang w:val="zh-CN"/>
        </w:rPr>
        <w:t>位。3.持续优化政务服务，开设了帮办代办专窗，常态化开展现场领办、全程帮办、预约服务、延时服务、上门服务、邮递服务等。4.推进镇村便民服务体系建设。组织指导各县区梳理乡镇（街道）依申请政务服务事项平均115项、高频服务事项平均65项。5.积极推进机关党的建设</w:t>
      </w:r>
      <w:r>
        <w:rPr>
          <w:rFonts w:hint="eastAsia" w:hAnsi="宋体" w:cs="宋体"/>
          <w:color w:val="000000"/>
          <w:sz w:val="32"/>
          <w:szCs w:val="32"/>
          <w:shd w:val="clear" w:color="auto" w:fill="FFFFFF"/>
          <w:lang w:val="zh-CN" w:eastAsia="zh-CN"/>
        </w:rPr>
        <w:t>。</w:t>
      </w:r>
      <w:r>
        <w:rPr>
          <w:rFonts w:hint="eastAsia" w:hAnsi="宋体" w:cs="宋体"/>
          <w:color w:val="000000"/>
          <w:sz w:val="32"/>
          <w:szCs w:val="32"/>
          <w:shd w:val="clear" w:color="auto" w:fill="FFFFFF"/>
          <w:lang w:val="en-US" w:eastAsia="zh-CN"/>
        </w:rPr>
        <w:t>认真落实全面从严治党主体责任，党组书记认真履行第一责任人职责，党组班子成员严格落实“一岗双责”</w:t>
      </w:r>
      <w:r>
        <w:rPr>
          <w:rFonts w:hint="eastAsia" w:hAnsi="宋体" w:cs="宋体"/>
          <w:color w:val="000000"/>
          <w:sz w:val="32"/>
          <w:szCs w:val="32"/>
          <w:shd w:val="clear" w:color="auto" w:fill="FFFFFF"/>
          <w:lang w:val="zh-CN"/>
        </w:rPr>
        <w:t>。6.毫不松懈抓疫情防控，有效防范重大风险</w:t>
      </w:r>
      <w:r>
        <w:rPr>
          <w:rFonts w:hint="eastAsia" w:hAnsi="宋体" w:cs="宋体"/>
          <w:color w:val="000000"/>
          <w:sz w:val="32"/>
          <w:szCs w:val="32"/>
          <w:shd w:val="clear" w:color="auto" w:fill="FFFFFF"/>
          <w:lang w:val="zh-CN" w:eastAsia="zh-CN"/>
        </w:rPr>
        <w:t>。</w:t>
      </w:r>
    </w:p>
    <w:p>
      <w:pPr>
        <w:pStyle w:val="4"/>
        <w:pageBreakBefore w:val="0"/>
        <w:widowControl w:val="0"/>
        <w:kinsoku/>
        <w:wordWrap/>
        <w:overflowPunct/>
        <w:topLinePunct w:val="0"/>
        <w:autoSpaceDE/>
        <w:autoSpaceDN/>
        <w:bidi w:val="0"/>
        <w:spacing w:before="0" w:after="0" w:line="576" w:lineRule="exact"/>
        <w:ind w:firstLine="640" w:firstLineChars="200"/>
        <w:textAlignment w:val="auto"/>
        <w:rPr>
          <w:rStyle w:val="20"/>
          <w:b w:val="0"/>
          <w:bCs w:val="0"/>
          <w:color w:val="auto"/>
          <w:highlight w:val="none"/>
        </w:rPr>
      </w:pPr>
      <w:bookmarkStart w:id="26" w:name="_Toc15377200"/>
      <w:bookmarkStart w:id="27" w:name="_Toc1385557743_WPSOffice_Level2"/>
      <w:bookmarkStart w:id="28" w:name="_Toc15396601"/>
      <w:r>
        <w:rPr>
          <w:rFonts w:hint="eastAsia" w:ascii="黑体" w:eastAsia="黑体"/>
          <w:b w:val="0"/>
          <w:color w:val="auto"/>
          <w:highlight w:val="none"/>
        </w:rPr>
        <w:t>二、</w:t>
      </w:r>
      <w:r>
        <w:rPr>
          <w:rFonts w:hint="eastAsia" w:ascii="黑体" w:hAnsi="黑体" w:eastAsia="黑体"/>
          <w:b w:val="0"/>
          <w:color w:val="auto"/>
          <w:highlight w:val="none"/>
        </w:rPr>
        <w:t>机</w:t>
      </w:r>
      <w:r>
        <w:rPr>
          <w:rStyle w:val="20"/>
          <w:rFonts w:hint="eastAsia" w:ascii="黑体" w:hAnsi="黑体" w:eastAsia="黑体"/>
          <w:b w:val="0"/>
          <w:bCs w:val="0"/>
          <w:color w:val="auto"/>
          <w:highlight w:val="none"/>
        </w:rPr>
        <w:t>构设置</w:t>
      </w:r>
      <w:bookmarkEnd w:id="26"/>
      <w:bookmarkEnd w:id="27"/>
      <w:bookmarkEnd w:id="28"/>
    </w:p>
    <w:p>
      <w:pPr>
        <w:pageBreakBefore w:val="0"/>
        <w:widowControl w:val="0"/>
        <w:kinsoku/>
        <w:wordWrap/>
        <w:overflowPunct/>
        <w:topLinePunct w:val="0"/>
        <w:autoSpaceDE/>
        <w:autoSpaceDN/>
        <w:bidi w:val="0"/>
        <w:spacing w:line="576" w:lineRule="exact"/>
        <w:ind w:firstLine="640" w:firstLineChars="200"/>
        <w:textAlignment w:val="auto"/>
        <w:rPr>
          <w:rFonts w:hint="eastAsia" w:ascii="仿宋_GB2312" w:hAnsi="微软雅黑" w:eastAsia="仿宋_GB2312"/>
          <w:sz w:val="32"/>
          <w:szCs w:val="32"/>
        </w:rPr>
      </w:pPr>
      <w:r>
        <w:rPr>
          <w:rFonts w:hint="eastAsia" w:ascii="仿宋_GB2312" w:hAnsi="微软雅黑" w:eastAsia="仿宋_GB2312"/>
          <w:sz w:val="32"/>
          <w:szCs w:val="32"/>
        </w:rPr>
        <w:t>广元市政务服务和公共资源交易中心下属二级单位2个，其中参公事业单位1个，其他事业单位1个。</w:t>
      </w:r>
    </w:p>
    <w:p>
      <w:pPr>
        <w:pageBreakBefore w:val="0"/>
        <w:widowControl w:val="0"/>
        <w:kinsoku/>
        <w:wordWrap/>
        <w:overflowPunct/>
        <w:topLinePunct w:val="0"/>
        <w:autoSpaceDE/>
        <w:autoSpaceDN/>
        <w:bidi w:val="0"/>
        <w:spacing w:line="576" w:lineRule="exact"/>
        <w:ind w:firstLine="640" w:firstLineChars="200"/>
        <w:textAlignment w:val="auto"/>
        <w:rPr>
          <w:rFonts w:hint="eastAsia" w:ascii="仿宋_GB2312" w:hAnsi="微软雅黑" w:eastAsia="仿宋_GB2312"/>
          <w:sz w:val="32"/>
          <w:szCs w:val="32"/>
        </w:rPr>
      </w:pPr>
      <w:r>
        <w:rPr>
          <w:rFonts w:hint="eastAsia" w:ascii="仿宋_GB2312" w:hAnsi="微软雅黑" w:eastAsia="仿宋_GB2312"/>
          <w:sz w:val="32"/>
          <w:szCs w:val="32"/>
        </w:rPr>
        <w:t>纳入广元市政务服务和公共资源交易中心20</w:t>
      </w:r>
      <w:r>
        <w:rPr>
          <w:rFonts w:hint="eastAsia" w:ascii="仿宋_GB2312" w:hAnsi="微软雅黑" w:eastAsia="仿宋_GB2312"/>
          <w:sz w:val="32"/>
          <w:szCs w:val="32"/>
          <w:lang w:val="en-US" w:eastAsia="zh-CN"/>
        </w:rPr>
        <w:t>21</w:t>
      </w:r>
      <w:r>
        <w:rPr>
          <w:rFonts w:hint="eastAsia" w:ascii="仿宋_GB2312" w:hAnsi="微软雅黑" w:eastAsia="仿宋_GB2312"/>
          <w:sz w:val="32"/>
          <w:szCs w:val="32"/>
        </w:rPr>
        <w:t>年部门决算编制范围的二级预算单位包括：</w:t>
      </w:r>
    </w:p>
    <w:p>
      <w:pPr>
        <w:pageBreakBefore w:val="0"/>
        <w:widowControl w:val="0"/>
        <w:kinsoku/>
        <w:wordWrap/>
        <w:overflowPunct/>
        <w:topLinePunct w:val="0"/>
        <w:autoSpaceDE/>
        <w:autoSpaceDN/>
        <w:bidi w:val="0"/>
        <w:spacing w:line="576" w:lineRule="exact"/>
        <w:ind w:firstLine="640" w:firstLineChars="200"/>
        <w:textAlignment w:val="auto"/>
        <w:rPr>
          <w:rFonts w:hint="eastAsia" w:ascii="仿宋_GB2312" w:hAnsi="微软雅黑" w:eastAsia="仿宋_GB2312"/>
          <w:sz w:val="32"/>
          <w:szCs w:val="32"/>
          <w:lang w:eastAsia="zh-CN"/>
        </w:rPr>
      </w:pPr>
      <w:bookmarkStart w:id="29" w:name="_Toc867052071_WPSOffice_Level3"/>
      <w:r>
        <w:rPr>
          <w:rFonts w:hint="eastAsia" w:ascii="仿宋_GB2312" w:hAnsi="微软雅黑" w:eastAsia="仿宋_GB2312"/>
          <w:sz w:val="32"/>
          <w:szCs w:val="32"/>
        </w:rPr>
        <w:t>1. 广元市政务服务和公共资源交易中心</w:t>
      </w:r>
      <w:r>
        <w:rPr>
          <w:rFonts w:hint="eastAsia" w:ascii="仿宋_GB2312" w:hAnsi="微软雅黑" w:eastAsia="仿宋_GB2312"/>
          <w:sz w:val="32"/>
          <w:szCs w:val="32"/>
          <w:lang w:eastAsia="zh-CN"/>
        </w:rPr>
        <w:t>（本级）</w:t>
      </w:r>
      <w:bookmarkEnd w:id="29"/>
    </w:p>
    <w:p>
      <w:pPr>
        <w:pageBreakBefore w:val="0"/>
        <w:widowControl w:val="0"/>
        <w:kinsoku/>
        <w:wordWrap/>
        <w:overflowPunct/>
        <w:topLinePunct w:val="0"/>
        <w:autoSpaceDE/>
        <w:autoSpaceDN/>
        <w:bidi w:val="0"/>
        <w:spacing w:line="576" w:lineRule="exact"/>
        <w:ind w:firstLine="630"/>
        <w:textAlignment w:val="auto"/>
        <w:rPr>
          <w:rFonts w:hint="eastAsia" w:ascii="仿宋_GB2312" w:hAnsi="微软雅黑" w:eastAsia="仿宋_GB2312"/>
          <w:sz w:val="32"/>
          <w:szCs w:val="32"/>
        </w:rPr>
      </w:pPr>
      <w:bookmarkStart w:id="30" w:name="_Toc169185394_WPSOffice_Level3"/>
      <w:r>
        <w:rPr>
          <w:rFonts w:hint="eastAsia" w:ascii="仿宋_GB2312" w:hAnsi="微软雅黑" w:eastAsia="仿宋_GB2312"/>
          <w:sz w:val="32"/>
          <w:szCs w:val="32"/>
        </w:rPr>
        <w:t>2. 广元市公共资源交易信息中心</w:t>
      </w:r>
      <w:bookmarkEnd w:id="30"/>
    </w:p>
    <w:p>
      <w:pPr>
        <w:widowControl/>
        <w:jc w:val="left"/>
        <w:rPr>
          <w:rFonts w:ascii="仿宋" w:hAnsi="仿宋" w:eastAsia="仿宋"/>
          <w:color w:val="auto"/>
          <w:kern w:val="0"/>
          <w:sz w:val="32"/>
          <w:szCs w:val="32"/>
          <w:highlight w:val="none"/>
        </w:rPr>
      </w:pPr>
      <w:r>
        <w:rPr>
          <w:rFonts w:ascii="仿宋" w:hAnsi="仿宋" w:eastAsia="仿宋"/>
          <w:color w:val="auto"/>
          <w:sz w:val="32"/>
          <w:szCs w:val="32"/>
          <w:highlight w:val="none"/>
        </w:rPr>
        <w:br w:type="page"/>
      </w:r>
    </w:p>
    <w:p>
      <w:pPr>
        <w:pStyle w:val="3"/>
        <w:ind w:right="440"/>
        <w:jc w:val="center"/>
        <w:rPr>
          <w:rStyle w:val="19"/>
          <w:rFonts w:ascii="黑体" w:hAnsi="黑体" w:eastAsia="黑体"/>
          <w:b w:val="0"/>
          <w:bCs/>
          <w:color w:val="auto"/>
          <w:highlight w:val="none"/>
        </w:rPr>
      </w:pPr>
      <w:bookmarkStart w:id="31" w:name="_Toc15377204"/>
      <w:bookmarkStart w:id="32" w:name="_Toc222704966_WPSOffice_Level1"/>
      <w:bookmarkStart w:id="33" w:name="_Toc15396602"/>
      <w:r>
        <w:rPr>
          <w:rFonts w:hint="eastAsia" w:ascii="黑体" w:hAnsi="黑体" w:eastAsia="黑体"/>
          <w:b w:val="0"/>
          <w:bCs/>
          <w:color w:val="auto"/>
          <w:highlight w:val="none"/>
        </w:rPr>
        <w:t xml:space="preserve">第二部分 </w:t>
      </w:r>
      <w:r>
        <w:rPr>
          <w:rFonts w:hint="eastAsia" w:ascii="黑体" w:hAnsi="黑体" w:eastAsia="黑体"/>
          <w:b w:val="0"/>
          <w:bCs/>
          <w:color w:val="auto"/>
          <w:highlight w:val="none"/>
          <w:lang w:val="en-US" w:eastAsia="zh-CN"/>
        </w:rPr>
        <w:t>2021年度</w:t>
      </w:r>
      <w:r>
        <w:rPr>
          <w:rStyle w:val="19"/>
          <w:rFonts w:hint="eastAsia" w:ascii="黑体" w:hAnsi="黑体" w:eastAsia="黑体"/>
          <w:b w:val="0"/>
          <w:bCs/>
          <w:color w:val="auto"/>
          <w:highlight w:val="none"/>
        </w:rPr>
        <w:t>部门决算情况说明</w:t>
      </w:r>
      <w:bookmarkEnd w:id="31"/>
      <w:bookmarkEnd w:id="32"/>
      <w:bookmarkEnd w:id="33"/>
    </w:p>
    <w:p>
      <w:pPr>
        <w:rPr>
          <w:color w:val="auto"/>
          <w:highlight w:val="none"/>
        </w:rPr>
      </w:pPr>
    </w:p>
    <w:p>
      <w:pPr>
        <w:pStyle w:val="29"/>
        <w:numPr>
          <w:ilvl w:val="0"/>
          <w:numId w:val="1"/>
        </w:numPr>
        <w:spacing w:line="600" w:lineRule="exact"/>
        <w:ind w:firstLineChars="0"/>
        <w:outlineLvl w:val="1"/>
        <w:rPr>
          <w:rStyle w:val="20"/>
          <w:rFonts w:ascii="黑体" w:hAnsi="黑体" w:eastAsia="黑体"/>
          <w:b w:val="0"/>
          <w:color w:val="auto"/>
          <w:highlight w:val="none"/>
        </w:rPr>
      </w:pPr>
      <w:bookmarkStart w:id="34" w:name="_Toc1212522644_WPSOffice_Level2"/>
      <w:bookmarkStart w:id="35" w:name="_Toc15377205"/>
      <w:bookmarkStart w:id="36" w:name="_Toc15396603"/>
      <w:r>
        <w:rPr>
          <w:rFonts w:hint="eastAsia" w:ascii="黑体" w:hAnsi="黑体" w:eastAsia="黑体"/>
          <w:color w:val="auto"/>
          <w:sz w:val="32"/>
          <w:szCs w:val="32"/>
          <w:highlight w:val="none"/>
        </w:rPr>
        <w:t>收</w:t>
      </w:r>
      <w:r>
        <w:rPr>
          <w:rStyle w:val="20"/>
          <w:rFonts w:hint="eastAsia" w:ascii="黑体" w:hAnsi="黑体" w:eastAsia="黑体"/>
          <w:b w:val="0"/>
          <w:color w:val="auto"/>
          <w:highlight w:val="none"/>
        </w:rPr>
        <w:t>入支出决算总体情况说明</w:t>
      </w:r>
      <w:bookmarkEnd w:id="34"/>
      <w:bookmarkEnd w:id="35"/>
      <w:bookmarkEnd w:id="36"/>
    </w:p>
    <w:p>
      <w:pPr>
        <w:spacing w:line="60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年度收、支总计</w:t>
      </w:r>
      <w:r>
        <w:rPr>
          <w:rFonts w:hint="eastAsia" w:ascii="仿宋_GB2312" w:hAnsi="仿宋_GB2312" w:eastAsia="仿宋_GB2312" w:cs="仿宋_GB2312"/>
          <w:color w:val="auto"/>
          <w:sz w:val="32"/>
          <w:szCs w:val="32"/>
          <w:highlight w:val="none"/>
          <w:lang w:val="en-US" w:eastAsia="zh-CN"/>
        </w:rPr>
        <w:t>1956.25</w:t>
      </w:r>
      <w:r>
        <w:rPr>
          <w:rFonts w:hint="eastAsia" w:ascii="仿宋_GB2312" w:hAnsi="仿宋_GB2312" w:eastAsia="仿宋_GB2312" w:cs="仿宋_GB2312"/>
          <w:color w:val="auto"/>
          <w:sz w:val="32"/>
          <w:szCs w:val="32"/>
          <w:highlight w:val="none"/>
        </w:rPr>
        <w:t>万元。与20</w:t>
      </w:r>
      <w:r>
        <w:rPr>
          <w:rFonts w:hint="eastAsia" w:ascii="仿宋_GB2312" w:hAnsi="仿宋_GB2312" w:eastAsia="仿宋_GB2312" w:cs="仿宋_GB2312"/>
          <w:color w:val="auto"/>
          <w:sz w:val="32"/>
          <w:szCs w:val="32"/>
          <w:highlight w:val="none"/>
          <w:lang w:val="en-US" w:eastAsia="zh-CN"/>
        </w:rPr>
        <w:t>20</w:t>
      </w:r>
      <w:r>
        <w:rPr>
          <w:rFonts w:hint="eastAsia" w:ascii="仿宋_GB2312" w:hAnsi="仿宋_GB2312" w:eastAsia="仿宋_GB2312" w:cs="仿宋_GB2312"/>
          <w:color w:val="auto"/>
          <w:sz w:val="32"/>
          <w:szCs w:val="32"/>
          <w:highlight w:val="none"/>
        </w:rPr>
        <w:t>年相比，收、支总计各增加</w:t>
      </w:r>
      <w:r>
        <w:rPr>
          <w:rFonts w:hint="eastAsia" w:ascii="仿宋_GB2312" w:hAnsi="仿宋_GB2312" w:eastAsia="仿宋_GB2312" w:cs="仿宋_GB2312"/>
          <w:color w:val="auto"/>
          <w:sz w:val="32"/>
          <w:szCs w:val="32"/>
          <w:highlight w:val="none"/>
          <w:lang w:val="en-US" w:eastAsia="zh-CN"/>
        </w:rPr>
        <w:t>274.48</w:t>
      </w:r>
      <w:r>
        <w:rPr>
          <w:rFonts w:hint="eastAsia" w:ascii="仿宋_GB2312" w:hAnsi="仿宋_GB2312" w:eastAsia="仿宋_GB2312" w:cs="仿宋_GB2312"/>
          <w:color w:val="auto"/>
          <w:sz w:val="32"/>
          <w:szCs w:val="32"/>
          <w:highlight w:val="none"/>
        </w:rPr>
        <w:t>万元，增长</w:t>
      </w:r>
      <w:r>
        <w:rPr>
          <w:rFonts w:hint="eastAsia" w:ascii="仿宋_GB2312" w:hAnsi="仿宋_GB2312" w:eastAsia="仿宋_GB2312" w:cs="仿宋_GB2312"/>
          <w:color w:val="auto"/>
          <w:sz w:val="32"/>
          <w:szCs w:val="32"/>
          <w:highlight w:val="none"/>
          <w:lang w:val="en-US" w:eastAsia="zh-CN"/>
        </w:rPr>
        <w:t>16.32</w:t>
      </w:r>
      <w:r>
        <w:rPr>
          <w:rFonts w:hint="eastAsia" w:ascii="仿宋_GB2312" w:hAnsi="仿宋_GB2312" w:eastAsia="仿宋_GB2312" w:cs="仿宋_GB2312"/>
          <w:color w:val="auto"/>
          <w:sz w:val="32"/>
          <w:szCs w:val="32"/>
          <w:highlight w:val="none"/>
        </w:rPr>
        <w:t>%。主要变动原因是主要变动原因是</w:t>
      </w:r>
      <w:r>
        <w:rPr>
          <w:rFonts w:hint="eastAsia" w:ascii="仿宋_GB2312" w:hAnsi="仿宋_GB2312" w:eastAsia="仿宋_GB2312" w:cs="仿宋_GB2312"/>
          <w:sz w:val="32"/>
          <w:szCs w:val="32"/>
        </w:rPr>
        <w:t>2</w:t>
      </w:r>
      <w:r>
        <w:rPr>
          <w:rFonts w:hint="eastAsia" w:ascii="仿宋_GB2312" w:hAnsi="仿宋_GB2312" w:eastAsia="仿宋_GB2312" w:cs="仿宋_GB2312"/>
          <w:color w:val="auto"/>
          <w:sz w:val="32"/>
          <w:szCs w:val="32"/>
          <w:highlight w:val="none"/>
        </w:rPr>
        <w:t>021年度新增4个项目经费及增加一名参公编制人员</w:t>
      </w:r>
      <w:r>
        <w:rPr>
          <w:rFonts w:hint="eastAsia" w:ascii="仿宋_GB2312" w:hAnsi="仿宋_GB2312" w:eastAsia="仿宋_GB2312" w:cs="仿宋_GB2312"/>
          <w:color w:val="auto"/>
          <w:sz w:val="32"/>
          <w:szCs w:val="32"/>
          <w:highlight w:val="none"/>
          <w:lang w:eastAsia="zh-CN"/>
        </w:rPr>
        <w:t>。</w:t>
      </w:r>
    </w:p>
    <w:p>
      <w:pPr>
        <w:pStyle w:val="6"/>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drawing>
          <wp:inline distT="0" distB="0" distL="114300" distR="114300">
            <wp:extent cx="5080000" cy="3810000"/>
            <wp:effectExtent l="4445" t="4445" r="20955" b="14605"/>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spacing w:line="600" w:lineRule="exact"/>
        <w:ind w:firstLine="640" w:firstLineChars="200"/>
        <w:rPr>
          <w:rFonts w:hint="eastAsia" w:ascii="楷体_GB2312" w:hAnsi="楷体_GB2312" w:eastAsia="楷体_GB2312" w:cs="楷体_GB2312"/>
          <w:color w:val="auto"/>
          <w:sz w:val="32"/>
          <w:szCs w:val="32"/>
          <w:highlight w:val="none"/>
        </w:rPr>
      </w:pPr>
      <w:r>
        <w:rPr>
          <w:rFonts w:hint="eastAsia" w:ascii="楷体_GB2312" w:hAnsi="楷体_GB2312" w:eastAsia="楷体_GB2312" w:cs="楷体_GB2312"/>
          <w:color w:val="auto"/>
          <w:sz w:val="32"/>
          <w:szCs w:val="32"/>
          <w:highlight w:val="none"/>
        </w:rPr>
        <w:t>（图1：收、支决算总计变动情况图）</w:t>
      </w:r>
    </w:p>
    <w:p>
      <w:pPr>
        <w:pStyle w:val="29"/>
        <w:numPr>
          <w:ilvl w:val="0"/>
          <w:numId w:val="1"/>
        </w:numPr>
        <w:spacing w:line="600" w:lineRule="exact"/>
        <w:ind w:firstLineChars="0"/>
        <w:outlineLvl w:val="1"/>
        <w:rPr>
          <w:rStyle w:val="20"/>
          <w:rFonts w:ascii="黑体" w:hAnsi="黑体" w:eastAsia="黑体"/>
          <w:b w:val="0"/>
          <w:color w:val="auto"/>
          <w:highlight w:val="none"/>
        </w:rPr>
      </w:pPr>
      <w:bookmarkStart w:id="37" w:name="_Toc1216322075_WPSOffice_Level2"/>
      <w:bookmarkStart w:id="38" w:name="_Toc15396604"/>
      <w:bookmarkStart w:id="39" w:name="_Toc15377206"/>
      <w:r>
        <w:rPr>
          <w:rFonts w:hint="eastAsia" w:ascii="黑体" w:hAnsi="黑体" w:eastAsia="黑体"/>
          <w:color w:val="auto"/>
          <w:sz w:val="32"/>
          <w:szCs w:val="32"/>
          <w:highlight w:val="none"/>
        </w:rPr>
        <w:t>收</w:t>
      </w:r>
      <w:r>
        <w:rPr>
          <w:rStyle w:val="20"/>
          <w:rFonts w:hint="eastAsia" w:ascii="黑体" w:hAnsi="黑体" w:eastAsia="黑体"/>
          <w:b w:val="0"/>
          <w:color w:val="auto"/>
          <w:highlight w:val="none"/>
        </w:rPr>
        <w:t>入决算情况说明</w:t>
      </w:r>
      <w:bookmarkEnd w:id="37"/>
      <w:bookmarkEnd w:id="38"/>
      <w:bookmarkEnd w:id="39"/>
    </w:p>
    <w:p>
      <w:pPr>
        <w:spacing w:line="600" w:lineRule="exact"/>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年本年收入合计</w:t>
      </w:r>
      <w:r>
        <w:rPr>
          <w:rFonts w:hint="eastAsia" w:ascii="仿宋_GB2312" w:hAnsi="仿宋_GB2312" w:eastAsia="仿宋_GB2312" w:cs="仿宋_GB2312"/>
          <w:color w:val="auto"/>
          <w:sz w:val="32"/>
          <w:szCs w:val="32"/>
          <w:highlight w:val="none"/>
          <w:lang w:val="en-US" w:eastAsia="zh-CN"/>
        </w:rPr>
        <w:t>1669.4</w:t>
      </w:r>
      <w:r>
        <w:rPr>
          <w:rFonts w:hint="eastAsia" w:ascii="仿宋_GB2312" w:hAnsi="仿宋_GB2312" w:eastAsia="仿宋_GB2312" w:cs="仿宋_GB2312"/>
          <w:color w:val="auto"/>
          <w:sz w:val="32"/>
          <w:szCs w:val="32"/>
          <w:highlight w:val="none"/>
        </w:rPr>
        <w:t>万元，其中：一般公共预算财政拨款收入</w:t>
      </w:r>
      <w:r>
        <w:rPr>
          <w:rFonts w:hint="eastAsia" w:ascii="仿宋_GB2312" w:hAnsi="仿宋_GB2312" w:eastAsia="仿宋_GB2312" w:cs="仿宋_GB2312"/>
          <w:color w:val="auto"/>
          <w:sz w:val="32"/>
          <w:szCs w:val="32"/>
          <w:highlight w:val="none"/>
          <w:lang w:val="en-US" w:eastAsia="zh-CN"/>
        </w:rPr>
        <w:t>1669.4</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100</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w:t>
      </w:r>
    </w:p>
    <w:p>
      <w:pPr>
        <w:pStyle w:val="6"/>
        <w:rPr>
          <w:rFonts w:ascii="仿宋" w:hAnsi="仿宋" w:eastAsia="仿宋"/>
          <w:color w:val="auto"/>
          <w:sz w:val="32"/>
          <w:szCs w:val="32"/>
          <w:highlight w:val="none"/>
        </w:rPr>
      </w:pPr>
    </w:p>
    <w:p>
      <w:pPr>
        <w:pStyle w:val="6"/>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lang w:eastAsia="zh-CN"/>
        </w:rPr>
        <w:drawing>
          <wp:inline distT="0" distB="0" distL="114300" distR="114300">
            <wp:extent cx="5080000" cy="3810000"/>
            <wp:effectExtent l="4445" t="4445" r="20955" b="14605"/>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spacing w:line="600" w:lineRule="exact"/>
        <w:ind w:firstLine="960" w:firstLineChars="300"/>
        <w:rPr>
          <w:rFonts w:ascii="仿宋" w:hAnsi="仿宋" w:eastAsia="仿宋"/>
          <w:color w:val="auto"/>
          <w:sz w:val="32"/>
          <w:szCs w:val="32"/>
          <w:highlight w:val="none"/>
        </w:rPr>
      </w:pPr>
      <w:r>
        <w:rPr>
          <w:rFonts w:hint="eastAsia" w:ascii="楷体_GB2312" w:hAnsi="楷体_GB2312" w:eastAsia="楷体_GB2312" w:cs="楷体_GB2312"/>
          <w:color w:val="auto"/>
          <w:sz w:val="32"/>
          <w:szCs w:val="32"/>
          <w:highlight w:val="none"/>
        </w:rPr>
        <w:t>（图2：收入决算结构图）</w:t>
      </w:r>
    </w:p>
    <w:p>
      <w:pPr>
        <w:pStyle w:val="29"/>
        <w:numPr>
          <w:ilvl w:val="0"/>
          <w:numId w:val="1"/>
        </w:numPr>
        <w:spacing w:line="600" w:lineRule="exact"/>
        <w:ind w:firstLineChars="0"/>
        <w:outlineLvl w:val="1"/>
        <w:rPr>
          <w:rStyle w:val="20"/>
          <w:rFonts w:ascii="黑体" w:hAnsi="黑体" w:eastAsia="黑体"/>
          <w:b w:val="0"/>
          <w:color w:val="auto"/>
          <w:highlight w:val="none"/>
        </w:rPr>
      </w:pPr>
      <w:bookmarkStart w:id="40" w:name="_Toc15396605"/>
      <w:bookmarkStart w:id="41" w:name="_Toc15377207"/>
      <w:bookmarkStart w:id="42" w:name="_Toc1807486159_WPSOffice_Level2"/>
      <w:r>
        <w:rPr>
          <w:rFonts w:hint="eastAsia" w:ascii="黑体" w:hAnsi="黑体" w:eastAsia="黑体"/>
          <w:color w:val="auto"/>
          <w:sz w:val="32"/>
          <w:szCs w:val="32"/>
          <w:highlight w:val="none"/>
        </w:rPr>
        <w:t>支</w:t>
      </w:r>
      <w:r>
        <w:rPr>
          <w:rStyle w:val="20"/>
          <w:rFonts w:hint="eastAsia" w:ascii="黑体" w:hAnsi="黑体" w:eastAsia="黑体"/>
          <w:b w:val="0"/>
          <w:color w:val="auto"/>
          <w:highlight w:val="none"/>
        </w:rPr>
        <w:t>出决算情况说明</w:t>
      </w:r>
      <w:bookmarkEnd w:id="40"/>
      <w:bookmarkEnd w:id="41"/>
      <w:bookmarkEnd w:id="42"/>
    </w:p>
    <w:p>
      <w:pPr>
        <w:spacing w:line="60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年本年支出合计</w:t>
      </w:r>
      <w:r>
        <w:rPr>
          <w:rFonts w:hint="eastAsia" w:ascii="仿宋_GB2312" w:hAnsi="仿宋_GB2312" w:eastAsia="仿宋_GB2312" w:cs="仿宋_GB2312"/>
          <w:color w:val="auto"/>
          <w:sz w:val="32"/>
          <w:szCs w:val="32"/>
          <w:highlight w:val="none"/>
          <w:lang w:val="en-US" w:eastAsia="zh-CN"/>
        </w:rPr>
        <w:t>1649.25</w:t>
      </w:r>
      <w:r>
        <w:rPr>
          <w:rFonts w:hint="eastAsia" w:ascii="仿宋_GB2312" w:hAnsi="仿宋_GB2312" w:eastAsia="仿宋_GB2312" w:cs="仿宋_GB2312"/>
          <w:color w:val="auto"/>
          <w:sz w:val="32"/>
          <w:szCs w:val="32"/>
          <w:highlight w:val="none"/>
        </w:rPr>
        <w:t>万元，其中：基本支出</w:t>
      </w:r>
      <w:r>
        <w:rPr>
          <w:rFonts w:hint="eastAsia" w:ascii="仿宋_GB2312" w:hAnsi="仿宋_GB2312" w:eastAsia="仿宋_GB2312" w:cs="仿宋_GB2312"/>
          <w:color w:val="auto"/>
          <w:sz w:val="32"/>
          <w:szCs w:val="32"/>
          <w:highlight w:val="none"/>
          <w:lang w:val="en-US" w:eastAsia="zh-CN"/>
        </w:rPr>
        <w:t>571.76</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34.67</w:t>
      </w:r>
      <w:r>
        <w:rPr>
          <w:rFonts w:hint="eastAsia" w:ascii="仿宋_GB2312" w:hAnsi="仿宋_GB2312" w:eastAsia="仿宋_GB2312" w:cs="仿宋_GB2312"/>
          <w:color w:val="auto"/>
          <w:sz w:val="32"/>
          <w:szCs w:val="32"/>
          <w:highlight w:val="none"/>
        </w:rPr>
        <w:t>%；项目支出</w:t>
      </w:r>
      <w:r>
        <w:rPr>
          <w:rFonts w:hint="eastAsia" w:ascii="仿宋_GB2312" w:hAnsi="仿宋_GB2312" w:eastAsia="仿宋_GB2312" w:cs="仿宋_GB2312"/>
          <w:color w:val="auto"/>
          <w:sz w:val="32"/>
          <w:szCs w:val="32"/>
          <w:highlight w:val="none"/>
          <w:lang w:val="en-US" w:eastAsia="zh-CN"/>
        </w:rPr>
        <w:t>1077.49</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65.33</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w:t>
      </w:r>
    </w:p>
    <w:p>
      <w:pPr>
        <w:spacing w:line="600" w:lineRule="exact"/>
        <w:ind w:firstLine="640"/>
        <w:rPr>
          <w:rFonts w:ascii="仿宋" w:hAnsi="仿宋" w:eastAsia="仿宋"/>
          <w:color w:val="auto"/>
          <w:sz w:val="32"/>
          <w:szCs w:val="32"/>
          <w:highlight w:val="none"/>
          <w:shd w:val="pct10" w:color="auto" w:fill="FFFFFF"/>
        </w:rPr>
      </w:pPr>
    </w:p>
    <w:p>
      <w:pPr>
        <w:pStyle w:val="6"/>
        <w:rPr>
          <w:rFonts w:hint="eastAsia" w:ascii="仿宋" w:hAnsi="仿宋" w:eastAsia="仿宋"/>
          <w:color w:val="auto"/>
          <w:sz w:val="32"/>
          <w:szCs w:val="32"/>
          <w:highlight w:val="none"/>
          <w:shd w:val="pct10" w:color="auto" w:fill="FFFFFF"/>
          <w:lang w:eastAsia="zh-CN"/>
        </w:rPr>
      </w:pPr>
      <w:r>
        <w:rPr>
          <w:rFonts w:hint="eastAsia" w:ascii="仿宋" w:hAnsi="仿宋" w:eastAsia="仿宋"/>
          <w:color w:val="auto"/>
          <w:sz w:val="32"/>
          <w:szCs w:val="32"/>
          <w:highlight w:val="none"/>
          <w:shd w:val="pct10" w:color="auto" w:fill="FFFFFF"/>
          <w:lang w:eastAsia="zh-CN"/>
        </w:rPr>
        <w:drawing>
          <wp:inline distT="0" distB="0" distL="114300" distR="114300">
            <wp:extent cx="5080000" cy="3810000"/>
            <wp:effectExtent l="4445" t="4445" r="20955" b="1460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spacing w:line="600" w:lineRule="exact"/>
        <w:ind w:firstLine="640" w:firstLineChars="200"/>
        <w:rPr>
          <w:rFonts w:hint="eastAsia" w:ascii="楷体_GB2312" w:hAnsi="楷体_GB2312" w:eastAsia="楷体_GB2312" w:cs="楷体_GB2312"/>
          <w:color w:val="auto"/>
          <w:sz w:val="32"/>
          <w:szCs w:val="32"/>
          <w:highlight w:val="none"/>
        </w:rPr>
      </w:pPr>
      <w:r>
        <w:rPr>
          <w:rFonts w:hint="eastAsia" w:ascii="楷体_GB2312" w:hAnsi="楷体_GB2312" w:eastAsia="楷体_GB2312" w:cs="楷体_GB2312"/>
          <w:color w:val="auto"/>
          <w:sz w:val="32"/>
          <w:szCs w:val="32"/>
          <w:highlight w:val="none"/>
        </w:rPr>
        <w:t>（图3：支出决算结构图）</w:t>
      </w:r>
    </w:p>
    <w:p>
      <w:pPr>
        <w:spacing w:line="600" w:lineRule="exact"/>
        <w:ind w:firstLine="640" w:firstLineChars="200"/>
        <w:outlineLvl w:val="1"/>
        <w:rPr>
          <w:rStyle w:val="20"/>
          <w:rFonts w:ascii="黑体" w:hAnsi="黑体" w:eastAsia="黑体"/>
          <w:b w:val="0"/>
          <w:color w:val="auto"/>
          <w:highlight w:val="none"/>
        </w:rPr>
      </w:pPr>
      <w:bookmarkStart w:id="43" w:name="_Toc15377208"/>
      <w:bookmarkStart w:id="44" w:name="_Toc611086366_WPSOffice_Level2"/>
      <w:bookmarkStart w:id="45" w:name="_Toc15396606"/>
      <w:r>
        <w:rPr>
          <w:rFonts w:hint="eastAsia" w:ascii="黑体" w:hAnsi="黑体" w:eastAsia="黑体"/>
          <w:color w:val="auto"/>
          <w:sz w:val="32"/>
          <w:szCs w:val="32"/>
          <w:highlight w:val="none"/>
        </w:rPr>
        <w:t>四、财</w:t>
      </w:r>
      <w:r>
        <w:rPr>
          <w:rStyle w:val="20"/>
          <w:rFonts w:hint="eastAsia" w:ascii="黑体" w:hAnsi="黑体" w:eastAsia="黑体"/>
          <w:b w:val="0"/>
          <w:color w:val="auto"/>
          <w:highlight w:val="none"/>
        </w:rPr>
        <w:t>政拨款收入支出决算总体情况说明</w:t>
      </w:r>
      <w:bookmarkEnd w:id="43"/>
      <w:bookmarkEnd w:id="44"/>
      <w:bookmarkEnd w:id="45"/>
    </w:p>
    <w:p>
      <w:pPr>
        <w:spacing w:line="60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年财政拨款收、支总计</w:t>
      </w:r>
      <w:r>
        <w:rPr>
          <w:rFonts w:hint="eastAsia" w:ascii="仿宋_GB2312" w:hAnsi="仿宋_GB2312" w:eastAsia="仿宋_GB2312" w:cs="仿宋_GB2312"/>
          <w:color w:val="auto"/>
          <w:sz w:val="32"/>
          <w:szCs w:val="32"/>
          <w:highlight w:val="none"/>
          <w:lang w:val="en-US" w:eastAsia="zh-CN"/>
        </w:rPr>
        <w:t>1956.25</w:t>
      </w:r>
      <w:r>
        <w:rPr>
          <w:rFonts w:hint="eastAsia" w:ascii="仿宋_GB2312" w:hAnsi="仿宋_GB2312" w:eastAsia="仿宋_GB2312" w:cs="仿宋_GB2312"/>
          <w:color w:val="auto"/>
          <w:sz w:val="32"/>
          <w:szCs w:val="32"/>
          <w:highlight w:val="none"/>
        </w:rPr>
        <w:t>万元。与20</w:t>
      </w:r>
      <w:r>
        <w:rPr>
          <w:rFonts w:hint="eastAsia" w:ascii="仿宋_GB2312" w:hAnsi="仿宋_GB2312" w:eastAsia="仿宋_GB2312" w:cs="仿宋_GB2312"/>
          <w:color w:val="auto"/>
          <w:sz w:val="32"/>
          <w:szCs w:val="32"/>
          <w:highlight w:val="none"/>
          <w:lang w:val="en-US" w:eastAsia="zh-CN"/>
        </w:rPr>
        <w:t>20</w:t>
      </w:r>
      <w:r>
        <w:rPr>
          <w:rFonts w:hint="eastAsia" w:ascii="仿宋_GB2312" w:hAnsi="仿宋_GB2312" w:eastAsia="仿宋_GB2312" w:cs="仿宋_GB2312"/>
          <w:color w:val="auto"/>
          <w:sz w:val="32"/>
          <w:szCs w:val="32"/>
          <w:highlight w:val="none"/>
        </w:rPr>
        <w:t>年相比，财政拨款收、支总计各增加</w:t>
      </w:r>
      <w:r>
        <w:rPr>
          <w:rFonts w:hint="eastAsia" w:ascii="仿宋_GB2312" w:hAnsi="仿宋_GB2312" w:eastAsia="仿宋_GB2312" w:cs="仿宋_GB2312"/>
          <w:color w:val="auto"/>
          <w:sz w:val="32"/>
          <w:szCs w:val="32"/>
          <w:highlight w:val="none"/>
          <w:lang w:val="en-US" w:eastAsia="zh-CN"/>
        </w:rPr>
        <w:t>284.9</w:t>
      </w:r>
      <w:r>
        <w:rPr>
          <w:rFonts w:hint="eastAsia" w:ascii="仿宋_GB2312" w:hAnsi="仿宋_GB2312" w:eastAsia="仿宋_GB2312" w:cs="仿宋_GB2312"/>
          <w:color w:val="auto"/>
          <w:sz w:val="32"/>
          <w:szCs w:val="32"/>
          <w:highlight w:val="none"/>
        </w:rPr>
        <w:t>万元，增长</w:t>
      </w:r>
      <w:r>
        <w:rPr>
          <w:rFonts w:hint="eastAsia" w:ascii="仿宋_GB2312" w:hAnsi="仿宋_GB2312" w:eastAsia="仿宋_GB2312" w:cs="仿宋_GB2312"/>
          <w:color w:val="auto"/>
          <w:sz w:val="32"/>
          <w:szCs w:val="32"/>
          <w:highlight w:val="none"/>
          <w:lang w:val="en-US" w:eastAsia="zh-CN"/>
        </w:rPr>
        <w:t>17.05</w:t>
      </w:r>
      <w:r>
        <w:rPr>
          <w:rFonts w:hint="eastAsia" w:ascii="仿宋_GB2312" w:hAnsi="仿宋_GB2312" w:eastAsia="仿宋_GB2312" w:cs="仿宋_GB2312"/>
          <w:color w:val="auto"/>
          <w:sz w:val="32"/>
          <w:szCs w:val="32"/>
          <w:highlight w:val="none"/>
        </w:rPr>
        <w:t>%。主要变动原因是主要变动原因是主要变动原因是2021年度新增4个项目经费及增加一名参公编制人员</w:t>
      </w:r>
      <w:r>
        <w:rPr>
          <w:rFonts w:hint="eastAsia" w:ascii="仿宋_GB2312" w:hAnsi="仿宋_GB2312" w:eastAsia="仿宋_GB2312" w:cs="仿宋_GB2312"/>
          <w:color w:val="auto"/>
          <w:sz w:val="32"/>
          <w:szCs w:val="32"/>
          <w:highlight w:val="none"/>
          <w:lang w:eastAsia="zh-CN"/>
        </w:rPr>
        <w:t>。</w:t>
      </w:r>
    </w:p>
    <w:p>
      <w:pPr>
        <w:spacing w:line="600" w:lineRule="exact"/>
        <w:rPr>
          <w:rFonts w:ascii="仿宋" w:hAnsi="仿宋" w:eastAsia="仿宋"/>
          <w:color w:val="auto"/>
          <w:sz w:val="32"/>
          <w:szCs w:val="32"/>
          <w:highlight w:val="none"/>
        </w:rPr>
      </w:pPr>
    </w:p>
    <w:p>
      <w:pPr>
        <w:pStyle w:val="6"/>
        <w:rPr>
          <w:rFonts w:hint="eastAsia" w:ascii="仿宋" w:hAnsi="仿宋" w:eastAsia="仿宋"/>
          <w:color w:val="auto"/>
          <w:sz w:val="32"/>
          <w:szCs w:val="32"/>
          <w:highlight w:val="none"/>
          <w:lang w:eastAsia="zh-CN"/>
        </w:rPr>
      </w:pPr>
      <w:r>
        <w:rPr>
          <w:rFonts w:hint="eastAsia" w:ascii="仿宋" w:hAnsi="仿宋" w:eastAsia="仿宋"/>
          <w:color w:val="auto"/>
          <w:sz w:val="32"/>
          <w:szCs w:val="32"/>
          <w:highlight w:val="none"/>
          <w:lang w:eastAsia="zh-CN"/>
        </w:rPr>
        <w:drawing>
          <wp:inline distT="0" distB="0" distL="114300" distR="114300">
            <wp:extent cx="5080000" cy="3571875"/>
            <wp:effectExtent l="4445" t="4445" r="20955" b="508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spacing w:line="600" w:lineRule="exact"/>
        <w:ind w:firstLine="320" w:firstLineChars="100"/>
        <w:rPr>
          <w:rFonts w:hint="eastAsia" w:ascii="楷体_GB2312" w:hAnsi="楷体_GB2312" w:eastAsia="楷体_GB2312" w:cs="楷体_GB2312"/>
          <w:color w:val="auto"/>
          <w:sz w:val="32"/>
          <w:szCs w:val="32"/>
          <w:highlight w:val="none"/>
        </w:rPr>
      </w:pPr>
      <w:r>
        <w:rPr>
          <w:rFonts w:hint="eastAsia" w:ascii="楷体_GB2312" w:hAnsi="楷体_GB2312" w:eastAsia="楷体_GB2312" w:cs="楷体_GB2312"/>
          <w:color w:val="auto"/>
          <w:sz w:val="32"/>
          <w:szCs w:val="32"/>
          <w:highlight w:val="none"/>
        </w:rPr>
        <w:t>（图4：财政拨款收、支决算总计变动情况）</w:t>
      </w:r>
    </w:p>
    <w:p>
      <w:pPr>
        <w:spacing w:line="600" w:lineRule="exact"/>
        <w:ind w:firstLine="640" w:firstLineChars="200"/>
        <w:outlineLvl w:val="1"/>
        <w:rPr>
          <w:rStyle w:val="20"/>
          <w:rFonts w:ascii="黑体" w:hAnsi="黑体" w:eastAsia="黑体"/>
          <w:b w:val="0"/>
          <w:color w:val="auto"/>
          <w:highlight w:val="none"/>
        </w:rPr>
      </w:pPr>
      <w:bookmarkStart w:id="46" w:name="_Toc925448154_WPSOffice_Level2"/>
      <w:bookmarkStart w:id="47" w:name="_Toc15396607"/>
      <w:bookmarkStart w:id="48" w:name="_Toc15377209"/>
      <w:r>
        <w:rPr>
          <w:rFonts w:hint="eastAsia" w:ascii="黑体" w:hAnsi="黑体" w:eastAsia="黑体"/>
          <w:color w:val="auto"/>
          <w:sz w:val="32"/>
          <w:szCs w:val="32"/>
          <w:highlight w:val="none"/>
        </w:rPr>
        <w:t>五、</w:t>
      </w:r>
      <w:r>
        <w:rPr>
          <w:rFonts w:hint="eastAsia" w:ascii="黑体" w:hAnsi="黑体" w:eastAsia="黑体"/>
          <w:b/>
          <w:color w:val="auto"/>
          <w:sz w:val="32"/>
          <w:szCs w:val="32"/>
          <w:highlight w:val="none"/>
        </w:rPr>
        <w:t>一</w:t>
      </w:r>
      <w:r>
        <w:rPr>
          <w:rStyle w:val="20"/>
          <w:rFonts w:hint="eastAsia" w:ascii="黑体" w:hAnsi="黑体" w:eastAsia="黑体"/>
          <w:b w:val="0"/>
          <w:color w:val="auto"/>
          <w:highlight w:val="none"/>
        </w:rPr>
        <w:t>般公共预算财政拨款支出决算情况说明</w:t>
      </w:r>
      <w:bookmarkEnd w:id="46"/>
      <w:bookmarkEnd w:id="47"/>
      <w:bookmarkEnd w:id="48"/>
    </w:p>
    <w:p>
      <w:pPr>
        <w:spacing w:line="600" w:lineRule="exact"/>
        <w:ind w:firstLine="643" w:firstLineChars="200"/>
        <w:outlineLvl w:val="2"/>
        <w:rPr>
          <w:rFonts w:ascii="仿宋" w:hAnsi="仿宋" w:eastAsia="仿宋"/>
          <w:b/>
          <w:color w:val="auto"/>
          <w:sz w:val="32"/>
          <w:szCs w:val="32"/>
          <w:highlight w:val="none"/>
        </w:rPr>
      </w:pPr>
      <w:bookmarkStart w:id="49" w:name="_Toc15377210"/>
      <w:r>
        <w:rPr>
          <w:rFonts w:hint="eastAsia" w:ascii="楷体_GB2312" w:hAnsi="楷体_GB2312" w:eastAsia="楷体_GB2312" w:cs="楷体_GB2312"/>
          <w:b/>
          <w:color w:val="auto"/>
          <w:sz w:val="32"/>
          <w:szCs w:val="32"/>
          <w:highlight w:val="none"/>
        </w:rPr>
        <w:t>（一）一般公共预算财政拨款支出决算总体情况</w:t>
      </w:r>
      <w:bookmarkEnd w:id="49"/>
    </w:p>
    <w:p>
      <w:pPr>
        <w:spacing w:line="600" w:lineRule="exact"/>
        <w:ind w:firstLine="640" w:firstLineChars="200"/>
        <w:rPr>
          <w:rFonts w:hint="eastAsia" w:ascii="宋体" w:hAnsi="宋体" w:eastAsia="宋体" w:cs="宋体"/>
          <w:sz w:val="30"/>
          <w:szCs w:val="30"/>
          <w:lang w:val="en-US" w:eastAsia="zh-CN"/>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年一般公共预算财政拨款支出</w:t>
      </w:r>
      <w:r>
        <w:rPr>
          <w:rFonts w:hint="eastAsia" w:ascii="仿宋_GB2312" w:hAnsi="仿宋_GB2312" w:eastAsia="仿宋_GB2312" w:cs="仿宋_GB2312"/>
          <w:color w:val="auto"/>
          <w:sz w:val="32"/>
          <w:szCs w:val="32"/>
          <w:highlight w:val="none"/>
          <w:lang w:val="en-US" w:eastAsia="zh-CN"/>
        </w:rPr>
        <w:t>1649.25</w:t>
      </w:r>
      <w:r>
        <w:rPr>
          <w:rFonts w:hint="eastAsia" w:ascii="仿宋_GB2312" w:hAnsi="仿宋_GB2312" w:eastAsia="仿宋_GB2312" w:cs="仿宋_GB2312"/>
          <w:color w:val="auto"/>
          <w:sz w:val="32"/>
          <w:szCs w:val="32"/>
          <w:highlight w:val="none"/>
        </w:rPr>
        <w:t>万元，占本年支出合计的</w:t>
      </w:r>
      <w:r>
        <w:rPr>
          <w:rFonts w:hint="eastAsia" w:ascii="仿宋_GB2312" w:hAnsi="仿宋_GB2312" w:eastAsia="仿宋_GB2312" w:cs="仿宋_GB2312"/>
          <w:color w:val="auto"/>
          <w:sz w:val="32"/>
          <w:szCs w:val="32"/>
          <w:highlight w:val="none"/>
          <w:lang w:val="en-US" w:eastAsia="zh-CN"/>
        </w:rPr>
        <w:t>100</w:t>
      </w:r>
      <w:r>
        <w:rPr>
          <w:rFonts w:hint="eastAsia" w:ascii="仿宋_GB2312" w:hAnsi="仿宋_GB2312" w:eastAsia="仿宋_GB2312" w:cs="仿宋_GB2312"/>
          <w:color w:val="auto"/>
          <w:sz w:val="32"/>
          <w:szCs w:val="32"/>
          <w:highlight w:val="none"/>
        </w:rPr>
        <w:t>%。与20</w:t>
      </w:r>
      <w:r>
        <w:rPr>
          <w:rFonts w:hint="eastAsia" w:ascii="仿宋_GB2312" w:hAnsi="仿宋_GB2312" w:eastAsia="仿宋_GB2312" w:cs="仿宋_GB2312"/>
          <w:color w:val="auto"/>
          <w:sz w:val="32"/>
          <w:szCs w:val="32"/>
          <w:highlight w:val="none"/>
          <w:lang w:val="en-US" w:eastAsia="zh-CN"/>
        </w:rPr>
        <w:t>20</w:t>
      </w:r>
      <w:r>
        <w:rPr>
          <w:rFonts w:hint="eastAsia" w:ascii="仿宋_GB2312" w:hAnsi="仿宋_GB2312" w:eastAsia="仿宋_GB2312" w:cs="仿宋_GB2312"/>
          <w:color w:val="auto"/>
          <w:sz w:val="32"/>
          <w:szCs w:val="32"/>
          <w:highlight w:val="none"/>
        </w:rPr>
        <w:t>年相比，一般公共预算财政拨款</w:t>
      </w:r>
      <w:r>
        <w:rPr>
          <w:rFonts w:hint="eastAsia" w:ascii="仿宋_GB2312" w:hAnsi="仿宋_GB2312" w:eastAsia="仿宋_GB2312" w:cs="仿宋_GB2312"/>
          <w:color w:val="auto"/>
          <w:sz w:val="32"/>
          <w:szCs w:val="32"/>
          <w:highlight w:val="none"/>
          <w:lang w:eastAsia="zh-CN"/>
        </w:rPr>
        <w:t>支出</w:t>
      </w:r>
      <w:r>
        <w:rPr>
          <w:rFonts w:hint="eastAsia" w:ascii="仿宋_GB2312" w:hAnsi="仿宋_GB2312" w:eastAsia="仿宋_GB2312" w:cs="仿宋_GB2312"/>
          <w:color w:val="auto"/>
          <w:sz w:val="32"/>
          <w:szCs w:val="32"/>
          <w:highlight w:val="none"/>
        </w:rPr>
        <w:t>增加</w:t>
      </w:r>
      <w:r>
        <w:rPr>
          <w:rFonts w:hint="eastAsia" w:ascii="仿宋_GB2312" w:hAnsi="仿宋_GB2312" w:eastAsia="仿宋_GB2312" w:cs="仿宋_GB2312"/>
          <w:color w:val="auto"/>
          <w:sz w:val="32"/>
          <w:szCs w:val="32"/>
          <w:highlight w:val="none"/>
          <w:lang w:val="en-US" w:eastAsia="zh-CN"/>
        </w:rPr>
        <w:t>288.55</w:t>
      </w:r>
      <w:r>
        <w:rPr>
          <w:rFonts w:hint="eastAsia" w:ascii="仿宋_GB2312" w:hAnsi="仿宋_GB2312" w:eastAsia="仿宋_GB2312" w:cs="仿宋_GB2312"/>
          <w:color w:val="auto"/>
          <w:sz w:val="32"/>
          <w:szCs w:val="32"/>
          <w:highlight w:val="none"/>
        </w:rPr>
        <w:t>万元，增长</w:t>
      </w:r>
      <w:r>
        <w:rPr>
          <w:rFonts w:hint="eastAsia" w:ascii="仿宋_GB2312" w:hAnsi="仿宋_GB2312" w:eastAsia="仿宋_GB2312" w:cs="仿宋_GB2312"/>
          <w:color w:val="auto"/>
          <w:sz w:val="32"/>
          <w:szCs w:val="32"/>
          <w:highlight w:val="none"/>
          <w:lang w:val="en-US" w:eastAsia="zh-CN"/>
        </w:rPr>
        <w:t>21.21</w:t>
      </w:r>
      <w:r>
        <w:rPr>
          <w:rFonts w:hint="eastAsia" w:ascii="仿宋_GB2312" w:hAnsi="仿宋_GB2312" w:eastAsia="仿宋_GB2312" w:cs="仿宋_GB2312"/>
          <w:color w:val="auto"/>
          <w:sz w:val="32"/>
          <w:szCs w:val="32"/>
          <w:highlight w:val="none"/>
        </w:rPr>
        <w:t>%。主要变动原因原因是2021年度新增4个项目经费及增加一名参公编制人员</w:t>
      </w:r>
      <w:r>
        <w:rPr>
          <w:rFonts w:hint="eastAsia" w:ascii="仿宋_GB2312" w:hAnsi="仿宋_GB2312" w:eastAsia="仿宋_GB2312" w:cs="仿宋_GB2312"/>
          <w:color w:val="auto"/>
          <w:sz w:val="32"/>
          <w:szCs w:val="32"/>
          <w:highlight w:val="none"/>
          <w:lang w:eastAsia="zh-CN"/>
        </w:rPr>
        <w:t>。</w:t>
      </w:r>
    </w:p>
    <w:p>
      <w:pPr>
        <w:pStyle w:val="6"/>
        <w:rPr>
          <w:rFonts w:hint="eastAsia" w:ascii="宋体" w:hAnsi="宋体" w:eastAsia="宋体" w:cs="宋体"/>
          <w:sz w:val="30"/>
          <w:szCs w:val="30"/>
          <w:lang w:val="en-US" w:eastAsia="zh-CN"/>
        </w:rPr>
      </w:pPr>
      <w:r>
        <w:drawing>
          <wp:inline distT="0" distB="0" distL="114300" distR="114300">
            <wp:extent cx="4572000" cy="2743200"/>
            <wp:effectExtent l="4445" t="4445" r="14605" b="14605"/>
            <wp:docPr id="1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spacing w:line="600" w:lineRule="exact"/>
        <w:ind w:firstLine="640" w:firstLineChars="200"/>
        <w:rPr>
          <w:rFonts w:hint="eastAsia" w:ascii="楷体_GB2312" w:hAnsi="楷体_GB2312" w:eastAsia="楷体_GB2312" w:cs="楷体_GB2312"/>
          <w:color w:val="auto"/>
          <w:sz w:val="32"/>
          <w:szCs w:val="32"/>
          <w:highlight w:val="none"/>
        </w:rPr>
      </w:pPr>
      <w:r>
        <w:rPr>
          <w:rFonts w:hint="eastAsia" w:ascii="楷体_GB2312" w:hAnsi="楷体_GB2312" w:eastAsia="楷体_GB2312" w:cs="楷体_GB2312"/>
          <w:color w:val="auto"/>
          <w:sz w:val="32"/>
          <w:szCs w:val="32"/>
          <w:highlight w:val="none"/>
        </w:rPr>
        <w:t>（图5：一般公共预算财政拨款支出决算变动情况）</w:t>
      </w:r>
    </w:p>
    <w:p>
      <w:pPr>
        <w:spacing w:line="600" w:lineRule="exact"/>
        <w:ind w:firstLine="643" w:firstLineChars="200"/>
        <w:outlineLvl w:val="2"/>
        <w:rPr>
          <w:rFonts w:hint="eastAsia" w:ascii="楷体_GB2312" w:hAnsi="楷体_GB2312" w:eastAsia="楷体_GB2312" w:cs="楷体_GB2312"/>
          <w:b/>
          <w:color w:val="auto"/>
          <w:sz w:val="32"/>
          <w:szCs w:val="32"/>
          <w:highlight w:val="none"/>
        </w:rPr>
      </w:pPr>
      <w:bookmarkStart w:id="50" w:name="_Toc15377211"/>
      <w:r>
        <w:rPr>
          <w:rFonts w:hint="eastAsia" w:ascii="楷体_GB2312" w:hAnsi="楷体_GB2312" w:eastAsia="楷体_GB2312" w:cs="楷体_GB2312"/>
          <w:b/>
          <w:color w:val="auto"/>
          <w:sz w:val="32"/>
          <w:szCs w:val="32"/>
          <w:highlight w:val="none"/>
        </w:rPr>
        <w:t>（二）一般公共预算财政拨款支出决算结构情况</w:t>
      </w:r>
      <w:bookmarkEnd w:id="50"/>
    </w:p>
    <w:p>
      <w:pPr>
        <w:spacing w:line="6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年一般公共预算财政拨款支出</w:t>
      </w:r>
      <w:r>
        <w:rPr>
          <w:rFonts w:hint="eastAsia" w:ascii="仿宋_GB2312" w:hAnsi="仿宋_GB2312" w:eastAsia="仿宋_GB2312" w:cs="仿宋_GB2312"/>
          <w:color w:val="auto"/>
          <w:sz w:val="32"/>
          <w:szCs w:val="32"/>
          <w:highlight w:val="none"/>
          <w:lang w:val="en-US" w:eastAsia="zh-CN"/>
        </w:rPr>
        <w:t>1649.25</w:t>
      </w:r>
      <w:r>
        <w:rPr>
          <w:rFonts w:hint="eastAsia" w:ascii="仿宋_GB2312" w:hAnsi="仿宋_GB2312" w:eastAsia="仿宋_GB2312" w:cs="仿宋_GB2312"/>
          <w:color w:val="auto"/>
          <w:sz w:val="32"/>
          <w:szCs w:val="32"/>
          <w:highlight w:val="none"/>
        </w:rPr>
        <w:t>万元，主要用于以下方面:</w:t>
      </w:r>
      <w:r>
        <w:rPr>
          <w:rFonts w:hint="eastAsia" w:ascii="仿宋_GB2312" w:hAnsi="仿宋_GB2312" w:eastAsia="仿宋_GB2312" w:cs="仿宋_GB2312"/>
          <w:b/>
          <w:color w:val="auto"/>
          <w:sz w:val="32"/>
          <w:szCs w:val="32"/>
          <w:highlight w:val="none"/>
        </w:rPr>
        <w:t>一般公共服务（类）</w:t>
      </w:r>
      <w:r>
        <w:rPr>
          <w:rFonts w:hint="eastAsia" w:ascii="仿宋_GB2312" w:hAnsi="仿宋_GB2312" w:eastAsia="仿宋_GB2312" w:cs="仿宋_GB2312"/>
          <w:color w:val="auto"/>
          <w:sz w:val="32"/>
          <w:szCs w:val="32"/>
          <w:highlight w:val="none"/>
        </w:rPr>
        <w:t>支出</w:t>
      </w:r>
      <w:r>
        <w:rPr>
          <w:rFonts w:hint="eastAsia" w:ascii="仿宋_GB2312" w:hAnsi="仿宋_GB2312" w:eastAsia="仿宋_GB2312" w:cs="仿宋_GB2312"/>
          <w:color w:val="auto"/>
          <w:sz w:val="32"/>
          <w:szCs w:val="32"/>
          <w:highlight w:val="none"/>
          <w:lang w:val="en-US" w:eastAsia="zh-CN"/>
        </w:rPr>
        <w:t>1540.50</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93.41</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b/>
          <w:color w:val="auto"/>
          <w:sz w:val="32"/>
          <w:szCs w:val="32"/>
          <w:highlight w:val="none"/>
        </w:rPr>
        <w:t>社会保障和就业（类）</w:t>
      </w:r>
      <w:r>
        <w:rPr>
          <w:rFonts w:hint="eastAsia" w:ascii="仿宋_GB2312" w:hAnsi="仿宋_GB2312" w:eastAsia="仿宋_GB2312" w:cs="仿宋_GB2312"/>
          <w:color w:val="auto"/>
          <w:sz w:val="32"/>
          <w:szCs w:val="32"/>
          <w:highlight w:val="none"/>
        </w:rPr>
        <w:t>支出</w:t>
      </w:r>
      <w:r>
        <w:rPr>
          <w:rFonts w:hint="eastAsia" w:ascii="仿宋_GB2312" w:hAnsi="仿宋_GB2312" w:eastAsia="仿宋_GB2312" w:cs="仿宋_GB2312"/>
          <w:color w:val="auto"/>
          <w:sz w:val="32"/>
          <w:szCs w:val="32"/>
          <w:highlight w:val="none"/>
          <w:lang w:val="en-US" w:eastAsia="zh-CN"/>
        </w:rPr>
        <w:t>44.40</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2.69</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b/>
          <w:bCs/>
          <w:color w:val="auto"/>
          <w:sz w:val="32"/>
          <w:szCs w:val="32"/>
          <w:highlight w:val="none"/>
        </w:rPr>
        <w:t>卫生健康</w:t>
      </w:r>
      <w:r>
        <w:rPr>
          <w:rFonts w:hint="eastAsia" w:ascii="仿宋_GB2312" w:hAnsi="仿宋_GB2312" w:eastAsia="仿宋_GB2312" w:cs="仿宋_GB2312"/>
          <w:b/>
          <w:color w:val="auto"/>
          <w:sz w:val="32"/>
          <w:szCs w:val="32"/>
          <w:highlight w:val="none"/>
        </w:rPr>
        <w:t>（类）</w:t>
      </w:r>
      <w:r>
        <w:rPr>
          <w:rFonts w:hint="eastAsia" w:ascii="仿宋_GB2312" w:hAnsi="仿宋_GB2312" w:eastAsia="仿宋_GB2312" w:cs="仿宋_GB2312"/>
          <w:b w:val="0"/>
          <w:bCs w:val="0"/>
          <w:color w:val="auto"/>
          <w:sz w:val="32"/>
          <w:szCs w:val="32"/>
          <w:highlight w:val="none"/>
        </w:rPr>
        <w:t>支出</w:t>
      </w:r>
      <w:r>
        <w:rPr>
          <w:rFonts w:hint="eastAsia" w:ascii="仿宋_GB2312" w:hAnsi="仿宋_GB2312" w:eastAsia="仿宋_GB2312" w:cs="仿宋_GB2312"/>
          <w:b w:val="0"/>
          <w:bCs w:val="0"/>
          <w:color w:val="auto"/>
          <w:sz w:val="32"/>
          <w:szCs w:val="32"/>
          <w:highlight w:val="none"/>
          <w:lang w:val="en-US" w:eastAsia="zh-CN"/>
        </w:rPr>
        <w:t>20.88</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1.27</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b/>
          <w:bCs/>
          <w:color w:val="auto"/>
          <w:sz w:val="32"/>
          <w:szCs w:val="32"/>
          <w:highlight w:val="none"/>
        </w:rPr>
        <w:t>住房保障（类）</w:t>
      </w:r>
      <w:r>
        <w:rPr>
          <w:rFonts w:hint="eastAsia" w:ascii="仿宋_GB2312" w:hAnsi="仿宋_GB2312" w:eastAsia="仿宋_GB2312" w:cs="仿宋_GB2312"/>
          <w:color w:val="auto"/>
          <w:sz w:val="32"/>
          <w:szCs w:val="32"/>
          <w:highlight w:val="none"/>
        </w:rPr>
        <w:t>支出</w:t>
      </w:r>
      <w:r>
        <w:rPr>
          <w:rFonts w:hint="eastAsia" w:ascii="仿宋_GB2312" w:hAnsi="仿宋_GB2312" w:eastAsia="仿宋_GB2312" w:cs="仿宋_GB2312"/>
          <w:color w:val="auto"/>
          <w:sz w:val="32"/>
          <w:szCs w:val="32"/>
          <w:highlight w:val="none"/>
          <w:lang w:val="en-US" w:eastAsia="zh-CN"/>
        </w:rPr>
        <w:t>43.48</w:t>
      </w:r>
      <w:r>
        <w:rPr>
          <w:rFonts w:hint="eastAsia" w:ascii="仿宋_GB2312" w:hAnsi="仿宋_GB2312" w:eastAsia="仿宋_GB2312" w:cs="仿宋_GB2312"/>
          <w:color w:val="auto"/>
          <w:sz w:val="32"/>
          <w:szCs w:val="32"/>
          <w:highlight w:val="none"/>
        </w:rPr>
        <w:t>万元，占</w:t>
      </w:r>
      <w:r>
        <w:rPr>
          <w:rFonts w:hint="eastAsia" w:ascii="仿宋_GB2312" w:hAnsi="仿宋_GB2312" w:eastAsia="仿宋_GB2312" w:cs="仿宋_GB2312"/>
          <w:color w:val="auto"/>
          <w:sz w:val="32"/>
          <w:szCs w:val="32"/>
          <w:highlight w:val="none"/>
          <w:lang w:val="en-US" w:eastAsia="zh-CN"/>
        </w:rPr>
        <w:t>2.64</w:t>
      </w:r>
      <w:r>
        <w:rPr>
          <w:rFonts w:hint="eastAsia" w:ascii="仿宋_GB2312" w:hAnsi="仿宋_GB2312" w:eastAsia="仿宋_GB2312" w:cs="仿宋_GB2312"/>
          <w:color w:val="auto"/>
          <w:sz w:val="32"/>
          <w:szCs w:val="32"/>
          <w:highlight w:val="none"/>
        </w:rPr>
        <w:t>%。</w:t>
      </w:r>
    </w:p>
    <w:p>
      <w:pPr>
        <w:pStyle w:val="6"/>
        <w:rPr>
          <w:rFonts w:hint="eastAsia" w:ascii="仿宋" w:hAnsi="仿宋" w:eastAsia="仿宋"/>
          <w:color w:val="auto"/>
          <w:sz w:val="32"/>
          <w:szCs w:val="32"/>
          <w:highlight w:val="none"/>
          <w:lang w:eastAsia="zh-CN"/>
        </w:rPr>
      </w:pPr>
      <w:r>
        <w:drawing>
          <wp:inline distT="0" distB="0" distL="114300" distR="114300">
            <wp:extent cx="5273040" cy="2944495"/>
            <wp:effectExtent l="4445" t="4445" r="18415" b="22860"/>
            <wp:docPr id="1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spacing w:line="600" w:lineRule="exact"/>
        <w:ind w:firstLine="640" w:firstLineChars="200"/>
        <w:rPr>
          <w:rFonts w:hint="eastAsia" w:ascii="楷体_GB2312" w:hAnsi="楷体_GB2312" w:eastAsia="楷体_GB2312" w:cs="楷体_GB2312"/>
          <w:color w:val="auto"/>
          <w:sz w:val="32"/>
          <w:szCs w:val="32"/>
          <w:highlight w:val="none"/>
        </w:rPr>
      </w:pPr>
      <w:r>
        <w:rPr>
          <w:rFonts w:hint="eastAsia" w:ascii="楷体_GB2312" w:hAnsi="楷体_GB2312" w:eastAsia="楷体_GB2312" w:cs="楷体_GB2312"/>
          <w:color w:val="auto"/>
          <w:sz w:val="32"/>
          <w:szCs w:val="32"/>
          <w:highlight w:val="none"/>
        </w:rPr>
        <w:t>（图6：一般公共预算财政拨款支出决算结构）</w:t>
      </w:r>
    </w:p>
    <w:p>
      <w:pPr>
        <w:numPr>
          <w:ilvl w:val="0"/>
          <w:numId w:val="2"/>
        </w:numPr>
        <w:spacing w:line="600" w:lineRule="exact"/>
        <w:ind w:firstLine="643" w:firstLineChars="200"/>
        <w:outlineLvl w:val="2"/>
        <w:rPr>
          <w:rFonts w:hint="eastAsia" w:ascii="楷体_GB2312" w:hAnsi="楷体_GB2312" w:eastAsia="楷体_GB2312" w:cs="楷体_GB2312"/>
          <w:b/>
          <w:color w:val="auto"/>
          <w:sz w:val="32"/>
          <w:szCs w:val="32"/>
          <w:highlight w:val="none"/>
        </w:rPr>
      </w:pPr>
      <w:bookmarkStart w:id="51" w:name="_Toc15377212"/>
      <w:r>
        <w:rPr>
          <w:rFonts w:hint="eastAsia" w:ascii="楷体_GB2312" w:hAnsi="楷体_GB2312" w:eastAsia="楷体_GB2312" w:cs="楷体_GB2312"/>
          <w:b/>
          <w:color w:val="auto"/>
          <w:sz w:val="32"/>
          <w:szCs w:val="32"/>
          <w:highlight w:val="none"/>
        </w:rPr>
        <w:t>一般公共预算财政拨款支出决算具体情况</w:t>
      </w:r>
      <w:bookmarkEnd w:id="51"/>
    </w:p>
    <w:p>
      <w:pPr>
        <w:spacing w:line="540" w:lineRule="exact"/>
        <w:ind w:firstLine="420" w:firstLineChars="200"/>
        <w:outlineLvl w:val="2"/>
        <w:rPr>
          <w:rFonts w:hint="eastAsia" w:ascii="仿宋_GB2312" w:hAnsi="仿宋_GB2312" w:eastAsia="仿宋_GB2312" w:cs="仿宋_GB2312"/>
          <w:color w:val="FF0000"/>
          <w:sz w:val="32"/>
          <w:szCs w:val="32"/>
        </w:rPr>
      </w:pPr>
      <w:r>
        <w:rPr>
          <w:rFonts w:hint="eastAsia"/>
          <w:lang w:val="en-US" w:eastAsia="zh-CN"/>
        </w:rPr>
        <w:t xml:space="preserve">  </w:t>
      </w:r>
      <w:r>
        <w:rPr>
          <w:rFonts w:hint="eastAsia" w:ascii="仿宋_GB2312" w:hAnsi="仿宋_GB2312" w:eastAsia="仿宋_GB2312" w:cs="仿宋_GB2312"/>
          <w:lang w:val="en-US" w:eastAsia="zh-CN"/>
        </w:rPr>
        <w:t xml:space="preserve">   </w:t>
      </w:r>
      <w:bookmarkStart w:id="52" w:name="_Toc15378460"/>
      <w:bookmarkStart w:id="53" w:name="_Toc15377444"/>
      <w:bookmarkStart w:id="54" w:name="_Toc15377213"/>
      <w:r>
        <w:rPr>
          <w:rFonts w:hint="eastAsia" w:ascii="仿宋_GB2312" w:hAnsi="仿宋_GB2312" w:eastAsia="仿宋_GB2312" w:cs="仿宋_GB2312"/>
          <w:b/>
          <w:color w:val="000000"/>
          <w:sz w:val="32"/>
          <w:szCs w:val="32"/>
        </w:rPr>
        <w:t>2020年一般公共预算支出决算数为</w:t>
      </w:r>
      <w:r>
        <w:rPr>
          <w:rFonts w:hint="eastAsia" w:ascii="仿宋_GB2312" w:hAnsi="仿宋_GB2312" w:eastAsia="仿宋_GB2312" w:cs="仿宋_GB2312"/>
          <w:b/>
          <w:color w:val="000000"/>
          <w:sz w:val="32"/>
          <w:szCs w:val="32"/>
          <w:lang w:val="en-US" w:eastAsia="zh-CN"/>
        </w:rPr>
        <w:t>1649.25</w:t>
      </w:r>
      <w:r>
        <w:rPr>
          <w:rFonts w:hint="eastAsia" w:ascii="仿宋_GB2312" w:hAnsi="仿宋_GB2312" w:eastAsia="仿宋_GB2312" w:cs="仿宋_GB2312"/>
          <w:b/>
          <w:color w:val="000000"/>
          <w:sz w:val="32"/>
          <w:szCs w:val="32"/>
        </w:rPr>
        <w:t>万元</w:t>
      </w:r>
      <w:r>
        <w:rPr>
          <w:rFonts w:hint="eastAsia" w:ascii="仿宋_GB2312" w:hAnsi="仿宋_GB2312" w:eastAsia="仿宋_GB2312" w:cs="仿宋_GB2312"/>
          <w:color w:val="000000"/>
          <w:sz w:val="32"/>
          <w:szCs w:val="32"/>
        </w:rPr>
        <w:t>，</w:t>
      </w:r>
      <w:r>
        <w:rPr>
          <w:rStyle w:val="17"/>
          <w:rFonts w:hint="eastAsia" w:ascii="仿宋_GB2312" w:hAnsi="仿宋_GB2312" w:eastAsia="仿宋_GB2312" w:cs="仿宋_GB2312"/>
          <w:bCs/>
          <w:color w:val="000000"/>
          <w:sz w:val="32"/>
          <w:szCs w:val="32"/>
        </w:rPr>
        <w:t>完成预算</w:t>
      </w:r>
      <w:r>
        <w:rPr>
          <w:rStyle w:val="17"/>
          <w:rFonts w:hint="eastAsia" w:ascii="仿宋_GB2312" w:hAnsi="仿宋_GB2312" w:eastAsia="仿宋_GB2312" w:cs="仿宋_GB2312"/>
          <w:bCs/>
          <w:color w:val="000000"/>
          <w:sz w:val="32"/>
          <w:szCs w:val="32"/>
          <w:lang w:val="en-US" w:eastAsia="zh-CN"/>
        </w:rPr>
        <w:t>84.31</w:t>
      </w:r>
      <w:r>
        <w:rPr>
          <w:rStyle w:val="17"/>
          <w:rFonts w:hint="eastAsia" w:ascii="仿宋_GB2312" w:hAnsi="仿宋_GB2312" w:eastAsia="仿宋_GB2312" w:cs="仿宋_GB2312"/>
          <w:bCs/>
          <w:color w:val="000000"/>
          <w:sz w:val="32"/>
          <w:szCs w:val="32"/>
        </w:rPr>
        <w:t>%。其中：</w:t>
      </w:r>
      <w:bookmarkEnd w:id="52"/>
      <w:bookmarkEnd w:id="53"/>
      <w:bookmarkEnd w:id="54"/>
    </w:p>
    <w:p>
      <w:pPr>
        <w:widowControl/>
        <w:numPr>
          <w:ilvl w:val="0"/>
          <w:numId w:val="0"/>
        </w:numPr>
        <w:spacing w:line="540" w:lineRule="exact"/>
        <w:ind w:firstLine="643" w:firstLineChars="200"/>
        <w:rPr>
          <w:rFonts w:hint="eastAsia" w:ascii="仿宋_GB2312" w:hAnsi="仿宋_GB2312" w:eastAsia="仿宋_GB2312" w:cs="仿宋_GB2312"/>
          <w:color w:val="030303"/>
          <w:kern w:val="0"/>
          <w:sz w:val="32"/>
          <w:szCs w:val="32"/>
        </w:rPr>
      </w:pPr>
      <w:r>
        <w:rPr>
          <w:rFonts w:hint="eastAsia" w:ascii="仿宋_GB2312" w:hAnsi="仿宋_GB2312" w:eastAsia="仿宋_GB2312" w:cs="仿宋_GB2312"/>
          <w:b/>
          <w:color w:val="030303"/>
          <w:kern w:val="0"/>
          <w:sz w:val="32"/>
          <w:szCs w:val="32"/>
          <w:lang w:val="en-US" w:eastAsia="zh-CN"/>
        </w:rPr>
        <w:t>1.</w:t>
      </w:r>
      <w:r>
        <w:rPr>
          <w:rFonts w:hint="eastAsia" w:ascii="仿宋_GB2312" w:hAnsi="仿宋_GB2312" w:eastAsia="仿宋_GB2312" w:cs="仿宋_GB2312"/>
          <w:b/>
          <w:color w:val="030303"/>
          <w:kern w:val="0"/>
          <w:sz w:val="32"/>
          <w:szCs w:val="32"/>
        </w:rPr>
        <w:t>一般公共服务</w:t>
      </w:r>
      <w:r>
        <w:rPr>
          <w:rFonts w:hint="eastAsia" w:ascii="仿宋_GB2312" w:hAnsi="仿宋_GB2312" w:eastAsia="仿宋_GB2312" w:cs="仿宋_GB2312"/>
          <w:b/>
          <w:color w:val="030303"/>
          <w:kern w:val="0"/>
          <w:sz w:val="32"/>
          <w:szCs w:val="32"/>
          <w:lang w:eastAsia="zh-CN"/>
        </w:rPr>
        <w:t>支出</w:t>
      </w:r>
      <w:r>
        <w:rPr>
          <w:rFonts w:hint="eastAsia" w:ascii="仿宋_GB2312" w:hAnsi="仿宋_GB2312" w:eastAsia="仿宋_GB2312" w:cs="仿宋_GB2312"/>
          <w:b/>
          <w:color w:val="030303"/>
          <w:kern w:val="0"/>
          <w:sz w:val="32"/>
          <w:szCs w:val="32"/>
        </w:rPr>
        <w:t>（类）政府办公厅(室）及相关机构事务（款）行政运行（项）</w:t>
      </w:r>
      <w:r>
        <w:rPr>
          <w:rFonts w:hint="eastAsia" w:ascii="仿宋_GB2312" w:hAnsi="仿宋_GB2312" w:eastAsia="仿宋_GB2312" w:cs="仿宋_GB2312"/>
          <w:b/>
          <w:bCs/>
          <w:color w:val="030303"/>
          <w:kern w:val="0"/>
          <w:sz w:val="32"/>
          <w:szCs w:val="32"/>
        </w:rPr>
        <w:t>:</w:t>
      </w:r>
      <w:r>
        <w:rPr>
          <w:rFonts w:hint="eastAsia" w:ascii="仿宋_GB2312" w:hAnsi="仿宋_GB2312" w:eastAsia="仿宋_GB2312" w:cs="仿宋_GB2312"/>
          <w:color w:val="030303"/>
          <w:kern w:val="0"/>
          <w:sz w:val="32"/>
          <w:szCs w:val="32"/>
        </w:rPr>
        <w:t>支出决算为</w:t>
      </w:r>
      <w:r>
        <w:rPr>
          <w:rFonts w:hint="eastAsia" w:ascii="仿宋_GB2312" w:hAnsi="仿宋_GB2312" w:eastAsia="仿宋_GB2312" w:cs="仿宋_GB2312"/>
          <w:color w:val="030303"/>
          <w:kern w:val="0"/>
          <w:sz w:val="32"/>
          <w:szCs w:val="32"/>
          <w:lang w:val="en-US" w:eastAsia="zh-CN"/>
        </w:rPr>
        <w:t>227.14</w:t>
      </w:r>
      <w:r>
        <w:rPr>
          <w:rFonts w:hint="eastAsia" w:ascii="仿宋_GB2312" w:hAnsi="仿宋_GB2312" w:eastAsia="仿宋_GB2312" w:cs="仿宋_GB2312"/>
          <w:color w:val="030303"/>
          <w:kern w:val="0"/>
          <w:sz w:val="32"/>
          <w:szCs w:val="32"/>
        </w:rPr>
        <w:t>万元，完成预算</w:t>
      </w:r>
      <w:r>
        <w:rPr>
          <w:rFonts w:hint="eastAsia" w:ascii="仿宋_GB2312" w:hAnsi="仿宋_GB2312" w:eastAsia="仿宋_GB2312" w:cs="仿宋_GB2312"/>
          <w:color w:val="030303"/>
          <w:kern w:val="0"/>
          <w:sz w:val="32"/>
          <w:szCs w:val="32"/>
          <w:lang w:val="en-US" w:eastAsia="zh-CN"/>
        </w:rPr>
        <w:t>94.08</w:t>
      </w:r>
      <w:r>
        <w:rPr>
          <w:rFonts w:hint="eastAsia" w:ascii="仿宋_GB2312" w:hAnsi="仿宋_GB2312" w:eastAsia="仿宋_GB2312" w:cs="仿宋_GB2312"/>
          <w:color w:val="030303"/>
          <w:kern w:val="0"/>
          <w:sz w:val="32"/>
          <w:szCs w:val="32"/>
        </w:rPr>
        <w:t>%</w:t>
      </w:r>
      <w:r>
        <w:rPr>
          <w:rFonts w:hint="eastAsia" w:ascii="仿宋_GB2312" w:hAnsi="仿宋_GB2312" w:eastAsia="仿宋_GB2312" w:cs="仿宋_GB2312"/>
          <w:color w:val="030303"/>
          <w:kern w:val="0"/>
          <w:sz w:val="32"/>
          <w:szCs w:val="32"/>
          <w:lang w:eastAsia="zh-CN"/>
        </w:rPr>
        <w:t>，决算数小于预算数的原因主要是部分工资津补贴及机关运行经费未及时支出</w:t>
      </w:r>
      <w:r>
        <w:rPr>
          <w:rFonts w:hint="eastAsia" w:ascii="仿宋_GB2312" w:hAnsi="仿宋_GB2312" w:eastAsia="仿宋_GB2312" w:cs="仿宋_GB2312"/>
          <w:color w:val="030303"/>
          <w:kern w:val="0"/>
          <w:sz w:val="32"/>
          <w:szCs w:val="32"/>
        </w:rPr>
        <w:t>。</w:t>
      </w:r>
    </w:p>
    <w:p>
      <w:pPr>
        <w:widowControl/>
        <w:numPr>
          <w:ilvl w:val="0"/>
          <w:numId w:val="0"/>
        </w:numPr>
        <w:spacing w:line="540" w:lineRule="exact"/>
        <w:ind w:firstLine="643" w:firstLineChars="200"/>
        <w:rPr>
          <w:rFonts w:hint="eastAsia" w:eastAsia="仿宋_GB2312"/>
          <w:lang w:eastAsia="zh-CN"/>
        </w:rPr>
      </w:pPr>
      <w:r>
        <w:rPr>
          <w:rFonts w:hint="eastAsia" w:ascii="仿宋_GB2312" w:hAnsi="仿宋_GB2312" w:eastAsia="仿宋_GB2312" w:cs="仿宋_GB2312"/>
          <w:b/>
          <w:color w:val="030303"/>
          <w:kern w:val="0"/>
          <w:sz w:val="32"/>
          <w:szCs w:val="32"/>
          <w:lang w:val="en-US" w:eastAsia="zh-CN"/>
        </w:rPr>
        <w:t>2.</w:t>
      </w:r>
      <w:r>
        <w:rPr>
          <w:rFonts w:hint="eastAsia" w:ascii="仿宋_GB2312" w:hAnsi="仿宋_GB2312" w:eastAsia="仿宋_GB2312" w:cs="仿宋_GB2312"/>
          <w:b/>
          <w:color w:val="030303"/>
          <w:kern w:val="0"/>
          <w:sz w:val="32"/>
          <w:szCs w:val="32"/>
        </w:rPr>
        <w:t>一般公共服务</w:t>
      </w:r>
      <w:r>
        <w:rPr>
          <w:rFonts w:hint="eastAsia" w:ascii="仿宋_GB2312" w:hAnsi="仿宋_GB2312" w:eastAsia="仿宋_GB2312" w:cs="仿宋_GB2312"/>
          <w:b/>
          <w:color w:val="030303"/>
          <w:kern w:val="0"/>
          <w:sz w:val="32"/>
          <w:szCs w:val="32"/>
          <w:lang w:eastAsia="zh-CN"/>
        </w:rPr>
        <w:t>支出</w:t>
      </w:r>
      <w:r>
        <w:rPr>
          <w:rFonts w:hint="eastAsia" w:ascii="仿宋_GB2312" w:hAnsi="仿宋_GB2312" w:eastAsia="仿宋_GB2312" w:cs="仿宋_GB2312"/>
          <w:b/>
          <w:color w:val="030303"/>
          <w:kern w:val="0"/>
          <w:sz w:val="32"/>
          <w:szCs w:val="32"/>
        </w:rPr>
        <w:t>（类）政府办公厅(室）及相关机构事务（款）</w:t>
      </w:r>
      <w:r>
        <w:rPr>
          <w:rFonts w:hint="eastAsia" w:ascii="仿宋_GB2312" w:hAnsi="仿宋_GB2312" w:eastAsia="仿宋_GB2312" w:cs="仿宋_GB2312"/>
          <w:b/>
          <w:color w:val="000000" w:themeColor="text1"/>
          <w:kern w:val="0"/>
          <w:sz w:val="32"/>
          <w:szCs w:val="32"/>
          <w14:textFill>
            <w14:solidFill>
              <w14:schemeClr w14:val="tx1"/>
            </w14:solidFill>
          </w14:textFill>
        </w:rPr>
        <w:t>一般行政管理事务（项）</w:t>
      </w:r>
      <w:r>
        <w:rPr>
          <w:rFonts w:hint="eastAsia" w:ascii="仿宋_GB2312" w:hAnsi="仿宋_GB2312" w:eastAsia="仿宋_GB2312" w:cs="仿宋_GB2312"/>
          <w:b/>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14:textFill>
            <w14:solidFill>
              <w14:schemeClr w14:val="tx1"/>
            </w14:solidFill>
          </w14:textFill>
        </w:rPr>
        <w:t>支出决算为</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954.25</w:t>
      </w:r>
      <w:r>
        <w:rPr>
          <w:rFonts w:hint="eastAsia" w:ascii="仿宋_GB2312" w:hAnsi="仿宋_GB2312" w:eastAsia="仿宋_GB2312" w:cs="仿宋_GB2312"/>
          <w:color w:val="000000" w:themeColor="text1"/>
          <w:kern w:val="0"/>
          <w:sz w:val="32"/>
          <w:szCs w:val="32"/>
          <w14:textFill>
            <w14:solidFill>
              <w14:schemeClr w14:val="tx1"/>
            </w14:solidFill>
          </w14:textFill>
        </w:rPr>
        <w:t>万元，完成预算</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48.78</w:t>
      </w:r>
      <w:r>
        <w:rPr>
          <w:rFonts w:hint="eastAsia" w:ascii="仿宋_GB2312" w:hAnsi="仿宋_GB2312" w:eastAsia="仿宋_GB2312" w:cs="仿宋_GB2312"/>
          <w:color w:val="000000" w:themeColor="text1"/>
          <w:kern w:val="0"/>
          <w:sz w:val="32"/>
          <w:szCs w:val="32"/>
          <w14:textFill>
            <w14:solidFill>
              <w14:schemeClr w14:val="tx1"/>
            </w14:solidFill>
          </w14:textFill>
        </w:rPr>
        <w:t>%，决算数小于预算数的主要原因是</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12345</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”热线升级改造经费、“天府通办”分站点建设经费等建设项目按工程进度支付资金；网络及系统运维按实际工作量支付资金，未实现完全支付；办公大楼物业管理费按合同进度支付资金，结转</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2022年继续使用；“天府通办”分站点建设未完成，运维费未实现支出。</w:t>
      </w:r>
    </w:p>
    <w:p>
      <w:pPr>
        <w:widowControl/>
        <w:spacing w:line="540" w:lineRule="exact"/>
        <w:ind w:firstLine="640"/>
        <w:rPr>
          <w:rFonts w:hint="eastAsia" w:ascii="仿宋_GB2312" w:hAnsi="仿宋_GB2312" w:eastAsia="仿宋_GB2312" w:cs="仿宋_GB2312"/>
          <w:color w:val="030303"/>
          <w:kern w:val="0"/>
          <w:sz w:val="24"/>
          <w:lang w:eastAsia="zh-CN"/>
        </w:rPr>
      </w:pPr>
      <w:r>
        <w:rPr>
          <w:rFonts w:hint="eastAsia" w:ascii="仿宋_GB2312" w:hAnsi="仿宋_GB2312" w:eastAsia="仿宋_GB2312" w:cs="仿宋_GB2312"/>
          <w:b/>
          <w:color w:val="030303"/>
          <w:kern w:val="0"/>
          <w:sz w:val="32"/>
          <w:szCs w:val="32"/>
          <w:lang w:val="en-US" w:eastAsia="zh-CN"/>
        </w:rPr>
        <w:t>3</w:t>
      </w:r>
      <w:r>
        <w:rPr>
          <w:rFonts w:hint="eastAsia" w:ascii="仿宋_GB2312" w:hAnsi="仿宋_GB2312" w:eastAsia="仿宋_GB2312" w:cs="仿宋_GB2312"/>
          <w:b/>
          <w:color w:val="030303"/>
          <w:kern w:val="0"/>
          <w:sz w:val="32"/>
          <w:szCs w:val="32"/>
        </w:rPr>
        <w:t>.一般公共服务</w:t>
      </w:r>
      <w:r>
        <w:rPr>
          <w:rFonts w:hint="eastAsia" w:ascii="仿宋_GB2312" w:hAnsi="仿宋_GB2312" w:eastAsia="仿宋_GB2312" w:cs="仿宋_GB2312"/>
          <w:b/>
          <w:color w:val="030303"/>
          <w:kern w:val="0"/>
          <w:sz w:val="32"/>
          <w:szCs w:val="32"/>
          <w:lang w:eastAsia="zh-CN"/>
        </w:rPr>
        <w:t>支出</w:t>
      </w:r>
      <w:r>
        <w:rPr>
          <w:rFonts w:hint="eastAsia" w:ascii="仿宋_GB2312" w:hAnsi="仿宋_GB2312" w:eastAsia="仿宋_GB2312" w:cs="仿宋_GB2312"/>
          <w:b/>
          <w:color w:val="030303"/>
          <w:kern w:val="0"/>
          <w:sz w:val="32"/>
          <w:szCs w:val="32"/>
        </w:rPr>
        <w:t>（类）政府办公厅(室）及相关机构事务（款）事业运行（项）</w:t>
      </w:r>
      <w:r>
        <w:rPr>
          <w:rFonts w:hint="eastAsia" w:ascii="仿宋_GB2312" w:hAnsi="仿宋_GB2312" w:eastAsia="仿宋_GB2312" w:cs="仿宋_GB2312"/>
          <w:color w:val="030303"/>
          <w:kern w:val="0"/>
          <w:sz w:val="32"/>
          <w:szCs w:val="32"/>
        </w:rPr>
        <w:t>:支出决算为</w:t>
      </w:r>
      <w:r>
        <w:rPr>
          <w:rFonts w:hint="eastAsia" w:ascii="仿宋_GB2312" w:hAnsi="仿宋_GB2312" w:eastAsia="仿宋_GB2312" w:cs="仿宋_GB2312"/>
          <w:color w:val="030303"/>
          <w:kern w:val="0"/>
          <w:sz w:val="32"/>
          <w:szCs w:val="32"/>
          <w:lang w:val="en-US" w:eastAsia="zh-CN"/>
        </w:rPr>
        <w:t>235.87</w:t>
      </w:r>
      <w:r>
        <w:rPr>
          <w:rFonts w:hint="eastAsia" w:ascii="仿宋_GB2312" w:hAnsi="仿宋_GB2312" w:eastAsia="仿宋_GB2312" w:cs="仿宋_GB2312"/>
          <w:color w:val="030303"/>
          <w:kern w:val="0"/>
          <w:sz w:val="32"/>
          <w:szCs w:val="32"/>
        </w:rPr>
        <w:t>万元，完成预算</w:t>
      </w:r>
      <w:r>
        <w:rPr>
          <w:rFonts w:hint="eastAsia" w:ascii="仿宋_GB2312" w:hAnsi="仿宋_GB2312" w:eastAsia="仿宋_GB2312" w:cs="仿宋_GB2312"/>
          <w:color w:val="030303"/>
          <w:kern w:val="0"/>
          <w:sz w:val="32"/>
          <w:szCs w:val="32"/>
          <w:lang w:val="en-US" w:eastAsia="zh-CN"/>
        </w:rPr>
        <w:t>98.74</w:t>
      </w:r>
      <w:r>
        <w:rPr>
          <w:rFonts w:hint="eastAsia" w:ascii="仿宋_GB2312" w:hAnsi="仿宋_GB2312" w:eastAsia="仿宋_GB2312" w:cs="仿宋_GB2312"/>
          <w:color w:val="030303"/>
          <w:kern w:val="0"/>
          <w:sz w:val="32"/>
          <w:szCs w:val="32"/>
        </w:rPr>
        <w:t>%</w:t>
      </w:r>
      <w:r>
        <w:rPr>
          <w:rFonts w:hint="eastAsia" w:ascii="仿宋_GB2312" w:hAnsi="仿宋_GB2312" w:eastAsia="仿宋_GB2312" w:cs="仿宋_GB2312"/>
          <w:color w:val="030303"/>
          <w:kern w:val="0"/>
          <w:sz w:val="32"/>
          <w:szCs w:val="32"/>
          <w:lang w:eastAsia="zh-CN"/>
        </w:rPr>
        <w:t>，决算数小于预算数的原因主要是部分工资津补贴未及时支出。</w:t>
      </w:r>
    </w:p>
    <w:p>
      <w:pPr>
        <w:widowControl/>
        <w:spacing w:line="540" w:lineRule="exact"/>
        <w:ind w:firstLine="643" w:firstLineChars="200"/>
        <w:rPr>
          <w:rFonts w:hint="default" w:ascii="仿宋_GB2312" w:hAnsi="仿宋_GB2312" w:eastAsia="仿宋_GB2312" w:cs="仿宋_GB2312"/>
          <w:b/>
          <w:color w:val="030303"/>
          <w:kern w:val="0"/>
          <w:sz w:val="32"/>
          <w:szCs w:val="32"/>
          <w:lang w:val="en-US" w:eastAsia="zh-CN"/>
        </w:rPr>
      </w:pPr>
      <w:r>
        <w:rPr>
          <w:rFonts w:hint="eastAsia" w:ascii="仿宋_GB2312" w:hAnsi="仿宋_GB2312" w:eastAsia="仿宋_GB2312" w:cs="仿宋_GB2312"/>
          <w:b/>
          <w:color w:val="030303"/>
          <w:kern w:val="0"/>
          <w:sz w:val="32"/>
          <w:szCs w:val="32"/>
          <w:lang w:val="en-US" w:eastAsia="zh-CN"/>
        </w:rPr>
        <w:t>4.</w:t>
      </w:r>
      <w:r>
        <w:rPr>
          <w:rFonts w:hint="eastAsia" w:ascii="仿宋_GB2312" w:hAnsi="仿宋_GB2312" w:eastAsia="仿宋_GB2312" w:cs="仿宋_GB2312"/>
          <w:b/>
          <w:color w:val="030303"/>
          <w:kern w:val="0"/>
          <w:sz w:val="32"/>
          <w:szCs w:val="32"/>
        </w:rPr>
        <w:t>一般公共服务</w:t>
      </w:r>
      <w:r>
        <w:rPr>
          <w:rFonts w:hint="eastAsia" w:ascii="仿宋_GB2312" w:hAnsi="仿宋_GB2312" w:eastAsia="仿宋_GB2312" w:cs="仿宋_GB2312"/>
          <w:b/>
          <w:color w:val="030303"/>
          <w:kern w:val="0"/>
          <w:sz w:val="32"/>
          <w:szCs w:val="32"/>
          <w:lang w:eastAsia="zh-CN"/>
        </w:rPr>
        <w:t>支出</w:t>
      </w:r>
      <w:r>
        <w:rPr>
          <w:rFonts w:hint="eastAsia" w:ascii="仿宋_GB2312" w:hAnsi="仿宋_GB2312" w:eastAsia="仿宋_GB2312" w:cs="仿宋_GB2312"/>
          <w:b/>
          <w:color w:val="030303"/>
          <w:kern w:val="0"/>
          <w:sz w:val="32"/>
          <w:szCs w:val="32"/>
        </w:rPr>
        <w:t>（类）政府办公厅(室）及相关机构事务（款）</w:t>
      </w:r>
      <w:r>
        <w:rPr>
          <w:rFonts w:hint="eastAsia" w:ascii="仿宋_GB2312" w:hAnsi="仿宋_GB2312" w:eastAsia="仿宋_GB2312" w:cs="仿宋_GB2312"/>
          <w:b/>
          <w:color w:val="030303"/>
          <w:kern w:val="0"/>
          <w:sz w:val="32"/>
          <w:szCs w:val="32"/>
          <w:lang w:eastAsia="zh-CN"/>
        </w:rPr>
        <w:t>其他政府办公厅（室）及相关机构事务支出（项）：</w:t>
      </w:r>
      <w:r>
        <w:rPr>
          <w:rFonts w:hint="eastAsia" w:ascii="仿宋_GB2312" w:hAnsi="仿宋_GB2312" w:eastAsia="仿宋_GB2312" w:cs="仿宋_GB2312"/>
          <w:b w:val="0"/>
          <w:bCs/>
          <w:color w:val="030303"/>
          <w:kern w:val="0"/>
          <w:sz w:val="32"/>
          <w:szCs w:val="32"/>
          <w:lang w:eastAsia="zh-CN"/>
        </w:rPr>
        <w:t>支出决算为</w:t>
      </w:r>
      <w:r>
        <w:rPr>
          <w:rFonts w:hint="eastAsia" w:ascii="仿宋_GB2312" w:hAnsi="仿宋_GB2312" w:eastAsia="仿宋_GB2312" w:cs="仿宋_GB2312"/>
          <w:b w:val="0"/>
          <w:bCs/>
          <w:color w:val="030303"/>
          <w:kern w:val="0"/>
          <w:sz w:val="32"/>
          <w:szCs w:val="32"/>
          <w:lang w:val="en-US" w:eastAsia="zh-CN"/>
        </w:rPr>
        <w:t>123.24万元，完成预算81.43%，决算数小于预算数的原因主要是交易场地设施设备维护费</w:t>
      </w:r>
      <w:r>
        <w:rPr>
          <w:rFonts w:hint="eastAsia" w:ascii="仿宋_GB2312" w:hAnsi="仿宋_GB2312" w:eastAsia="仿宋_GB2312" w:cs="仿宋_GB2312"/>
          <w:color w:val="000000" w:themeColor="text1"/>
          <w:kern w:val="0"/>
          <w:sz w:val="32"/>
          <w:szCs w:val="32"/>
          <w:lang w:eastAsia="zh-CN"/>
          <w14:textFill>
            <w14:solidFill>
              <w14:schemeClr w14:val="tx1"/>
            </w14:solidFill>
          </w14:textFill>
        </w:rPr>
        <w:t>按实际工作量支付资金，未实现完全支付；公共资源交易平台等保测评费按合同进度支付资金，结转</w:t>
      </w:r>
      <w:r>
        <w:rPr>
          <w:rFonts w:hint="eastAsia" w:ascii="仿宋_GB2312" w:hAnsi="仿宋_GB2312" w:eastAsia="仿宋_GB2312" w:cs="仿宋_GB2312"/>
          <w:color w:val="000000" w:themeColor="text1"/>
          <w:kern w:val="0"/>
          <w:sz w:val="32"/>
          <w:szCs w:val="32"/>
          <w:lang w:val="en-US" w:eastAsia="zh-CN"/>
          <w14:textFill>
            <w14:solidFill>
              <w14:schemeClr w14:val="tx1"/>
            </w14:solidFill>
          </w14:textFill>
        </w:rPr>
        <w:t>2022年继续使用；部分设备采购因政策限制未能实施，相关经费未支出。</w:t>
      </w:r>
    </w:p>
    <w:p>
      <w:pPr>
        <w:widowControl/>
        <w:spacing w:line="540" w:lineRule="exact"/>
        <w:ind w:firstLine="643" w:firstLineChars="200"/>
        <w:rPr>
          <w:rFonts w:hint="eastAsia" w:ascii="仿宋_GB2312" w:hAnsi="仿宋_GB2312" w:eastAsia="仿宋_GB2312" w:cs="仿宋_GB2312"/>
          <w:color w:val="030303"/>
          <w:kern w:val="0"/>
          <w:sz w:val="32"/>
          <w:szCs w:val="32"/>
        </w:rPr>
      </w:pPr>
      <w:r>
        <w:rPr>
          <w:rFonts w:hint="eastAsia" w:ascii="仿宋_GB2312" w:hAnsi="仿宋_GB2312" w:eastAsia="仿宋_GB2312" w:cs="仿宋_GB2312"/>
          <w:b/>
          <w:color w:val="030303"/>
          <w:kern w:val="0"/>
          <w:sz w:val="32"/>
          <w:szCs w:val="32"/>
          <w:lang w:val="en-US" w:eastAsia="zh-CN"/>
        </w:rPr>
        <w:t>5.</w:t>
      </w:r>
      <w:r>
        <w:rPr>
          <w:rFonts w:hint="eastAsia" w:ascii="仿宋_GB2312" w:hAnsi="仿宋_GB2312" w:eastAsia="仿宋_GB2312" w:cs="仿宋_GB2312"/>
          <w:b/>
          <w:color w:val="030303"/>
          <w:kern w:val="0"/>
          <w:sz w:val="32"/>
          <w:szCs w:val="32"/>
        </w:rPr>
        <w:t>社会保障和就业支出（类）行政事业单位养老支出（款）机关事业单位基本养老保险缴费支出（项）:</w:t>
      </w:r>
      <w:r>
        <w:rPr>
          <w:rFonts w:hint="eastAsia" w:ascii="仿宋_GB2312" w:hAnsi="仿宋_GB2312" w:eastAsia="仿宋_GB2312" w:cs="仿宋_GB2312"/>
          <w:color w:val="030303"/>
          <w:kern w:val="0"/>
          <w:sz w:val="32"/>
          <w:szCs w:val="32"/>
        </w:rPr>
        <w:t>支出决算为</w:t>
      </w:r>
      <w:r>
        <w:rPr>
          <w:rFonts w:hint="eastAsia" w:ascii="仿宋_GB2312" w:hAnsi="仿宋_GB2312" w:eastAsia="仿宋_GB2312" w:cs="仿宋_GB2312"/>
          <w:color w:val="030303"/>
          <w:kern w:val="0"/>
          <w:sz w:val="32"/>
          <w:szCs w:val="32"/>
          <w:lang w:val="en-US" w:eastAsia="zh-CN"/>
        </w:rPr>
        <w:t>40.56</w:t>
      </w:r>
      <w:r>
        <w:rPr>
          <w:rFonts w:hint="eastAsia" w:ascii="仿宋_GB2312" w:hAnsi="仿宋_GB2312" w:eastAsia="仿宋_GB2312" w:cs="仿宋_GB2312"/>
          <w:color w:val="030303"/>
          <w:kern w:val="0"/>
          <w:sz w:val="32"/>
          <w:szCs w:val="32"/>
        </w:rPr>
        <w:t>万元，完成预算100%。</w:t>
      </w:r>
    </w:p>
    <w:p>
      <w:pPr>
        <w:widowControl/>
        <w:spacing w:line="540" w:lineRule="exact"/>
        <w:ind w:firstLine="643" w:firstLineChars="200"/>
        <w:rPr>
          <w:rFonts w:hint="eastAsia"/>
          <w:lang w:eastAsia="zh-CN"/>
        </w:rPr>
      </w:pPr>
      <w:r>
        <w:rPr>
          <w:rFonts w:hint="eastAsia" w:ascii="仿宋_GB2312" w:hAnsi="仿宋_GB2312" w:eastAsia="仿宋_GB2312" w:cs="仿宋_GB2312"/>
          <w:b/>
          <w:color w:val="030303"/>
          <w:kern w:val="0"/>
          <w:sz w:val="32"/>
          <w:szCs w:val="32"/>
          <w:lang w:val="en-US" w:eastAsia="zh-CN"/>
        </w:rPr>
        <w:t>6.</w:t>
      </w:r>
      <w:r>
        <w:rPr>
          <w:rFonts w:hint="eastAsia" w:ascii="仿宋_GB2312" w:hAnsi="仿宋_GB2312" w:eastAsia="仿宋_GB2312" w:cs="仿宋_GB2312"/>
          <w:b/>
          <w:color w:val="030303"/>
          <w:kern w:val="0"/>
          <w:sz w:val="32"/>
          <w:szCs w:val="32"/>
        </w:rPr>
        <w:t>社会保障和就业支出（类）行政事业单位养老支出（款）机关事业单位基</w:t>
      </w:r>
      <w:r>
        <w:rPr>
          <w:rFonts w:hint="eastAsia" w:ascii="仿宋_GB2312" w:hAnsi="仿宋_GB2312" w:eastAsia="仿宋_GB2312" w:cs="仿宋_GB2312"/>
          <w:b/>
          <w:color w:val="030303"/>
          <w:kern w:val="0"/>
          <w:sz w:val="32"/>
          <w:szCs w:val="32"/>
          <w:lang w:eastAsia="zh-CN"/>
        </w:rPr>
        <w:t>职业年金缴费</w:t>
      </w:r>
      <w:r>
        <w:rPr>
          <w:rFonts w:hint="eastAsia" w:ascii="仿宋_GB2312" w:hAnsi="仿宋_GB2312" w:eastAsia="仿宋_GB2312" w:cs="仿宋_GB2312"/>
          <w:b/>
          <w:color w:val="030303"/>
          <w:kern w:val="0"/>
          <w:sz w:val="32"/>
          <w:szCs w:val="32"/>
        </w:rPr>
        <w:t>支出（项）:</w:t>
      </w:r>
      <w:r>
        <w:rPr>
          <w:rFonts w:hint="eastAsia" w:ascii="仿宋_GB2312" w:hAnsi="仿宋_GB2312" w:eastAsia="仿宋_GB2312" w:cs="仿宋_GB2312"/>
          <w:color w:val="030303"/>
          <w:kern w:val="0"/>
          <w:sz w:val="32"/>
          <w:szCs w:val="32"/>
        </w:rPr>
        <w:t>支出决算为</w:t>
      </w:r>
      <w:r>
        <w:rPr>
          <w:rFonts w:hint="eastAsia" w:ascii="仿宋_GB2312" w:hAnsi="仿宋_GB2312" w:eastAsia="仿宋_GB2312" w:cs="仿宋_GB2312"/>
          <w:color w:val="030303"/>
          <w:kern w:val="0"/>
          <w:sz w:val="32"/>
          <w:szCs w:val="32"/>
          <w:lang w:val="en-US" w:eastAsia="zh-CN"/>
        </w:rPr>
        <w:t>3.75</w:t>
      </w:r>
      <w:r>
        <w:rPr>
          <w:rFonts w:hint="eastAsia" w:ascii="仿宋_GB2312" w:hAnsi="仿宋_GB2312" w:eastAsia="仿宋_GB2312" w:cs="仿宋_GB2312"/>
          <w:color w:val="030303"/>
          <w:kern w:val="0"/>
          <w:sz w:val="32"/>
          <w:szCs w:val="32"/>
        </w:rPr>
        <w:t>万元，完成预算100%。</w:t>
      </w:r>
    </w:p>
    <w:p>
      <w:pPr>
        <w:widowControl/>
        <w:spacing w:line="540" w:lineRule="exact"/>
        <w:ind w:firstLine="643" w:firstLineChars="200"/>
        <w:rPr>
          <w:rFonts w:hint="eastAsia" w:ascii="仿宋_GB2312" w:hAnsi="仿宋_GB2312" w:eastAsia="仿宋_GB2312" w:cs="仿宋_GB2312"/>
          <w:color w:val="030303"/>
          <w:kern w:val="0"/>
          <w:sz w:val="32"/>
          <w:szCs w:val="32"/>
        </w:rPr>
      </w:pPr>
      <w:r>
        <w:rPr>
          <w:rFonts w:hint="eastAsia" w:ascii="仿宋_GB2312" w:hAnsi="仿宋_GB2312" w:eastAsia="仿宋_GB2312" w:cs="仿宋_GB2312"/>
          <w:b/>
          <w:color w:val="030303"/>
          <w:kern w:val="0"/>
          <w:sz w:val="32"/>
          <w:szCs w:val="32"/>
          <w:lang w:val="en-US" w:eastAsia="zh-CN"/>
        </w:rPr>
        <w:t>7.</w:t>
      </w:r>
      <w:r>
        <w:rPr>
          <w:rFonts w:hint="eastAsia" w:ascii="仿宋_GB2312" w:hAnsi="仿宋_GB2312" w:eastAsia="仿宋_GB2312" w:cs="仿宋_GB2312"/>
          <w:b/>
          <w:color w:val="030303"/>
          <w:kern w:val="0"/>
          <w:sz w:val="32"/>
          <w:szCs w:val="32"/>
        </w:rPr>
        <w:t>卫生健康支出（类）行政事业单位医疗（款）行政单位医疗（项）:</w:t>
      </w:r>
      <w:r>
        <w:rPr>
          <w:rFonts w:hint="eastAsia" w:ascii="仿宋_GB2312" w:hAnsi="仿宋_GB2312" w:eastAsia="仿宋_GB2312" w:cs="仿宋_GB2312"/>
          <w:color w:val="030303"/>
          <w:kern w:val="0"/>
          <w:sz w:val="32"/>
          <w:szCs w:val="32"/>
        </w:rPr>
        <w:t>支出决算为</w:t>
      </w:r>
      <w:r>
        <w:rPr>
          <w:rFonts w:hint="eastAsia" w:ascii="仿宋_GB2312" w:hAnsi="仿宋_GB2312" w:eastAsia="仿宋_GB2312" w:cs="仿宋_GB2312"/>
          <w:color w:val="030303"/>
          <w:kern w:val="0"/>
          <w:sz w:val="32"/>
          <w:szCs w:val="32"/>
          <w:lang w:val="en-US" w:eastAsia="zh-CN"/>
        </w:rPr>
        <w:t>9.39</w:t>
      </w:r>
      <w:r>
        <w:rPr>
          <w:rFonts w:hint="eastAsia" w:ascii="仿宋_GB2312" w:hAnsi="仿宋_GB2312" w:eastAsia="仿宋_GB2312" w:cs="仿宋_GB2312"/>
          <w:color w:val="030303"/>
          <w:kern w:val="0"/>
          <w:sz w:val="32"/>
          <w:szCs w:val="32"/>
        </w:rPr>
        <w:t>万元，完成预算100%。</w:t>
      </w:r>
    </w:p>
    <w:p>
      <w:pPr>
        <w:widowControl/>
        <w:spacing w:line="540" w:lineRule="exact"/>
        <w:ind w:firstLine="643" w:firstLineChars="200"/>
        <w:rPr>
          <w:rFonts w:hint="eastAsia" w:ascii="仿宋_GB2312" w:hAnsi="仿宋_GB2312" w:eastAsia="仿宋_GB2312" w:cs="仿宋_GB2312"/>
          <w:color w:val="030303"/>
          <w:kern w:val="0"/>
          <w:sz w:val="24"/>
        </w:rPr>
      </w:pPr>
      <w:r>
        <w:rPr>
          <w:rFonts w:hint="eastAsia" w:ascii="仿宋_GB2312" w:hAnsi="仿宋_GB2312" w:eastAsia="仿宋_GB2312" w:cs="仿宋_GB2312"/>
          <w:b/>
          <w:color w:val="030303"/>
          <w:kern w:val="0"/>
          <w:sz w:val="32"/>
          <w:szCs w:val="32"/>
          <w:lang w:val="en-US" w:eastAsia="zh-CN"/>
        </w:rPr>
        <w:t>8.</w:t>
      </w:r>
      <w:r>
        <w:rPr>
          <w:rFonts w:hint="eastAsia" w:ascii="仿宋_GB2312" w:hAnsi="仿宋_GB2312" w:eastAsia="仿宋_GB2312" w:cs="仿宋_GB2312"/>
          <w:b/>
          <w:color w:val="030303"/>
          <w:kern w:val="0"/>
          <w:sz w:val="32"/>
          <w:szCs w:val="32"/>
        </w:rPr>
        <w:t>卫生健康支出（类）行政事业单位医疗（款）事业单位医疗（项）：</w:t>
      </w:r>
      <w:r>
        <w:rPr>
          <w:rFonts w:hint="eastAsia" w:ascii="仿宋_GB2312" w:hAnsi="仿宋_GB2312" w:eastAsia="仿宋_GB2312" w:cs="仿宋_GB2312"/>
          <w:color w:val="030303"/>
          <w:kern w:val="0"/>
          <w:sz w:val="32"/>
          <w:szCs w:val="32"/>
        </w:rPr>
        <w:t>支出决算为</w:t>
      </w:r>
      <w:r>
        <w:rPr>
          <w:rFonts w:hint="eastAsia" w:ascii="仿宋_GB2312" w:hAnsi="仿宋_GB2312" w:eastAsia="仿宋_GB2312" w:cs="仿宋_GB2312"/>
          <w:color w:val="030303"/>
          <w:kern w:val="0"/>
          <w:sz w:val="32"/>
          <w:szCs w:val="32"/>
          <w:lang w:val="en-US" w:eastAsia="zh-CN"/>
        </w:rPr>
        <w:t>11.49</w:t>
      </w:r>
      <w:r>
        <w:rPr>
          <w:rFonts w:hint="eastAsia" w:ascii="仿宋_GB2312" w:hAnsi="仿宋_GB2312" w:eastAsia="仿宋_GB2312" w:cs="仿宋_GB2312"/>
          <w:color w:val="030303"/>
          <w:kern w:val="0"/>
          <w:sz w:val="32"/>
          <w:szCs w:val="32"/>
        </w:rPr>
        <w:t>万元，完成预算100%。</w:t>
      </w:r>
    </w:p>
    <w:p>
      <w:pPr>
        <w:widowControl/>
        <w:spacing w:line="540" w:lineRule="exact"/>
        <w:ind w:firstLine="643"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030303"/>
          <w:kern w:val="0"/>
          <w:sz w:val="32"/>
          <w:szCs w:val="32"/>
          <w:lang w:val="en-US" w:eastAsia="zh-CN"/>
        </w:rPr>
        <w:t>9</w:t>
      </w:r>
      <w:r>
        <w:rPr>
          <w:rFonts w:hint="eastAsia" w:ascii="仿宋_GB2312" w:hAnsi="仿宋_GB2312" w:eastAsia="仿宋_GB2312" w:cs="仿宋_GB2312"/>
          <w:b/>
          <w:color w:val="030303"/>
          <w:kern w:val="0"/>
          <w:sz w:val="32"/>
          <w:szCs w:val="32"/>
        </w:rPr>
        <w:t>.住房保障支出（类）住房改革支出（款）住房公积金（项）</w:t>
      </w:r>
      <w:r>
        <w:rPr>
          <w:rFonts w:hint="eastAsia" w:ascii="仿宋_GB2312" w:hAnsi="仿宋_GB2312" w:eastAsia="仿宋_GB2312" w:cs="仿宋_GB2312"/>
          <w:b/>
          <w:bCs/>
          <w:color w:val="030303"/>
          <w:kern w:val="0"/>
          <w:sz w:val="32"/>
          <w:szCs w:val="32"/>
        </w:rPr>
        <w:t>:</w:t>
      </w:r>
      <w:r>
        <w:rPr>
          <w:rFonts w:hint="eastAsia" w:ascii="仿宋_GB2312" w:hAnsi="仿宋_GB2312" w:eastAsia="仿宋_GB2312" w:cs="仿宋_GB2312"/>
          <w:color w:val="030303"/>
          <w:kern w:val="0"/>
          <w:sz w:val="32"/>
          <w:szCs w:val="32"/>
        </w:rPr>
        <w:t>支出决算数为</w:t>
      </w:r>
      <w:r>
        <w:rPr>
          <w:rFonts w:hint="eastAsia" w:ascii="仿宋_GB2312" w:hAnsi="仿宋_GB2312" w:eastAsia="仿宋_GB2312" w:cs="仿宋_GB2312"/>
          <w:color w:val="030303"/>
          <w:kern w:val="0"/>
          <w:sz w:val="32"/>
          <w:szCs w:val="32"/>
          <w:lang w:val="en-US" w:eastAsia="zh-CN"/>
        </w:rPr>
        <w:t>43.48</w:t>
      </w:r>
      <w:r>
        <w:rPr>
          <w:rFonts w:hint="eastAsia" w:ascii="仿宋_GB2312" w:hAnsi="仿宋_GB2312" w:eastAsia="仿宋_GB2312" w:cs="仿宋_GB2312"/>
          <w:color w:val="030303"/>
          <w:kern w:val="0"/>
          <w:sz w:val="32"/>
          <w:szCs w:val="32"/>
        </w:rPr>
        <w:t>万元，完成预算100%。</w:t>
      </w:r>
    </w:p>
    <w:p>
      <w:pPr>
        <w:tabs>
          <w:tab w:val="right" w:pos="8306"/>
        </w:tabs>
        <w:spacing w:line="600" w:lineRule="exact"/>
        <w:ind w:firstLine="320" w:firstLineChars="100"/>
        <w:outlineLvl w:val="1"/>
        <w:rPr>
          <w:rStyle w:val="20"/>
          <w:rFonts w:hint="eastAsia" w:ascii="仿宋_GB2312" w:hAnsi="仿宋_GB2312" w:eastAsia="仿宋_GB2312" w:cs="仿宋_GB2312"/>
          <w:color w:val="auto"/>
          <w:highlight w:val="none"/>
        </w:rPr>
      </w:pPr>
      <w:bookmarkStart w:id="55" w:name="_Toc15377214"/>
      <w:bookmarkStart w:id="56" w:name="_Toc15396608"/>
      <w:bookmarkStart w:id="57" w:name="_Toc1950437793_WPSOffice_Level2"/>
      <w:r>
        <w:rPr>
          <w:rFonts w:hint="eastAsia" w:ascii="黑体" w:hAnsi="黑体" w:eastAsia="黑体" w:cs="黑体"/>
          <w:color w:val="auto"/>
          <w:sz w:val="32"/>
          <w:szCs w:val="32"/>
          <w:highlight w:val="none"/>
        </w:rPr>
        <w:t>六</w:t>
      </w:r>
      <w:r>
        <w:rPr>
          <w:rFonts w:hint="eastAsia" w:ascii="黑体" w:hAnsi="黑体" w:eastAsia="黑体" w:cs="黑体"/>
          <w:b/>
          <w:color w:val="auto"/>
          <w:sz w:val="32"/>
          <w:szCs w:val="32"/>
          <w:highlight w:val="none"/>
        </w:rPr>
        <w:t>、</w:t>
      </w:r>
      <w:r>
        <w:rPr>
          <w:rStyle w:val="20"/>
          <w:rFonts w:hint="eastAsia" w:ascii="黑体" w:hAnsi="黑体" w:eastAsia="黑体" w:cs="黑体"/>
          <w:b w:val="0"/>
          <w:color w:val="auto"/>
          <w:highlight w:val="none"/>
        </w:rPr>
        <w:t>一般公共预算财政拨款基本支出决算情况说明</w:t>
      </w:r>
      <w:bookmarkEnd w:id="55"/>
      <w:bookmarkEnd w:id="56"/>
      <w:bookmarkEnd w:id="57"/>
      <w:r>
        <w:rPr>
          <w:rStyle w:val="20"/>
          <w:rFonts w:hint="eastAsia" w:ascii="仿宋_GB2312" w:hAnsi="仿宋_GB2312" w:eastAsia="仿宋_GB2312" w:cs="仿宋_GB2312"/>
          <w:b w:val="0"/>
          <w:color w:val="auto"/>
          <w:highlight w:val="none"/>
        </w:rPr>
        <w:tab/>
      </w:r>
    </w:p>
    <w:p>
      <w:pPr>
        <w:spacing w:line="600" w:lineRule="exact"/>
        <w:ind w:firstLine="645"/>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20</w:t>
      </w: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年一般公共预算财政拨款基本支出</w:t>
      </w:r>
      <w:r>
        <w:rPr>
          <w:rFonts w:hint="eastAsia" w:ascii="仿宋_GB2312" w:hAnsi="仿宋_GB2312" w:eastAsia="仿宋_GB2312" w:cs="仿宋_GB2312"/>
          <w:color w:val="auto"/>
          <w:sz w:val="32"/>
          <w:szCs w:val="32"/>
          <w:highlight w:val="none"/>
          <w:lang w:val="en-US" w:eastAsia="zh-CN"/>
        </w:rPr>
        <w:t>571.76</w:t>
      </w:r>
      <w:r>
        <w:rPr>
          <w:rFonts w:hint="eastAsia" w:ascii="仿宋_GB2312" w:hAnsi="仿宋_GB2312" w:eastAsia="仿宋_GB2312" w:cs="仿宋_GB2312"/>
          <w:color w:val="auto"/>
          <w:sz w:val="32"/>
          <w:szCs w:val="32"/>
          <w:highlight w:val="none"/>
        </w:rPr>
        <w:t>万元，其中：</w:t>
      </w:r>
    </w:p>
    <w:p>
      <w:pPr>
        <w:spacing w:line="540" w:lineRule="exact"/>
        <w:ind w:firstLine="645"/>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rPr>
        <w:t>人员经费</w:t>
      </w:r>
      <w:r>
        <w:rPr>
          <w:rFonts w:hint="eastAsia" w:ascii="仿宋_GB2312" w:hAnsi="仿宋_GB2312" w:eastAsia="仿宋_GB2312" w:cs="仿宋_GB2312"/>
          <w:color w:val="000000"/>
          <w:sz w:val="32"/>
          <w:szCs w:val="32"/>
          <w:lang w:val="en-US" w:eastAsia="zh-CN"/>
        </w:rPr>
        <w:t>516</w:t>
      </w:r>
      <w:r>
        <w:rPr>
          <w:rFonts w:hint="eastAsia" w:ascii="仿宋_GB2312" w:hAnsi="仿宋_GB2312" w:eastAsia="仿宋_GB2312" w:cs="仿宋_GB2312"/>
          <w:color w:val="000000"/>
          <w:sz w:val="32"/>
          <w:szCs w:val="32"/>
        </w:rPr>
        <w:t>万元，主要包括：基本工资、津贴补贴、奖金、绩效工资、机关事业单位基本养老保险缴费、</w:t>
      </w:r>
      <w:r>
        <w:rPr>
          <w:rFonts w:hint="eastAsia" w:ascii="仿宋_GB2312" w:hAnsi="仿宋_GB2312" w:eastAsia="仿宋_GB2312" w:cs="仿宋_GB2312"/>
          <w:color w:val="000000"/>
          <w:sz w:val="32"/>
          <w:szCs w:val="32"/>
          <w:lang w:eastAsia="zh-CN"/>
        </w:rPr>
        <w:t>职业年金缴费、</w:t>
      </w:r>
      <w:r>
        <w:rPr>
          <w:rFonts w:hint="eastAsia" w:ascii="仿宋_GB2312" w:hAnsi="仿宋_GB2312" w:eastAsia="仿宋_GB2312" w:cs="仿宋_GB2312"/>
          <w:color w:val="000000"/>
          <w:sz w:val="32"/>
          <w:szCs w:val="32"/>
        </w:rPr>
        <w:t>职工基本医疗保险缴费、其他社会保障缴费、住房公积金、其他工资福利支出、生活补助、</w:t>
      </w:r>
      <w:r>
        <w:rPr>
          <w:rFonts w:hint="eastAsia" w:ascii="仿宋_GB2312" w:hAnsi="仿宋_GB2312" w:eastAsia="仿宋_GB2312" w:cs="仿宋_GB2312"/>
          <w:color w:val="000000"/>
          <w:sz w:val="32"/>
          <w:szCs w:val="32"/>
          <w:lang w:eastAsia="zh-CN"/>
        </w:rPr>
        <w:t>医疗费补助、</w:t>
      </w:r>
      <w:r>
        <w:rPr>
          <w:rFonts w:hint="eastAsia" w:ascii="仿宋_GB2312" w:hAnsi="仿宋_GB2312" w:eastAsia="仿宋_GB2312" w:cs="仿宋_GB2312"/>
          <w:color w:val="000000"/>
          <w:sz w:val="32"/>
          <w:szCs w:val="32"/>
        </w:rPr>
        <w:t>奖励金等。</w:t>
      </w:r>
    </w:p>
    <w:p>
      <w:pPr>
        <w:spacing w:line="540" w:lineRule="exact"/>
        <w:ind w:firstLine="645"/>
        <w:rPr>
          <w:rFonts w:hint="eastAsia" w:ascii="仿宋_GB2312" w:hAnsi="仿宋" w:eastAsia="仿宋_GB2312"/>
          <w:color w:val="000000"/>
          <w:sz w:val="32"/>
          <w:szCs w:val="32"/>
        </w:rPr>
      </w:pPr>
      <w:r>
        <w:rPr>
          <w:rFonts w:hint="eastAsia" w:ascii="仿宋_GB2312" w:hAnsi="仿宋" w:eastAsia="仿宋_GB2312"/>
          <w:color w:val="000000"/>
          <w:sz w:val="32"/>
          <w:szCs w:val="32"/>
        </w:rPr>
        <w:t>　　日常公用经费</w:t>
      </w:r>
      <w:r>
        <w:rPr>
          <w:rFonts w:hint="eastAsia" w:ascii="仿宋_GB2312" w:hAnsi="仿宋" w:eastAsia="仿宋_GB2312"/>
          <w:color w:val="000000"/>
          <w:sz w:val="32"/>
          <w:szCs w:val="32"/>
          <w:lang w:val="en-US" w:eastAsia="zh-CN"/>
        </w:rPr>
        <w:t>55.76</w:t>
      </w:r>
      <w:r>
        <w:rPr>
          <w:rFonts w:hint="eastAsia" w:ascii="仿宋_GB2312" w:hAnsi="仿宋" w:eastAsia="仿宋_GB2312"/>
          <w:color w:val="000000"/>
          <w:sz w:val="32"/>
          <w:szCs w:val="32"/>
        </w:rPr>
        <w:t>万元，主要包括：办公费、手续费、</w:t>
      </w:r>
      <w:r>
        <w:rPr>
          <w:rFonts w:hint="eastAsia" w:ascii="仿宋_GB2312" w:hAnsi="仿宋" w:eastAsia="仿宋_GB2312"/>
          <w:color w:val="000000"/>
          <w:sz w:val="32"/>
          <w:szCs w:val="32"/>
          <w:lang w:eastAsia="zh-CN"/>
        </w:rPr>
        <w:t>水费、</w:t>
      </w:r>
      <w:r>
        <w:rPr>
          <w:rFonts w:hint="eastAsia" w:ascii="仿宋_GB2312" w:hAnsi="仿宋" w:eastAsia="仿宋_GB2312"/>
          <w:color w:val="000000"/>
          <w:sz w:val="32"/>
          <w:szCs w:val="32"/>
        </w:rPr>
        <w:t>差旅费、</w:t>
      </w:r>
      <w:r>
        <w:rPr>
          <w:rFonts w:hint="eastAsia" w:ascii="仿宋_GB2312" w:hAnsi="仿宋" w:eastAsia="仿宋_GB2312"/>
          <w:color w:val="000000"/>
          <w:sz w:val="32"/>
          <w:szCs w:val="32"/>
          <w:lang w:eastAsia="zh-CN"/>
        </w:rPr>
        <w:t>租赁费、</w:t>
      </w:r>
      <w:r>
        <w:rPr>
          <w:rFonts w:hint="eastAsia" w:ascii="仿宋_GB2312" w:hAnsi="仿宋" w:eastAsia="仿宋_GB2312"/>
          <w:color w:val="000000"/>
          <w:sz w:val="32"/>
          <w:szCs w:val="32"/>
        </w:rPr>
        <w:t>会议费、培训费、公务接待费、工会经费、福利费、其他交通费、其他商品和服务支出等。</w:t>
      </w:r>
    </w:p>
    <w:p>
      <w:pPr>
        <w:spacing w:line="600" w:lineRule="exact"/>
        <w:ind w:firstLine="640"/>
        <w:rPr>
          <w:rFonts w:ascii="仿宋" w:hAnsi="仿宋" w:eastAsia="仿宋"/>
          <w:b/>
          <w:color w:val="auto"/>
          <w:sz w:val="32"/>
          <w:szCs w:val="32"/>
          <w:highlight w:val="none"/>
        </w:rPr>
      </w:pPr>
    </w:p>
    <w:p>
      <w:pPr>
        <w:spacing w:line="600" w:lineRule="exact"/>
        <w:ind w:firstLine="640"/>
        <w:outlineLvl w:val="1"/>
        <w:rPr>
          <w:rStyle w:val="20"/>
          <w:rFonts w:ascii="黑体" w:hAnsi="黑体" w:eastAsia="黑体"/>
          <w:b w:val="0"/>
          <w:color w:val="auto"/>
          <w:highlight w:val="none"/>
        </w:rPr>
      </w:pPr>
      <w:bookmarkStart w:id="58" w:name="_Toc15396609"/>
      <w:bookmarkStart w:id="59" w:name="_Toc15377215"/>
      <w:bookmarkStart w:id="60" w:name="_Toc29464689_WPSOffice_Level2"/>
      <w:r>
        <w:rPr>
          <w:rFonts w:hint="eastAsia" w:ascii="黑体" w:eastAsia="黑体"/>
          <w:color w:val="auto"/>
          <w:sz w:val="32"/>
          <w:szCs w:val="32"/>
          <w:highlight w:val="none"/>
        </w:rPr>
        <w:t>七、</w:t>
      </w:r>
      <w:r>
        <w:rPr>
          <w:rStyle w:val="20"/>
          <w:rFonts w:hint="eastAsia" w:ascii="黑体" w:hAnsi="黑体" w:eastAsia="黑体"/>
          <w:color w:val="auto"/>
          <w:highlight w:val="none"/>
        </w:rPr>
        <w:t>“</w:t>
      </w:r>
      <w:r>
        <w:rPr>
          <w:rStyle w:val="20"/>
          <w:rFonts w:hint="eastAsia" w:ascii="黑体" w:hAnsi="黑体" w:eastAsia="黑体"/>
          <w:b w:val="0"/>
          <w:color w:val="auto"/>
          <w:highlight w:val="none"/>
        </w:rPr>
        <w:t>三公”经费财政拨款支出决算情况说明</w:t>
      </w:r>
      <w:bookmarkEnd w:id="58"/>
      <w:bookmarkEnd w:id="59"/>
      <w:bookmarkEnd w:id="60"/>
    </w:p>
    <w:p>
      <w:pPr>
        <w:spacing w:line="600" w:lineRule="exact"/>
        <w:ind w:firstLine="640"/>
        <w:outlineLvl w:val="2"/>
        <w:rPr>
          <w:rFonts w:hint="eastAsia" w:ascii="楷体_GB2312" w:hAnsi="楷体_GB2312" w:eastAsia="楷体_GB2312" w:cs="楷体_GB2312"/>
          <w:b/>
          <w:color w:val="auto"/>
          <w:sz w:val="32"/>
          <w:szCs w:val="32"/>
          <w:highlight w:val="none"/>
        </w:rPr>
      </w:pPr>
      <w:bookmarkStart w:id="61" w:name="_Toc15377216"/>
      <w:r>
        <w:rPr>
          <w:rFonts w:hint="eastAsia" w:ascii="楷体_GB2312" w:hAnsi="楷体_GB2312" w:eastAsia="楷体_GB2312" w:cs="楷体_GB2312"/>
          <w:b/>
          <w:color w:val="auto"/>
          <w:sz w:val="32"/>
          <w:szCs w:val="32"/>
          <w:highlight w:val="none"/>
        </w:rPr>
        <w:t>（一）“三公”经费财政拨款支出决算总体情况说明</w:t>
      </w:r>
      <w:bookmarkEnd w:id="61"/>
    </w:p>
    <w:p>
      <w:pPr>
        <w:spacing w:line="540" w:lineRule="exact"/>
        <w:ind w:firstLine="640"/>
        <w:rPr>
          <w:rFonts w:hint="default" w:ascii="仿宋_GB2312" w:hAnsi="仿宋" w:eastAsia="仿宋_GB2312"/>
          <w:color w:val="000000"/>
          <w:sz w:val="32"/>
          <w:szCs w:val="32"/>
          <w:lang w:val="en-US" w:eastAsia="zh-CN"/>
        </w:rPr>
      </w:pPr>
      <w:r>
        <w:rPr>
          <w:rFonts w:hint="eastAsia" w:ascii="仿宋_GB2312" w:hAnsi="仿宋" w:eastAsia="仿宋_GB2312"/>
          <w:color w:val="000000"/>
          <w:sz w:val="32"/>
          <w:szCs w:val="32"/>
        </w:rPr>
        <w:t>202</w:t>
      </w:r>
      <w:r>
        <w:rPr>
          <w:rFonts w:hint="eastAsia" w:ascii="仿宋_GB2312" w:hAnsi="仿宋" w:eastAsia="仿宋_GB2312"/>
          <w:color w:val="000000"/>
          <w:sz w:val="32"/>
          <w:szCs w:val="32"/>
          <w:lang w:val="en-US" w:eastAsia="zh-CN"/>
        </w:rPr>
        <w:t>1</w:t>
      </w:r>
      <w:r>
        <w:rPr>
          <w:rFonts w:hint="eastAsia" w:ascii="仿宋_GB2312" w:hAnsi="仿宋" w:eastAsia="仿宋_GB2312"/>
          <w:color w:val="000000"/>
          <w:sz w:val="32"/>
          <w:szCs w:val="32"/>
        </w:rPr>
        <w:t>年“三公”经费财政拨款支出决算为</w:t>
      </w:r>
      <w:r>
        <w:rPr>
          <w:rFonts w:hint="eastAsia" w:ascii="仿宋_GB2312" w:hAnsi="仿宋" w:eastAsia="仿宋_GB2312"/>
          <w:color w:val="000000"/>
          <w:sz w:val="32"/>
          <w:szCs w:val="32"/>
          <w:lang w:val="en-US" w:eastAsia="zh-CN"/>
        </w:rPr>
        <w:t>1.64</w:t>
      </w:r>
      <w:r>
        <w:rPr>
          <w:rFonts w:hint="eastAsia" w:ascii="仿宋_GB2312" w:hAnsi="仿宋" w:eastAsia="仿宋_GB2312"/>
          <w:color w:val="000000"/>
          <w:sz w:val="32"/>
          <w:szCs w:val="32"/>
        </w:rPr>
        <w:t>万元，完成预算</w:t>
      </w:r>
      <w:r>
        <w:rPr>
          <w:rFonts w:hint="eastAsia" w:ascii="仿宋_GB2312" w:hAnsi="仿宋" w:eastAsia="仿宋_GB2312"/>
          <w:color w:val="000000"/>
          <w:sz w:val="32"/>
          <w:szCs w:val="32"/>
          <w:lang w:val="en-US" w:eastAsia="zh-CN"/>
        </w:rPr>
        <w:t>54</w:t>
      </w:r>
      <w:r>
        <w:rPr>
          <w:rFonts w:hint="eastAsia" w:ascii="仿宋_GB2312" w:hAnsi="仿宋" w:eastAsia="仿宋_GB2312"/>
          <w:color w:val="000000"/>
          <w:sz w:val="32"/>
          <w:szCs w:val="32"/>
        </w:rPr>
        <w:t>.</w:t>
      </w:r>
      <w:r>
        <w:rPr>
          <w:rFonts w:hint="eastAsia" w:ascii="仿宋_GB2312" w:hAnsi="仿宋" w:eastAsia="仿宋_GB2312"/>
          <w:color w:val="000000"/>
          <w:sz w:val="32"/>
          <w:szCs w:val="32"/>
          <w:lang w:val="en-US" w:eastAsia="zh-CN"/>
        </w:rPr>
        <w:t>67</w:t>
      </w:r>
      <w:r>
        <w:rPr>
          <w:rFonts w:hint="eastAsia" w:ascii="仿宋_GB2312" w:hAnsi="仿宋" w:eastAsia="仿宋_GB2312"/>
          <w:color w:val="000000"/>
          <w:sz w:val="32"/>
          <w:szCs w:val="32"/>
        </w:rPr>
        <w:t>%，决算数小于预算数的主要原因是</w:t>
      </w:r>
      <w:r>
        <w:rPr>
          <w:rFonts w:hint="eastAsia" w:ascii="仿宋_GB2312" w:hAnsi="仿宋" w:eastAsia="仿宋_GB2312"/>
          <w:color w:val="000000"/>
          <w:sz w:val="32"/>
          <w:szCs w:val="32"/>
          <w:lang w:eastAsia="zh-CN"/>
        </w:rPr>
        <w:t>公务接待频次及人数未达到年初预算时预计频次</w:t>
      </w:r>
      <w:r>
        <w:rPr>
          <w:rFonts w:hint="eastAsia" w:ascii="仿宋_GB2312" w:hAnsi="仿宋" w:eastAsia="仿宋_GB2312"/>
          <w:color w:val="000000"/>
          <w:sz w:val="32"/>
          <w:szCs w:val="32"/>
        </w:rPr>
        <w:t>。</w:t>
      </w:r>
      <w:r>
        <w:rPr>
          <w:rFonts w:hint="eastAsia" w:ascii="仿宋_GB2312" w:hAnsi="仿宋" w:eastAsia="仿宋_GB2312"/>
          <w:color w:val="000000"/>
          <w:sz w:val="32"/>
          <w:szCs w:val="32"/>
          <w:lang w:val="en-US" w:eastAsia="zh-CN"/>
        </w:rPr>
        <w:t>2021年“三公”经费财政拨款支出决算较2020年增加0.96万元，增长141.18%，主要原因是2021年疫情缓和，接待其他市州来我中心考察调研频次增多，导致公务接待费增加。</w:t>
      </w:r>
    </w:p>
    <w:p>
      <w:pPr>
        <w:spacing w:line="600" w:lineRule="exact"/>
        <w:ind w:firstLine="640"/>
        <w:outlineLvl w:val="2"/>
        <w:rPr>
          <w:rFonts w:hint="eastAsia" w:ascii="楷体_GB2312" w:hAnsi="楷体_GB2312" w:eastAsia="楷体_GB2312" w:cs="楷体_GB2312"/>
          <w:b/>
          <w:color w:val="auto"/>
          <w:sz w:val="32"/>
          <w:szCs w:val="32"/>
          <w:highlight w:val="none"/>
        </w:rPr>
      </w:pPr>
      <w:bookmarkStart w:id="62" w:name="_Toc15377217"/>
      <w:r>
        <w:rPr>
          <w:rFonts w:hint="eastAsia" w:ascii="楷体_GB2312" w:hAnsi="楷体_GB2312" w:eastAsia="楷体_GB2312" w:cs="楷体_GB2312"/>
          <w:b/>
          <w:color w:val="auto"/>
          <w:sz w:val="32"/>
          <w:szCs w:val="32"/>
          <w:highlight w:val="none"/>
        </w:rPr>
        <w:t>（二）“三公”经费财政拨款支出决算具体情况说明</w:t>
      </w:r>
      <w:bookmarkEnd w:id="62"/>
    </w:p>
    <w:p>
      <w:pPr>
        <w:spacing w:line="600" w:lineRule="exact"/>
        <w:ind w:firstLine="640"/>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年“三公”经费财政拨款支出决算中，因公出国（境）费支出决算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；公务用车购置及运行维护费支出决算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；公务接待费支出决算</w:t>
      </w:r>
      <w:r>
        <w:rPr>
          <w:rFonts w:hint="eastAsia" w:ascii="仿宋" w:hAnsi="仿宋" w:eastAsia="仿宋"/>
          <w:color w:val="auto"/>
          <w:sz w:val="32"/>
          <w:szCs w:val="32"/>
          <w:highlight w:val="none"/>
          <w:lang w:val="en-US" w:eastAsia="zh-CN"/>
        </w:rPr>
        <w:t>1.64</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。具体情况如下：</w:t>
      </w:r>
    </w:p>
    <w:p>
      <w:pPr>
        <w:pStyle w:val="6"/>
        <w:rPr>
          <w:rFonts w:hint="eastAsia" w:ascii="仿宋_GB2312" w:hAnsi="仿宋" w:eastAsia="仿宋_GB2312"/>
          <w:color w:val="000000"/>
          <w:sz w:val="32"/>
          <w:szCs w:val="32"/>
          <w:lang w:eastAsia="zh-CN"/>
        </w:rPr>
      </w:pPr>
      <w:r>
        <w:rPr>
          <w:rFonts w:hint="eastAsia" w:ascii="仿宋_GB2312" w:hAnsi="仿宋" w:eastAsia="仿宋_GB2312"/>
          <w:color w:val="000000"/>
          <w:sz w:val="32"/>
          <w:szCs w:val="32"/>
          <w:lang w:eastAsia="zh-CN"/>
        </w:rPr>
        <w:drawing>
          <wp:inline distT="0" distB="0" distL="114300" distR="114300">
            <wp:extent cx="5080000" cy="3067050"/>
            <wp:effectExtent l="4445" t="4445" r="20955" b="1460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spacing w:line="600" w:lineRule="exact"/>
        <w:jc w:val="center"/>
        <w:rPr>
          <w:rFonts w:hint="eastAsia" w:ascii="楷体_GB2312" w:hAnsi="楷体_GB2312" w:eastAsia="楷体_GB2312" w:cs="楷体_GB2312"/>
          <w:color w:val="auto"/>
          <w:sz w:val="32"/>
          <w:szCs w:val="32"/>
          <w:highlight w:val="none"/>
        </w:rPr>
      </w:pPr>
      <w:r>
        <w:rPr>
          <w:rFonts w:hint="eastAsia" w:ascii="楷体_GB2312" w:hAnsi="楷体_GB2312" w:eastAsia="楷体_GB2312" w:cs="楷体_GB2312"/>
          <w:color w:val="auto"/>
          <w:sz w:val="32"/>
          <w:szCs w:val="32"/>
          <w:highlight w:val="none"/>
        </w:rPr>
        <w:t>（图7：“三公”经费财政拨款支出结构）</w:t>
      </w:r>
    </w:p>
    <w:p>
      <w:pPr>
        <w:spacing w:line="540" w:lineRule="exact"/>
        <w:ind w:firstLine="640"/>
        <w:rPr>
          <w:rFonts w:hint="eastAsia" w:ascii="仿宋_GB2312" w:hAnsi="仿宋" w:eastAsia="仿宋_GB2312"/>
          <w:color w:val="000000"/>
          <w:sz w:val="32"/>
          <w:szCs w:val="32"/>
          <w:lang w:eastAsia="zh-CN"/>
        </w:rPr>
      </w:pPr>
      <w:r>
        <w:rPr>
          <w:rFonts w:hint="eastAsia" w:ascii="仿宋_GB2312" w:hAnsi="仿宋" w:eastAsia="仿宋_GB2312"/>
          <w:b/>
          <w:bCs/>
          <w:color w:val="000000"/>
          <w:sz w:val="32"/>
          <w:szCs w:val="32"/>
        </w:rPr>
        <w:t>1.因公出国（境）经费支出</w:t>
      </w:r>
      <w:r>
        <w:rPr>
          <w:rFonts w:hint="eastAsia" w:ascii="仿宋_GB2312" w:hAnsi="仿宋" w:eastAsia="仿宋_GB2312"/>
          <w:color w:val="000000"/>
          <w:sz w:val="32"/>
          <w:szCs w:val="32"/>
        </w:rPr>
        <w:t>0万元，</w:t>
      </w:r>
      <w:r>
        <w:rPr>
          <w:rFonts w:hint="eastAsia" w:ascii="仿宋_GB2312" w:hAnsi="仿宋" w:eastAsia="仿宋_GB2312"/>
          <w:color w:val="000000"/>
          <w:sz w:val="32"/>
          <w:szCs w:val="32"/>
          <w:lang w:eastAsia="zh-CN"/>
        </w:rPr>
        <w:t>年初未安排因公出国（境）预算，支出数与上年持平。</w:t>
      </w:r>
    </w:p>
    <w:p>
      <w:pPr>
        <w:spacing w:line="600" w:lineRule="exact"/>
        <w:ind w:firstLine="643" w:firstLineChars="200"/>
        <w:rPr>
          <w:rStyle w:val="17"/>
          <w:rFonts w:hint="eastAsia" w:ascii="仿宋" w:hAnsi="仿宋" w:eastAsia="仿宋"/>
          <w:b w:val="0"/>
          <w:bCs/>
          <w:color w:val="auto"/>
          <w:sz w:val="32"/>
          <w:szCs w:val="32"/>
          <w:highlight w:val="none"/>
        </w:rPr>
      </w:pPr>
      <w:r>
        <w:rPr>
          <w:rFonts w:ascii="仿宋_GB2312" w:eastAsia="仿宋_GB2312"/>
          <w:b/>
          <w:color w:val="auto"/>
          <w:sz w:val="32"/>
          <w:szCs w:val="32"/>
          <w:highlight w:val="none"/>
        </w:rPr>
        <w:t>2.</w:t>
      </w:r>
      <w:r>
        <w:rPr>
          <w:rFonts w:hint="eastAsia" w:ascii="仿宋_GB2312" w:eastAsia="仿宋_GB2312"/>
          <w:b/>
          <w:color w:val="auto"/>
          <w:sz w:val="32"/>
          <w:szCs w:val="32"/>
          <w:highlight w:val="none"/>
        </w:rPr>
        <w:t>公务用车购置及运行维护费支出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Style w:val="17"/>
          <w:rFonts w:hint="eastAsia" w:ascii="仿宋" w:hAnsi="仿宋" w:eastAsia="仿宋"/>
          <w:b w:val="0"/>
          <w:bCs/>
          <w:color w:val="auto"/>
          <w:sz w:val="32"/>
          <w:szCs w:val="32"/>
          <w:highlight w:val="none"/>
          <w:lang w:eastAsia="zh-CN"/>
        </w:rPr>
        <w:t>年初未安排公务用车购置及运行维护费，支出数与上年持平</w:t>
      </w:r>
      <w:r>
        <w:rPr>
          <w:rStyle w:val="17"/>
          <w:rFonts w:hint="eastAsia" w:ascii="仿宋" w:hAnsi="仿宋" w:eastAsia="仿宋"/>
          <w:b w:val="0"/>
          <w:bCs/>
          <w:color w:val="auto"/>
          <w:sz w:val="32"/>
          <w:szCs w:val="32"/>
          <w:highlight w:val="none"/>
        </w:rPr>
        <w:t>。</w:t>
      </w:r>
    </w:p>
    <w:p>
      <w:pPr>
        <w:spacing w:line="600" w:lineRule="exact"/>
        <w:ind w:firstLine="640" w:firstLineChars="200"/>
        <w:rPr>
          <w:rFonts w:ascii="仿宋_GB2312" w:eastAsia="仿宋_GB2312"/>
          <w:b/>
          <w:color w:val="auto"/>
          <w:sz w:val="32"/>
          <w:szCs w:val="32"/>
          <w:highlight w:val="none"/>
        </w:rPr>
      </w:pPr>
      <w:r>
        <w:rPr>
          <w:rFonts w:hint="eastAsia" w:ascii="仿宋_GB2312" w:eastAsia="仿宋_GB2312"/>
          <w:color w:val="auto"/>
          <w:sz w:val="32"/>
          <w:szCs w:val="32"/>
          <w:highlight w:val="none"/>
        </w:rPr>
        <w:t>其中：</w:t>
      </w:r>
      <w:r>
        <w:rPr>
          <w:rFonts w:hint="eastAsia" w:ascii="仿宋_GB2312" w:eastAsia="仿宋_GB2312"/>
          <w:b/>
          <w:color w:val="auto"/>
          <w:sz w:val="32"/>
          <w:szCs w:val="32"/>
          <w:highlight w:val="none"/>
        </w:rPr>
        <w:t>公务用车购置支出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万元。截至</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月底，单位共有公务用车</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w:t>
      </w:r>
    </w:p>
    <w:p>
      <w:pPr>
        <w:spacing w:line="580" w:lineRule="exact"/>
        <w:ind w:firstLine="643" w:firstLineChars="200"/>
        <w:outlineLvl w:val="1"/>
        <w:rPr>
          <w:rFonts w:hint="eastAsia" w:ascii="仿宋_GB2312" w:eastAsia="仿宋_GB2312"/>
          <w:color w:val="auto"/>
          <w:sz w:val="32"/>
          <w:szCs w:val="32"/>
          <w:highlight w:val="none"/>
        </w:rPr>
      </w:pPr>
      <w:r>
        <w:rPr>
          <w:rFonts w:hint="eastAsia" w:ascii="仿宋_GB2312" w:eastAsia="仿宋_GB2312"/>
          <w:b/>
          <w:color w:val="auto"/>
          <w:sz w:val="32"/>
          <w:szCs w:val="32"/>
          <w:highlight w:val="none"/>
        </w:rPr>
        <w:t>公务用车运行维护费支出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pPr>
        <w:spacing w:line="580" w:lineRule="exact"/>
        <w:ind w:firstLine="643" w:firstLineChars="200"/>
        <w:outlineLvl w:val="1"/>
        <w:rPr>
          <w:rFonts w:hint="eastAsia" w:ascii="仿宋_GB2312" w:hAnsi="仿宋" w:eastAsia="仿宋_GB2312"/>
          <w:color w:val="000000"/>
          <w:sz w:val="32"/>
          <w:szCs w:val="32"/>
        </w:rPr>
      </w:pPr>
      <w:r>
        <w:rPr>
          <w:rFonts w:ascii="仿宋_GB2312" w:eastAsia="仿宋_GB2312"/>
          <w:b/>
          <w:color w:val="auto"/>
          <w:sz w:val="32"/>
          <w:szCs w:val="32"/>
          <w:highlight w:val="none"/>
        </w:rPr>
        <w:t>3.</w:t>
      </w:r>
      <w:r>
        <w:rPr>
          <w:rFonts w:hint="eastAsia" w:ascii="仿宋_GB2312" w:eastAsia="仿宋_GB2312"/>
          <w:b/>
          <w:color w:val="auto"/>
          <w:sz w:val="32"/>
          <w:szCs w:val="32"/>
          <w:highlight w:val="none"/>
        </w:rPr>
        <w:t>公务接待费支出</w:t>
      </w:r>
      <w:r>
        <w:rPr>
          <w:rFonts w:hint="eastAsia" w:ascii="仿宋_GB2312" w:eastAsia="仿宋_GB2312"/>
          <w:color w:val="auto"/>
          <w:sz w:val="32"/>
          <w:szCs w:val="32"/>
          <w:highlight w:val="none"/>
          <w:lang w:val="en-US" w:eastAsia="zh-CN"/>
        </w:rPr>
        <w:t>1.64</w:t>
      </w:r>
      <w:r>
        <w:rPr>
          <w:rFonts w:hint="eastAsia" w:ascii="仿宋_GB2312" w:eastAsia="仿宋_GB2312"/>
          <w:color w:val="auto"/>
          <w:sz w:val="32"/>
          <w:szCs w:val="32"/>
          <w:highlight w:val="none"/>
        </w:rPr>
        <w:t>万元，</w:t>
      </w:r>
      <w:r>
        <w:rPr>
          <w:rStyle w:val="17"/>
          <w:rFonts w:hint="eastAsia" w:ascii="仿宋" w:hAnsi="仿宋" w:eastAsia="仿宋"/>
          <w:b w:val="0"/>
          <w:bCs/>
          <w:color w:val="auto"/>
          <w:sz w:val="32"/>
          <w:szCs w:val="32"/>
          <w:highlight w:val="none"/>
        </w:rPr>
        <w:t>完成预算</w:t>
      </w:r>
      <w:r>
        <w:rPr>
          <w:rStyle w:val="17"/>
          <w:rFonts w:hint="eastAsia" w:ascii="仿宋" w:hAnsi="仿宋" w:eastAsia="仿宋"/>
          <w:b w:val="0"/>
          <w:bCs/>
          <w:color w:val="auto"/>
          <w:sz w:val="32"/>
          <w:szCs w:val="32"/>
          <w:highlight w:val="none"/>
          <w:lang w:val="en-US" w:eastAsia="zh-CN"/>
        </w:rPr>
        <w:t>54.67</w:t>
      </w:r>
      <w:r>
        <w:rPr>
          <w:rStyle w:val="17"/>
          <w:rFonts w:ascii="仿宋" w:hAnsi="仿宋" w:eastAsia="仿宋"/>
          <w:b w:val="0"/>
          <w:bCs/>
          <w:color w:val="auto"/>
          <w:sz w:val="32"/>
          <w:szCs w:val="32"/>
          <w:highlight w:val="none"/>
        </w:rPr>
        <w:t>%</w:t>
      </w:r>
      <w:r>
        <w:rPr>
          <w:rStyle w:val="17"/>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公务接待费支出决算比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20</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eastAsia="zh-CN"/>
        </w:rPr>
        <w:t>增加</w:t>
      </w:r>
      <w:r>
        <w:rPr>
          <w:rFonts w:hint="eastAsia" w:ascii="仿宋_GB2312" w:eastAsia="仿宋_GB2312"/>
          <w:color w:val="auto"/>
          <w:sz w:val="32"/>
          <w:szCs w:val="32"/>
          <w:highlight w:val="none"/>
          <w:lang w:val="en-US" w:eastAsia="zh-CN"/>
        </w:rPr>
        <w:t>0.96</w:t>
      </w:r>
      <w:r>
        <w:rPr>
          <w:rFonts w:hint="eastAsia" w:ascii="仿宋_GB2312" w:eastAsia="仿宋_GB2312"/>
          <w:color w:val="auto"/>
          <w:sz w:val="32"/>
          <w:szCs w:val="32"/>
          <w:highlight w:val="none"/>
        </w:rPr>
        <w:t>万元，增长</w:t>
      </w:r>
      <w:r>
        <w:rPr>
          <w:rFonts w:hint="eastAsia" w:ascii="仿宋_GB2312" w:eastAsia="仿宋_GB2312"/>
          <w:color w:val="auto"/>
          <w:sz w:val="32"/>
          <w:szCs w:val="32"/>
          <w:highlight w:val="none"/>
          <w:lang w:val="en-US" w:eastAsia="zh-CN"/>
        </w:rPr>
        <w:t>141.18</w:t>
      </w:r>
      <w:r>
        <w:rPr>
          <w:rFonts w:ascii="仿宋_GB2312" w:eastAsia="仿宋_GB2312"/>
          <w:color w:val="auto"/>
          <w:sz w:val="32"/>
          <w:szCs w:val="32"/>
          <w:highlight w:val="none"/>
        </w:rPr>
        <w:t>%</w:t>
      </w:r>
      <w:r>
        <w:rPr>
          <w:rFonts w:hint="eastAsia" w:ascii="仿宋_GB2312" w:eastAsia="仿宋_GB2312"/>
          <w:color w:val="auto"/>
          <w:sz w:val="32"/>
          <w:szCs w:val="32"/>
          <w:highlight w:val="none"/>
        </w:rPr>
        <w:t>。</w:t>
      </w:r>
      <w:r>
        <w:rPr>
          <w:rFonts w:hint="eastAsia" w:ascii="仿宋_GB2312" w:hAnsi="仿宋" w:eastAsia="仿宋_GB2312"/>
          <w:color w:val="000000"/>
          <w:sz w:val="32"/>
          <w:szCs w:val="32"/>
        </w:rPr>
        <w:t>主要原因</w:t>
      </w:r>
      <w:r>
        <w:rPr>
          <w:rFonts w:hint="eastAsia" w:ascii="仿宋_GB2312" w:hAnsi="仿宋" w:eastAsia="仿宋_GB2312"/>
          <w:color w:val="000000"/>
          <w:sz w:val="32"/>
          <w:szCs w:val="32"/>
          <w:lang w:val="en-US" w:eastAsia="zh-CN"/>
        </w:rPr>
        <w:t>是2021年疫情缓和，接待其他市州来我中心考察调研频次增多，导致公务接待费增加</w:t>
      </w:r>
      <w:r>
        <w:rPr>
          <w:rFonts w:hint="eastAsia" w:ascii="仿宋_GB2312" w:hAnsi="仿宋" w:eastAsia="仿宋_GB2312"/>
          <w:color w:val="000000"/>
          <w:sz w:val="32"/>
          <w:szCs w:val="32"/>
        </w:rPr>
        <w:t>。其中：</w:t>
      </w:r>
    </w:p>
    <w:p>
      <w:pPr>
        <w:spacing w:line="580" w:lineRule="exact"/>
        <w:ind w:firstLine="643" w:firstLineChars="200"/>
        <w:outlineLvl w:val="1"/>
        <w:rPr>
          <w:rFonts w:hint="eastAsia" w:ascii="仿宋_GB2312" w:hAnsi="仿宋" w:eastAsia="仿宋_GB2312"/>
          <w:color w:val="000000"/>
          <w:sz w:val="32"/>
          <w:szCs w:val="32"/>
        </w:rPr>
      </w:pPr>
      <w:r>
        <w:rPr>
          <w:rFonts w:hint="eastAsia" w:ascii="仿宋_GB2312" w:hAnsi="仿宋" w:eastAsia="仿宋_GB2312"/>
          <w:b/>
          <w:bCs/>
          <w:color w:val="000000"/>
          <w:sz w:val="32"/>
          <w:szCs w:val="32"/>
        </w:rPr>
        <w:t>国内公务接待支出</w:t>
      </w:r>
      <w:r>
        <w:rPr>
          <w:rFonts w:hint="eastAsia" w:ascii="仿宋_GB2312" w:hAnsi="仿宋" w:eastAsia="仿宋_GB2312"/>
          <w:color w:val="000000"/>
          <w:sz w:val="32"/>
          <w:szCs w:val="32"/>
          <w:lang w:val="en-US" w:eastAsia="zh-CN"/>
        </w:rPr>
        <w:t>1.64</w:t>
      </w:r>
      <w:r>
        <w:rPr>
          <w:rFonts w:hint="eastAsia" w:ascii="仿宋_GB2312" w:hAnsi="仿宋" w:eastAsia="仿宋_GB2312"/>
          <w:color w:val="000000"/>
          <w:sz w:val="32"/>
          <w:szCs w:val="32"/>
        </w:rPr>
        <w:t>万元，主要用于执行公务、开展业务活动开支的用餐费。国内公务接待</w:t>
      </w:r>
      <w:r>
        <w:rPr>
          <w:rFonts w:hint="eastAsia" w:ascii="仿宋_GB2312" w:hAnsi="仿宋" w:eastAsia="仿宋_GB2312"/>
          <w:color w:val="000000"/>
          <w:sz w:val="32"/>
          <w:szCs w:val="32"/>
          <w:lang w:val="en-US" w:eastAsia="zh-CN"/>
        </w:rPr>
        <w:t>11</w:t>
      </w:r>
      <w:r>
        <w:rPr>
          <w:rFonts w:hint="eastAsia" w:ascii="仿宋_GB2312" w:hAnsi="仿宋" w:eastAsia="仿宋_GB2312"/>
          <w:color w:val="000000"/>
          <w:sz w:val="32"/>
          <w:szCs w:val="32"/>
        </w:rPr>
        <w:t>批次</w:t>
      </w:r>
      <w:r>
        <w:rPr>
          <w:rFonts w:hint="eastAsia" w:ascii="仿宋_GB2312" w:hAnsi="仿宋" w:eastAsia="仿宋_GB2312"/>
          <w:color w:val="000000"/>
          <w:sz w:val="32"/>
          <w:szCs w:val="32"/>
          <w:lang w:val="en-US" w:eastAsia="zh-CN"/>
        </w:rPr>
        <w:t>170</w:t>
      </w:r>
      <w:r>
        <w:rPr>
          <w:rFonts w:hint="eastAsia" w:ascii="仿宋_GB2312" w:hAnsi="仿宋" w:eastAsia="仿宋_GB2312"/>
          <w:color w:val="000000"/>
          <w:sz w:val="32"/>
          <w:szCs w:val="32"/>
        </w:rPr>
        <w:t>人次（不包括陪同人员），共计支出</w:t>
      </w:r>
      <w:r>
        <w:rPr>
          <w:rFonts w:hint="eastAsia" w:ascii="仿宋_GB2312" w:hAnsi="仿宋" w:eastAsia="仿宋_GB2312"/>
          <w:color w:val="000000"/>
          <w:sz w:val="32"/>
          <w:szCs w:val="32"/>
          <w:lang w:val="en-US" w:eastAsia="zh-CN"/>
        </w:rPr>
        <w:t>1.63</w:t>
      </w:r>
      <w:r>
        <w:rPr>
          <w:rFonts w:hint="eastAsia" w:ascii="仿宋_GB2312" w:hAnsi="仿宋" w:eastAsia="仿宋_GB2312"/>
          <w:color w:val="000000"/>
          <w:sz w:val="32"/>
          <w:szCs w:val="32"/>
        </w:rPr>
        <w:t>万元，具体内容包括：其他地市州及市辖县区赴广调研、学习考察等公务接待活动。</w:t>
      </w:r>
    </w:p>
    <w:p>
      <w:pPr>
        <w:spacing w:line="600" w:lineRule="exact"/>
        <w:ind w:firstLine="643" w:firstLineChars="200"/>
        <w:rPr>
          <w:rFonts w:hint="eastAsia" w:ascii="仿宋_GB2312" w:eastAsia="仿宋_GB2312"/>
          <w:color w:val="auto"/>
          <w:sz w:val="32"/>
          <w:szCs w:val="32"/>
          <w:highlight w:val="none"/>
          <w:lang w:eastAsia="zh-CN"/>
        </w:rPr>
      </w:pPr>
      <w:r>
        <w:rPr>
          <w:rFonts w:hint="eastAsia" w:ascii="仿宋_GB2312" w:hAnsi="仿宋" w:eastAsia="仿宋_GB2312"/>
          <w:b/>
          <w:bCs/>
          <w:color w:val="000000"/>
          <w:sz w:val="32"/>
          <w:szCs w:val="32"/>
        </w:rPr>
        <w:t>外事接待支出</w:t>
      </w:r>
      <w:r>
        <w:rPr>
          <w:rFonts w:hint="eastAsia" w:ascii="仿宋_GB2312" w:hAnsi="仿宋" w:eastAsia="仿宋_GB2312"/>
          <w:color w:val="000000"/>
          <w:sz w:val="32"/>
          <w:szCs w:val="32"/>
        </w:rPr>
        <w:t>0万元</w:t>
      </w:r>
      <w:r>
        <w:rPr>
          <w:rFonts w:hint="eastAsia" w:ascii="仿宋_GB2312" w:eastAsia="仿宋_GB2312"/>
          <w:color w:val="auto"/>
          <w:sz w:val="32"/>
          <w:szCs w:val="32"/>
          <w:highlight w:val="none"/>
          <w:lang w:eastAsia="zh-CN"/>
        </w:rPr>
        <w:t>。</w:t>
      </w:r>
    </w:p>
    <w:p>
      <w:pPr>
        <w:spacing w:line="600" w:lineRule="exact"/>
        <w:ind w:firstLine="640"/>
        <w:outlineLvl w:val="1"/>
        <w:rPr>
          <w:rStyle w:val="20"/>
          <w:rFonts w:ascii="黑体" w:hAnsi="黑体" w:eastAsia="黑体"/>
          <w:color w:val="auto"/>
          <w:highlight w:val="none"/>
        </w:rPr>
      </w:pPr>
      <w:bookmarkStart w:id="63" w:name="_Toc121537425_WPSOffice_Level2"/>
      <w:bookmarkStart w:id="64" w:name="_Toc15377218"/>
      <w:bookmarkStart w:id="65" w:name="_Toc15396610"/>
      <w:r>
        <w:rPr>
          <w:rFonts w:hint="eastAsia" w:ascii="黑体" w:eastAsia="黑体"/>
          <w:color w:val="auto"/>
          <w:sz w:val="32"/>
          <w:szCs w:val="32"/>
          <w:highlight w:val="none"/>
        </w:rPr>
        <w:t>八、</w:t>
      </w:r>
      <w:r>
        <w:rPr>
          <w:rStyle w:val="20"/>
          <w:rFonts w:hint="eastAsia" w:ascii="黑体" w:hAnsi="黑体" w:eastAsia="黑体"/>
          <w:b w:val="0"/>
          <w:color w:val="auto"/>
          <w:highlight w:val="none"/>
        </w:rPr>
        <w:t>政府性基金预算支出决算情况说明</w:t>
      </w:r>
      <w:bookmarkEnd w:id="63"/>
      <w:bookmarkEnd w:id="64"/>
      <w:bookmarkEnd w:id="65"/>
    </w:p>
    <w:p>
      <w:pPr>
        <w:spacing w:line="600" w:lineRule="exact"/>
        <w:ind w:firstLine="640"/>
        <w:rPr>
          <w:rFonts w:hint="eastAsia" w:ascii="仿宋_GB2312" w:eastAsia="仿宋_GB2312"/>
          <w:color w:val="auto"/>
          <w:sz w:val="32"/>
          <w:szCs w:val="32"/>
          <w:highlight w:val="none"/>
          <w:lang w:eastAsia="zh-CN"/>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年政府性基金预算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，未使用政府性基金预算财政拨款安排“三公”经费支出。</w:t>
      </w:r>
    </w:p>
    <w:p>
      <w:pPr>
        <w:numPr>
          <w:ilvl w:val="0"/>
          <w:numId w:val="3"/>
        </w:numPr>
        <w:spacing w:line="600" w:lineRule="exact"/>
        <w:ind w:firstLine="640"/>
        <w:outlineLvl w:val="1"/>
        <w:rPr>
          <w:rStyle w:val="20"/>
          <w:rFonts w:ascii="黑体" w:hAnsi="黑体" w:eastAsia="黑体"/>
          <w:b w:val="0"/>
          <w:color w:val="auto"/>
          <w:highlight w:val="none"/>
        </w:rPr>
      </w:pPr>
      <w:bookmarkStart w:id="66" w:name="_Toc1632359369_WPSOffice_Level2"/>
      <w:bookmarkStart w:id="67" w:name="_Toc15396611"/>
      <w:bookmarkStart w:id="68" w:name="_Toc15377219"/>
      <w:r>
        <w:rPr>
          <w:rStyle w:val="20"/>
          <w:rFonts w:hint="eastAsia" w:ascii="黑体" w:hAnsi="黑体" w:eastAsia="黑体"/>
          <w:b w:val="0"/>
          <w:color w:val="auto"/>
          <w:highlight w:val="none"/>
        </w:rPr>
        <w:t>国有资本经营预算支出决算情况说明</w:t>
      </w:r>
      <w:bookmarkEnd w:id="66"/>
      <w:bookmarkEnd w:id="67"/>
      <w:bookmarkEnd w:id="68"/>
    </w:p>
    <w:p>
      <w:pPr>
        <w:spacing w:line="600" w:lineRule="exact"/>
        <w:ind w:firstLine="640"/>
        <w:rPr>
          <w:rFonts w:hint="eastAsia"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年国有资本经营预算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bookmarkStart w:id="69" w:name="_Toc15377221"/>
      <w:bookmarkStart w:id="70" w:name="_Toc15396612"/>
    </w:p>
    <w:p>
      <w:pPr>
        <w:numPr>
          <w:ilvl w:val="0"/>
          <w:numId w:val="3"/>
        </w:numPr>
        <w:spacing w:line="600" w:lineRule="exact"/>
        <w:ind w:firstLine="640"/>
        <w:outlineLvl w:val="1"/>
        <w:rPr>
          <w:rStyle w:val="20"/>
          <w:rFonts w:hint="eastAsia" w:ascii="黑体" w:hAnsi="黑体" w:eastAsia="黑体"/>
          <w:b w:val="0"/>
          <w:color w:val="auto"/>
          <w:highlight w:val="none"/>
        </w:rPr>
      </w:pPr>
      <w:bookmarkStart w:id="71" w:name="_Toc379224359_WPSOffice_Level2"/>
      <w:r>
        <w:rPr>
          <w:rStyle w:val="20"/>
          <w:rFonts w:hint="eastAsia" w:ascii="黑体" w:hAnsi="黑体" w:eastAsia="黑体"/>
          <w:b w:val="0"/>
          <w:color w:val="auto"/>
          <w:highlight w:val="none"/>
          <w:lang w:val="en-US" w:eastAsia="zh-CN"/>
        </w:rPr>
        <w:t>预算绩效管理情况</w:t>
      </w:r>
      <w:bookmarkEnd w:id="71"/>
    </w:p>
    <w:p>
      <w:pPr>
        <w:spacing w:line="540" w:lineRule="exact"/>
        <w:ind w:firstLine="640" w:firstLineChars="200"/>
        <w:rPr>
          <w:rFonts w:hint="eastAsia" w:ascii="仿宋_GB2312" w:hAnsi="仿宋" w:eastAsia="仿宋_GB2312"/>
          <w:color w:val="000000"/>
          <w:sz w:val="32"/>
          <w:szCs w:val="32"/>
        </w:rPr>
      </w:pPr>
      <w:r>
        <w:rPr>
          <w:rFonts w:hint="eastAsia" w:ascii="仿宋_GB2312" w:hAnsi="仿宋_GB2312" w:eastAsia="仿宋_GB2312" w:cs="仿宋_GB2312"/>
          <w:color w:val="auto"/>
          <w:sz w:val="32"/>
          <w:szCs w:val="32"/>
          <w:highlight w:val="none"/>
        </w:rPr>
        <w:t>根据预算绩效管理要求，本部门在</w:t>
      </w:r>
      <w:r>
        <w:rPr>
          <w:rFonts w:hint="eastAsia" w:ascii="仿宋_GB2312" w:hAnsi="仿宋_GB2312" w:eastAsia="仿宋_GB2312" w:cs="仿宋_GB2312"/>
          <w:color w:val="auto"/>
          <w:sz w:val="32"/>
          <w:szCs w:val="32"/>
          <w:highlight w:val="none"/>
          <w:lang w:val="en-US" w:eastAsia="zh-CN"/>
        </w:rPr>
        <w:t>2021年度</w:t>
      </w:r>
      <w:r>
        <w:rPr>
          <w:rFonts w:hint="eastAsia" w:ascii="仿宋_GB2312" w:hAnsi="仿宋_GB2312" w:eastAsia="仿宋_GB2312" w:cs="仿宋_GB2312"/>
          <w:color w:val="auto"/>
          <w:sz w:val="32"/>
          <w:szCs w:val="32"/>
          <w:highlight w:val="none"/>
        </w:rPr>
        <w:t>预算编制阶段，组织对</w:t>
      </w:r>
      <w:r>
        <w:rPr>
          <w:rFonts w:hint="eastAsia" w:ascii="仿宋_GB2312" w:hAnsi="仿宋_GB2312" w:eastAsia="仿宋_GB2312" w:cs="仿宋_GB2312"/>
          <w:color w:val="auto"/>
          <w:sz w:val="32"/>
          <w:szCs w:val="32"/>
          <w:highlight w:val="none"/>
          <w:lang w:eastAsia="zh-CN"/>
        </w:rPr>
        <w:t>网络及信息系统运维费、政务中心综合楼日常运维费</w:t>
      </w:r>
      <w:r>
        <w:rPr>
          <w:rFonts w:hint="eastAsia" w:ascii="仿宋_GB2312" w:hAnsi="仿宋_GB2312" w:eastAsia="仿宋_GB2312" w:cs="仿宋_GB2312"/>
          <w:color w:val="auto"/>
          <w:sz w:val="32"/>
          <w:szCs w:val="32"/>
          <w:highlight w:val="none"/>
        </w:rPr>
        <w:t>项目</w:t>
      </w:r>
      <w:r>
        <w:rPr>
          <w:rFonts w:hint="eastAsia" w:ascii="仿宋_GB2312" w:hAnsi="仿宋_GB2312" w:eastAsia="仿宋_GB2312" w:cs="仿宋_GB2312"/>
          <w:color w:val="auto"/>
          <w:sz w:val="32"/>
          <w:szCs w:val="32"/>
          <w:highlight w:val="none"/>
          <w:lang w:eastAsia="zh-CN"/>
        </w:rPr>
        <w:t>等</w:t>
      </w:r>
      <w:r>
        <w:rPr>
          <w:rFonts w:hint="eastAsia" w:ascii="仿宋_GB2312" w:hAnsi="仿宋_GB2312" w:eastAsia="仿宋_GB2312" w:cs="仿宋_GB2312"/>
          <w:color w:val="auto"/>
          <w:sz w:val="32"/>
          <w:szCs w:val="32"/>
          <w:highlight w:val="none"/>
          <w:lang w:val="en-US" w:eastAsia="zh-CN"/>
        </w:rPr>
        <w:t>8个项目</w:t>
      </w:r>
      <w:r>
        <w:rPr>
          <w:rFonts w:hint="eastAsia" w:ascii="仿宋_GB2312" w:hAnsi="仿宋_GB2312" w:eastAsia="仿宋_GB2312" w:cs="仿宋_GB2312"/>
          <w:color w:val="auto"/>
          <w:sz w:val="32"/>
          <w:szCs w:val="32"/>
          <w:highlight w:val="none"/>
        </w:rPr>
        <w:t>开展了预算事前绩效评估，对</w:t>
      </w: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个项目编制了绩效目标，预算执行过程中，选取</w:t>
      </w: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个项目开展绩效监控，年终执行完毕后，对</w:t>
      </w: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个项目开展了绩效自评</w:t>
      </w:r>
      <w:r>
        <w:rPr>
          <w:rFonts w:hint="eastAsia" w:ascii="仿宋_GB2312" w:hAnsi="仿宋_GB2312" w:eastAsia="仿宋_GB2312" w:cs="仿宋_GB2312"/>
          <w:color w:val="auto"/>
          <w:sz w:val="32"/>
          <w:szCs w:val="32"/>
          <w:highlight w:val="none"/>
          <w:lang w:eastAsia="zh-CN"/>
        </w:rPr>
        <w:t>。同时，</w:t>
      </w:r>
      <w:r>
        <w:rPr>
          <w:rFonts w:hint="eastAsia" w:ascii="仿宋_GB2312" w:hAnsi="仿宋_GB2312" w:eastAsia="仿宋_GB2312" w:cs="仿宋_GB2312"/>
          <w:color w:val="auto"/>
          <w:sz w:val="32"/>
          <w:szCs w:val="32"/>
          <w:highlight w:val="none"/>
        </w:rPr>
        <w:t>本部门对20</w:t>
      </w:r>
      <w:r>
        <w:rPr>
          <w:rFonts w:hint="eastAsia" w:ascii="仿宋_GB2312" w:hAnsi="仿宋_GB2312" w:eastAsia="仿宋_GB2312" w:cs="仿宋_GB2312"/>
          <w:color w:val="auto"/>
          <w:sz w:val="32"/>
          <w:szCs w:val="32"/>
          <w:highlight w:val="none"/>
          <w:lang w:val="en-US" w:eastAsia="zh-CN"/>
        </w:rPr>
        <w:t>21</w:t>
      </w:r>
      <w:r>
        <w:rPr>
          <w:rFonts w:hint="eastAsia" w:ascii="仿宋_GB2312" w:hAnsi="仿宋_GB2312" w:eastAsia="仿宋_GB2312" w:cs="仿宋_GB2312"/>
          <w:color w:val="auto"/>
          <w:sz w:val="32"/>
          <w:szCs w:val="32"/>
          <w:highlight w:val="none"/>
        </w:rPr>
        <w:t>年部门整体开展绩效自评，《202</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lang w:val="en-US" w:eastAsia="zh-CN"/>
        </w:rPr>
        <w:t>预算项目</w:t>
      </w:r>
      <w:r>
        <w:rPr>
          <w:rFonts w:hint="eastAsia" w:ascii="仿宋_GB2312" w:hAnsi="仿宋_GB2312" w:eastAsia="仿宋_GB2312" w:cs="仿宋_GB2312"/>
          <w:color w:val="auto"/>
          <w:sz w:val="32"/>
          <w:szCs w:val="32"/>
          <w:highlight w:val="none"/>
        </w:rPr>
        <w:t>部门整体绩效评价报告》见附件（</w:t>
      </w:r>
      <w:r>
        <w:rPr>
          <w:rFonts w:hint="eastAsia" w:ascii="仿宋_GB2312" w:hAnsi="仿宋_GB2312" w:eastAsia="仿宋_GB2312" w:cs="仿宋_GB2312"/>
          <w:color w:val="auto"/>
          <w:sz w:val="32"/>
          <w:szCs w:val="32"/>
          <w:highlight w:val="none"/>
          <w:lang w:eastAsia="zh-CN"/>
        </w:rPr>
        <w:t>第四部分</w:t>
      </w:r>
      <w:r>
        <w:rPr>
          <w:rFonts w:hint="eastAsia" w:ascii="仿宋_GB2312" w:hAnsi="仿宋_GB2312" w:eastAsia="仿宋_GB2312" w:cs="仿宋_GB2312"/>
          <w:color w:val="auto"/>
          <w:sz w:val="32"/>
          <w:szCs w:val="32"/>
          <w:highlight w:val="none"/>
        </w:rPr>
        <w:t>）。</w:t>
      </w:r>
    </w:p>
    <w:p>
      <w:pPr>
        <w:numPr>
          <w:ilvl w:val="0"/>
          <w:numId w:val="3"/>
        </w:numPr>
        <w:spacing w:line="600" w:lineRule="exact"/>
        <w:ind w:firstLine="640"/>
        <w:outlineLvl w:val="1"/>
        <w:rPr>
          <w:rStyle w:val="20"/>
          <w:rFonts w:hint="eastAsia" w:ascii="黑体" w:hAnsi="黑体" w:eastAsia="黑体"/>
          <w:b w:val="0"/>
          <w:color w:val="auto"/>
          <w:highlight w:val="none"/>
        </w:rPr>
      </w:pPr>
      <w:bookmarkStart w:id="72" w:name="_Toc693652699_WPSOffice_Level2"/>
      <w:r>
        <w:rPr>
          <w:rStyle w:val="20"/>
          <w:rFonts w:hint="eastAsia" w:ascii="黑体" w:hAnsi="黑体" w:eastAsia="黑体"/>
          <w:b w:val="0"/>
          <w:color w:val="auto"/>
          <w:highlight w:val="none"/>
        </w:rPr>
        <w:t>其他重要事项的情况说明</w:t>
      </w:r>
      <w:bookmarkEnd w:id="69"/>
      <w:bookmarkEnd w:id="70"/>
      <w:bookmarkEnd w:id="72"/>
    </w:p>
    <w:p>
      <w:pPr>
        <w:spacing w:line="600" w:lineRule="exact"/>
        <w:ind w:firstLine="643" w:firstLineChars="200"/>
        <w:outlineLvl w:val="2"/>
        <w:rPr>
          <w:rFonts w:hint="eastAsia" w:ascii="楷体_GB2312" w:hAnsi="楷体_GB2312" w:eastAsia="楷体_GB2312" w:cs="楷体_GB2312"/>
          <w:color w:val="auto"/>
          <w:sz w:val="32"/>
          <w:szCs w:val="32"/>
          <w:highlight w:val="none"/>
        </w:rPr>
      </w:pPr>
      <w:bookmarkStart w:id="73" w:name="_Toc15377222"/>
      <w:r>
        <w:rPr>
          <w:rFonts w:hint="eastAsia" w:ascii="楷体_GB2312" w:hAnsi="楷体_GB2312" w:eastAsia="楷体_GB2312" w:cs="楷体_GB2312"/>
          <w:b/>
          <w:color w:val="auto"/>
          <w:sz w:val="32"/>
          <w:szCs w:val="32"/>
          <w:highlight w:val="none"/>
        </w:rPr>
        <w:t>（一）机关运行经费支出情况</w:t>
      </w:r>
      <w:bookmarkEnd w:id="73"/>
    </w:p>
    <w:p>
      <w:pPr>
        <w:spacing w:line="600" w:lineRule="exact"/>
        <w:ind w:firstLine="640" w:firstLineChars="200"/>
        <w:rPr>
          <w:rFonts w:hint="eastAsia" w:ascii="仿宋" w:hAnsi="仿宋" w:eastAsia="仿宋" w:cs="仿宋"/>
          <w:b/>
          <w:bCs w:val="0"/>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eastAsia="zh-CN"/>
        </w:rPr>
        <w:t>广元市政务服务和公共资源交易中心</w:t>
      </w:r>
      <w:r>
        <w:rPr>
          <w:rFonts w:hint="eastAsia" w:ascii="仿宋_GB2312" w:eastAsia="仿宋_GB2312"/>
          <w:color w:val="auto"/>
          <w:sz w:val="32"/>
          <w:szCs w:val="32"/>
          <w:highlight w:val="none"/>
        </w:rPr>
        <w:t>机关运行经费支出</w:t>
      </w:r>
      <w:r>
        <w:rPr>
          <w:rFonts w:hint="eastAsia" w:ascii="仿宋_GB2312" w:eastAsia="仿宋_GB2312"/>
          <w:color w:val="auto"/>
          <w:sz w:val="32"/>
          <w:szCs w:val="32"/>
          <w:highlight w:val="none"/>
          <w:lang w:val="en-US" w:eastAsia="zh-CN"/>
        </w:rPr>
        <w:t>38.11</w:t>
      </w:r>
      <w:r>
        <w:rPr>
          <w:rFonts w:hint="eastAsia" w:ascii="仿宋_GB2312" w:eastAsia="仿宋_GB2312"/>
          <w:color w:val="auto"/>
          <w:sz w:val="32"/>
          <w:szCs w:val="32"/>
          <w:highlight w:val="none"/>
        </w:rPr>
        <w:t>万元，比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20</w:t>
      </w:r>
      <w:r>
        <w:rPr>
          <w:rFonts w:hint="eastAsia" w:ascii="仿宋_GB2312" w:eastAsia="仿宋_GB2312"/>
          <w:color w:val="auto"/>
          <w:sz w:val="32"/>
          <w:szCs w:val="32"/>
          <w:highlight w:val="none"/>
        </w:rPr>
        <w:t>年增加</w:t>
      </w:r>
      <w:r>
        <w:rPr>
          <w:rFonts w:hint="eastAsia" w:ascii="仿宋_GB2312" w:eastAsia="仿宋_GB2312"/>
          <w:color w:val="auto"/>
          <w:sz w:val="32"/>
          <w:szCs w:val="32"/>
          <w:highlight w:val="none"/>
          <w:lang w:val="en-US" w:eastAsia="zh-CN"/>
        </w:rPr>
        <w:t>6.17</w:t>
      </w:r>
      <w:r>
        <w:rPr>
          <w:rFonts w:hint="eastAsia" w:ascii="仿宋_GB2312" w:eastAsia="仿宋_GB2312"/>
          <w:color w:val="auto"/>
          <w:sz w:val="32"/>
          <w:szCs w:val="32"/>
          <w:highlight w:val="none"/>
        </w:rPr>
        <w:t>万元，增长</w:t>
      </w:r>
      <w:r>
        <w:rPr>
          <w:rFonts w:hint="eastAsia" w:ascii="仿宋_GB2312" w:eastAsia="仿宋_GB2312"/>
          <w:color w:val="auto"/>
          <w:sz w:val="32"/>
          <w:szCs w:val="32"/>
          <w:highlight w:val="none"/>
          <w:lang w:val="en-US" w:eastAsia="zh-CN"/>
        </w:rPr>
        <w:t>19.32</w:t>
      </w:r>
      <w:r>
        <w:rPr>
          <w:rFonts w:ascii="仿宋_GB2312" w:eastAsia="仿宋_GB2312"/>
          <w:color w:val="auto"/>
          <w:sz w:val="32"/>
          <w:szCs w:val="32"/>
          <w:highlight w:val="none"/>
        </w:rPr>
        <w:t>%</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主要原因是</w:t>
      </w:r>
      <w:r>
        <w:rPr>
          <w:rFonts w:hint="eastAsia" w:ascii="仿宋_GB2312" w:eastAsia="仿宋_GB2312"/>
          <w:color w:val="auto"/>
          <w:sz w:val="32"/>
          <w:szCs w:val="32"/>
          <w:highlight w:val="none"/>
          <w:lang w:eastAsia="zh-CN"/>
        </w:rPr>
        <w:t>公务接待费和水电等日常运维费增加</w:t>
      </w:r>
      <w:r>
        <w:rPr>
          <w:rFonts w:hint="eastAsia" w:ascii="仿宋_GB2312" w:eastAsia="仿宋_GB2312"/>
          <w:color w:val="auto"/>
          <w:sz w:val="32"/>
          <w:szCs w:val="32"/>
          <w:highlight w:val="none"/>
          <w:lang w:val="en-US" w:eastAsia="zh-CN"/>
        </w:rPr>
        <w:t>。</w:t>
      </w:r>
    </w:p>
    <w:p>
      <w:pPr>
        <w:spacing w:line="600" w:lineRule="exact"/>
        <w:ind w:firstLine="643" w:firstLineChars="200"/>
        <w:outlineLvl w:val="2"/>
        <w:rPr>
          <w:rFonts w:hint="eastAsia" w:ascii="楷体_GB2312" w:hAnsi="楷体_GB2312" w:eastAsia="楷体_GB2312" w:cs="楷体_GB2312"/>
          <w:b/>
          <w:color w:val="auto"/>
          <w:sz w:val="32"/>
          <w:szCs w:val="32"/>
          <w:highlight w:val="none"/>
        </w:rPr>
      </w:pPr>
      <w:bookmarkStart w:id="74" w:name="_Toc15377223"/>
      <w:r>
        <w:rPr>
          <w:rFonts w:hint="eastAsia" w:ascii="楷体_GB2312" w:hAnsi="楷体_GB2312" w:eastAsia="楷体_GB2312" w:cs="楷体_GB2312"/>
          <w:b/>
          <w:color w:val="auto"/>
          <w:sz w:val="32"/>
          <w:szCs w:val="32"/>
          <w:highlight w:val="none"/>
        </w:rPr>
        <w:t>（二）政府采购支出情况</w:t>
      </w:r>
      <w:bookmarkEnd w:id="74"/>
    </w:p>
    <w:p>
      <w:pPr>
        <w:spacing w:line="60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w:t>
      </w:r>
      <w:r>
        <w:rPr>
          <w:rFonts w:hint="eastAsia" w:ascii="仿宋_GB2312" w:hAnsi="仿宋" w:eastAsia="仿宋_GB2312"/>
          <w:color w:val="000000"/>
          <w:sz w:val="32"/>
          <w:szCs w:val="32"/>
        </w:rPr>
        <w:t>广元市政务服务和公共资源交易中心</w:t>
      </w:r>
      <w:r>
        <w:rPr>
          <w:rFonts w:hint="eastAsia" w:ascii="仿宋_GB2312" w:eastAsia="仿宋_GB2312"/>
          <w:color w:val="auto"/>
          <w:sz w:val="32"/>
          <w:szCs w:val="32"/>
          <w:highlight w:val="none"/>
        </w:rPr>
        <w:t>政府采购支出总额</w:t>
      </w:r>
      <w:r>
        <w:rPr>
          <w:rFonts w:hint="eastAsia" w:ascii="仿宋_GB2312" w:eastAsia="仿宋_GB2312"/>
          <w:color w:val="auto"/>
          <w:sz w:val="32"/>
          <w:szCs w:val="32"/>
          <w:highlight w:val="none"/>
          <w:lang w:val="en-US" w:eastAsia="zh-CN"/>
        </w:rPr>
        <w:t>148.34</w:t>
      </w:r>
      <w:r>
        <w:rPr>
          <w:rFonts w:hint="eastAsia" w:ascii="仿宋_GB2312" w:eastAsia="仿宋_GB2312"/>
          <w:color w:val="auto"/>
          <w:sz w:val="32"/>
          <w:szCs w:val="32"/>
          <w:highlight w:val="none"/>
        </w:rPr>
        <w:t>万元，其中：政府采购服务支出</w:t>
      </w:r>
      <w:r>
        <w:rPr>
          <w:rFonts w:hint="eastAsia" w:ascii="仿宋_GB2312" w:eastAsia="仿宋_GB2312"/>
          <w:color w:val="auto"/>
          <w:sz w:val="32"/>
          <w:szCs w:val="32"/>
          <w:highlight w:val="none"/>
          <w:lang w:val="en-US" w:eastAsia="zh-CN"/>
        </w:rPr>
        <w:t>148.34</w:t>
      </w:r>
      <w:r>
        <w:rPr>
          <w:rFonts w:hint="eastAsia" w:ascii="仿宋_GB2312" w:eastAsia="仿宋_GB2312"/>
          <w:color w:val="auto"/>
          <w:sz w:val="32"/>
          <w:szCs w:val="32"/>
          <w:highlight w:val="none"/>
        </w:rPr>
        <w:t>万元。</w:t>
      </w:r>
      <w:r>
        <w:rPr>
          <w:rFonts w:hint="eastAsia" w:ascii="仿宋_GB2312" w:hAnsi="仿宋" w:eastAsia="仿宋_GB2312"/>
          <w:color w:val="000000"/>
          <w:sz w:val="32"/>
          <w:szCs w:val="32"/>
        </w:rPr>
        <w:t>主要用于市政务中心综合楼物业服务采购</w:t>
      </w:r>
      <w:r>
        <w:rPr>
          <w:rFonts w:hint="eastAsia" w:ascii="仿宋_GB2312" w:eastAsia="仿宋_GB2312"/>
          <w:color w:val="auto"/>
          <w:sz w:val="32"/>
          <w:szCs w:val="32"/>
          <w:highlight w:val="none"/>
        </w:rPr>
        <w:t>。授予中小企业合同金额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万元，其中：授予小微企业合同金额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pPr>
        <w:spacing w:line="600" w:lineRule="exact"/>
        <w:ind w:firstLine="643" w:firstLineChars="200"/>
        <w:outlineLvl w:val="2"/>
        <w:rPr>
          <w:rFonts w:hint="eastAsia" w:ascii="楷体_GB2312" w:hAnsi="楷体_GB2312" w:eastAsia="楷体_GB2312" w:cs="楷体_GB2312"/>
          <w:b/>
          <w:color w:val="auto"/>
          <w:sz w:val="32"/>
          <w:szCs w:val="32"/>
          <w:highlight w:val="none"/>
        </w:rPr>
      </w:pPr>
      <w:bookmarkStart w:id="75" w:name="_Toc15377224"/>
      <w:r>
        <w:rPr>
          <w:rFonts w:hint="eastAsia" w:ascii="楷体_GB2312" w:hAnsi="楷体_GB2312" w:eastAsia="楷体_GB2312" w:cs="楷体_GB2312"/>
          <w:b/>
          <w:color w:val="auto"/>
          <w:sz w:val="32"/>
          <w:szCs w:val="32"/>
          <w:highlight w:val="none"/>
        </w:rPr>
        <w:t>（三）国有资产占有使用情况</w:t>
      </w:r>
      <w:bookmarkEnd w:id="75"/>
    </w:p>
    <w:p>
      <w:pPr>
        <w:autoSpaceDE w:val="0"/>
        <w:autoSpaceDN w:val="0"/>
        <w:adjustRightInd w:val="0"/>
        <w:spacing w:line="580" w:lineRule="exact"/>
        <w:ind w:firstLine="640" w:firstLineChars="200"/>
        <w:jc w:val="left"/>
        <w:rPr>
          <w:rFonts w:hint="eastAsia" w:ascii="仿宋_GB2312" w:hAnsi="仿宋" w:eastAsia="仿宋_GB2312"/>
          <w:b/>
          <w:color w:val="auto"/>
          <w:sz w:val="32"/>
          <w:szCs w:val="32"/>
        </w:rPr>
      </w:pPr>
      <w:r>
        <w:rPr>
          <w:rFonts w:hint="eastAsia" w:ascii="仿宋_GB2312" w:hAnsi="仿宋" w:eastAsia="仿宋_GB2312"/>
          <w:color w:val="auto"/>
          <w:sz w:val="32"/>
          <w:szCs w:val="32"/>
        </w:rPr>
        <w:t>截至202</w:t>
      </w:r>
      <w:r>
        <w:rPr>
          <w:rFonts w:hint="eastAsia" w:ascii="仿宋_GB2312" w:hAnsi="仿宋" w:eastAsia="仿宋_GB2312"/>
          <w:color w:val="auto"/>
          <w:sz w:val="32"/>
          <w:szCs w:val="32"/>
          <w:lang w:val="en-US" w:eastAsia="zh-CN"/>
        </w:rPr>
        <w:t>1</w:t>
      </w:r>
      <w:r>
        <w:rPr>
          <w:rFonts w:hint="eastAsia" w:ascii="仿宋_GB2312" w:hAnsi="仿宋" w:eastAsia="仿宋_GB2312"/>
          <w:color w:val="auto"/>
          <w:sz w:val="32"/>
          <w:szCs w:val="32"/>
        </w:rPr>
        <w:t>年12月31日，广元市政务服务和公共资源交易中心共有车辆</w:t>
      </w:r>
      <w:r>
        <w:rPr>
          <w:rFonts w:hint="eastAsia" w:ascii="仿宋_GB2312" w:hAnsi="仿宋" w:eastAsia="仿宋_GB2312"/>
          <w:color w:val="auto"/>
          <w:sz w:val="32"/>
          <w:szCs w:val="32"/>
          <w:lang w:val="en-US" w:eastAsia="zh-CN"/>
        </w:rPr>
        <w:t>0</w:t>
      </w:r>
      <w:r>
        <w:rPr>
          <w:rFonts w:hint="eastAsia" w:ascii="仿宋_GB2312" w:hAnsi="仿宋" w:eastAsia="仿宋_GB2312"/>
          <w:color w:val="auto"/>
          <w:sz w:val="32"/>
          <w:szCs w:val="32"/>
        </w:rPr>
        <w:t>辆。单价50万元以上通用设备</w:t>
      </w:r>
      <w:r>
        <w:rPr>
          <w:rFonts w:hint="eastAsia" w:ascii="仿宋_GB2312" w:hAnsi="仿宋" w:eastAsia="仿宋_GB2312"/>
          <w:color w:val="auto"/>
          <w:sz w:val="32"/>
          <w:szCs w:val="32"/>
          <w:lang w:val="en-US" w:eastAsia="zh-CN"/>
        </w:rPr>
        <w:t>5</w:t>
      </w:r>
      <w:r>
        <w:rPr>
          <w:rFonts w:hint="eastAsia" w:ascii="仿宋_GB2312" w:hAnsi="仿宋" w:eastAsia="仿宋_GB2312"/>
          <w:color w:val="auto"/>
          <w:sz w:val="32"/>
          <w:szCs w:val="32"/>
        </w:rPr>
        <w:t>台（套），单价100万元以上专用设备0台（套）。</w:t>
      </w:r>
    </w:p>
    <w:p>
      <w:pPr>
        <w:widowControl/>
        <w:jc w:val="left"/>
        <w:rPr>
          <w:rFonts w:ascii="仿宋_GB2312" w:eastAsia="仿宋_GB2312"/>
          <w:b/>
          <w:color w:val="auto"/>
          <w:sz w:val="32"/>
          <w:szCs w:val="32"/>
          <w:highlight w:val="none"/>
        </w:rPr>
      </w:pPr>
      <w:r>
        <w:rPr>
          <w:rFonts w:ascii="仿宋_GB2312" w:eastAsia="仿宋_GB2312"/>
          <w:b/>
          <w:color w:val="auto"/>
          <w:sz w:val="32"/>
          <w:szCs w:val="32"/>
          <w:highlight w:val="none"/>
        </w:rPr>
        <w:br w:type="page"/>
      </w:r>
    </w:p>
    <w:p>
      <w:pPr>
        <w:numPr>
          <w:ilvl w:val="0"/>
          <w:numId w:val="4"/>
        </w:numPr>
        <w:spacing w:line="600" w:lineRule="exact"/>
        <w:ind w:firstLine="660" w:firstLineChars="150"/>
        <w:jc w:val="center"/>
        <w:outlineLvl w:val="0"/>
        <w:rPr>
          <w:rStyle w:val="19"/>
          <w:rFonts w:ascii="黑体" w:hAnsi="黑体" w:eastAsia="黑体"/>
          <w:b w:val="0"/>
          <w:color w:val="auto"/>
          <w:highlight w:val="none"/>
        </w:rPr>
      </w:pPr>
      <w:bookmarkStart w:id="76" w:name="_Toc15377225"/>
      <w:bookmarkStart w:id="77" w:name="_Toc15396613"/>
      <w:bookmarkStart w:id="78" w:name="_Toc1385557743_WPSOffice_Level1"/>
      <w:r>
        <w:rPr>
          <w:rFonts w:hint="eastAsia" w:ascii="黑体" w:hAnsi="黑体" w:eastAsia="黑体"/>
          <w:color w:val="auto"/>
          <w:sz w:val="44"/>
          <w:szCs w:val="44"/>
          <w:highlight w:val="none"/>
        </w:rPr>
        <w:t>名</w:t>
      </w:r>
      <w:r>
        <w:rPr>
          <w:rStyle w:val="19"/>
          <w:rFonts w:hint="eastAsia" w:ascii="黑体" w:hAnsi="黑体" w:eastAsia="黑体"/>
          <w:b w:val="0"/>
          <w:color w:val="auto"/>
          <w:highlight w:val="none"/>
        </w:rPr>
        <w:t>词解释</w:t>
      </w:r>
      <w:bookmarkEnd w:id="76"/>
      <w:bookmarkEnd w:id="77"/>
      <w:bookmarkEnd w:id="78"/>
    </w:p>
    <w:p>
      <w:pPr>
        <w:spacing w:line="600" w:lineRule="exact"/>
        <w:jc w:val="left"/>
        <w:rPr>
          <w:rFonts w:ascii="宋体"/>
          <w:b/>
          <w:color w:val="auto"/>
          <w:sz w:val="44"/>
          <w:szCs w:val="44"/>
          <w:highlight w:val="none"/>
        </w:rPr>
      </w:pPr>
    </w:p>
    <w:p>
      <w:pPr>
        <w:pStyle w:val="28"/>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1.</w:t>
      </w:r>
      <w:r>
        <w:rPr>
          <w:rFonts w:hint="eastAsia" w:ascii="仿宋_GB2312" w:eastAsia="仿宋_GB2312"/>
          <w:color w:val="auto"/>
          <w:sz w:val="32"/>
          <w:szCs w:val="32"/>
          <w:highlight w:val="none"/>
        </w:rPr>
        <w:t>财政拨款收入：指单位从同级财政部门取得的财政预算资金。</w:t>
      </w:r>
    </w:p>
    <w:p>
      <w:pPr>
        <w:pStyle w:val="28"/>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2</w:t>
      </w:r>
      <w:r>
        <w:rPr>
          <w:rFonts w:ascii="仿宋_GB2312" w:eastAsia="仿宋_GB2312"/>
          <w:color w:val="auto"/>
          <w:sz w:val="32"/>
          <w:szCs w:val="32"/>
          <w:highlight w:val="none"/>
        </w:rPr>
        <w:t>.</w:t>
      </w:r>
      <w:r>
        <w:rPr>
          <w:rFonts w:hint="eastAsia" w:ascii="仿宋_GB2312" w:eastAsia="仿宋_GB2312"/>
          <w:color w:val="auto"/>
          <w:sz w:val="32"/>
          <w:szCs w:val="32"/>
          <w:highlight w:val="none"/>
        </w:rPr>
        <w:t>年初结转和结余：指以前年度尚未完成、结转到本年按有关规定继续使用的资金。</w:t>
      </w:r>
    </w:p>
    <w:p>
      <w:pPr>
        <w:pStyle w:val="28"/>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3.</w:t>
      </w:r>
      <w:r>
        <w:rPr>
          <w:rFonts w:hint="eastAsia" w:ascii="仿宋_GB2312" w:eastAsia="仿宋_GB2312"/>
          <w:color w:val="auto"/>
          <w:sz w:val="32"/>
          <w:szCs w:val="32"/>
          <w:highlight w:val="none"/>
        </w:rPr>
        <w:t>年末结转和结余：指单位按有关规定结转到下年或以后年度继续使用的资金。</w:t>
      </w:r>
    </w:p>
    <w:p>
      <w:pPr>
        <w:pStyle w:val="13"/>
        <w:keepNext w:val="0"/>
        <w:keepLines w:val="0"/>
        <w:widowControl/>
        <w:suppressLineNumbers w:val="0"/>
        <w:spacing w:before="75" w:beforeAutospacing="0" w:after="75" w:afterAutospacing="0"/>
        <w:ind w:right="0" w:firstLine="640" w:firstLineChars="200"/>
        <w:jc w:val="both"/>
        <w:rPr>
          <w:rFonts w:hint="eastAsia" w:ascii="仿宋" w:hAnsi="仿宋" w:eastAsia="仿宋" w:cs="仿宋"/>
          <w:i w:val="0"/>
          <w:caps w:val="0"/>
          <w:color w:val="000000"/>
          <w:spacing w:val="0"/>
          <w:kern w:val="0"/>
          <w:sz w:val="32"/>
          <w:szCs w:val="32"/>
          <w:lang w:val="en-US" w:eastAsia="zh-CN" w:bidi="ar"/>
        </w:rPr>
      </w:pPr>
      <w:r>
        <w:rPr>
          <w:rFonts w:hint="eastAsia" w:ascii="仿宋" w:hAnsi="仿宋" w:eastAsia="仿宋" w:cs="仿宋"/>
          <w:i w:val="0"/>
          <w:caps w:val="0"/>
          <w:color w:val="000000"/>
          <w:spacing w:val="0"/>
          <w:kern w:val="0"/>
          <w:sz w:val="32"/>
          <w:szCs w:val="32"/>
          <w:lang w:val="en-US" w:eastAsia="zh-CN" w:bidi="ar"/>
        </w:rPr>
        <w:t>4.一般公共服务支出（类）政府办公厅（室）及相关机构事务（款）行政运行（项）：反映行政单位（包括事项公务员管理的事业单位）的基本支出。</w:t>
      </w:r>
    </w:p>
    <w:p>
      <w:pPr>
        <w:pStyle w:val="13"/>
        <w:keepNext w:val="0"/>
        <w:keepLines w:val="0"/>
        <w:widowControl/>
        <w:suppressLineNumbers w:val="0"/>
        <w:spacing w:before="75" w:beforeAutospacing="0" w:after="75" w:afterAutospacing="0"/>
        <w:ind w:right="0" w:firstLine="640" w:firstLineChars="200"/>
        <w:jc w:val="both"/>
        <w:rPr>
          <w:rFonts w:hint="eastAsia" w:ascii="仿宋" w:hAnsi="仿宋" w:eastAsia="仿宋" w:cs="仿宋"/>
          <w:i w:val="0"/>
          <w:caps w:val="0"/>
          <w:color w:val="000000"/>
          <w:spacing w:val="0"/>
          <w:kern w:val="0"/>
          <w:sz w:val="32"/>
          <w:szCs w:val="32"/>
          <w:lang w:val="en-US" w:eastAsia="zh-CN" w:bidi="ar"/>
        </w:rPr>
      </w:pPr>
      <w:r>
        <w:rPr>
          <w:rFonts w:hint="eastAsia" w:ascii="仿宋" w:hAnsi="仿宋" w:eastAsia="仿宋" w:cs="仿宋"/>
          <w:i w:val="0"/>
          <w:caps w:val="0"/>
          <w:color w:val="000000"/>
          <w:spacing w:val="0"/>
          <w:kern w:val="0"/>
          <w:sz w:val="32"/>
          <w:szCs w:val="32"/>
          <w:lang w:val="en-US" w:eastAsia="zh-CN" w:bidi="ar"/>
        </w:rPr>
        <w:t>5.一般公共服务支出（类）政府办公厅（室）及相关机构事务（款）一般行政管理事务（项）：反映行政单位（包括实行公务员管理的事业单位）未单独设置项级科目的其他项目支出。</w:t>
      </w:r>
    </w:p>
    <w:p>
      <w:pPr>
        <w:pStyle w:val="13"/>
        <w:keepNext w:val="0"/>
        <w:keepLines w:val="0"/>
        <w:widowControl/>
        <w:suppressLineNumbers w:val="0"/>
        <w:spacing w:before="75" w:beforeAutospacing="0" w:after="75" w:afterAutospacing="0"/>
        <w:ind w:right="0" w:firstLine="640" w:firstLineChars="200"/>
        <w:jc w:val="both"/>
        <w:rPr>
          <w:rFonts w:hint="eastAsia" w:ascii="仿宋" w:hAnsi="仿宋" w:eastAsia="仿宋" w:cs="仿宋"/>
          <w:i w:val="0"/>
          <w:caps w:val="0"/>
          <w:color w:val="000000"/>
          <w:spacing w:val="0"/>
          <w:kern w:val="0"/>
          <w:sz w:val="32"/>
          <w:szCs w:val="32"/>
          <w:lang w:val="en-US" w:eastAsia="zh-CN" w:bidi="ar"/>
        </w:rPr>
      </w:pPr>
      <w:r>
        <w:rPr>
          <w:rFonts w:hint="eastAsia" w:ascii="仿宋" w:hAnsi="仿宋" w:eastAsia="仿宋" w:cs="仿宋"/>
          <w:i w:val="0"/>
          <w:caps w:val="0"/>
          <w:color w:val="000000"/>
          <w:spacing w:val="0"/>
          <w:kern w:val="0"/>
          <w:sz w:val="32"/>
          <w:szCs w:val="32"/>
          <w:lang w:val="en-US" w:eastAsia="zh-CN" w:bidi="ar"/>
        </w:rPr>
        <w:t>6.一般公共服务支出（类）政府办公厅（室）及相关机构事务（款）事业运行（项）：反映事业单位的基本支出。</w:t>
      </w:r>
    </w:p>
    <w:p>
      <w:pPr>
        <w:pStyle w:val="13"/>
        <w:keepNext w:val="0"/>
        <w:keepLines w:val="0"/>
        <w:widowControl/>
        <w:suppressLineNumbers w:val="0"/>
        <w:spacing w:before="75" w:beforeAutospacing="0" w:after="75" w:afterAutospacing="0"/>
        <w:ind w:right="0" w:firstLine="640" w:firstLineChars="200"/>
        <w:jc w:val="both"/>
        <w:rPr>
          <w:rFonts w:hint="default" w:ascii="仿宋" w:hAnsi="仿宋" w:eastAsia="仿宋" w:cs="仿宋"/>
          <w:i w:val="0"/>
          <w:caps w:val="0"/>
          <w:color w:val="000000"/>
          <w:spacing w:val="0"/>
          <w:kern w:val="0"/>
          <w:sz w:val="32"/>
          <w:szCs w:val="32"/>
          <w:lang w:val="en-US" w:eastAsia="zh-CN" w:bidi="ar"/>
        </w:rPr>
      </w:pPr>
      <w:r>
        <w:rPr>
          <w:rFonts w:hint="eastAsia" w:ascii="仿宋" w:hAnsi="仿宋" w:eastAsia="仿宋" w:cs="仿宋"/>
          <w:i w:val="0"/>
          <w:caps w:val="0"/>
          <w:color w:val="000000"/>
          <w:spacing w:val="0"/>
          <w:kern w:val="0"/>
          <w:sz w:val="32"/>
          <w:szCs w:val="32"/>
          <w:lang w:val="en-US" w:eastAsia="zh-CN" w:bidi="ar"/>
        </w:rPr>
        <w:t>7.一般公共服务支出（类）政府办公厅（室）及相关机构事务（款）其他政府办公厅（室）及相关机构事务支出（项）：反映其他用于政府办公厅（室）及相关机构事务的支出。</w:t>
      </w:r>
    </w:p>
    <w:p>
      <w:pPr>
        <w:pStyle w:val="13"/>
        <w:keepNext w:val="0"/>
        <w:keepLines w:val="0"/>
        <w:widowControl/>
        <w:suppressLineNumbers w:val="0"/>
        <w:spacing w:before="75" w:beforeAutospacing="0" w:after="75" w:afterAutospacing="0"/>
        <w:ind w:right="0" w:firstLine="640" w:firstLineChars="200"/>
        <w:jc w:val="both"/>
        <w:rPr>
          <w:rFonts w:hint="eastAsia" w:ascii="仿宋" w:hAnsi="仿宋" w:eastAsia="仿宋" w:cs="仿宋"/>
          <w:i w:val="0"/>
          <w:caps w:val="0"/>
          <w:color w:val="000000"/>
          <w:spacing w:val="0"/>
          <w:kern w:val="0"/>
          <w:sz w:val="32"/>
          <w:szCs w:val="32"/>
          <w:lang w:val="en-US" w:eastAsia="zh-CN" w:bidi="ar"/>
        </w:rPr>
      </w:pPr>
      <w:r>
        <w:rPr>
          <w:rFonts w:hint="eastAsia" w:ascii="仿宋" w:hAnsi="仿宋" w:eastAsia="仿宋" w:cs="仿宋"/>
          <w:i w:val="0"/>
          <w:caps w:val="0"/>
          <w:color w:val="000000"/>
          <w:spacing w:val="0"/>
          <w:kern w:val="0"/>
          <w:sz w:val="32"/>
          <w:szCs w:val="32"/>
          <w:lang w:val="en-US" w:eastAsia="zh-CN" w:bidi="ar"/>
        </w:rPr>
        <w:t>8.社会保障和就业支出（类）行政事业单位养老支出（款）机关事业单位基本养老保险缴费支出（项）：反映机关事业单位实施养老保险制度由单位实际缴纳的基本养老保险支出。</w:t>
      </w:r>
    </w:p>
    <w:p>
      <w:pPr>
        <w:pStyle w:val="13"/>
        <w:keepNext w:val="0"/>
        <w:keepLines w:val="0"/>
        <w:widowControl/>
        <w:suppressLineNumbers w:val="0"/>
        <w:spacing w:before="75" w:beforeAutospacing="0" w:after="75" w:afterAutospacing="0"/>
        <w:ind w:right="0" w:firstLine="640" w:firstLineChars="200"/>
        <w:jc w:val="both"/>
        <w:rPr>
          <w:rFonts w:hint="eastAsia" w:ascii="仿宋" w:hAnsi="仿宋" w:eastAsia="仿宋" w:cs="仿宋"/>
          <w:i w:val="0"/>
          <w:caps w:val="0"/>
          <w:color w:val="000000"/>
          <w:spacing w:val="0"/>
          <w:kern w:val="0"/>
          <w:sz w:val="32"/>
          <w:szCs w:val="32"/>
          <w:lang w:val="en-US" w:eastAsia="zh-CN" w:bidi="ar"/>
        </w:rPr>
      </w:pPr>
      <w:r>
        <w:rPr>
          <w:rFonts w:hint="eastAsia" w:ascii="仿宋" w:hAnsi="仿宋" w:eastAsia="仿宋" w:cs="仿宋"/>
          <w:i w:val="0"/>
          <w:caps w:val="0"/>
          <w:color w:val="000000"/>
          <w:spacing w:val="0"/>
          <w:kern w:val="0"/>
          <w:sz w:val="32"/>
          <w:szCs w:val="32"/>
          <w:lang w:val="en-US" w:eastAsia="zh-CN" w:bidi="ar"/>
        </w:rPr>
        <w:t>9.社会保障和就业支出（类）行政事业单位养老支出（款）机关事业单位职业年金缴费支出（项）：反映机关事业单位实施养老保险制度由单位实际缴纳的职业年金支出。</w:t>
      </w:r>
    </w:p>
    <w:p>
      <w:pPr>
        <w:pStyle w:val="13"/>
        <w:keepNext w:val="0"/>
        <w:keepLines w:val="0"/>
        <w:widowControl/>
        <w:suppressLineNumbers w:val="0"/>
        <w:spacing w:before="75" w:beforeAutospacing="0" w:after="75" w:afterAutospacing="0"/>
        <w:ind w:right="0" w:firstLine="640" w:firstLineChars="200"/>
        <w:jc w:val="both"/>
        <w:rPr>
          <w:rFonts w:hint="eastAsia" w:ascii="仿宋" w:hAnsi="仿宋" w:eastAsia="仿宋" w:cs="仿宋"/>
          <w:i w:val="0"/>
          <w:caps w:val="0"/>
          <w:color w:val="000000"/>
          <w:spacing w:val="0"/>
          <w:kern w:val="0"/>
          <w:sz w:val="32"/>
          <w:szCs w:val="32"/>
          <w:lang w:val="en-US" w:eastAsia="zh-CN" w:bidi="ar"/>
        </w:rPr>
      </w:pPr>
      <w:r>
        <w:rPr>
          <w:rFonts w:hint="eastAsia" w:ascii="仿宋" w:hAnsi="仿宋" w:eastAsia="仿宋" w:cs="仿宋"/>
          <w:i w:val="0"/>
          <w:caps w:val="0"/>
          <w:color w:val="000000"/>
          <w:spacing w:val="0"/>
          <w:kern w:val="0"/>
          <w:sz w:val="32"/>
          <w:szCs w:val="32"/>
          <w:lang w:val="en-US" w:eastAsia="zh-CN" w:bidi="ar"/>
        </w:rPr>
        <w:t>10.卫生健康支出（类）行政事业单位医疗（款）行政单位医疗（项）：反映财政部门安排的行政单位(包括实行公务员管理的事业单位)基本医疗保险缴费经费，未参加医疗保险的行政单位的公费医疗经费，按国家规定享受离休人员、红军老战士待遇人员的医疗经费。</w:t>
      </w:r>
    </w:p>
    <w:p>
      <w:pPr>
        <w:pStyle w:val="13"/>
        <w:keepNext w:val="0"/>
        <w:keepLines w:val="0"/>
        <w:widowControl/>
        <w:suppressLineNumbers w:val="0"/>
        <w:spacing w:before="75" w:beforeAutospacing="0" w:after="75" w:afterAutospacing="0"/>
        <w:ind w:right="0" w:firstLine="640" w:firstLineChars="200"/>
        <w:jc w:val="both"/>
        <w:rPr>
          <w:rFonts w:hint="eastAsia" w:ascii="仿宋" w:hAnsi="仿宋" w:eastAsia="仿宋" w:cs="仿宋"/>
          <w:i w:val="0"/>
          <w:caps w:val="0"/>
          <w:color w:val="000000"/>
          <w:spacing w:val="0"/>
          <w:kern w:val="0"/>
          <w:sz w:val="32"/>
          <w:szCs w:val="32"/>
          <w:lang w:val="en-US" w:eastAsia="zh-CN" w:bidi="ar"/>
        </w:rPr>
      </w:pPr>
      <w:r>
        <w:rPr>
          <w:rFonts w:hint="eastAsia" w:ascii="仿宋" w:hAnsi="仿宋" w:eastAsia="仿宋" w:cs="仿宋"/>
          <w:i w:val="0"/>
          <w:caps w:val="0"/>
          <w:color w:val="000000"/>
          <w:spacing w:val="0"/>
          <w:kern w:val="0"/>
          <w:sz w:val="32"/>
          <w:szCs w:val="32"/>
          <w:lang w:val="en-US" w:eastAsia="zh-CN" w:bidi="ar"/>
        </w:rPr>
        <w:t>11.卫生健康支出（类）行政事业单位医疗（款）事业单位医疗（项）：反映财政部门安排的事业单位基本医疗保险缴费经费，未参加医疗保险的行政单位的公费医疗经费，按国家规定享受离休人员、红军老战士待遇人员的医疗经费。</w:t>
      </w:r>
    </w:p>
    <w:p>
      <w:pPr>
        <w:pStyle w:val="13"/>
        <w:keepNext w:val="0"/>
        <w:keepLines w:val="0"/>
        <w:widowControl/>
        <w:suppressLineNumbers w:val="0"/>
        <w:spacing w:before="75" w:beforeAutospacing="0" w:after="75" w:afterAutospacing="0"/>
        <w:ind w:right="0" w:firstLine="640" w:firstLineChars="200"/>
        <w:jc w:val="both"/>
        <w:rPr>
          <w:rFonts w:ascii="仿宋_GB2312" w:eastAsia="仿宋_GB2312"/>
          <w:color w:val="auto"/>
          <w:sz w:val="32"/>
          <w:szCs w:val="32"/>
          <w:highlight w:val="none"/>
        </w:rPr>
      </w:pPr>
      <w:r>
        <w:rPr>
          <w:rFonts w:hint="eastAsia" w:ascii="仿宋" w:hAnsi="仿宋" w:eastAsia="仿宋" w:cs="仿宋"/>
          <w:i w:val="0"/>
          <w:caps w:val="0"/>
          <w:color w:val="000000"/>
          <w:spacing w:val="0"/>
          <w:kern w:val="0"/>
          <w:sz w:val="32"/>
          <w:szCs w:val="32"/>
          <w:lang w:val="en-US" w:eastAsia="zh-CN" w:bidi="ar"/>
        </w:rPr>
        <w:t>12.住房保障支出（类）住房改革支出（款）住房公积金（项）：反映行政事业单位按人力资源和社会保障部、财政部规定的基本工资和津贴补贴以及规定比例为职工缴纳的住房公积金。</w:t>
      </w:r>
    </w:p>
    <w:p>
      <w:pPr>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13</w:t>
      </w:r>
      <w:r>
        <w:rPr>
          <w:rFonts w:ascii="仿宋_GB2312" w:eastAsia="仿宋_GB2312"/>
          <w:color w:val="auto"/>
          <w:sz w:val="32"/>
          <w:szCs w:val="32"/>
          <w:highlight w:val="none"/>
        </w:rPr>
        <w:t>.</w:t>
      </w:r>
      <w:r>
        <w:rPr>
          <w:rFonts w:hint="eastAsia" w:ascii="仿宋_GB2312" w:eastAsia="仿宋_GB2312"/>
          <w:color w:val="auto"/>
          <w:sz w:val="32"/>
          <w:szCs w:val="32"/>
          <w:highlight w:val="none"/>
        </w:rPr>
        <w:t>基本支出：指为保障机构正常运转、完成日常工作任务而发生的人员支出和公用支出。</w:t>
      </w:r>
    </w:p>
    <w:p>
      <w:pPr>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14</w:t>
      </w:r>
      <w:r>
        <w:rPr>
          <w:rFonts w:ascii="仿宋_GB2312" w:eastAsia="仿宋_GB2312"/>
          <w:color w:val="auto"/>
          <w:sz w:val="32"/>
          <w:szCs w:val="32"/>
          <w:highlight w:val="none"/>
        </w:rPr>
        <w:t>.</w:t>
      </w:r>
      <w:r>
        <w:rPr>
          <w:rFonts w:hint="eastAsia" w:ascii="仿宋_GB2312" w:eastAsia="仿宋_GB2312"/>
          <w:color w:val="auto"/>
          <w:sz w:val="32"/>
          <w:szCs w:val="32"/>
          <w:highlight w:val="none"/>
        </w:rPr>
        <w:t>项目支出：指在基本支出之外为完成特定行政任务和事业发展目标所发生的支出。</w:t>
      </w:r>
      <w:r>
        <w:rPr>
          <w:rFonts w:ascii="仿宋_GB2312" w:eastAsia="仿宋_GB2312"/>
          <w:color w:val="auto"/>
          <w:sz w:val="32"/>
          <w:szCs w:val="32"/>
          <w:highlight w:val="none"/>
        </w:rPr>
        <w:t xml:space="preserve"> </w:t>
      </w:r>
    </w:p>
    <w:p>
      <w:pPr>
        <w:pStyle w:val="28"/>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15</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pStyle w:val="28"/>
        <w:spacing w:line="56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16</w:t>
      </w:r>
      <w:r>
        <w:rPr>
          <w:rFonts w:ascii="仿宋_GB2312" w:eastAsia="仿宋_GB2312"/>
          <w:color w:val="auto"/>
          <w:sz w:val="32"/>
          <w:szCs w:val="32"/>
          <w:highlight w:val="none"/>
        </w:rPr>
        <w:t>.</w:t>
      </w:r>
      <w:r>
        <w:rPr>
          <w:rFonts w:hint="eastAsia" w:ascii="仿宋_GB2312" w:eastAsia="仿宋_GB2312"/>
          <w:color w:val="auto"/>
          <w:sz w:val="32"/>
          <w:szCs w:val="32"/>
          <w:highlight w:val="none"/>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pStyle w:val="28"/>
        <w:spacing w:line="560" w:lineRule="exact"/>
        <w:ind w:firstLine="640" w:firstLineChars="200"/>
        <w:rPr>
          <w:rFonts w:hint="eastAsia" w:ascii="仿宋_GB2312" w:eastAsia="仿宋_GB2312"/>
          <w:color w:val="auto"/>
          <w:sz w:val="32"/>
          <w:szCs w:val="32"/>
          <w:highlight w:val="none"/>
        </w:rPr>
      </w:pPr>
    </w:p>
    <w:p>
      <w:pPr>
        <w:pStyle w:val="28"/>
        <w:spacing w:line="560" w:lineRule="exact"/>
        <w:ind w:firstLine="640" w:firstLineChars="200"/>
        <w:rPr>
          <w:rFonts w:hint="eastAsia" w:ascii="仿宋_GB2312" w:eastAsia="仿宋_GB2312"/>
          <w:color w:val="auto"/>
          <w:sz w:val="32"/>
          <w:szCs w:val="32"/>
          <w:highlight w:val="none"/>
        </w:rPr>
      </w:pPr>
    </w:p>
    <w:p>
      <w:pPr>
        <w:pStyle w:val="28"/>
        <w:spacing w:line="560" w:lineRule="exact"/>
        <w:ind w:firstLine="640" w:firstLineChars="200"/>
        <w:rPr>
          <w:rFonts w:ascii="仿宋_GB2312" w:eastAsia="仿宋_GB2312" w:cs="黑体"/>
          <w:color w:val="auto"/>
          <w:sz w:val="32"/>
          <w:szCs w:val="32"/>
          <w:highlight w:val="none"/>
        </w:rPr>
      </w:pPr>
    </w:p>
    <w:p>
      <w:pPr>
        <w:spacing w:line="600" w:lineRule="exact"/>
        <w:jc w:val="center"/>
        <w:outlineLvl w:val="0"/>
        <w:rPr>
          <w:rStyle w:val="19"/>
          <w:rFonts w:hint="eastAsia" w:ascii="黑体" w:hAnsi="黑体" w:eastAsia="黑体"/>
          <w:b w:val="0"/>
          <w:color w:val="auto"/>
          <w:highlight w:val="none"/>
          <w:lang w:eastAsia="zh-CN"/>
        </w:rPr>
      </w:pPr>
      <w:bookmarkStart w:id="79" w:name="_Toc15377226"/>
      <w:r>
        <w:rPr>
          <w:rFonts w:ascii="宋体"/>
          <w:b/>
          <w:color w:val="auto"/>
          <w:sz w:val="44"/>
          <w:szCs w:val="44"/>
          <w:highlight w:val="none"/>
        </w:rPr>
        <w:br w:type="page"/>
      </w:r>
      <w:bookmarkStart w:id="80" w:name="_Toc1212522644_WPSOffice_Level1"/>
      <w:bookmarkStart w:id="81" w:name="_Toc15396614"/>
      <w:r>
        <w:rPr>
          <w:rFonts w:hint="eastAsia" w:ascii="黑体" w:hAnsi="黑体" w:eastAsia="黑体"/>
          <w:color w:val="auto"/>
          <w:sz w:val="44"/>
          <w:szCs w:val="44"/>
          <w:highlight w:val="none"/>
        </w:rPr>
        <w:t>第</w:t>
      </w:r>
      <w:r>
        <w:rPr>
          <w:rStyle w:val="19"/>
          <w:rFonts w:hint="eastAsia" w:ascii="黑体" w:hAnsi="黑体" w:eastAsia="黑体"/>
          <w:b w:val="0"/>
          <w:color w:val="auto"/>
          <w:highlight w:val="none"/>
        </w:rPr>
        <w:t>四部分 附件</w:t>
      </w:r>
      <w:bookmarkEnd w:id="80"/>
      <w:bookmarkEnd w:id="81"/>
    </w:p>
    <w:p>
      <w:pPr>
        <w:keepNext w:val="0"/>
        <w:keepLines w:val="0"/>
        <w:pageBreakBefore w:val="0"/>
        <w:kinsoku/>
        <w:wordWrap/>
        <w:overflowPunct/>
        <w:topLinePunct w:val="0"/>
        <w:autoSpaceDE/>
        <w:autoSpaceDN/>
        <w:bidi w:val="0"/>
        <w:spacing w:line="572" w:lineRule="exact"/>
        <w:jc w:val="left"/>
        <w:textAlignment w:val="auto"/>
        <w:outlineLvl w:val="0"/>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rPr>
        <w:t>附件</w:t>
      </w:r>
      <w:r>
        <w:rPr>
          <w:rFonts w:hint="eastAsia" w:ascii="黑体" w:hAnsi="黑体" w:eastAsia="黑体" w:cs="黑体"/>
          <w:color w:val="auto"/>
          <w:sz w:val="32"/>
          <w:szCs w:val="32"/>
          <w:highlight w:val="none"/>
          <w:lang w:val="en-US" w:eastAsia="zh-CN"/>
        </w:rPr>
        <w:t>1</w:t>
      </w:r>
    </w:p>
    <w:p>
      <w:pPr>
        <w:keepNext w:val="0"/>
        <w:keepLines w:val="0"/>
        <w:pageBreakBefore w:val="0"/>
        <w:kinsoku/>
        <w:wordWrap/>
        <w:overflowPunct/>
        <w:topLinePunct w:val="0"/>
        <w:autoSpaceDE/>
        <w:autoSpaceDN/>
        <w:bidi w:val="0"/>
        <w:spacing w:line="572" w:lineRule="exact"/>
        <w:jc w:val="center"/>
        <w:textAlignment w:val="auto"/>
        <w:rPr>
          <w:rFonts w:hint="eastAsia" w:ascii="方正小标宋简体" w:hAnsi="宋体" w:eastAsia="方正小标宋简体"/>
          <w:color w:val="auto"/>
          <w:spacing w:val="-20"/>
          <w:kern w:val="0"/>
          <w:sz w:val="40"/>
          <w:szCs w:val="44"/>
          <w:highlight w:val="none"/>
          <w:lang w:eastAsia="zh-CN"/>
        </w:rPr>
      </w:pPr>
      <w:bookmarkStart w:id="82" w:name="_Toc105527166_WPSOffice_Level2"/>
      <w:r>
        <w:rPr>
          <w:rFonts w:hint="eastAsia" w:ascii="方正小标宋简体" w:hAnsi="宋体" w:eastAsia="方正小标宋简体"/>
          <w:color w:val="auto"/>
          <w:spacing w:val="-20"/>
          <w:kern w:val="0"/>
          <w:sz w:val="40"/>
          <w:szCs w:val="44"/>
          <w:highlight w:val="none"/>
        </w:rPr>
        <w:t>202</w:t>
      </w:r>
      <w:r>
        <w:rPr>
          <w:rFonts w:hint="eastAsia" w:ascii="方正小标宋简体" w:hAnsi="宋体" w:eastAsia="方正小标宋简体"/>
          <w:color w:val="auto"/>
          <w:spacing w:val="-20"/>
          <w:kern w:val="0"/>
          <w:sz w:val="40"/>
          <w:szCs w:val="44"/>
          <w:highlight w:val="none"/>
          <w:lang w:val="en-US" w:eastAsia="zh-CN"/>
        </w:rPr>
        <w:t>1</w:t>
      </w:r>
      <w:r>
        <w:rPr>
          <w:rFonts w:hint="eastAsia" w:ascii="方正小标宋简体" w:hAnsi="宋体" w:eastAsia="方正小标宋简体"/>
          <w:color w:val="auto"/>
          <w:spacing w:val="-20"/>
          <w:kern w:val="0"/>
          <w:sz w:val="40"/>
          <w:szCs w:val="44"/>
          <w:highlight w:val="none"/>
        </w:rPr>
        <w:t>年</w:t>
      </w:r>
      <w:r>
        <w:rPr>
          <w:rFonts w:hint="eastAsia" w:ascii="方正小标宋简体" w:hAnsi="宋体" w:eastAsia="方正小标宋简体"/>
          <w:color w:val="auto"/>
          <w:spacing w:val="-20"/>
          <w:kern w:val="0"/>
          <w:sz w:val="40"/>
          <w:szCs w:val="44"/>
          <w:highlight w:val="none"/>
          <w:lang w:eastAsia="zh-CN"/>
        </w:rPr>
        <w:t>广元市政务服务和公共资源交易中心（汇总）</w:t>
      </w:r>
      <w:bookmarkEnd w:id="82"/>
    </w:p>
    <w:p>
      <w:pPr>
        <w:keepNext w:val="0"/>
        <w:keepLines w:val="0"/>
        <w:pageBreakBefore w:val="0"/>
        <w:kinsoku/>
        <w:wordWrap/>
        <w:overflowPunct/>
        <w:topLinePunct w:val="0"/>
        <w:autoSpaceDE/>
        <w:autoSpaceDN/>
        <w:bidi w:val="0"/>
        <w:spacing w:line="572" w:lineRule="exact"/>
        <w:jc w:val="center"/>
        <w:textAlignment w:val="auto"/>
        <w:rPr>
          <w:rFonts w:ascii="方正小标宋简体" w:hAnsi="宋体" w:eastAsia="方正小标宋简体"/>
          <w:color w:val="auto"/>
          <w:kern w:val="0"/>
          <w:sz w:val="40"/>
          <w:szCs w:val="44"/>
          <w:highlight w:val="none"/>
          <w:lang w:val="zh-CN"/>
        </w:rPr>
      </w:pPr>
      <w:bookmarkStart w:id="83" w:name="_Toc708493665_WPSOffice_Level2"/>
      <w:r>
        <w:rPr>
          <w:rFonts w:hint="eastAsia" w:ascii="方正小标宋简体" w:hAnsi="宋体" w:eastAsia="方正小标宋简体"/>
          <w:color w:val="auto"/>
          <w:kern w:val="0"/>
          <w:sz w:val="40"/>
          <w:szCs w:val="44"/>
          <w:highlight w:val="none"/>
        </w:rPr>
        <w:t>部门整体绩效评价报告</w:t>
      </w:r>
      <w:bookmarkEnd w:id="83"/>
    </w:p>
    <w:p>
      <w:pPr>
        <w:keepNext w:val="0"/>
        <w:keepLines w:val="0"/>
        <w:pageBreakBefore w:val="0"/>
        <w:widowControl/>
        <w:kinsoku/>
        <w:wordWrap/>
        <w:overflowPunct/>
        <w:topLinePunct w:val="0"/>
        <w:autoSpaceDE/>
        <w:autoSpaceDN/>
        <w:bidi w:val="0"/>
        <w:adjustRightInd w:val="0"/>
        <w:snapToGrid w:val="0"/>
        <w:spacing w:line="572" w:lineRule="exact"/>
        <w:ind w:firstLine="480" w:firstLineChars="200"/>
        <w:contextualSpacing/>
        <w:jc w:val="left"/>
        <w:textAlignment w:val="auto"/>
        <w:rPr>
          <w:rFonts w:ascii="黑体" w:hAnsi="宋体" w:eastAsia="黑体" w:cs="宋体"/>
          <w:color w:val="auto"/>
          <w:kern w:val="0"/>
          <w:sz w:val="24"/>
          <w:szCs w:val="32"/>
          <w:highlight w:val="none"/>
          <w:shd w:val="clear" w:color="auto" w:fill="FFFFFF"/>
        </w:rPr>
      </w:pPr>
    </w:p>
    <w:p>
      <w:pPr>
        <w:keepNext w:val="0"/>
        <w:keepLines w:val="0"/>
        <w:pageBreakBefore w:val="0"/>
        <w:widowControl/>
        <w:kinsoku/>
        <w:wordWrap/>
        <w:overflowPunct/>
        <w:topLinePunct w:val="0"/>
        <w:autoSpaceDE/>
        <w:autoSpaceDN/>
        <w:bidi w:val="0"/>
        <w:adjustRightInd w:val="0"/>
        <w:snapToGrid w:val="0"/>
        <w:spacing w:line="572" w:lineRule="exact"/>
        <w:ind w:firstLine="640" w:firstLineChars="200"/>
        <w:contextualSpacing/>
        <w:jc w:val="left"/>
        <w:textAlignment w:val="auto"/>
        <w:rPr>
          <w:rFonts w:ascii="黑体" w:hAnsi="宋体" w:eastAsia="黑体" w:cs="宋体"/>
          <w:color w:val="auto"/>
          <w:kern w:val="0"/>
          <w:sz w:val="32"/>
          <w:szCs w:val="32"/>
          <w:highlight w:val="none"/>
          <w:shd w:val="clear" w:color="auto" w:fill="FFFFFF"/>
          <w:lang w:val="zh-CN"/>
        </w:rPr>
      </w:pPr>
      <w:bookmarkStart w:id="84" w:name="_Toc2046569256_WPSOffice_Level2"/>
      <w:r>
        <w:rPr>
          <w:rFonts w:hint="eastAsia" w:ascii="黑体" w:hAnsi="宋体" w:eastAsia="黑体" w:cs="宋体"/>
          <w:color w:val="auto"/>
          <w:kern w:val="0"/>
          <w:sz w:val="32"/>
          <w:szCs w:val="32"/>
          <w:highlight w:val="none"/>
          <w:shd w:val="clear" w:color="auto" w:fill="FFFFFF"/>
        </w:rPr>
        <w:t>一、</w:t>
      </w:r>
      <w:r>
        <w:rPr>
          <w:rFonts w:hint="eastAsia" w:ascii="黑体" w:hAnsi="宋体" w:eastAsia="黑体" w:cs="宋体"/>
          <w:color w:val="auto"/>
          <w:kern w:val="0"/>
          <w:sz w:val="32"/>
          <w:szCs w:val="32"/>
          <w:highlight w:val="none"/>
          <w:shd w:val="clear" w:color="auto" w:fill="FFFFFF"/>
          <w:lang w:val="zh-CN"/>
        </w:rPr>
        <w:t>部门概况</w:t>
      </w:r>
      <w:bookmarkEnd w:id="84"/>
    </w:p>
    <w:p>
      <w:pPr>
        <w:pStyle w:val="6"/>
        <w:adjustRightInd w:val="0"/>
        <w:snapToGrid w:val="0"/>
        <w:spacing w:before="93" w:line="600" w:lineRule="exact"/>
        <w:ind w:firstLine="640" w:firstLineChars="200"/>
        <w:jc w:val="both"/>
        <w:outlineLvl w:val="2"/>
        <w:rPr>
          <w:rFonts w:hint="eastAsia" w:hAnsi="宋体" w:cs="宋体"/>
          <w:color w:val="000000"/>
          <w:sz w:val="32"/>
          <w:szCs w:val="32"/>
          <w:shd w:val="clear" w:color="auto" w:fill="FFFFFF"/>
          <w:lang w:val="zh-CN"/>
        </w:rPr>
      </w:pPr>
      <w:r>
        <w:rPr>
          <w:rFonts w:hint="eastAsia" w:ascii="楷体_GB2312" w:hAnsi="楷体_GB2312" w:eastAsia="楷体_GB2312" w:cs="楷体_GB2312"/>
          <w:color w:val="auto"/>
          <w:kern w:val="0"/>
          <w:sz w:val="32"/>
          <w:szCs w:val="32"/>
          <w:highlight w:val="none"/>
          <w:shd w:val="clear" w:color="auto" w:fill="FFFFFF"/>
          <w:lang w:val="zh-CN"/>
        </w:rPr>
        <w:t>（一）机构组成。</w:t>
      </w:r>
      <w:r>
        <w:rPr>
          <w:rFonts w:hint="eastAsia" w:hAnsi="宋体" w:cs="宋体"/>
          <w:color w:val="000000"/>
          <w:sz w:val="32"/>
          <w:szCs w:val="32"/>
          <w:shd w:val="clear" w:color="auto" w:fill="FFFFFF"/>
          <w:lang w:val="zh-CN"/>
        </w:rPr>
        <w:t>2019年1月原广元市人民政府政务服务中心更名为广元市政务服务和公共资源交易中心，是广元市人民政府直属事业单位（参公管理），为正县级机构。主要职责：贯彻实施政务服务和公共资源交易服务相关法律、法规和政策，为政务服务和公共资源交易活动提供场所、设施和服务；负责对进入市政务服务和公共资源交易中心的所有事项办理情况的指导监督和入驻单位窗口工作人员的日常管理；负责实施市本级政务服务大厅标准化、规范化、便民化的建设和服务工作。负责入驻单位窗口服务事项清理、办事材料精简、服务流程优化、办事指南规范更新的指导和管理；负责入驻单位窗口为企业和群众开展全程代办、协办和上门服务、延时服务、预约服务；负责入驻单位窗口审批服务事项“一网办”“一门办”“一次办”的工作协调，开展优质服务；负责一体化政务服务平台的运维工作；负责广元市公共资源交易信息中心的建设和管理；负责全市12345政务服务热线的日常运行和管理；负责对各县区、经济技术开发区政务服务和公共资源交易中心的业务指导；负责全市重大投资项目联合审批的相关服务工作；完成市委、市政府交办的其他任务。</w:t>
      </w:r>
    </w:p>
    <w:p>
      <w:pPr>
        <w:pStyle w:val="6"/>
        <w:adjustRightInd w:val="0"/>
        <w:snapToGrid w:val="0"/>
        <w:spacing w:before="93" w:line="600" w:lineRule="exact"/>
        <w:ind w:firstLine="640" w:firstLineChars="200"/>
        <w:outlineLvl w:val="2"/>
        <w:rPr>
          <w:rFonts w:hAnsi="宋体" w:cs="宋体"/>
          <w:color w:val="000000"/>
          <w:sz w:val="32"/>
          <w:szCs w:val="32"/>
          <w:shd w:val="clear" w:color="auto" w:fill="FFFFFF"/>
          <w:lang w:val="zh-CN"/>
        </w:rPr>
      </w:pPr>
      <w:r>
        <w:rPr>
          <w:rFonts w:hint="eastAsia" w:hAnsi="宋体" w:cs="宋体"/>
          <w:color w:val="000000"/>
          <w:sz w:val="32"/>
          <w:szCs w:val="32"/>
          <w:shd w:val="clear" w:color="auto" w:fill="FFFFFF"/>
          <w:lang w:val="zh-CN"/>
        </w:rPr>
        <w:t>广元市公共资源交易信息中心（市政府采购中心、市12345政务服务热线中心）为市政务服务和公共资源交易中心的直属事业单位，与市政务服务和公共资源交易中心一体化管理。主要职责：贯彻实施公共资源交易相关法律、法规和政策，为公共资源交易活动提供场所、设施和服务；制定公共资源交易现场管理规章制度、工作流程并组织实施，指导全市公共资源交易活动现场和管理工作；承担全市工程建设招投标现场服务和管理工作，负责政府采购活动现场服务和管理工作，负责国有产权、特许经营权出（转）让等现场服务和管理工作，负责国有土地、矿业权出（转）让提供交易服务；承担市公共资源交易中心信息技术平台建设和管理，按照有关规定发布场内交易信息，为交易各方提供交易资讯、鉴证等服务；查验进场交易项目相关手续和参与交易活动各方主体资格；建立公共资源交易从业者场内信誉评价制度，协助有关部门建立公共资源交易信用评价体系；负责项目交易现场监督管理工作，记录、制止和纠正违反交易现场管理制度的行为，接受有关咨询、投诉，并按职责分工及时处理；承办市政府交办的其他事项。</w:t>
      </w:r>
    </w:p>
    <w:p>
      <w:pPr>
        <w:widowControl/>
        <w:shd w:val="clear" w:color="auto" w:fill="FFFFFF"/>
        <w:ind w:left="0" w:leftChars="0" w:firstLine="640" w:firstLineChars="200"/>
        <w:rPr>
          <w:rFonts w:ascii="仿宋_GB2312" w:hAnsi="宋体" w:eastAsia="仿宋_GB2312" w:cs="宋体"/>
          <w:kern w:val="0"/>
          <w:sz w:val="32"/>
          <w:szCs w:val="32"/>
          <w:shd w:val="clear" w:color="auto" w:fill="FFFFFF"/>
          <w:lang w:val="zh-CN"/>
        </w:rPr>
      </w:pPr>
      <w:r>
        <w:rPr>
          <w:rFonts w:hint="eastAsia" w:ascii="楷体_GB2312" w:hAnsi="楷体_GB2312" w:eastAsia="楷体_GB2312" w:cs="楷体_GB2312"/>
          <w:color w:val="auto"/>
          <w:kern w:val="0"/>
          <w:sz w:val="32"/>
          <w:szCs w:val="32"/>
          <w:highlight w:val="none"/>
          <w:shd w:val="clear" w:color="auto" w:fill="FFFFFF"/>
          <w:lang w:val="zh-CN"/>
        </w:rPr>
        <w:t>（二）机构职能。</w:t>
      </w:r>
      <w:r>
        <w:rPr>
          <w:rFonts w:hint="eastAsia" w:ascii="仿宋_GB2312" w:hAnsi="宋体" w:eastAsia="仿宋_GB2312" w:cs="宋体"/>
          <w:kern w:val="0"/>
          <w:sz w:val="32"/>
          <w:szCs w:val="32"/>
          <w:shd w:val="clear" w:color="auto" w:fill="FFFFFF"/>
          <w:lang w:val="zh-CN"/>
        </w:rPr>
        <w:t>广</w:t>
      </w:r>
      <w:r>
        <w:rPr>
          <w:rFonts w:ascii="仿宋_GB2312" w:hAnsi="宋体" w:eastAsia="仿宋_GB2312" w:cs="宋体"/>
          <w:kern w:val="0"/>
          <w:sz w:val="32"/>
          <w:szCs w:val="32"/>
          <w:shd w:val="clear" w:color="auto" w:fill="FFFFFF"/>
          <w:lang w:val="zh-CN"/>
        </w:rPr>
        <w:t>元市政务服务和公共资源交易中心是广元市人民政府直属事业单位（参公管理），为正县级机构。内设综合科、现场监督科、服务科、网管科、财务科</w:t>
      </w:r>
      <w:r>
        <w:rPr>
          <w:rFonts w:hint="eastAsia" w:ascii="仿宋_GB2312" w:hAnsi="宋体" w:eastAsia="仿宋_GB2312" w:cs="宋体"/>
          <w:kern w:val="0"/>
          <w:sz w:val="32"/>
          <w:szCs w:val="32"/>
          <w:shd w:val="clear" w:color="auto" w:fill="FFFFFF"/>
          <w:lang w:val="zh-CN"/>
        </w:rPr>
        <w:t>、大数据管理科6个科室；广元市市公共资源交易信息中心是经市委、市政府批准设立的公益一类事业单位，直属市政务服务和公共资源交易中心，下设综合科、交易受理科、交易组织科、交易评审科、现场监督科、热线受理科、热线督办科、信息技术科、保证金管理科9个科室。中心现有参公事业编制1</w:t>
      </w:r>
      <w:r>
        <w:rPr>
          <w:rFonts w:hint="eastAsia" w:ascii="仿宋_GB2312" w:hAnsi="宋体" w:eastAsia="仿宋_GB2312" w:cs="宋体"/>
          <w:kern w:val="0"/>
          <w:sz w:val="32"/>
          <w:szCs w:val="32"/>
          <w:shd w:val="clear" w:color="auto" w:fill="FFFFFF"/>
          <w:lang w:val="en-US" w:eastAsia="zh-CN"/>
        </w:rPr>
        <w:t>5</w:t>
      </w:r>
      <w:r>
        <w:rPr>
          <w:rFonts w:hint="eastAsia" w:ascii="仿宋_GB2312" w:hAnsi="宋体" w:eastAsia="仿宋_GB2312" w:cs="宋体"/>
          <w:kern w:val="0"/>
          <w:sz w:val="32"/>
          <w:szCs w:val="32"/>
          <w:shd w:val="clear" w:color="auto" w:fill="FFFFFF"/>
          <w:lang w:val="zh-CN"/>
        </w:rPr>
        <w:t>名、工勤事业编制2名，其中常务副主任1名（正县级），副主任2名，机关党委书记1名，正科级领导职数6名，副科级领导职数3名。实有县级以上</w:t>
      </w:r>
      <w:r>
        <w:rPr>
          <w:rFonts w:hint="eastAsia" w:ascii="仿宋_GB2312" w:hAnsi="宋体" w:eastAsia="仿宋_GB2312" w:cs="宋体"/>
          <w:kern w:val="0"/>
          <w:sz w:val="32"/>
          <w:szCs w:val="32"/>
          <w:shd w:val="clear" w:color="auto" w:fill="FFFFFF"/>
          <w:lang w:val="en-US" w:eastAsia="zh-CN"/>
        </w:rPr>
        <w:t>7</w:t>
      </w:r>
      <w:r>
        <w:rPr>
          <w:rFonts w:hint="eastAsia" w:ascii="仿宋_GB2312" w:hAnsi="宋体" w:eastAsia="仿宋_GB2312" w:cs="宋体"/>
          <w:kern w:val="0"/>
          <w:sz w:val="32"/>
          <w:szCs w:val="32"/>
          <w:shd w:val="clear" w:color="auto" w:fill="FFFFFF"/>
          <w:lang w:val="zh-CN"/>
        </w:rPr>
        <w:t>名,正科级</w:t>
      </w:r>
      <w:r>
        <w:rPr>
          <w:rFonts w:hint="eastAsia" w:ascii="仿宋_GB2312" w:hAnsi="宋体" w:eastAsia="仿宋_GB2312" w:cs="宋体"/>
          <w:kern w:val="0"/>
          <w:sz w:val="32"/>
          <w:szCs w:val="32"/>
          <w:shd w:val="clear" w:color="auto" w:fill="FFFFFF"/>
          <w:lang w:val="en-US" w:eastAsia="zh-CN"/>
        </w:rPr>
        <w:t>4</w:t>
      </w:r>
      <w:r>
        <w:rPr>
          <w:rFonts w:hint="eastAsia" w:ascii="仿宋_GB2312" w:hAnsi="宋体" w:eastAsia="仿宋_GB2312" w:cs="宋体"/>
          <w:kern w:val="0"/>
          <w:sz w:val="32"/>
          <w:szCs w:val="32"/>
          <w:shd w:val="clear" w:color="auto" w:fill="FFFFFF"/>
          <w:lang w:val="zh-CN"/>
        </w:rPr>
        <w:t>名，工勤人员1名。下属单位广元市市公共资源交易信息中心编制数25名，在岗实有人数22人。</w:t>
      </w:r>
    </w:p>
    <w:p>
      <w:pPr>
        <w:widowControl/>
        <w:shd w:val="clear" w:color="auto" w:fill="FFFFFF"/>
        <w:ind w:left="0" w:leftChars="0" w:firstLine="672" w:firstLineChars="0"/>
        <w:rPr>
          <w:rFonts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纳入广元市政务服务和公共资源交易中心202</w:t>
      </w:r>
      <w:r>
        <w:rPr>
          <w:rFonts w:hint="eastAsia" w:ascii="仿宋_GB2312" w:hAnsi="宋体" w:eastAsia="仿宋_GB2312" w:cs="宋体"/>
          <w:color w:val="000000"/>
          <w:kern w:val="0"/>
          <w:sz w:val="32"/>
          <w:szCs w:val="32"/>
          <w:shd w:val="clear" w:color="auto" w:fill="FFFFFF"/>
          <w:lang w:val="en-US" w:eastAsia="zh-CN"/>
        </w:rPr>
        <w:t>1</w:t>
      </w:r>
      <w:r>
        <w:rPr>
          <w:rFonts w:hint="eastAsia" w:ascii="仿宋_GB2312" w:hAnsi="宋体" w:eastAsia="仿宋_GB2312" w:cs="宋体"/>
          <w:color w:val="000000"/>
          <w:kern w:val="0"/>
          <w:sz w:val="32"/>
          <w:szCs w:val="32"/>
          <w:shd w:val="clear" w:color="auto" w:fill="FFFFFF"/>
          <w:lang w:val="zh-CN"/>
        </w:rPr>
        <w:t>年部门决算编制范围的二级决算单位包括：</w:t>
      </w:r>
    </w:p>
    <w:p>
      <w:pPr>
        <w:widowControl/>
        <w:shd w:val="clear" w:color="auto" w:fill="FFFFFF"/>
        <w:ind w:left="0" w:leftChars="0" w:firstLine="640" w:firstLineChars="0"/>
        <w:rPr>
          <w:rFonts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1.广元市政务服务和公共资源交易中心（本级）；</w:t>
      </w:r>
    </w:p>
    <w:p>
      <w:pPr>
        <w:widowControl/>
        <w:shd w:val="clear" w:color="auto" w:fill="FFFFFF"/>
        <w:ind w:left="0" w:leftChars="0" w:firstLine="640" w:firstLineChars="0"/>
        <w:rPr>
          <w:rFonts w:hint="eastAsia"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2.广元市公共资源交易信息中心。</w:t>
      </w:r>
    </w:p>
    <w:p>
      <w:pPr>
        <w:widowControl/>
        <w:adjustRightInd w:val="0"/>
        <w:snapToGrid w:val="0"/>
        <w:spacing w:line="580" w:lineRule="exact"/>
        <w:ind w:firstLine="640" w:firstLineChars="200"/>
        <w:contextualSpacing/>
        <w:jc w:val="left"/>
        <w:rPr>
          <w:rFonts w:ascii="黑体" w:hAnsi="宋体" w:eastAsia="黑体" w:cs="宋体"/>
          <w:color w:val="000000"/>
          <w:kern w:val="0"/>
          <w:sz w:val="32"/>
          <w:szCs w:val="32"/>
          <w:shd w:val="clear" w:color="auto" w:fill="FFFFFF"/>
        </w:rPr>
      </w:pPr>
      <w:r>
        <w:rPr>
          <w:rFonts w:hint="eastAsia" w:ascii="黑体" w:hAnsi="宋体" w:eastAsia="黑体" w:cs="宋体"/>
          <w:color w:val="000000"/>
          <w:kern w:val="0"/>
          <w:sz w:val="32"/>
          <w:szCs w:val="32"/>
          <w:shd w:val="clear" w:color="auto" w:fill="FFFFFF"/>
          <w:lang w:eastAsia="zh-CN"/>
        </w:rPr>
        <w:t>二</w:t>
      </w:r>
      <w:r>
        <w:rPr>
          <w:rFonts w:hint="eastAsia" w:ascii="黑体" w:hAnsi="宋体" w:eastAsia="黑体" w:cs="宋体"/>
          <w:color w:val="000000"/>
          <w:kern w:val="0"/>
          <w:sz w:val="32"/>
          <w:szCs w:val="32"/>
          <w:shd w:val="clear" w:color="auto" w:fill="FFFFFF"/>
        </w:rPr>
        <w:t>、部门整体预算绩效管理情况</w:t>
      </w:r>
    </w:p>
    <w:p>
      <w:pPr>
        <w:widowControl/>
        <w:adjustRightInd w:val="0"/>
        <w:snapToGrid w:val="0"/>
        <w:spacing w:line="580" w:lineRule="exact"/>
        <w:ind w:firstLine="640" w:firstLineChars="200"/>
        <w:contextualSpacing/>
        <w:jc w:val="left"/>
        <w:rPr>
          <w:rFonts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（一）部门预算管理。</w:t>
      </w:r>
    </w:p>
    <w:p>
      <w:pPr>
        <w:widowControl/>
        <w:adjustRightInd w:val="0"/>
        <w:snapToGrid w:val="0"/>
        <w:spacing w:line="580" w:lineRule="exact"/>
        <w:ind w:firstLine="640" w:firstLineChars="200"/>
        <w:contextualSpacing/>
        <w:jc w:val="left"/>
        <w:rPr>
          <w:rFonts w:ascii="仿宋_GB2312" w:hAnsi="宋体" w:eastAsia="仿宋_GB2312" w:cs="宋体"/>
          <w:color w:val="000000"/>
          <w:kern w:val="0"/>
          <w:sz w:val="32"/>
          <w:szCs w:val="32"/>
          <w:shd w:val="clear" w:color="auto" w:fill="FFFFFF"/>
          <w:lang w:val="zh-CN"/>
        </w:rPr>
      </w:pPr>
      <w:r>
        <w:rPr>
          <w:rFonts w:hint="eastAsia" w:ascii="仿宋_GB2312" w:eastAsia="仿宋_GB2312"/>
          <w:color w:val="000000"/>
          <w:sz w:val="32"/>
          <w:szCs w:val="32"/>
        </w:rPr>
        <w:t>按照中心发展计划和任务目标为中心，在降低成本、减少费用支出等方面做出详细规划，同时充分考虑国家、行政事业单位等宏观政策，建立预算管理办法，结合中心实际情况编制部门预算。预算编制流程分为</w:t>
      </w:r>
      <w:r>
        <w:rPr>
          <w:rFonts w:ascii="仿宋_GB2312" w:eastAsia="仿宋_GB2312"/>
          <w:color w:val="000000"/>
          <w:sz w:val="32"/>
          <w:szCs w:val="32"/>
        </w:rPr>
        <w:t>5</w:t>
      </w:r>
      <w:r>
        <w:rPr>
          <w:rFonts w:hint="eastAsia" w:ascii="仿宋_GB2312" w:eastAsia="仿宋_GB2312"/>
          <w:color w:val="000000"/>
          <w:sz w:val="32"/>
          <w:szCs w:val="32"/>
        </w:rPr>
        <w:t>个步骤，包括预算布置、预算申报、预算论证及编制预算。①预算布置。每年九月，财务科根据财政局要求，提出下年度中心预算编制的基本原则与方法，向中心各科室布置下年度的预算申报工作；②预算申报。每年十月初，各部门根据预算年度工作目标和工作计划提出真实、详细的下年度预算申请，专项经费应附支出预算明细。③预算论证。每年十月中旬，财务科对各科室的下年度预算申请进行初审与协调，对各科室申请的专项经费逐项进行比对与论证，结合中心下年度收入测算数，根据项目的轻重缓急，提出支出项目预算建议数。④编制预算。每年十一月初，财务科根据市财政下达的预算控制数和中心预算年度的收支预测，在收支平衡的基础上，编制中心下一年度预算草案，形成预算建议数，报分管财务领导，再上中心党组会议集体研究决策。根据市财政局最终批复预算数，在中心党组（扩大）会议上对全体科室通报。202</w:t>
      </w:r>
      <w:r>
        <w:rPr>
          <w:rFonts w:hint="eastAsia" w:ascii="仿宋_GB2312" w:eastAsia="仿宋_GB2312"/>
          <w:color w:val="000000"/>
          <w:sz w:val="32"/>
          <w:szCs w:val="32"/>
          <w:lang w:val="en-US" w:eastAsia="zh-CN"/>
        </w:rPr>
        <w:t>1</w:t>
      </w:r>
      <w:r>
        <w:rPr>
          <w:rFonts w:hint="eastAsia" w:ascii="仿宋_GB2312" w:eastAsia="仿宋_GB2312"/>
          <w:color w:val="000000"/>
          <w:sz w:val="32"/>
          <w:szCs w:val="32"/>
        </w:rPr>
        <w:t>年无违规操作的现象发生。</w:t>
      </w:r>
    </w:p>
    <w:p>
      <w:pPr>
        <w:widowControl/>
        <w:adjustRightInd w:val="0"/>
        <w:snapToGrid w:val="0"/>
        <w:spacing w:line="580" w:lineRule="exact"/>
        <w:ind w:firstLine="640" w:firstLineChars="200"/>
        <w:contextualSpacing/>
        <w:jc w:val="left"/>
        <w:rPr>
          <w:rFonts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（二）结果应用情况。</w:t>
      </w:r>
    </w:p>
    <w:p>
      <w:pPr>
        <w:widowControl/>
        <w:adjustRightInd w:val="0"/>
        <w:snapToGrid w:val="0"/>
        <w:spacing w:line="580" w:lineRule="exact"/>
        <w:ind w:firstLine="640" w:firstLineChars="200"/>
        <w:contextualSpacing/>
        <w:jc w:val="left"/>
        <w:rPr>
          <w:rFonts w:hint="eastAsia" w:ascii="仿宋_GB2312" w:eastAsia="仿宋_GB2312"/>
          <w:color w:val="000000"/>
          <w:sz w:val="32"/>
          <w:szCs w:val="32"/>
        </w:rPr>
      </w:pPr>
      <w:r>
        <w:rPr>
          <w:rFonts w:hint="eastAsia" w:ascii="仿宋_GB2312" w:eastAsia="仿宋_GB2312"/>
          <w:color w:val="000000"/>
          <w:sz w:val="32"/>
          <w:szCs w:val="32"/>
        </w:rPr>
        <w:t>针对年初工作安排，我中心于每年度结束前，以个人、科室为单位对本年度工作进行总结归纳，交人事部门汇总后进行考核评价。并对绩效目标和自评结果通过张贴公示的方式进行了公开，公示期间对评价结果存在的问题制定了有效的整改措施。</w:t>
      </w:r>
    </w:p>
    <w:p>
      <w:pPr>
        <w:keepNext w:val="0"/>
        <w:keepLines w:val="0"/>
        <w:pageBreakBefore w:val="0"/>
        <w:widowControl/>
        <w:kinsoku/>
        <w:wordWrap/>
        <w:overflowPunct/>
        <w:topLinePunct w:val="0"/>
        <w:autoSpaceDE/>
        <w:autoSpaceDN/>
        <w:bidi w:val="0"/>
        <w:adjustRightInd w:val="0"/>
        <w:snapToGrid w:val="0"/>
        <w:spacing w:line="572" w:lineRule="exact"/>
        <w:ind w:firstLine="640" w:firstLineChars="200"/>
        <w:contextualSpacing/>
        <w:jc w:val="left"/>
        <w:textAlignment w:val="auto"/>
        <w:rPr>
          <w:rFonts w:hint="eastAsia" w:ascii="黑体" w:hAnsi="宋体" w:eastAsia="黑体" w:cs="宋体"/>
          <w:color w:val="auto"/>
          <w:kern w:val="0"/>
          <w:sz w:val="32"/>
          <w:szCs w:val="32"/>
          <w:highlight w:val="none"/>
          <w:shd w:val="clear" w:color="auto" w:fill="FFFFFF"/>
        </w:rPr>
      </w:pPr>
      <w:bookmarkStart w:id="85" w:name="_Toc849782061_WPSOffice_Level2"/>
      <w:r>
        <w:rPr>
          <w:rFonts w:hint="eastAsia" w:ascii="黑体" w:hAnsi="宋体" w:eastAsia="黑体" w:cs="宋体"/>
          <w:color w:val="auto"/>
          <w:kern w:val="0"/>
          <w:sz w:val="32"/>
          <w:szCs w:val="32"/>
          <w:highlight w:val="none"/>
          <w:shd w:val="clear" w:color="auto" w:fill="FFFFFF"/>
          <w:lang w:eastAsia="zh-CN"/>
        </w:rPr>
        <w:t>三</w:t>
      </w:r>
      <w:r>
        <w:rPr>
          <w:rFonts w:hint="eastAsia" w:ascii="黑体" w:hAnsi="宋体" w:eastAsia="黑体" w:cs="宋体"/>
          <w:color w:val="auto"/>
          <w:kern w:val="0"/>
          <w:sz w:val="32"/>
          <w:szCs w:val="32"/>
          <w:highlight w:val="none"/>
          <w:shd w:val="clear" w:color="auto" w:fill="FFFFFF"/>
        </w:rPr>
        <w:t>、部门财政资金收支情况</w:t>
      </w:r>
      <w:bookmarkEnd w:id="85"/>
    </w:p>
    <w:p>
      <w:pPr>
        <w:widowControl/>
        <w:shd w:val="clear" w:color="auto" w:fill="FFFFFF"/>
        <w:spacing w:line="576" w:lineRule="exact"/>
        <w:ind w:firstLine="640"/>
        <w:rPr>
          <w:rFonts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1.非税收入征收、上缴情况。年度内按时、全额征收上缴建行业务用房租赁费和交易信息中心土地（矿权）交易服务费。</w:t>
      </w:r>
    </w:p>
    <w:p>
      <w:pPr>
        <w:widowControl/>
        <w:shd w:val="clear" w:color="auto" w:fill="FFFFFF"/>
        <w:spacing w:line="576" w:lineRule="exact"/>
        <w:ind w:firstLine="640"/>
        <w:rPr>
          <w:rFonts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2.政府采购实施计划编制执行情况。严格执行政府采购相关规定，统一部署、认真组织，合理安排项目申报，完善项目前期报批手续，并按期办理计划申报及资金支付工作，保证采购经费限期完成支付，采购效率得到提高，做到了政府采购预算应编尽编、采购项目不遗漏、采购行为规范、应采尽采。</w:t>
      </w:r>
    </w:p>
    <w:p>
      <w:pPr>
        <w:widowControl/>
        <w:shd w:val="clear" w:color="auto" w:fill="FFFFFF"/>
        <w:spacing w:line="576" w:lineRule="exact"/>
        <w:ind w:firstLine="640"/>
        <w:rPr>
          <w:rFonts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3.资产管理信息系统建设、资产清查上报情况。运用行政事业单位资产管理信息系统加强固定资产实物的登记管理，按照行政事业单位资产管理信息系统运行要求进行固定资产实物登记、建卡，做到实物管理部门、会计财务部门的账实、账卡、账表相符。按时报送资产清查相关报表。</w:t>
      </w:r>
    </w:p>
    <w:p>
      <w:pPr>
        <w:widowControl/>
        <w:shd w:val="clear" w:color="auto" w:fill="FFFFFF"/>
        <w:spacing w:line="576" w:lineRule="exact"/>
        <w:ind w:firstLine="640"/>
        <w:rPr>
          <w:rFonts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4.部门内控控制制度健全情况。从建立健全内部控制制度入手，根据内部控制规范的相关要求，系统梳理机关已有的内部控制程序并加以完善，着力规范业务流程，明确岗位职责，强化制约，落实责任追究，形成机关健全有效的内部控制体系。</w:t>
      </w:r>
    </w:p>
    <w:p>
      <w:pPr>
        <w:widowControl/>
        <w:shd w:val="clear" w:color="auto" w:fill="FFFFFF"/>
        <w:spacing w:line="576" w:lineRule="exact"/>
        <w:ind w:firstLine="640"/>
        <w:rPr>
          <w:rFonts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5.预决算及绩效信息公开情况。按财政局要求对预决算及绩效信息公开，公开的内容真实、完整，接受社会各界监督。</w:t>
      </w:r>
    </w:p>
    <w:p>
      <w:pPr>
        <w:widowControl/>
        <w:shd w:val="clear" w:color="auto" w:fill="FFFFFF"/>
        <w:spacing w:line="576" w:lineRule="exact"/>
        <w:ind w:firstLine="640"/>
        <w:rPr>
          <w:rFonts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6.绩效评价开展、评价结果报告情况。对系统项目资金进行了绩效评价全覆盖，认真接受市财政局的监督评价，全年所有项目接受上级部门的专业评审和市财政局的绩效评价，效果良好。</w:t>
      </w:r>
    </w:p>
    <w:p>
      <w:pPr>
        <w:widowControl/>
        <w:shd w:val="clear" w:color="auto" w:fill="FFFFFF"/>
        <w:spacing w:line="576" w:lineRule="exact"/>
        <w:ind w:firstLine="640"/>
        <w:rPr>
          <w:rFonts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7.财政政策执行情况</w:t>
      </w:r>
    </w:p>
    <w:p>
      <w:pPr>
        <w:widowControl/>
        <w:shd w:val="clear" w:color="auto" w:fill="FFFFFF"/>
        <w:spacing w:line="576" w:lineRule="exact"/>
        <w:ind w:firstLine="640"/>
        <w:rPr>
          <w:rFonts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1）国库集中支付。严格实行国库集中支付制度，使财政资金运行的透明度得到提高，监管力度得以加强，有效的保障了财政资金安全和高效运行；使所有财政性资金都按规范程序在国库单一账户体系内运作，减少预算执行和资金管理方面的随意性，增强财政支出活动的透明度，将资金拨付全过程置于有效的监管之下，使管理监督全面有效，进一步减少财政资金拨付环节，使预算单位用款更加及时便利。</w:t>
      </w:r>
    </w:p>
    <w:p>
      <w:pPr>
        <w:widowControl/>
        <w:shd w:val="clear" w:color="auto" w:fill="FFFFFF"/>
        <w:spacing w:line="576" w:lineRule="exact"/>
        <w:ind w:firstLine="640"/>
        <w:rPr>
          <w:rFonts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2）公务卡改革。制定了公务接待等行政性支出管理办法，推行了公务卡强制结算、支出预警止付等监控措施，严格按照公务卡编制结算目录使用公务卡公务结算，强化了支出管控。全年本部门公务接待费、公车运行费、会议费等在上年大幅下降的基础上，又有所下降，公务卡结算支出达到全覆盖，控支效果好。</w:t>
      </w:r>
    </w:p>
    <w:p>
      <w:pPr>
        <w:widowControl/>
        <w:shd w:val="clear" w:color="auto" w:fill="FFFFFF"/>
        <w:spacing w:line="576" w:lineRule="exact"/>
        <w:ind w:firstLine="640"/>
        <w:rPr>
          <w:rFonts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3）厉行节约。全面贯彻落实中央八项规定、省委省政府十项规定、市委“六个带头”及其实施细则，深入开展“厉行节约，反对铺张浪费”活动，建设节约型单位，本着勤俭、科学、合理、节约的原则，提高资金使用效益。</w:t>
      </w:r>
    </w:p>
    <w:p>
      <w:pPr>
        <w:widowControl/>
        <w:shd w:val="clear" w:color="auto" w:fill="FFFFFF"/>
        <w:spacing w:line="576" w:lineRule="exact"/>
        <w:ind w:firstLine="640"/>
        <w:rPr>
          <w:rFonts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8.财经纪律监督执行</w:t>
      </w:r>
    </w:p>
    <w:p>
      <w:pPr>
        <w:widowControl/>
        <w:shd w:val="clear" w:color="auto" w:fill="FFFFFF"/>
        <w:spacing w:line="576" w:lineRule="exact"/>
        <w:ind w:firstLine="640"/>
        <w:rPr>
          <w:rFonts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1）审计监察。我中心机关党委具有内部审监职能，在工作中采取灵活的审计方式，按照直接审计与间接审计相结合，内部审计与外部审计相结合，委托或授权审计机构相结合等方式，对系统内部控制和风险管理的有效性、财务信息的真实性和完整性以及经营活动的效率和效果等开展评价，客观的履行监督和评价职能，促进下属单位强化内部控制、改善风险管理、实现系统良性发展。</w:t>
      </w:r>
    </w:p>
    <w:p>
      <w:pPr>
        <w:widowControl/>
        <w:shd w:val="clear" w:color="auto" w:fill="FFFFFF"/>
        <w:spacing w:line="576" w:lineRule="exact"/>
        <w:ind w:firstLine="640"/>
        <w:rPr>
          <w:rFonts w:hint="eastAsia"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2）预算执行动态监控。按照相关要求，加强对“三公”经费、会议费、培训费、现金支出资金使用等方面动态监控，加大现场核查力度，促进厉行节约和规范管理，严肃财经纪律，保障政策措施贯彻落实。单位负责财务工作的领导和工作人员随时了解掌握动态监控的规定，强化预算执行主体责任，不定时到下属单位现场核查，确保监控工作抓出实效、抓出影响力，全年经市财政局国库动态监控预警无违规支付行为。</w:t>
      </w:r>
    </w:p>
    <w:p>
      <w:pPr>
        <w:widowControl/>
        <w:shd w:val="clear" w:color="auto" w:fill="FFFFFF"/>
        <w:ind w:left="0" w:leftChars="0" w:firstLine="640" w:firstLineChars="200"/>
        <w:rPr>
          <w:rFonts w:hint="eastAsia" w:ascii="黑体" w:hAnsi="黑体" w:eastAsia="黑体" w:cs="黑体"/>
          <w:b w:val="0"/>
          <w:bCs/>
          <w:color w:val="000000"/>
          <w:kern w:val="0"/>
          <w:sz w:val="32"/>
          <w:szCs w:val="32"/>
          <w:shd w:val="clear" w:color="auto" w:fill="FFFFFF"/>
          <w:lang w:val="zh-CN"/>
        </w:rPr>
      </w:pPr>
      <w:bookmarkStart w:id="86" w:name="_Toc1413253371_WPSOffice_Level2"/>
      <w:r>
        <w:rPr>
          <w:rFonts w:hint="eastAsia" w:ascii="黑体" w:hAnsi="黑体" w:eastAsia="黑体" w:cs="黑体"/>
          <w:b w:val="0"/>
          <w:bCs/>
          <w:color w:val="000000"/>
          <w:kern w:val="0"/>
          <w:sz w:val="32"/>
          <w:szCs w:val="32"/>
          <w:shd w:val="clear" w:color="auto" w:fill="FFFFFF"/>
          <w:lang w:val="zh-CN"/>
        </w:rPr>
        <w:t>四、存在的问题</w:t>
      </w:r>
      <w:bookmarkEnd w:id="86"/>
    </w:p>
    <w:p>
      <w:pPr>
        <w:spacing w:line="580" w:lineRule="exact"/>
        <w:ind w:left="48" w:leftChars="23" w:firstLine="640" w:firstLineChars="200"/>
        <w:rPr>
          <w:rFonts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从绩效自评来看，部门支出预算执行过程中还存在一些问题，一是部分项目难以用指标量化，不具有项目实体；二是绩效评价工作近年来要求逐渐提高，任务加重、专业性更强，而对应培训较少，经办人员在理解文件等学习资料上存在偏差。三</w:t>
      </w:r>
      <w:r>
        <w:rPr>
          <w:rFonts w:ascii="仿宋_GB2312" w:hAnsi="宋体" w:eastAsia="仿宋_GB2312" w:cs="宋体"/>
          <w:color w:val="000000"/>
          <w:kern w:val="0"/>
          <w:sz w:val="32"/>
          <w:szCs w:val="32"/>
          <w:shd w:val="clear" w:color="auto" w:fill="FFFFFF"/>
          <w:lang w:val="zh-CN"/>
        </w:rPr>
        <w:t>是财务管理方面，会计核算还不够细致，对于有些能够细分的工作，未能详细分类核算，绩效评价基础数据不够精准</w:t>
      </w:r>
      <w:r>
        <w:rPr>
          <w:rFonts w:hint="eastAsia" w:ascii="仿宋_GB2312" w:hAnsi="宋体" w:eastAsia="仿宋_GB2312" w:cs="宋体"/>
          <w:color w:val="000000"/>
          <w:kern w:val="0"/>
          <w:sz w:val="32"/>
          <w:szCs w:val="32"/>
          <w:shd w:val="clear" w:color="auto" w:fill="FFFFFF"/>
          <w:lang w:val="zh-CN"/>
        </w:rPr>
        <w:t>。</w:t>
      </w:r>
    </w:p>
    <w:p>
      <w:pPr>
        <w:widowControl/>
        <w:shd w:val="clear" w:color="auto" w:fill="FFFFFF"/>
        <w:ind w:left="0" w:leftChars="0" w:firstLine="640" w:firstLineChars="200"/>
        <w:rPr>
          <w:rFonts w:hint="eastAsia" w:ascii="黑体" w:hAnsi="黑体" w:eastAsia="黑体" w:cs="黑体"/>
          <w:b w:val="0"/>
          <w:bCs/>
          <w:color w:val="000000"/>
          <w:kern w:val="0"/>
          <w:sz w:val="32"/>
          <w:szCs w:val="32"/>
          <w:shd w:val="clear" w:color="auto" w:fill="FFFFFF"/>
          <w:lang w:val="zh-CN"/>
        </w:rPr>
      </w:pPr>
      <w:bookmarkStart w:id="87" w:name="_Toc1254367636_WPSOffice_Level2"/>
      <w:r>
        <w:rPr>
          <w:rFonts w:hint="eastAsia" w:ascii="黑体" w:hAnsi="黑体" w:eastAsia="黑体" w:cs="黑体"/>
          <w:b w:val="0"/>
          <w:bCs/>
          <w:color w:val="000000"/>
          <w:kern w:val="0"/>
          <w:sz w:val="32"/>
          <w:szCs w:val="32"/>
          <w:shd w:val="clear" w:color="auto" w:fill="FFFFFF"/>
          <w:lang w:val="zh-CN"/>
        </w:rPr>
        <w:t>五、整改建议和意见</w:t>
      </w:r>
      <w:bookmarkEnd w:id="87"/>
    </w:p>
    <w:p>
      <w:pPr>
        <w:ind w:left="105" w:firstLine="640" w:firstLineChars="200"/>
        <w:rPr>
          <w:rFonts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一是加强业务科室与财务科的沟通协调，按照全年工作计划，统筹考虑项目绩效完成情况，科学设定绩效目标指标值，对重大项目进行客观分析，提高预算编制完整性、科学性和准确性</w:t>
      </w:r>
      <w:r>
        <w:rPr>
          <w:rFonts w:ascii="仿宋_GB2312" w:hAnsi="宋体" w:eastAsia="仿宋_GB2312" w:cs="宋体"/>
          <w:color w:val="000000"/>
          <w:kern w:val="0"/>
          <w:sz w:val="32"/>
          <w:szCs w:val="32"/>
          <w:shd w:val="clear" w:color="auto" w:fill="FFFFFF"/>
          <w:lang w:val="zh-CN"/>
        </w:rPr>
        <w:t>；</w:t>
      </w:r>
      <w:r>
        <w:rPr>
          <w:rFonts w:hint="eastAsia" w:ascii="仿宋_GB2312" w:hAnsi="宋体" w:eastAsia="仿宋_GB2312" w:cs="宋体"/>
          <w:color w:val="000000"/>
          <w:kern w:val="0"/>
          <w:sz w:val="32"/>
          <w:szCs w:val="32"/>
          <w:shd w:val="clear" w:color="auto" w:fill="FFFFFF"/>
          <w:lang w:val="zh-CN"/>
        </w:rPr>
        <w:t>二是要严格预算执行规范化，加强预算执行监控，提高财政资金使用绩效</w:t>
      </w:r>
      <w:r>
        <w:rPr>
          <w:rFonts w:ascii="仿宋_GB2312" w:hAnsi="宋体" w:eastAsia="仿宋_GB2312" w:cs="宋体"/>
          <w:color w:val="000000"/>
          <w:kern w:val="0"/>
          <w:sz w:val="32"/>
          <w:szCs w:val="32"/>
          <w:shd w:val="clear" w:color="auto" w:fill="FFFFFF"/>
          <w:lang w:val="zh-CN"/>
        </w:rPr>
        <w:t>。</w:t>
      </w:r>
    </w:p>
    <w:p>
      <w:pPr>
        <w:rPr>
          <w:rFonts w:ascii="仿宋_GB2312" w:hAnsi="宋体" w:eastAsia="仿宋_GB2312" w:cs="宋体"/>
          <w:color w:val="000000"/>
          <w:kern w:val="0"/>
          <w:sz w:val="32"/>
          <w:szCs w:val="32"/>
          <w:shd w:val="clear" w:color="auto" w:fill="FFFFFF"/>
          <w:lang w:val="zh-CN"/>
        </w:rPr>
      </w:pPr>
      <w:r>
        <w:rPr>
          <w:rFonts w:ascii="仿宋_GB2312" w:hAnsi="宋体" w:eastAsia="仿宋_GB2312" w:cs="宋体"/>
          <w:color w:val="000000"/>
          <w:kern w:val="0"/>
          <w:sz w:val="32"/>
          <w:szCs w:val="32"/>
          <w:shd w:val="clear" w:color="auto" w:fill="FFFFFF"/>
          <w:lang w:val="zh-CN"/>
        </w:rPr>
        <w:br w:type="page"/>
      </w:r>
    </w:p>
    <w:p>
      <w:pPr>
        <w:keepNext w:val="0"/>
        <w:keepLines w:val="0"/>
        <w:pageBreakBefore w:val="0"/>
        <w:kinsoku/>
        <w:wordWrap/>
        <w:overflowPunct/>
        <w:topLinePunct w:val="0"/>
        <w:autoSpaceDE/>
        <w:autoSpaceDN/>
        <w:bidi w:val="0"/>
        <w:spacing w:line="572" w:lineRule="exact"/>
        <w:jc w:val="left"/>
        <w:textAlignment w:val="auto"/>
        <w:outlineLvl w:val="0"/>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rPr>
        <w:t>附件</w:t>
      </w:r>
      <w:r>
        <w:rPr>
          <w:rFonts w:hint="eastAsia" w:ascii="黑体" w:hAnsi="黑体" w:eastAsia="黑体" w:cs="黑体"/>
          <w:color w:val="auto"/>
          <w:sz w:val="32"/>
          <w:szCs w:val="32"/>
          <w:highlight w:val="none"/>
          <w:lang w:val="en-US" w:eastAsia="zh-CN"/>
        </w:rPr>
        <w:t>2</w:t>
      </w:r>
    </w:p>
    <w:p>
      <w:pPr>
        <w:spacing w:line="600" w:lineRule="exact"/>
        <w:jc w:val="center"/>
        <w:rPr>
          <w:rFonts w:hint="eastAsia" w:ascii="方正小标宋简体" w:hAnsi="宋体" w:eastAsia="方正小标宋简体"/>
          <w:color w:val="000000"/>
          <w:kern w:val="0"/>
          <w:sz w:val="44"/>
          <w:szCs w:val="44"/>
        </w:rPr>
      </w:pPr>
      <w:r>
        <w:rPr>
          <w:rFonts w:hint="eastAsia" w:ascii="方正小标宋简体" w:hAnsi="宋体" w:eastAsia="方正小标宋简体"/>
          <w:color w:val="000000"/>
          <w:kern w:val="0"/>
          <w:sz w:val="44"/>
          <w:szCs w:val="44"/>
        </w:rPr>
        <w:t>12345政务服务</w:t>
      </w:r>
      <w:r>
        <w:rPr>
          <w:rFonts w:hint="eastAsia" w:ascii="方正小标宋简体" w:hAnsi="宋体" w:eastAsia="方正小标宋简体"/>
          <w:color w:val="000000"/>
          <w:kern w:val="0"/>
          <w:sz w:val="44"/>
          <w:szCs w:val="44"/>
          <w:lang w:eastAsia="zh-CN"/>
        </w:rPr>
        <w:t>便民</w:t>
      </w:r>
      <w:r>
        <w:rPr>
          <w:rFonts w:hint="eastAsia" w:ascii="方正小标宋简体" w:hAnsi="宋体" w:eastAsia="方正小标宋简体"/>
          <w:color w:val="000000"/>
          <w:kern w:val="0"/>
          <w:sz w:val="44"/>
          <w:szCs w:val="44"/>
        </w:rPr>
        <w:t>热线运行经费项目</w:t>
      </w:r>
    </w:p>
    <w:p>
      <w:pPr>
        <w:spacing w:line="600" w:lineRule="exact"/>
        <w:jc w:val="center"/>
        <w:rPr>
          <w:rFonts w:ascii="方正小标宋简体" w:hAnsi="宋体" w:eastAsia="方正小标宋简体"/>
          <w:color w:val="000000"/>
          <w:kern w:val="0"/>
          <w:sz w:val="44"/>
          <w:szCs w:val="44"/>
        </w:rPr>
      </w:pPr>
      <w:r>
        <w:rPr>
          <w:rFonts w:ascii="方正小标宋简体" w:hAnsi="宋体" w:eastAsia="方正小标宋简体"/>
          <w:color w:val="000000"/>
          <w:kern w:val="0"/>
          <w:sz w:val="44"/>
          <w:szCs w:val="44"/>
        </w:rPr>
        <w:t>202</w:t>
      </w:r>
      <w:r>
        <w:rPr>
          <w:rFonts w:hint="eastAsia" w:ascii="方正小标宋简体" w:hAnsi="宋体" w:eastAsia="方正小标宋简体"/>
          <w:color w:val="000000"/>
          <w:kern w:val="0"/>
          <w:sz w:val="44"/>
          <w:szCs w:val="44"/>
          <w:lang w:val="en-US" w:eastAsia="zh-CN"/>
        </w:rPr>
        <w:t>1</w:t>
      </w:r>
      <w:r>
        <w:rPr>
          <w:rFonts w:hint="eastAsia" w:ascii="方正小标宋简体" w:hAnsi="宋体" w:eastAsia="方正小标宋简体"/>
          <w:color w:val="000000"/>
          <w:kern w:val="0"/>
          <w:sz w:val="44"/>
          <w:szCs w:val="44"/>
        </w:rPr>
        <w:t>年绩效评价报告</w:t>
      </w:r>
    </w:p>
    <w:p>
      <w:pPr>
        <w:spacing w:line="600" w:lineRule="exact"/>
        <w:rPr>
          <w:rFonts w:ascii="宋体"/>
          <w:sz w:val="32"/>
          <w:szCs w:val="32"/>
          <w:lang w:val="zh-CN"/>
        </w:rPr>
      </w:pPr>
    </w:p>
    <w:p>
      <w:pPr>
        <w:adjustRightInd w:val="0"/>
        <w:snapToGrid w:val="0"/>
        <w:spacing w:line="560" w:lineRule="exact"/>
        <w:ind w:firstLine="720"/>
        <w:rPr>
          <w:rFonts w:hint="eastAsia" w:ascii="黑体" w:hAnsi="黑体" w:eastAsia="黑体" w:cs="黑体"/>
          <w:b w:val="0"/>
          <w:bCs w:val="0"/>
          <w:sz w:val="30"/>
          <w:szCs w:val="30"/>
          <w:lang w:val="zh-CN"/>
        </w:rPr>
      </w:pPr>
      <w:bookmarkStart w:id="88" w:name="_Toc68032533_WPSOffice_Level2"/>
      <w:r>
        <w:rPr>
          <w:rFonts w:hint="eastAsia" w:ascii="黑体" w:hAnsi="黑体" w:eastAsia="黑体" w:cs="黑体"/>
          <w:b w:val="0"/>
          <w:bCs w:val="0"/>
          <w:sz w:val="30"/>
          <w:szCs w:val="30"/>
        </w:rPr>
        <w:t>一、</w:t>
      </w:r>
      <w:r>
        <w:rPr>
          <w:rFonts w:hint="eastAsia" w:ascii="黑体" w:hAnsi="黑体" w:eastAsia="黑体" w:cs="黑体"/>
          <w:b w:val="0"/>
          <w:bCs w:val="0"/>
          <w:sz w:val="30"/>
          <w:szCs w:val="30"/>
          <w:lang w:val="zh-CN"/>
        </w:rPr>
        <w:t>项目概况</w:t>
      </w:r>
      <w:bookmarkEnd w:id="88"/>
    </w:p>
    <w:p>
      <w:pPr>
        <w:adjustRightInd w:val="0"/>
        <w:snapToGrid w:val="0"/>
        <w:spacing w:line="560" w:lineRule="exact"/>
        <w:ind w:firstLine="450" w:firstLineChars="150"/>
        <w:rPr>
          <w:rFonts w:hint="eastAsia" w:ascii="楷体_GB2312" w:hAnsi="楷体_GB2312" w:eastAsia="楷体_GB2312" w:cs="楷体_GB2312"/>
          <w:b w:val="0"/>
          <w:bCs/>
          <w:sz w:val="30"/>
          <w:szCs w:val="30"/>
          <w:lang w:val="zh-CN"/>
        </w:rPr>
      </w:pPr>
      <w:r>
        <w:rPr>
          <w:rFonts w:hint="eastAsia" w:ascii="楷体_GB2312" w:hAnsi="楷体_GB2312" w:eastAsia="楷体_GB2312" w:cs="楷体_GB2312"/>
          <w:b w:val="0"/>
          <w:bCs/>
          <w:sz w:val="30"/>
          <w:szCs w:val="30"/>
          <w:lang w:val="zh-CN"/>
        </w:rPr>
        <w:t>（一）项目基本情况。</w:t>
      </w:r>
    </w:p>
    <w:p>
      <w:pPr>
        <w:widowControl/>
        <w:shd w:val="clear" w:color="auto" w:fill="FFFFFF"/>
        <w:spacing w:line="560" w:lineRule="exact"/>
        <w:ind w:firstLine="600" w:firstLineChars="200"/>
        <w:jc w:val="left"/>
        <w:rPr>
          <w:rFonts w:hint="eastAsia" w:ascii="仿宋_GB2312" w:hAnsi="仿宋" w:eastAsia="仿宋_GB2312" w:cs="仿宋"/>
          <w:bCs/>
          <w:color w:val="000000"/>
          <w:kern w:val="0"/>
          <w:sz w:val="30"/>
          <w:szCs w:val="30"/>
          <w:shd w:val="clear" w:color="auto" w:fill="FFFFFF"/>
        </w:rPr>
      </w:pPr>
      <w:r>
        <w:rPr>
          <w:rFonts w:hint="eastAsia" w:ascii="仿宋_GB2312" w:hAnsi="宋体" w:eastAsia="仿宋_GB2312"/>
          <w:color w:val="000000"/>
          <w:sz w:val="30"/>
          <w:szCs w:val="30"/>
          <w:lang w:val="zh-CN"/>
        </w:rPr>
        <w:t>1．</w:t>
      </w:r>
      <w:r>
        <w:rPr>
          <w:rFonts w:hint="eastAsia" w:ascii="仿宋_GB2312" w:hAnsi="宋体" w:eastAsia="仿宋_GB2312"/>
          <w:b w:val="0"/>
          <w:bCs/>
          <w:color w:val="000000"/>
          <w:sz w:val="30"/>
          <w:szCs w:val="30"/>
          <w:lang w:val="zh-CN"/>
        </w:rPr>
        <w:t>基本职能</w:t>
      </w:r>
      <w:r>
        <w:rPr>
          <w:rFonts w:hint="eastAsia" w:ascii="仿宋_GB2312" w:hAnsi="宋体" w:eastAsia="仿宋_GB2312"/>
          <w:sz w:val="30"/>
          <w:szCs w:val="30"/>
          <w:lang w:val="zh-CN"/>
        </w:rPr>
        <w:t>。</w:t>
      </w:r>
      <w:r>
        <w:rPr>
          <w:rFonts w:hint="eastAsia" w:ascii="仿宋_GB2312" w:hAnsi="仿宋" w:eastAsia="仿宋_GB2312" w:cs="仿宋"/>
          <w:bCs/>
          <w:color w:val="000000"/>
          <w:kern w:val="0"/>
          <w:sz w:val="30"/>
          <w:szCs w:val="30"/>
          <w:shd w:val="clear" w:color="auto" w:fill="FFFFFF"/>
        </w:rPr>
        <w:t>12345政务服务</w:t>
      </w:r>
      <w:r>
        <w:rPr>
          <w:rFonts w:hint="eastAsia" w:ascii="仿宋_GB2312" w:hAnsi="仿宋" w:eastAsia="仿宋_GB2312" w:cs="仿宋"/>
          <w:bCs/>
          <w:color w:val="000000"/>
          <w:kern w:val="0"/>
          <w:sz w:val="30"/>
          <w:szCs w:val="30"/>
          <w:shd w:val="clear" w:color="auto" w:fill="FFFFFF"/>
          <w:lang w:eastAsia="zh-CN"/>
        </w:rPr>
        <w:t>便民</w:t>
      </w:r>
      <w:r>
        <w:rPr>
          <w:rFonts w:hint="eastAsia" w:ascii="仿宋_GB2312" w:hAnsi="仿宋" w:eastAsia="仿宋_GB2312" w:cs="仿宋"/>
          <w:bCs/>
          <w:color w:val="000000"/>
          <w:kern w:val="0"/>
          <w:sz w:val="30"/>
          <w:szCs w:val="30"/>
          <w:shd w:val="clear" w:color="auto" w:fill="FFFFFF"/>
        </w:rPr>
        <w:t>热线 中心（以下简称“热线中心”），主要承担以下职责：负责建设热线平台，招聘和管理话务员，开展热线平台系统相关操作培训,建立工作制度并实施监督。负责热线平台系统受理，向承办单位派发热线办理事项工单。负责督促承办单位依法高效办理热线平台转办事项，协调跨部门事项办理，对办件效率和效果开展绩效评价和考核。负责转办事项的日常督查督办。负责热线平台各类数据信息的管理和利用工作。</w:t>
      </w:r>
      <w:r>
        <w:rPr>
          <w:rFonts w:hint="eastAsia" w:ascii="仿宋_GB2312" w:eastAsia="仿宋_GB2312"/>
          <w:sz w:val="30"/>
          <w:szCs w:val="30"/>
        </w:rPr>
        <w:t>负责四川省政务服务“好差评”线上工作。负责</w:t>
      </w:r>
      <w:r>
        <w:rPr>
          <w:rFonts w:hint="eastAsia" w:ascii="仿宋_GB2312" w:hAnsi="仿宋" w:eastAsia="仿宋_GB2312" w:cs="仿宋"/>
          <w:bCs/>
          <w:color w:val="000000"/>
          <w:kern w:val="0"/>
          <w:sz w:val="30"/>
          <w:szCs w:val="30"/>
          <w:shd w:val="clear" w:color="auto" w:fill="FFFFFF"/>
        </w:rPr>
        <w:t>“一线”（整合全市非紧急类热线电话后的12345热线）、“一网”（政务服务网12345在线和网民留言）、“一单”（省热线平台派发工单）、“两微一端”（微博、微信和移动客户端）等渠道受理市民提出的咨询、求助、投诉、举报和建议。</w:t>
      </w:r>
    </w:p>
    <w:p>
      <w:pPr>
        <w:spacing w:line="560" w:lineRule="exact"/>
        <w:ind w:firstLine="600" w:firstLineChars="200"/>
        <w:jc w:val="left"/>
        <w:rPr>
          <w:rFonts w:hint="eastAsia" w:ascii="仿宋_GB2312" w:hAnsi="仿宋" w:eastAsia="仿宋_GB2312" w:cs="仿宋"/>
          <w:bCs/>
          <w:color w:val="000000"/>
          <w:kern w:val="0"/>
          <w:sz w:val="30"/>
          <w:szCs w:val="30"/>
          <w:shd w:val="clear" w:color="auto" w:fill="FFFFFF"/>
          <w:lang w:eastAsia="zh-CN"/>
        </w:rPr>
      </w:pPr>
      <w:r>
        <w:rPr>
          <w:rFonts w:hint="eastAsia" w:ascii="仿宋_GB2312" w:hAnsi="仿宋" w:eastAsia="仿宋_GB2312" w:cs="仿宋"/>
          <w:bCs/>
          <w:color w:val="auto"/>
          <w:kern w:val="0"/>
          <w:sz w:val="30"/>
          <w:szCs w:val="30"/>
          <w:shd w:val="clear" w:color="auto" w:fill="FFFFFF"/>
        </w:rPr>
        <w:t>2．项目立项、资金申报的依据。</w:t>
      </w:r>
      <w:r>
        <w:rPr>
          <w:rFonts w:hint="eastAsia" w:ascii="仿宋_GB2312" w:hAnsi="仿宋" w:eastAsia="仿宋_GB2312" w:cs="仿宋"/>
          <w:bCs/>
          <w:color w:val="000000"/>
          <w:kern w:val="0"/>
          <w:sz w:val="30"/>
          <w:szCs w:val="30"/>
          <w:shd w:val="clear" w:color="auto" w:fill="FFFFFF"/>
        </w:rPr>
        <w:t>一是市政府办关于《市12345政务服务热线整合实施方案》、二是邹自景</w:t>
      </w:r>
      <w:r>
        <w:rPr>
          <w:rFonts w:hint="eastAsia" w:ascii="仿宋_GB2312" w:hAnsi="仿宋" w:eastAsia="仿宋_GB2312" w:cs="仿宋"/>
          <w:bCs/>
          <w:color w:val="000000"/>
          <w:kern w:val="0"/>
          <w:sz w:val="30"/>
          <w:szCs w:val="30"/>
          <w:shd w:val="clear" w:color="auto" w:fill="FFFFFF"/>
          <w:lang w:eastAsia="zh-CN"/>
        </w:rPr>
        <w:t>书记</w:t>
      </w:r>
      <w:r>
        <w:rPr>
          <w:rFonts w:hint="eastAsia" w:ascii="仿宋_GB2312" w:hAnsi="仿宋" w:eastAsia="仿宋_GB2312" w:cs="仿宋"/>
          <w:bCs/>
          <w:color w:val="000000"/>
          <w:kern w:val="0"/>
          <w:sz w:val="30"/>
          <w:szCs w:val="30"/>
          <w:shd w:val="clear" w:color="auto" w:fill="FFFFFF"/>
        </w:rPr>
        <w:t>在《关于解决12345政务服务热线运行经费的请示》上的批示</w:t>
      </w:r>
      <w:r>
        <w:rPr>
          <w:rFonts w:hint="eastAsia" w:ascii="仿宋_GB2312" w:hAnsi="仿宋" w:eastAsia="仿宋_GB2312" w:cs="仿宋"/>
          <w:bCs/>
          <w:color w:val="000000"/>
          <w:kern w:val="0"/>
          <w:sz w:val="30"/>
          <w:szCs w:val="30"/>
          <w:shd w:val="clear" w:color="auto" w:fill="FFFFFF"/>
          <w:lang w:eastAsia="zh-CN"/>
        </w:rPr>
        <w:t>、</w:t>
      </w:r>
      <w:r>
        <w:rPr>
          <w:rFonts w:hint="eastAsia" w:ascii="仿宋_GB2312" w:hAnsi="仿宋" w:eastAsia="仿宋_GB2312" w:cs="仿宋"/>
          <w:bCs/>
          <w:color w:val="000000"/>
          <w:kern w:val="0"/>
          <w:sz w:val="30"/>
          <w:szCs w:val="30"/>
          <w:shd w:val="clear" w:color="auto" w:fill="FFFFFF"/>
        </w:rPr>
        <w:t>三</w:t>
      </w:r>
      <w:r>
        <w:rPr>
          <w:rFonts w:hint="eastAsia" w:ascii="仿宋_GB2312" w:hAnsi="仿宋" w:eastAsia="仿宋_GB2312" w:cs="仿宋"/>
          <w:bCs/>
          <w:color w:val="000000"/>
          <w:kern w:val="0"/>
          <w:sz w:val="30"/>
          <w:szCs w:val="30"/>
          <w:shd w:val="clear" w:color="auto" w:fill="FFFFFF"/>
          <w:lang w:eastAsia="zh-CN"/>
        </w:rPr>
        <w:t>是</w:t>
      </w:r>
      <w:r>
        <w:rPr>
          <w:rFonts w:hint="eastAsia" w:ascii="仿宋_GB2312" w:hAnsi="仿宋" w:eastAsia="仿宋_GB2312" w:cs="仿宋"/>
          <w:bCs/>
          <w:color w:val="000000"/>
          <w:kern w:val="0"/>
          <w:sz w:val="30"/>
          <w:szCs w:val="30"/>
          <w:shd w:val="clear" w:color="auto" w:fill="FFFFFF"/>
        </w:rPr>
        <w:t>广府办函〔2019〕46号广元市人民政府办公室关于印发《广元市12345政务服务热线平台运行管理办法》《广元市12345政务</w:t>
      </w:r>
      <w:r>
        <w:rPr>
          <w:rFonts w:hint="eastAsia" w:ascii="仿宋_GB2312" w:hAnsi="仿宋" w:eastAsia="仿宋_GB2312" w:cs="仿宋"/>
          <w:bCs/>
          <w:color w:val="000000"/>
          <w:kern w:val="0"/>
          <w:sz w:val="30"/>
          <w:szCs w:val="30"/>
          <w:shd w:val="clear" w:color="auto" w:fill="FFFFFF"/>
          <w:lang w:eastAsia="zh-CN"/>
        </w:rPr>
        <w:t>服务</w:t>
      </w:r>
      <w:r>
        <w:rPr>
          <w:rFonts w:hint="eastAsia" w:ascii="仿宋_GB2312" w:hAnsi="仿宋" w:eastAsia="仿宋_GB2312" w:cs="仿宋"/>
          <w:bCs/>
          <w:color w:val="000000"/>
          <w:kern w:val="0"/>
          <w:sz w:val="30"/>
          <w:szCs w:val="30"/>
          <w:shd w:val="clear" w:color="auto" w:fill="FFFFFF"/>
        </w:rPr>
        <w:t xml:space="preserve">  热线办理工作考核办法》的通知</w:t>
      </w:r>
      <w:r>
        <w:rPr>
          <w:rFonts w:hint="eastAsia" w:ascii="仿宋_GB2312" w:hAnsi="仿宋" w:eastAsia="仿宋_GB2312" w:cs="仿宋"/>
          <w:bCs/>
          <w:color w:val="000000"/>
          <w:kern w:val="0"/>
          <w:sz w:val="30"/>
          <w:szCs w:val="30"/>
          <w:shd w:val="clear" w:color="auto" w:fill="FFFFFF"/>
          <w:lang w:eastAsia="zh-CN"/>
        </w:rPr>
        <w:t>。</w:t>
      </w:r>
    </w:p>
    <w:p>
      <w:pPr>
        <w:spacing w:line="560" w:lineRule="exact"/>
        <w:ind w:firstLine="600" w:firstLineChars="200"/>
        <w:jc w:val="left"/>
        <w:rPr>
          <w:rFonts w:hint="eastAsia" w:ascii="仿宋_GB2312" w:hAnsi="仿宋" w:eastAsia="仿宋_GB2312" w:cs="仿宋"/>
          <w:bCs/>
          <w:color w:val="000000"/>
          <w:kern w:val="0"/>
          <w:sz w:val="30"/>
          <w:szCs w:val="30"/>
          <w:shd w:val="clear" w:color="auto" w:fill="FFFFFF"/>
        </w:rPr>
      </w:pPr>
      <w:r>
        <w:rPr>
          <w:rFonts w:hint="eastAsia" w:ascii="仿宋_GB2312" w:hAnsi="仿宋" w:eastAsia="仿宋_GB2312" w:cs="仿宋"/>
          <w:bCs/>
          <w:color w:val="000000"/>
          <w:kern w:val="0"/>
          <w:sz w:val="30"/>
          <w:szCs w:val="30"/>
          <w:shd w:val="clear" w:color="auto" w:fill="FFFFFF"/>
        </w:rPr>
        <w:t>3.市财政安排</w:t>
      </w:r>
      <w:r>
        <w:rPr>
          <w:rFonts w:hint="eastAsia" w:ascii="仿宋_GB2312" w:hAnsi="微软雅黑" w:eastAsia="仿宋_GB2312" w:cs="宋体"/>
          <w:color w:val="000000"/>
          <w:kern w:val="0"/>
          <w:sz w:val="30"/>
          <w:szCs w:val="30"/>
        </w:rPr>
        <w:t>23</w:t>
      </w:r>
      <w:r>
        <w:rPr>
          <w:rFonts w:hint="default" w:ascii="仿宋_GB2312" w:hAnsi="微软雅黑" w:eastAsia="仿宋_GB2312" w:cs="宋体"/>
          <w:color w:val="000000"/>
          <w:kern w:val="0"/>
          <w:sz w:val="30"/>
          <w:szCs w:val="30"/>
          <w:lang w:val="en"/>
        </w:rPr>
        <w:t>1</w:t>
      </w:r>
      <w:r>
        <w:rPr>
          <w:rFonts w:hint="eastAsia" w:ascii="仿宋_GB2312" w:hAnsi="仿宋" w:eastAsia="仿宋_GB2312" w:cs="仿宋"/>
          <w:bCs/>
          <w:color w:val="000000"/>
          <w:kern w:val="0"/>
          <w:sz w:val="30"/>
          <w:szCs w:val="30"/>
          <w:shd w:val="clear" w:color="auto" w:fill="FFFFFF"/>
        </w:rPr>
        <w:t>万专项经费,用于解决“12345”政府服务热线工作运行经费。</w:t>
      </w:r>
    </w:p>
    <w:p>
      <w:pPr>
        <w:adjustRightInd w:val="0"/>
        <w:snapToGrid w:val="0"/>
        <w:spacing w:line="560" w:lineRule="exact"/>
        <w:ind w:firstLine="720"/>
        <w:rPr>
          <w:rFonts w:hint="eastAsia" w:ascii="楷体_GB2312" w:hAnsi="楷体_GB2312" w:eastAsia="楷体_GB2312" w:cs="楷体_GB2312"/>
          <w:b/>
          <w:color w:val="000000"/>
          <w:sz w:val="30"/>
          <w:szCs w:val="30"/>
          <w:lang w:val="zh-CN"/>
        </w:rPr>
      </w:pPr>
      <w:r>
        <w:rPr>
          <w:rFonts w:hint="eastAsia" w:ascii="楷体_GB2312" w:hAnsi="楷体_GB2312" w:eastAsia="楷体_GB2312" w:cs="楷体_GB2312"/>
          <w:b/>
          <w:color w:val="000000"/>
          <w:sz w:val="30"/>
          <w:szCs w:val="30"/>
          <w:lang w:val="zh-CN"/>
        </w:rPr>
        <w:t>（二）项目绩效目标。</w:t>
      </w:r>
    </w:p>
    <w:p>
      <w:pPr>
        <w:adjustRightInd w:val="0"/>
        <w:snapToGrid w:val="0"/>
        <w:spacing w:line="560" w:lineRule="exact"/>
        <w:ind w:firstLine="720"/>
        <w:rPr>
          <w:rFonts w:hint="eastAsia" w:ascii="仿宋_GB2312" w:hAnsi="宋体" w:eastAsia="仿宋_GB2312"/>
          <w:sz w:val="30"/>
          <w:szCs w:val="30"/>
          <w:lang w:val="zh-CN"/>
        </w:rPr>
      </w:pPr>
      <w:r>
        <w:rPr>
          <w:rFonts w:hint="eastAsia" w:ascii="仿宋_GB2312" w:hAnsi="宋体" w:eastAsia="仿宋_GB2312"/>
          <w:sz w:val="30"/>
          <w:szCs w:val="30"/>
          <w:lang w:val="zh-CN"/>
        </w:rPr>
        <w:t>1．项目主要内容。</w:t>
      </w:r>
      <w:r>
        <w:rPr>
          <w:rFonts w:hint="eastAsia" w:ascii="仿宋_GB2312" w:eastAsia="仿宋_GB2312"/>
          <w:color w:val="000000"/>
          <w:sz w:val="30"/>
          <w:szCs w:val="30"/>
          <w:shd w:val="clear" w:color="auto" w:fill="FFFFFF"/>
        </w:rPr>
        <w:t>满足全天候7x24小时不间断服务,平均等候时长&lt;10秒,服务水平&gt;95%,一站式无需转接即可完成服务&gt;80%,话务员投诉率&lt;0.1%,主动回访率100%。</w:t>
      </w:r>
    </w:p>
    <w:p>
      <w:pPr>
        <w:adjustRightInd w:val="0"/>
        <w:snapToGrid w:val="0"/>
        <w:spacing w:line="560" w:lineRule="exact"/>
        <w:ind w:firstLine="720"/>
        <w:rPr>
          <w:rFonts w:hint="eastAsia" w:ascii="仿宋_GB2312" w:hAnsi="宋体" w:eastAsia="仿宋_GB2312"/>
          <w:sz w:val="30"/>
          <w:szCs w:val="30"/>
          <w:lang w:val="zh-CN"/>
        </w:rPr>
      </w:pPr>
      <w:r>
        <w:rPr>
          <w:rFonts w:hint="eastAsia" w:ascii="仿宋_GB2312" w:hAnsi="宋体" w:eastAsia="仿宋_GB2312"/>
          <w:sz w:val="30"/>
          <w:szCs w:val="30"/>
          <w:lang w:val="zh-CN"/>
        </w:rPr>
        <w:t>2．项目应实现的具体绩效目标，包括目标的量化、细化情况以及项目实施进度计划等。详见（“12345”政府服务热线运行经费项目绩效目标完成情况表）。</w:t>
      </w:r>
    </w:p>
    <w:p>
      <w:pPr>
        <w:adjustRightInd w:val="0"/>
        <w:snapToGrid w:val="0"/>
        <w:spacing w:line="560" w:lineRule="exact"/>
        <w:ind w:firstLine="720"/>
        <w:rPr>
          <w:rFonts w:hint="eastAsia" w:ascii="仿宋_GB2312" w:hAnsi="宋体" w:eastAsia="仿宋_GB2312"/>
          <w:sz w:val="30"/>
          <w:szCs w:val="30"/>
          <w:lang w:val="zh-CN"/>
        </w:rPr>
      </w:pPr>
      <w:r>
        <w:rPr>
          <w:rFonts w:hint="eastAsia" w:ascii="仿宋_GB2312" w:hAnsi="宋体" w:eastAsia="仿宋_GB2312"/>
          <w:sz w:val="30"/>
          <w:szCs w:val="30"/>
          <w:lang w:val="zh-CN"/>
        </w:rPr>
        <w:t>3．分析评价申报内容与实际相符，申报目标合理可行。</w:t>
      </w:r>
    </w:p>
    <w:p>
      <w:pPr>
        <w:adjustRightInd w:val="0"/>
        <w:snapToGrid w:val="0"/>
        <w:spacing w:line="560" w:lineRule="exact"/>
        <w:ind w:firstLine="720"/>
        <w:rPr>
          <w:rFonts w:hint="eastAsia" w:ascii="楷体_GB2312" w:hAnsi="楷体_GB2312" w:eastAsia="楷体_GB2312" w:cs="楷体_GB2312"/>
          <w:b/>
          <w:sz w:val="30"/>
          <w:szCs w:val="30"/>
          <w:lang w:val="zh-CN"/>
        </w:rPr>
      </w:pPr>
      <w:r>
        <w:rPr>
          <w:rFonts w:hint="eastAsia" w:ascii="楷体_GB2312" w:hAnsi="楷体_GB2312" w:eastAsia="楷体_GB2312" w:cs="楷体_GB2312"/>
          <w:b/>
          <w:sz w:val="30"/>
          <w:szCs w:val="30"/>
          <w:lang w:val="zh-CN"/>
        </w:rPr>
        <w:t>（三）项目自评步骤及方法。</w:t>
      </w:r>
    </w:p>
    <w:p>
      <w:pPr>
        <w:adjustRightInd w:val="0"/>
        <w:snapToGrid w:val="0"/>
        <w:spacing w:line="560" w:lineRule="exact"/>
        <w:ind w:firstLine="720"/>
        <w:rPr>
          <w:rFonts w:hint="eastAsia" w:ascii="仿宋_GB2312" w:eastAsia="仿宋_GB2312"/>
          <w:color w:val="000000"/>
          <w:sz w:val="30"/>
          <w:szCs w:val="30"/>
          <w:shd w:val="clear" w:color="auto" w:fill="FFFFFF"/>
        </w:rPr>
      </w:pPr>
      <w:r>
        <w:rPr>
          <w:rFonts w:hint="eastAsia" w:ascii="仿宋_GB2312" w:eastAsia="仿宋_GB2312"/>
          <w:color w:val="000000"/>
          <w:sz w:val="30"/>
          <w:szCs w:val="30"/>
          <w:shd w:val="clear" w:color="auto" w:fill="FFFFFF"/>
        </w:rPr>
        <w:t>本项目采取自评,专门成立项目自评小组,结合评价内容,做到有计划,有安排,扎实开展本次自评工作。按照项目支出绩效评价指标体系,自评小组针对实施情况、资金兑现、完成各项指标等综合作出自我评价。</w:t>
      </w:r>
    </w:p>
    <w:p>
      <w:pPr>
        <w:adjustRightInd w:val="0"/>
        <w:snapToGrid w:val="0"/>
        <w:spacing w:line="560" w:lineRule="exact"/>
        <w:ind w:firstLine="720"/>
        <w:rPr>
          <w:rFonts w:hint="eastAsia" w:ascii="黑体" w:hAnsi="黑体" w:eastAsia="黑体" w:cs="黑体"/>
          <w:b w:val="0"/>
          <w:bCs w:val="0"/>
          <w:sz w:val="30"/>
          <w:szCs w:val="30"/>
        </w:rPr>
      </w:pPr>
      <w:bookmarkStart w:id="89" w:name="_Toc1369306639_WPSOffice_Level2"/>
      <w:r>
        <w:rPr>
          <w:rFonts w:hint="eastAsia" w:ascii="黑体" w:hAnsi="黑体" w:eastAsia="黑体" w:cs="黑体"/>
          <w:b w:val="0"/>
          <w:bCs w:val="0"/>
          <w:sz w:val="30"/>
          <w:szCs w:val="30"/>
        </w:rPr>
        <w:t>二、项目资金申报及使用情况</w:t>
      </w:r>
      <w:bookmarkEnd w:id="89"/>
    </w:p>
    <w:p>
      <w:pPr>
        <w:adjustRightInd w:val="0"/>
        <w:snapToGrid w:val="0"/>
        <w:spacing w:line="560" w:lineRule="exact"/>
        <w:ind w:firstLine="720"/>
        <w:rPr>
          <w:rFonts w:hint="eastAsia" w:ascii="楷体_GB2312" w:hAnsi="楷体_GB2312" w:eastAsia="楷体_GB2312" w:cs="楷体_GB2312"/>
          <w:b/>
          <w:sz w:val="30"/>
          <w:szCs w:val="30"/>
          <w:lang w:val="zh-CN"/>
        </w:rPr>
      </w:pPr>
      <w:r>
        <w:rPr>
          <w:rFonts w:hint="eastAsia" w:ascii="楷体_GB2312" w:hAnsi="楷体_GB2312" w:eastAsia="楷体_GB2312" w:cs="楷体_GB2312"/>
          <w:b/>
          <w:sz w:val="30"/>
          <w:szCs w:val="30"/>
          <w:lang w:val="zh-CN"/>
        </w:rPr>
        <w:t>（一）项目资金申报及批复情况。</w:t>
      </w:r>
    </w:p>
    <w:p>
      <w:pPr>
        <w:adjustRightInd w:val="0"/>
        <w:snapToGrid w:val="0"/>
        <w:spacing w:line="560" w:lineRule="exact"/>
        <w:ind w:firstLine="720"/>
        <w:rPr>
          <w:rFonts w:hint="eastAsia" w:ascii="仿宋_GB2312" w:eastAsia="仿宋_GB2312"/>
          <w:color w:val="000000"/>
          <w:sz w:val="30"/>
          <w:szCs w:val="30"/>
          <w:shd w:val="clear" w:color="auto" w:fill="FFFFFF"/>
        </w:rPr>
      </w:pPr>
      <w:r>
        <w:rPr>
          <w:rFonts w:hint="eastAsia" w:ascii="仿宋_GB2312" w:eastAsia="仿宋_GB2312"/>
          <w:color w:val="000000"/>
          <w:sz w:val="30"/>
          <w:szCs w:val="30"/>
          <w:shd w:val="clear" w:color="auto" w:fill="FFFFFF"/>
        </w:rPr>
        <w:t>202</w:t>
      </w:r>
      <w:r>
        <w:rPr>
          <w:rFonts w:hint="default" w:ascii="仿宋_GB2312" w:eastAsia="仿宋_GB2312"/>
          <w:color w:val="000000"/>
          <w:sz w:val="30"/>
          <w:szCs w:val="30"/>
          <w:shd w:val="clear" w:color="auto" w:fill="FFFFFF"/>
          <w:lang w:val="en"/>
        </w:rPr>
        <w:t>1</w:t>
      </w:r>
      <w:r>
        <w:rPr>
          <w:rFonts w:hint="eastAsia" w:ascii="仿宋_GB2312" w:eastAsia="仿宋_GB2312"/>
          <w:color w:val="000000"/>
          <w:sz w:val="30"/>
          <w:szCs w:val="30"/>
          <w:shd w:val="clear" w:color="auto" w:fill="FFFFFF"/>
        </w:rPr>
        <w:t>年财政安排“12345”政府服务</w:t>
      </w:r>
      <w:r>
        <w:rPr>
          <w:rFonts w:hint="eastAsia" w:ascii="仿宋_GB2312" w:eastAsia="仿宋_GB2312"/>
          <w:color w:val="000000"/>
          <w:sz w:val="30"/>
          <w:szCs w:val="30"/>
          <w:shd w:val="clear" w:color="auto" w:fill="FFFFFF"/>
          <w:lang w:eastAsia="zh-CN"/>
        </w:rPr>
        <w:t>便民</w:t>
      </w:r>
      <w:r>
        <w:rPr>
          <w:rFonts w:hint="eastAsia" w:ascii="仿宋_GB2312" w:eastAsia="仿宋_GB2312"/>
          <w:color w:val="000000"/>
          <w:sz w:val="30"/>
          <w:szCs w:val="30"/>
          <w:shd w:val="clear" w:color="auto" w:fill="FFFFFF"/>
        </w:rPr>
        <w:t>热线服务经费项目资金</w:t>
      </w:r>
      <w:r>
        <w:rPr>
          <w:rFonts w:hint="default" w:ascii="仿宋_GB2312" w:eastAsia="仿宋_GB2312"/>
          <w:color w:val="000000"/>
          <w:sz w:val="30"/>
          <w:szCs w:val="30"/>
          <w:shd w:val="clear" w:color="auto" w:fill="FFFFFF"/>
          <w:lang w:val="en"/>
        </w:rPr>
        <w:t>231</w:t>
      </w:r>
      <w:r>
        <w:rPr>
          <w:rFonts w:hint="eastAsia" w:ascii="仿宋_GB2312" w:eastAsia="仿宋_GB2312"/>
          <w:color w:val="000000"/>
          <w:sz w:val="30"/>
          <w:szCs w:val="30"/>
          <w:shd w:val="clear" w:color="auto" w:fill="FFFFFF"/>
        </w:rPr>
        <w:t>万元。资金及时批复到位。</w:t>
      </w:r>
    </w:p>
    <w:p>
      <w:pPr>
        <w:adjustRightInd w:val="0"/>
        <w:snapToGrid w:val="0"/>
        <w:spacing w:line="560" w:lineRule="exact"/>
        <w:ind w:firstLine="720"/>
        <w:rPr>
          <w:rFonts w:hint="eastAsia" w:ascii="楷体_GB2312" w:hAnsi="楷体_GB2312" w:eastAsia="楷体_GB2312" w:cs="楷体_GB2312"/>
          <w:b/>
          <w:sz w:val="30"/>
          <w:szCs w:val="30"/>
          <w:lang w:val="zh-CN"/>
        </w:rPr>
      </w:pPr>
      <w:r>
        <w:rPr>
          <w:rFonts w:hint="eastAsia" w:ascii="楷体_GB2312" w:hAnsi="楷体_GB2312" w:eastAsia="楷体_GB2312" w:cs="楷体_GB2312"/>
          <w:b/>
          <w:sz w:val="30"/>
          <w:szCs w:val="30"/>
          <w:lang w:val="zh-CN"/>
        </w:rPr>
        <w:t>（二）资金计划、到位及使用情况。</w:t>
      </w:r>
    </w:p>
    <w:p>
      <w:pPr>
        <w:pStyle w:val="13"/>
        <w:shd w:val="clear" w:color="auto" w:fill="FFFFFF"/>
        <w:spacing w:before="0" w:beforeAutospacing="0" w:after="0" w:afterAutospacing="0" w:line="560" w:lineRule="exact"/>
        <w:ind w:firstLine="480"/>
        <w:rPr>
          <w:rFonts w:hint="eastAsia" w:ascii="仿宋_GB2312" w:eastAsia="仿宋_GB2312"/>
          <w:color w:val="000000"/>
          <w:sz w:val="30"/>
          <w:szCs w:val="30"/>
        </w:rPr>
      </w:pPr>
      <w:r>
        <w:rPr>
          <w:rFonts w:hint="eastAsia" w:ascii="仿宋_GB2312" w:eastAsia="仿宋_GB2312"/>
          <w:color w:val="000000"/>
          <w:sz w:val="30"/>
          <w:szCs w:val="30"/>
        </w:rPr>
        <w:t>1.资金计划。202</w:t>
      </w:r>
      <w:r>
        <w:rPr>
          <w:rFonts w:hint="default" w:ascii="仿宋_GB2312" w:eastAsia="仿宋_GB2312"/>
          <w:color w:val="000000"/>
          <w:sz w:val="30"/>
          <w:szCs w:val="30"/>
          <w:lang w:val="en"/>
        </w:rPr>
        <w:t>1</w:t>
      </w:r>
      <w:r>
        <w:rPr>
          <w:rFonts w:hint="eastAsia" w:ascii="仿宋_GB2312" w:eastAsia="仿宋_GB2312"/>
          <w:color w:val="000000"/>
          <w:sz w:val="30"/>
          <w:szCs w:val="30"/>
        </w:rPr>
        <w:t>年财政安排“12345”政府服务</w:t>
      </w:r>
      <w:r>
        <w:rPr>
          <w:rFonts w:hint="eastAsia" w:ascii="仿宋_GB2312" w:eastAsia="仿宋_GB2312"/>
          <w:color w:val="000000"/>
          <w:sz w:val="30"/>
          <w:szCs w:val="30"/>
          <w:lang w:eastAsia="zh-CN"/>
        </w:rPr>
        <w:t>便民</w:t>
      </w:r>
      <w:r>
        <w:rPr>
          <w:rFonts w:hint="eastAsia" w:ascii="仿宋_GB2312" w:eastAsia="仿宋_GB2312"/>
          <w:color w:val="000000"/>
          <w:sz w:val="30"/>
          <w:szCs w:val="30"/>
        </w:rPr>
        <w:t>热线服务经费项目资金</w:t>
      </w:r>
      <w:r>
        <w:rPr>
          <w:rFonts w:hint="eastAsia" w:ascii="仿宋_GB2312" w:hAnsi="微软雅黑" w:eastAsia="仿宋_GB2312"/>
          <w:color w:val="000000"/>
          <w:sz w:val="30"/>
          <w:szCs w:val="30"/>
        </w:rPr>
        <w:t>23</w:t>
      </w:r>
      <w:r>
        <w:rPr>
          <w:rFonts w:hint="default" w:ascii="仿宋_GB2312" w:hAnsi="微软雅黑" w:eastAsia="仿宋_GB2312"/>
          <w:color w:val="000000"/>
          <w:sz w:val="30"/>
          <w:szCs w:val="30"/>
          <w:lang w:val="en"/>
        </w:rPr>
        <w:t>1</w:t>
      </w:r>
      <w:r>
        <w:rPr>
          <w:rFonts w:hint="eastAsia" w:ascii="仿宋_GB2312" w:eastAsia="仿宋_GB2312"/>
          <w:color w:val="000000"/>
          <w:sz w:val="30"/>
          <w:szCs w:val="30"/>
        </w:rPr>
        <w:t>万元。20</w:t>
      </w:r>
      <w:r>
        <w:rPr>
          <w:rFonts w:hint="default" w:ascii="仿宋_GB2312" w:eastAsia="仿宋_GB2312"/>
          <w:color w:val="000000"/>
          <w:sz w:val="30"/>
          <w:szCs w:val="30"/>
          <w:lang w:val="en"/>
        </w:rPr>
        <w:t>21</w:t>
      </w:r>
      <w:r>
        <w:rPr>
          <w:rFonts w:hint="eastAsia" w:ascii="仿宋_GB2312" w:eastAsia="仿宋_GB2312"/>
          <w:color w:val="000000"/>
          <w:sz w:val="30"/>
          <w:szCs w:val="30"/>
        </w:rPr>
        <w:t>年申请并批复资金</w:t>
      </w:r>
      <w:r>
        <w:rPr>
          <w:rFonts w:hint="eastAsia" w:ascii="仿宋_GB2312" w:hAnsi="微软雅黑" w:eastAsia="仿宋_GB2312"/>
          <w:color w:val="000000"/>
          <w:sz w:val="30"/>
          <w:szCs w:val="30"/>
        </w:rPr>
        <w:t>23</w:t>
      </w:r>
      <w:r>
        <w:rPr>
          <w:rFonts w:hint="default" w:ascii="仿宋_GB2312" w:hAnsi="微软雅黑" w:eastAsia="仿宋_GB2312"/>
          <w:color w:val="000000"/>
          <w:sz w:val="30"/>
          <w:szCs w:val="30"/>
          <w:lang w:val="en"/>
        </w:rPr>
        <w:t>1</w:t>
      </w:r>
      <w:r>
        <w:rPr>
          <w:rFonts w:hint="eastAsia" w:ascii="仿宋_GB2312" w:eastAsia="仿宋_GB2312"/>
          <w:color w:val="000000"/>
          <w:sz w:val="30"/>
          <w:szCs w:val="30"/>
        </w:rPr>
        <w:t>万元。</w:t>
      </w:r>
    </w:p>
    <w:p>
      <w:pPr>
        <w:pStyle w:val="13"/>
        <w:shd w:val="clear" w:color="auto" w:fill="FFFFFF"/>
        <w:spacing w:before="0" w:beforeAutospacing="0" w:after="0" w:afterAutospacing="0" w:line="560" w:lineRule="exact"/>
        <w:ind w:firstLine="480"/>
        <w:rPr>
          <w:rFonts w:hint="eastAsia" w:ascii="仿宋_GB2312" w:eastAsia="仿宋_GB2312"/>
          <w:color w:val="000000"/>
          <w:sz w:val="30"/>
          <w:szCs w:val="30"/>
        </w:rPr>
      </w:pPr>
      <w:r>
        <w:rPr>
          <w:rFonts w:hint="eastAsia" w:ascii="仿宋_GB2312" w:eastAsia="仿宋_GB2312"/>
          <w:color w:val="000000"/>
          <w:sz w:val="30"/>
          <w:szCs w:val="30"/>
        </w:rPr>
        <w:t>2.资金到位。截至202</w:t>
      </w:r>
      <w:r>
        <w:rPr>
          <w:rFonts w:hint="default" w:ascii="仿宋_GB2312" w:eastAsia="仿宋_GB2312"/>
          <w:color w:val="000000"/>
          <w:sz w:val="30"/>
          <w:szCs w:val="30"/>
          <w:lang w:val="en"/>
        </w:rPr>
        <w:t>1</w:t>
      </w:r>
      <w:r>
        <w:rPr>
          <w:rFonts w:hint="eastAsia" w:ascii="仿宋_GB2312" w:eastAsia="仿宋_GB2312"/>
          <w:color w:val="000000"/>
          <w:sz w:val="30"/>
          <w:szCs w:val="30"/>
        </w:rPr>
        <w:t>年12月31日,所有项目资金全部到位,共计</w:t>
      </w:r>
      <w:r>
        <w:rPr>
          <w:rFonts w:hint="eastAsia" w:ascii="仿宋_GB2312" w:hAnsi="微软雅黑" w:eastAsia="仿宋_GB2312"/>
          <w:color w:val="000000"/>
          <w:sz w:val="30"/>
          <w:szCs w:val="30"/>
        </w:rPr>
        <w:t>23</w:t>
      </w:r>
      <w:r>
        <w:rPr>
          <w:rFonts w:hint="default" w:ascii="仿宋_GB2312" w:hAnsi="微软雅黑" w:eastAsia="仿宋_GB2312"/>
          <w:color w:val="000000"/>
          <w:sz w:val="30"/>
          <w:szCs w:val="30"/>
          <w:lang w:val="en"/>
        </w:rPr>
        <w:t>1</w:t>
      </w:r>
      <w:r>
        <w:rPr>
          <w:rFonts w:hint="eastAsia" w:ascii="仿宋_GB2312" w:eastAsia="仿宋_GB2312"/>
          <w:color w:val="000000"/>
          <w:sz w:val="30"/>
          <w:szCs w:val="30"/>
        </w:rPr>
        <w:t>万元。</w:t>
      </w:r>
    </w:p>
    <w:p>
      <w:pPr>
        <w:pStyle w:val="13"/>
        <w:shd w:val="clear" w:color="auto" w:fill="FFFFFF"/>
        <w:spacing w:before="0" w:beforeAutospacing="0" w:after="0" w:afterAutospacing="0" w:line="560" w:lineRule="exact"/>
        <w:ind w:firstLine="480"/>
        <w:rPr>
          <w:rFonts w:hint="eastAsia" w:ascii="仿宋_GB2312" w:eastAsia="仿宋_GB2312"/>
          <w:color w:val="000000"/>
          <w:sz w:val="30"/>
          <w:szCs w:val="30"/>
        </w:rPr>
      </w:pPr>
      <w:r>
        <w:rPr>
          <w:rFonts w:hint="eastAsia" w:ascii="仿宋_GB2312" w:eastAsia="仿宋_GB2312"/>
          <w:color w:val="000000"/>
          <w:sz w:val="30"/>
          <w:szCs w:val="30"/>
        </w:rPr>
        <w:t>3.资金使用。截至202</w:t>
      </w:r>
      <w:r>
        <w:rPr>
          <w:rFonts w:hint="default" w:ascii="仿宋_GB2312" w:eastAsia="仿宋_GB2312"/>
          <w:color w:val="000000"/>
          <w:sz w:val="30"/>
          <w:szCs w:val="30"/>
          <w:lang w:val="en"/>
        </w:rPr>
        <w:t>1</w:t>
      </w:r>
      <w:r>
        <w:rPr>
          <w:rFonts w:hint="eastAsia" w:ascii="仿宋_GB2312" w:eastAsia="仿宋_GB2312"/>
          <w:color w:val="000000"/>
          <w:sz w:val="30"/>
          <w:szCs w:val="30"/>
        </w:rPr>
        <w:t>年12月31日,“12345”政府服务</w:t>
      </w:r>
      <w:r>
        <w:rPr>
          <w:rFonts w:hint="eastAsia" w:ascii="仿宋_GB2312" w:eastAsia="仿宋_GB2312"/>
          <w:color w:val="000000"/>
          <w:sz w:val="30"/>
          <w:szCs w:val="30"/>
          <w:lang w:eastAsia="zh-CN"/>
        </w:rPr>
        <w:t>便民</w:t>
      </w:r>
      <w:r>
        <w:rPr>
          <w:rFonts w:hint="eastAsia" w:ascii="仿宋_GB2312" w:eastAsia="仿宋_GB2312"/>
          <w:color w:val="000000"/>
          <w:sz w:val="30"/>
          <w:szCs w:val="30"/>
        </w:rPr>
        <w:t>热线服务经费项目资金</w:t>
      </w:r>
      <w:r>
        <w:rPr>
          <w:rFonts w:hint="eastAsia" w:ascii="仿宋_GB2312" w:hAnsi="微软雅黑" w:eastAsia="仿宋_GB2312"/>
          <w:color w:val="000000"/>
          <w:sz w:val="30"/>
          <w:szCs w:val="30"/>
        </w:rPr>
        <w:t>23</w:t>
      </w:r>
      <w:r>
        <w:rPr>
          <w:rFonts w:hint="default" w:ascii="仿宋_GB2312" w:hAnsi="微软雅黑" w:eastAsia="仿宋_GB2312"/>
          <w:color w:val="000000"/>
          <w:sz w:val="30"/>
          <w:szCs w:val="30"/>
          <w:lang w:val="en"/>
        </w:rPr>
        <w:t>1</w:t>
      </w:r>
      <w:r>
        <w:rPr>
          <w:rFonts w:hint="eastAsia" w:ascii="仿宋_GB2312" w:eastAsia="仿宋_GB2312"/>
          <w:color w:val="000000"/>
          <w:sz w:val="30"/>
          <w:szCs w:val="30"/>
        </w:rPr>
        <w:t>万元已经全部支出,主要用于“12345”政府服务</w:t>
      </w:r>
      <w:r>
        <w:rPr>
          <w:rFonts w:hint="eastAsia" w:ascii="仿宋_GB2312" w:eastAsia="仿宋_GB2312"/>
          <w:color w:val="000000"/>
          <w:sz w:val="30"/>
          <w:szCs w:val="30"/>
          <w:lang w:eastAsia="zh-CN"/>
        </w:rPr>
        <w:t>便民</w:t>
      </w:r>
      <w:r>
        <w:rPr>
          <w:rFonts w:hint="eastAsia" w:ascii="仿宋_GB2312" w:eastAsia="仿宋_GB2312"/>
          <w:color w:val="000000"/>
          <w:sz w:val="30"/>
          <w:szCs w:val="30"/>
        </w:rPr>
        <w:t>热线工作运行支出等。</w:t>
      </w:r>
    </w:p>
    <w:p>
      <w:pPr>
        <w:adjustRightInd w:val="0"/>
        <w:snapToGrid w:val="0"/>
        <w:spacing w:line="560" w:lineRule="exact"/>
        <w:ind w:firstLine="720"/>
        <w:rPr>
          <w:rFonts w:hint="eastAsia" w:ascii="楷体_GB2312" w:hAnsi="楷体_GB2312" w:eastAsia="楷体_GB2312" w:cs="楷体_GB2312"/>
          <w:b/>
          <w:sz w:val="30"/>
          <w:szCs w:val="30"/>
          <w:lang w:val="zh-CN"/>
        </w:rPr>
      </w:pPr>
      <w:r>
        <w:rPr>
          <w:rFonts w:hint="eastAsia" w:ascii="楷体_GB2312" w:hAnsi="楷体_GB2312" w:eastAsia="楷体_GB2312" w:cs="楷体_GB2312"/>
          <w:b/>
          <w:sz w:val="30"/>
          <w:szCs w:val="30"/>
          <w:lang w:val="zh-CN"/>
        </w:rPr>
        <w:t>（三）项目财务管理情况。</w:t>
      </w:r>
    </w:p>
    <w:p>
      <w:pPr>
        <w:adjustRightInd w:val="0"/>
        <w:snapToGrid w:val="0"/>
        <w:spacing w:line="560" w:lineRule="exact"/>
        <w:ind w:firstLine="720"/>
        <w:rPr>
          <w:rFonts w:hint="eastAsia" w:ascii="仿宋_GB2312" w:eastAsia="仿宋_GB2312"/>
          <w:color w:val="000000"/>
          <w:sz w:val="30"/>
          <w:szCs w:val="30"/>
          <w:shd w:val="clear" w:color="auto" w:fill="FFFFFF"/>
        </w:rPr>
      </w:pPr>
      <w:r>
        <w:rPr>
          <w:rFonts w:hint="eastAsia" w:ascii="仿宋_GB2312" w:eastAsia="仿宋_GB2312"/>
          <w:color w:val="000000"/>
          <w:sz w:val="30"/>
          <w:szCs w:val="30"/>
          <w:shd w:val="clear" w:color="auto" w:fill="FFFFFF"/>
        </w:rPr>
        <w:t>“12345”政府服务</w:t>
      </w:r>
      <w:r>
        <w:rPr>
          <w:rFonts w:hint="eastAsia" w:ascii="仿宋_GB2312" w:eastAsia="仿宋_GB2312"/>
          <w:color w:val="000000"/>
          <w:sz w:val="30"/>
          <w:szCs w:val="30"/>
          <w:shd w:val="clear" w:color="auto" w:fill="FFFFFF"/>
          <w:lang w:eastAsia="zh-CN"/>
        </w:rPr>
        <w:t>便民</w:t>
      </w:r>
      <w:r>
        <w:rPr>
          <w:rFonts w:hint="eastAsia" w:ascii="仿宋_GB2312" w:eastAsia="仿宋_GB2312"/>
          <w:color w:val="000000"/>
          <w:sz w:val="30"/>
          <w:szCs w:val="30"/>
          <w:shd w:val="clear" w:color="auto" w:fill="FFFFFF"/>
        </w:rPr>
        <w:t>热线服务经费项目资金采取预算内直接支付或授权支付形式,按照相应文件申请、划拨、支付资金,账务处理及时、会计核算规范,符合会计管理的要求。</w:t>
      </w:r>
    </w:p>
    <w:p>
      <w:pPr>
        <w:adjustRightInd w:val="0"/>
        <w:snapToGrid w:val="0"/>
        <w:spacing w:line="560" w:lineRule="exact"/>
        <w:ind w:firstLine="720"/>
        <w:rPr>
          <w:rFonts w:hint="eastAsia" w:ascii="黑体" w:hAnsi="黑体" w:eastAsia="黑体" w:cs="黑体"/>
          <w:b w:val="0"/>
          <w:bCs w:val="0"/>
          <w:sz w:val="30"/>
          <w:szCs w:val="30"/>
        </w:rPr>
      </w:pPr>
      <w:bookmarkStart w:id="90" w:name="_Toc335018641_WPSOffice_Level2"/>
      <w:r>
        <w:rPr>
          <w:rFonts w:hint="eastAsia" w:ascii="黑体" w:hAnsi="黑体" w:eastAsia="黑体" w:cs="黑体"/>
          <w:b w:val="0"/>
          <w:bCs w:val="0"/>
          <w:sz w:val="30"/>
          <w:szCs w:val="30"/>
        </w:rPr>
        <w:t>三、项目实施及管理情况</w:t>
      </w:r>
      <w:bookmarkEnd w:id="90"/>
    </w:p>
    <w:p>
      <w:pPr>
        <w:adjustRightInd w:val="0"/>
        <w:snapToGrid w:val="0"/>
        <w:spacing w:line="560" w:lineRule="exact"/>
        <w:ind w:firstLine="720"/>
        <w:rPr>
          <w:rFonts w:hint="eastAsia" w:ascii="楷体_GB2312" w:hAnsi="楷体_GB2312" w:eastAsia="楷体_GB2312" w:cs="楷体_GB2312"/>
          <w:b/>
          <w:sz w:val="30"/>
          <w:szCs w:val="30"/>
          <w:lang w:val="zh-CN"/>
        </w:rPr>
      </w:pPr>
      <w:r>
        <w:rPr>
          <w:rFonts w:hint="eastAsia" w:ascii="楷体_GB2312" w:hAnsi="楷体_GB2312" w:eastAsia="楷体_GB2312" w:cs="楷体_GB2312"/>
          <w:b/>
          <w:sz w:val="30"/>
          <w:szCs w:val="30"/>
          <w:lang w:val="zh-CN"/>
        </w:rPr>
        <w:t>（一）项目组织架构及实施流程。</w:t>
      </w:r>
    </w:p>
    <w:p>
      <w:pPr>
        <w:adjustRightInd w:val="0"/>
        <w:snapToGrid w:val="0"/>
        <w:spacing w:line="560" w:lineRule="exact"/>
        <w:ind w:firstLine="720"/>
        <w:rPr>
          <w:rFonts w:hint="eastAsia" w:ascii="仿宋_GB2312" w:eastAsia="仿宋_GB2312"/>
          <w:color w:val="000000"/>
          <w:sz w:val="30"/>
          <w:szCs w:val="30"/>
          <w:shd w:val="clear" w:color="auto" w:fill="FFFFFF"/>
        </w:rPr>
      </w:pPr>
      <w:r>
        <w:rPr>
          <w:rFonts w:hint="eastAsia" w:ascii="仿宋_GB2312" w:eastAsia="仿宋_GB2312"/>
          <w:color w:val="000000"/>
          <w:sz w:val="30"/>
          <w:szCs w:val="30"/>
          <w:shd w:val="clear" w:color="auto" w:fill="FFFFFF"/>
        </w:rPr>
        <w:t>本部门热线</w:t>
      </w:r>
      <w:r>
        <w:rPr>
          <w:rFonts w:hint="eastAsia" w:ascii="仿宋_GB2312" w:eastAsia="仿宋_GB2312"/>
          <w:color w:val="000000"/>
          <w:sz w:val="30"/>
          <w:szCs w:val="30"/>
          <w:shd w:val="clear" w:color="auto" w:fill="FFFFFF"/>
          <w:lang w:eastAsia="zh-CN"/>
        </w:rPr>
        <w:t>中心</w:t>
      </w:r>
      <w:r>
        <w:rPr>
          <w:rFonts w:hint="eastAsia" w:ascii="仿宋_GB2312" w:eastAsia="仿宋_GB2312"/>
          <w:color w:val="000000"/>
          <w:sz w:val="30"/>
          <w:szCs w:val="30"/>
          <w:shd w:val="clear" w:color="auto" w:fill="FFFFFF"/>
        </w:rPr>
        <w:t>将热线建</w:t>
      </w:r>
      <w:r>
        <w:rPr>
          <w:rFonts w:hint="eastAsia" w:ascii="仿宋_GB2312" w:eastAsia="仿宋_GB2312" w:cs="Times New Roman"/>
          <w:color w:val="000000"/>
          <w:sz w:val="30"/>
          <w:szCs w:val="30"/>
          <w:shd w:val="clear" w:color="auto" w:fill="FFFFFF"/>
          <w:lang w:eastAsia="zh-CN"/>
        </w:rPr>
        <w:t>设以“服务政府、责任政府、法治政府”为引领,坚持“听民声、解民困、分民忧、集民智”的工作理念，以提升热线服务能力为抓手，持续推动热线规范化、法治化、智能化运行，建立完善“一号对外、集中受理、按责分办、限时办结、跟踪督办、考核问责、反馈回访”工作模式。以回应市民关切、妥善解决市民诉求为追求目标,通过加强协调,建立完善回访、复核机制、分级分责</w:t>
      </w:r>
      <w:r>
        <w:rPr>
          <w:rFonts w:hint="eastAsia" w:ascii="仿宋_GB2312" w:eastAsia="仿宋_GB2312"/>
          <w:color w:val="000000"/>
          <w:sz w:val="30"/>
          <w:szCs w:val="30"/>
          <w:shd w:val="clear" w:color="auto" w:fill="FFFFFF"/>
        </w:rPr>
        <w:t>协调督办机制以及监察、行政督查和热线督办“三位一体”联动督办机制,实现对热线事项办理过程和结果的监控。</w:t>
      </w:r>
    </w:p>
    <w:p>
      <w:pPr>
        <w:adjustRightInd w:val="0"/>
        <w:snapToGrid w:val="0"/>
        <w:spacing w:line="560" w:lineRule="exact"/>
        <w:ind w:firstLine="720"/>
        <w:rPr>
          <w:rFonts w:hint="eastAsia" w:ascii="仿宋_GB2312" w:hAnsi="宋体" w:eastAsia="仿宋_GB2312"/>
          <w:sz w:val="30"/>
          <w:szCs w:val="30"/>
          <w:lang w:val="zh-CN"/>
        </w:rPr>
      </w:pPr>
      <w:r>
        <w:rPr>
          <w:rFonts w:hint="eastAsia" w:ascii="楷体_GB2312" w:hAnsi="楷体_GB2312" w:eastAsia="楷体_GB2312" w:cs="楷体_GB2312"/>
          <w:b/>
          <w:sz w:val="30"/>
          <w:szCs w:val="30"/>
          <w:lang w:val="zh-CN"/>
        </w:rPr>
        <w:t>（二）项目管理情况。</w:t>
      </w:r>
      <w:r>
        <w:rPr>
          <w:rFonts w:hint="eastAsia" w:ascii="仿宋_GB2312" w:eastAsia="仿宋_GB2312"/>
          <w:color w:val="000000"/>
          <w:sz w:val="30"/>
          <w:szCs w:val="30"/>
          <w:shd w:val="clear" w:color="auto" w:fill="FFFFFF"/>
        </w:rPr>
        <w:t>“12345”政府服务</w:t>
      </w:r>
      <w:r>
        <w:rPr>
          <w:rFonts w:hint="eastAsia" w:ascii="仿宋_GB2312" w:eastAsia="仿宋_GB2312"/>
          <w:color w:val="000000"/>
          <w:sz w:val="30"/>
          <w:szCs w:val="30"/>
          <w:shd w:val="clear" w:color="auto" w:fill="FFFFFF"/>
          <w:lang w:eastAsia="zh-CN"/>
        </w:rPr>
        <w:t>便民</w:t>
      </w:r>
      <w:r>
        <w:rPr>
          <w:rFonts w:hint="eastAsia" w:ascii="仿宋_GB2312" w:eastAsia="仿宋_GB2312"/>
          <w:color w:val="000000"/>
          <w:sz w:val="30"/>
          <w:szCs w:val="30"/>
          <w:shd w:val="clear" w:color="auto" w:fill="FFFFFF"/>
        </w:rPr>
        <w:t>热线自设立以来,热线整体业务水平稳步提升。话务接通率、呼</w:t>
      </w:r>
      <w:r>
        <w:rPr>
          <w:rFonts w:hint="eastAsia" w:ascii="仿宋_GB2312" w:eastAsia="仿宋_GB2312"/>
          <w:color w:val="000000"/>
          <w:sz w:val="30"/>
          <w:szCs w:val="30"/>
          <w:shd w:val="clear" w:color="auto" w:fill="FFFFFF"/>
          <w:lang w:eastAsia="zh-CN"/>
        </w:rPr>
        <w:t>出</w:t>
      </w:r>
      <w:r>
        <w:rPr>
          <w:rFonts w:hint="eastAsia" w:ascii="仿宋_GB2312" w:eastAsia="仿宋_GB2312"/>
          <w:color w:val="000000"/>
          <w:sz w:val="30"/>
          <w:szCs w:val="30"/>
          <w:shd w:val="clear" w:color="auto" w:fill="FFFFFF"/>
        </w:rPr>
        <w:t>率、直办率、群众满意度均已达到指标要求,相关各项工作也顺利的开展。本部门热线</w:t>
      </w:r>
      <w:r>
        <w:rPr>
          <w:rFonts w:hint="eastAsia" w:ascii="仿宋_GB2312" w:eastAsia="仿宋_GB2312"/>
          <w:color w:val="000000"/>
          <w:sz w:val="30"/>
          <w:szCs w:val="30"/>
          <w:shd w:val="clear" w:color="auto" w:fill="FFFFFF"/>
          <w:lang w:eastAsia="zh-CN"/>
        </w:rPr>
        <w:t>中心</w:t>
      </w:r>
      <w:r>
        <w:rPr>
          <w:rFonts w:hint="eastAsia" w:ascii="仿宋_GB2312" w:eastAsia="仿宋_GB2312"/>
          <w:color w:val="000000"/>
          <w:sz w:val="30"/>
          <w:szCs w:val="30"/>
          <w:shd w:val="clear" w:color="auto" w:fill="FFFFFF"/>
        </w:rPr>
        <w:t>采取全方位立体式的宣传,让更多的市民知道并了解“12345”政府服务</w:t>
      </w:r>
      <w:r>
        <w:rPr>
          <w:rFonts w:hint="eastAsia" w:ascii="仿宋_GB2312" w:eastAsia="仿宋_GB2312"/>
          <w:color w:val="000000"/>
          <w:sz w:val="30"/>
          <w:szCs w:val="30"/>
          <w:shd w:val="clear" w:color="auto" w:fill="FFFFFF"/>
          <w:lang w:eastAsia="zh-CN"/>
        </w:rPr>
        <w:t>便民</w:t>
      </w:r>
      <w:r>
        <w:rPr>
          <w:rFonts w:hint="eastAsia" w:ascii="仿宋_GB2312" w:eastAsia="仿宋_GB2312"/>
          <w:color w:val="000000"/>
          <w:sz w:val="30"/>
          <w:szCs w:val="30"/>
          <w:shd w:val="clear" w:color="auto" w:fill="FFFFFF"/>
        </w:rPr>
        <w:t>热线,并通过改进工作机制,提升热线工单效率,完善知识库储备,持续优化知识库能力。加强热线团队赋能,将服务态度及服务意识入脑入心,以更加优质的服务面向大众,从而提升了群众对广元“12345”热线的整体满意度。</w:t>
      </w:r>
    </w:p>
    <w:p>
      <w:pPr>
        <w:adjustRightInd w:val="0"/>
        <w:snapToGrid w:val="0"/>
        <w:spacing w:line="560" w:lineRule="exact"/>
        <w:ind w:firstLine="720"/>
        <w:rPr>
          <w:rFonts w:hint="eastAsia" w:ascii="仿宋_GB2312" w:eastAsia="仿宋_GB2312"/>
          <w:color w:val="000000"/>
          <w:sz w:val="30"/>
          <w:szCs w:val="30"/>
          <w:shd w:val="clear" w:color="auto" w:fill="FFFFFF"/>
        </w:rPr>
      </w:pPr>
      <w:r>
        <w:rPr>
          <w:rFonts w:hint="eastAsia" w:ascii="楷体_GB2312" w:hAnsi="楷体_GB2312" w:eastAsia="楷体_GB2312" w:cs="楷体_GB2312"/>
          <w:b/>
          <w:sz w:val="30"/>
          <w:szCs w:val="30"/>
          <w:lang w:val="zh-CN"/>
        </w:rPr>
        <w:t>（三）项目监管情况。</w:t>
      </w:r>
      <w:r>
        <w:rPr>
          <w:rFonts w:hint="eastAsia" w:ascii="仿宋_GB2312" w:eastAsia="仿宋_GB2312"/>
          <w:color w:val="000000"/>
          <w:sz w:val="30"/>
          <w:szCs w:val="30"/>
          <w:shd w:val="clear" w:color="auto" w:fill="FFFFFF"/>
        </w:rPr>
        <w:t>“12345”政府服务</w:t>
      </w:r>
      <w:r>
        <w:rPr>
          <w:rFonts w:hint="eastAsia" w:ascii="仿宋_GB2312" w:eastAsia="仿宋_GB2312"/>
          <w:color w:val="000000"/>
          <w:sz w:val="30"/>
          <w:szCs w:val="30"/>
          <w:shd w:val="clear" w:color="auto" w:fill="FFFFFF"/>
          <w:lang w:eastAsia="zh-CN"/>
        </w:rPr>
        <w:t>便民</w:t>
      </w:r>
      <w:r>
        <w:rPr>
          <w:rFonts w:hint="eastAsia" w:ascii="仿宋_GB2312" w:eastAsia="仿宋_GB2312"/>
          <w:color w:val="000000"/>
          <w:sz w:val="30"/>
          <w:szCs w:val="30"/>
          <w:shd w:val="clear" w:color="auto" w:fill="FFFFFF"/>
        </w:rPr>
        <w:t>热线服务经费项目资金实行预算内管理,按照合同和票据实报实销。没有出现挤占挪用项目资金的情况。</w:t>
      </w:r>
    </w:p>
    <w:p>
      <w:pPr>
        <w:adjustRightInd w:val="0"/>
        <w:snapToGrid w:val="0"/>
        <w:spacing w:line="560" w:lineRule="exact"/>
        <w:ind w:firstLine="720"/>
        <w:rPr>
          <w:rFonts w:hint="eastAsia" w:ascii="仿宋_GB2312" w:hAnsi="宋体" w:eastAsia="仿宋_GB2312"/>
          <w:b/>
          <w:bCs/>
          <w:sz w:val="30"/>
          <w:szCs w:val="30"/>
          <w:lang w:val="zh-CN"/>
        </w:rPr>
      </w:pPr>
      <w:bookmarkStart w:id="91" w:name="_Toc1041564122_WPSOffice_Level2"/>
      <w:r>
        <w:rPr>
          <w:rFonts w:hint="eastAsia" w:ascii="黑体" w:hAnsi="黑体" w:eastAsia="黑体" w:cs="黑体"/>
          <w:b w:val="0"/>
          <w:bCs w:val="0"/>
          <w:sz w:val="30"/>
          <w:szCs w:val="30"/>
        </w:rPr>
        <w:t>四、项目绩效情况</w:t>
      </w:r>
      <w:bookmarkEnd w:id="91"/>
      <w:r>
        <w:rPr>
          <w:rFonts w:hint="eastAsia" w:ascii="仿宋_GB2312" w:hAnsi="宋体" w:eastAsia="仿宋_GB2312"/>
          <w:b/>
          <w:bCs/>
          <w:sz w:val="30"/>
          <w:szCs w:val="30"/>
          <w:lang w:val="zh-CN"/>
        </w:rPr>
        <w:tab/>
      </w:r>
    </w:p>
    <w:p>
      <w:pPr>
        <w:adjustRightInd w:val="0"/>
        <w:snapToGrid w:val="0"/>
        <w:spacing w:line="560" w:lineRule="exact"/>
        <w:ind w:firstLine="720"/>
        <w:rPr>
          <w:rFonts w:hint="eastAsia" w:ascii="楷体_GB2312" w:hAnsi="楷体_GB2312" w:eastAsia="楷体_GB2312" w:cs="楷体_GB2312"/>
          <w:b/>
          <w:sz w:val="30"/>
          <w:szCs w:val="30"/>
          <w:lang w:val="zh-CN"/>
        </w:rPr>
      </w:pPr>
      <w:r>
        <w:rPr>
          <w:rFonts w:hint="eastAsia" w:ascii="楷体_GB2312" w:hAnsi="楷体_GB2312" w:eastAsia="楷体_GB2312" w:cs="楷体_GB2312"/>
          <w:b/>
          <w:sz w:val="30"/>
          <w:szCs w:val="30"/>
          <w:lang w:val="zh-CN"/>
        </w:rPr>
        <w:t>（一）项目完成情况。</w:t>
      </w:r>
    </w:p>
    <w:p>
      <w:pPr>
        <w:adjustRightInd w:val="0"/>
        <w:snapToGrid w:val="0"/>
        <w:spacing w:line="560" w:lineRule="exact"/>
        <w:ind w:firstLine="720"/>
        <w:rPr>
          <w:rFonts w:hint="eastAsia" w:ascii="仿宋_GB2312" w:eastAsia="仿宋_GB2312" w:cs="Times New Roman"/>
          <w:color w:val="000000"/>
          <w:sz w:val="30"/>
          <w:szCs w:val="30"/>
          <w:shd w:val="clear" w:color="auto" w:fill="FFFFFF"/>
        </w:rPr>
      </w:pPr>
      <w:r>
        <w:rPr>
          <w:rFonts w:hint="eastAsia" w:ascii="仿宋_GB2312" w:eastAsia="仿宋_GB2312"/>
          <w:color w:val="000000"/>
          <w:sz w:val="30"/>
          <w:szCs w:val="30"/>
          <w:shd w:val="clear" w:color="auto" w:fill="FFFFFF"/>
        </w:rPr>
        <w:t>保障了“12345”政府服务</w:t>
      </w:r>
      <w:r>
        <w:rPr>
          <w:rFonts w:hint="eastAsia" w:ascii="仿宋_GB2312" w:eastAsia="仿宋_GB2312"/>
          <w:color w:val="000000"/>
          <w:sz w:val="30"/>
          <w:szCs w:val="30"/>
          <w:shd w:val="clear" w:color="auto" w:fill="FFFFFF"/>
          <w:lang w:eastAsia="zh-CN"/>
        </w:rPr>
        <w:t>便民</w:t>
      </w:r>
      <w:r>
        <w:rPr>
          <w:rFonts w:hint="eastAsia" w:ascii="仿宋_GB2312" w:eastAsia="仿宋_GB2312"/>
          <w:color w:val="000000"/>
          <w:sz w:val="30"/>
          <w:szCs w:val="30"/>
          <w:shd w:val="clear" w:color="auto" w:fill="FFFFFF"/>
        </w:rPr>
        <w:t>热线正常运行,满足全天候7x24小时不间断服务,平均等候时长&lt;5秒,服务水平&gt;98.28%,一站式无需转接即</w:t>
      </w:r>
      <w:r>
        <w:rPr>
          <w:rFonts w:hint="eastAsia" w:ascii="仿宋_GB2312" w:eastAsia="仿宋_GB2312" w:cs="Times New Roman"/>
          <w:color w:val="000000"/>
          <w:sz w:val="30"/>
          <w:szCs w:val="30"/>
          <w:shd w:val="clear" w:color="auto" w:fill="FFFFFF"/>
        </w:rPr>
        <w:t>可完成服务&gt; 87.76 %,话务员投诉率0 %</w:t>
      </w:r>
      <w:r>
        <w:rPr>
          <w:rFonts w:hint="eastAsia" w:ascii="仿宋_GB2312" w:eastAsia="仿宋_GB2312" w:cs="Times New Roman"/>
          <w:color w:val="000000"/>
          <w:sz w:val="30"/>
          <w:szCs w:val="30"/>
          <w:shd w:val="clear" w:color="auto" w:fill="FFFFFF"/>
          <w:lang w:eastAsia="zh-CN"/>
        </w:rPr>
        <w:t>，</w:t>
      </w:r>
      <w:r>
        <w:rPr>
          <w:rFonts w:hint="eastAsia" w:ascii="仿宋_GB2312" w:eastAsia="仿宋_GB2312" w:cs="Times New Roman"/>
          <w:color w:val="auto"/>
          <w:sz w:val="30"/>
          <w:szCs w:val="30"/>
          <w:shd w:val="clear" w:color="auto" w:fill="FFFFFF"/>
          <w:lang w:eastAsia="zh-CN"/>
        </w:rPr>
        <w:t>回访率</w:t>
      </w:r>
      <w:r>
        <w:rPr>
          <w:rFonts w:hint="default" w:ascii="仿宋_GB2312" w:eastAsia="仿宋_GB2312" w:cs="Times New Roman"/>
          <w:color w:val="000000"/>
          <w:sz w:val="30"/>
          <w:szCs w:val="30"/>
          <w:shd w:val="clear" w:color="auto" w:fill="FFFFFF"/>
          <w:lang w:val="en" w:eastAsia="zh-CN"/>
        </w:rPr>
        <w:t>100</w:t>
      </w:r>
      <w:r>
        <w:rPr>
          <w:rFonts w:hint="eastAsia" w:ascii="仿宋_GB2312" w:eastAsia="仿宋_GB2312" w:cs="Times New Roman"/>
          <w:color w:val="000000"/>
          <w:sz w:val="30"/>
          <w:szCs w:val="30"/>
          <w:shd w:val="clear" w:color="auto" w:fill="FFFFFF"/>
          <w:lang w:val="en-US" w:eastAsia="zh-CN"/>
        </w:rPr>
        <w:t>%</w:t>
      </w:r>
      <w:r>
        <w:rPr>
          <w:rFonts w:hint="eastAsia" w:ascii="仿宋_GB2312" w:eastAsia="仿宋_GB2312" w:cs="Times New Roman"/>
          <w:color w:val="000000"/>
          <w:sz w:val="30"/>
          <w:szCs w:val="30"/>
          <w:shd w:val="clear" w:color="auto" w:fill="FFFFFF"/>
        </w:rPr>
        <w:t>。截至20</w:t>
      </w:r>
      <w:r>
        <w:rPr>
          <w:rFonts w:hint="eastAsia" w:ascii="仿宋_GB2312" w:eastAsia="仿宋_GB2312" w:cs="Times New Roman"/>
          <w:color w:val="000000"/>
          <w:sz w:val="30"/>
          <w:szCs w:val="30"/>
          <w:shd w:val="clear" w:color="auto" w:fill="FFFFFF"/>
          <w:lang w:val="en-US" w:eastAsia="zh-CN"/>
        </w:rPr>
        <w:t>21</w:t>
      </w:r>
      <w:r>
        <w:rPr>
          <w:rFonts w:hint="eastAsia" w:ascii="仿宋_GB2312" w:eastAsia="仿宋_GB2312" w:cs="Times New Roman"/>
          <w:color w:val="000000"/>
          <w:sz w:val="30"/>
          <w:szCs w:val="30"/>
          <w:shd w:val="clear" w:color="auto" w:fill="FFFFFF"/>
        </w:rPr>
        <w:t>年12月31日,12345热线</w:t>
      </w:r>
      <w:r>
        <w:rPr>
          <w:rFonts w:hint="eastAsia" w:ascii="仿宋_GB2312" w:eastAsia="仿宋_GB2312" w:cs="Times New Roman"/>
          <w:color w:val="000000"/>
          <w:sz w:val="30"/>
          <w:szCs w:val="30"/>
          <w:shd w:val="clear" w:color="auto" w:fill="FFFFFF"/>
          <w:lang w:eastAsia="zh-CN"/>
        </w:rPr>
        <w:t>中心</w:t>
      </w:r>
      <w:r>
        <w:rPr>
          <w:rFonts w:hint="eastAsia" w:ascii="仿宋_GB2312" w:eastAsia="仿宋_GB2312" w:cs="Times New Roman"/>
          <w:color w:val="000000"/>
          <w:sz w:val="30"/>
          <w:szCs w:val="30"/>
          <w:shd w:val="clear" w:color="auto" w:fill="FFFFFF"/>
        </w:rPr>
        <w:t>话务</w:t>
      </w:r>
      <w:r>
        <w:rPr>
          <w:rFonts w:hint="eastAsia" w:ascii="仿宋_GB2312" w:eastAsia="仿宋_GB2312" w:cs="Times New Roman"/>
          <w:color w:val="000000"/>
          <w:sz w:val="30"/>
          <w:szCs w:val="30"/>
          <w:shd w:val="clear" w:color="auto" w:fill="FFFFFF"/>
          <w:lang w:eastAsia="zh-CN"/>
        </w:rPr>
        <w:t>总</w:t>
      </w:r>
      <w:r>
        <w:rPr>
          <w:rFonts w:hint="eastAsia" w:ascii="仿宋_GB2312" w:eastAsia="仿宋_GB2312" w:cs="Times New Roman"/>
          <w:color w:val="000000"/>
          <w:sz w:val="30"/>
          <w:szCs w:val="30"/>
          <w:shd w:val="clear" w:color="auto" w:fill="FFFFFF"/>
        </w:rPr>
        <w:t>量76.23万</w:t>
      </w:r>
      <w:r>
        <w:rPr>
          <w:rFonts w:hint="eastAsia" w:ascii="仿宋_GB2312" w:eastAsia="仿宋_GB2312" w:cs="Times New Roman"/>
          <w:color w:val="000000"/>
          <w:sz w:val="30"/>
          <w:szCs w:val="30"/>
          <w:shd w:val="clear" w:color="auto" w:fill="FFFFFF"/>
          <w:lang w:eastAsia="zh-CN"/>
        </w:rPr>
        <w:t>余通</w:t>
      </w:r>
      <w:r>
        <w:rPr>
          <w:rFonts w:hint="eastAsia" w:ascii="仿宋_GB2312" w:eastAsia="仿宋_GB2312" w:cs="Times New Roman"/>
          <w:color w:val="000000"/>
          <w:sz w:val="30"/>
          <w:szCs w:val="30"/>
          <w:shd w:val="clear" w:color="auto" w:fill="FFFFFF"/>
        </w:rPr>
        <w:t>,来件总计</w:t>
      </w:r>
      <w:r>
        <w:rPr>
          <w:rFonts w:hint="eastAsia" w:ascii="仿宋_GB2312" w:eastAsia="仿宋_GB2312" w:cs="Times New Roman"/>
          <w:color w:val="000000"/>
          <w:sz w:val="30"/>
          <w:szCs w:val="30"/>
          <w:shd w:val="clear" w:color="auto" w:fill="FFFFFF"/>
          <w:lang w:val="en-US" w:eastAsia="zh-CN"/>
        </w:rPr>
        <w:t>34.08</w:t>
      </w:r>
      <w:r>
        <w:rPr>
          <w:rFonts w:hint="default" w:ascii="仿宋_GB2312" w:eastAsia="仿宋_GB2312" w:cs="Times New Roman"/>
          <w:color w:val="000000"/>
          <w:sz w:val="30"/>
          <w:szCs w:val="30"/>
          <w:shd w:val="clear" w:color="auto" w:fill="FFFFFF"/>
          <w:lang w:val="en"/>
        </w:rPr>
        <w:t>万余</w:t>
      </w:r>
      <w:r>
        <w:rPr>
          <w:rFonts w:hint="eastAsia" w:ascii="仿宋_GB2312" w:eastAsia="仿宋_GB2312" w:cs="Times New Roman"/>
          <w:color w:val="000000"/>
          <w:sz w:val="30"/>
          <w:szCs w:val="30"/>
          <w:shd w:val="clear" w:color="auto" w:fill="FFFFFF"/>
        </w:rPr>
        <w:t>件，共计办理疫情类工单2.4万</w:t>
      </w:r>
      <w:r>
        <w:rPr>
          <w:rFonts w:hint="eastAsia" w:ascii="仿宋_GB2312" w:eastAsia="仿宋_GB2312" w:cs="Times New Roman"/>
          <w:color w:val="000000"/>
          <w:sz w:val="30"/>
          <w:szCs w:val="30"/>
          <w:shd w:val="clear" w:color="auto" w:fill="FFFFFF"/>
          <w:lang w:eastAsia="zh-CN"/>
        </w:rPr>
        <w:t>余</w:t>
      </w:r>
      <w:r>
        <w:rPr>
          <w:rFonts w:hint="eastAsia" w:ascii="仿宋_GB2312" w:eastAsia="仿宋_GB2312" w:cs="Times New Roman"/>
          <w:color w:val="000000"/>
          <w:sz w:val="30"/>
          <w:szCs w:val="30"/>
          <w:shd w:val="clear" w:color="auto" w:fill="FFFFFF"/>
        </w:rPr>
        <w:t>件，一级部门派单6.98万</w:t>
      </w:r>
      <w:r>
        <w:rPr>
          <w:rFonts w:hint="eastAsia" w:ascii="仿宋_GB2312" w:eastAsia="仿宋_GB2312" w:cs="Times New Roman"/>
          <w:color w:val="000000"/>
          <w:sz w:val="30"/>
          <w:szCs w:val="30"/>
          <w:shd w:val="clear" w:color="auto" w:fill="FFFFFF"/>
          <w:lang w:eastAsia="zh-CN"/>
        </w:rPr>
        <w:t>余</w:t>
      </w:r>
      <w:r>
        <w:rPr>
          <w:rFonts w:hint="eastAsia" w:ascii="仿宋_GB2312" w:eastAsia="仿宋_GB2312" w:cs="Times New Roman"/>
          <w:color w:val="000000"/>
          <w:sz w:val="30"/>
          <w:szCs w:val="30"/>
          <w:shd w:val="clear" w:color="auto" w:fill="FFFFFF"/>
        </w:rPr>
        <w:t>件，直办件21.51</w:t>
      </w:r>
      <w:r>
        <w:rPr>
          <w:rFonts w:hint="eastAsia" w:ascii="仿宋_GB2312" w:eastAsia="仿宋_GB2312" w:cs="Times New Roman"/>
          <w:color w:val="000000"/>
          <w:sz w:val="30"/>
          <w:szCs w:val="30"/>
          <w:shd w:val="clear" w:color="auto" w:fill="FFFFFF"/>
          <w:lang w:eastAsia="zh-CN"/>
        </w:rPr>
        <w:t>万余</w:t>
      </w:r>
      <w:r>
        <w:rPr>
          <w:rFonts w:hint="eastAsia" w:ascii="仿宋_GB2312" w:eastAsia="仿宋_GB2312" w:cs="Times New Roman"/>
          <w:color w:val="000000"/>
          <w:sz w:val="30"/>
          <w:szCs w:val="30"/>
          <w:shd w:val="clear" w:color="auto" w:fill="FFFFFF"/>
        </w:rPr>
        <w:t>件，交办率100%，办结率100%</w:t>
      </w:r>
      <w:r>
        <w:rPr>
          <w:rFonts w:hint="eastAsia" w:ascii="仿宋_GB2312" w:eastAsia="仿宋_GB2312" w:cs="Times New Roman"/>
          <w:color w:val="000000"/>
          <w:sz w:val="30"/>
          <w:szCs w:val="30"/>
          <w:shd w:val="clear" w:color="auto" w:fill="FFFFFF"/>
          <w:lang w:eastAsia="zh-CN"/>
        </w:rPr>
        <w:t>，按时办结率</w:t>
      </w:r>
      <w:r>
        <w:rPr>
          <w:rFonts w:hint="eastAsia" w:ascii="仿宋_GB2312" w:eastAsia="仿宋_GB2312" w:cs="Times New Roman"/>
          <w:color w:val="000000"/>
          <w:sz w:val="30"/>
          <w:szCs w:val="30"/>
          <w:shd w:val="clear" w:color="auto" w:fill="FFFFFF"/>
          <w:lang w:val="en-US" w:eastAsia="zh-CN"/>
        </w:rPr>
        <w:t>99.31%，</w:t>
      </w:r>
      <w:r>
        <w:rPr>
          <w:rFonts w:hint="eastAsia" w:ascii="仿宋_GB2312" w:eastAsia="仿宋_GB2312" w:cs="Times New Roman"/>
          <w:color w:val="000000"/>
          <w:sz w:val="30"/>
          <w:szCs w:val="30"/>
          <w:shd w:val="clear" w:color="auto" w:fill="FFFFFF"/>
        </w:rPr>
        <w:t>承办部门累计录入知识库信息66781条。</w:t>
      </w:r>
    </w:p>
    <w:p>
      <w:pPr>
        <w:adjustRightInd w:val="0"/>
        <w:snapToGrid w:val="0"/>
        <w:spacing w:line="560" w:lineRule="exact"/>
        <w:ind w:firstLine="720"/>
        <w:rPr>
          <w:rFonts w:hint="eastAsia" w:ascii="楷体_GB2312" w:hAnsi="楷体_GB2312" w:eastAsia="楷体_GB2312" w:cs="楷体_GB2312"/>
          <w:b/>
          <w:sz w:val="30"/>
          <w:szCs w:val="30"/>
          <w:lang w:val="zh-CN"/>
        </w:rPr>
      </w:pPr>
      <w:r>
        <w:rPr>
          <w:rFonts w:hint="eastAsia" w:ascii="楷体_GB2312" w:hAnsi="楷体_GB2312" w:eastAsia="楷体_GB2312" w:cs="楷体_GB2312"/>
          <w:b/>
          <w:sz w:val="30"/>
          <w:szCs w:val="30"/>
          <w:lang w:val="zh-CN"/>
        </w:rPr>
        <w:t>（二）项目效益情况。</w:t>
      </w:r>
    </w:p>
    <w:p>
      <w:pPr>
        <w:adjustRightInd w:val="0"/>
        <w:snapToGrid w:val="0"/>
        <w:spacing w:line="560" w:lineRule="exact"/>
        <w:ind w:firstLine="720"/>
        <w:rPr>
          <w:rFonts w:hint="eastAsia" w:ascii="仿宋_GB2312" w:eastAsia="仿宋_GB2312"/>
          <w:color w:val="000000"/>
          <w:sz w:val="30"/>
          <w:szCs w:val="30"/>
          <w:shd w:val="clear" w:color="auto" w:fill="FFFFFF"/>
        </w:rPr>
      </w:pPr>
      <w:r>
        <w:rPr>
          <w:rFonts w:hint="eastAsia" w:ascii="仿宋_GB2312" w:eastAsia="仿宋_GB2312"/>
          <w:color w:val="000000"/>
          <w:sz w:val="30"/>
          <w:szCs w:val="30"/>
          <w:shd w:val="clear" w:color="auto" w:fill="FFFFFF"/>
          <w:lang w:val="en-US" w:eastAsia="zh-CN"/>
        </w:rPr>
        <w:t>202</w:t>
      </w:r>
      <w:r>
        <w:rPr>
          <w:rFonts w:hint="default" w:ascii="仿宋_GB2312" w:eastAsia="仿宋_GB2312"/>
          <w:color w:val="000000"/>
          <w:sz w:val="30"/>
          <w:szCs w:val="30"/>
          <w:shd w:val="clear" w:color="auto" w:fill="FFFFFF"/>
          <w:lang w:val="en" w:eastAsia="zh-CN"/>
        </w:rPr>
        <w:t>1</w:t>
      </w:r>
      <w:r>
        <w:rPr>
          <w:rFonts w:hint="eastAsia" w:ascii="仿宋_GB2312" w:eastAsia="仿宋_GB2312"/>
          <w:color w:val="000000"/>
          <w:sz w:val="30"/>
          <w:szCs w:val="30"/>
          <w:shd w:val="clear" w:color="auto" w:fill="FFFFFF"/>
          <w:lang w:val="en-US" w:eastAsia="zh-CN"/>
        </w:rPr>
        <w:t>年，</w:t>
      </w:r>
      <w:r>
        <w:rPr>
          <w:rFonts w:hint="eastAsia" w:ascii="仿宋_GB2312" w:eastAsia="仿宋_GB2312"/>
          <w:color w:val="000000"/>
          <w:sz w:val="30"/>
          <w:szCs w:val="30"/>
          <w:shd w:val="clear" w:color="auto" w:fill="FFFFFF"/>
        </w:rPr>
        <w:t>“12345”政府服务</w:t>
      </w:r>
      <w:r>
        <w:rPr>
          <w:rFonts w:hint="eastAsia" w:ascii="仿宋_GB2312" w:eastAsia="仿宋_GB2312"/>
          <w:color w:val="000000"/>
          <w:sz w:val="30"/>
          <w:szCs w:val="30"/>
          <w:shd w:val="clear" w:color="auto" w:fill="FFFFFF"/>
          <w:lang w:eastAsia="zh-CN"/>
        </w:rPr>
        <w:t>便民</w:t>
      </w:r>
      <w:r>
        <w:rPr>
          <w:rFonts w:hint="eastAsia" w:ascii="仿宋_GB2312" w:eastAsia="仿宋_GB2312"/>
          <w:color w:val="000000"/>
          <w:sz w:val="30"/>
          <w:szCs w:val="30"/>
          <w:shd w:val="clear" w:color="auto" w:fill="FFFFFF"/>
        </w:rPr>
        <w:t>热线已帮助群众解决诉求</w:t>
      </w:r>
      <w:r>
        <w:rPr>
          <w:rFonts w:hint="eastAsia" w:ascii="仿宋_GB2312" w:eastAsia="仿宋_GB2312"/>
          <w:color w:val="000000"/>
          <w:sz w:val="30"/>
          <w:szCs w:val="30"/>
          <w:shd w:val="clear" w:color="auto" w:fill="FFFFFF"/>
          <w:lang w:val="en-US" w:eastAsia="zh-CN"/>
        </w:rPr>
        <w:t>34.08万余次</w:t>
      </w:r>
      <w:r>
        <w:rPr>
          <w:rFonts w:hint="eastAsia" w:ascii="仿宋_GB2312" w:eastAsia="仿宋_GB2312"/>
          <w:color w:val="000000"/>
          <w:sz w:val="30"/>
          <w:szCs w:val="30"/>
          <w:shd w:val="clear" w:color="auto" w:fill="FFFFFF"/>
        </w:rPr>
        <w:t>,发出宣传短信</w:t>
      </w:r>
      <w:r>
        <w:rPr>
          <w:rFonts w:hint="default" w:ascii="仿宋_GB2312" w:eastAsia="仿宋_GB2312"/>
          <w:color w:val="000000"/>
          <w:sz w:val="30"/>
          <w:szCs w:val="30"/>
          <w:shd w:val="clear" w:color="auto" w:fill="FFFFFF"/>
          <w:lang w:val="en"/>
        </w:rPr>
        <w:t>110</w:t>
      </w:r>
      <w:r>
        <w:rPr>
          <w:rFonts w:hint="eastAsia" w:ascii="仿宋_GB2312" w:eastAsia="仿宋_GB2312"/>
          <w:color w:val="000000"/>
          <w:sz w:val="30"/>
          <w:szCs w:val="30"/>
          <w:shd w:val="clear" w:color="auto" w:fill="FFFFFF"/>
        </w:rPr>
        <w:t>万余条,在办结工单中,群众评价为“满意”的有</w:t>
      </w:r>
      <w:r>
        <w:rPr>
          <w:rFonts w:hint="eastAsia" w:ascii="仿宋_GB2312" w:eastAsia="仿宋_GB2312"/>
          <w:color w:val="000000"/>
          <w:sz w:val="30"/>
          <w:szCs w:val="30"/>
          <w:shd w:val="clear" w:color="auto" w:fill="FFFFFF"/>
          <w:lang w:val="en-US" w:eastAsia="zh-CN"/>
        </w:rPr>
        <w:t>50127</w:t>
      </w:r>
      <w:r>
        <w:rPr>
          <w:rFonts w:hint="eastAsia" w:ascii="仿宋_GB2312" w:eastAsia="仿宋_GB2312"/>
          <w:color w:val="000000"/>
          <w:sz w:val="30"/>
          <w:szCs w:val="30"/>
          <w:shd w:val="clear" w:color="auto" w:fill="FFFFFF"/>
        </w:rPr>
        <w:t>件,群众对</w:t>
      </w:r>
      <w:r>
        <w:rPr>
          <w:rFonts w:hint="eastAsia" w:ascii="仿宋_GB2312" w:eastAsia="仿宋_GB2312" w:cs="Times New Roman"/>
          <w:color w:val="000000"/>
          <w:sz w:val="30"/>
          <w:szCs w:val="30"/>
          <w:shd w:val="clear" w:color="auto" w:fill="FFFFFF"/>
          <w:lang w:eastAsia="zh-CN"/>
        </w:rPr>
        <w:t>办件结果群众满意率99.01%，对</w:t>
      </w:r>
      <w:r>
        <w:rPr>
          <w:rFonts w:hint="eastAsia" w:ascii="仿宋_GB2312" w:eastAsia="仿宋_GB2312"/>
          <w:color w:val="000000"/>
          <w:sz w:val="30"/>
          <w:szCs w:val="30"/>
          <w:shd w:val="clear" w:color="auto" w:fill="FFFFFF"/>
        </w:rPr>
        <w:t>热线</w:t>
      </w:r>
      <w:r>
        <w:rPr>
          <w:rFonts w:hint="eastAsia" w:ascii="仿宋_GB2312" w:eastAsia="仿宋_GB2312"/>
          <w:color w:val="000000"/>
          <w:sz w:val="30"/>
          <w:szCs w:val="30"/>
          <w:shd w:val="clear" w:color="auto" w:fill="FFFFFF"/>
          <w:lang w:eastAsia="zh-CN"/>
        </w:rPr>
        <w:t>坐席</w:t>
      </w:r>
      <w:r>
        <w:rPr>
          <w:rFonts w:hint="eastAsia" w:ascii="仿宋_GB2312" w:eastAsia="仿宋_GB2312"/>
          <w:color w:val="000000"/>
          <w:sz w:val="30"/>
          <w:szCs w:val="30"/>
          <w:shd w:val="clear" w:color="auto" w:fill="FFFFFF"/>
        </w:rPr>
        <w:t>服务满意率为</w:t>
      </w:r>
      <w:r>
        <w:rPr>
          <w:rFonts w:hint="eastAsia" w:ascii="仿宋_GB2312" w:eastAsia="仿宋_GB2312"/>
          <w:color w:val="000000"/>
          <w:sz w:val="30"/>
          <w:szCs w:val="30"/>
          <w:shd w:val="clear" w:color="auto" w:fill="FFFFFF"/>
          <w:lang w:val="en-US" w:eastAsia="zh-CN"/>
        </w:rPr>
        <w:t>99.9</w:t>
      </w:r>
      <w:r>
        <w:rPr>
          <w:rFonts w:hint="eastAsia" w:ascii="仿宋_GB2312" w:eastAsia="仿宋_GB2312"/>
          <w:color w:val="000000"/>
          <w:sz w:val="30"/>
          <w:szCs w:val="30"/>
          <w:shd w:val="clear" w:color="auto" w:fill="FFFFFF"/>
        </w:rPr>
        <w:t>%。</w:t>
      </w:r>
    </w:p>
    <w:p>
      <w:pPr>
        <w:adjustRightInd w:val="0"/>
        <w:snapToGrid w:val="0"/>
        <w:spacing w:line="560" w:lineRule="exact"/>
        <w:ind w:firstLine="720"/>
        <w:rPr>
          <w:rFonts w:hint="eastAsia" w:ascii="黑体" w:hAnsi="黑体" w:eastAsia="黑体" w:cs="黑体"/>
          <w:color w:val="000000"/>
          <w:sz w:val="30"/>
          <w:szCs w:val="30"/>
        </w:rPr>
      </w:pPr>
      <w:bookmarkStart w:id="92" w:name="_Toc982229498_WPSOffice_Level2"/>
      <w:r>
        <w:rPr>
          <w:rFonts w:hint="eastAsia" w:ascii="黑体" w:hAnsi="黑体" w:eastAsia="黑体" w:cs="黑体"/>
          <w:color w:val="000000"/>
          <w:sz w:val="30"/>
          <w:szCs w:val="30"/>
        </w:rPr>
        <w:t>五、评价结论及建议</w:t>
      </w:r>
      <w:bookmarkEnd w:id="92"/>
    </w:p>
    <w:p>
      <w:pPr>
        <w:adjustRightInd w:val="0"/>
        <w:snapToGrid w:val="0"/>
        <w:spacing w:line="560" w:lineRule="exact"/>
        <w:ind w:firstLine="720"/>
        <w:rPr>
          <w:rFonts w:hint="eastAsia" w:ascii="楷体_GB2312" w:hAnsi="楷体_GB2312" w:eastAsia="楷体_GB2312" w:cs="楷体_GB2312"/>
          <w:b/>
          <w:sz w:val="30"/>
          <w:szCs w:val="30"/>
          <w:lang w:val="zh-CN"/>
        </w:rPr>
      </w:pPr>
      <w:r>
        <w:rPr>
          <w:rFonts w:hint="eastAsia" w:ascii="楷体_GB2312" w:hAnsi="楷体_GB2312" w:eastAsia="楷体_GB2312" w:cs="楷体_GB2312"/>
          <w:b/>
          <w:sz w:val="30"/>
          <w:szCs w:val="30"/>
          <w:lang w:val="zh-CN"/>
        </w:rPr>
        <w:t>（一）评价结论。</w:t>
      </w:r>
    </w:p>
    <w:p>
      <w:pPr>
        <w:adjustRightInd w:val="0"/>
        <w:snapToGrid w:val="0"/>
        <w:spacing w:line="560" w:lineRule="exact"/>
        <w:ind w:firstLine="720"/>
        <w:rPr>
          <w:rFonts w:hint="eastAsia" w:ascii="仿宋_GB2312" w:eastAsia="仿宋_GB2312"/>
          <w:color w:val="000000"/>
          <w:sz w:val="30"/>
          <w:szCs w:val="30"/>
          <w:shd w:val="clear" w:color="auto" w:fill="FFFFFF"/>
        </w:rPr>
      </w:pPr>
      <w:r>
        <w:rPr>
          <w:rFonts w:hint="eastAsia" w:ascii="仿宋_GB2312" w:eastAsia="仿宋_GB2312"/>
          <w:color w:val="000000"/>
          <w:sz w:val="30"/>
          <w:szCs w:val="30"/>
          <w:shd w:val="clear" w:color="auto" w:fill="FFFFFF"/>
        </w:rPr>
        <w:t>项目执行规范,预算执行及时、有效,绩效目标得到较好实现。“12345”政府服务</w:t>
      </w:r>
      <w:r>
        <w:rPr>
          <w:rFonts w:hint="eastAsia" w:ascii="仿宋_GB2312" w:eastAsia="仿宋_GB2312"/>
          <w:color w:val="000000"/>
          <w:sz w:val="30"/>
          <w:szCs w:val="30"/>
          <w:shd w:val="clear" w:color="auto" w:fill="FFFFFF"/>
          <w:lang w:eastAsia="zh-CN"/>
        </w:rPr>
        <w:t>便民</w:t>
      </w:r>
      <w:r>
        <w:rPr>
          <w:rFonts w:hint="eastAsia" w:ascii="仿宋_GB2312" w:eastAsia="仿宋_GB2312"/>
          <w:color w:val="000000"/>
          <w:sz w:val="30"/>
          <w:szCs w:val="30"/>
          <w:shd w:val="clear" w:color="auto" w:fill="FFFFFF"/>
        </w:rPr>
        <w:t>热线以“听民声、汇民意、集民智、解民忧”为价值追求,以“提高政务服务效能、提升政府公共服务和社会管理水平、推进服务型政府建设”为职责担当,狠抓服务质量,提升服务水平,并且按照“统一平台、统一标准、统一受理”的原则,认真贯彻落实市委、市政府的工作部署,不断加强运营管理和诉求办理工作,确保了平台健康、有序、高效的运转,为群众解决了大量生产、生活中的问题,得到了群众的一致好评。</w:t>
      </w:r>
    </w:p>
    <w:p>
      <w:pPr>
        <w:adjustRightInd w:val="0"/>
        <w:snapToGrid w:val="0"/>
        <w:spacing w:line="560" w:lineRule="exact"/>
        <w:ind w:firstLine="720"/>
        <w:rPr>
          <w:rFonts w:hint="eastAsia" w:ascii="楷体_GB2312" w:hAnsi="楷体_GB2312" w:eastAsia="楷体_GB2312" w:cs="楷体_GB2312"/>
          <w:b/>
          <w:color w:val="auto"/>
          <w:sz w:val="30"/>
          <w:szCs w:val="30"/>
          <w:lang w:val="zh-CN"/>
        </w:rPr>
      </w:pPr>
      <w:r>
        <w:rPr>
          <w:rFonts w:hint="eastAsia" w:ascii="楷体_GB2312" w:hAnsi="楷体_GB2312" w:eastAsia="楷体_GB2312" w:cs="楷体_GB2312"/>
          <w:b/>
          <w:color w:val="auto"/>
          <w:sz w:val="30"/>
          <w:szCs w:val="30"/>
          <w:lang w:val="zh-CN"/>
        </w:rPr>
        <w:t>（二）存在的问题。</w:t>
      </w:r>
    </w:p>
    <w:p>
      <w:pPr>
        <w:adjustRightInd w:val="0"/>
        <w:snapToGrid w:val="0"/>
        <w:spacing w:line="560" w:lineRule="exact"/>
        <w:ind w:firstLine="600" w:firstLineChars="200"/>
        <w:rPr>
          <w:rFonts w:hint="eastAsia" w:ascii="仿宋_GB2312" w:hAnsi="宋体" w:eastAsia="仿宋_GB2312"/>
          <w:sz w:val="30"/>
          <w:szCs w:val="30"/>
          <w:lang w:val="zh-CN"/>
        </w:rPr>
      </w:pPr>
      <w:r>
        <w:rPr>
          <w:rFonts w:hint="eastAsia" w:ascii="仿宋_GB2312" w:hAnsi="Times New Roman" w:eastAsia="仿宋_GB2312" w:cs="Times New Roman"/>
          <w:color w:val="000000"/>
          <w:sz w:val="30"/>
          <w:szCs w:val="30"/>
          <w:shd w:val="clear" w:color="auto" w:fill="FFFFFF"/>
        </w:rPr>
        <w:t>目前，热线工作仍存在着</w:t>
      </w:r>
      <w:r>
        <w:rPr>
          <w:rFonts w:hint="eastAsia" w:ascii="仿宋_GB2312" w:hAnsi="Times New Roman" w:eastAsia="仿宋_GB2312" w:cs="Times New Roman"/>
          <w:color w:val="000000"/>
          <w:sz w:val="30"/>
          <w:szCs w:val="30"/>
          <w:shd w:val="clear" w:color="auto" w:fill="FFFFFF"/>
          <w:lang w:eastAsia="zh-CN"/>
        </w:rPr>
        <w:t>个别地方领导</w:t>
      </w:r>
      <w:r>
        <w:rPr>
          <w:rFonts w:hint="eastAsia" w:ascii="仿宋_GB2312" w:hAnsi="Times New Roman" w:eastAsia="仿宋_GB2312" w:cs="Times New Roman"/>
          <w:color w:val="000000"/>
          <w:sz w:val="30"/>
          <w:szCs w:val="30"/>
          <w:shd w:val="clear" w:color="auto" w:fill="FFFFFF"/>
        </w:rPr>
        <w:t>重视程度不够、</w:t>
      </w:r>
      <w:r>
        <w:rPr>
          <w:rFonts w:hint="eastAsia" w:ascii="仿宋_GB2312" w:hAnsi="Times New Roman" w:eastAsia="仿宋_GB2312" w:cs="Times New Roman"/>
          <w:color w:val="000000"/>
          <w:sz w:val="30"/>
          <w:szCs w:val="30"/>
          <w:shd w:val="clear" w:color="auto" w:fill="FFFFFF"/>
          <w:lang w:eastAsia="zh-CN"/>
        </w:rPr>
        <w:t>主动意识、创新意识不强、责任落实还不到位、</w:t>
      </w:r>
      <w:r>
        <w:rPr>
          <w:rFonts w:hint="eastAsia" w:ascii="仿宋_GB2312" w:hAnsi="Times New Roman" w:eastAsia="仿宋_GB2312" w:cs="Times New Roman"/>
          <w:color w:val="000000"/>
          <w:sz w:val="30"/>
          <w:szCs w:val="30"/>
          <w:shd w:val="clear" w:color="auto" w:fill="FFFFFF"/>
        </w:rPr>
        <w:t>办理质量不高、超期办件、群众满意度有待提升</w:t>
      </w:r>
      <w:r>
        <w:rPr>
          <w:rFonts w:hint="eastAsia" w:ascii="仿宋_GB2312" w:hAnsi="Times New Roman" w:eastAsia="仿宋_GB2312" w:cs="Times New Roman"/>
          <w:color w:val="000000"/>
          <w:sz w:val="30"/>
          <w:szCs w:val="30"/>
          <w:shd w:val="clear" w:color="auto" w:fill="FFFFFF"/>
          <w:lang w:eastAsia="zh-CN"/>
        </w:rPr>
        <w:t>、化解矛盾、服务群众、能力水平和工作作风、敬业精神</w:t>
      </w:r>
      <w:r>
        <w:rPr>
          <w:rFonts w:hint="eastAsia" w:ascii="仿宋_GB2312" w:hAnsi="Times New Roman" w:eastAsia="仿宋_GB2312" w:cs="Times New Roman"/>
          <w:color w:val="000000"/>
          <w:sz w:val="30"/>
          <w:szCs w:val="30"/>
          <w:shd w:val="clear" w:color="auto" w:fill="FFFFFF"/>
        </w:rPr>
        <w:t>等</w:t>
      </w:r>
      <w:r>
        <w:rPr>
          <w:rFonts w:hint="eastAsia" w:ascii="仿宋_GB2312" w:hAnsi="Times New Roman" w:eastAsia="仿宋_GB2312" w:cs="Times New Roman"/>
          <w:color w:val="000000"/>
          <w:sz w:val="30"/>
          <w:szCs w:val="30"/>
          <w:shd w:val="clear" w:color="auto" w:fill="FFFFFF"/>
          <w:lang w:eastAsia="zh-CN"/>
        </w:rPr>
        <w:t>方面有待进一步加强。</w:t>
      </w:r>
    </w:p>
    <w:p>
      <w:pPr>
        <w:adjustRightInd w:val="0"/>
        <w:snapToGrid w:val="0"/>
        <w:spacing w:line="560" w:lineRule="exact"/>
        <w:ind w:firstLine="720"/>
        <w:rPr>
          <w:rFonts w:hint="eastAsia" w:ascii="楷体_GB2312" w:hAnsi="楷体_GB2312" w:eastAsia="楷体_GB2312" w:cs="楷体_GB2312"/>
          <w:b/>
          <w:color w:val="FF0000"/>
          <w:sz w:val="30"/>
          <w:szCs w:val="30"/>
          <w:lang w:val="zh-CN"/>
        </w:rPr>
      </w:pPr>
      <w:r>
        <w:rPr>
          <w:rFonts w:hint="eastAsia" w:ascii="楷体_GB2312" w:hAnsi="楷体_GB2312" w:eastAsia="楷体_GB2312" w:cs="楷体_GB2312"/>
          <w:b/>
          <w:color w:val="auto"/>
          <w:sz w:val="30"/>
          <w:szCs w:val="30"/>
          <w:lang w:val="zh-CN"/>
        </w:rPr>
        <w:t>（三）相关建议。</w:t>
      </w:r>
    </w:p>
    <w:p>
      <w:pPr>
        <w:pStyle w:val="6"/>
        <w:ind w:firstLine="600" w:firstLineChars="200"/>
        <w:rPr>
          <w:rFonts w:hint="eastAsia"/>
          <w:color w:val="auto"/>
          <w:highlight w:val="none"/>
          <w:lang w:val="zh-CN"/>
        </w:rPr>
      </w:pPr>
      <w:r>
        <w:rPr>
          <w:rFonts w:hint="eastAsia" w:ascii="仿宋_GB2312" w:hAnsi="Times New Roman" w:eastAsia="仿宋_GB2312" w:cs="Times New Roman"/>
          <w:color w:val="000000"/>
          <w:sz w:val="30"/>
          <w:szCs w:val="30"/>
          <w:shd w:val="clear" w:color="auto" w:fill="FFFFFF"/>
          <w:lang w:eastAsia="zh-CN"/>
        </w:rPr>
        <w:t>为充分发挥热线党委政府与群众的“连心桥”、社情民意“晴雨表”、政风行风“监督仪”、社会稳定“减压阀”和广元形象“展示窗”作用，特将相关工作措施建议如下：一是完善办理机制。市级相关部门（单位）、各县（区）、广元经开区等一级承办单位务必落实分管领导、责任部门（科室）、工作人员、办公场地、24小时响应制度、办理规程及考核办法。落实情况报相关部门备案。二是完善督办机制。成立由市委、市政府相关副秘书长牵头负责，市目督办、市效能办、市热线中心相关人员组成的联合督查组，对市民反映的热难点和重复诉求进行督查督办。通过组织联合会商、发函跟踪督办、现场明确责任、组织联合执法、提请专题研究等措施提升热线办理质效。三是完善监督机制。</w:t>
      </w:r>
    </w:p>
    <w:p>
      <w:pPr>
        <w:rPr>
          <w:rFonts w:hint="eastAsia"/>
          <w:lang w:val="zh-CN"/>
        </w:rPr>
      </w:pPr>
    </w:p>
    <w:tbl>
      <w:tblPr>
        <w:tblStyle w:val="15"/>
        <w:tblpPr w:leftFromText="180" w:rightFromText="180" w:vertAnchor="text" w:horzAnchor="margin" w:tblpXSpec="center" w:tblpY="608"/>
        <w:tblW w:w="9945" w:type="dxa"/>
        <w:tblInd w:w="0" w:type="dxa"/>
        <w:shd w:val="clear" w:color="auto" w:fill="FFFFFF"/>
        <w:tblLayout w:type="autofit"/>
        <w:tblCellMar>
          <w:top w:w="15" w:type="dxa"/>
          <w:left w:w="15" w:type="dxa"/>
          <w:bottom w:w="15" w:type="dxa"/>
          <w:right w:w="15" w:type="dxa"/>
        </w:tblCellMar>
      </w:tblPr>
      <w:tblGrid>
        <w:gridCol w:w="866"/>
        <w:gridCol w:w="1134"/>
        <w:gridCol w:w="760"/>
        <w:gridCol w:w="799"/>
        <w:gridCol w:w="1256"/>
        <w:gridCol w:w="2745"/>
        <w:gridCol w:w="2385"/>
      </w:tblGrid>
      <w:tr>
        <w:tblPrEx>
          <w:shd w:val="clear" w:color="auto" w:fill="FFFFFF"/>
          <w:tblCellMar>
            <w:top w:w="15" w:type="dxa"/>
            <w:left w:w="15" w:type="dxa"/>
            <w:bottom w:w="15" w:type="dxa"/>
            <w:right w:w="15" w:type="dxa"/>
          </w:tblCellMar>
        </w:tblPrEx>
        <w:trPr>
          <w:trHeight w:val="1035" w:hRule="atLeast"/>
        </w:trPr>
        <w:tc>
          <w:tcPr>
            <w:tcW w:w="9945" w:type="dxa"/>
            <w:gridSpan w:val="7"/>
            <w:tcBorders>
              <w:top w:val="nil"/>
              <w:left w:val="nil"/>
              <w:bottom w:val="nil"/>
              <w:right w:val="nil"/>
            </w:tcBorders>
            <w:shd w:val="clear" w:color="auto" w:fill="FFFFFF"/>
            <w:noWrap w:val="0"/>
            <w:tcMar>
              <w:top w:w="15" w:type="dxa"/>
              <w:left w:w="15" w:type="dxa"/>
              <w:bottom w:w="0" w:type="dxa"/>
              <w:right w:w="15" w:type="dxa"/>
            </w:tcMar>
            <w:vAlign w:val="center"/>
          </w:tcPr>
          <w:p>
            <w:pPr>
              <w:widowControl/>
              <w:spacing w:before="75" w:after="75" w:line="560" w:lineRule="exact"/>
              <w:jc w:val="center"/>
              <w:rPr>
                <w:rFonts w:hint="eastAsia" w:ascii="方正小标宋简体" w:hAnsi="宋体" w:eastAsia="方正小标宋简体" w:cs="宋体"/>
                <w:kern w:val="0"/>
                <w:sz w:val="44"/>
                <w:szCs w:val="44"/>
              </w:rPr>
            </w:pPr>
            <w:r>
              <w:rPr>
                <w:rFonts w:hint="eastAsia" w:ascii="方正小标宋简体" w:hAnsi="宋体" w:eastAsia="方正小标宋简体" w:cs="宋体"/>
                <w:kern w:val="0"/>
                <w:sz w:val="44"/>
                <w:szCs w:val="44"/>
              </w:rPr>
              <w:t>“12345”政府服务热线运行经费</w:t>
            </w:r>
          </w:p>
          <w:p>
            <w:pPr>
              <w:widowControl/>
              <w:spacing w:before="75" w:after="75" w:line="560" w:lineRule="exact"/>
              <w:jc w:val="center"/>
              <w:rPr>
                <w:rFonts w:hint="eastAsia" w:ascii="方正小标宋简体" w:hAnsi="宋体" w:eastAsia="方正小标宋简体" w:cs="宋体"/>
                <w:kern w:val="0"/>
                <w:sz w:val="44"/>
                <w:szCs w:val="44"/>
              </w:rPr>
            </w:pPr>
            <w:r>
              <w:rPr>
                <w:rFonts w:hint="eastAsia" w:ascii="方正小标宋简体" w:hAnsi="宋体" w:eastAsia="方正小标宋简体" w:cs="宋体"/>
                <w:kern w:val="0"/>
                <w:sz w:val="44"/>
                <w:szCs w:val="44"/>
              </w:rPr>
              <w:t>项目绩效目标完成情况表</w:t>
            </w:r>
          </w:p>
          <w:p>
            <w:pPr>
              <w:widowControl/>
              <w:spacing w:before="75" w:after="75" w:line="560" w:lineRule="exact"/>
              <w:jc w:val="center"/>
              <w:rPr>
                <w:rFonts w:hint="eastAsia" w:ascii="楷体_GB2312" w:hAnsi="微软雅黑" w:eastAsia="楷体_GB2312" w:cs="宋体"/>
                <w:kern w:val="0"/>
                <w:sz w:val="32"/>
                <w:szCs w:val="32"/>
              </w:rPr>
            </w:pPr>
            <w:r>
              <w:rPr>
                <w:rFonts w:hint="eastAsia" w:ascii="楷体_GB2312" w:hAnsi="宋体" w:eastAsia="楷体_GB2312" w:cs="宋体"/>
                <w:kern w:val="0"/>
                <w:sz w:val="32"/>
                <w:szCs w:val="32"/>
              </w:rPr>
              <w:t>(202</w:t>
            </w:r>
            <w:r>
              <w:rPr>
                <w:rFonts w:hint="eastAsia" w:ascii="楷体_GB2312" w:hAnsi="宋体" w:eastAsia="楷体_GB2312" w:cs="宋体"/>
                <w:kern w:val="0"/>
                <w:sz w:val="32"/>
                <w:szCs w:val="32"/>
                <w:lang w:val="en-US" w:eastAsia="zh-CN"/>
              </w:rPr>
              <w:t>1</w:t>
            </w:r>
            <w:r>
              <w:rPr>
                <w:rFonts w:hint="eastAsia" w:ascii="楷体_GB2312" w:hAnsi="宋体" w:eastAsia="楷体_GB2312" w:cs="宋体"/>
                <w:kern w:val="0"/>
                <w:sz w:val="32"/>
                <w:szCs w:val="32"/>
              </w:rPr>
              <w:t>年度)</w:t>
            </w:r>
          </w:p>
        </w:tc>
      </w:tr>
      <w:tr>
        <w:tblPrEx>
          <w:shd w:val="clear" w:color="auto" w:fill="FFFFFF"/>
          <w:tblCellMar>
            <w:top w:w="15" w:type="dxa"/>
            <w:left w:w="15" w:type="dxa"/>
            <w:bottom w:w="15" w:type="dxa"/>
            <w:right w:w="15" w:type="dxa"/>
          </w:tblCellMar>
        </w:tblPrEx>
        <w:trPr>
          <w:trHeight w:val="270" w:hRule="atLeast"/>
        </w:trPr>
        <w:tc>
          <w:tcPr>
            <w:tcW w:w="2760" w:type="dxa"/>
            <w:gridSpan w:val="3"/>
            <w:tcBorders>
              <w:top w:val="single" w:color="000000" w:sz="6" w:space="0"/>
              <w:left w:val="single" w:color="000000" w:sz="6" w:space="0"/>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spacing w:line="38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项目名称</w:t>
            </w:r>
          </w:p>
        </w:tc>
        <w:tc>
          <w:tcPr>
            <w:tcW w:w="7185" w:type="dxa"/>
            <w:gridSpan w:val="4"/>
            <w:tcBorders>
              <w:top w:val="single" w:color="000000" w:sz="6" w:space="0"/>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“12345”政府服务热线运行经费</w:t>
            </w:r>
          </w:p>
        </w:tc>
      </w:tr>
      <w:tr>
        <w:tblPrEx>
          <w:shd w:val="clear" w:color="auto" w:fill="FFFFFF"/>
          <w:tblCellMar>
            <w:top w:w="15" w:type="dxa"/>
            <w:left w:w="15" w:type="dxa"/>
            <w:bottom w:w="15" w:type="dxa"/>
            <w:right w:w="15" w:type="dxa"/>
          </w:tblCellMar>
        </w:tblPrEx>
        <w:trPr>
          <w:trHeight w:val="270" w:hRule="atLeast"/>
        </w:trPr>
        <w:tc>
          <w:tcPr>
            <w:tcW w:w="2760" w:type="dxa"/>
            <w:gridSpan w:val="3"/>
            <w:tcBorders>
              <w:top w:val="nil"/>
              <w:left w:val="single" w:color="000000" w:sz="6" w:space="0"/>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spacing w:line="38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预算单位</w:t>
            </w:r>
          </w:p>
        </w:tc>
        <w:tc>
          <w:tcPr>
            <w:tcW w:w="7185" w:type="dxa"/>
            <w:gridSpan w:val="4"/>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市政务服务和公共资源交易中心</w:t>
            </w:r>
          </w:p>
        </w:tc>
      </w:tr>
      <w:tr>
        <w:tblPrEx>
          <w:shd w:val="clear" w:color="auto" w:fill="FFFFFF"/>
          <w:tblCellMar>
            <w:top w:w="15" w:type="dxa"/>
            <w:left w:w="15" w:type="dxa"/>
            <w:bottom w:w="15" w:type="dxa"/>
            <w:right w:w="15" w:type="dxa"/>
          </w:tblCellMar>
        </w:tblPrEx>
        <w:trPr>
          <w:trHeight w:val="714" w:hRule="atLeast"/>
        </w:trPr>
        <w:tc>
          <w:tcPr>
            <w:tcW w:w="866" w:type="dxa"/>
            <w:vMerge w:val="restart"/>
            <w:tcBorders>
              <w:top w:val="nil"/>
              <w:left w:val="single" w:color="000000" w:sz="6" w:space="0"/>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spacing w:line="38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预算执行情况(万元)</w:t>
            </w:r>
          </w:p>
        </w:tc>
        <w:tc>
          <w:tcPr>
            <w:tcW w:w="1894" w:type="dxa"/>
            <w:gridSpan w:val="2"/>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spacing w:line="38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预算数:</w:t>
            </w:r>
          </w:p>
        </w:tc>
        <w:tc>
          <w:tcPr>
            <w:tcW w:w="2055" w:type="dxa"/>
            <w:gridSpan w:val="2"/>
            <w:tcBorders>
              <w:top w:val="single" w:color="000000" w:sz="6" w:space="0"/>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lang w:val="en-US" w:eastAsia="zh-CN"/>
              </w:rPr>
              <w:t>231</w:t>
            </w:r>
            <w:r>
              <w:rPr>
                <w:rFonts w:hint="eastAsia" w:ascii="仿宋_GB2312" w:hAnsi="仿宋_GB2312" w:eastAsia="仿宋_GB2312" w:cs="仿宋_GB2312"/>
                <w:kern w:val="0"/>
                <w:sz w:val="24"/>
              </w:rPr>
              <w:t>万元</w:t>
            </w:r>
          </w:p>
        </w:tc>
        <w:tc>
          <w:tcPr>
            <w:tcW w:w="2745" w:type="dxa"/>
            <w:tcBorders>
              <w:top w:val="single" w:color="000000" w:sz="6" w:space="0"/>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执行数:</w:t>
            </w:r>
          </w:p>
        </w:tc>
        <w:tc>
          <w:tcPr>
            <w:tcW w:w="2385" w:type="dxa"/>
            <w:tcBorders>
              <w:top w:val="single" w:color="000000" w:sz="6" w:space="0"/>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lang w:val="en-US" w:eastAsia="zh-CN"/>
              </w:rPr>
              <w:t>231</w:t>
            </w:r>
            <w:r>
              <w:rPr>
                <w:rFonts w:hint="eastAsia" w:ascii="仿宋_GB2312" w:hAnsi="仿宋_GB2312" w:eastAsia="仿宋_GB2312" w:cs="仿宋_GB2312"/>
                <w:kern w:val="0"/>
                <w:sz w:val="24"/>
              </w:rPr>
              <w:t>万元</w:t>
            </w:r>
          </w:p>
        </w:tc>
      </w:tr>
      <w:tr>
        <w:tblPrEx>
          <w:shd w:val="clear" w:color="auto" w:fill="FFFFFF"/>
          <w:tblCellMar>
            <w:top w:w="15" w:type="dxa"/>
            <w:left w:w="15" w:type="dxa"/>
            <w:bottom w:w="15" w:type="dxa"/>
            <w:right w:w="15" w:type="dxa"/>
          </w:tblCellMar>
        </w:tblPrEx>
        <w:trPr>
          <w:trHeight w:val="480" w:hRule="atLeast"/>
        </w:trPr>
        <w:tc>
          <w:tcPr>
            <w:tcW w:w="866" w:type="dxa"/>
            <w:vMerge w:val="continue"/>
            <w:tcBorders>
              <w:top w:val="nil"/>
              <w:left w:val="single" w:color="000000" w:sz="6" w:space="0"/>
              <w:bottom w:val="single" w:color="000000" w:sz="6" w:space="0"/>
              <w:right w:val="single" w:color="000000" w:sz="6" w:space="0"/>
            </w:tcBorders>
            <w:shd w:val="clear" w:color="auto" w:fill="FFFFFF"/>
            <w:noWrap w:val="0"/>
            <w:vAlign w:val="center"/>
          </w:tcPr>
          <w:p>
            <w:pPr>
              <w:widowControl/>
              <w:spacing w:line="380" w:lineRule="exact"/>
              <w:jc w:val="center"/>
              <w:rPr>
                <w:rFonts w:hint="eastAsia" w:ascii="仿宋_GB2312" w:hAnsi="仿宋_GB2312" w:eastAsia="仿宋_GB2312" w:cs="仿宋_GB2312"/>
                <w:kern w:val="0"/>
                <w:sz w:val="24"/>
              </w:rPr>
            </w:pPr>
          </w:p>
        </w:tc>
        <w:tc>
          <w:tcPr>
            <w:tcW w:w="1894" w:type="dxa"/>
            <w:gridSpan w:val="2"/>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spacing w:line="38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其中-财政拨款:</w:t>
            </w:r>
          </w:p>
        </w:tc>
        <w:tc>
          <w:tcPr>
            <w:tcW w:w="2055" w:type="dxa"/>
            <w:gridSpan w:val="2"/>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lang w:val="en-US" w:eastAsia="zh-CN"/>
              </w:rPr>
              <w:t>231</w:t>
            </w:r>
            <w:r>
              <w:rPr>
                <w:rFonts w:hint="eastAsia" w:ascii="仿宋_GB2312" w:hAnsi="仿宋_GB2312" w:eastAsia="仿宋_GB2312" w:cs="仿宋_GB2312"/>
                <w:kern w:val="0"/>
                <w:sz w:val="24"/>
              </w:rPr>
              <w:t>万元</w:t>
            </w:r>
          </w:p>
        </w:tc>
        <w:tc>
          <w:tcPr>
            <w:tcW w:w="2745" w:type="dxa"/>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其中-财政拨款:</w:t>
            </w:r>
          </w:p>
        </w:tc>
        <w:tc>
          <w:tcPr>
            <w:tcW w:w="2385" w:type="dxa"/>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lang w:val="en-US" w:eastAsia="zh-CN"/>
              </w:rPr>
              <w:t>231</w:t>
            </w:r>
            <w:r>
              <w:rPr>
                <w:rFonts w:hint="eastAsia" w:ascii="仿宋_GB2312" w:hAnsi="仿宋_GB2312" w:eastAsia="仿宋_GB2312" w:cs="仿宋_GB2312"/>
                <w:kern w:val="0"/>
                <w:sz w:val="24"/>
              </w:rPr>
              <w:t>万元</w:t>
            </w:r>
          </w:p>
        </w:tc>
      </w:tr>
      <w:tr>
        <w:tblPrEx>
          <w:shd w:val="clear" w:color="auto" w:fill="FFFFFF"/>
          <w:tblCellMar>
            <w:top w:w="15" w:type="dxa"/>
            <w:left w:w="15" w:type="dxa"/>
            <w:bottom w:w="15" w:type="dxa"/>
            <w:right w:w="15" w:type="dxa"/>
          </w:tblCellMar>
        </w:tblPrEx>
        <w:trPr>
          <w:trHeight w:val="687" w:hRule="atLeast"/>
        </w:trPr>
        <w:tc>
          <w:tcPr>
            <w:tcW w:w="866" w:type="dxa"/>
            <w:vMerge w:val="continue"/>
            <w:tcBorders>
              <w:top w:val="nil"/>
              <w:left w:val="single" w:color="000000" w:sz="6" w:space="0"/>
              <w:bottom w:val="single" w:color="000000" w:sz="6" w:space="0"/>
              <w:right w:val="single" w:color="000000" w:sz="6" w:space="0"/>
            </w:tcBorders>
            <w:shd w:val="clear" w:color="auto" w:fill="FFFFFF"/>
            <w:noWrap w:val="0"/>
            <w:vAlign w:val="center"/>
          </w:tcPr>
          <w:p>
            <w:pPr>
              <w:widowControl/>
              <w:spacing w:line="380" w:lineRule="exact"/>
              <w:jc w:val="center"/>
              <w:rPr>
                <w:rFonts w:hint="eastAsia" w:ascii="仿宋_GB2312" w:hAnsi="仿宋_GB2312" w:eastAsia="仿宋_GB2312" w:cs="仿宋_GB2312"/>
                <w:kern w:val="0"/>
                <w:sz w:val="24"/>
              </w:rPr>
            </w:pPr>
          </w:p>
        </w:tc>
        <w:tc>
          <w:tcPr>
            <w:tcW w:w="1894" w:type="dxa"/>
            <w:gridSpan w:val="2"/>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spacing w:line="38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其它资金:</w:t>
            </w:r>
          </w:p>
        </w:tc>
        <w:tc>
          <w:tcPr>
            <w:tcW w:w="2055" w:type="dxa"/>
            <w:gridSpan w:val="2"/>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0</w:t>
            </w:r>
          </w:p>
        </w:tc>
        <w:tc>
          <w:tcPr>
            <w:tcW w:w="2745" w:type="dxa"/>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其它资金:</w:t>
            </w:r>
          </w:p>
        </w:tc>
        <w:tc>
          <w:tcPr>
            <w:tcW w:w="2385" w:type="dxa"/>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0</w:t>
            </w:r>
          </w:p>
        </w:tc>
      </w:tr>
      <w:tr>
        <w:tblPrEx>
          <w:shd w:val="clear" w:color="auto" w:fill="FFFFFF"/>
          <w:tblCellMar>
            <w:top w:w="15" w:type="dxa"/>
            <w:left w:w="15" w:type="dxa"/>
            <w:bottom w:w="15" w:type="dxa"/>
            <w:right w:w="15" w:type="dxa"/>
          </w:tblCellMar>
        </w:tblPrEx>
        <w:trPr>
          <w:trHeight w:val="540" w:hRule="atLeast"/>
        </w:trPr>
        <w:tc>
          <w:tcPr>
            <w:tcW w:w="866" w:type="dxa"/>
            <w:vMerge w:val="restart"/>
            <w:tcBorders>
              <w:top w:val="nil"/>
              <w:left w:val="single" w:color="000000" w:sz="6" w:space="0"/>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spacing w:line="38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度目标完成情况</w:t>
            </w:r>
          </w:p>
        </w:tc>
        <w:tc>
          <w:tcPr>
            <w:tcW w:w="3949" w:type="dxa"/>
            <w:gridSpan w:val="4"/>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spacing w:line="38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预期目标</w:t>
            </w:r>
          </w:p>
        </w:tc>
        <w:tc>
          <w:tcPr>
            <w:tcW w:w="5130" w:type="dxa"/>
            <w:gridSpan w:val="2"/>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实际完成目标</w:t>
            </w:r>
          </w:p>
        </w:tc>
      </w:tr>
      <w:tr>
        <w:tblPrEx>
          <w:shd w:val="clear" w:color="auto" w:fill="FFFFFF"/>
          <w:tblCellMar>
            <w:top w:w="15" w:type="dxa"/>
            <w:left w:w="15" w:type="dxa"/>
            <w:bottom w:w="15" w:type="dxa"/>
            <w:right w:w="15" w:type="dxa"/>
          </w:tblCellMar>
        </w:tblPrEx>
        <w:trPr>
          <w:trHeight w:val="7003" w:hRule="atLeast"/>
        </w:trPr>
        <w:tc>
          <w:tcPr>
            <w:tcW w:w="866" w:type="dxa"/>
            <w:vMerge w:val="continue"/>
            <w:tcBorders>
              <w:top w:val="nil"/>
              <w:left w:val="single" w:color="000000" w:sz="6" w:space="0"/>
              <w:bottom w:val="single" w:color="000000" w:sz="6" w:space="0"/>
              <w:right w:val="single" w:color="000000" w:sz="6" w:space="0"/>
            </w:tcBorders>
            <w:shd w:val="clear" w:color="auto" w:fill="FFFFFF"/>
            <w:noWrap w:val="0"/>
            <w:vAlign w:val="center"/>
          </w:tcPr>
          <w:p>
            <w:pPr>
              <w:widowControl/>
              <w:spacing w:line="380" w:lineRule="exact"/>
              <w:jc w:val="center"/>
              <w:rPr>
                <w:rFonts w:hint="eastAsia" w:ascii="仿宋_GB2312" w:hAnsi="仿宋_GB2312" w:eastAsia="仿宋_GB2312" w:cs="仿宋_GB2312"/>
                <w:kern w:val="0"/>
                <w:sz w:val="24"/>
              </w:rPr>
            </w:pPr>
          </w:p>
        </w:tc>
        <w:tc>
          <w:tcPr>
            <w:tcW w:w="3949" w:type="dxa"/>
            <w:gridSpan w:val="4"/>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spacing w:line="380" w:lineRule="exact"/>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 xml:space="preserve">    进一步规范12345政务服务热线平台管理，健全承办工作机制，按时办结率达100%、群众满意率达95%以上，持续推动热线规范化、法制化、智能化建设。在畅通民意诉求渠道、推动提升政府工作效能、促进社会和谐稳定等方面发挥重要作用，12345热线成为党委政府与群众的“连心桥”、社情民意“晴雨表”、政风行风“监督仪”、社会稳定“减压阀”和广元形象“展示窗”。</w:t>
            </w:r>
          </w:p>
        </w:tc>
        <w:tc>
          <w:tcPr>
            <w:tcW w:w="5130" w:type="dxa"/>
            <w:gridSpan w:val="2"/>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 xml:space="preserve">  进一步规范12345政务服务热线平台管理，健全承办工作机制，按时办结率达100%、群众满意率达95%以上，持续推动热线规范化、法制化、智能化建设。在畅通民意诉求渠道、推动提升政府工作效能、促进社会和谐稳定等方面发挥重要作用，12345热线成为党委政府与群众的“连心桥”、社情民意“晴雨表”、政风行风“监督仪”、社会稳定“减压阀”和广元形象“展示窗”。</w:t>
            </w:r>
          </w:p>
        </w:tc>
      </w:tr>
      <w:tr>
        <w:tblPrEx>
          <w:tblCellMar>
            <w:top w:w="15" w:type="dxa"/>
            <w:left w:w="15" w:type="dxa"/>
            <w:bottom w:w="15" w:type="dxa"/>
            <w:right w:w="15" w:type="dxa"/>
          </w:tblCellMar>
        </w:tblPrEx>
        <w:trPr>
          <w:trHeight w:val="1035" w:hRule="atLeast"/>
        </w:trPr>
        <w:tc>
          <w:tcPr>
            <w:tcW w:w="866" w:type="dxa"/>
            <w:vMerge w:val="restart"/>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bottom w:w="0" w:type="dxa"/>
              <w:right w:w="15" w:type="dxa"/>
            </w:tcMar>
            <w:vAlign w:val="center"/>
          </w:tcPr>
          <w:p>
            <w:pPr>
              <w:widowControl/>
              <w:spacing w:line="38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绩效指标完成情况</w:t>
            </w:r>
          </w:p>
        </w:tc>
        <w:tc>
          <w:tcPr>
            <w:tcW w:w="1134"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bottom w:w="0" w:type="dxa"/>
              <w:right w:w="15" w:type="dxa"/>
            </w:tcMar>
            <w:vAlign w:val="center"/>
          </w:tcPr>
          <w:p>
            <w:pPr>
              <w:widowControl/>
              <w:spacing w:line="38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一级指标</w:t>
            </w:r>
          </w:p>
        </w:tc>
        <w:tc>
          <w:tcPr>
            <w:tcW w:w="1559" w:type="dxa"/>
            <w:gridSpan w:val="2"/>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二级指标</w:t>
            </w:r>
          </w:p>
        </w:tc>
        <w:tc>
          <w:tcPr>
            <w:tcW w:w="1256"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三级指标</w:t>
            </w:r>
          </w:p>
        </w:tc>
        <w:tc>
          <w:tcPr>
            <w:tcW w:w="2745"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预期指标值(包含数字及文字描述)</w:t>
            </w:r>
          </w:p>
        </w:tc>
        <w:tc>
          <w:tcPr>
            <w:tcW w:w="2385" w:type="dxa"/>
            <w:tcBorders>
              <w:top w:val="single" w:color="000000" w:sz="6" w:space="0"/>
              <w:left w:val="single" w:color="auto" w:sz="4" w:space="0"/>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实际完成指标值(包含数字及文字描述)</w:t>
            </w:r>
          </w:p>
        </w:tc>
      </w:tr>
      <w:tr>
        <w:tblPrEx>
          <w:shd w:val="clear" w:color="auto" w:fill="FFFFFF"/>
          <w:tblCellMar>
            <w:top w:w="15" w:type="dxa"/>
            <w:left w:w="15" w:type="dxa"/>
            <w:bottom w:w="15" w:type="dxa"/>
            <w:right w:w="15" w:type="dxa"/>
          </w:tblCellMar>
        </w:tblPrEx>
        <w:trPr>
          <w:trHeight w:val="495" w:hRule="atLeast"/>
        </w:trPr>
        <w:tc>
          <w:tcPr>
            <w:tcW w:w="866" w:type="dxa"/>
            <w:vMerge w:val="continue"/>
            <w:tcBorders>
              <w:top w:val="single" w:color="auto" w:sz="4" w:space="0"/>
              <w:left w:val="single" w:color="auto" w:sz="4" w:space="0"/>
              <w:bottom w:val="single" w:color="000000" w:sz="6" w:space="0"/>
              <w:right w:val="single" w:color="000000" w:sz="6" w:space="0"/>
            </w:tcBorders>
            <w:shd w:val="clear" w:color="auto" w:fill="FFFFFF"/>
            <w:noWrap w:val="0"/>
            <w:vAlign w:val="center"/>
          </w:tcPr>
          <w:p>
            <w:pPr>
              <w:widowControl/>
              <w:spacing w:line="380" w:lineRule="exact"/>
              <w:jc w:val="left"/>
              <w:rPr>
                <w:rFonts w:hint="eastAsia" w:ascii="仿宋_GB2312" w:hAnsi="仿宋_GB2312" w:eastAsia="仿宋_GB2312" w:cs="仿宋_GB2312"/>
                <w:kern w:val="0"/>
                <w:sz w:val="24"/>
              </w:rPr>
            </w:pPr>
          </w:p>
        </w:tc>
        <w:tc>
          <w:tcPr>
            <w:tcW w:w="1134" w:type="dxa"/>
            <w:tcBorders>
              <w:top w:val="single" w:color="auto" w:sz="4" w:space="0"/>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spacing w:line="38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项目完成指标</w:t>
            </w:r>
          </w:p>
        </w:tc>
        <w:tc>
          <w:tcPr>
            <w:tcW w:w="1559" w:type="dxa"/>
            <w:gridSpan w:val="2"/>
            <w:tcBorders>
              <w:top w:val="single" w:color="auto" w:sz="4" w:space="0"/>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质量指标</w:t>
            </w:r>
          </w:p>
        </w:tc>
        <w:tc>
          <w:tcPr>
            <w:tcW w:w="1256" w:type="dxa"/>
            <w:tcBorders>
              <w:top w:val="single" w:color="auto" w:sz="4" w:space="0"/>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lang w:eastAsia="zh-CN"/>
              </w:rPr>
            </w:pPr>
            <w:r>
              <w:rPr>
                <w:rFonts w:hint="eastAsia" w:ascii="仿宋_GB2312" w:hAnsi="仿宋_GB2312" w:eastAsia="仿宋_GB2312" w:cs="仿宋_GB2312"/>
                <w:kern w:val="0"/>
                <w:sz w:val="24"/>
                <w:lang w:eastAsia="zh-CN"/>
              </w:rPr>
              <w:t>话务员到岗</w:t>
            </w:r>
          </w:p>
        </w:tc>
        <w:tc>
          <w:tcPr>
            <w:tcW w:w="2745" w:type="dxa"/>
            <w:tcBorders>
              <w:top w:val="single" w:color="auto" w:sz="4" w:space="0"/>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lang w:val="en-US" w:eastAsia="zh-CN"/>
              </w:rPr>
            </w:pPr>
            <w:r>
              <w:rPr>
                <w:rFonts w:hint="eastAsia" w:ascii="仿宋_GB2312" w:hAnsi="仿宋_GB2312" w:eastAsia="仿宋_GB2312" w:cs="仿宋_GB2312"/>
                <w:kern w:val="0"/>
                <w:sz w:val="24"/>
                <w:lang w:val="en-US" w:eastAsia="zh-CN"/>
              </w:rPr>
              <w:t>100%</w:t>
            </w:r>
          </w:p>
        </w:tc>
        <w:tc>
          <w:tcPr>
            <w:tcW w:w="2385" w:type="dxa"/>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lang w:val="en-US" w:eastAsia="zh-CN"/>
              </w:rPr>
            </w:pPr>
            <w:r>
              <w:rPr>
                <w:rFonts w:hint="eastAsia" w:ascii="仿宋_GB2312" w:hAnsi="仿宋_GB2312" w:eastAsia="仿宋_GB2312" w:cs="仿宋_GB2312"/>
                <w:kern w:val="0"/>
                <w:sz w:val="24"/>
                <w:lang w:val="en-US" w:eastAsia="zh-CN"/>
              </w:rPr>
              <w:t>100%</w:t>
            </w:r>
          </w:p>
        </w:tc>
      </w:tr>
      <w:tr>
        <w:tblPrEx>
          <w:tblCellMar>
            <w:top w:w="15" w:type="dxa"/>
            <w:left w:w="15" w:type="dxa"/>
            <w:bottom w:w="15" w:type="dxa"/>
            <w:right w:w="15" w:type="dxa"/>
          </w:tblCellMar>
        </w:tblPrEx>
        <w:trPr>
          <w:trHeight w:val="540" w:hRule="atLeast"/>
        </w:trPr>
        <w:tc>
          <w:tcPr>
            <w:tcW w:w="866" w:type="dxa"/>
            <w:vMerge w:val="continue"/>
            <w:tcBorders>
              <w:top w:val="nil"/>
              <w:left w:val="single" w:color="auto" w:sz="4" w:space="0"/>
              <w:bottom w:val="single" w:color="000000" w:sz="6" w:space="0"/>
              <w:right w:val="single" w:color="000000" w:sz="6" w:space="0"/>
            </w:tcBorders>
            <w:shd w:val="clear" w:color="auto" w:fill="FFFFFF"/>
            <w:noWrap w:val="0"/>
            <w:vAlign w:val="center"/>
          </w:tcPr>
          <w:p>
            <w:pPr>
              <w:widowControl/>
              <w:spacing w:line="380" w:lineRule="exact"/>
              <w:jc w:val="left"/>
              <w:rPr>
                <w:rFonts w:hint="eastAsia" w:ascii="仿宋_GB2312" w:hAnsi="仿宋_GB2312" w:eastAsia="仿宋_GB2312" w:cs="仿宋_GB2312"/>
                <w:kern w:val="0"/>
                <w:sz w:val="24"/>
              </w:rPr>
            </w:pPr>
          </w:p>
        </w:tc>
        <w:tc>
          <w:tcPr>
            <w:tcW w:w="1134" w:type="dxa"/>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spacing w:line="38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项目完成指标</w:t>
            </w:r>
          </w:p>
        </w:tc>
        <w:tc>
          <w:tcPr>
            <w:tcW w:w="1559" w:type="dxa"/>
            <w:gridSpan w:val="2"/>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数量指标</w:t>
            </w:r>
          </w:p>
        </w:tc>
        <w:tc>
          <w:tcPr>
            <w:tcW w:w="1256" w:type="dxa"/>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lang w:eastAsia="zh-CN"/>
              </w:rPr>
            </w:pPr>
            <w:r>
              <w:rPr>
                <w:rFonts w:hint="eastAsia" w:ascii="仿宋_GB2312" w:hAnsi="仿宋_GB2312" w:eastAsia="仿宋_GB2312" w:cs="仿宋_GB2312"/>
                <w:kern w:val="0"/>
                <w:sz w:val="24"/>
                <w:lang w:eastAsia="zh-CN"/>
              </w:rPr>
              <w:t>话务总量</w:t>
            </w:r>
          </w:p>
        </w:tc>
        <w:tc>
          <w:tcPr>
            <w:tcW w:w="2745" w:type="dxa"/>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lang w:eastAsia="zh-CN"/>
              </w:rPr>
            </w:pPr>
            <w:r>
              <w:rPr>
                <w:rFonts w:hint="eastAsia" w:ascii="仿宋_GB2312" w:hAnsi="仿宋_GB2312" w:eastAsia="仿宋_GB2312" w:cs="仿宋_GB2312"/>
                <w:kern w:val="0"/>
                <w:sz w:val="24"/>
                <w:lang w:eastAsia="zh-CN"/>
              </w:rPr>
              <w:t>≥70000件</w:t>
            </w:r>
          </w:p>
        </w:tc>
        <w:tc>
          <w:tcPr>
            <w:tcW w:w="2385" w:type="dxa"/>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≥70000件</w:t>
            </w:r>
          </w:p>
        </w:tc>
      </w:tr>
      <w:tr>
        <w:tblPrEx>
          <w:tblCellMar>
            <w:top w:w="15" w:type="dxa"/>
            <w:left w:w="15" w:type="dxa"/>
            <w:bottom w:w="15" w:type="dxa"/>
            <w:right w:w="15" w:type="dxa"/>
          </w:tblCellMar>
        </w:tblPrEx>
        <w:trPr>
          <w:trHeight w:val="690" w:hRule="atLeast"/>
        </w:trPr>
        <w:tc>
          <w:tcPr>
            <w:tcW w:w="866" w:type="dxa"/>
            <w:vMerge w:val="continue"/>
            <w:tcBorders>
              <w:top w:val="nil"/>
              <w:left w:val="single" w:color="auto" w:sz="4" w:space="0"/>
              <w:bottom w:val="single" w:color="000000" w:sz="6" w:space="0"/>
              <w:right w:val="single" w:color="000000" w:sz="6" w:space="0"/>
            </w:tcBorders>
            <w:shd w:val="clear" w:color="auto" w:fill="FFFFFF"/>
            <w:noWrap w:val="0"/>
            <w:vAlign w:val="center"/>
          </w:tcPr>
          <w:p>
            <w:pPr>
              <w:widowControl/>
              <w:spacing w:line="380" w:lineRule="exact"/>
              <w:jc w:val="left"/>
              <w:rPr>
                <w:rFonts w:ascii="宋体" w:hAnsi="宋体" w:cs="宋体"/>
                <w:kern w:val="0"/>
                <w:sz w:val="24"/>
              </w:rPr>
            </w:pPr>
          </w:p>
        </w:tc>
        <w:tc>
          <w:tcPr>
            <w:tcW w:w="1134" w:type="dxa"/>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spacing w:line="38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效益指标</w:t>
            </w:r>
          </w:p>
        </w:tc>
        <w:tc>
          <w:tcPr>
            <w:tcW w:w="1559" w:type="dxa"/>
            <w:gridSpan w:val="2"/>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社会效益指标</w:t>
            </w:r>
          </w:p>
        </w:tc>
        <w:tc>
          <w:tcPr>
            <w:tcW w:w="1256" w:type="dxa"/>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lang w:eastAsia="zh-CN"/>
              </w:rPr>
            </w:pPr>
            <w:r>
              <w:rPr>
                <w:rFonts w:hint="eastAsia" w:ascii="仿宋_GB2312" w:hAnsi="仿宋_GB2312" w:eastAsia="仿宋_GB2312" w:cs="仿宋_GB2312"/>
                <w:kern w:val="0"/>
                <w:sz w:val="24"/>
                <w:lang w:eastAsia="zh-CN"/>
              </w:rPr>
              <w:t>对工作的促进作用</w:t>
            </w:r>
          </w:p>
        </w:tc>
        <w:tc>
          <w:tcPr>
            <w:tcW w:w="2745" w:type="dxa"/>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畅通市民诉求渠道，减少市民越级上访</w:t>
            </w:r>
          </w:p>
        </w:tc>
        <w:tc>
          <w:tcPr>
            <w:tcW w:w="2385" w:type="dxa"/>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畅通市民诉求渠道，维护社会稳定</w:t>
            </w:r>
          </w:p>
        </w:tc>
      </w:tr>
      <w:tr>
        <w:tblPrEx>
          <w:shd w:val="clear" w:color="auto" w:fill="FFFFFF"/>
          <w:tblCellMar>
            <w:top w:w="15" w:type="dxa"/>
            <w:left w:w="15" w:type="dxa"/>
            <w:bottom w:w="15" w:type="dxa"/>
            <w:right w:w="15" w:type="dxa"/>
          </w:tblCellMar>
        </w:tblPrEx>
        <w:trPr>
          <w:trHeight w:val="615" w:hRule="atLeast"/>
        </w:trPr>
        <w:tc>
          <w:tcPr>
            <w:tcW w:w="866" w:type="dxa"/>
            <w:vMerge w:val="continue"/>
            <w:tcBorders>
              <w:top w:val="nil"/>
              <w:left w:val="single" w:color="auto" w:sz="4" w:space="0"/>
              <w:bottom w:val="single" w:color="000000" w:sz="6" w:space="0"/>
              <w:right w:val="single" w:color="000000" w:sz="6" w:space="0"/>
            </w:tcBorders>
            <w:shd w:val="clear" w:color="auto" w:fill="FFFFFF"/>
            <w:noWrap w:val="0"/>
            <w:vAlign w:val="center"/>
          </w:tcPr>
          <w:p>
            <w:pPr>
              <w:widowControl/>
              <w:spacing w:line="380" w:lineRule="exact"/>
              <w:jc w:val="left"/>
              <w:rPr>
                <w:rFonts w:ascii="宋体" w:hAnsi="宋体" w:cs="宋体"/>
                <w:kern w:val="0"/>
                <w:sz w:val="24"/>
              </w:rPr>
            </w:pPr>
          </w:p>
        </w:tc>
        <w:tc>
          <w:tcPr>
            <w:tcW w:w="1134" w:type="dxa"/>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spacing w:line="38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效益指标</w:t>
            </w:r>
          </w:p>
        </w:tc>
        <w:tc>
          <w:tcPr>
            <w:tcW w:w="1559" w:type="dxa"/>
            <w:gridSpan w:val="2"/>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可持续影响指标</w:t>
            </w:r>
          </w:p>
        </w:tc>
        <w:tc>
          <w:tcPr>
            <w:tcW w:w="1256" w:type="dxa"/>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项目发挥作用期限</w:t>
            </w:r>
          </w:p>
        </w:tc>
        <w:tc>
          <w:tcPr>
            <w:tcW w:w="2745" w:type="dxa"/>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长期</w:t>
            </w:r>
          </w:p>
        </w:tc>
        <w:tc>
          <w:tcPr>
            <w:tcW w:w="2385" w:type="dxa"/>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长期</w:t>
            </w:r>
          </w:p>
        </w:tc>
      </w:tr>
      <w:tr>
        <w:tblPrEx>
          <w:shd w:val="clear" w:color="auto" w:fill="FFFFFF"/>
          <w:tblCellMar>
            <w:top w:w="15" w:type="dxa"/>
            <w:left w:w="15" w:type="dxa"/>
            <w:bottom w:w="15" w:type="dxa"/>
            <w:right w:w="15" w:type="dxa"/>
          </w:tblCellMar>
        </w:tblPrEx>
        <w:trPr>
          <w:trHeight w:val="540" w:hRule="atLeast"/>
        </w:trPr>
        <w:tc>
          <w:tcPr>
            <w:tcW w:w="866" w:type="dxa"/>
            <w:vMerge w:val="continue"/>
            <w:tcBorders>
              <w:top w:val="nil"/>
              <w:left w:val="single" w:color="auto" w:sz="4" w:space="0"/>
              <w:bottom w:val="single" w:color="000000" w:sz="6" w:space="0"/>
              <w:right w:val="single" w:color="000000" w:sz="6" w:space="0"/>
            </w:tcBorders>
            <w:shd w:val="clear" w:color="auto" w:fill="FFFFFF"/>
            <w:noWrap w:val="0"/>
            <w:vAlign w:val="center"/>
          </w:tcPr>
          <w:p>
            <w:pPr>
              <w:widowControl/>
              <w:spacing w:line="380" w:lineRule="exact"/>
              <w:jc w:val="left"/>
              <w:rPr>
                <w:rFonts w:ascii="宋体" w:hAnsi="宋体" w:cs="宋体"/>
                <w:kern w:val="0"/>
                <w:sz w:val="24"/>
              </w:rPr>
            </w:pPr>
          </w:p>
        </w:tc>
        <w:tc>
          <w:tcPr>
            <w:tcW w:w="1134" w:type="dxa"/>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spacing w:line="38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满意度指标</w:t>
            </w:r>
          </w:p>
        </w:tc>
        <w:tc>
          <w:tcPr>
            <w:tcW w:w="1559" w:type="dxa"/>
            <w:gridSpan w:val="2"/>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满意度指标</w:t>
            </w:r>
          </w:p>
        </w:tc>
        <w:tc>
          <w:tcPr>
            <w:tcW w:w="1256" w:type="dxa"/>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lang w:eastAsia="zh-CN"/>
              </w:rPr>
              <w:t>工作运行</w:t>
            </w:r>
            <w:r>
              <w:rPr>
                <w:rFonts w:hint="eastAsia" w:ascii="仿宋_GB2312" w:hAnsi="仿宋_GB2312" w:eastAsia="仿宋_GB2312" w:cs="仿宋_GB2312"/>
                <w:kern w:val="0"/>
                <w:sz w:val="24"/>
              </w:rPr>
              <w:t>满意率</w:t>
            </w:r>
          </w:p>
        </w:tc>
        <w:tc>
          <w:tcPr>
            <w:tcW w:w="2745" w:type="dxa"/>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≥95%</w:t>
            </w:r>
          </w:p>
        </w:tc>
        <w:tc>
          <w:tcPr>
            <w:tcW w:w="2385" w:type="dxa"/>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≥9</w:t>
            </w:r>
            <w:r>
              <w:rPr>
                <w:rFonts w:hint="eastAsia" w:ascii="仿宋_GB2312" w:hAnsi="仿宋_GB2312" w:eastAsia="仿宋_GB2312" w:cs="仿宋_GB2312"/>
                <w:kern w:val="0"/>
                <w:sz w:val="24"/>
                <w:lang w:val="en-US" w:eastAsia="zh-CN"/>
              </w:rPr>
              <w:t>7</w:t>
            </w:r>
            <w:r>
              <w:rPr>
                <w:rFonts w:hint="eastAsia" w:ascii="仿宋_GB2312" w:hAnsi="仿宋_GB2312" w:eastAsia="仿宋_GB2312" w:cs="仿宋_GB2312"/>
                <w:kern w:val="0"/>
                <w:sz w:val="24"/>
              </w:rPr>
              <w:t>%</w:t>
            </w:r>
          </w:p>
        </w:tc>
      </w:tr>
    </w:tbl>
    <w:p>
      <w:pPr>
        <w:spacing w:line="600" w:lineRule="exact"/>
        <w:ind w:left="50" w:leftChars="24" w:firstLine="2774" w:firstLineChars="628"/>
        <w:jc w:val="left"/>
        <w:rPr>
          <w:rFonts w:hint="eastAsia" w:ascii="黑体" w:hAnsi="黑体" w:eastAsia="黑体"/>
          <w:b/>
          <w:bCs/>
          <w:color w:val="000000"/>
          <w:kern w:val="0"/>
          <w:sz w:val="44"/>
          <w:szCs w:val="44"/>
          <w:lang w:val="zh-CN"/>
        </w:rPr>
      </w:pPr>
    </w:p>
    <w:p>
      <w:pPr>
        <w:spacing w:line="600" w:lineRule="exact"/>
        <w:ind w:left="50" w:leftChars="24" w:firstLine="2774" w:firstLineChars="628"/>
        <w:jc w:val="left"/>
        <w:rPr>
          <w:rFonts w:hint="eastAsia" w:ascii="黑体" w:hAnsi="黑体" w:eastAsia="黑体"/>
          <w:b/>
          <w:bCs/>
          <w:color w:val="000000"/>
          <w:kern w:val="0"/>
          <w:sz w:val="44"/>
          <w:szCs w:val="44"/>
          <w:lang w:val="zh-CN"/>
        </w:rPr>
      </w:pPr>
    </w:p>
    <w:p>
      <w:pPr>
        <w:rPr>
          <w:rFonts w:hint="eastAsia" w:ascii="黑体" w:hAnsi="黑体" w:eastAsia="黑体"/>
          <w:b/>
          <w:bCs/>
          <w:color w:val="000000"/>
          <w:kern w:val="0"/>
          <w:sz w:val="44"/>
          <w:szCs w:val="44"/>
          <w:lang w:val="zh-CN"/>
        </w:rPr>
      </w:pPr>
      <w:r>
        <w:rPr>
          <w:rFonts w:hint="eastAsia" w:ascii="黑体" w:hAnsi="黑体" w:eastAsia="黑体"/>
          <w:b/>
          <w:bCs/>
          <w:color w:val="000000"/>
          <w:kern w:val="0"/>
          <w:sz w:val="44"/>
          <w:szCs w:val="44"/>
          <w:lang w:val="zh-CN"/>
        </w:rPr>
        <w:br w:type="page"/>
      </w:r>
    </w:p>
    <w:p>
      <w:pPr>
        <w:spacing w:line="600" w:lineRule="exact"/>
        <w:ind w:firstLine="1320" w:firstLineChars="300"/>
        <w:jc w:val="left"/>
        <w:rPr>
          <w:rFonts w:ascii="黑体" w:hAnsi="黑体" w:eastAsia="黑体"/>
          <w:b w:val="0"/>
          <w:bCs w:val="0"/>
          <w:color w:val="000000"/>
          <w:sz w:val="44"/>
          <w:szCs w:val="44"/>
          <w:lang w:val="zh-CN"/>
        </w:rPr>
      </w:pPr>
      <w:bookmarkStart w:id="93" w:name="_Toc1925249488_WPSOffice_Level2"/>
      <w:r>
        <w:rPr>
          <w:rFonts w:hint="eastAsia" w:ascii="黑体" w:hAnsi="黑体" w:eastAsia="黑体"/>
          <w:b w:val="0"/>
          <w:bCs w:val="0"/>
          <w:color w:val="000000"/>
          <w:kern w:val="0"/>
          <w:sz w:val="44"/>
          <w:szCs w:val="44"/>
          <w:lang w:val="zh-CN"/>
        </w:rPr>
        <w:t>网络及信息系统运维费项目</w:t>
      </w:r>
      <w:bookmarkEnd w:id="93"/>
    </w:p>
    <w:p>
      <w:pPr>
        <w:spacing w:line="600" w:lineRule="exact"/>
        <w:ind w:left="50" w:leftChars="24" w:firstLine="736" w:firstLineChars="230"/>
        <w:jc w:val="left"/>
        <w:rPr>
          <w:rFonts w:ascii="黑体" w:hAnsi="黑体" w:eastAsia="黑体"/>
          <w:color w:val="000000"/>
          <w:sz w:val="32"/>
          <w:szCs w:val="32"/>
          <w:lang w:val="zh-CN"/>
        </w:rPr>
      </w:pPr>
      <w:bookmarkStart w:id="94" w:name="_Toc1418100697_WPSOffice_Level2"/>
      <w:r>
        <w:rPr>
          <w:rFonts w:hint="eastAsia" w:ascii="黑体" w:hAnsi="黑体" w:eastAsia="黑体"/>
          <w:sz w:val="32"/>
          <w:szCs w:val="32"/>
        </w:rPr>
        <w:t>一、</w:t>
      </w:r>
      <w:r>
        <w:rPr>
          <w:rFonts w:hint="eastAsia" w:ascii="黑体" w:hAnsi="黑体" w:eastAsia="黑体"/>
          <w:sz w:val="32"/>
          <w:szCs w:val="32"/>
          <w:lang w:val="zh-CN"/>
        </w:rPr>
        <w:t>项目概况</w:t>
      </w:r>
      <w:bookmarkEnd w:id="94"/>
    </w:p>
    <w:p>
      <w:pPr>
        <w:adjustRightInd w:val="0"/>
        <w:snapToGrid w:val="0"/>
        <w:spacing w:line="600" w:lineRule="exact"/>
        <w:ind w:left="105" w:leftChars="50" w:firstLine="636" w:firstLineChars="199"/>
        <w:rPr>
          <w:rFonts w:ascii="楷体_GB2312" w:hAnsi="宋体" w:eastAsia="楷体_GB2312"/>
          <w:sz w:val="32"/>
          <w:szCs w:val="32"/>
          <w:lang w:val="zh-CN"/>
        </w:rPr>
      </w:pPr>
      <w:r>
        <w:rPr>
          <w:rFonts w:hint="eastAsia" w:ascii="楷体_GB2312" w:hAnsi="宋体" w:eastAsia="楷体_GB2312"/>
          <w:sz w:val="32"/>
          <w:szCs w:val="32"/>
          <w:lang w:val="zh-CN"/>
        </w:rPr>
        <w:t>（一）项目基本情况</w:t>
      </w:r>
    </w:p>
    <w:p>
      <w:pPr>
        <w:spacing w:line="600" w:lineRule="exact"/>
        <w:ind w:left="105" w:firstLine="640" w:firstLineChars="200"/>
        <w:rPr>
          <w:rFonts w:ascii="仿宋_GB2312" w:hAnsi="宋体" w:eastAsia="仿宋_GB2312" w:cs="仿宋_GB2312"/>
          <w:sz w:val="32"/>
          <w:szCs w:val="32"/>
        </w:rPr>
      </w:pPr>
      <w:r>
        <w:rPr>
          <w:rFonts w:hint="eastAsia" w:ascii="仿宋_GB2312" w:hAnsi="宋体" w:eastAsia="仿宋_GB2312" w:cs="仿宋_GB2312"/>
          <w:sz w:val="32"/>
          <w:szCs w:val="32"/>
          <w:lang w:val="zh-CN"/>
        </w:rPr>
        <w:t>1．广</w:t>
      </w:r>
      <w:r>
        <w:rPr>
          <w:rFonts w:hint="eastAsia" w:ascii="仿宋_GB2312" w:hAnsi="宋体" w:eastAsia="仿宋_GB2312" w:cs="仿宋_GB2312"/>
          <w:sz w:val="32"/>
          <w:szCs w:val="32"/>
        </w:rPr>
        <w:t>元市政务服务和公共资源交易中心是广元市人民政府直属事业单位（参公管理），为正县级机构。根据该部门“贯彻实施政务服务和公共资源交易服务相关法律、法规和政策，为政务服务和公共资源交易活动提供场所、设施和服务”及“负责实施市本级政务服务大厅标准化、规范化、便民化的建设和服务工作”、“负责一体化政务服务平台的运维工作”的职能申请设立了“</w:t>
      </w:r>
      <w:r>
        <w:rPr>
          <w:rFonts w:hint="eastAsia" w:ascii="仿宋_GB2312" w:hAnsi="宋体" w:eastAsia="仿宋_GB2312" w:cs="仿宋_GB2312"/>
          <w:sz w:val="32"/>
          <w:szCs w:val="32"/>
          <w:lang w:val="zh-CN"/>
        </w:rPr>
        <w:t>网络及信息系统运维费</w:t>
      </w:r>
      <w:r>
        <w:rPr>
          <w:rFonts w:hint="eastAsia" w:ascii="仿宋_GB2312" w:hAnsi="宋体" w:eastAsia="仿宋_GB2312" w:cs="仿宋_GB2312"/>
          <w:sz w:val="32"/>
          <w:szCs w:val="32"/>
        </w:rPr>
        <w:t>”项目预算。作为保障政务中心（含大厅）触摸屏、评价仪、电脑等各类设备设施及电子政务内网、政务外网等网络正常运行，各窗口通过一体化政务服务平台顺利办理业务所必需的运行经费。</w:t>
      </w:r>
    </w:p>
    <w:p>
      <w:pPr>
        <w:spacing w:line="600" w:lineRule="exact"/>
        <w:ind w:left="105" w:firstLine="640" w:firstLineChars="200"/>
        <w:rPr>
          <w:rFonts w:ascii="仿宋_GB2312" w:hAnsi="宋体" w:eastAsia="仿宋_GB2312" w:cs="仿宋_GB2312"/>
          <w:sz w:val="32"/>
          <w:szCs w:val="32"/>
        </w:rPr>
      </w:pPr>
      <w:r>
        <w:rPr>
          <w:rFonts w:hint="eastAsia" w:ascii="仿宋_GB2312" w:hAnsi="宋体" w:eastAsia="仿宋_GB2312" w:cs="仿宋_GB2312"/>
          <w:sz w:val="32"/>
          <w:szCs w:val="32"/>
        </w:rPr>
        <w:t>2</w:t>
      </w:r>
      <w:r>
        <w:rPr>
          <w:rFonts w:hint="eastAsia" w:ascii="仿宋_GB2312" w:hAnsi="宋体" w:eastAsia="仿宋_GB2312" w:cs="仿宋_GB2312"/>
          <w:sz w:val="32"/>
          <w:szCs w:val="32"/>
          <w:lang w:val="zh-CN"/>
        </w:rPr>
        <w:t>．网络及信息系统运维费</w:t>
      </w:r>
      <w:r>
        <w:rPr>
          <w:rFonts w:hint="eastAsia" w:ascii="仿宋_GB2312" w:hAnsi="宋体" w:eastAsia="仿宋_GB2312" w:cs="仿宋_GB2312"/>
          <w:sz w:val="32"/>
          <w:szCs w:val="32"/>
        </w:rPr>
        <w:t>主要用于保障政务中心（含大厅）触摸屏、评价仪、电脑等各类设备设施及党政务网、政务外网等网络正常运行发生的各项</w:t>
      </w:r>
      <w:r>
        <w:rPr>
          <w:rFonts w:hint="eastAsia" w:ascii="仿宋_GB2312" w:hAnsi="宋体" w:eastAsia="仿宋_GB2312" w:cs="仿宋_GB2312"/>
          <w:sz w:val="32"/>
          <w:szCs w:val="32"/>
          <w:lang w:val="zh-CN"/>
        </w:rPr>
        <w:t>费用，预计一年所需的费用申报年初项目预算</w:t>
      </w:r>
      <w:r>
        <w:rPr>
          <w:rFonts w:hint="eastAsia" w:ascii="仿宋_GB2312" w:hAnsi="宋体" w:eastAsia="仿宋_GB2312" w:cs="仿宋_GB2312"/>
          <w:sz w:val="32"/>
          <w:szCs w:val="32"/>
        </w:rPr>
        <w:t>100.72万元，旨在保障政务中心的网络安全及各项网络系统、设备正常运行使用。</w:t>
      </w:r>
    </w:p>
    <w:p>
      <w:pPr>
        <w:spacing w:line="600" w:lineRule="exact"/>
        <w:ind w:left="105" w:firstLine="640" w:firstLineChars="200"/>
        <w:rPr>
          <w:rFonts w:ascii="仿宋_GB2312" w:hAnsi="宋体" w:eastAsia="仿宋_GB2312" w:cs="仿宋_GB2312"/>
          <w:sz w:val="32"/>
          <w:szCs w:val="32"/>
        </w:rPr>
      </w:pPr>
      <w:r>
        <w:rPr>
          <w:rFonts w:hint="eastAsia" w:ascii="仿宋_GB2312" w:hAnsi="宋体" w:eastAsia="仿宋_GB2312" w:cs="仿宋_GB2312"/>
          <w:sz w:val="32"/>
          <w:szCs w:val="32"/>
          <w:lang w:val="zh-CN"/>
        </w:rPr>
        <w:t>3．网络及信息系统运维费</w:t>
      </w:r>
      <w:r>
        <w:rPr>
          <w:rFonts w:hint="eastAsia" w:ascii="仿宋_GB2312" w:hAnsi="宋体" w:eastAsia="仿宋_GB2312" w:cs="仿宋_GB2312"/>
          <w:sz w:val="32"/>
          <w:szCs w:val="32"/>
        </w:rPr>
        <w:t>支付标准依据为与移动公司、电信公司等签订的运维合同及设备购置合同。</w:t>
      </w:r>
    </w:p>
    <w:p>
      <w:pPr>
        <w:spacing w:line="600" w:lineRule="exact"/>
        <w:ind w:left="105" w:firstLine="640" w:firstLineChars="200"/>
        <w:rPr>
          <w:rFonts w:ascii="仿宋_GB2312" w:hAnsi="宋体" w:eastAsia="仿宋_GB2312" w:cs="仿宋_GB2312"/>
          <w:sz w:val="32"/>
          <w:szCs w:val="32"/>
        </w:rPr>
      </w:pPr>
      <w:r>
        <w:rPr>
          <w:rFonts w:hint="eastAsia" w:ascii="仿宋_GB2312" w:hAnsi="宋体" w:eastAsia="仿宋_GB2312" w:cs="仿宋_GB2312"/>
          <w:sz w:val="32"/>
          <w:szCs w:val="32"/>
          <w:lang w:val="zh-CN"/>
        </w:rPr>
        <w:t>4．资金分配时根据重要性及及时性原则按月（季度）支付网络运维费，一次性支付网络设备</w:t>
      </w:r>
      <w:r>
        <w:rPr>
          <w:rFonts w:hint="eastAsia" w:ascii="仿宋_GB2312" w:hAnsi="宋体" w:eastAsia="仿宋_GB2312" w:cs="仿宋_GB2312"/>
          <w:sz w:val="32"/>
          <w:szCs w:val="32"/>
        </w:rPr>
        <w:t>购置费。</w:t>
      </w:r>
    </w:p>
    <w:p>
      <w:pPr>
        <w:adjustRightInd w:val="0"/>
        <w:snapToGrid w:val="0"/>
        <w:spacing w:line="600" w:lineRule="exact"/>
        <w:ind w:left="105" w:firstLine="476" w:firstLineChars="149"/>
        <w:rPr>
          <w:rFonts w:ascii="楷体_GB2312" w:hAnsi="宋体" w:eastAsia="楷体_GB2312"/>
          <w:sz w:val="32"/>
          <w:szCs w:val="32"/>
          <w:lang w:val="zh-CN"/>
        </w:rPr>
      </w:pPr>
      <w:r>
        <w:rPr>
          <w:rFonts w:hint="eastAsia" w:ascii="楷体_GB2312" w:hAnsi="宋体" w:eastAsia="楷体_GB2312"/>
          <w:sz w:val="32"/>
          <w:szCs w:val="32"/>
          <w:lang w:val="zh-CN"/>
        </w:rPr>
        <w:t>（二）项目绩效目标。</w:t>
      </w:r>
    </w:p>
    <w:p>
      <w:pPr>
        <w:spacing w:line="600" w:lineRule="exact"/>
        <w:ind w:left="105" w:firstLine="640" w:firstLineChars="200"/>
        <w:rPr>
          <w:rFonts w:ascii="仿宋_GB2312" w:hAnsi="宋体" w:eastAsia="仿宋_GB2312" w:cs="仿宋_GB2312"/>
          <w:sz w:val="32"/>
          <w:szCs w:val="32"/>
          <w:lang w:val="zh-CN"/>
        </w:rPr>
      </w:pPr>
      <w:r>
        <w:rPr>
          <w:rFonts w:hint="eastAsia" w:ascii="仿宋_GB2312" w:hAnsi="宋体" w:eastAsia="仿宋_GB2312" w:cs="仿宋_GB2312"/>
          <w:sz w:val="32"/>
          <w:szCs w:val="32"/>
          <w:lang w:val="zh-CN"/>
        </w:rPr>
        <w:t>1</w:t>
      </w:r>
      <w:r>
        <w:rPr>
          <w:rFonts w:hint="eastAsia" w:ascii="仿宋_GB2312" w:hAnsi="宋体" w:eastAsia="仿宋_GB2312" w:cs="仿宋_GB2312"/>
          <w:sz w:val="32"/>
          <w:szCs w:val="32"/>
        </w:rPr>
        <w:t>.</w:t>
      </w:r>
      <w:r>
        <w:rPr>
          <w:rFonts w:hint="eastAsia" w:ascii="仿宋_GB2312" w:hAnsi="宋体" w:eastAsia="仿宋_GB2312" w:cs="仿宋_GB2312"/>
          <w:sz w:val="32"/>
          <w:szCs w:val="32"/>
          <w:lang w:val="zh-CN"/>
        </w:rPr>
        <w:t>项目主要内容：</w:t>
      </w:r>
      <w:r>
        <w:rPr>
          <w:rFonts w:hint="eastAsia" w:ascii="仿宋_GB2312" w:hAnsi="宋体" w:eastAsia="仿宋_GB2312" w:cs="仿宋_GB2312"/>
          <w:sz w:val="32"/>
          <w:szCs w:val="32"/>
        </w:rPr>
        <w:t>（1）数量指标：维修互联网专线、大厅wifi、电话设备、大厅led、智慧政务系统等软硬件若干；正常运行率≥95%。（2）效益指标：受益人数≥500人；服务面积32300平米，保障办公楼正常运行运转，定性：优。（3）满意度指标：办事群众满意度≥90%。</w:t>
      </w:r>
    </w:p>
    <w:p>
      <w:pPr>
        <w:spacing w:line="600" w:lineRule="exact"/>
        <w:ind w:left="105" w:firstLine="640" w:firstLineChars="200"/>
        <w:rPr>
          <w:rFonts w:ascii="仿宋_GB2312" w:hAnsi="宋体" w:eastAsia="仿宋_GB2312" w:cs="仿宋_GB2312"/>
          <w:sz w:val="32"/>
          <w:szCs w:val="32"/>
        </w:rPr>
      </w:pPr>
      <w:r>
        <w:rPr>
          <w:rFonts w:hint="eastAsia" w:ascii="仿宋_GB2312" w:hAnsi="宋体" w:eastAsia="仿宋_GB2312" w:cs="仿宋_GB2312"/>
          <w:sz w:val="32"/>
          <w:szCs w:val="32"/>
          <w:lang w:val="zh-CN"/>
        </w:rPr>
        <w:t>2．</w:t>
      </w:r>
      <w:r>
        <w:rPr>
          <w:rFonts w:hint="eastAsia" w:ascii="仿宋_GB2312" w:hAnsi="宋体" w:eastAsia="仿宋_GB2312" w:cs="仿宋_GB2312"/>
          <w:sz w:val="32"/>
          <w:szCs w:val="32"/>
        </w:rPr>
        <w:t>2021年设定项目绩效目标： 确保中心（含大厅）触摸屏、评价仪、电脑等各类设备设施及电子政务内网、政务外网等网络正常运行，各窗口通过一体化政务服务平台办理业务能正常进行。</w:t>
      </w:r>
    </w:p>
    <w:p>
      <w:pPr>
        <w:adjustRightInd w:val="0"/>
        <w:snapToGrid w:val="0"/>
        <w:spacing w:line="600" w:lineRule="exact"/>
        <w:ind w:left="105" w:firstLine="476" w:firstLineChars="149"/>
        <w:rPr>
          <w:rFonts w:ascii="楷体_GB2312" w:hAnsi="宋体" w:eastAsia="楷体_GB2312"/>
          <w:sz w:val="32"/>
          <w:szCs w:val="32"/>
          <w:lang w:val="zh-CN"/>
        </w:rPr>
      </w:pPr>
      <w:r>
        <w:rPr>
          <w:rFonts w:hint="eastAsia" w:ascii="楷体_GB2312" w:hAnsi="宋体" w:eastAsia="楷体_GB2312"/>
          <w:sz w:val="32"/>
          <w:szCs w:val="32"/>
          <w:lang w:val="zh-CN"/>
        </w:rPr>
        <w:t>（三）项目自评步骤及方法</w:t>
      </w:r>
    </w:p>
    <w:p>
      <w:pPr>
        <w:adjustRightInd w:val="0"/>
        <w:snapToGrid w:val="0"/>
        <w:spacing w:line="600" w:lineRule="exact"/>
        <w:ind w:left="105" w:firstLine="452" w:firstLineChars="149"/>
        <w:rPr>
          <w:rFonts w:ascii="楷体_GB2312" w:hAnsi="宋体" w:eastAsia="楷体_GB2312"/>
          <w:sz w:val="32"/>
          <w:szCs w:val="32"/>
          <w:lang w:val="zh-CN"/>
        </w:rPr>
      </w:pPr>
      <w:r>
        <w:rPr>
          <w:rFonts w:hint="eastAsia" w:ascii="仿宋_GB2312" w:hAnsi="宋体" w:eastAsia="仿宋_GB2312"/>
          <w:w w:val="95"/>
          <w:sz w:val="32"/>
          <w:szCs w:val="32"/>
          <w:lang w:val="zh-CN"/>
        </w:rPr>
        <w:t>由涉及相关业务科室先自评，再由中心领导班子组织审评。</w:t>
      </w:r>
    </w:p>
    <w:p>
      <w:pPr>
        <w:adjustRightInd w:val="0"/>
        <w:snapToGrid w:val="0"/>
        <w:spacing w:line="600" w:lineRule="exact"/>
        <w:ind w:left="105" w:firstLine="476" w:firstLineChars="149"/>
        <w:rPr>
          <w:rFonts w:ascii="黑体" w:hAnsi="黑体" w:eastAsia="黑体"/>
          <w:sz w:val="32"/>
          <w:szCs w:val="32"/>
          <w:lang w:val="zh-CN"/>
        </w:rPr>
      </w:pPr>
      <w:bookmarkStart w:id="95" w:name="_Toc1538541169_WPSOffice_Level2"/>
      <w:r>
        <w:rPr>
          <w:rFonts w:hint="eastAsia" w:ascii="黑体" w:hAnsi="黑体" w:eastAsia="黑体"/>
          <w:sz w:val="32"/>
          <w:szCs w:val="32"/>
        </w:rPr>
        <w:t>二、项目资金申报及使用情况</w:t>
      </w:r>
      <w:bookmarkEnd w:id="95"/>
    </w:p>
    <w:p>
      <w:pPr>
        <w:adjustRightInd w:val="0"/>
        <w:snapToGrid w:val="0"/>
        <w:spacing w:line="600" w:lineRule="exact"/>
        <w:ind w:left="105" w:firstLine="476" w:firstLineChars="149"/>
        <w:rPr>
          <w:rFonts w:ascii="楷体_GB2312" w:hAnsi="黑体" w:eastAsia="楷体_GB2312"/>
          <w:sz w:val="32"/>
          <w:szCs w:val="32"/>
          <w:lang w:val="zh-CN"/>
        </w:rPr>
      </w:pPr>
      <w:r>
        <w:rPr>
          <w:rFonts w:hint="eastAsia" w:ascii="楷体_GB2312" w:hAnsi="宋体" w:eastAsia="楷体_GB2312"/>
          <w:sz w:val="32"/>
          <w:szCs w:val="32"/>
          <w:lang w:val="zh-CN"/>
        </w:rPr>
        <w:t>（一）项目资金申报及批复情况。</w:t>
      </w:r>
    </w:p>
    <w:p>
      <w:pPr>
        <w:adjustRightInd w:val="0"/>
        <w:snapToGrid w:val="0"/>
        <w:spacing w:line="600" w:lineRule="exact"/>
        <w:ind w:left="105" w:firstLine="640" w:firstLineChars="200"/>
        <w:rPr>
          <w:rFonts w:ascii="仿宋_GB2312" w:hAnsi="宋体" w:eastAsia="仿宋_GB2312" w:cs="仿宋_GB2312"/>
          <w:color w:val="000000"/>
          <w:sz w:val="32"/>
          <w:szCs w:val="32"/>
        </w:rPr>
      </w:pPr>
      <w:r>
        <w:rPr>
          <w:rFonts w:hint="eastAsia" w:ascii="仿宋_GB2312" w:hAnsi="宋体" w:eastAsia="仿宋_GB2312" w:cs="仿宋"/>
          <w:color w:val="000000"/>
          <w:sz w:val="32"/>
          <w:szCs w:val="32"/>
          <w:lang w:val="zh-CN"/>
        </w:rPr>
        <w:t>网络及信息系统运维费项目</w:t>
      </w:r>
      <w:r>
        <w:rPr>
          <w:rFonts w:hint="eastAsia" w:ascii="仿宋_GB2312" w:hAnsi="宋体" w:eastAsia="仿宋_GB2312" w:cs="仿宋_GB2312"/>
          <w:sz w:val="32"/>
          <w:szCs w:val="32"/>
          <w:lang w:val="zh-CN"/>
        </w:rPr>
        <w:t>预算申报</w:t>
      </w:r>
      <w:r>
        <w:rPr>
          <w:rFonts w:hint="eastAsia" w:ascii="仿宋_GB2312" w:hAnsi="宋体" w:eastAsia="仿宋_GB2312" w:cs="仿宋_GB2312"/>
          <w:color w:val="000000"/>
          <w:sz w:val="32"/>
          <w:szCs w:val="32"/>
        </w:rPr>
        <w:t>100.72万元</w:t>
      </w:r>
      <w:r>
        <w:rPr>
          <w:rFonts w:hint="eastAsia" w:ascii="仿宋_GB2312" w:hAnsi="宋体" w:eastAsia="仿宋_GB2312" w:cs="仿宋_GB2312"/>
          <w:sz w:val="32"/>
          <w:szCs w:val="32"/>
        </w:rPr>
        <w:t>，财政下达预算批复</w:t>
      </w:r>
      <w:r>
        <w:rPr>
          <w:rFonts w:hint="eastAsia" w:ascii="仿宋_GB2312" w:hAnsi="宋体" w:eastAsia="仿宋_GB2312" w:cs="仿宋_GB2312"/>
          <w:color w:val="000000"/>
          <w:sz w:val="32"/>
          <w:szCs w:val="32"/>
        </w:rPr>
        <w:t>100.72万元。</w:t>
      </w:r>
    </w:p>
    <w:p>
      <w:pPr>
        <w:adjustRightInd w:val="0"/>
        <w:snapToGrid w:val="0"/>
        <w:spacing w:line="600" w:lineRule="exact"/>
        <w:ind w:left="105" w:firstLine="476" w:firstLineChars="149"/>
        <w:rPr>
          <w:rFonts w:hint="eastAsia" w:ascii="楷体_GB2312" w:hAnsi="宋体" w:eastAsia="楷体_GB2312"/>
          <w:sz w:val="32"/>
          <w:szCs w:val="32"/>
          <w:lang w:val="zh-CN"/>
        </w:rPr>
      </w:pPr>
      <w:r>
        <w:rPr>
          <w:rFonts w:hint="eastAsia" w:ascii="楷体_GB2312" w:hAnsi="宋体" w:eastAsia="楷体_GB2312"/>
          <w:sz w:val="32"/>
          <w:szCs w:val="32"/>
          <w:lang w:val="zh-CN"/>
        </w:rPr>
        <w:t>（二）资金计划、到位及使用情况。</w:t>
      </w:r>
    </w:p>
    <w:p>
      <w:pPr>
        <w:pStyle w:val="6"/>
        <w:spacing w:beforeLines="0" w:line="600" w:lineRule="exact"/>
        <w:ind w:firstLine="960" w:firstLineChars="300"/>
        <w:rPr>
          <w:rFonts w:hint="eastAsia" w:hAnsi="宋体" w:cs="宋体"/>
          <w:color w:val="000000"/>
          <w:sz w:val="32"/>
          <w:szCs w:val="32"/>
          <w:shd w:val="clear" w:color="auto" w:fill="FFFFFF"/>
        </w:rPr>
      </w:pPr>
      <w:r>
        <w:rPr>
          <w:rFonts w:hint="eastAsia" w:hAnsi="宋体" w:cs="宋体"/>
          <w:color w:val="000000"/>
          <w:sz w:val="32"/>
          <w:szCs w:val="32"/>
          <w:shd w:val="clear" w:color="auto" w:fill="FFFFFF"/>
        </w:rPr>
        <w:t>本项目安排经费100.72元，全部来自财政局。资金到位率100%。</w:t>
      </w:r>
    </w:p>
    <w:tbl>
      <w:tblPr>
        <w:tblStyle w:val="15"/>
        <w:tblW w:w="94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1"/>
        <w:gridCol w:w="2081"/>
        <w:gridCol w:w="1698"/>
        <w:gridCol w:w="4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1581" w:type="dxa"/>
            <w:noWrap w:val="0"/>
            <w:vAlign w:val="center"/>
          </w:tcPr>
          <w:p>
            <w:pPr>
              <w:pStyle w:val="6"/>
              <w:pBdr>
                <w:top w:val="none" w:color="auto" w:sz="0" w:space="1"/>
                <w:left w:val="none" w:color="auto" w:sz="0" w:space="4"/>
                <w:bottom w:val="none" w:color="auto" w:sz="0" w:space="1"/>
                <w:right w:val="none" w:color="auto" w:sz="0" w:space="4"/>
              </w:pBdr>
              <w:tabs>
                <w:tab w:val="center" w:pos="4153"/>
                <w:tab w:val="right" w:pos="8306"/>
              </w:tabs>
              <w:snapToGrid w:val="0"/>
              <w:spacing w:beforeLines="0" w:line="420" w:lineRule="exact"/>
              <w:jc w:val="center"/>
              <w:rPr>
                <w:rFonts w:hAnsi="宋体"/>
                <w:kern w:val="2"/>
                <w:szCs w:val="24"/>
                <w:lang w:val="zh-CN"/>
              </w:rPr>
            </w:pPr>
          </w:p>
        </w:tc>
        <w:tc>
          <w:tcPr>
            <w:tcW w:w="2081" w:type="dxa"/>
            <w:noWrap w:val="0"/>
            <w:vAlign w:val="center"/>
          </w:tcPr>
          <w:p>
            <w:pPr>
              <w:pStyle w:val="6"/>
              <w:pBdr>
                <w:top w:val="none" w:color="auto" w:sz="0" w:space="1"/>
                <w:left w:val="none" w:color="auto" w:sz="0" w:space="4"/>
                <w:bottom w:val="none" w:color="auto" w:sz="0" w:space="1"/>
                <w:right w:val="none" w:color="auto" w:sz="0" w:space="4"/>
              </w:pBdr>
              <w:tabs>
                <w:tab w:val="center" w:pos="4153"/>
                <w:tab w:val="right" w:pos="8306"/>
              </w:tabs>
              <w:snapToGrid w:val="0"/>
              <w:spacing w:beforeLines="0" w:line="420" w:lineRule="exact"/>
              <w:jc w:val="center"/>
              <w:rPr>
                <w:rFonts w:hint="eastAsia" w:ascii="黑体" w:hAnsi="黑体" w:eastAsia="黑体" w:cs="黑体"/>
                <w:kern w:val="2"/>
                <w:szCs w:val="24"/>
              </w:rPr>
            </w:pPr>
            <w:r>
              <w:rPr>
                <w:rFonts w:hint="eastAsia" w:ascii="黑体" w:hAnsi="黑体" w:eastAsia="黑体" w:cs="黑体"/>
                <w:kern w:val="2"/>
                <w:szCs w:val="24"/>
              </w:rPr>
              <w:t>财政拨款</w:t>
            </w:r>
          </w:p>
        </w:tc>
        <w:tc>
          <w:tcPr>
            <w:tcW w:w="1698" w:type="dxa"/>
            <w:noWrap w:val="0"/>
            <w:vAlign w:val="center"/>
          </w:tcPr>
          <w:p>
            <w:pPr>
              <w:pStyle w:val="6"/>
              <w:pBdr>
                <w:top w:val="none" w:color="auto" w:sz="0" w:space="1"/>
                <w:left w:val="none" w:color="auto" w:sz="0" w:space="4"/>
                <w:bottom w:val="none" w:color="auto" w:sz="0" w:space="1"/>
                <w:right w:val="none" w:color="auto" w:sz="0" w:space="4"/>
              </w:pBdr>
              <w:tabs>
                <w:tab w:val="center" w:pos="4153"/>
                <w:tab w:val="right" w:pos="8306"/>
              </w:tabs>
              <w:snapToGrid w:val="0"/>
              <w:spacing w:beforeLines="0" w:line="420" w:lineRule="exact"/>
              <w:jc w:val="center"/>
              <w:rPr>
                <w:rFonts w:hint="eastAsia" w:ascii="黑体" w:hAnsi="黑体" w:eastAsia="黑体" w:cs="黑体"/>
                <w:kern w:val="2"/>
                <w:szCs w:val="24"/>
                <w:lang w:val="zh-CN"/>
              </w:rPr>
            </w:pPr>
            <w:r>
              <w:rPr>
                <w:rFonts w:hint="eastAsia" w:ascii="黑体" w:hAnsi="黑体" w:eastAsia="黑体" w:cs="黑体"/>
                <w:kern w:val="2"/>
                <w:szCs w:val="24"/>
                <w:lang w:val="zh-CN"/>
              </w:rPr>
              <w:t>来源渠道</w:t>
            </w:r>
          </w:p>
        </w:tc>
        <w:tc>
          <w:tcPr>
            <w:tcW w:w="4098" w:type="dxa"/>
            <w:noWrap w:val="0"/>
            <w:vAlign w:val="center"/>
          </w:tcPr>
          <w:p>
            <w:pPr>
              <w:pStyle w:val="6"/>
              <w:pBdr>
                <w:top w:val="none" w:color="auto" w:sz="0" w:space="1"/>
                <w:left w:val="none" w:color="auto" w:sz="0" w:space="4"/>
                <w:bottom w:val="none" w:color="auto" w:sz="0" w:space="1"/>
                <w:right w:val="none" w:color="auto" w:sz="0" w:space="4"/>
              </w:pBdr>
              <w:tabs>
                <w:tab w:val="center" w:pos="4153"/>
                <w:tab w:val="right" w:pos="8306"/>
              </w:tabs>
              <w:snapToGrid w:val="0"/>
              <w:spacing w:beforeLines="0" w:line="420" w:lineRule="exact"/>
              <w:jc w:val="center"/>
              <w:rPr>
                <w:rFonts w:hint="eastAsia" w:ascii="黑体" w:hAnsi="黑体" w:eastAsia="黑体" w:cs="黑体"/>
                <w:kern w:val="2"/>
                <w:szCs w:val="24"/>
                <w:lang w:val="zh-CN"/>
              </w:rPr>
            </w:pPr>
            <w:r>
              <w:rPr>
                <w:rFonts w:hint="eastAsia" w:ascii="黑体" w:hAnsi="黑体" w:eastAsia="黑体" w:cs="黑体"/>
                <w:kern w:val="2"/>
                <w:szCs w:val="24"/>
                <w:lang w:val="zh-CN"/>
              </w:rPr>
              <w:t>分析说明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exact"/>
        </w:trPr>
        <w:tc>
          <w:tcPr>
            <w:tcW w:w="1581" w:type="dxa"/>
            <w:noWrap w:val="0"/>
            <w:vAlign w:val="center"/>
          </w:tcPr>
          <w:p>
            <w:pPr>
              <w:pStyle w:val="6"/>
              <w:pBdr>
                <w:top w:val="none" w:color="auto" w:sz="0" w:space="1"/>
                <w:left w:val="none" w:color="auto" w:sz="0" w:space="4"/>
                <w:bottom w:val="none" w:color="auto" w:sz="0" w:space="1"/>
                <w:right w:val="none" w:color="auto" w:sz="0" w:space="4"/>
              </w:pBdr>
              <w:tabs>
                <w:tab w:val="center" w:pos="4153"/>
                <w:tab w:val="right" w:pos="8306"/>
              </w:tabs>
              <w:snapToGrid w:val="0"/>
              <w:spacing w:beforeLines="0" w:line="420" w:lineRule="exact"/>
              <w:jc w:val="center"/>
              <w:rPr>
                <w:rFonts w:hAnsi="宋体"/>
                <w:kern w:val="2"/>
                <w:sz w:val="24"/>
                <w:szCs w:val="24"/>
                <w:lang w:val="zh-CN"/>
              </w:rPr>
            </w:pPr>
            <w:r>
              <w:rPr>
                <w:rFonts w:hint="eastAsia" w:hAnsi="宋体"/>
                <w:kern w:val="2"/>
                <w:sz w:val="24"/>
                <w:szCs w:val="24"/>
                <w:lang w:val="zh-CN"/>
              </w:rPr>
              <w:t>资金计划</w:t>
            </w:r>
          </w:p>
        </w:tc>
        <w:tc>
          <w:tcPr>
            <w:tcW w:w="2081" w:type="dxa"/>
            <w:noWrap w:val="0"/>
            <w:vAlign w:val="center"/>
          </w:tcPr>
          <w:p>
            <w:pPr>
              <w:pStyle w:val="6"/>
              <w:pBdr>
                <w:top w:val="none" w:color="auto" w:sz="0" w:space="1"/>
                <w:left w:val="none" w:color="auto" w:sz="0" w:space="4"/>
                <w:bottom w:val="none" w:color="auto" w:sz="0" w:space="1"/>
                <w:right w:val="none" w:color="auto" w:sz="0" w:space="4"/>
              </w:pBdr>
              <w:tabs>
                <w:tab w:val="center" w:pos="4153"/>
                <w:tab w:val="right" w:pos="8306"/>
              </w:tabs>
              <w:snapToGrid w:val="0"/>
              <w:spacing w:beforeLines="0" w:line="420" w:lineRule="exact"/>
              <w:jc w:val="center"/>
              <w:rPr>
                <w:rFonts w:hAnsi="宋体"/>
                <w:kern w:val="2"/>
                <w:sz w:val="24"/>
                <w:szCs w:val="24"/>
                <w:lang w:val="zh-CN"/>
              </w:rPr>
            </w:pPr>
            <w:r>
              <w:rPr>
                <w:rFonts w:hint="eastAsia" w:hAnsi="宋体"/>
                <w:kern w:val="2"/>
                <w:sz w:val="24"/>
                <w:szCs w:val="24"/>
              </w:rPr>
              <w:t>100.72万元</w:t>
            </w:r>
          </w:p>
        </w:tc>
        <w:tc>
          <w:tcPr>
            <w:tcW w:w="1698" w:type="dxa"/>
            <w:noWrap w:val="0"/>
            <w:vAlign w:val="center"/>
          </w:tcPr>
          <w:p>
            <w:pPr>
              <w:pStyle w:val="6"/>
              <w:pBdr>
                <w:top w:val="none" w:color="auto" w:sz="0" w:space="1"/>
                <w:left w:val="none" w:color="auto" w:sz="0" w:space="4"/>
                <w:bottom w:val="none" w:color="auto" w:sz="0" w:space="1"/>
                <w:right w:val="none" w:color="auto" w:sz="0" w:space="4"/>
              </w:pBdr>
              <w:tabs>
                <w:tab w:val="center" w:pos="4153"/>
                <w:tab w:val="right" w:pos="8306"/>
              </w:tabs>
              <w:snapToGrid w:val="0"/>
              <w:spacing w:beforeLines="0" w:line="420" w:lineRule="exact"/>
              <w:jc w:val="center"/>
              <w:rPr>
                <w:rFonts w:hAnsi="宋体"/>
                <w:kern w:val="2"/>
                <w:sz w:val="24"/>
                <w:szCs w:val="24"/>
                <w:lang w:val="zh-CN"/>
              </w:rPr>
            </w:pPr>
            <w:r>
              <w:rPr>
                <w:rFonts w:hint="eastAsia" w:hAnsi="宋体"/>
                <w:kern w:val="2"/>
                <w:sz w:val="24"/>
                <w:szCs w:val="24"/>
                <w:lang w:val="zh-CN"/>
              </w:rPr>
              <w:t>财政拨款</w:t>
            </w:r>
          </w:p>
        </w:tc>
        <w:tc>
          <w:tcPr>
            <w:tcW w:w="4098" w:type="dxa"/>
            <w:noWrap w:val="0"/>
            <w:vAlign w:val="center"/>
          </w:tcPr>
          <w:p>
            <w:pPr>
              <w:pStyle w:val="6"/>
              <w:pBdr>
                <w:top w:val="none" w:color="auto" w:sz="0" w:space="1"/>
                <w:left w:val="none" w:color="auto" w:sz="0" w:space="4"/>
                <w:bottom w:val="none" w:color="auto" w:sz="0" w:space="1"/>
                <w:right w:val="none" w:color="auto" w:sz="0" w:space="4"/>
              </w:pBdr>
              <w:tabs>
                <w:tab w:val="center" w:pos="4153"/>
                <w:tab w:val="right" w:pos="8306"/>
              </w:tabs>
              <w:snapToGrid w:val="0"/>
              <w:spacing w:beforeLines="0" w:line="420" w:lineRule="exact"/>
              <w:jc w:val="center"/>
              <w:rPr>
                <w:rFonts w:hAnsi="宋体"/>
                <w:kern w:val="2"/>
                <w:sz w:val="24"/>
                <w:szCs w:val="24"/>
              </w:rPr>
            </w:pPr>
            <w:r>
              <w:rPr>
                <w:rFonts w:hint="eastAsia" w:hAnsi="宋体"/>
                <w:kern w:val="2"/>
                <w:sz w:val="24"/>
                <w:szCs w:val="24"/>
              </w:rPr>
              <w:t>根据上年度支出情况申报资金计划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exact"/>
        </w:trPr>
        <w:tc>
          <w:tcPr>
            <w:tcW w:w="1581" w:type="dxa"/>
            <w:noWrap w:val="0"/>
            <w:vAlign w:val="center"/>
          </w:tcPr>
          <w:p>
            <w:pPr>
              <w:pStyle w:val="6"/>
              <w:pBdr>
                <w:top w:val="none" w:color="auto" w:sz="0" w:space="1"/>
                <w:left w:val="none" w:color="auto" w:sz="0" w:space="4"/>
                <w:bottom w:val="none" w:color="auto" w:sz="0" w:space="1"/>
                <w:right w:val="none" w:color="auto" w:sz="0" w:space="4"/>
              </w:pBdr>
              <w:tabs>
                <w:tab w:val="center" w:pos="4153"/>
                <w:tab w:val="right" w:pos="8306"/>
              </w:tabs>
              <w:snapToGrid w:val="0"/>
              <w:spacing w:beforeLines="0" w:line="420" w:lineRule="exact"/>
              <w:jc w:val="center"/>
              <w:rPr>
                <w:rFonts w:hAnsi="宋体"/>
                <w:kern w:val="2"/>
                <w:sz w:val="24"/>
                <w:szCs w:val="24"/>
              </w:rPr>
            </w:pPr>
            <w:r>
              <w:rPr>
                <w:rFonts w:hint="eastAsia" w:hAnsi="宋体"/>
                <w:kern w:val="2"/>
                <w:sz w:val="24"/>
                <w:szCs w:val="24"/>
                <w:lang w:val="zh-CN"/>
              </w:rPr>
              <w:t>资金到位</w:t>
            </w:r>
          </w:p>
        </w:tc>
        <w:tc>
          <w:tcPr>
            <w:tcW w:w="2081" w:type="dxa"/>
            <w:noWrap w:val="0"/>
            <w:vAlign w:val="center"/>
          </w:tcPr>
          <w:p>
            <w:pPr>
              <w:pStyle w:val="6"/>
              <w:pBdr>
                <w:top w:val="none" w:color="auto" w:sz="0" w:space="1"/>
                <w:left w:val="none" w:color="auto" w:sz="0" w:space="4"/>
                <w:bottom w:val="none" w:color="auto" w:sz="0" w:space="1"/>
                <w:right w:val="none" w:color="auto" w:sz="0" w:space="4"/>
              </w:pBdr>
              <w:tabs>
                <w:tab w:val="center" w:pos="4153"/>
                <w:tab w:val="right" w:pos="8306"/>
              </w:tabs>
              <w:snapToGrid w:val="0"/>
              <w:spacing w:beforeLines="0" w:line="420" w:lineRule="exact"/>
              <w:jc w:val="center"/>
              <w:rPr>
                <w:rFonts w:hAnsi="宋体"/>
                <w:kern w:val="2"/>
                <w:sz w:val="24"/>
                <w:szCs w:val="24"/>
              </w:rPr>
            </w:pPr>
            <w:r>
              <w:rPr>
                <w:rFonts w:hint="eastAsia" w:hAnsi="宋体"/>
                <w:kern w:val="2"/>
                <w:sz w:val="24"/>
                <w:szCs w:val="24"/>
              </w:rPr>
              <w:t>100.72万元</w:t>
            </w:r>
          </w:p>
        </w:tc>
        <w:tc>
          <w:tcPr>
            <w:tcW w:w="1698" w:type="dxa"/>
            <w:noWrap w:val="0"/>
            <w:vAlign w:val="center"/>
          </w:tcPr>
          <w:p>
            <w:pPr>
              <w:pStyle w:val="6"/>
              <w:pBdr>
                <w:top w:val="none" w:color="auto" w:sz="0" w:space="1"/>
                <w:left w:val="none" w:color="auto" w:sz="0" w:space="4"/>
                <w:bottom w:val="none" w:color="auto" w:sz="0" w:space="1"/>
                <w:right w:val="none" w:color="auto" w:sz="0" w:space="4"/>
              </w:pBdr>
              <w:tabs>
                <w:tab w:val="center" w:pos="4153"/>
                <w:tab w:val="right" w:pos="8306"/>
              </w:tabs>
              <w:snapToGrid w:val="0"/>
              <w:spacing w:beforeLines="0" w:line="420" w:lineRule="exact"/>
              <w:jc w:val="center"/>
              <w:rPr>
                <w:rFonts w:hAnsi="宋体"/>
                <w:kern w:val="2"/>
                <w:sz w:val="24"/>
                <w:szCs w:val="24"/>
              </w:rPr>
            </w:pPr>
            <w:r>
              <w:rPr>
                <w:rFonts w:hint="eastAsia" w:hAnsi="宋体"/>
                <w:kern w:val="2"/>
                <w:sz w:val="24"/>
                <w:szCs w:val="24"/>
                <w:lang w:val="zh-CN"/>
              </w:rPr>
              <w:t>财政拨款</w:t>
            </w:r>
          </w:p>
        </w:tc>
        <w:tc>
          <w:tcPr>
            <w:tcW w:w="4098" w:type="dxa"/>
            <w:noWrap w:val="0"/>
            <w:vAlign w:val="center"/>
          </w:tcPr>
          <w:p>
            <w:pPr>
              <w:pStyle w:val="6"/>
              <w:pBdr>
                <w:top w:val="none" w:color="auto" w:sz="0" w:space="1"/>
                <w:left w:val="none" w:color="auto" w:sz="0" w:space="4"/>
                <w:bottom w:val="none" w:color="auto" w:sz="0" w:space="1"/>
                <w:right w:val="none" w:color="auto" w:sz="0" w:space="4"/>
              </w:pBdr>
              <w:tabs>
                <w:tab w:val="center" w:pos="4153"/>
                <w:tab w:val="right" w:pos="8306"/>
              </w:tabs>
              <w:snapToGrid w:val="0"/>
              <w:spacing w:beforeLines="0" w:line="420" w:lineRule="exact"/>
              <w:jc w:val="center"/>
              <w:rPr>
                <w:rFonts w:hAnsi="宋体"/>
                <w:kern w:val="2"/>
                <w:sz w:val="24"/>
                <w:szCs w:val="24"/>
                <w:lang w:val="zh-CN"/>
              </w:rPr>
            </w:pPr>
            <w:r>
              <w:rPr>
                <w:rFonts w:hint="eastAsia" w:hAnsi="宋体"/>
                <w:kern w:val="2"/>
                <w:sz w:val="24"/>
                <w:szCs w:val="24"/>
              </w:rPr>
              <w:t>根据上年度支出情况拨付资金计划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4" w:hRule="exact"/>
        </w:trPr>
        <w:tc>
          <w:tcPr>
            <w:tcW w:w="1581" w:type="dxa"/>
            <w:noWrap w:val="0"/>
            <w:vAlign w:val="center"/>
          </w:tcPr>
          <w:p>
            <w:pPr>
              <w:pStyle w:val="6"/>
              <w:pBdr>
                <w:top w:val="none" w:color="auto" w:sz="0" w:space="1"/>
                <w:left w:val="none" w:color="auto" w:sz="0" w:space="4"/>
                <w:bottom w:val="none" w:color="auto" w:sz="0" w:space="1"/>
                <w:right w:val="none" w:color="auto" w:sz="0" w:space="4"/>
              </w:pBdr>
              <w:tabs>
                <w:tab w:val="center" w:pos="4153"/>
                <w:tab w:val="right" w:pos="8306"/>
              </w:tabs>
              <w:snapToGrid w:val="0"/>
              <w:spacing w:beforeLines="0" w:line="420" w:lineRule="exact"/>
              <w:jc w:val="center"/>
              <w:rPr>
                <w:rFonts w:hAnsi="宋体"/>
                <w:kern w:val="2"/>
                <w:sz w:val="24"/>
                <w:szCs w:val="24"/>
              </w:rPr>
            </w:pPr>
            <w:r>
              <w:rPr>
                <w:rFonts w:hint="eastAsia" w:hAnsi="宋体"/>
                <w:kern w:val="2"/>
                <w:sz w:val="24"/>
                <w:szCs w:val="24"/>
                <w:lang w:val="zh-CN"/>
              </w:rPr>
              <w:t>资金使用</w:t>
            </w:r>
          </w:p>
        </w:tc>
        <w:tc>
          <w:tcPr>
            <w:tcW w:w="2081" w:type="dxa"/>
            <w:noWrap w:val="0"/>
            <w:vAlign w:val="center"/>
          </w:tcPr>
          <w:p>
            <w:pPr>
              <w:pStyle w:val="6"/>
              <w:pBdr>
                <w:top w:val="none" w:color="auto" w:sz="0" w:space="1"/>
                <w:left w:val="none" w:color="auto" w:sz="0" w:space="4"/>
                <w:bottom w:val="none" w:color="auto" w:sz="0" w:space="1"/>
                <w:right w:val="none" w:color="auto" w:sz="0" w:space="4"/>
              </w:pBdr>
              <w:tabs>
                <w:tab w:val="center" w:pos="4153"/>
                <w:tab w:val="right" w:pos="8306"/>
              </w:tabs>
              <w:snapToGrid w:val="0"/>
              <w:spacing w:beforeLines="0" w:line="420" w:lineRule="exact"/>
              <w:jc w:val="center"/>
              <w:rPr>
                <w:rFonts w:hAnsi="宋体"/>
                <w:kern w:val="2"/>
                <w:sz w:val="24"/>
                <w:szCs w:val="24"/>
              </w:rPr>
            </w:pPr>
            <w:r>
              <w:rPr>
                <w:rFonts w:hint="eastAsia" w:hAnsi="宋体"/>
                <w:kern w:val="2"/>
                <w:sz w:val="24"/>
                <w:szCs w:val="24"/>
              </w:rPr>
              <w:t>99.96万元</w:t>
            </w:r>
          </w:p>
        </w:tc>
        <w:tc>
          <w:tcPr>
            <w:tcW w:w="1698" w:type="dxa"/>
            <w:noWrap w:val="0"/>
            <w:vAlign w:val="center"/>
          </w:tcPr>
          <w:p>
            <w:pPr>
              <w:pStyle w:val="6"/>
              <w:pBdr>
                <w:top w:val="none" w:color="auto" w:sz="0" w:space="1"/>
                <w:left w:val="none" w:color="auto" w:sz="0" w:space="4"/>
                <w:bottom w:val="none" w:color="auto" w:sz="0" w:space="1"/>
                <w:right w:val="none" w:color="auto" w:sz="0" w:space="4"/>
              </w:pBdr>
              <w:tabs>
                <w:tab w:val="center" w:pos="4153"/>
                <w:tab w:val="right" w:pos="8306"/>
              </w:tabs>
              <w:snapToGrid w:val="0"/>
              <w:spacing w:beforeLines="0" w:line="420" w:lineRule="exact"/>
              <w:jc w:val="center"/>
              <w:rPr>
                <w:rFonts w:hAnsi="宋体"/>
                <w:kern w:val="2"/>
                <w:sz w:val="24"/>
                <w:szCs w:val="24"/>
              </w:rPr>
            </w:pPr>
            <w:r>
              <w:rPr>
                <w:rFonts w:hint="eastAsia" w:hAnsi="宋体"/>
                <w:kern w:val="2"/>
                <w:sz w:val="24"/>
                <w:szCs w:val="24"/>
                <w:lang w:val="zh-CN"/>
              </w:rPr>
              <w:t>财政拨款</w:t>
            </w:r>
          </w:p>
        </w:tc>
        <w:tc>
          <w:tcPr>
            <w:tcW w:w="4098" w:type="dxa"/>
            <w:noWrap w:val="0"/>
            <w:vAlign w:val="top"/>
          </w:tcPr>
          <w:p>
            <w:pPr>
              <w:pStyle w:val="6"/>
              <w:pBdr>
                <w:top w:val="none" w:color="auto" w:sz="0" w:space="1"/>
                <w:left w:val="none" w:color="auto" w:sz="0" w:space="4"/>
                <w:bottom w:val="none" w:color="auto" w:sz="0" w:space="1"/>
                <w:right w:val="none" w:color="auto" w:sz="0" w:space="4"/>
              </w:pBdr>
              <w:tabs>
                <w:tab w:val="center" w:pos="4153"/>
                <w:tab w:val="right" w:pos="8306"/>
              </w:tabs>
              <w:snapToGrid w:val="0"/>
              <w:spacing w:beforeLines="0" w:line="420" w:lineRule="exact"/>
              <w:jc w:val="center"/>
              <w:rPr>
                <w:rFonts w:hAnsi="宋体"/>
                <w:kern w:val="2"/>
                <w:sz w:val="24"/>
                <w:szCs w:val="24"/>
                <w:lang w:val="zh-CN"/>
              </w:rPr>
            </w:pPr>
            <w:r>
              <w:rPr>
                <w:rFonts w:hint="eastAsia" w:hAnsi="宋体"/>
                <w:kern w:val="2"/>
                <w:sz w:val="24"/>
                <w:szCs w:val="24"/>
                <w:lang w:val="zh-CN"/>
              </w:rPr>
              <w:t>支付范围、支付标准、支付进度、支付依据等合规合法、是与预算相符。</w:t>
            </w:r>
          </w:p>
        </w:tc>
      </w:tr>
    </w:tbl>
    <w:p>
      <w:pPr>
        <w:adjustRightInd w:val="0"/>
        <w:snapToGrid w:val="0"/>
        <w:spacing w:line="576" w:lineRule="exact"/>
        <w:ind w:left="105" w:firstLine="476" w:firstLineChars="149"/>
        <w:rPr>
          <w:rFonts w:ascii="楷体_GB2312" w:hAnsi="宋体" w:eastAsia="楷体_GB2312"/>
          <w:sz w:val="32"/>
          <w:szCs w:val="32"/>
          <w:lang w:val="zh-CN"/>
        </w:rPr>
      </w:pPr>
      <w:r>
        <w:rPr>
          <w:rFonts w:hint="eastAsia" w:ascii="楷体_GB2312" w:hAnsi="宋体" w:eastAsia="楷体_GB2312"/>
          <w:sz w:val="32"/>
          <w:szCs w:val="32"/>
          <w:lang w:val="zh-CN"/>
        </w:rPr>
        <w:t>（三）项目财务管理情况</w:t>
      </w:r>
    </w:p>
    <w:p>
      <w:pPr>
        <w:spacing w:line="576" w:lineRule="exact"/>
        <w:ind w:left="105" w:firstLine="640" w:firstLineChars="200"/>
        <w:rPr>
          <w:rFonts w:ascii="仿宋_GB2312" w:hAnsi="宋体" w:eastAsia="仿宋_GB2312" w:cs="仿宋_GB2312"/>
          <w:sz w:val="32"/>
          <w:szCs w:val="32"/>
          <w:lang w:val="zh-CN"/>
        </w:rPr>
      </w:pPr>
      <w:r>
        <w:rPr>
          <w:rFonts w:hint="eastAsia" w:ascii="仿宋_GB2312" w:hAnsi="宋体" w:eastAsia="仿宋_GB2312" w:cs="仿宋_GB2312"/>
          <w:sz w:val="32"/>
          <w:szCs w:val="32"/>
        </w:rPr>
        <w:t>项目资金支付严格</w:t>
      </w:r>
      <w:r>
        <w:rPr>
          <w:rFonts w:hint="eastAsia" w:ascii="仿宋_GB2312" w:hAnsi="宋体" w:eastAsia="仿宋_GB2312" w:cs="仿宋_GB2312"/>
          <w:sz w:val="32"/>
          <w:szCs w:val="32"/>
          <w:lang w:val="zh-CN"/>
        </w:rPr>
        <w:t>执行单位财务制度规定的报销流程，</w:t>
      </w:r>
      <w:r>
        <w:rPr>
          <w:rFonts w:hint="eastAsia" w:ascii="仿宋_GB2312" w:hAnsi="宋体" w:eastAsia="仿宋_GB2312" w:cs="仿宋_GB2312"/>
          <w:sz w:val="32"/>
          <w:szCs w:val="32"/>
        </w:rPr>
        <w:t>应附与经济业务事项相关的合法合规的原始凭证和附件，需经办人签字，科室负责人、业务分管领导及财务分管领导审批后才能进行支付。</w:t>
      </w:r>
      <w:r>
        <w:rPr>
          <w:rFonts w:hint="eastAsia" w:ascii="仿宋_GB2312" w:hAnsi="宋体" w:eastAsia="仿宋_GB2312" w:cs="仿宋_GB2312"/>
          <w:sz w:val="32"/>
          <w:szCs w:val="32"/>
          <w:lang w:val="zh-CN"/>
        </w:rPr>
        <w:t>账务处理及时，会计核算规范有序。</w:t>
      </w:r>
    </w:p>
    <w:p>
      <w:pPr>
        <w:adjustRightInd w:val="0"/>
        <w:snapToGrid w:val="0"/>
        <w:spacing w:line="576" w:lineRule="exact"/>
        <w:ind w:left="105" w:firstLine="640" w:firstLineChars="200"/>
        <w:rPr>
          <w:rFonts w:ascii="黑体" w:hAnsi="黑体" w:eastAsia="黑体"/>
          <w:sz w:val="32"/>
          <w:szCs w:val="32"/>
          <w:lang w:val="zh-CN"/>
        </w:rPr>
      </w:pPr>
      <w:bookmarkStart w:id="96" w:name="_Toc615581813_WPSOffice_Level2"/>
      <w:r>
        <w:rPr>
          <w:rFonts w:hint="eastAsia" w:ascii="黑体" w:hAnsi="黑体" w:eastAsia="黑体"/>
          <w:sz w:val="32"/>
          <w:szCs w:val="32"/>
        </w:rPr>
        <w:t>三、项目实施及管理情况</w:t>
      </w:r>
      <w:bookmarkEnd w:id="96"/>
    </w:p>
    <w:p>
      <w:pPr>
        <w:pStyle w:val="13"/>
        <w:widowControl/>
        <w:shd w:val="clear" w:color="auto" w:fill="FFFFFF"/>
        <w:spacing w:before="0" w:beforeAutospacing="0" w:after="0" w:afterAutospacing="0" w:line="576" w:lineRule="exact"/>
        <w:ind w:firstLine="600"/>
        <w:textAlignment w:val="baseline"/>
        <w:rPr>
          <w:rFonts w:ascii="仿宋_GB2312" w:hAnsi="宋体" w:eastAsia="仿宋_GB2312" w:cs="仿宋"/>
          <w:color w:val="000000"/>
          <w:sz w:val="32"/>
          <w:szCs w:val="32"/>
        </w:rPr>
      </w:pPr>
      <w:r>
        <w:rPr>
          <w:rFonts w:hint="eastAsia" w:ascii="楷体_GB2312" w:hAnsi="宋体" w:eastAsia="楷体_GB2312"/>
          <w:sz w:val="32"/>
          <w:szCs w:val="32"/>
          <w:lang w:val="zh-CN"/>
        </w:rPr>
        <w:t>（一）项目组织架构及实施流程。</w:t>
      </w:r>
      <w:r>
        <w:rPr>
          <w:rFonts w:hint="eastAsia" w:ascii="楷体_GB2312" w:hAnsi="宋体" w:eastAsia="楷体_GB2312" w:cs="仿宋_GB2312"/>
          <w:kern w:val="2"/>
          <w:sz w:val="32"/>
          <w:szCs w:val="32"/>
        </w:rPr>
        <w:t>我</w:t>
      </w:r>
      <w:r>
        <w:rPr>
          <w:rFonts w:hint="eastAsia" w:ascii="仿宋_GB2312" w:hAnsi="宋体" w:eastAsia="仿宋_GB2312" w:cs="仿宋_GB2312"/>
          <w:kern w:val="2"/>
          <w:sz w:val="32"/>
          <w:szCs w:val="32"/>
        </w:rPr>
        <w:t>中心根据广元市财政局的工作精神，有计划有步骤地开展了</w:t>
      </w:r>
      <w:r>
        <w:rPr>
          <w:rFonts w:hint="eastAsia" w:ascii="仿宋_GB2312" w:hAnsi="宋体" w:eastAsia="仿宋_GB2312" w:cs="仿宋_GB2312"/>
          <w:kern w:val="2"/>
          <w:sz w:val="32"/>
          <w:szCs w:val="32"/>
          <w:lang w:val="zh-CN"/>
        </w:rPr>
        <w:t>网络及信息系统运维费</w:t>
      </w:r>
      <w:r>
        <w:rPr>
          <w:rFonts w:hint="eastAsia" w:ascii="仿宋_GB2312" w:hAnsi="宋体" w:eastAsia="仿宋_GB2312" w:cs="仿宋_GB2312"/>
          <w:kern w:val="2"/>
          <w:sz w:val="32"/>
          <w:szCs w:val="32"/>
        </w:rPr>
        <w:t>项目工作。该项目资金具体用途如下：</w:t>
      </w:r>
    </w:p>
    <w:p>
      <w:pPr>
        <w:pStyle w:val="13"/>
        <w:widowControl/>
        <w:shd w:val="clear" w:color="auto" w:fill="FFFFFF"/>
        <w:spacing w:before="0" w:beforeAutospacing="0" w:after="0" w:afterAutospacing="0" w:line="576" w:lineRule="exact"/>
        <w:ind w:firstLine="600"/>
        <w:textAlignment w:val="baseline"/>
        <w:rPr>
          <w:rFonts w:ascii="仿宋_GB2312" w:hAnsi="宋体" w:eastAsia="仿宋_GB2312" w:cs="仿宋_GB2312"/>
          <w:kern w:val="2"/>
          <w:sz w:val="32"/>
          <w:szCs w:val="32"/>
        </w:rPr>
      </w:pPr>
      <w:r>
        <w:rPr>
          <w:rFonts w:hint="eastAsia" w:ascii="仿宋_GB2312" w:hAnsi="宋体" w:eastAsia="仿宋_GB2312" w:cs="仿宋_GB2312"/>
          <w:kern w:val="2"/>
          <w:sz w:val="32"/>
          <w:szCs w:val="32"/>
        </w:rPr>
        <w:t>主要用于政务中心（含大厅）触摸屏、评价仪、电脑等各类设备设施购置维修及党政务网、政务外网等网络系统的日常维护，预算资金100.72万元，实际执行99.96万元，资金执行率99.9%。</w:t>
      </w:r>
    </w:p>
    <w:p>
      <w:pPr>
        <w:pStyle w:val="13"/>
        <w:widowControl/>
        <w:shd w:val="clear" w:color="auto" w:fill="FFFFFF"/>
        <w:spacing w:before="0" w:beforeAutospacing="0" w:after="0" w:afterAutospacing="0" w:line="576" w:lineRule="exact"/>
        <w:ind w:firstLine="600"/>
        <w:textAlignment w:val="baseline"/>
        <w:rPr>
          <w:rFonts w:ascii="仿宋_GB2312" w:hAnsi="宋体" w:eastAsia="仿宋_GB2312" w:cs="仿宋"/>
          <w:bCs/>
          <w:sz w:val="32"/>
          <w:szCs w:val="32"/>
          <w:lang w:val="zh-CN"/>
        </w:rPr>
      </w:pPr>
      <w:r>
        <w:rPr>
          <w:rFonts w:hint="eastAsia" w:ascii="楷体_GB2312" w:hAnsi="宋体" w:eastAsia="楷体_GB2312"/>
          <w:sz w:val="32"/>
          <w:szCs w:val="32"/>
          <w:lang w:val="zh-CN"/>
        </w:rPr>
        <w:t>（二）项目管理情况。</w:t>
      </w:r>
      <w:r>
        <w:rPr>
          <w:rFonts w:hint="eastAsia" w:ascii="仿宋_GB2312" w:hAnsi="宋体" w:eastAsia="仿宋_GB2312" w:cs="仿宋_GB2312"/>
          <w:kern w:val="2"/>
          <w:sz w:val="32"/>
          <w:szCs w:val="32"/>
        </w:rPr>
        <w:t>项目经费严格按照单位的财务制度和预算支出范围的使用。由广元市财政局国库支付局统一核算，按照项目计划安排和实际工作情况开支，做到了专款专用，经费均按广元市财政局印发有关文件、通知精神执行。</w:t>
      </w:r>
    </w:p>
    <w:p>
      <w:pPr>
        <w:adjustRightInd w:val="0"/>
        <w:snapToGrid w:val="0"/>
        <w:spacing w:line="576" w:lineRule="exact"/>
        <w:ind w:firstLine="640" w:firstLineChars="200"/>
        <w:rPr>
          <w:rFonts w:ascii="仿宋_GB2312" w:hAnsi="宋体" w:eastAsia="仿宋_GB2312" w:cs="宋体"/>
          <w:color w:val="000000"/>
          <w:sz w:val="32"/>
          <w:szCs w:val="32"/>
          <w:shd w:val="clear" w:color="auto" w:fill="FFFFFF"/>
        </w:rPr>
      </w:pPr>
      <w:r>
        <w:rPr>
          <w:rFonts w:hint="eastAsia" w:ascii="楷体_GB2312" w:hAnsi="宋体" w:eastAsia="楷体_GB2312"/>
          <w:kern w:val="0"/>
          <w:sz w:val="32"/>
          <w:szCs w:val="32"/>
          <w:lang w:val="zh-CN"/>
        </w:rPr>
        <w:t>（三）项目监管情况。</w:t>
      </w:r>
      <w:r>
        <w:rPr>
          <w:rFonts w:hint="eastAsia" w:ascii="仿宋_GB2312" w:hAnsi="宋体" w:eastAsia="仿宋_GB2312" w:cs="仿宋"/>
          <w:color w:val="000000"/>
          <w:sz w:val="32"/>
          <w:szCs w:val="32"/>
          <w:shd w:val="clear" w:color="auto" w:fill="FFFFFF"/>
        </w:rPr>
        <w:t>本项目支出均按照有关规章制度和项目实施完成情况进行支付。并建立相关的管理制度，</w:t>
      </w:r>
      <w:r>
        <w:rPr>
          <w:rFonts w:hint="eastAsia" w:ascii="仿宋_GB2312" w:hAnsi="宋体" w:eastAsia="仿宋_GB2312"/>
          <w:bCs/>
          <w:sz w:val="32"/>
          <w:szCs w:val="32"/>
          <w:lang w:val="zh-CN"/>
        </w:rPr>
        <w:t>单位</w:t>
      </w:r>
      <w:r>
        <w:rPr>
          <w:rFonts w:hint="eastAsia" w:ascii="仿宋_GB2312" w:hAnsi="宋体" w:eastAsia="仿宋_GB2312"/>
          <w:bCs/>
          <w:kern w:val="0"/>
          <w:sz w:val="32"/>
          <w:szCs w:val="32"/>
          <w:lang w:val="zh-CN"/>
        </w:rPr>
        <w:t>内控工作小组与现场监督科定期对项目的实施进度和支付情况进行监督检查。对进度较慢的项目进行督促指导，对不合规、不合理的情况进行指正并立即要求整改</w:t>
      </w:r>
      <w:r>
        <w:rPr>
          <w:rFonts w:hint="eastAsia" w:ascii="仿宋_GB2312" w:hAnsi="宋体" w:eastAsia="仿宋_GB2312" w:cs="宋体"/>
          <w:color w:val="000000"/>
          <w:sz w:val="32"/>
          <w:szCs w:val="32"/>
          <w:shd w:val="clear" w:color="auto" w:fill="FFFFFF"/>
        </w:rPr>
        <w:t>。</w:t>
      </w:r>
    </w:p>
    <w:p>
      <w:pPr>
        <w:adjustRightInd w:val="0"/>
        <w:snapToGrid w:val="0"/>
        <w:spacing w:line="576" w:lineRule="exact"/>
        <w:ind w:left="48" w:leftChars="23" w:firstLine="736" w:firstLineChars="230"/>
        <w:rPr>
          <w:rFonts w:ascii="黑体" w:hAnsi="黑体" w:eastAsia="黑体"/>
          <w:sz w:val="32"/>
          <w:szCs w:val="32"/>
          <w:lang w:val="zh-CN"/>
        </w:rPr>
      </w:pPr>
      <w:bookmarkStart w:id="97" w:name="_Toc2001069541_WPSOffice_Level2"/>
      <w:r>
        <w:rPr>
          <w:rFonts w:hint="eastAsia" w:ascii="黑体" w:hAnsi="黑体" w:eastAsia="黑体"/>
          <w:sz w:val="32"/>
          <w:szCs w:val="32"/>
        </w:rPr>
        <w:t>四、项目绩效情况</w:t>
      </w:r>
      <w:bookmarkEnd w:id="97"/>
    </w:p>
    <w:p>
      <w:pPr>
        <w:adjustRightInd w:val="0"/>
        <w:snapToGrid w:val="0"/>
        <w:spacing w:line="576" w:lineRule="exact"/>
        <w:ind w:left="105" w:firstLine="480" w:firstLineChars="150"/>
        <w:rPr>
          <w:rFonts w:ascii="楷体_GB2312" w:hAnsi="宋体" w:eastAsia="楷体_GB2312"/>
          <w:kern w:val="0"/>
          <w:sz w:val="32"/>
          <w:szCs w:val="32"/>
          <w:lang w:val="zh-CN"/>
        </w:rPr>
      </w:pPr>
      <w:r>
        <w:rPr>
          <w:rFonts w:hint="eastAsia" w:ascii="楷体_GB2312" w:hAnsi="宋体" w:eastAsia="楷体_GB2312"/>
          <w:kern w:val="0"/>
          <w:sz w:val="32"/>
          <w:szCs w:val="32"/>
          <w:lang w:val="zh-CN"/>
        </w:rPr>
        <w:t>（一）项目完成情况</w:t>
      </w:r>
    </w:p>
    <w:p>
      <w:pPr>
        <w:adjustRightInd w:val="0"/>
        <w:snapToGrid w:val="0"/>
        <w:spacing w:line="576" w:lineRule="exact"/>
        <w:ind w:firstLine="640" w:firstLineChars="200"/>
        <w:rPr>
          <w:rFonts w:ascii="仿宋_GB2312" w:hAnsi="宋体" w:eastAsia="仿宋_GB2312"/>
          <w:b/>
          <w:sz w:val="32"/>
          <w:szCs w:val="32"/>
          <w:lang w:val="zh-CN"/>
        </w:rPr>
      </w:pPr>
      <w:r>
        <w:rPr>
          <w:rFonts w:hint="eastAsia" w:ascii="仿宋_GB2312" w:hAnsi="宋体" w:eastAsia="仿宋_GB2312"/>
          <w:sz w:val="32"/>
          <w:szCs w:val="32"/>
        </w:rPr>
        <w:t>年初下达</w:t>
      </w:r>
      <w:r>
        <w:rPr>
          <w:rFonts w:hint="eastAsia" w:ascii="仿宋_GB2312" w:hAnsi="宋体" w:eastAsia="仿宋_GB2312" w:cs="仿宋"/>
          <w:color w:val="000000"/>
          <w:sz w:val="32"/>
          <w:szCs w:val="32"/>
          <w:lang w:val="zh-CN"/>
        </w:rPr>
        <w:t>网络及信息系统运维费</w:t>
      </w:r>
      <w:r>
        <w:rPr>
          <w:rFonts w:hint="eastAsia" w:ascii="仿宋_GB2312" w:hAnsi="宋体" w:eastAsia="仿宋_GB2312"/>
          <w:sz w:val="32"/>
          <w:szCs w:val="32"/>
        </w:rPr>
        <w:t>100.72万元，实际支付99.96万元，执行率99.9%，完成情况好。</w:t>
      </w:r>
    </w:p>
    <w:p>
      <w:pPr>
        <w:adjustRightInd w:val="0"/>
        <w:snapToGrid w:val="0"/>
        <w:spacing w:line="576" w:lineRule="exact"/>
        <w:ind w:left="105" w:firstLine="480" w:firstLineChars="150"/>
        <w:rPr>
          <w:rFonts w:ascii="楷体_GB2312" w:hAnsi="宋体" w:eastAsia="楷体_GB2312"/>
          <w:kern w:val="0"/>
          <w:sz w:val="32"/>
          <w:szCs w:val="32"/>
          <w:lang w:val="zh-CN"/>
        </w:rPr>
      </w:pPr>
      <w:r>
        <w:rPr>
          <w:rFonts w:hint="eastAsia" w:ascii="楷体_GB2312" w:hAnsi="宋体" w:eastAsia="楷体_GB2312"/>
          <w:kern w:val="0"/>
          <w:sz w:val="32"/>
          <w:szCs w:val="32"/>
          <w:lang w:val="zh-CN"/>
        </w:rPr>
        <w:t>（二）项目效益情况</w:t>
      </w:r>
    </w:p>
    <w:p>
      <w:pPr>
        <w:adjustRightInd w:val="0"/>
        <w:snapToGrid w:val="0"/>
        <w:spacing w:line="576" w:lineRule="exact"/>
        <w:ind w:left="105"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该项目顺利实施，大力提高了政务服务中心标准化建设质量及政务服务工作水平，保障了政务中心综合楼的网络设施设备的安全及通畅运行。办事群众满意度达</w:t>
      </w:r>
      <w:r>
        <w:rPr>
          <w:rFonts w:hint="eastAsia" w:ascii="仿宋_GB2312" w:hAnsi="宋体" w:eastAsia="仿宋_GB2312"/>
          <w:sz w:val="32"/>
          <w:szCs w:val="32"/>
        </w:rPr>
        <w:t>95%。</w:t>
      </w:r>
    </w:p>
    <w:p>
      <w:pPr>
        <w:adjustRightInd w:val="0"/>
        <w:snapToGrid w:val="0"/>
        <w:spacing w:line="576" w:lineRule="exact"/>
        <w:ind w:left="105" w:firstLine="640" w:firstLineChars="200"/>
        <w:rPr>
          <w:rFonts w:ascii="黑体" w:hAnsi="黑体" w:eastAsia="黑体"/>
          <w:sz w:val="32"/>
          <w:szCs w:val="32"/>
        </w:rPr>
      </w:pPr>
      <w:bookmarkStart w:id="98" w:name="_Toc880550155_WPSOffice_Level2"/>
      <w:r>
        <w:rPr>
          <w:rFonts w:hint="eastAsia" w:ascii="黑体" w:hAnsi="黑体" w:eastAsia="黑体"/>
          <w:sz w:val="32"/>
          <w:szCs w:val="32"/>
        </w:rPr>
        <w:t>五、评价结论及建议</w:t>
      </w:r>
      <w:bookmarkEnd w:id="98"/>
    </w:p>
    <w:p>
      <w:pPr>
        <w:adjustRightInd w:val="0"/>
        <w:snapToGrid w:val="0"/>
        <w:spacing w:line="576" w:lineRule="exact"/>
        <w:ind w:left="105" w:firstLine="640" w:firstLineChars="200"/>
        <w:rPr>
          <w:rFonts w:ascii="楷体_GB2312" w:hAnsi="宋体" w:eastAsia="楷体_GB2312"/>
          <w:kern w:val="0"/>
          <w:sz w:val="32"/>
          <w:szCs w:val="32"/>
          <w:lang w:val="zh-CN"/>
        </w:rPr>
      </w:pPr>
      <w:r>
        <w:rPr>
          <w:rFonts w:hint="eastAsia" w:ascii="楷体_GB2312" w:hAnsi="宋体" w:eastAsia="楷体_GB2312"/>
          <w:kern w:val="0"/>
          <w:sz w:val="32"/>
          <w:szCs w:val="32"/>
          <w:lang w:val="zh-CN"/>
        </w:rPr>
        <w:t>（一）评价结论</w:t>
      </w:r>
    </w:p>
    <w:p>
      <w:pPr>
        <w:adjustRightInd w:val="0"/>
        <w:snapToGrid w:val="0"/>
        <w:spacing w:line="576" w:lineRule="exact"/>
        <w:ind w:left="105" w:leftChars="50" w:firstLine="640" w:firstLineChars="200"/>
        <w:rPr>
          <w:rFonts w:ascii="仿宋_GB2312" w:hAnsi="宋体" w:eastAsia="仿宋_GB2312" w:cs="仿宋"/>
          <w:sz w:val="32"/>
          <w:szCs w:val="32"/>
        </w:rPr>
      </w:pPr>
      <w:r>
        <w:rPr>
          <w:rFonts w:hint="eastAsia" w:ascii="仿宋_GB2312" w:hAnsi="宋体" w:eastAsia="仿宋_GB2312"/>
          <w:sz w:val="32"/>
          <w:szCs w:val="32"/>
        </w:rPr>
        <w:t>结合中心工作实际情况，</w:t>
      </w:r>
      <w:r>
        <w:rPr>
          <w:rFonts w:hint="eastAsia" w:ascii="仿宋_GB2312" w:hAnsi="宋体" w:eastAsia="仿宋_GB2312" w:cs="仿宋_GB2312"/>
          <w:kern w:val="0"/>
          <w:sz w:val="32"/>
          <w:szCs w:val="32"/>
        </w:rPr>
        <w:t>对照《2020年市级财政项目支出绩效评价指标体系》进行自评</w:t>
      </w:r>
      <w:r>
        <w:rPr>
          <w:rFonts w:hint="eastAsia" w:ascii="仿宋_GB2312" w:hAnsi="宋体" w:eastAsia="仿宋_GB2312"/>
          <w:sz w:val="32"/>
          <w:szCs w:val="32"/>
        </w:rPr>
        <w:t>打分，综合得分98分，项目支出绩效为评价为“优”。</w:t>
      </w:r>
    </w:p>
    <w:p>
      <w:pPr>
        <w:adjustRightInd w:val="0"/>
        <w:snapToGrid w:val="0"/>
        <w:spacing w:line="576" w:lineRule="exact"/>
        <w:ind w:left="105" w:leftChars="50" w:firstLine="640" w:firstLineChars="200"/>
        <w:rPr>
          <w:rFonts w:ascii="楷体_GB2312" w:hAnsi="宋体" w:eastAsia="楷体_GB2312"/>
          <w:kern w:val="0"/>
          <w:sz w:val="32"/>
          <w:szCs w:val="32"/>
          <w:lang w:val="zh-CN"/>
        </w:rPr>
      </w:pPr>
      <w:r>
        <w:rPr>
          <w:rFonts w:hint="eastAsia" w:ascii="楷体_GB2312" w:hAnsi="宋体" w:eastAsia="楷体_GB2312"/>
          <w:kern w:val="0"/>
          <w:sz w:val="32"/>
          <w:szCs w:val="32"/>
          <w:lang w:val="zh-CN"/>
        </w:rPr>
        <w:t>（二）存在的问题</w:t>
      </w:r>
    </w:p>
    <w:p>
      <w:pPr>
        <w:pStyle w:val="6"/>
        <w:spacing w:beforeLines="0" w:line="576" w:lineRule="exact"/>
        <w:ind w:firstLine="640" w:firstLineChars="200"/>
        <w:rPr>
          <w:rFonts w:hAnsi="宋体" w:cs="仿宋_GB2312"/>
          <w:kern w:val="2"/>
          <w:sz w:val="32"/>
          <w:szCs w:val="32"/>
        </w:rPr>
      </w:pPr>
      <w:r>
        <w:rPr>
          <w:rFonts w:hint="eastAsia" w:hAnsi="宋体" w:cs="仿宋_GB2312"/>
          <w:kern w:val="2"/>
          <w:sz w:val="32"/>
          <w:szCs w:val="32"/>
        </w:rPr>
        <w:t>1.由于项目申报时支出规划不是很完善，导致项目资金支付略有不足。</w:t>
      </w:r>
    </w:p>
    <w:p>
      <w:pPr>
        <w:widowControl/>
        <w:spacing w:line="540" w:lineRule="exact"/>
        <w:jc w:val="center"/>
        <w:textAlignment w:val="center"/>
        <w:rPr>
          <w:rFonts w:hint="eastAsia" w:ascii="仿宋_GB2312" w:hAnsi="宋体" w:eastAsia="仿宋_GB2312" w:cs="仿宋_GB2312"/>
          <w:sz w:val="32"/>
          <w:szCs w:val="32"/>
        </w:rPr>
      </w:pPr>
      <w:r>
        <w:rPr>
          <w:rFonts w:hint="eastAsia" w:ascii="仿宋_GB2312" w:hAnsi="宋体" w:eastAsia="仿宋_GB2312" w:cs="仿宋_GB2312"/>
          <w:sz w:val="32"/>
          <w:szCs w:val="32"/>
        </w:rPr>
        <w:t>2.项目经费使用严格按照相关规定执行，但仍存在支出进度缓慢，材料报送不及时等问题，针对项目执行时出现的问题，及时改进，加快材料报送与审核流程，确保项目经费支出符</w:t>
      </w:r>
    </w:p>
    <w:p>
      <w:pPr>
        <w:widowControl/>
        <w:spacing w:line="540" w:lineRule="exact"/>
        <w:jc w:val="both"/>
        <w:textAlignment w:val="center"/>
        <w:rPr>
          <w:rFonts w:hint="eastAsia" w:ascii="仿宋_GB2312" w:hAnsi="宋体" w:eastAsia="仿宋_GB2312" w:cs="仿宋_GB2312"/>
          <w:sz w:val="32"/>
          <w:szCs w:val="32"/>
        </w:rPr>
      </w:pPr>
      <w:r>
        <w:rPr>
          <w:rFonts w:hint="eastAsia" w:ascii="仿宋_GB2312" w:hAnsi="宋体" w:eastAsia="仿宋_GB2312" w:cs="仿宋_GB2312"/>
          <w:sz w:val="32"/>
          <w:szCs w:val="32"/>
        </w:rPr>
        <w:t>合相关规定并按时支出。</w:t>
      </w:r>
    </w:p>
    <w:p>
      <w:pPr>
        <w:pStyle w:val="2"/>
        <w:rPr>
          <w:rFonts w:hint="eastAsia"/>
        </w:rPr>
      </w:pPr>
    </w:p>
    <w:p>
      <w:pPr>
        <w:widowControl/>
        <w:spacing w:line="540" w:lineRule="exact"/>
        <w:jc w:val="center"/>
        <w:textAlignment w:val="center"/>
        <w:rPr>
          <w:rFonts w:hint="eastAsia" w:ascii="仿宋_GB2312" w:hAnsi="宋体" w:eastAsia="仿宋_GB2312" w:cs="仿宋_GB2312"/>
          <w:sz w:val="32"/>
          <w:szCs w:val="32"/>
        </w:rPr>
      </w:pPr>
    </w:p>
    <w:p>
      <w:pPr>
        <w:widowControl/>
        <w:spacing w:line="540" w:lineRule="exact"/>
        <w:jc w:val="center"/>
        <w:textAlignment w:val="center"/>
        <w:rPr>
          <w:rFonts w:hint="eastAsia" w:ascii="仿宋_GB2312" w:hAnsi="宋体" w:eastAsia="仿宋_GB2312" w:cs="仿宋_GB2312"/>
          <w:sz w:val="32"/>
          <w:szCs w:val="32"/>
        </w:rPr>
      </w:pPr>
    </w:p>
    <w:p>
      <w:pPr>
        <w:widowControl/>
        <w:spacing w:line="540" w:lineRule="exact"/>
        <w:jc w:val="center"/>
        <w:textAlignment w:val="center"/>
        <w:rPr>
          <w:rFonts w:hint="eastAsia" w:ascii="方正小标宋简体" w:hAnsi="宋体" w:eastAsia="方正小标宋简体" w:cs="宋体"/>
          <w:bCs/>
          <w:color w:val="000000"/>
          <w:kern w:val="0"/>
          <w:sz w:val="44"/>
          <w:szCs w:val="44"/>
          <w:lang w:bidi="ar"/>
        </w:rPr>
      </w:pPr>
      <w:r>
        <w:rPr>
          <w:rFonts w:hint="eastAsia" w:ascii="方正小标宋简体" w:hAnsi="宋体" w:eastAsia="方正小标宋简体" w:cs="宋体"/>
          <w:bCs/>
          <w:color w:val="000000"/>
          <w:kern w:val="0"/>
          <w:sz w:val="44"/>
          <w:szCs w:val="44"/>
          <w:lang w:bidi="ar"/>
        </w:rPr>
        <w:t>网络及信息系统运维费</w:t>
      </w:r>
    </w:p>
    <w:p>
      <w:pPr>
        <w:widowControl/>
        <w:spacing w:line="540" w:lineRule="exact"/>
        <w:jc w:val="center"/>
        <w:textAlignment w:val="center"/>
        <w:rPr>
          <w:rFonts w:hint="eastAsia" w:ascii="方正小标宋简体" w:hAnsi="宋体" w:eastAsia="方正小标宋简体" w:cs="宋体"/>
          <w:bCs/>
          <w:color w:val="000000"/>
          <w:kern w:val="0"/>
          <w:sz w:val="44"/>
          <w:szCs w:val="44"/>
          <w:lang w:bidi="ar"/>
        </w:rPr>
      </w:pPr>
      <w:r>
        <w:rPr>
          <w:rFonts w:hint="eastAsia" w:ascii="方正小标宋简体" w:hAnsi="宋体" w:eastAsia="方正小标宋简体" w:cs="宋体"/>
          <w:bCs/>
          <w:color w:val="000000"/>
          <w:kern w:val="0"/>
          <w:sz w:val="44"/>
          <w:szCs w:val="44"/>
          <w:lang w:bidi="ar"/>
        </w:rPr>
        <w:t>项目绩效目标完成情况表</w:t>
      </w:r>
    </w:p>
    <w:tbl>
      <w:tblPr>
        <w:tblStyle w:val="15"/>
        <w:tblpPr w:leftFromText="180" w:rightFromText="180" w:vertAnchor="text" w:horzAnchor="page" w:tblpX="968" w:tblpY="1102"/>
        <w:tblOverlap w:val="never"/>
        <w:tblW w:w="9960" w:type="dxa"/>
        <w:jc w:val="center"/>
        <w:tblLayout w:type="fixed"/>
        <w:tblCellMar>
          <w:top w:w="0" w:type="dxa"/>
          <w:left w:w="0" w:type="dxa"/>
          <w:bottom w:w="0" w:type="dxa"/>
          <w:right w:w="0" w:type="dxa"/>
        </w:tblCellMar>
      </w:tblPr>
      <w:tblGrid>
        <w:gridCol w:w="724"/>
        <w:gridCol w:w="936"/>
        <w:gridCol w:w="1122"/>
        <w:gridCol w:w="2392"/>
        <w:gridCol w:w="2394"/>
        <w:gridCol w:w="2392"/>
      </w:tblGrid>
      <w:tr>
        <w:tblPrEx>
          <w:tblCellMar>
            <w:top w:w="0" w:type="dxa"/>
            <w:left w:w="0" w:type="dxa"/>
            <w:bottom w:w="0" w:type="dxa"/>
            <w:right w:w="0" w:type="dxa"/>
          </w:tblCellMar>
        </w:tblPrEx>
        <w:trPr>
          <w:trHeight w:val="276" w:hRule="atLeast"/>
          <w:jc w:val="center"/>
        </w:trPr>
        <w:tc>
          <w:tcPr>
            <w:tcW w:w="278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项目名称</w:t>
            </w:r>
          </w:p>
        </w:tc>
        <w:tc>
          <w:tcPr>
            <w:tcW w:w="7178"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网络及信息系统运维费</w:t>
            </w:r>
          </w:p>
        </w:tc>
      </w:tr>
      <w:tr>
        <w:tblPrEx>
          <w:tblCellMar>
            <w:top w:w="0" w:type="dxa"/>
            <w:left w:w="0" w:type="dxa"/>
            <w:bottom w:w="0" w:type="dxa"/>
            <w:right w:w="0" w:type="dxa"/>
          </w:tblCellMar>
        </w:tblPrEx>
        <w:trPr>
          <w:trHeight w:val="276" w:hRule="atLeast"/>
          <w:jc w:val="center"/>
        </w:trPr>
        <w:tc>
          <w:tcPr>
            <w:tcW w:w="278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预算单位</w:t>
            </w:r>
          </w:p>
        </w:tc>
        <w:tc>
          <w:tcPr>
            <w:tcW w:w="7178"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广元市政务服务和公共资源交易中心</w:t>
            </w:r>
          </w:p>
        </w:tc>
      </w:tr>
      <w:tr>
        <w:tblPrEx>
          <w:tblCellMar>
            <w:top w:w="0" w:type="dxa"/>
            <w:left w:w="0" w:type="dxa"/>
            <w:bottom w:w="0" w:type="dxa"/>
            <w:right w:w="0" w:type="dxa"/>
          </w:tblCellMar>
        </w:tblPrEx>
        <w:trPr>
          <w:trHeight w:val="276" w:hRule="atLeast"/>
          <w:jc w:val="center"/>
        </w:trPr>
        <w:tc>
          <w:tcPr>
            <w:tcW w:w="724"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预算执行情况(万元)</w:t>
            </w:r>
          </w:p>
        </w:tc>
        <w:tc>
          <w:tcPr>
            <w:tcW w:w="205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预算数:</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100.72</w:t>
            </w:r>
            <w:r>
              <w:rPr>
                <w:rFonts w:hint="eastAsia" w:ascii="仿宋_GB2312" w:hAnsi="仿宋_GB2312" w:eastAsia="仿宋_GB2312" w:cs="仿宋_GB2312"/>
                <w:color w:val="000000"/>
                <w:sz w:val="24"/>
              </w:rPr>
              <w:t>万元</w:t>
            </w: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执行数:</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99.96</w:t>
            </w:r>
            <w:r>
              <w:rPr>
                <w:rFonts w:hint="eastAsia" w:ascii="仿宋_GB2312" w:hAnsi="仿宋_GB2312" w:eastAsia="仿宋_GB2312" w:cs="仿宋_GB2312"/>
                <w:color w:val="000000"/>
                <w:sz w:val="24"/>
              </w:rPr>
              <w:t>万元</w:t>
            </w:r>
          </w:p>
        </w:tc>
      </w:tr>
      <w:tr>
        <w:tblPrEx>
          <w:tblCellMar>
            <w:top w:w="0" w:type="dxa"/>
            <w:left w:w="0" w:type="dxa"/>
            <w:bottom w:w="0" w:type="dxa"/>
            <w:right w:w="0" w:type="dxa"/>
          </w:tblCellMar>
        </w:tblPrEx>
        <w:trPr>
          <w:trHeight w:val="276" w:hRule="atLeast"/>
          <w:jc w:val="center"/>
        </w:trPr>
        <w:tc>
          <w:tcPr>
            <w:tcW w:w="72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000000"/>
                <w:sz w:val="24"/>
              </w:rPr>
            </w:pPr>
          </w:p>
        </w:tc>
        <w:tc>
          <w:tcPr>
            <w:tcW w:w="205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其中-财政拨款:</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100.72</w:t>
            </w:r>
            <w:r>
              <w:rPr>
                <w:rFonts w:hint="eastAsia" w:ascii="仿宋_GB2312" w:hAnsi="仿宋_GB2312" w:eastAsia="仿宋_GB2312" w:cs="仿宋_GB2312"/>
                <w:color w:val="000000"/>
                <w:sz w:val="24"/>
              </w:rPr>
              <w:t>万元</w:t>
            </w: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其中-财政拨款:</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99.96</w:t>
            </w:r>
            <w:r>
              <w:rPr>
                <w:rFonts w:hint="eastAsia" w:ascii="仿宋_GB2312" w:hAnsi="仿宋_GB2312" w:eastAsia="仿宋_GB2312" w:cs="仿宋_GB2312"/>
                <w:color w:val="000000"/>
                <w:sz w:val="24"/>
              </w:rPr>
              <w:t>万元</w:t>
            </w:r>
          </w:p>
        </w:tc>
      </w:tr>
      <w:tr>
        <w:tblPrEx>
          <w:tblCellMar>
            <w:top w:w="0" w:type="dxa"/>
            <w:left w:w="0" w:type="dxa"/>
            <w:bottom w:w="0" w:type="dxa"/>
            <w:right w:w="0" w:type="dxa"/>
          </w:tblCellMar>
        </w:tblPrEx>
        <w:trPr>
          <w:trHeight w:val="1010" w:hRule="atLeast"/>
          <w:jc w:val="center"/>
        </w:trPr>
        <w:tc>
          <w:tcPr>
            <w:tcW w:w="72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000000"/>
                <w:sz w:val="24"/>
              </w:rPr>
            </w:pPr>
          </w:p>
        </w:tc>
        <w:tc>
          <w:tcPr>
            <w:tcW w:w="205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其它资金:</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其它资金:</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000000"/>
                <w:sz w:val="24"/>
              </w:rPr>
            </w:pPr>
          </w:p>
        </w:tc>
      </w:tr>
      <w:tr>
        <w:tblPrEx>
          <w:tblCellMar>
            <w:top w:w="0" w:type="dxa"/>
            <w:left w:w="0" w:type="dxa"/>
            <w:bottom w:w="0" w:type="dxa"/>
            <w:right w:w="0" w:type="dxa"/>
          </w:tblCellMar>
        </w:tblPrEx>
        <w:trPr>
          <w:trHeight w:val="276" w:hRule="atLeast"/>
          <w:jc w:val="center"/>
        </w:trPr>
        <w:tc>
          <w:tcPr>
            <w:tcW w:w="724"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年度目标完成情况</w:t>
            </w:r>
          </w:p>
        </w:tc>
        <w:tc>
          <w:tcPr>
            <w:tcW w:w="445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预期目标</w:t>
            </w:r>
          </w:p>
        </w:tc>
        <w:tc>
          <w:tcPr>
            <w:tcW w:w="4786"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实际完成目标</w:t>
            </w:r>
          </w:p>
        </w:tc>
      </w:tr>
      <w:tr>
        <w:tblPrEx>
          <w:tblCellMar>
            <w:top w:w="0" w:type="dxa"/>
            <w:left w:w="0" w:type="dxa"/>
            <w:bottom w:w="0" w:type="dxa"/>
            <w:right w:w="0" w:type="dxa"/>
          </w:tblCellMar>
        </w:tblPrEx>
        <w:trPr>
          <w:trHeight w:val="1159" w:hRule="atLeast"/>
          <w:jc w:val="center"/>
        </w:trPr>
        <w:tc>
          <w:tcPr>
            <w:tcW w:w="72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000000"/>
                <w:sz w:val="24"/>
              </w:rPr>
            </w:pPr>
          </w:p>
        </w:tc>
        <w:tc>
          <w:tcPr>
            <w:tcW w:w="445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确保中心（含大厅）触摸屏、评价仪、电脑等各类设备设施及党政务网、政务外网等网络正常运行，各窗口通过一体化政务服务平台办理业务能正常进行。</w:t>
            </w:r>
          </w:p>
        </w:tc>
        <w:tc>
          <w:tcPr>
            <w:tcW w:w="4786"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2021年度，中心（含大厅）触摸屏、评价仪、电脑等各类设备设施及党政务网、政务外网等网络正常运行，一体化政务服务平台、四川省工程建设项目审批管理系统2.0版稳定运行。</w:t>
            </w:r>
          </w:p>
        </w:tc>
      </w:tr>
      <w:tr>
        <w:tblPrEx>
          <w:tblCellMar>
            <w:top w:w="0" w:type="dxa"/>
            <w:left w:w="0" w:type="dxa"/>
            <w:bottom w:w="0" w:type="dxa"/>
            <w:right w:w="0" w:type="dxa"/>
          </w:tblCellMar>
        </w:tblPrEx>
        <w:trPr>
          <w:trHeight w:val="778" w:hRule="atLeast"/>
          <w:jc w:val="center"/>
        </w:trPr>
        <w:tc>
          <w:tcPr>
            <w:tcW w:w="724"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绩效指标完成情况</w:t>
            </w:r>
          </w:p>
        </w:tc>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一级指标</w:t>
            </w:r>
          </w:p>
        </w:tc>
        <w:tc>
          <w:tcPr>
            <w:tcW w:w="11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二级指标</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三级指标</w:t>
            </w: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预期指标值(包含数字及文字描述)</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实际完成指标值(包含数字及文字描述)</w:t>
            </w:r>
          </w:p>
        </w:tc>
      </w:tr>
      <w:tr>
        <w:tblPrEx>
          <w:tblCellMar>
            <w:top w:w="0" w:type="dxa"/>
            <w:left w:w="0" w:type="dxa"/>
            <w:bottom w:w="0" w:type="dxa"/>
            <w:right w:w="0" w:type="dxa"/>
          </w:tblCellMar>
        </w:tblPrEx>
        <w:trPr>
          <w:trHeight w:val="953" w:hRule="atLeast"/>
          <w:jc w:val="center"/>
        </w:trPr>
        <w:tc>
          <w:tcPr>
            <w:tcW w:w="724" w:type="dxa"/>
            <w:vMerge w:val="continue"/>
            <w:tcBorders>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p>
        </w:tc>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项目完成指标</w:t>
            </w:r>
          </w:p>
        </w:tc>
        <w:tc>
          <w:tcPr>
            <w:tcW w:w="11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数量指标</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 xml:space="preserve"> 网络使用、软件硬件升级及运维</w:t>
            </w: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互联网专线、大厅wifi、电话、大厅led、智慧政务系统等软硬件若干</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互联网专线、大厅wifi、电话、大厅led、智慧政务系统等软硬件若干</w:t>
            </w:r>
          </w:p>
        </w:tc>
      </w:tr>
      <w:tr>
        <w:tblPrEx>
          <w:tblCellMar>
            <w:top w:w="0" w:type="dxa"/>
            <w:left w:w="0" w:type="dxa"/>
            <w:bottom w:w="0" w:type="dxa"/>
            <w:right w:w="0" w:type="dxa"/>
          </w:tblCellMar>
        </w:tblPrEx>
        <w:trPr>
          <w:trHeight w:val="836" w:hRule="atLeast"/>
          <w:jc w:val="center"/>
        </w:trPr>
        <w:tc>
          <w:tcPr>
            <w:tcW w:w="724" w:type="dxa"/>
            <w:vMerge w:val="continue"/>
            <w:tcBorders>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p>
        </w:tc>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项目完成指标</w:t>
            </w:r>
          </w:p>
        </w:tc>
        <w:tc>
          <w:tcPr>
            <w:tcW w:w="11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rPr>
              <w:t>质量指标</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网络运行、软件硬件</w:t>
            </w: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≥99.99%</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100%</w:t>
            </w:r>
          </w:p>
        </w:tc>
      </w:tr>
      <w:tr>
        <w:tblPrEx>
          <w:tblCellMar>
            <w:top w:w="0" w:type="dxa"/>
            <w:left w:w="0" w:type="dxa"/>
            <w:bottom w:w="0" w:type="dxa"/>
            <w:right w:w="0" w:type="dxa"/>
          </w:tblCellMar>
        </w:tblPrEx>
        <w:trPr>
          <w:trHeight w:val="678" w:hRule="atLeast"/>
          <w:jc w:val="center"/>
        </w:trPr>
        <w:tc>
          <w:tcPr>
            <w:tcW w:w="724" w:type="dxa"/>
            <w:vMerge w:val="continue"/>
            <w:tcBorders>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p>
        </w:tc>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项目完成指标</w:t>
            </w:r>
          </w:p>
        </w:tc>
        <w:tc>
          <w:tcPr>
            <w:tcW w:w="11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时效指标</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完成时间</w:t>
            </w: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202</w:t>
            </w:r>
            <w:r>
              <w:rPr>
                <w:rFonts w:hint="eastAsia" w:ascii="仿宋_GB2312" w:hAnsi="仿宋_GB2312" w:eastAsia="仿宋_GB2312" w:cs="仿宋_GB2312"/>
                <w:color w:val="000000"/>
                <w:sz w:val="24"/>
                <w:lang w:val="en-US" w:eastAsia="zh-CN"/>
              </w:rPr>
              <w:t>1</w:t>
            </w:r>
            <w:r>
              <w:rPr>
                <w:rFonts w:hint="eastAsia" w:ascii="仿宋_GB2312" w:hAnsi="仿宋_GB2312" w:eastAsia="仿宋_GB2312" w:cs="仿宋_GB2312"/>
                <w:color w:val="000000"/>
                <w:sz w:val="24"/>
              </w:rPr>
              <w:t>年度</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202</w:t>
            </w:r>
            <w:r>
              <w:rPr>
                <w:rFonts w:hint="eastAsia" w:ascii="仿宋_GB2312" w:hAnsi="仿宋_GB2312" w:eastAsia="仿宋_GB2312" w:cs="仿宋_GB2312"/>
                <w:color w:val="000000"/>
                <w:sz w:val="24"/>
                <w:lang w:val="en-US" w:eastAsia="zh-CN"/>
              </w:rPr>
              <w:t>1</w:t>
            </w:r>
            <w:r>
              <w:rPr>
                <w:rFonts w:hint="eastAsia" w:ascii="仿宋_GB2312" w:hAnsi="仿宋_GB2312" w:eastAsia="仿宋_GB2312" w:cs="仿宋_GB2312"/>
                <w:color w:val="000000"/>
                <w:sz w:val="24"/>
              </w:rPr>
              <w:t>年度</w:t>
            </w:r>
          </w:p>
        </w:tc>
      </w:tr>
      <w:tr>
        <w:tblPrEx>
          <w:tblCellMar>
            <w:top w:w="0" w:type="dxa"/>
            <w:left w:w="0" w:type="dxa"/>
            <w:bottom w:w="0" w:type="dxa"/>
            <w:right w:w="0" w:type="dxa"/>
          </w:tblCellMar>
        </w:tblPrEx>
        <w:trPr>
          <w:trHeight w:val="817" w:hRule="atLeast"/>
          <w:jc w:val="center"/>
        </w:trPr>
        <w:tc>
          <w:tcPr>
            <w:tcW w:w="724" w:type="dxa"/>
            <w:vMerge w:val="continue"/>
            <w:tcBorders>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p>
        </w:tc>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kern w:val="0"/>
                <w:sz w:val="24"/>
                <w:lang w:bidi="ar"/>
              </w:rPr>
            </w:pPr>
            <w:r>
              <w:rPr>
                <w:rFonts w:hint="eastAsia" w:ascii="仿宋_GB2312" w:hAnsi="仿宋_GB2312" w:eastAsia="仿宋_GB2312" w:cs="仿宋_GB2312"/>
                <w:color w:val="000000"/>
                <w:kern w:val="0"/>
                <w:sz w:val="24"/>
                <w:lang w:bidi="ar"/>
              </w:rPr>
              <w:t>项目完成指标</w:t>
            </w:r>
          </w:p>
        </w:tc>
        <w:tc>
          <w:tcPr>
            <w:tcW w:w="11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成本指标</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lang w:eastAsia="zh-CN"/>
              </w:rPr>
            </w:pPr>
            <w:r>
              <w:rPr>
                <w:rFonts w:hint="eastAsia" w:ascii="仿宋_GB2312" w:hAnsi="仿宋_GB2312" w:eastAsia="仿宋_GB2312" w:cs="仿宋_GB2312"/>
                <w:color w:val="000000"/>
                <w:sz w:val="24"/>
              </w:rPr>
              <w:t>网络</w:t>
            </w:r>
            <w:r>
              <w:rPr>
                <w:rFonts w:hint="eastAsia" w:ascii="仿宋_GB2312" w:hAnsi="仿宋_GB2312" w:eastAsia="仿宋_GB2312" w:cs="仿宋_GB2312"/>
                <w:color w:val="000000"/>
                <w:sz w:val="24"/>
                <w:lang w:eastAsia="zh-CN"/>
              </w:rPr>
              <w:t>使用</w:t>
            </w: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≤21.6万元</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≤21.6万元</w:t>
            </w:r>
          </w:p>
        </w:tc>
      </w:tr>
      <w:tr>
        <w:tblPrEx>
          <w:tblCellMar>
            <w:top w:w="0" w:type="dxa"/>
            <w:left w:w="0" w:type="dxa"/>
            <w:bottom w:w="0" w:type="dxa"/>
            <w:right w:w="0" w:type="dxa"/>
          </w:tblCellMar>
        </w:tblPrEx>
        <w:trPr>
          <w:trHeight w:val="686" w:hRule="atLeast"/>
          <w:jc w:val="center"/>
        </w:trPr>
        <w:tc>
          <w:tcPr>
            <w:tcW w:w="724" w:type="dxa"/>
            <w:vMerge w:val="continue"/>
            <w:tcBorders>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p>
        </w:tc>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效益指标</w:t>
            </w:r>
          </w:p>
        </w:tc>
        <w:tc>
          <w:tcPr>
            <w:tcW w:w="11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社会效益</w:t>
            </w:r>
          </w:p>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指标</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保障中心（大厅）各项工作正常运行率。</w:t>
            </w: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≥99.00%</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99%</w:t>
            </w:r>
          </w:p>
        </w:tc>
      </w:tr>
      <w:tr>
        <w:tblPrEx>
          <w:tblCellMar>
            <w:top w:w="0" w:type="dxa"/>
            <w:left w:w="0" w:type="dxa"/>
            <w:bottom w:w="0" w:type="dxa"/>
            <w:right w:w="0" w:type="dxa"/>
          </w:tblCellMar>
        </w:tblPrEx>
        <w:trPr>
          <w:trHeight w:val="1042" w:hRule="atLeast"/>
          <w:jc w:val="center"/>
        </w:trPr>
        <w:tc>
          <w:tcPr>
            <w:tcW w:w="724" w:type="dxa"/>
            <w:vMerge w:val="continue"/>
            <w:tcBorders>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p>
        </w:tc>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效益指标</w:t>
            </w:r>
          </w:p>
        </w:tc>
        <w:tc>
          <w:tcPr>
            <w:tcW w:w="11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可持续影响</w:t>
            </w:r>
          </w:p>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指标</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项目发挥作用期限</w:t>
            </w: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≥10年</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≥10年</w:t>
            </w:r>
          </w:p>
        </w:tc>
      </w:tr>
      <w:tr>
        <w:tblPrEx>
          <w:tblCellMar>
            <w:top w:w="0" w:type="dxa"/>
            <w:left w:w="0" w:type="dxa"/>
            <w:bottom w:w="0" w:type="dxa"/>
            <w:right w:w="0" w:type="dxa"/>
          </w:tblCellMar>
        </w:tblPrEx>
        <w:trPr>
          <w:trHeight w:val="1042" w:hRule="atLeast"/>
          <w:jc w:val="center"/>
        </w:trPr>
        <w:tc>
          <w:tcPr>
            <w:tcW w:w="724" w:type="dxa"/>
            <w:vMerge w:val="continue"/>
            <w:tcBorders>
              <w:left w:val="single" w:color="000000" w:sz="4" w:space="0"/>
              <w:bottom w:val="single" w:color="auto" w:sz="4" w:space="0"/>
              <w:right w:val="single" w:color="000000" w:sz="4" w:space="0"/>
            </w:tcBorders>
            <w:noWrap w:val="0"/>
            <w:tcMar>
              <w:top w:w="15" w:type="dxa"/>
              <w:left w:w="15" w:type="dxa"/>
              <w:right w:w="15" w:type="dxa"/>
            </w:tcMar>
            <w:vAlign w:val="center"/>
          </w:tcPr>
          <w:p>
            <w:pPr>
              <w:widowControl/>
              <w:jc w:val="center"/>
              <w:textAlignment w:val="center"/>
              <w:rPr>
                <w:rFonts w:ascii="宋体" w:cs="宋体"/>
                <w:color w:val="000000"/>
                <w:sz w:val="24"/>
              </w:rPr>
            </w:pPr>
          </w:p>
        </w:tc>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满意度指标</w:t>
            </w:r>
          </w:p>
        </w:tc>
        <w:tc>
          <w:tcPr>
            <w:tcW w:w="11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满意度指标</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服务对象满意度</w:t>
            </w: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≥9</w:t>
            </w:r>
            <w:r>
              <w:rPr>
                <w:rFonts w:hint="eastAsia" w:ascii="仿宋_GB2312" w:hAnsi="仿宋_GB2312" w:eastAsia="仿宋_GB2312" w:cs="仿宋_GB2312"/>
                <w:color w:val="000000"/>
                <w:sz w:val="24"/>
                <w:lang w:val="en-US" w:eastAsia="zh-CN"/>
              </w:rPr>
              <w:t>9.99</w:t>
            </w:r>
            <w:r>
              <w:rPr>
                <w:rFonts w:hint="eastAsia" w:ascii="仿宋_GB2312" w:hAnsi="仿宋_GB2312" w:eastAsia="仿宋_GB2312" w:cs="仿宋_GB2312"/>
                <w:color w:val="000000"/>
                <w:sz w:val="24"/>
              </w:rPr>
              <w:t>%</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99%</w:t>
            </w:r>
          </w:p>
        </w:tc>
      </w:tr>
    </w:tbl>
    <w:p>
      <w:pPr>
        <w:spacing w:line="576" w:lineRule="exact"/>
        <w:ind w:left="48" w:leftChars="23" w:firstLine="576" w:firstLineChars="180"/>
        <w:jc w:val="center"/>
        <w:rPr>
          <w:rFonts w:hint="eastAsia" w:ascii="仿宋_GB2312" w:hAnsi="宋体" w:eastAsia="仿宋_GB2312" w:cs="仿宋_GB2312"/>
          <w:sz w:val="32"/>
          <w:szCs w:val="32"/>
          <w:lang w:val="zh-CN"/>
        </w:rPr>
      </w:pPr>
      <w:r>
        <w:rPr>
          <w:rFonts w:hint="eastAsia" w:ascii="楷体_GB2312" w:hAnsi="宋体" w:eastAsia="楷体_GB2312" w:cs="宋体"/>
          <w:color w:val="000000"/>
          <w:kern w:val="0"/>
          <w:sz w:val="32"/>
          <w:szCs w:val="32"/>
          <w:lang w:bidi="ar"/>
        </w:rPr>
        <w:t>(202</w:t>
      </w:r>
      <w:r>
        <w:rPr>
          <w:rFonts w:hint="eastAsia" w:ascii="楷体_GB2312" w:hAnsi="宋体" w:eastAsia="楷体_GB2312" w:cs="宋体"/>
          <w:color w:val="000000"/>
          <w:kern w:val="0"/>
          <w:sz w:val="32"/>
          <w:szCs w:val="32"/>
          <w:lang w:val="en-US" w:eastAsia="zh-CN" w:bidi="ar"/>
        </w:rPr>
        <w:t>1</w:t>
      </w:r>
      <w:r>
        <w:rPr>
          <w:rFonts w:hint="eastAsia" w:ascii="楷体_GB2312" w:hAnsi="宋体" w:eastAsia="楷体_GB2312" w:cs="宋体"/>
          <w:color w:val="000000"/>
          <w:kern w:val="0"/>
          <w:sz w:val="32"/>
          <w:szCs w:val="32"/>
          <w:lang w:bidi="ar"/>
        </w:rPr>
        <w:t>年度)</w:t>
      </w:r>
    </w:p>
    <w:p>
      <w:pPr>
        <w:spacing w:line="580" w:lineRule="exact"/>
        <w:rPr>
          <w:rFonts w:ascii="仿宋_GB2312" w:hAnsi="仿宋_GB2312" w:eastAsia="仿宋_GB2312" w:cs="仿宋_GB2312"/>
          <w:sz w:val="32"/>
          <w:szCs w:val="32"/>
        </w:rPr>
      </w:pPr>
      <w:r>
        <w:rPr>
          <w:rFonts w:hint="eastAsia" w:ascii="黑体" w:hAnsi="黑体" w:eastAsia="黑体" w:cs="黑体"/>
          <w:sz w:val="32"/>
          <w:szCs w:val="32"/>
        </w:rPr>
        <w:t>附件</w:t>
      </w:r>
      <w:r>
        <w:rPr>
          <w:rFonts w:ascii="黑体" w:hAnsi="黑体" w:eastAsia="黑体" w:cs="黑体"/>
          <w:sz w:val="32"/>
          <w:szCs w:val="32"/>
        </w:rPr>
        <w:t>2</w:t>
      </w:r>
    </w:p>
    <w:p>
      <w:pPr>
        <w:spacing w:line="600" w:lineRule="exact"/>
        <w:jc w:val="center"/>
        <w:rPr>
          <w:rFonts w:hint="eastAsia" w:ascii="方正小标宋简体" w:hAnsi="宋体" w:eastAsia="方正小标宋简体"/>
          <w:color w:val="000000"/>
          <w:kern w:val="0"/>
          <w:sz w:val="44"/>
          <w:szCs w:val="44"/>
          <w:lang w:val="zh-CN"/>
        </w:rPr>
      </w:pPr>
      <w:r>
        <w:rPr>
          <w:rFonts w:hint="eastAsia" w:ascii="方正小标宋简体" w:hAnsi="宋体" w:eastAsia="方正小标宋简体"/>
          <w:color w:val="000000"/>
          <w:kern w:val="0"/>
          <w:sz w:val="44"/>
          <w:szCs w:val="44"/>
          <w:lang w:val="zh-CN"/>
        </w:rPr>
        <w:t xml:space="preserve"> 政府采购经费</w:t>
      </w:r>
    </w:p>
    <w:p>
      <w:pPr>
        <w:spacing w:line="600" w:lineRule="exact"/>
        <w:jc w:val="center"/>
        <w:rPr>
          <w:rFonts w:ascii="方正小标宋简体" w:hAnsi="宋体" w:eastAsia="方正小标宋简体"/>
          <w:color w:val="000000"/>
          <w:kern w:val="0"/>
          <w:sz w:val="44"/>
          <w:szCs w:val="44"/>
          <w:lang w:val="zh-CN"/>
        </w:rPr>
      </w:pPr>
      <w:r>
        <w:rPr>
          <w:rFonts w:hint="eastAsia" w:ascii="方正小标宋简体" w:hAnsi="宋体" w:eastAsia="方正小标宋简体"/>
          <w:color w:val="000000"/>
          <w:kern w:val="0"/>
          <w:sz w:val="44"/>
          <w:szCs w:val="44"/>
          <w:lang w:val="zh-CN"/>
        </w:rPr>
        <w:t>项目</w:t>
      </w:r>
      <w:r>
        <w:rPr>
          <w:rFonts w:ascii="方正小标宋简体" w:hAnsi="宋体" w:eastAsia="方正小标宋简体"/>
          <w:color w:val="000000"/>
          <w:kern w:val="0"/>
          <w:sz w:val="44"/>
          <w:szCs w:val="44"/>
        </w:rPr>
        <w:t>202</w:t>
      </w:r>
      <w:r>
        <w:rPr>
          <w:rFonts w:hint="eastAsia" w:ascii="方正小标宋简体" w:hAnsi="宋体" w:eastAsia="方正小标宋简体"/>
          <w:color w:val="000000"/>
          <w:kern w:val="0"/>
          <w:sz w:val="44"/>
          <w:szCs w:val="44"/>
        </w:rPr>
        <w:t>1年</w:t>
      </w:r>
      <w:r>
        <w:rPr>
          <w:rFonts w:hint="eastAsia" w:ascii="方正小标宋简体" w:hAnsi="宋体" w:eastAsia="方正小标宋简体"/>
          <w:color w:val="000000"/>
          <w:kern w:val="0"/>
          <w:sz w:val="44"/>
          <w:szCs w:val="44"/>
          <w:lang w:val="zh-CN"/>
        </w:rPr>
        <w:t>绩效评价报告</w:t>
      </w:r>
    </w:p>
    <w:p>
      <w:pPr>
        <w:spacing w:line="600" w:lineRule="exact"/>
        <w:rPr>
          <w:rFonts w:ascii="宋体"/>
          <w:sz w:val="32"/>
          <w:szCs w:val="32"/>
          <w:lang w:val="zh-CN"/>
        </w:rPr>
      </w:pPr>
    </w:p>
    <w:p>
      <w:pPr>
        <w:adjustRightInd w:val="0"/>
        <w:snapToGrid w:val="0"/>
        <w:spacing w:line="600" w:lineRule="exact"/>
        <w:ind w:firstLine="720"/>
        <w:rPr>
          <w:rFonts w:ascii="黑体" w:hAnsi="宋体" w:eastAsia="黑体"/>
          <w:sz w:val="32"/>
          <w:szCs w:val="32"/>
          <w:lang w:val="zh-CN"/>
        </w:rPr>
      </w:pPr>
      <w:bookmarkStart w:id="99" w:name="_Toc547776270_WPSOffice_Level2"/>
      <w:r>
        <w:rPr>
          <w:rFonts w:hint="eastAsia" w:ascii="黑体" w:hAnsi="宋体" w:eastAsia="黑体"/>
          <w:sz w:val="32"/>
          <w:szCs w:val="32"/>
        </w:rPr>
        <w:t>一、</w:t>
      </w:r>
      <w:r>
        <w:rPr>
          <w:rFonts w:hint="eastAsia" w:ascii="黑体" w:hAnsi="宋体" w:eastAsia="黑体"/>
          <w:sz w:val="32"/>
          <w:szCs w:val="32"/>
          <w:lang w:val="zh-CN"/>
        </w:rPr>
        <w:t>项目概况</w:t>
      </w:r>
      <w:bookmarkEnd w:id="99"/>
    </w:p>
    <w:p>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（一）项目基本情况</w:t>
      </w:r>
    </w:p>
    <w:p>
      <w:pPr>
        <w:adjustRightInd w:val="0"/>
        <w:snapToGrid w:val="0"/>
        <w:spacing w:line="600" w:lineRule="exact"/>
        <w:ind w:firstLine="720"/>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lang w:val="zh-CN"/>
        </w:rPr>
        <w:t>1．</w:t>
      </w:r>
      <w:r>
        <w:rPr>
          <w:rFonts w:hint="eastAsia" w:ascii="仿宋_GB2312" w:hAnsi="仿宋_GB2312" w:eastAsia="仿宋_GB2312" w:cs="仿宋_GB2312"/>
          <w:color w:val="000000"/>
          <w:kern w:val="0"/>
          <w:sz w:val="32"/>
          <w:szCs w:val="32"/>
          <w:shd w:val="clear" w:color="auto" w:fill="FFFFFF"/>
          <w:lang w:val="zh-CN"/>
        </w:rPr>
        <w:t>广</w:t>
      </w:r>
      <w:r>
        <w:rPr>
          <w:rFonts w:hint="eastAsia" w:ascii="仿宋_GB2312" w:hAnsi="仿宋_GB2312" w:eastAsia="仿宋_GB2312" w:cs="仿宋_GB2312"/>
          <w:color w:val="000000"/>
          <w:kern w:val="0"/>
          <w:sz w:val="32"/>
          <w:szCs w:val="32"/>
          <w:shd w:val="clear" w:color="auto" w:fill="FFFFFF"/>
        </w:rPr>
        <w:t>元市政务服务和公共资源交易中心是广元市人民政府直属事业单位（参公管理），为正县级机构。</w:t>
      </w:r>
      <w:r>
        <w:rPr>
          <w:rFonts w:hint="eastAsia" w:ascii="仿宋_GB2312" w:hAnsi="仿宋_GB2312" w:eastAsia="仿宋_GB2312" w:cs="仿宋_GB2312"/>
          <w:color w:val="000000"/>
          <w:sz w:val="32"/>
          <w:szCs w:val="32"/>
        </w:rPr>
        <w:t>根据该部门“</w:t>
      </w:r>
      <w:r>
        <w:rPr>
          <w:rFonts w:hint="eastAsia" w:ascii="仿宋_GB2312" w:hAnsi="仿宋_GB2312" w:eastAsia="仿宋_GB2312" w:cs="仿宋_GB2312"/>
          <w:color w:val="000000"/>
          <w:kern w:val="0"/>
          <w:sz w:val="32"/>
          <w:szCs w:val="32"/>
          <w:shd w:val="clear" w:color="auto" w:fill="FFFFFF"/>
        </w:rPr>
        <w:t>贯彻实施政务服务和公共资源交易服务相关法律、法规和政策，为政务服务和公共资源交易活动提供场所、设施和服务</w:t>
      </w:r>
      <w:r>
        <w:rPr>
          <w:rFonts w:hint="eastAsia" w:ascii="仿宋_GB2312" w:hAnsi="仿宋_GB2312" w:eastAsia="仿宋_GB2312" w:cs="仿宋_GB2312"/>
          <w:sz w:val="32"/>
          <w:szCs w:val="32"/>
        </w:rPr>
        <w:t>”及</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kern w:val="0"/>
          <w:sz w:val="32"/>
          <w:szCs w:val="32"/>
          <w:shd w:val="clear" w:color="auto" w:fill="FFFFFF"/>
        </w:rPr>
        <w:t>负责实施市本级政务服务大厅标准化、规范化、便民化的建设和服务工作</w:t>
      </w:r>
      <w:r>
        <w:rPr>
          <w:rFonts w:hint="eastAsia" w:ascii="仿宋_GB2312" w:hAnsi="仿宋_GB2312" w:eastAsia="仿宋_GB2312" w:cs="仿宋_GB2312"/>
          <w:color w:val="000000"/>
          <w:sz w:val="32"/>
          <w:szCs w:val="32"/>
        </w:rPr>
        <w:t>”的职能申请设立了“</w:t>
      </w:r>
      <w:r>
        <w:rPr>
          <w:rFonts w:hint="eastAsia" w:ascii="仿宋_GB2312" w:hAnsi="仿宋_GB2312" w:eastAsia="仿宋_GB2312" w:cs="仿宋_GB2312"/>
          <w:color w:val="000000"/>
          <w:sz w:val="32"/>
          <w:szCs w:val="32"/>
          <w:lang w:val="zh-CN"/>
        </w:rPr>
        <w:t>政府采购经费</w:t>
      </w:r>
      <w:r>
        <w:rPr>
          <w:rFonts w:hint="eastAsia" w:ascii="仿宋_GB2312" w:hAnsi="仿宋_GB2312" w:eastAsia="仿宋_GB2312" w:cs="仿宋_GB2312"/>
          <w:color w:val="000000"/>
          <w:sz w:val="32"/>
          <w:szCs w:val="32"/>
        </w:rPr>
        <w:t>”项目预算。</w:t>
      </w:r>
      <w:r>
        <w:rPr>
          <w:rFonts w:hint="eastAsia" w:ascii="仿宋_GB2312" w:hAnsi="仿宋_GB2312" w:eastAsia="仿宋_GB2312" w:cs="仿宋_GB2312"/>
          <w:sz w:val="32"/>
          <w:szCs w:val="32"/>
        </w:rPr>
        <w:t>作为采购集采目录内的物业管理费服务及其他设备的所需经费。</w:t>
      </w:r>
    </w:p>
    <w:p>
      <w:pPr>
        <w:adjustRightInd w:val="0"/>
        <w:snapToGrid w:val="0"/>
        <w:spacing w:line="600" w:lineRule="exact"/>
        <w:ind w:firstLine="72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zh-CN"/>
        </w:rPr>
        <w:t>2．</w:t>
      </w:r>
      <w:r>
        <w:rPr>
          <w:rFonts w:hint="eastAsia" w:ascii="仿宋_GB2312" w:hAnsi="仿宋_GB2312" w:eastAsia="仿宋_GB2312" w:cs="仿宋_GB2312"/>
          <w:color w:val="000000"/>
          <w:sz w:val="32"/>
          <w:szCs w:val="32"/>
          <w:lang w:val="zh-CN"/>
        </w:rPr>
        <w:t>政府采购经费</w:t>
      </w:r>
      <w:r>
        <w:rPr>
          <w:rFonts w:hint="eastAsia" w:ascii="仿宋_GB2312" w:hAnsi="仿宋_GB2312" w:eastAsia="仿宋_GB2312" w:cs="仿宋_GB2312"/>
          <w:sz w:val="32"/>
          <w:szCs w:val="32"/>
          <w:lang w:val="zh-CN"/>
        </w:rPr>
        <w:t>项目是根据《政府采购法》《政府采购实施条例》等法律法规，结合我中心实际，结合以前年度政府采购项目需跨年度支付资金情况以及下年度本部门采购计划申报政府采购项目经费</w:t>
      </w:r>
      <w:r>
        <w:rPr>
          <w:rFonts w:hint="eastAsia" w:ascii="仿宋_GB2312" w:hAnsi="仿宋_GB2312" w:eastAsia="仿宋_GB2312" w:cs="仿宋_GB2312"/>
          <w:sz w:val="32"/>
          <w:szCs w:val="32"/>
        </w:rPr>
        <w:t>146万元。主要用于支付物业公司物业服务费。</w:t>
      </w:r>
    </w:p>
    <w:p>
      <w:pPr>
        <w:adjustRightInd w:val="0"/>
        <w:snapToGrid w:val="0"/>
        <w:spacing w:line="600" w:lineRule="exact"/>
        <w:ind w:firstLine="720"/>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lang w:val="zh-CN"/>
        </w:rPr>
        <w:t>3．</w:t>
      </w:r>
      <w:r>
        <w:rPr>
          <w:rFonts w:hint="eastAsia" w:ascii="仿宋_GB2312" w:hAnsi="仿宋_GB2312" w:eastAsia="仿宋_GB2312" w:cs="仿宋_GB2312"/>
          <w:color w:val="000000"/>
          <w:sz w:val="32"/>
          <w:szCs w:val="32"/>
          <w:lang w:val="zh-CN"/>
        </w:rPr>
        <w:t>政府采购经费</w:t>
      </w:r>
      <w:r>
        <w:rPr>
          <w:rFonts w:hint="eastAsia" w:ascii="仿宋_GB2312" w:hAnsi="仿宋_GB2312" w:eastAsia="仿宋_GB2312" w:cs="仿宋_GB2312"/>
          <w:color w:val="000000"/>
          <w:sz w:val="32"/>
          <w:szCs w:val="32"/>
        </w:rPr>
        <w:t>主要用于支付物业公司物业服务费。支付标准依据为签订的政府采购合同。</w:t>
      </w:r>
    </w:p>
    <w:p>
      <w:pPr>
        <w:adjustRightInd w:val="0"/>
        <w:snapToGrid w:val="0"/>
        <w:spacing w:line="600" w:lineRule="exact"/>
        <w:ind w:firstLine="720"/>
        <w:rPr>
          <w:rFonts w:ascii="仿宋_GB2312" w:hAnsi="宋体" w:eastAsia="仿宋_GB2312"/>
          <w:sz w:val="32"/>
          <w:szCs w:val="32"/>
          <w:lang w:val="zh-CN"/>
        </w:rPr>
      </w:pPr>
      <w:r>
        <w:rPr>
          <w:rFonts w:ascii="仿宋_GB2312" w:hAnsi="宋体" w:eastAsia="仿宋_GB2312"/>
          <w:sz w:val="32"/>
          <w:szCs w:val="32"/>
          <w:lang w:val="zh-CN"/>
        </w:rPr>
        <w:t>4</w:t>
      </w:r>
      <w:r>
        <w:rPr>
          <w:rFonts w:hint="eastAsia" w:ascii="仿宋_GB2312" w:hAnsi="宋体" w:eastAsia="仿宋_GB2312"/>
          <w:sz w:val="32"/>
          <w:szCs w:val="32"/>
          <w:lang w:val="zh-CN"/>
        </w:rPr>
        <w:t>．资金分</w:t>
      </w:r>
      <w:r>
        <w:rPr>
          <w:rFonts w:hint="eastAsia" w:ascii="仿宋_GB2312" w:hAnsi="仿宋_GB2312" w:eastAsia="仿宋_GB2312" w:cs="仿宋_GB2312"/>
          <w:sz w:val="32"/>
          <w:szCs w:val="32"/>
          <w:lang w:val="zh-CN"/>
        </w:rPr>
        <w:t>配时根据重要性及及时性原则按月支付物业费，一次性支付</w:t>
      </w:r>
      <w:r>
        <w:rPr>
          <w:rFonts w:hint="eastAsia" w:ascii="仿宋_GB2312" w:hAnsi="仿宋_GB2312" w:eastAsia="仿宋_GB2312" w:cs="仿宋_GB2312"/>
          <w:color w:val="000000"/>
          <w:sz w:val="32"/>
          <w:szCs w:val="32"/>
        </w:rPr>
        <w:t>行政效能视频监察系统购置费。</w:t>
      </w:r>
    </w:p>
    <w:p>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（二）项目绩效目标</w:t>
      </w:r>
    </w:p>
    <w:p>
      <w:pPr>
        <w:adjustRightInd w:val="0"/>
        <w:snapToGrid w:val="0"/>
        <w:spacing w:line="600" w:lineRule="exact"/>
        <w:ind w:firstLine="72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1．项目主要内容：支付物业管理费。</w:t>
      </w:r>
    </w:p>
    <w:p>
      <w:pPr>
        <w:adjustRightInd w:val="0"/>
        <w:snapToGrid w:val="0"/>
        <w:spacing w:line="600" w:lineRule="exact"/>
        <w:ind w:firstLine="72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zh-CN"/>
        </w:rPr>
        <w:t>2．</w:t>
      </w:r>
      <w:r>
        <w:rPr>
          <w:rFonts w:hint="eastAsia" w:ascii="仿宋_GB2312" w:hAnsi="仿宋_GB2312" w:eastAsia="仿宋_GB2312" w:cs="仿宋_GB2312"/>
          <w:sz w:val="32"/>
          <w:szCs w:val="32"/>
        </w:rPr>
        <w:t>2021年设定项目绩效目标：大力推行政务服务中心标准化建设，加强工作人员纪律管理，政务服务中心大楼物业管理正常运转及网络系统安全防护。</w:t>
      </w:r>
    </w:p>
    <w:p>
      <w:pPr>
        <w:numPr>
          <w:ilvl w:val="0"/>
          <w:numId w:val="5"/>
        </w:numPr>
        <w:adjustRightInd w:val="0"/>
        <w:snapToGrid w:val="0"/>
        <w:spacing w:line="600" w:lineRule="exact"/>
        <w:ind w:firstLine="72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zh-CN"/>
        </w:rPr>
        <w:t>经分析</w:t>
      </w:r>
      <w:r>
        <w:rPr>
          <w:rFonts w:hint="eastAsia" w:ascii="仿宋_GB2312" w:hAnsi="仿宋_GB2312" w:eastAsia="仿宋_GB2312" w:cs="仿宋_GB2312"/>
          <w:color w:val="000000"/>
          <w:sz w:val="32"/>
          <w:szCs w:val="32"/>
          <w:lang w:val="zh-CN"/>
        </w:rPr>
        <w:t>政府采购经费</w:t>
      </w:r>
      <w:r>
        <w:rPr>
          <w:rFonts w:hint="eastAsia" w:ascii="仿宋_GB2312" w:hAnsi="仿宋_GB2312" w:eastAsia="仿宋_GB2312" w:cs="仿宋_GB2312"/>
          <w:sz w:val="32"/>
          <w:szCs w:val="32"/>
          <w:lang w:val="zh-CN"/>
        </w:rPr>
        <w:t>项目申报内容与实际相符，申报目标合理可行，能够保证政务中心的物业服务质量水平，</w:t>
      </w:r>
      <w:r>
        <w:rPr>
          <w:rFonts w:hint="eastAsia" w:ascii="仿宋_GB2312" w:hAnsi="仿宋_GB2312" w:eastAsia="仿宋_GB2312" w:cs="仿宋_GB2312"/>
          <w:sz w:val="32"/>
          <w:szCs w:val="32"/>
        </w:rPr>
        <w:t>网络系统安全有效。</w:t>
      </w:r>
    </w:p>
    <w:p>
      <w:pPr>
        <w:adjustRightInd w:val="0"/>
        <w:snapToGrid w:val="0"/>
        <w:spacing w:line="600" w:lineRule="exact"/>
        <w:ind w:firstLine="643" w:firstLineChars="200"/>
        <w:rPr>
          <w:rFonts w:ascii="楷体_GB2312" w:hAnsi="宋体" w:eastAsia="楷体_GB2312"/>
          <w:b/>
          <w:sz w:val="32"/>
          <w:szCs w:val="32"/>
          <w:lang w:val="zh-CN"/>
        </w:rPr>
      </w:pPr>
      <w:r>
        <w:rPr>
          <w:rFonts w:hint="eastAsia" w:ascii="楷体_GB2312" w:hAnsi="宋体" w:eastAsia="楷体_GB2312"/>
          <w:b/>
          <w:sz w:val="32"/>
          <w:szCs w:val="32"/>
          <w:lang w:val="zh-CN"/>
        </w:rPr>
        <w:t>（三）项目自评步骤及方法</w:t>
      </w:r>
    </w:p>
    <w:p>
      <w:pPr>
        <w:adjustRightInd w:val="0"/>
        <w:snapToGrid w:val="0"/>
        <w:spacing w:line="600" w:lineRule="exact"/>
        <w:ind w:firstLine="720"/>
        <w:rPr>
          <w:rFonts w:ascii="仿宋_GB2312" w:hAnsi="宋体" w:eastAsia="仿宋_GB2312"/>
          <w:sz w:val="32"/>
          <w:szCs w:val="32"/>
          <w:lang w:val="zh-CN"/>
        </w:rPr>
      </w:pPr>
      <w:r>
        <w:rPr>
          <w:rFonts w:hint="eastAsia" w:ascii="仿宋_GB2312" w:hAnsi="宋体" w:eastAsia="仿宋_GB2312"/>
          <w:sz w:val="32"/>
          <w:szCs w:val="32"/>
          <w:lang w:val="zh-CN"/>
        </w:rPr>
        <w:t>由涉及相关业务科室先自评，再由中心领导班子组织审评。</w:t>
      </w:r>
    </w:p>
    <w:p>
      <w:pPr>
        <w:adjustRightInd w:val="0"/>
        <w:snapToGrid w:val="0"/>
        <w:spacing w:line="600" w:lineRule="exact"/>
        <w:ind w:firstLine="720"/>
        <w:rPr>
          <w:rFonts w:ascii="黑体" w:hAnsi="宋体" w:eastAsia="黑体"/>
          <w:sz w:val="32"/>
          <w:szCs w:val="32"/>
        </w:rPr>
      </w:pPr>
      <w:bookmarkStart w:id="100" w:name="_Toc76290860_WPSOffice_Level2"/>
      <w:r>
        <w:rPr>
          <w:rFonts w:hint="eastAsia" w:ascii="黑体" w:hAnsi="宋体" w:eastAsia="黑体"/>
          <w:sz w:val="32"/>
          <w:szCs w:val="32"/>
        </w:rPr>
        <w:t>二、项目资金申报及使用情况</w:t>
      </w:r>
      <w:bookmarkEnd w:id="100"/>
    </w:p>
    <w:p>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（一）项目资金申报及批复情况</w:t>
      </w:r>
    </w:p>
    <w:p>
      <w:pPr>
        <w:adjustRightInd w:val="0"/>
        <w:snapToGrid w:val="0"/>
        <w:spacing w:line="600" w:lineRule="exact"/>
        <w:ind w:firstLine="720"/>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lang w:val="zh-CN"/>
        </w:rPr>
        <w:t>政府采购</w:t>
      </w:r>
      <w:r>
        <w:rPr>
          <w:rFonts w:hint="eastAsia" w:ascii="仿宋_GB2312" w:hAnsi="仿宋_GB2312" w:eastAsia="仿宋_GB2312" w:cs="仿宋_GB2312"/>
          <w:sz w:val="32"/>
          <w:szCs w:val="32"/>
          <w:lang w:val="zh-CN"/>
        </w:rPr>
        <w:t>经费项目预算申报</w:t>
      </w:r>
      <w:r>
        <w:rPr>
          <w:rFonts w:hint="eastAsia" w:ascii="仿宋_GB2312" w:hAnsi="仿宋_GB2312" w:eastAsia="仿宋_GB2312" w:cs="仿宋_GB2312"/>
          <w:sz w:val="32"/>
          <w:szCs w:val="32"/>
        </w:rPr>
        <w:t>146万元，财政下达预算批复146万元。</w:t>
      </w:r>
    </w:p>
    <w:p>
      <w:pPr>
        <w:numPr>
          <w:ilvl w:val="0"/>
          <w:numId w:val="6"/>
        </w:numPr>
        <w:adjustRightInd w:val="0"/>
        <w:snapToGrid w:val="0"/>
        <w:spacing w:line="600" w:lineRule="exact"/>
        <w:ind w:firstLine="720"/>
        <w:rPr>
          <w:rFonts w:hint="eastAsia" w:ascii="楷体_GB2312" w:hAnsi="宋体" w:eastAsia="楷体_GB2312"/>
          <w:b/>
          <w:sz w:val="32"/>
          <w:szCs w:val="32"/>
          <w:lang w:val="zh-CN"/>
        </w:rPr>
      </w:pPr>
      <w:r>
        <w:rPr>
          <w:rFonts w:hint="eastAsia" w:ascii="楷体_GB2312" w:hAnsi="宋体" w:eastAsia="楷体_GB2312"/>
          <w:b/>
          <w:sz w:val="32"/>
          <w:szCs w:val="32"/>
          <w:lang w:val="zh-CN"/>
        </w:rPr>
        <w:t>资金计划、到位及使用情况</w:t>
      </w:r>
    </w:p>
    <w:p>
      <w:pPr>
        <w:pStyle w:val="6"/>
        <w:spacing w:before="93" w:line="576" w:lineRule="exact"/>
        <w:ind w:firstLine="640" w:firstLineChars="200"/>
        <w:rPr>
          <w:rFonts w:hint="eastAsia" w:hAnsi="宋体"/>
          <w:kern w:val="2"/>
          <w:sz w:val="32"/>
          <w:szCs w:val="32"/>
          <w:lang w:val="zh-CN"/>
        </w:rPr>
      </w:pPr>
      <w:r>
        <w:rPr>
          <w:rFonts w:hint="eastAsia" w:hAnsi="宋体"/>
          <w:kern w:val="2"/>
          <w:sz w:val="32"/>
          <w:szCs w:val="32"/>
          <w:lang w:val="zh-CN"/>
        </w:rPr>
        <w:t>在项目执行过程中，严格遵守相关法律法规和单位工作制度，项目基础业务信息资料齐全并及时归档，项目实施的人员条件、信息支撑等落实到位。</w:t>
      </w:r>
    </w:p>
    <w:p>
      <w:pPr>
        <w:pStyle w:val="6"/>
        <w:spacing w:before="93" w:line="576" w:lineRule="exact"/>
        <w:ind w:firstLine="640" w:firstLineChars="200"/>
        <w:rPr>
          <w:rFonts w:hint="eastAsia" w:hAnsi="宋体"/>
          <w:kern w:val="2"/>
          <w:sz w:val="32"/>
          <w:szCs w:val="32"/>
          <w:lang w:val="zh-CN"/>
        </w:rPr>
      </w:pPr>
    </w:p>
    <w:tbl>
      <w:tblPr>
        <w:tblStyle w:val="15"/>
        <w:tblW w:w="89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4"/>
        <w:gridCol w:w="2058"/>
        <w:gridCol w:w="2196"/>
        <w:gridCol w:w="3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4" w:type="dxa"/>
            <w:noWrap w:val="0"/>
            <w:vAlign w:val="center"/>
          </w:tcPr>
          <w:p>
            <w:pPr>
              <w:pStyle w:val="6"/>
              <w:snapToGrid w:val="0"/>
              <w:spacing w:before="93"/>
              <w:jc w:val="center"/>
              <w:rPr>
                <w:rFonts w:hint="eastAsia" w:hAnsi="宋体"/>
                <w:kern w:val="2"/>
                <w:sz w:val="32"/>
                <w:szCs w:val="32"/>
                <w:lang w:val="zh-CN"/>
              </w:rPr>
            </w:pPr>
          </w:p>
          <w:p>
            <w:pPr>
              <w:pStyle w:val="6"/>
              <w:spacing w:before="93" w:line="576" w:lineRule="exact"/>
              <w:jc w:val="center"/>
              <w:rPr>
                <w:rFonts w:hint="eastAsia" w:hAnsi="宋体"/>
                <w:kern w:val="2"/>
                <w:sz w:val="32"/>
                <w:szCs w:val="32"/>
                <w:lang w:val="zh-CN"/>
              </w:rPr>
            </w:pPr>
          </w:p>
        </w:tc>
        <w:tc>
          <w:tcPr>
            <w:tcW w:w="2058" w:type="dxa"/>
            <w:noWrap w:val="0"/>
            <w:vAlign w:val="center"/>
          </w:tcPr>
          <w:p>
            <w:pPr>
              <w:pStyle w:val="6"/>
              <w:spacing w:before="93" w:line="576" w:lineRule="exact"/>
              <w:jc w:val="center"/>
              <w:rPr>
                <w:rFonts w:hint="eastAsia" w:ascii="黑体" w:hAnsi="黑体" w:eastAsia="黑体" w:cs="黑体"/>
                <w:kern w:val="2"/>
                <w:sz w:val="32"/>
                <w:szCs w:val="32"/>
              </w:rPr>
            </w:pPr>
            <w:r>
              <w:rPr>
                <w:rFonts w:hint="eastAsia" w:ascii="黑体" w:hAnsi="黑体" w:eastAsia="黑体" w:cs="黑体"/>
                <w:kern w:val="2"/>
                <w:sz w:val="32"/>
                <w:szCs w:val="32"/>
              </w:rPr>
              <w:t>财政拨款</w:t>
            </w:r>
          </w:p>
        </w:tc>
        <w:tc>
          <w:tcPr>
            <w:tcW w:w="2196" w:type="dxa"/>
            <w:noWrap w:val="0"/>
            <w:vAlign w:val="center"/>
          </w:tcPr>
          <w:p>
            <w:pPr>
              <w:pStyle w:val="6"/>
              <w:spacing w:before="93" w:line="576" w:lineRule="exact"/>
              <w:jc w:val="center"/>
              <w:rPr>
                <w:rFonts w:hint="eastAsia" w:ascii="黑体" w:hAnsi="黑体" w:eastAsia="黑体" w:cs="黑体"/>
                <w:kern w:val="2"/>
                <w:sz w:val="32"/>
                <w:szCs w:val="32"/>
                <w:lang w:val="zh-CN"/>
              </w:rPr>
            </w:pPr>
            <w:r>
              <w:rPr>
                <w:rFonts w:hint="eastAsia" w:ascii="黑体" w:hAnsi="黑体" w:eastAsia="黑体" w:cs="黑体"/>
                <w:kern w:val="2"/>
                <w:sz w:val="32"/>
                <w:szCs w:val="32"/>
                <w:lang w:val="zh-CN"/>
              </w:rPr>
              <w:t>来源渠道</w:t>
            </w:r>
          </w:p>
        </w:tc>
        <w:tc>
          <w:tcPr>
            <w:tcW w:w="3160" w:type="dxa"/>
            <w:noWrap w:val="0"/>
            <w:vAlign w:val="center"/>
          </w:tcPr>
          <w:p>
            <w:pPr>
              <w:pStyle w:val="6"/>
              <w:spacing w:before="93" w:line="576" w:lineRule="exact"/>
              <w:jc w:val="center"/>
              <w:rPr>
                <w:rFonts w:hint="eastAsia" w:ascii="黑体" w:hAnsi="黑体" w:eastAsia="黑体" w:cs="黑体"/>
                <w:kern w:val="2"/>
                <w:sz w:val="32"/>
                <w:szCs w:val="32"/>
                <w:lang w:val="zh-CN"/>
              </w:rPr>
            </w:pPr>
            <w:r>
              <w:rPr>
                <w:rFonts w:hint="eastAsia" w:ascii="黑体" w:hAnsi="黑体" w:eastAsia="黑体" w:cs="黑体"/>
                <w:kern w:val="2"/>
                <w:sz w:val="32"/>
                <w:szCs w:val="32"/>
                <w:lang w:val="zh-CN"/>
              </w:rPr>
              <w:t>分析说明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9" w:hRule="exact"/>
        </w:trPr>
        <w:tc>
          <w:tcPr>
            <w:tcW w:w="1564" w:type="dxa"/>
            <w:noWrap w:val="0"/>
            <w:vAlign w:val="center"/>
          </w:tcPr>
          <w:p>
            <w:pPr>
              <w:pStyle w:val="6"/>
              <w:spacing w:before="93" w:line="576" w:lineRule="exact"/>
              <w:jc w:val="center"/>
              <w:rPr>
                <w:rFonts w:hint="eastAsia" w:hAnsi="宋体"/>
                <w:kern w:val="2"/>
                <w:sz w:val="24"/>
                <w:szCs w:val="24"/>
                <w:lang w:val="zh-CN"/>
              </w:rPr>
            </w:pPr>
            <w:r>
              <w:rPr>
                <w:rFonts w:hint="eastAsia" w:hAnsi="宋体"/>
                <w:kern w:val="2"/>
                <w:sz w:val="24"/>
                <w:szCs w:val="24"/>
                <w:lang w:val="zh-CN"/>
              </w:rPr>
              <w:t>资金计划</w:t>
            </w:r>
          </w:p>
        </w:tc>
        <w:tc>
          <w:tcPr>
            <w:tcW w:w="2058" w:type="dxa"/>
            <w:noWrap w:val="0"/>
            <w:vAlign w:val="center"/>
          </w:tcPr>
          <w:p>
            <w:pPr>
              <w:pStyle w:val="6"/>
              <w:spacing w:before="93" w:line="576" w:lineRule="exact"/>
              <w:jc w:val="center"/>
              <w:rPr>
                <w:rFonts w:hint="eastAsia" w:hAnsi="宋体"/>
                <w:kern w:val="2"/>
                <w:sz w:val="24"/>
                <w:szCs w:val="24"/>
                <w:lang w:val="zh-CN"/>
              </w:rPr>
            </w:pPr>
            <w:r>
              <w:rPr>
                <w:rFonts w:hint="eastAsia" w:hAnsi="宋体"/>
                <w:kern w:val="2"/>
                <w:sz w:val="24"/>
                <w:szCs w:val="24"/>
              </w:rPr>
              <w:t>146万元</w:t>
            </w:r>
          </w:p>
        </w:tc>
        <w:tc>
          <w:tcPr>
            <w:tcW w:w="2196" w:type="dxa"/>
            <w:noWrap w:val="0"/>
            <w:vAlign w:val="center"/>
          </w:tcPr>
          <w:p>
            <w:pPr>
              <w:pStyle w:val="6"/>
              <w:spacing w:before="93" w:line="576" w:lineRule="exact"/>
              <w:jc w:val="center"/>
              <w:rPr>
                <w:rFonts w:hint="eastAsia" w:hAnsi="宋体"/>
                <w:kern w:val="2"/>
                <w:sz w:val="24"/>
                <w:szCs w:val="24"/>
                <w:lang w:val="zh-CN"/>
              </w:rPr>
            </w:pPr>
            <w:r>
              <w:rPr>
                <w:rFonts w:hint="eastAsia" w:hAnsi="宋体"/>
                <w:kern w:val="2"/>
                <w:sz w:val="24"/>
                <w:szCs w:val="24"/>
                <w:lang w:val="zh-CN"/>
              </w:rPr>
              <w:t>财政拨款</w:t>
            </w:r>
          </w:p>
        </w:tc>
        <w:tc>
          <w:tcPr>
            <w:tcW w:w="3160" w:type="dxa"/>
            <w:noWrap w:val="0"/>
            <w:vAlign w:val="center"/>
          </w:tcPr>
          <w:p>
            <w:pPr>
              <w:pStyle w:val="6"/>
              <w:spacing w:before="93" w:line="576" w:lineRule="exact"/>
              <w:jc w:val="center"/>
              <w:rPr>
                <w:rFonts w:hAnsi="宋体"/>
                <w:kern w:val="2"/>
                <w:sz w:val="24"/>
                <w:szCs w:val="24"/>
              </w:rPr>
            </w:pPr>
            <w:r>
              <w:rPr>
                <w:rFonts w:hint="eastAsia" w:hAnsi="宋体"/>
                <w:sz w:val="24"/>
                <w:szCs w:val="24"/>
                <w:lang w:val="zh-CN"/>
              </w:rPr>
              <w:t>根据以前年度政府采购项目需跨年度支付资金情况以及下年度本部门采购计划申报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exact"/>
        </w:trPr>
        <w:tc>
          <w:tcPr>
            <w:tcW w:w="1564" w:type="dxa"/>
            <w:noWrap w:val="0"/>
            <w:vAlign w:val="center"/>
          </w:tcPr>
          <w:p>
            <w:pPr>
              <w:pStyle w:val="6"/>
              <w:spacing w:before="93" w:line="576" w:lineRule="exact"/>
              <w:jc w:val="center"/>
              <w:rPr>
                <w:rFonts w:hAnsi="宋体"/>
                <w:kern w:val="2"/>
                <w:sz w:val="24"/>
                <w:szCs w:val="24"/>
              </w:rPr>
            </w:pPr>
            <w:r>
              <w:rPr>
                <w:rFonts w:hint="eastAsia" w:hAnsi="宋体"/>
                <w:kern w:val="2"/>
                <w:sz w:val="24"/>
                <w:szCs w:val="24"/>
                <w:lang w:val="zh-CN"/>
              </w:rPr>
              <w:t>资金到位</w:t>
            </w:r>
          </w:p>
        </w:tc>
        <w:tc>
          <w:tcPr>
            <w:tcW w:w="2058" w:type="dxa"/>
            <w:noWrap w:val="0"/>
            <w:vAlign w:val="center"/>
          </w:tcPr>
          <w:p>
            <w:pPr>
              <w:pStyle w:val="6"/>
              <w:spacing w:before="93" w:line="576" w:lineRule="exact"/>
              <w:jc w:val="center"/>
              <w:rPr>
                <w:rFonts w:hAnsi="宋体"/>
                <w:color w:val="auto"/>
                <w:kern w:val="2"/>
                <w:sz w:val="24"/>
                <w:szCs w:val="24"/>
              </w:rPr>
            </w:pPr>
            <w:r>
              <w:rPr>
                <w:rFonts w:hint="eastAsia" w:hAnsi="宋体"/>
                <w:color w:val="auto"/>
                <w:kern w:val="2"/>
                <w:sz w:val="24"/>
                <w:szCs w:val="24"/>
              </w:rPr>
              <w:t>146万元</w:t>
            </w:r>
          </w:p>
        </w:tc>
        <w:tc>
          <w:tcPr>
            <w:tcW w:w="2196" w:type="dxa"/>
            <w:noWrap w:val="0"/>
            <w:vAlign w:val="center"/>
          </w:tcPr>
          <w:p>
            <w:pPr>
              <w:pStyle w:val="6"/>
              <w:spacing w:before="93" w:line="576" w:lineRule="exact"/>
              <w:jc w:val="center"/>
              <w:rPr>
                <w:rFonts w:hAnsi="宋体"/>
                <w:color w:val="auto"/>
                <w:kern w:val="2"/>
                <w:sz w:val="24"/>
                <w:szCs w:val="24"/>
              </w:rPr>
            </w:pPr>
            <w:r>
              <w:rPr>
                <w:rFonts w:hint="eastAsia" w:hAnsi="宋体"/>
                <w:color w:val="auto"/>
                <w:kern w:val="2"/>
                <w:sz w:val="24"/>
                <w:szCs w:val="24"/>
                <w:lang w:val="zh-CN"/>
              </w:rPr>
              <w:t>财政拨款</w:t>
            </w:r>
          </w:p>
        </w:tc>
        <w:tc>
          <w:tcPr>
            <w:tcW w:w="3160" w:type="dxa"/>
            <w:noWrap w:val="0"/>
            <w:vAlign w:val="center"/>
          </w:tcPr>
          <w:p>
            <w:pPr>
              <w:pStyle w:val="6"/>
              <w:spacing w:before="93" w:line="576" w:lineRule="exact"/>
              <w:jc w:val="center"/>
              <w:rPr>
                <w:rFonts w:hint="eastAsia" w:hAnsi="宋体"/>
                <w:kern w:val="2"/>
                <w:sz w:val="24"/>
                <w:szCs w:val="24"/>
                <w:lang w:val="zh-CN"/>
              </w:rPr>
            </w:pPr>
            <w:r>
              <w:rPr>
                <w:rFonts w:hint="eastAsia" w:hAnsi="宋体"/>
                <w:kern w:val="2"/>
                <w:sz w:val="24"/>
                <w:szCs w:val="24"/>
              </w:rPr>
              <w:t>全部到位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3" w:hRule="exact"/>
        </w:trPr>
        <w:tc>
          <w:tcPr>
            <w:tcW w:w="1564" w:type="dxa"/>
            <w:noWrap w:val="0"/>
            <w:vAlign w:val="center"/>
          </w:tcPr>
          <w:p>
            <w:pPr>
              <w:pStyle w:val="6"/>
              <w:spacing w:before="93" w:line="576" w:lineRule="exact"/>
              <w:jc w:val="center"/>
              <w:rPr>
                <w:rFonts w:hint="eastAsia" w:hAnsi="宋体"/>
                <w:kern w:val="2"/>
                <w:sz w:val="24"/>
                <w:szCs w:val="24"/>
              </w:rPr>
            </w:pPr>
            <w:r>
              <w:rPr>
                <w:rFonts w:hint="eastAsia" w:hAnsi="宋体"/>
                <w:kern w:val="2"/>
                <w:sz w:val="24"/>
                <w:szCs w:val="24"/>
                <w:lang w:val="zh-CN"/>
              </w:rPr>
              <w:t>资金使用</w:t>
            </w:r>
          </w:p>
        </w:tc>
        <w:tc>
          <w:tcPr>
            <w:tcW w:w="2058" w:type="dxa"/>
            <w:noWrap w:val="0"/>
            <w:vAlign w:val="center"/>
          </w:tcPr>
          <w:p>
            <w:pPr>
              <w:pStyle w:val="6"/>
              <w:spacing w:before="93" w:line="576" w:lineRule="exact"/>
              <w:jc w:val="center"/>
              <w:rPr>
                <w:rFonts w:hint="eastAsia" w:hAnsi="宋体"/>
                <w:color w:val="auto"/>
                <w:kern w:val="2"/>
                <w:sz w:val="24"/>
                <w:szCs w:val="24"/>
              </w:rPr>
            </w:pPr>
            <w:r>
              <w:rPr>
                <w:rFonts w:hint="eastAsia" w:hAnsi="宋体"/>
                <w:color w:val="auto"/>
                <w:kern w:val="2"/>
                <w:sz w:val="24"/>
                <w:szCs w:val="24"/>
              </w:rPr>
              <w:t>143.36万元</w:t>
            </w:r>
          </w:p>
        </w:tc>
        <w:tc>
          <w:tcPr>
            <w:tcW w:w="2196" w:type="dxa"/>
            <w:noWrap w:val="0"/>
            <w:vAlign w:val="center"/>
          </w:tcPr>
          <w:p>
            <w:pPr>
              <w:pStyle w:val="6"/>
              <w:spacing w:before="93" w:line="576" w:lineRule="exact"/>
              <w:jc w:val="center"/>
              <w:rPr>
                <w:rFonts w:hint="eastAsia" w:hAnsi="宋体"/>
                <w:color w:val="auto"/>
                <w:kern w:val="2"/>
                <w:sz w:val="24"/>
                <w:szCs w:val="24"/>
              </w:rPr>
            </w:pPr>
            <w:r>
              <w:rPr>
                <w:rFonts w:hint="eastAsia" w:hAnsi="宋体"/>
                <w:color w:val="auto"/>
                <w:kern w:val="2"/>
                <w:sz w:val="24"/>
                <w:szCs w:val="24"/>
                <w:lang w:val="zh-CN"/>
              </w:rPr>
              <w:t>财政拨款</w:t>
            </w:r>
          </w:p>
        </w:tc>
        <w:tc>
          <w:tcPr>
            <w:tcW w:w="3160" w:type="dxa"/>
            <w:noWrap w:val="0"/>
            <w:vAlign w:val="top"/>
          </w:tcPr>
          <w:p>
            <w:pPr>
              <w:pStyle w:val="6"/>
              <w:spacing w:before="93" w:line="576" w:lineRule="exact"/>
              <w:jc w:val="center"/>
              <w:rPr>
                <w:rFonts w:hint="eastAsia" w:hAnsi="宋体"/>
                <w:kern w:val="2"/>
                <w:sz w:val="24"/>
                <w:szCs w:val="24"/>
                <w:lang w:val="zh-CN"/>
              </w:rPr>
            </w:pPr>
            <w:r>
              <w:rPr>
                <w:rFonts w:hint="eastAsia" w:hAnsi="宋体"/>
                <w:kern w:val="2"/>
                <w:sz w:val="24"/>
                <w:szCs w:val="24"/>
                <w:lang w:val="zh-CN"/>
              </w:rPr>
              <w:t>支付范围、支付标准、支付进度、支付依据等合规合法、与预算相符。</w:t>
            </w:r>
          </w:p>
        </w:tc>
      </w:tr>
    </w:tbl>
    <w:p>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（三）项目财务管理情况</w:t>
      </w:r>
    </w:p>
    <w:p>
      <w:pPr>
        <w:adjustRightInd w:val="0"/>
        <w:snapToGrid w:val="0"/>
        <w:spacing w:line="576" w:lineRule="exact"/>
        <w:ind w:firstLine="600" w:firstLineChars="200"/>
        <w:rPr>
          <w:rFonts w:ascii="仿宋_GB2312" w:hAnsi="宋体" w:eastAsia="仿宋_GB2312"/>
          <w:sz w:val="32"/>
          <w:szCs w:val="32"/>
          <w:lang w:val="zh-CN"/>
        </w:rPr>
      </w:pPr>
      <w:r>
        <w:rPr>
          <w:rFonts w:hint="eastAsia" w:ascii="仿宋_GB2312" w:eastAsia="仿宋_GB2312"/>
          <w:kern w:val="0"/>
          <w:sz w:val="30"/>
        </w:rPr>
        <w:t>项目资金支付严格</w:t>
      </w:r>
      <w:r>
        <w:rPr>
          <w:rFonts w:hint="eastAsia" w:ascii="仿宋_GB2312" w:hAnsi="宋体" w:eastAsia="仿宋_GB2312"/>
          <w:sz w:val="32"/>
          <w:szCs w:val="32"/>
          <w:lang w:val="zh-CN"/>
        </w:rPr>
        <w:t>执行单位财务制度规定的报销流程，</w:t>
      </w:r>
      <w:r>
        <w:rPr>
          <w:rFonts w:hint="eastAsia" w:ascii="仿宋_GB2312" w:eastAsia="仿宋_GB2312"/>
          <w:kern w:val="0"/>
          <w:sz w:val="30"/>
        </w:rPr>
        <w:t>附与经济业务事项相关的合法合规的原始凭证和附件，按照经办人签字，科室负责人、业务分管领导及财务分管领导审批的流程进行支付。</w:t>
      </w:r>
      <w:r>
        <w:rPr>
          <w:rFonts w:hint="eastAsia" w:ascii="仿宋_GB2312" w:hAnsi="宋体" w:eastAsia="仿宋_GB2312"/>
          <w:sz w:val="32"/>
          <w:szCs w:val="32"/>
          <w:lang w:val="zh-CN"/>
        </w:rPr>
        <w:t>账务处理及时，会计核算规范有序。</w:t>
      </w:r>
    </w:p>
    <w:p>
      <w:pPr>
        <w:adjustRightInd w:val="0"/>
        <w:snapToGrid w:val="0"/>
        <w:spacing w:line="600" w:lineRule="exact"/>
        <w:ind w:firstLine="720"/>
        <w:rPr>
          <w:rFonts w:ascii="仿宋_GB2312" w:hAnsi="宋体" w:eastAsia="仿宋_GB2312"/>
          <w:sz w:val="32"/>
          <w:szCs w:val="32"/>
          <w:lang w:val="zh-CN"/>
        </w:rPr>
      </w:pPr>
      <w:bookmarkStart w:id="101" w:name="_Toc118624251_WPSOffice_Level2"/>
      <w:r>
        <w:rPr>
          <w:rFonts w:hint="eastAsia" w:ascii="黑体" w:hAnsi="宋体" w:eastAsia="黑体"/>
          <w:sz w:val="32"/>
          <w:szCs w:val="32"/>
        </w:rPr>
        <w:t>三、项目实施及管理情况</w:t>
      </w:r>
      <w:bookmarkEnd w:id="101"/>
    </w:p>
    <w:p>
      <w:pPr>
        <w:adjustRightInd w:val="0"/>
        <w:snapToGrid w:val="0"/>
        <w:spacing w:line="600" w:lineRule="exact"/>
        <w:ind w:firstLine="720"/>
        <w:rPr>
          <w:rFonts w:hint="eastAsia" w:ascii="仿宋_GB2312" w:hAnsi="仿宋_GB2312" w:eastAsia="仿宋_GB2312" w:cs="仿宋_GB2312"/>
          <w:b/>
          <w:sz w:val="32"/>
          <w:szCs w:val="32"/>
          <w:lang w:val="zh-CN"/>
        </w:rPr>
      </w:pPr>
      <w:r>
        <w:rPr>
          <w:rFonts w:hint="eastAsia" w:ascii="楷体_GB2312" w:hAnsi="宋体" w:eastAsia="楷体_GB2312"/>
          <w:b/>
          <w:sz w:val="32"/>
          <w:szCs w:val="32"/>
          <w:lang w:val="zh-CN"/>
        </w:rPr>
        <w:t>（一）项目组织架构及实施流程。</w:t>
      </w:r>
      <w:r>
        <w:rPr>
          <w:rFonts w:hint="eastAsia" w:ascii="仿宋_GB2312" w:hAnsi="仿宋_GB2312" w:eastAsia="仿宋_GB2312" w:cs="仿宋_GB2312"/>
          <w:bCs/>
          <w:sz w:val="32"/>
          <w:szCs w:val="32"/>
          <w:lang w:val="zh-CN"/>
        </w:rPr>
        <w:t>根据我中心的职能职责及以前年度签订的《政府采购合同》，由我中心根据工作需要进行确定项目资金和安排实施进度。资金分配严格按照审批流程操作执行，符合相关管理办法，分配结果公平合理</w:t>
      </w:r>
      <w:r>
        <w:rPr>
          <w:rFonts w:hint="eastAsia" w:ascii="仿宋_GB2312" w:hAnsi="仿宋_GB2312" w:eastAsia="仿宋_GB2312" w:cs="仿宋_GB2312"/>
          <w:b/>
          <w:sz w:val="32"/>
          <w:szCs w:val="32"/>
          <w:lang w:val="zh-CN"/>
        </w:rPr>
        <w:t>。</w:t>
      </w:r>
    </w:p>
    <w:p>
      <w:pPr>
        <w:adjustRightInd w:val="0"/>
        <w:snapToGrid w:val="0"/>
        <w:spacing w:line="576" w:lineRule="exact"/>
        <w:ind w:firstLine="720"/>
        <w:rPr>
          <w:rFonts w:ascii="仿宋_GB2312" w:hAnsi="宋体" w:eastAsia="仿宋_GB2312"/>
          <w:bCs/>
          <w:sz w:val="32"/>
          <w:szCs w:val="32"/>
          <w:lang w:val="zh-CN"/>
        </w:rPr>
      </w:pPr>
      <w:r>
        <w:rPr>
          <w:rFonts w:hint="eastAsia" w:ascii="楷体_GB2312" w:hAnsi="宋体" w:eastAsia="楷体_GB2312"/>
          <w:b/>
          <w:sz w:val="32"/>
          <w:szCs w:val="32"/>
          <w:lang w:val="zh-CN"/>
        </w:rPr>
        <w:t>（二）项目管理情况。</w:t>
      </w:r>
      <w:r>
        <w:rPr>
          <w:rFonts w:hint="eastAsia" w:ascii="仿宋_GB2312" w:hAnsi="仿宋_GB2312" w:eastAsia="仿宋_GB2312" w:cs="仿宋_GB2312"/>
          <w:bCs/>
          <w:sz w:val="32"/>
          <w:szCs w:val="32"/>
          <w:lang w:val="zh-CN"/>
        </w:rPr>
        <w:t>本项目在实施过程中严格执行《政府采购法》《合同法》的有关规定和单位财务管理制度。</w:t>
      </w:r>
      <w:r>
        <w:rPr>
          <w:rFonts w:hint="eastAsia" w:ascii="仿宋_GB2312" w:hAnsi="仿宋_GB2312" w:eastAsia="仿宋_GB2312" w:cs="仿宋_GB2312"/>
          <w:bCs/>
          <w:kern w:val="0"/>
          <w:sz w:val="30"/>
          <w:lang w:val="zh-CN"/>
        </w:rPr>
        <w:t>资金使用合规，财务核算规范，无虚列</w:t>
      </w:r>
      <w:r>
        <w:rPr>
          <w:rFonts w:hint="eastAsia" w:ascii="仿宋_GB2312" w:eastAsia="仿宋_GB2312"/>
          <w:bCs/>
          <w:kern w:val="0"/>
          <w:sz w:val="30"/>
          <w:lang w:val="zh-CN"/>
        </w:rPr>
        <w:t>支出，无截留、挤占、挪用现象。</w:t>
      </w:r>
    </w:p>
    <w:p>
      <w:pPr>
        <w:adjustRightInd w:val="0"/>
        <w:snapToGrid w:val="0"/>
        <w:spacing w:line="600" w:lineRule="exact"/>
        <w:ind w:firstLine="720"/>
        <w:rPr>
          <w:rFonts w:hint="eastAsia" w:ascii="仿宋_GB2312" w:eastAsia="仿宋_GB2312"/>
          <w:bCs/>
          <w:kern w:val="0"/>
          <w:sz w:val="30"/>
          <w:lang w:val="zh-CN"/>
        </w:rPr>
      </w:pPr>
      <w:r>
        <w:rPr>
          <w:rFonts w:hint="eastAsia" w:ascii="楷体_GB2312" w:hAnsi="宋体" w:eastAsia="楷体_GB2312"/>
          <w:b/>
          <w:sz w:val="32"/>
          <w:szCs w:val="32"/>
          <w:lang w:val="zh-CN"/>
        </w:rPr>
        <w:t>（三）项目监管情况。</w:t>
      </w:r>
      <w:r>
        <w:rPr>
          <w:rFonts w:hint="eastAsia" w:ascii="楷体_GB2312" w:hAnsi="宋体" w:eastAsia="楷体_GB2312"/>
          <w:bCs/>
          <w:sz w:val="32"/>
          <w:szCs w:val="32"/>
          <w:lang w:val="zh-CN"/>
        </w:rPr>
        <w:t>单位</w:t>
      </w:r>
      <w:r>
        <w:rPr>
          <w:rFonts w:hint="eastAsia" w:ascii="仿宋_GB2312" w:eastAsia="仿宋_GB2312"/>
          <w:bCs/>
          <w:kern w:val="0"/>
          <w:sz w:val="30"/>
          <w:lang w:val="zh-CN"/>
        </w:rPr>
        <w:t>内控工作小组与现场监督科定期对项目的实施进度和支付情况进行监督检查。对进度较慢的项目进行督促指导，对不合规、不合理的情况进行指正并立要求即整改。</w:t>
      </w:r>
    </w:p>
    <w:p>
      <w:pPr>
        <w:adjustRightInd w:val="0"/>
        <w:snapToGrid w:val="0"/>
        <w:spacing w:line="600" w:lineRule="exact"/>
        <w:ind w:firstLine="720"/>
        <w:rPr>
          <w:rFonts w:ascii="仿宋_GB2312" w:hAnsi="宋体" w:eastAsia="仿宋_GB2312"/>
          <w:sz w:val="32"/>
          <w:szCs w:val="32"/>
          <w:lang w:val="zh-CN"/>
        </w:rPr>
      </w:pPr>
      <w:bookmarkStart w:id="102" w:name="_Toc1760298915_WPSOffice_Level2"/>
      <w:r>
        <w:rPr>
          <w:rFonts w:hint="eastAsia" w:ascii="黑体" w:hAnsi="宋体" w:eastAsia="黑体"/>
          <w:sz w:val="32"/>
          <w:szCs w:val="32"/>
        </w:rPr>
        <w:t>四、项目绩效情况</w:t>
      </w:r>
      <w:bookmarkEnd w:id="102"/>
      <w:r>
        <w:rPr>
          <w:rFonts w:ascii="仿宋_GB2312" w:hAnsi="宋体" w:eastAsia="仿宋_GB2312"/>
          <w:sz w:val="32"/>
          <w:szCs w:val="32"/>
          <w:lang w:val="zh-CN"/>
        </w:rPr>
        <w:tab/>
      </w:r>
    </w:p>
    <w:p>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（一）项目完成情况</w:t>
      </w:r>
    </w:p>
    <w:p>
      <w:pPr>
        <w:adjustRightInd w:val="0"/>
        <w:snapToGrid w:val="0"/>
        <w:spacing w:line="600" w:lineRule="exact"/>
        <w:ind w:firstLine="720"/>
        <w:rPr>
          <w:rFonts w:hint="eastAsia" w:ascii="仿宋_GB2312" w:hAnsi="宋体" w:eastAsia="仿宋_GB2312"/>
          <w:sz w:val="32"/>
          <w:szCs w:val="32"/>
        </w:rPr>
      </w:pPr>
      <w:r>
        <w:rPr>
          <w:rFonts w:hint="eastAsia" w:ascii="仿宋_GB2312" w:hAnsi="宋体" w:eastAsia="仿宋_GB2312"/>
          <w:color w:val="auto"/>
          <w:sz w:val="32"/>
          <w:szCs w:val="32"/>
        </w:rPr>
        <w:t>年初下达政府采购经费项目资金146万元，实际支付143.36万元，执行率98.2%</w:t>
      </w:r>
      <w:r>
        <w:rPr>
          <w:rFonts w:hint="eastAsia" w:ascii="仿宋_GB2312" w:hAnsi="宋体" w:eastAsia="仿宋_GB2312"/>
          <w:sz w:val="32"/>
          <w:szCs w:val="32"/>
        </w:rPr>
        <w:t>，完成情况较好。</w:t>
      </w:r>
    </w:p>
    <w:p>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（二）项目效益情况</w:t>
      </w:r>
    </w:p>
    <w:p>
      <w:pPr>
        <w:adjustRightInd w:val="0"/>
        <w:snapToGrid w:val="0"/>
        <w:spacing w:line="600" w:lineRule="exact"/>
        <w:ind w:firstLine="720"/>
        <w:rPr>
          <w:rFonts w:ascii="仿宋_GB2312" w:hAnsi="宋体" w:eastAsia="仿宋_GB2312"/>
          <w:sz w:val="32"/>
          <w:szCs w:val="32"/>
        </w:rPr>
      </w:pPr>
      <w:r>
        <w:rPr>
          <w:rFonts w:hint="eastAsia" w:ascii="仿宋_GB2312" w:hAnsi="宋体" w:eastAsia="仿宋_GB2312"/>
          <w:sz w:val="32"/>
          <w:szCs w:val="32"/>
          <w:lang w:val="zh-CN"/>
        </w:rPr>
        <w:t>该项目顺利实施，大力提高了政务服务中心标准化建设质量及政务服务工作水平，特别是在疫情防控期间，通过物业的后勤保障保证了政务中心的安全有序运转；同时加强了工作人员纪律管理，网络系统的安全防护。办事群众满意度达</w:t>
      </w:r>
      <w:r>
        <w:rPr>
          <w:rFonts w:hint="eastAsia" w:ascii="仿宋_GB2312" w:hAnsi="宋体" w:eastAsia="仿宋_GB2312"/>
          <w:sz w:val="32"/>
          <w:szCs w:val="32"/>
        </w:rPr>
        <w:t>95%。</w:t>
      </w:r>
    </w:p>
    <w:p>
      <w:pPr>
        <w:adjustRightInd w:val="0"/>
        <w:snapToGrid w:val="0"/>
        <w:spacing w:line="600" w:lineRule="exact"/>
        <w:ind w:firstLine="720"/>
        <w:rPr>
          <w:rFonts w:ascii="黑体" w:hAnsi="宋体" w:eastAsia="黑体"/>
          <w:sz w:val="32"/>
          <w:szCs w:val="32"/>
        </w:rPr>
      </w:pPr>
      <w:bookmarkStart w:id="103" w:name="_Toc1292612935_WPSOffice_Level2"/>
      <w:r>
        <w:rPr>
          <w:rFonts w:hint="eastAsia" w:ascii="黑体" w:hAnsi="宋体" w:eastAsia="黑体"/>
          <w:sz w:val="32"/>
          <w:szCs w:val="32"/>
        </w:rPr>
        <w:t>五、评价结论及建议</w:t>
      </w:r>
      <w:bookmarkEnd w:id="103"/>
    </w:p>
    <w:p>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（一）评价结论</w:t>
      </w:r>
    </w:p>
    <w:p>
      <w:pPr>
        <w:widowControl/>
        <w:adjustRightInd w:val="0"/>
        <w:snapToGrid w:val="0"/>
        <w:spacing w:line="580" w:lineRule="exact"/>
        <w:ind w:firstLine="640" w:firstLineChars="200"/>
        <w:contextualSpacing/>
        <w:jc w:val="left"/>
        <w:rPr>
          <w:rFonts w:ascii="仿宋_GB2312" w:hAnsi="宋体" w:eastAsia="仿宋_GB2312"/>
          <w:sz w:val="32"/>
          <w:szCs w:val="32"/>
          <w:bdr w:val="single" w:color="auto" w:sz="4" w:space="0"/>
          <w:lang w:val="zh-CN"/>
        </w:rPr>
      </w:pPr>
      <w:r>
        <w:rPr>
          <w:rFonts w:ascii="仿宋_GB2312" w:eastAsia="仿宋_GB2312"/>
          <w:sz w:val="32"/>
          <w:szCs w:val="32"/>
        </w:rPr>
        <w:t>结合中心工作实际情况，</w:t>
      </w:r>
      <w:r>
        <w:rPr>
          <w:rFonts w:hint="eastAsia" w:ascii="仿宋_GB2312" w:hAnsi="仿宋_GB2312" w:eastAsia="仿宋_GB2312" w:cs="仿宋_GB2312"/>
          <w:kern w:val="0"/>
          <w:sz w:val="32"/>
          <w:szCs w:val="32"/>
        </w:rPr>
        <w:t>对</w:t>
      </w:r>
      <w:r>
        <w:rPr>
          <w:rFonts w:hint="eastAsia" w:ascii="仿宋_GB2312" w:hAnsi="仿宋_GB2312" w:eastAsia="仿宋_GB2312" w:cs="仿宋_GB2312"/>
          <w:color w:val="auto"/>
          <w:kern w:val="0"/>
          <w:sz w:val="32"/>
          <w:szCs w:val="32"/>
        </w:rPr>
        <w:t>照《2021年市级财政项目支出绩效评价指标体系》进行自评</w:t>
      </w:r>
      <w:r>
        <w:rPr>
          <w:rFonts w:hint="eastAsia" w:ascii="仿宋_GB2312" w:eastAsia="仿宋_GB2312"/>
          <w:color w:val="auto"/>
          <w:sz w:val="32"/>
          <w:szCs w:val="32"/>
        </w:rPr>
        <w:t>打</w:t>
      </w:r>
      <w:r>
        <w:rPr>
          <w:rFonts w:ascii="仿宋_GB2312" w:eastAsia="仿宋_GB2312"/>
          <w:color w:val="auto"/>
          <w:sz w:val="32"/>
          <w:szCs w:val="32"/>
        </w:rPr>
        <w:t>分，综合得分</w:t>
      </w:r>
      <w:r>
        <w:rPr>
          <w:rFonts w:hint="eastAsia" w:ascii="仿宋_GB2312" w:eastAsia="仿宋_GB2312"/>
          <w:color w:val="auto"/>
          <w:sz w:val="32"/>
          <w:szCs w:val="32"/>
        </w:rPr>
        <w:t>97</w:t>
      </w:r>
      <w:r>
        <w:rPr>
          <w:rFonts w:ascii="仿宋_GB2312" w:eastAsia="仿宋_GB2312"/>
          <w:color w:val="auto"/>
          <w:sz w:val="32"/>
          <w:szCs w:val="32"/>
        </w:rPr>
        <w:t>分，</w:t>
      </w:r>
      <w:r>
        <w:rPr>
          <w:rFonts w:hint="eastAsia" w:ascii="仿宋_GB2312" w:eastAsia="仿宋_GB2312"/>
          <w:color w:val="auto"/>
          <w:sz w:val="32"/>
          <w:szCs w:val="32"/>
        </w:rPr>
        <w:t>项</w:t>
      </w:r>
      <w:r>
        <w:rPr>
          <w:rFonts w:hint="eastAsia" w:ascii="仿宋_GB2312" w:eastAsia="仿宋_GB2312"/>
          <w:sz w:val="32"/>
          <w:szCs w:val="32"/>
        </w:rPr>
        <w:t>目</w:t>
      </w:r>
      <w:r>
        <w:rPr>
          <w:rFonts w:ascii="仿宋_GB2312" w:eastAsia="仿宋_GB2312"/>
          <w:sz w:val="32"/>
          <w:szCs w:val="32"/>
        </w:rPr>
        <w:t>支出绩效为</w:t>
      </w:r>
      <w:r>
        <w:rPr>
          <w:rFonts w:hint="eastAsia" w:ascii="仿宋_GB2312" w:eastAsia="仿宋_GB2312"/>
          <w:sz w:val="32"/>
          <w:szCs w:val="32"/>
        </w:rPr>
        <w:t>评价为</w:t>
      </w:r>
      <w:r>
        <w:rPr>
          <w:rFonts w:ascii="仿宋_GB2312" w:eastAsia="仿宋_GB2312"/>
          <w:sz w:val="32"/>
          <w:szCs w:val="32"/>
        </w:rPr>
        <w:t>“</w:t>
      </w:r>
      <w:r>
        <w:rPr>
          <w:rFonts w:hint="eastAsia" w:ascii="仿宋_GB2312" w:eastAsia="仿宋_GB2312"/>
          <w:sz w:val="32"/>
          <w:szCs w:val="32"/>
        </w:rPr>
        <w:t>优</w:t>
      </w:r>
      <w:r>
        <w:rPr>
          <w:rFonts w:ascii="仿宋_GB2312" w:eastAsia="仿宋_GB2312"/>
          <w:sz w:val="32"/>
          <w:szCs w:val="32"/>
        </w:rPr>
        <w:t>”。</w:t>
      </w:r>
    </w:p>
    <w:p>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（二）存在的问题</w:t>
      </w:r>
    </w:p>
    <w:p>
      <w:pPr>
        <w:spacing w:line="620" w:lineRule="exact"/>
        <w:ind w:firstLine="960" w:firstLineChars="300"/>
        <w:rPr>
          <w:rFonts w:ascii="仿宋_GB2312" w:hAnsi="仿宋_GB2312" w:eastAsia="仿宋_GB2312" w:cs="仿宋_GB2312"/>
          <w:sz w:val="32"/>
          <w:szCs w:val="32"/>
        </w:rPr>
      </w:pPr>
      <w:r>
        <w:rPr>
          <w:rFonts w:hint="eastAsia" w:ascii="仿宋_GB2312" w:hAnsi="仿宋_GB2312" w:eastAsia="仿宋_GB2312" w:cs="仿宋_GB2312"/>
          <w:sz w:val="32"/>
          <w:szCs w:val="32"/>
        </w:rPr>
        <w:t>1.绩效目标还需要进一步细化、量化。</w:t>
      </w:r>
    </w:p>
    <w:p>
      <w:pPr>
        <w:adjustRightInd w:val="0"/>
        <w:snapToGrid w:val="0"/>
        <w:spacing w:line="600" w:lineRule="exact"/>
        <w:ind w:firstLine="960" w:firstLineChars="300"/>
        <w:rPr>
          <w:rFonts w:hint="eastAsia" w:ascii="仿宋_GB2312" w:hAnsi="宋体" w:eastAsia="仿宋_GB2312"/>
          <w:sz w:val="32"/>
          <w:szCs w:val="32"/>
          <w:lang w:val="zh-CN"/>
        </w:rPr>
      </w:pPr>
      <w:r>
        <w:rPr>
          <w:rFonts w:hint="eastAsia" w:ascii="仿宋_GB2312" w:hAnsi="仿宋_GB2312" w:eastAsia="仿宋_GB2312" w:cs="仿宋_GB2312"/>
          <w:sz w:val="32"/>
          <w:szCs w:val="32"/>
        </w:rPr>
        <w:t>2.由于采购新的物业公司采购实施进度有所滞后，导致年末物业费存在次年支付情况。</w:t>
      </w:r>
    </w:p>
    <w:p>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（三）相关建议</w:t>
      </w:r>
    </w:p>
    <w:p>
      <w:pPr>
        <w:spacing w:line="6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1.认真做好绩效目标的编制，与相关科室沟通，听取业务部门意见，根据工作实际合理设定年度绩效目标，并细化、量化指标设置，使项目预算安排与绩效目标合理匹配。</w:t>
      </w:r>
    </w:p>
    <w:p>
      <w:pPr>
        <w:spacing w:line="6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2.年初预算下达后，及时拟定相应的资金使用方案，督促相关科室及时执行，强化预算执行的日常管理，加快预算执行。</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3.积极进行绩效跟踪监控，及时调整和优化项目支出，把预算资金使用好，最大限度发挥资金的使用效益，不断提高科学化精细化管理水平。</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tbl>
      <w:tblPr>
        <w:tblStyle w:val="15"/>
        <w:tblpPr w:leftFromText="180" w:rightFromText="180" w:vertAnchor="text" w:horzAnchor="page" w:tblpXSpec="center" w:tblpY="423"/>
        <w:tblOverlap w:val="never"/>
        <w:tblW w:w="9960" w:type="dxa"/>
        <w:jc w:val="center"/>
        <w:tblLayout w:type="fixed"/>
        <w:tblCellMar>
          <w:top w:w="0" w:type="dxa"/>
          <w:left w:w="0" w:type="dxa"/>
          <w:bottom w:w="0" w:type="dxa"/>
          <w:right w:w="0" w:type="dxa"/>
        </w:tblCellMar>
      </w:tblPr>
      <w:tblGrid>
        <w:gridCol w:w="582"/>
        <w:gridCol w:w="1078"/>
        <w:gridCol w:w="1122"/>
        <w:gridCol w:w="2392"/>
        <w:gridCol w:w="2394"/>
        <w:gridCol w:w="2392"/>
      </w:tblGrid>
      <w:tr>
        <w:tblPrEx>
          <w:tblCellMar>
            <w:top w:w="0" w:type="dxa"/>
            <w:left w:w="0" w:type="dxa"/>
            <w:bottom w:w="0" w:type="dxa"/>
            <w:right w:w="0" w:type="dxa"/>
          </w:tblCellMar>
        </w:tblPrEx>
        <w:trPr>
          <w:trHeight w:val="1034" w:hRule="atLeast"/>
          <w:jc w:val="center"/>
        </w:trPr>
        <w:tc>
          <w:tcPr>
            <w:tcW w:w="9960" w:type="dxa"/>
            <w:gridSpan w:val="6"/>
            <w:tcBorders>
              <w:top w:val="nil"/>
              <w:left w:val="nil"/>
              <w:bottom w:val="nil"/>
              <w:right w:val="nil"/>
            </w:tcBorders>
            <w:noWrap w:val="0"/>
            <w:tcMar>
              <w:top w:w="15" w:type="dxa"/>
              <w:left w:w="15" w:type="dxa"/>
              <w:right w:w="15" w:type="dxa"/>
            </w:tcMar>
            <w:vAlign w:val="center"/>
          </w:tcPr>
          <w:p>
            <w:pPr>
              <w:widowControl/>
              <w:spacing w:line="560" w:lineRule="exact"/>
              <w:jc w:val="center"/>
              <w:textAlignment w:val="center"/>
              <w:rPr>
                <w:rFonts w:hint="eastAsia" w:ascii="方正小标宋简体" w:hAnsi="宋体" w:eastAsia="方正小标宋简体" w:cs="宋体"/>
                <w:bCs/>
                <w:color w:val="000000"/>
                <w:kern w:val="0"/>
                <w:sz w:val="44"/>
                <w:szCs w:val="44"/>
                <w:lang w:bidi="ar"/>
              </w:rPr>
            </w:pPr>
            <w:r>
              <w:rPr>
                <w:rFonts w:hint="eastAsia" w:ascii="方正小标宋简体" w:hAnsi="宋体" w:eastAsia="方正小标宋简体" w:cs="宋体"/>
                <w:bCs/>
                <w:color w:val="000000"/>
                <w:kern w:val="0"/>
                <w:sz w:val="44"/>
                <w:szCs w:val="44"/>
                <w:lang w:bidi="ar"/>
              </w:rPr>
              <w:t>政府采购经费</w:t>
            </w:r>
          </w:p>
          <w:p>
            <w:pPr>
              <w:widowControl/>
              <w:spacing w:line="560" w:lineRule="exact"/>
              <w:jc w:val="center"/>
              <w:textAlignment w:val="center"/>
              <w:rPr>
                <w:rFonts w:hint="eastAsia" w:ascii="方正小标宋简体" w:hAnsi="宋体" w:eastAsia="方正小标宋简体" w:cs="宋体"/>
                <w:bCs/>
                <w:color w:val="000000"/>
                <w:kern w:val="0"/>
                <w:sz w:val="44"/>
                <w:szCs w:val="44"/>
                <w:lang w:eastAsia="zh-CN" w:bidi="ar"/>
              </w:rPr>
            </w:pPr>
            <w:r>
              <w:rPr>
                <w:rFonts w:hint="eastAsia" w:ascii="方正小标宋简体" w:hAnsi="宋体" w:eastAsia="方正小标宋简体" w:cs="宋体"/>
                <w:bCs/>
                <w:color w:val="000000"/>
                <w:kern w:val="0"/>
                <w:sz w:val="44"/>
                <w:szCs w:val="44"/>
                <w:lang w:bidi="ar"/>
              </w:rPr>
              <w:t>项目绩效目标完成情况表</w:t>
            </w:r>
          </w:p>
          <w:p>
            <w:pPr>
              <w:widowControl/>
              <w:spacing w:line="560" w:lineRule="exact"/>
              <w:jc w:val="center"/>
              <w:textAlignment w:val="center"/>
              <w:rPr>
                <w:rFonts w:ascii="宋体" w:cs="宋体"/>
                <w:color w:val="000000"/>
                <w:sz w:val="36"/>
                <w:szCs w:val="36"/>
              </w:rPr>
            </w:pPr>
            <w:r>
              <w:rPr>
                <w:rFonts w:hint="eastAsia" w:ascii="楷体_GB2312" w:hAnsi="宋体" w:eastAsia="楷体_GB2312" w:cs="宋体"/>
                <w:color w:val="000000"/>
                <w:kern w:val="0"/>
                <w:sz w:val="32"/>
                <w:szCs w:val="32"/>
                <w:lang w:bidi="ar"/>
              </w:rPr>
              <w:t>(202</w:t>
            </w:r>
            <w:r>
              <w:rPr>
                <w:rFonts w:hint="eastAsia" w:ascii="楷体_GB2312" w:hAnsi="宋体" w:eastAsia="楷体_GB2312" w:cs="宋体"/>
                <w:color w:val="000000"/>
                <w:kern w:val="0"/>
                <w:sz w:val="32"/>
                <w:szCs w:val="32"/>
                <w:lang w:val="en-US" w:eastAsia="zh-CN" w:bidi="ar"/>
              </w:rPr>
              <w:t>1</w:t>
            </w:r>
            <w:r>
              <w:rPr>
                <w:rFonts w:hint="eastAsia" w:ascii="楷体_GB2312" w:hAnsi="宋体" w:eastAsia="楷体_GB2312" w:cs="宋体"/>
                <w:color w:val="000000"/>
                <w:kern w:val="0"/>
                <w:sz w:val="32"/>
                <w:szCs w:val="32"/>
                <w:lang w:bidi="ar"/>
              </w:rPr>
              <w:t>年度)</w:t>
            </w:r>
          </w:p>
        </w:tc>
      </w:tr>
      <w:tr>
        <w:tblPrEx>
          <w:tblCellMar>
            <w:top w:w="0" w:type="dxa"/>
            <w:left w:w="0" w:type="dxa"/>
            <w:bottom w:w="0" w:type="dxa"/>
            <w:right w:w="0" w:type="dxa"/>
          </w:tblCellMar>
        </w:tblPrEx>
        <w:trPr>
          <w:trHeight w:val="276" w:hRule="atLeast"/>
          <w:jc w:val="center"/>
        </w:trPr>
        <w:tc>
          <w:tcPr>
            <w:tcW w:w="278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项目名称</w:t>
            </w:r>
          </w:p>
        </w:tc>
        <w:tc>
          <w:tcPr>
            <w:tcW w:w="7178"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政府采购经费</w:t>
            </w:r>
          </w:p>
        </w:tc>
      </w:tr>
      <w:tr>
        <w:tblPrEx>
          <w:tblCellMar>
            <w:top w:w="0" w:type="dxa"/>
            <w:left w:w="0" w:type="dxa"/>
            <w:bottom w:w="0" w:type="dxa"/>
            <w:right w:w="0" w:type="dxa"/>
          </w:tblCellMar>
        </w:tblPrEx>
        <w:trPr>
          <w:trHeight w:val="276" w:hRule="atLeast"/>
          <w:jc w:val="center"/>
        </w:trPr>
        <w:tc>
          <w:tcPr>
            <w:tcW w:w="278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预算单位</w:t>
            </w:r>
          </w:p>
        </w:tc>
        <w:tc>
          <w:tcPr>
            <w:tcW w:w="7178"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广元市政务服务和公共资源交易中心</w:t>
            </w:r>
          </w:p>
        </w:tc>
      </w:tr>
      <w:tr>
        <w:tblPrEx>
          <w:tblCellMar>
            <w:top w:w="0" w:type="dxa"/>
            <w:left w:w="0" w:type="dxa"/>
            <w:bottom w:w="0" w:type="dxa"/>
            <w:right w:w="0" w:type="dxa"/>
          </w:tblCellMar>
        </w:tblPrEx>
        <w:trPr>
          <w:trHeight w:val="276" w:hRule="atLeast"/>
          <w:jc w:val="center"/>
        </w:trPr>
        <w:tc>
          <w:tcPr>
            <w:tcW w:w="582"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预算执行情况(万元)</w:t>
            </w:r>
          </w:p>
        </w:tc>
        <w:tc>
          <w:tcPr>
            <w:tcW w:w="220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预算数:</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146</w:t>
            </w:r>
            <w:r>
              <w:rPr>
                <w:rFonts w:hint="eastAsia" w:ascii="仿宋_GB2312" w:hAnsi="仿宋_GB2312" w:eastAsia="仿宋_GB2312" w:cs="仿宋_GB2312"/>
                <w:color w:val="000000"/>
                <w:sz w:val="24"/>
              </w:rPr>
              <w:t>万元</w:t>
            </w: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执行数:</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143.36</w:t>
            </w:r>
            <w:r>
              <w:rPr>
                <w:rFonts w:hint="eastAsia" w:ascii="仿宋_GB2312" w:hAnsi="仿宋_GB2312" w:eastAsia="仿宋_GB2312" w:cs="仿宋_GB2312"/>
                <w:color w:val="000000"/>
                <w:sz w:val="24"/>
              </w:rPr>
              <w:t>万元</w:t>
            </w:r>
          </w:p>
        </w:tc>
      </w:tr>
      <w:tr>
        <w:tblPrEx>
          <w:tblCellMar>
            <w:top w:w="0" w:type="dxa"/>
            <w:left w:w="0" w:type="dxa"/>
            <w:bottom w:w="0" w:type="dxa"/>
            <w:right w:w="0" w:type="dxa"/>
          </w:tblCellMar>
        </w:tblPrEx>
        <w:trPr>
          <w:trHeight w:val="276"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000000"/>
                <w:sz w:val="24"/>
              </w:rPr>
            </w:pPr>
          </w:p>
        </w:tc>
        <w:tc>
          <w:tcPr>
            <w:tcW w:w="220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其中-财政拨款:</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146</w:t>
            </w:r>
            <w:r>
              <w:rPr>
                <w:rFonts w:hint="eastAsia" w:ascii="仿宋_GB2312" w:hAnsi="仿宋_GB2312" w:eastAsia="仿宋_GB2312" w:cs="仿宋_GB2312"/>
                <w:color w:val="000000"/>
                <w:sz w:val="24"/>
              </w:rPr>
              <w:t>万元</w:t>
            </w: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其中-财政拨款:</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143.36</w:t>
            </w:r>
            <w:r>
              <w:rPr>
                <w:rFonts w:hint="eastAsia" w:ascii="仿宋_GB2312" w:hAnsi="仿宋_GB2312" w:eastAsia="仿宋_GB2312" w:cs="仿宋_GB2312"/>
                <w:color w:val="000000"/>
                <w:sz w:val="24"/>
              </w:rPr>
              <w:t>万元</w:t>
            </w:r>
          </w:p>
        </w:tc>
      </w:tr>
      <w:tr>
        <w:tblPrEx>
          <w:tblCellMar>
            <w:top w:w="0" w:type="dxa"/>
            <w:left w:w="0" w:type="dxa"/>
            <w:bottom w:w="0" w:type="dxa"/>
            <w:right w:w="0" w:type="dxa"/>
          </w:tblCellMar>
        </w:tblPrEx>
        <w:trPr>
          <w:trHeight w:val="966"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000000"/>
                <w:sz w:val="24"/>
              </w:rPr>
            </w:pPr>
          </w:p>
        </w:tc>
        <w:tc>
          <w:tcPr>
            <w:tcW w:w="220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其它资金:</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其它资金:</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000000"/>
                <w:sz w:val="24"/>
              </w:rPr>
            </w:pPr>
          </w:p>
        </w:tc>
      </w:tr>
      <w:tr>
        <w:tblPrEx>
          <w:tblCellMar>
            <w:top w:w="0" w:type="dxa"/>
            <w:left w:w="0" w:type="dxa"/>
            <w:bottom w:w="0" w:type="dxa"/>
            <w:right w:w="0" w:type="dxa"/>
          </w:tblCellMar>
        </w:tblPrEx>
        <w:trPr>
          <w:trHeight w:val="276" w:hRule="atLeast"/>
          <w:jc w:val="center"/>
        </w:trPr>
        <w:tc>
          <w:tcPr>
            <w:tcW w:w="582"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年度目标完成情况</w:t>
            </w:r>
          </w:p>
        </w:tc>
        <w:tc>
          <w:tcPr>
            <w:tcW w:w="459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预期目标</w:t>
            </w:r>
          </w:p>
        </w:tc>
        <w:tc>
          <w:tcPr>
            <w:tcW w:w="4786"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实际完成目标</w:t>
            </w:r>
          </w:p>
        </w:tc>
      </w:tr>
      <w:tr>
        <w:tblPrEx>
          <w:tblCellMar>
            <w:top w:w="0" w:type="dxa"/>
            <w:left w:w="0" w:type="dxa"/>
            <w:bottom w:w="0" w:type="dxa"/>
            <w:right w:w="0" w:type="dxa"/>
          </w:tblCellMar>
        </w:tblPrEx>
        <w:trPr>
          <w:trHeight w:val="1159" w:hRule="atLeast"/>
          <w:jc w:val="center"/>
        </w:trPr>
        <w:tc>
          <w:tcPr>
            <w:tcW w:w="582"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000000"/>
                <w:sz w:val="24"/>
              </w:rPr>
            </w:pPr>
          </w:p>
        </w:tc>
        <w:tc>
          <w:tcPr>
            <w:tcW w:w="459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大力推行政务服务中心标准化建设，加强工作人员纪律管理，政务服务中心大楼物业管理正常运转及网络系统安全防护。</w:t>
            </w:r>
          </w:p>
        </w:tc>
        <w:tc>
          <w:tcPr>
            <w:tcW w:w="4786"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大力推行政务服务中心标准化建设，加强工作人员纪律管理，政务服务中心大楼物业管理正常运转及网络系统安全防护。</w:t>
            </w:r>
          </w:p>
        </w:tc>
      </w:tr>
      <w:tr>
        <w:tblPrEx>
          <w:tblCellMar>
            <w:top w:w="0" w:type="dxa"/>
            <w:left w:w="0" w:type="dxa"/>
            <w:bottom w:w="0" w:type="dxa"/>
            <w:right w:w="0" w:type="dxa"/>
          </w:tblCellMar>
        </w:tblPrEx>
        <w:trPr>
          <w:trHeight w:val="846" w:hRule="atLeast"/>
          <w:jc w:val="center"/>
        </w:trPr>
        <w:tc>
          <w:tcPr>
            <w:tcW w:w="582"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绩效指标完成情况</w:t>
            </w: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一级指标</w:t>
            </w:r>
          </w:p>
        </w:tc>
        <w:tc>
          <w:tcPr>
            <w:tcW w:w="11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二级指标</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三级指标</w:t>
            </w: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预期指标值(包含数字及文字描述)</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实际完成指标值(包含数字及文字描述)</w:t>
            </w:r>
          </w:p>
        </w:tc>
      </w:tr>
      <w:tr>
        <w:tblPrEx>
          <w:tblCellMar>
            <w:top w:w="0" w:type="dxa"/>
            <w:left w:w="0" w:type="dxa"/>
            <w:bottom w:w="0" w:type="dxa"/>
            <w:right w:w="0" w:type="dxa"/>
          </w:tblCellMar>
        </w:tblPrEx>
        <w:trPr>
          <w:trHeight w:val="830" w:hRule="atLeast"/>
          <w:jc w:val="center"/>
        </w:trPr>
        <w:tc>
          <w:tcPr>
            <w:tcW w:w="582" w:type="dxa"/>
            <w:vMerge w:val="continue"/>
            <w:tcBorders>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项目完成指标</w:t>
            </w:r>
          </w:p>
        </w:tc>
        <w:tc>
          <w:tcPr>
            <w:tcW w:w="11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数量指标</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服务对象</w:t>
            </w: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大厅工作人员</w:t>
            </w:r>
            <w:r>
              <w:rPr>
                <w:rFonts w:hint="eastAsia" w:ascii="仿宋_GB2312" w:hAnsi="仿宋_GB2312" w:eastAsia="仿宋_GB2312" w:cs="仿宋_GB2312"/>
                <w:color w:val="000000"/>
                <w:sz w:val="24"/>
                <w:lang w:val="en-US" w:eastAsia="zh-CN"/>
              </w:rPr>
              <w:t>420</w:t>
            </w:r>
            <w:r>
              <w:rPr>
                <w:rFonts w:hint="eastAsia" w:ascii="仿宋_GB2312" w:hAnsi="仿宋_GB2312" w:eastAsia="仿宋_GB2312" w:cs="仿宋_GB2312"/>
                <w:color w:val="000000"/>
                <w:sz w:val="24"/>
              </w:rPr>
              <w:t>人，服务面积32300平米</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大厅工作人员</w:t>
            </w:r>
            <w:r>
              <w:rPr>
                <w:rFonts w:hint="eastAsia" w:ascii="仿宋_GB2312" w:hAnsi="仿宋_GB2312" w:eastAsia="仿宋_GB2312" w:cs="仿宋_GB2312"/>
                <w:color w:val="000000"/>
                <w:sz w:val="24"/>
                <w:lang w:val="en-US" w:eastAsia="zh-CN"/>
              </w:rPr>
              <w:t>420</w:t>
            </w:r>
            <w:r>
              <w:rPr>
                <w:rFonts w:hint="eastAsia" w:ascii="仿宋_GB2312" w:hAnsi="仿宋_GB2312" w:eastAsia="仿宋_GB2312" w:cs="仿宋_GB2312"/>
                <w:color w:val="000000"/>
                <w:sz w:val="24"/>
              </w:rPr>
              <w:t>人，服务面积32300平米</w:t>
            </w:r>
          </w:p>
        </w:tc>
      </w:tr>
      <w:tr>
        <w:tblPrEx>
          <w:tblCellMar>
            <w:top w:w="0" w:type="dxa"/>
            <w:left w:w="0" w:type="dxa"/>
            <w:bottom w:w="0" w:type="dxa"/>
            <w:right w:w="0" w:type="dxa"/>
          </w:tblCellMar>
        </w:tblPrEx>
        <w:trPr>
          <w:trHeight w:val="828" w:hRule="atLeast"/>
          <w:jc w:val="center"/>
        </w:trPr>
        <w:tc>
          <w:tcPr>
            <w:tcW w:w="582" w:type="dxa"/>
            <w:vMerge w:val="continue"/>
            <w:tcBorders>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项目完成指标</w:t>
            </w:r>
          </w:p>
        </w:tc>
        <w:tc>
          <w:tcPr>
            <w:tcW w:w="11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rPr>
              <w:t>质量指标</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物业服务管理工作</w:t>
            </w: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正常有序</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正常有序</w:t>
            </w:r>
          </w:p>
        </w:tc>
      </w:tr>
      <w:tr>
        <w:tblPrEx>
          <w:tblCellMar>
            <w:top w:w="0" w:type="dxa"/>
            <w:left w:w="0" w:type="dxa"/>
            <w:bottom w:w="0" w:type="dxa"/>
            <w:right w:w="0" w:type="dxa"/>
          </w:tblCellMar>
        </w:tblPrEx>
        <w:trPr>
          <w:trHeight w:val="840" w:hRule="atLeast"/>
          <w:jc w:val="center"/>
        </w:trPr>
        <w:tc>
          <w:tcPr>
            <w:tcW w:w="582" w:type="dxa"/>
            <w:vMerge w:val="continue"/>
            <w:tcBorders>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项目完成指标</w:t>
            </w:r>
          </w:p>
        </w:tc>
        <w:tc>
          <w:tcPr>
            <w:tcW w:w="11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时效指标</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完成时间</w:t>
            </w: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20</w:t>
            </w:r>
            <w:r>
              <w:rPr>
                <w:rFonts w:hint="eastAsia" w:ascii="仿宋_GB2312" w:hAnsi="仿宋_GB2312" w:eastAsia="仿宋_GB2312" w:cs="仿宋_GB2312"/>
                <w:color w:val="000000"/>
                <w:sz w:val="24"/>
                <w:lang w:val="en-US" w:eastAsia="zh-CN"/>
              </w:rPr>
              <w:t>21</w:t>
            </w:r>
            <w:r>
              <w:rPr>
                <w:rFonts w:hint="eastAsia" w:ascii="仿宋_GB2312" w:hAnsi="仿宋_GB2312" w:eastAsia="仿宋_GB2312" w:cs="仿宋_GB2312"/>
                <w:color w:val="000000"/>
                <w:sz w:val="24"/>
              </w:rPr>
              <w:t>年度</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20</w:t>
            </w:r>
            <w:r>
              <w:rPr>
                <w:rFonts w:hint="eastAsia" w:ascii="仿宋_GB2312" w:hAnsi="仿宋_GB2312" w:eastAsia="仿宋_GB2312" w:cs="仿宋_GB2312"/>
                <w:color w:val="000000"/>
                <w:sz w:val="24"/>
                <w:lang w:val="en-US" w:eastAsia="zh-CN"/>
              </w:rPr>
              <w:t>21</w:t>
            </w:r>
            <w:r>
              <w:rPr>
                <w:rFonts w:hint="eastAsia" w:ascii="仿宋_GB2312" w:hAnsi="仿宋_GB2312" w:eastAsia="仿宋_GB2312" w:cs="仿宋_GB2312"/>
                <w:color w:val="000000"/>
                <w:sz w:val="24"/>
              </w:rPr>
              <w:t>年度</w:t>
            </w:r>
          </w:p>
        </w:tc>
      </w:tr>
      <w:tr>
        <w:tblPrEx>
          <w:tblCellMar>
            <w:top w:w="0" w:type="dxa"/>
            <w:left w:w="0" w:type="dxa"/>
            <w:bottom w:w="0" w:type="dxa"/>
            <w:right w:w="0" w:type="dxa"/>
          </w:tblCellMar>
        </w:tblPrEx>
        <w:trPr>
          <w:trHeight w:val="810" w:hRule="atLeast"/>
          <w:jc w:val="center"/>
        </w:trPr>
        <w:tc>
          <w:tcPr>
            <w:tcW w:w="582" w:type="dxa"/>
            <w:vMerge w:val="continue"/>
            <w:tcBorders>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kern w:val="0"/>
                <w:sz w:val="24"/>
                <w:lang w:bidi="ar"/>
              </w:rPr>
            </w:pPr>
            <w:r>
              <w:rPr>
                <w:rFonts w:hint="eastAsia" w:ascii="仿宋_GB2312" w:hAnsi="仿宋_GB2312" w:eastAsia="仿宋_GB2312" w:cs="仿宋_GB2312"/>
                <w:color w:val="000000"/>
                <w:kern w:val="0"/>
                <w:sz w:val="24"/>
                <w:lang w:bidi="ar"/>
              </w:rPr>
              <w:t>项目完成指标</w:t>
            </w:r>
          </w:p>
        </w:tc>
        <w:tc>
          <w:tcPr>
            <w:tcW w:w="11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成本指标</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物业管理费用</w:t>
            </w: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146万/32300平米</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143.36万元</w:t>
            </w:r>
          </w:p>
        </w:tc>
      </w:tr>
      <w:tr>
        <w:tblPrEx>
          <w:tblCellMar>
            <w:top w:w="0" w:type="dxa"/>
            <w:left w:w="0" w:type="dxa"/>
            <w:bottom w:w="0" w:type="dxa"/>
            <w:right w:w="0" w:type="dxa"/>
          </w:tblCellMar>
        </w:tblPrEx>
        <w:trPr>
          <w:trHeight w:val="822" w:hRule="atLeast"/>
          <w:jc w:val="center"/>
        </w:trPr>
        <w:tc>
          <w:tcPr>
            <w:tcW w:w="582" w:type="dxa"/>
            <w:vMerge w:val="continue"/>
            <w:tcBorders>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p>
        </w:tc>
        <w:tc>
          <w:tcPr>
            <w:tcW w:w="10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效益指标</w:t>
            </w:r>
          </w:p>
        </w:tc>
        <w:tc>
          <w:tcPr>
            <w:tcW w:w="11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社会效益</w:t>
            </w:r>
          </w:p>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指标</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建设规范化服务型政务中心</w:t>
            </w: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又好又快发展创造规范的政务中心</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办公场所明亮整洁，办事群众体验感好。</w:t>
            </w:r>
          </w:p>
        </w:tc>
      </w:tr>
      <w:tr>
        <w:tblPrEx>
          <w:tblCellMar>
            <w:top w:w="0" w:type="dxa"/>
            <w:left w:w="0" w:type="dxa"/>
            <w:bottom w:w="0" w:type="dxa"/>
            <w:right w:w="0" w:type="dxa"/>
          </w:tblCellMar>
        </w:tblPrEx>
        <w:trPr>
          <w:trHeight w:val="976" w:hRule="atLeast"/>
          <w:jc w:val="center"/>
        </w:trPr>
        <w:tc>
          <w:tcPr>
            <w:tcW w:w="582" w:type="dxa"/>
            <w:vMerge w:val="continue"/>
            <w:tcBorders>
              <w:left w:val="single" w:color="000000" w:sz="4" w:space="0"/>
              <w:bottom w:val="single" w:color="auto"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p>
        </w:tc>
        <w:tc>
          <w:tcPr>
            <w:tcW w:w="1078"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满意度指标</w:t>
            </w:r>
          </w:p>
        </w:tc>
        <w:tc>
          <w:tcPr>
            <w:tcW w:w="11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满意度指标</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工作运行满意度</w:t>
            </w: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≥95%</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eastAsia="zh-CN"/>
              </w:rPr>
              <w:t>满意度</w:t>
            </w:r>
            <w:r>
              <w:rPr>
                <w:rFonts w:hint="eastAsia" w:ascii="仿宋_GB2312" w:hAnsi="仿宋_GB2312" w:eastAsia="仿宋_GB2312" w:cs="仿宋_GB2312"/>
                <w:color w:val="000000"/>
                <w:sz w:val="24"/>
              </w:rPr>
              <w:t>≥95%</w:t>
            </w:r>
          </w:p>
        </w:tc>
      </w:tr>
    </w:tbl>
    <w:p/>
    <w:p>
      <w:pPr>
        <w:spacing w:line="600" w:lineRule="exact"/>
        <w:jc w:val="center"/>
        <w:rPr>
          <w:rFonts w:hint="eastAsia" w:ascii="方正小标宋简体" w:hAnsi="宋体" w:eastAsia="方正小标宋简体"/>
          <w:color w:val="000000"/>
          <w:kern w:val="0"/>
          <w:sz w:val="44"/>
          <w:szCs w:val="44"/>
          <w:lang w:val="zh-CN"/>
        </w:rPr>
      </w:pPr>
      <w:r>
        <w:rPr>
          <w:rFonts w:hint="eastAsia" w:ascii="方正小标宋简体" w:hAnsi="宋体" w:eastAsia="方正小标宋简体"/>
          <w:color w:val="000000"/>
          <w:kern w:val="0"/>
          <w:sz w:val="44"/>
          <w:szCs w:val="44"/>
          <w:lang w:val="zh-CN"/>
        </w:rPr>
        <w:t xml:space="preserve"> </w:t>
      </w:r>
    </w:p>
    <w:p>
      <w:pPr>
        <w:rPr>
          <w:rFonts w:hint="eastAsia" w:ascii="方正小标宋简体" w:hAnsi="宋体" w:eastAsia="方正小标宋简体"/>
          <w:color w:val="000000"/>
          <w:kern w:val="0"/>
          <w:sz w:val="44"/>
          <w:szCs w:val="44"/>
          <w:lang w:val="zh-CN"/>
        </w:rPr>
      </w:pPr>
      <w:r>
        <w:rPr>
          <w:rFonts w:hint="eastAsia" w:ascii="方正小标宋简体" w:hAnsi="宋体" w:eastAsia="方正小标宋简体"/>
          <w:color w:val="000000"/>
          <w:kern w:val="0"/>
          <w:sz w:val="44"/>
          <w:szCs w:val="44"/>
          <w:lang w:val="zh-CN"/>
        </w:rPr>
        <w:br w:type="page"/>
      </w:r>
    </w:p>
    <w:p>
      <w:pPr>
        <w:spacing w:line="600" w:lineRule="exact"/>
        <w:jc w:val="center"/>
        <w:rPr>
          <w:rFonts w:hint="eastAsia" w:ascii="方正小标宋简体" w:hAnsi="宋体" w:eastAsia="方正小标宋简体"/>
          <w:color w:val="000000"/>
          <w:kern w:val="0"/>
          <w:sz w:val="44"/>
          <w:szCs w:val="44"/>
          <w:lang w:val="zh-CN"/>
        </w:rPr>
      </w:pPr>
      <w:r>
        <w:rPr>
          <w:rFonts w:hint="eastAsia" w:ascii="方正小标宋简体" w:hAnsi="宋体" w:eastAsia="方正小标宋简体"/>
          <w:color w:val="000000"/>
          <w:kern w:val="0"/>
          <w:sz w:val="44"/>
          <w:szCs w:val="44"/>
          <w:lang w:val="zh-CN"/>
        </w:rPr>
        <w:t>政务中心综合楼日常运行费</w:t>
      </w:r>
    </w:p>
    <w:p>
      <w:pPr>
        <w:spacing w:line="600" w:lineRule="exact"/>
        <w:jc w:val="center"/>
        <w:rPr>
          <w:rFonts w:ascii="方正小标宋简体" w:hAnsi="宋体" w:eastAsia="方正小标宋简体"/>
          <w:color w:val="000000"/>
          <w:kern w:val="0"/>
          <w:sz w:val="44"/>
          <w:szCs w:val="44"/>
          <w:lang w:val="zh-CN"/>
        </w:rPr>
      </w:pPr>
      <w:r>
        <w:rPr>
          <w:rFonts w:hint="eastAsia" w:ascii="方正小标宋简体" w:hAnsi="宋体" w:eastAsia="方正小标宋简体"/>
          <w:color w:val="000000"/>
          <w:kern w:val="0"/>
          <w:sz w:val="44"/>
          <w:szCs w:val="44"/>
          <w:lang w:val="zh-CN"/>
        </w:rPr>
        <w:t>项目</w:t>
      </w:r>
      <w:r>
        <w:rPr>
          <w:rFonts w:ascii="方正小标宋简体" w:hAnsi="宋体" w:eastAsia="方正小标宋简体"/>
          <w:color w:val="000000"/>
          <w:kern w:val="0"/>
          <w:sz w:val="44"/>
          <w:szCs w:val="44"/>
        </w:rPr>
        <w:t>202</w:t>
      </w:r>
      <w:r>
        <w:rPr>
          <w:rFonts w:hint="eastAsia" w:ascii="方正小标宋简体" w:hAnsi="宋体" w:eastAsia="方正小标宋简体"/>
          <w:color w:val="000000"/>
          <w:kern w:val="0"/>
          <w:sz w:val="44"/>
          <w:szCs w:val="44"/>
        </w:rPr>
        <w:t>1年</w:t>
      </w:r>
      <w:r>
        <w:rPr>
          <w:rFonts w:hint="eastAsia" w:ascii="方正小标宋简体" w:hAnsi="宋体" w:eastAsia="方正小标宋简体"/>
          <w:color w:val="000000"/>
          <w:kern w:val="0"/>
          <w:sz w:val="44"/>
          <w:szCs w:val="44"/>
          <w:lang w:val="zh-CN"/>
        </w:rPr>
        <w:t>绩效评价报告</w:t>
      </w:r>
    </w:p>
    <w:p>
      <w:pPr>
        <w:spacing w:line="600" w:lineRule="exact"/>
        <w:rPr>
          <w:rFonts w:ascii="宋体"/>
          <w:sz w:val="32"/>
          <w:szCs w:val="32"/>
          <w:lang w:val="zh-CN"/>
        </w:rPr>
      </w:pPr>
    </w:p>
    <w:p>
      <w:pPr>
        <w:adjustRightInd w:val="0"/>
        <w:snapToGrid w:val="0"/>
        <w:spacing w:line="600" w:lineRule="exact"/>
        <w:ind w:firstLine="720"/>
        <w:rPr>
          <w:rFonts w:ascii="黑体" w:hAnsi="宋体" w:eastAsia="黑体"/>
          <w:sz w:val="32"/>
          <w:szCs w:val="32"/>
          <w:lang w:val="zh-CN"/>
        </w:rPr>
      </w:pPr>
      <w:bookmarkStart w:id="104" w:name="_Toc1926110410_WPSOffice_Level2"/>
      <w:r>
        <w:rPr>
          <w:rFonts w:hint="eastAsia" w:ascii="黑体" w:hAnsi="宋体" w:eastAsia="黑体"/>
          <w:sz w:val="32"/>
          <w:szCs w:val="32"/>
        </w:rPr>
        <w:t>一、</w:t>
      </w:r>
      <w:r>
        <w:rPr>
          <w:rFonts w:hint="eastAsia" w:ascii="黑体" w:hAnsi="宋体" w:eastAsia="黑体"/>
          <w:sz w:val="32"/>
          <w:szCs w:val="32"/>
          <w:lang w:val="zh-CN"/>
        </w:rPr>
        <w:t>项目概况</w:t>
      </w:r>
      <w:bookmarkEnd w:id="104"/>
    </w:p>
    <w:p>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（一）项目基本情况</w:t>
      </w:r>
    </w:p>
    <w:p>
      <w:pPr>
        <w:adjustRightInd w:val="0"/>
        <w:snapToGrid w:val="0"/>
        <w:spacing w:line="600" w:lineRule="exact"/>
        <w:ind w:firstLine="720"/>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lang w:val="zh-CN"/>
        </w:rPr>
        <w:t>1．</w:t>
      </w:r>
      <w:r>
        <w:rPr>
          <w:rFonts w:hint="eastAsia" w:ascii="仿宋_GB2312" w:hAnsi="仿宋_GB2312" w:eastAsia="仿宋_GB2312" w:cs="仿宋_GB2312"/>
          <w:color w:val="000000"/>
          <w:kern w:val="0"/>
          <w:sz w:val="32"/>
          <w:szCs w:val="32"/>
          <w:shd w:val="clear" w:color="auto" w:fill="FFFFFF"/>
          <w:lang w:val="zh-CN"/>
        </w:rPr>
        <w:t>广</w:t>
      </w:r>
      <w:r>
        <w:rPr>
          <w:rFonts w:hint="eastAsia" w:ascii="仿宋_GB2312" w:hAnsi="仿宋_GB2312" w:eastAsia="仿宋_GB2312" w:cs="仿宋_GB2312"/>
          <w:color w:val="000000"/>
          <w:kern w:val="0"/>
          <w:sz w:val="32"/>
          <w:szCs w:val="32"/>
          <w:shd w:val="clear" w:color="auto" w:fill="FFFFFF"/>
        </w:rPr>
        <w:t>元市政务服务和公共资源交易中心是广元市人民政府直属事业单位（参公管理），为正县级机构。</w:t>
      </w:r>
      <w:r>
        <w:rPr>
          <w:rFonts w:hint="eastAsia" w:ascii="仿宋_GB2312" w:hAnsi="仿宋_GB2312" w:eastAsia="仿宋_GB2312" w:cs="仿宋_GB2312"/>
          <w:color w:val="000000"/>
          <w:sz w:val="32"/>
          <w:szCs w:val="32"/>
        </w:rPr>
        <w:t>根据该部门“</w:t>
      </w:r>
      <w:r>
        <w:rPr>
          <w:rFonts w:hint="eastAsia" w:ascii="仿宋_GB2312" w:hAnsi="仿宋_GB2312" w:eastAsia="仿宋_GB2312" w:cs="仿宋_GB2312"/>
          <w:color w:val="000000"/>
          <w:kern w:val="0"/>
          <w:sz w:val="32"/>
          <w:szCs w:val="32"/>
          <w:shd w:val="clear" w:color="auto" w:fill="FFFFFF"/>
        </w:rPr>
        <w:t>贯彻实施政务服务和公共资源交易服务相关法律、法规和政策，为政务服务和公共资源交易活动提供场所、设施和服务</w:t>
      </w:r>
      <w:r>
        <w:rPr>
          <w:rFonts w:hint="eastAsia" w:ascii="仿宋_GB2312" w:hAnsi="仿宋_GB2312" w:eastAsia="仿宋_GB2312" w:cs="仿宋_GB2312"/>
          <w:sz w:val="32"/>
          <w:szCs w:val="32"/>
        </w:rPr>
        <w:t>”及</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kern w:val="0"/>
          <w:sz w:val="32"/>
          <w:szCs w:val="32"/>
          <w:shd w:val="clear" w:color="auto" w:fill="FFFFFF"/>
        </w:rPr>
        <w:t>负责实施市本级政务服务大厅标准化、规范化、便民化的建设和服务工作。</w:t>
      </w:r>
      <w:r>
        <w:rPr>
          <w:rFonts w:hint="eastAsia" w:ascii="仿宋_GB2312" w:hAnsi="仿宋_GB2312" w:eastAsia="仿宋_GB2312" w:cs="仿宋_GB2312"/>
          <w:color w:val="000000"/>
          <w:sz w:val="32"/>
          <w:szCs w:val="32"/>
        </w:rPr>
        <w:t>”的职能申请设立了“</w:t>
      </w:r>
      <w:r>
        <w:rPr>
          <w:rFonts w:hint="eastAsia" w:ascii="仿宋_GB2312" w:hAnsi="仿宋_GB2312" w:eastAsia="仿宋_GB2312" w:cs="仿宋_GB2312"/>
          <w:color w:val="000000"/>
          <w:sz w:val="32"/>
          <w:szCs w:val="32"/>
          <w:lang w:val="zh-CN"/>
        </w:rPr>
        <w:t xml:space="preserve"> 政务服务中心综合楼日常运行费</w:t>
      </w:r>
      <w:r>
        <w:rPr>
          <w:rFonts w:hint="eastAsia" w:ascii="仿宋_GB2312" w:hAnsi="仿宋_GB2312" w:eastAsia="仿宋_GB2312" w:cs="仿宋_GB2312"/>
          <w:color w:val="000000"/>
          <w:sz w:val="32"/>
          <w:szCs w:val="32"/>
        </w:rPr>
        <w:t>”项目预算。</w:t>
      </w:r>
      <w:r>
        <w:rPr>
          <w:rFonts w:hint="eastAsia" w:ascii="仿宋_GB2312" w:hAnsi="仿宋_GB2312" w:eastAsia="仿宋_GB2312" w:cs="仿宋_GB2312"/>
          <w:sz w:val="32"/>
          <w:szCs w:val="32"/>
        </w:rPr>
        <w:t>作为保障整个政务大楼正常运转必需的运行经费。</w:t>
      </w:r>
    </w:p>
    <w:p>
      <w:pPr>
        <w:adjustRightInd w:val="0"/>
        <w:snapToGrid w:val="0"/>
        <w:spacing w:line="600" w:lineRule="exact"/>
        <w:ind w:firstLine="72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zh-CN"/>
        </w:rPr>
        <w:t>．</w:t>
      </w:r>
      <w:r>
        <w:rPr>
          <w:rFonts w:hint="eastAsia" w:ascii="仿宋_GB2312" w:hAnsi="仿宋_GB2312" w:eastAsia="仿宋_GB2312" w:cs="仿宋_GB2312"/>
          <w:color w:val="000000"/>
          <w:sz w:val="32"/>
          <w:szCs w:val="32"/>
          <w:lang w:val="zh-CN"/>
        </w:rPr>
        <w:t>政务服务中心综合楼日常运行</w:t>
      </w:r>
      <w:r>
        <w:rPr>
          <w:rFonts w:hint="eastAsia" w:ascii="仿宋_GB2312" w:hAnsi="仿宋_GB2312" w:eastAsia="仿宋_GB2312" w:cs="仿宋_GB2312"/>
          <w:color w:val="000000"/>
          <w:sz w:val="32"/>
          <w:szCs w:val="32"/>
        </w:rPr>
        <w:t>经费主要用综合楼日常运转发生的水电气、空调电梯消防维保费及部件更换、聘用协警、日常维修及食堂运行、</w:t>
      </w:r>
      <w:r>
        <w:rPr>
          <w:rFonts w:hint="eastAsia" w:ascii="仿宋_GB2312" w:hAnsi="仿宋_GB2312" w:eastAsia="仿宋_GB2312" w:cs="仿宋_GB2312"/>
          <w:color w:val="333333"/>
          <w:sz w:val="32"/>
          <w:szCs w:val="32"/>
          <w:shd w:val="clear" w:color="auto" w:fill="FFFFFF"/>
        </w:rPr>
        <w:t>办公耗材、广告宣传</w:t>
      </w:r>
      <w:r>
        <w:rPr>
          <w:rFonts w:hint="eastAsia" w:ascii="仿宋_GB2312" w:hAnsi="仿宋_GB2312" w:eastAsia="仿宋_GB2312" w:cs="仿宋_GB2312"/>
          <w:sz w:val="32"/>
          <w:szCs w:val="32"/>
          <w:lang w:val="zh-CN"/>
        </w:rPr>
        <w:t>以及大厅零星小额设施设备购置维修费等费用，预计一年所需的费用申报年初项目预算</w:t>
      </w:r>
      <w:r>
        <w:rPr>
          <w:rFonts w:hint="eastAsia" w:ascii="仿宋_GB2312" w:hAnsi="仿宋_GB2312" w:eastAsia="仿宋_GB2312" w:cs="仿宋_GB2312"/>
          <w:sz w:val="32"/>
          <w:szCs w:val="32"/>
        </w:rPr>
        <w:t>228.39万元</w:t>
      </w:r>
      <w:r>
        <w:rPr>
          <w:rFonts w:hint="eastAsia" w:ascii="仿宋_GB2312" w:hAnsi="仿宋_GB2312" w:eastAsia="仿宋_GB2312" w:cs="仿宋_GB2312"/>
          <w:color w:val="333333"/>
          <w:sz w:val="32"/>
          <w:szCs w:val="32"/>
          <w:shd w:val="clear" w:color="auto" w:fill="FFFFFF"/>
        </w:rPr>
        <w:t>，</w:t>
      </w:r>
      <w:r>
        <w:rPr>
          <w:rFonts w:hint="eastAsia" w:ascii="仿宋_GB2312" w:hAnsi="仿宋_GB2312" w:eastAsia="仿宋_GB2312" w:cs="仿宋_GB2312"/>
          <w:sz w:val="32"/>
          <w:szCs w:val="32"/>
          <w:shd w:val="clear" w:color="auto" w:fill="FFFFFF"/>
        </w:rPr>
        <w:t>旨在为公民、法人和其他组织提供规范、优质的政务服务。</w:t>
      </w:r>
    </w:p>
    <w:p>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（二）项目绩效目标</w:t>
      </w:r>
    </w:p>
    <w:p>
      <w:pPr>
        <w:adjustRightInd w:val="0"/>
        <w:snapToGrid w:val="0"/>
        <w:spacing w:line="600" w:lineRule="exact"/>
        <w:ind w:firstLine="72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1．项目主要内容：</w:t>
      </w:r>
      <w:r>
        <w:rPr>
          <w:rFonts w:hint="eastAsia" w:ascii="仿宋_GB2312" w:hAnsi="仿宋_GB2312" w:eastAsia="仿宋_GB2312" w:cs="仿宋_GB2312"/>
          <w:color w:val="000000"/>
          <w:sz w:val="32"/>
          <w:szCs w:val="32"/>
          <w:shd w:val="clear" w:color="auto" w:fill="FFFFFF"/>
        </w:rPr>
        <w:t>1、维修合格率≥100%；</w:t>
      </w:r>
      <w:r>
        <w:rPr>
          <w:rFonts w:hint="eastAsia" w:ascii="仿宋_GB2312" w:hAnsi="仿宋_GB2312" w:eastAsia="仿宋_GB2312" w:cs="仿宋_GB2312"/>
          <w:color w:val="000000"/>
          <w:sz w:val="32"/>
          <w:szCs w:val="32"/>
        </w:rPr>
        <w:t>设备正常运行率</w:t>
      </w:r>
      <w:r>
        <w:rPr>
          <w:rFonts w:hint="eastAsia" w:ascii="仿宋_GB2312" w:hAnsi="仿宋_GB2312" w:eastAsia="仿宋_GB2312" w:cs="仿宋_GB2312"/>
          <w:color w:val="000000"/>
          <w:sz w:val="32"/>
          <w:szCs w:val="32"/>
          <w:shd w:val="clear" w:color="auto" w:fill="FFFFFF"/>
        </w:rPr>
        <w:t>≥95%，2、效益指标：受益人数≥420人；</w:t>
      </w:r>
      <w:r>
        <w:rPr>
          <w:rFonts w:hint="eastAsia" w:ascii="仿宋_GB2312" w:hAnsi="仿宋_GB2312" w:eastAsia="仿宋_GB2312" w:cs="仿宋_GB2312"/>
          <w:color w:val="000000"/>
          <w:sz w:val="32"/>
          <w:szCs w:val="32"/>
        </w:rPr>
        <w:t>服务面积32300平米，</w:t>
      </w:r>
      <w:r>
        <w:rPr>
          <w:rFonts w:hint="eastAsia" w:ascii="仿宋_GB2312" w:hAnsi="仿宋_GB2312" w:eastAsia="仿宋_GB2312" w:cs="仿宋_GB2312"/>
          <w:color w:val="000000"/>
          <w:sz w:val="32"/>
          <w:szCs w:val="32"/>
          <w:shd w:val="clear" w:color="auto" w:fill="FFFFFF"/>
        </w:rPr>
        <w:t>保障办公楼正常运行运转，定性：优，3满意度指标：满意度≥98%。</w:t>
      </w:r>
    </w:p>
    <w:p>
      <w:pPr>
        <w:adjustRightInd w:val="0"/>
        <w:snapToGrid w:val="0"/>
        <w:spacing w:line="600" w:lineRule="exact"/>
        <w:ind w:firstLine="72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zh-CN"/>
        </w:rPr>
        <w:t>2．</w:t>
      </w:r>
      <w:r>
        <w:rPr>
          <w:rFonts w:hint="eastAsia" w:ascii="仿宋_GB2312" w:hAnsi="仿宋_GB2312" w:eastAsia="仿宋_GB2312" w:cs="仿宋_GB2312"/>
          <w:sz w:val="32"/>
          <w:szCs w:val="32"/>
        </w:rPr>
        <w:t>2021年设定项目绩效目标：确保各项设施、设备正常运行，维护有序的秩序，为政务服务和公共资源交易顺利开展提供支撑和保障。</w:t>
      </w:r>
    </w:p>
    <w:p>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（三）项目自评步骤及方法</w:t>
      </w:r>
    </w:p>
    <w:p>
      <w:pPr>
        <w:adjustRightInd w:val="0"/>
        <w:snapToGrid w:val="0"/>
        <w:spacing w:line="600" w:lineRule="exact"/>
        <w:ind w:firstLine="720"/>
        <w:rPr>
          <w:rFonts w:ascii="仿宋_GB2312" w:hAnsi="宋体" w:eastAsia="仿宋_GB2312"/>
          <w:sz w:val="32"/>
          <w:szCs w:val="32"/>
          <w:lang w:val="zh-CN"/>
        </w:rPr>
      </w:pPr>
      <w:r>
        <w:rPr>
          <w:rFonts w:hint="eastAsia" w:ascii="仿宋_GB2312" w:hAnsi="宋体" w:eastAsia="仿宋_GB2312"/>
          <w:sz w:val="32"/>
          <w:szCs w:val="32"/>
          <w:lang w:val="zh-CN"/>
        </w:rPr>
        <w:t>由涉及相关业务科室先自评，再由中心领导班子组织审评。</w:t>
      </w:r>
    </w:p>
    <w:p>
      <w:pPr>
        <w:adjustRightInd w:val="0"/>
        <w:snapToGrid w:val="0"/>
        <w:spacing w:line="600" w:lineRule="exact"/>
        <w:ind w:firstLine="720"/>
        <w:rPr>
          <w:rFonts w:ascii="黑体" w:hAnsi="宋体" w:eastAsia="黑体"/>
          <w:sz w:val="32"/>
          <w:szCs w:val="32"/>
        </w:rPr>
      </w:pPr>
      <w:bookmarkStart w:id="105" w:name="_Toc223901633_WPSOffice_Level2"/>
      <w:r>
        <w:rPr>
          <w:rFonts w:hint="eastAsia" w:ascii="黑体" w:hAnsi="宋体" w:eastAsia="黑体"/>
          <w:sz w:val="32"/>
          <w:szCs w:val="32"/>
        </w:rPr>
        <w:t>二、项目资金申报及使用情况</w:t>
      </w:r>
      <w:bookmarkEnd w:id="105"/>
    </w:p>
    <w:p>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（一）项目资金申报及批复情况</w:t>
      </w:r>
    </w:p>
    <w:p>
      <w:pPr>
        <w:adjustRightInd w:val="0"/>
        <w:snapToGrid w:val="0"/>
        <w:spacing w:line="600" w:lineRule="exact"/>
        <w:ind w:firstLine="720"/>
      </w:pPr>
      <w:r>
        <w:rPr>
          <w:rFonts w:hint="eastAsia" w:ascii="仿宋_GB2312" w:hAnsi="仿宋_GB2312" w:eastAsia="仿宋_GB2312" w:cs="仿宋_GB2312"/>
          <w:color w:val="000000"/>
          <w:sz w:val="32"/>
          <w:szCs w:val="32"/>
          <w:lang w:val="zh-CN"/>
        </w:rPr>
        <w:t>政务服务中心综合楼日常运行</w:t>
      </w:r>
      <w:r>
        <w:rPr>
          <w:rFonts w:hint="eastAsia" w:ascii="仿宋_GB2312" w:hAnsi="仿宋_GB2312" w:eastAsia="仿宋_GB2312" w:cs="仿宋_GB2312"/>
          <w:sz w:val="32"/>
          <w:szCs w:val="32"/>
          <w:lang w:val="zh-CN"/>
        </w:rPr>
        <w:t>经费预算申报</w:t>
      </w:r>
      <w:r>
        <w:rPr>
          <w:rFonts w:hint="eastAsia" w:ascii="仿宋_GB2312" w:hAnsi="仿宋_GB2312" w:eastAsia="仿宋_GB2312" w:cs="仿宋_GB2312"/>
          <w:color w:val="000000"/>
          <w:sz w:val="32"/>
          <w:szCs w:val="32"/>
        </w:rPr>
        <w:t>228.39万元</w:t>
      </w:r>
      <w:r>
        <w:rPr>
          <w:rFonts w:hint="eastAsia" w:ascii="仿宋_GB2312" w:hAnsi="仿宋_GB2312" w:eastAsia="仿宋_GB2312" w:cs="仿宋_GB2312"/>
          <w:sz w:val="32"/>
          <w:szCs w:val="32"/>
        </w:rPr>
        <w:t>，财政下达预算批复</w:t>
      </w:r>
      <w:r>
        <w:rPr>
          <w:rFonts w:hint="eastAsia" w:ascii="仿宋_GB2312" w:hAnsi="仿宋_GB2312" w:eastAsia="仿宋_GB2312" w:cs="仿宋_GB2312"/>
          <w:color w:val="000000"/>
          <w:sz w:val="32"/>
          <w:szCs w:val="32"/>
        </w:rPr>
        <w:t>228.39万元。</w:t>
      </w:r>
    </w:p>
    <w:p>
      <w:pPr>
        <w:numPr>
          <w:ilvl w:val="0"/>
          <w:numId w:val="6"/>
        </w:numPr>
        <w:adjustRightInd w:val="0"/>
        <w:snapToGrid w:val="0"/>
        <w:spacing w:line="600" w:lineRule="exact"/>
        <w:ind w:firstLine="720"/>
        <w:rPr>
          <w:rFonts w:hint="eastAsia" w:ascii="楷体_GB2312" w:hAnsi="宋体" w:eastAsia="楷体_GB2312"/>
          <w:b/>
          <w:sz w:val="32"/>
          <w:szCs w:val="32"/>
          <w:lang w:val="zh-CN"/>
        </w:rPr>
      </w:pPr>
      <w:r>
        <w:rPr>
          <w:rFonts w:hint="eastAsia" w:ascii="楷体_GB2312" w:hAnsi="宋体" w:eastAsia="楷体_GB2312"/>
          <w:b/>
          <w:sz w:val="32"/>
          <w:szCs w:val="32"/>
          <w:lang w:val="zh-CN"/>
        </w:rPr>
        <w:t>资金计划、到位及使用情况</w:t>
      </w:r>
    </w:p>
    <w:p>
      <w:pPr>
        <w:pStyle w:val="6"/>
        <w:spacing w:before="93" w:line="576" w:lineRule="exact"/>
        <w:ind w:firstLine="960" w:firstLineChars="300"/>
        <w:rPr>
          <w:rFonts w:hint="eastAsia" w:hAnsi="仿宋_GB2312" w:cs="仿宋_GB2312"/>
          <w:kern w:val="2"/>
          <w:sz w:val="32"/>
          <w:szCs w:val="32"/>
          <w:lang w:val="zh-CN"/>
        </w:rPr>
      </w:pPr>
      <w:r>
        <w:rPr>
          <w:rFonts w:hint="eastAsia" w:hAnsi="仿宋_GB2312" w:cs="仿宋_GB2312"/>
          <w:color w:val="000000"/>
          <w:sz w:val="32"/>
          <w:szCs w:val="32"/>
          <w:shd w:val="clear" w:color="auto" w:fill="FFFFFF"/>
        </w:rPr>
        <w:t>本项目安排经费228.39元，全部来自财政局。资金到位率100%。</w:t>
      </w:r>
    </w:p>
    <w:tbl>
      <w:tblPr>
        <w:tblStyle w:val="15"/>
        <w:tblW w:w="95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3"/>
        <w:gridCol w:w="2188"/>
        <w:gridCol w:w="1657"/>
        <w:gridCol w:w="4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1663" w:type="dxa"/>
            <w:noWrap w:val="0"/>
            <w:vAlign w:val="center"/>
          </w:tcPr>
          <w:p>
            <w:pPr>
              <w:pStyle w:val="6"/>
              <w:snapToGrid w:val="0"/>
              <w:spacing w:before="93"/>
              <w:jc w:val="center"/>
              <w:rPr>
                <w:rFonts w:hint="eastAsia" w:hAnsi="宋体"/>
                <w:kern w:val="2"/>
                <w:sz w:val="32"/>
                <w:szCs w:val="32"/>
                <w:lang w:val="zh-CN"/>
              </w:rPr>
            </w:pPr>
          </w:p>
          <w:p>
            <w:pPr>
              <w:pStyle w:val="6"/>
              <w:spacing w:before="93" w:line="576" w:lineRule="exact"/>
              <w:jc w:val="center"/>
              <w:rPr>
                <w:rFonts w:hint="eastAsia" w:hAnsi="宋体"/>
                <w:kern w:val="2"/>
                <w:sz w:val="32"/>
                <w:szCs w:val="32"/>
                <w:lang w:val="zh-CN"/>
              </w:rPr>
            </w:pPr>
          </w:p>
        </w:tc>
        <w:tc>
          <w:tcPr>
            <w:tcW w:w="2188" w:type="dxa"/>
            <w:noWrap w:val="0"/>
            <w:vAlign w:val="center"/>
          </w:tcPr>
          <w:p>
            <w:pPr>
              <w:pStyle w:val="6"/>
              <w:spacing w:before="93" w:line="576" w:lineRule="exact"/>
              <w:jc w:val="center"/>
              <w:rPr>
                <w:rFonts w:hint="eastAsia" w:ascii="黑体" w:hAnsi="黑体" w:eastAsia="黑体" w:cs="黑体"/>
                <w:kern w:val="2"/>
                <w:sz w:val="32"/>
                <w:szCs w:val="32"/>
              </w:rPr>
            </w:pPr>
            <w:r>
              <w:rPr>
                <w:rFonts w:hint="eastAsia" w:ascii="黑体" w:hAnsi="黑体" w:eastAsia="黑体" w:cs="黑体"/>
                <w:kern w:val="2"/>
                <w:sz w:val="32"/>
                <w:szCs w:val="32"/>
              </w:rPr>
              <w:t>财政拨款</w:t>
            </w:r>
          </w:p>
        </w:tc>
        <w:tc>
          <w:tcPr>
            <w:tcW w:w="1657" w:type="dxa"/>
            <w:noWrap w:val="0"/>
            <w:vAlign w:val="center"/>
          </w:tcPr>
          <w:p>
            <w:pPr>
              <w:pStyle w:val="6"/>
              <w:spacing w:before="93" w:line="576" w:lineRule="exact"/>
              <w:jc w:val="center"/>
              <w:rPr>
                <w:rFonts w:hint="eastAsia" w:ascii="黑体" w:hAnsi="黑体" w:eastAsia="黑体" w:cs="黑体"/>
                <w:kern w:val="2"/>
                <w:sz w:val="32"/>
                <w:szCs w:val="32"/>
                <w:lang w:val="zh-CN"/>
              </w:rPr>
            </w:pPr>
            <w:r>
              <w:rPr>
                <w:rFonts w:hint="eastAsia" w:ascii="黑体" w:hAnsi="黑体" w:eastAsia="黑体" w:cs="黑体"/>
                <w:kern w:val="2"/>
                <w:sz w:val="32"/>
                <w:szCs w:val="32"/>
                <w:lang w:val="zh-CN"/>
              </w:rPr>
              <w:t>来源渠道</w:t>
            </w:r>
          </w:p>
        </w:tc>
        <w:tc>
          <w:tcPr>
            <w:tcW w:w="4037" w:type="dxa"/>
            <w:noWrap w:val="0"/>
            <w:vAlign w:val="center"/>
          </w:tcPr>
          <w:p>
            <w:pPr>
              <w:pStyle w:val="6"/>
              <w:spacing w:before="93" w:line="576" w:lineRule="exact"/>
              <w:jc w:val="center"/>
              <w:rPr>
                <w:rFonts w:hint="eastAsia" w:ascii="黑体" w:hAnsi="黑体" w:eastAsia="黑体" w:cs="黑体"/>
                <w:kern w:val="2"/>
                <w:sz w:val="32"/>
                <w:szCs w:val="32"/>
                <w:lang w:val="zh-CN"/>
              </w:rPr>
            </w:pPr>
            <w:r>
              <w:rPr>
                <w:rFonts w:hint="eastAsia" w:ascii="黑体" w:hAnsi="黑体" w:eastAsia="黑体" w:cs="黑体"/>
                <w:kern w:val="2"/>
                <w:sz w:val="32"/>
                <w:szCs w:val="32"/>
                <w:lang w:val="zh-CN"/>
              </w:rPr>
              <w:t>分析说明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exact"/>
        </w:trPr>
        <w:tc>
          <w:tcPr>
            <w:tcW w:w="1663" w:type="dxa"/>
            <w:noWrap w:val="0"/>
            <w:vAlign w:val="center"/>
          </w:tcPr>
          <w:p>
            <w:pPr>
              <w:pStyle w:val="6"/>
              <w:spacing w:before="93" w:line="576" w:lineRule="exact"/>
              <w:jc w:val="center"/>
              <w:rPr>
                <w:rFonts w:hint="eastAsia" w:hAnsi="宋体"/>
                <w:kern w:val="2"/>
                <w:sz w:val="24"/>
                <w:szCs w:val="24"/>
                <w:lang w:val="zh-CN"/>
              </w:rPr>
            </w:pPr>
            <w:r>
              <w:rPr>
                <w:rFonts w:hint="eastAsia" w:hAnsi="宋体"/>
                <w:kern w:val="2"/>
                <w:sz w:val="24"/>
                <w:szCs w:val="24"/>
                <w:lang w:val="zh-CN"/>
              </w:rPr>
              <w:t>资金计划</w:t>
            </w:r>
          </w:p>
        </w:tc>
        <w:tc>
          <w:tcPr>
            <w:tcW w:w="2188" w:type="dxa"/>
            <w:noWrap w:val="0"/>
            <w:vAlign w:val="center"/>
          </w:tcPr>
          <w:p>
            <w:pPr>
              <w:pStyle w:val="6"/>
              <w:spacing w:before="93" w:line="576" w:lineRule="exact"/>
              <w:jc w:val="center"/>
              <w:rPr>
                <w:rFonts w:hint="eastAsia" w:hAnsi="宋体"/>
                <w:kern w:val="2"/>
                <w:sz w:val="24"/>
                <w:szCs w:val="24"/>
                <w:lang w:val="zh-CN"/>
              </w:rPr>
            </w:pPr>
            <w:r>
              <w:rPr>
                <w:rFonts w:hint="eastAsia" w:hAnsi="宋体"/>
                <w:kern w:val="2"/>
                <w:sz w:val="24"/>
                <w:szCs w:val="24"/>
              </w:rPr>
              <w:t>228.39万元</w:t>
            </w:r>
          </w:p>
        </w:tc>
        <w:tc>
          <w:tcPr>
            <w:tcW w:w="1657" w:type="dxa"/>
            <w:noWrap w:val="0"/>
            <w:vAlign w:val="center"/>
          </w:tcPr>
          <w:p>
            <w:pPr>
              <w:pStyle w:val="6"/>
              <w:spacing w:before="93" w:line="576" w:lineRule="exact"/>
              <w:jc w:val="center"/>
              <w:rPr>
                <w:rFonts w:hint="eastAsia" w:hAnsi="宋体"/>
                <w:kern w:val="2"/>
                <w:sz w:val="24"/>
                <w:szCs w:val="24"/>
                <w:lang w:val="zh-CN"/>
              </w:rPr>
            </w:pPr>
            <w:r>
              <w:rPr>
                <w:rFonts w:hint="eastAsia" w:hAnsi="宋体"/>
                <w:kern w:val="2"/>
                <w:sz w:val="24"/>
                <w:szCs w:val="24"/>
                <w:lang w:val="zh-CN"/>
              </w:rPr>
              <w:t>财政拨款</w:t>
            </w:r>
          </w:p>
        </w:tc>
        <w:tc>
          <w:tcPr>
            <w:tcW w:w="4037" w:type="dxa"/>
            <w:noWrap w:val="0"/>
            <w:vAlign w:val="center"/>
          </w:tcPr>
          <w:p>
            <w:pPr>
              <w:pStyle w:val="6"/>
              <w:spacing w:before="93" w:line="576" w:lineRule="exact"/>
              <w:jc w:val="both"/>
              <w:rPr>
                <w:rFonts w:hAnsi="宋体"/>
                <w:kern w:val="2"/>
                <w:sz w:val="24"/>
                <w:szCs w:val="24"/>
              </w:rPr>
            </w:pPr>
            <w:r>
              <w:rPr>
                <w:rFonts w:hint="eastAsia" w:hAnsi="宋体"/>
                <w:kern w:val="2"/>
                <w:sz w:val="24"/>
                <w:szCs w:val="24"/>
              </w:rPr>
              <w:t>根据上年度支出情况申报资金计划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0" w:hRule="exact"/>
        </w:trPr>
        <w:tc>
          <w:tcPr>
            <w:tcW w:w="1663" w:type="dxa"/>
            <w:noWrap w:val="0"/>
            <w:vAlign w:val="center"/>
          </w:tcPr>
          <w:p>
            <w:pPr>
              <w:pStyle w:val="6"/>
              <w:spacing w:before="93" w:line="576" w:lineRule="exact"/>
              <w:jc w:val="center"/>
              <w:rPr>
                <w:rFonts w:hAnsi="宋体"/>
                <w:kern w:val="2"/>
                <w:sz w:val="24"/>
                <w:szCs w:val="24"/>
              </w:rPr>
            </w:pPr>
            <w:r>
              <w:rPr>
                <w:rFonts w:hint="eastAsia" w:hAnsi="宋体"/>
                <w:kern w:val="2"/>
                <w:sz w:val="24"/>
                <w:szCs w:val="24"/>
                <w:lang w:val="zh-CN"/>
              </w:rPr>
              <w:t>资金到位</w:t>
            </w:r>
          </w:p>
        </w:tc>
        <w:tc>
          <w:tcPr>
            <w:tcW w:w="2188" w:type="dxa"/>
            <w:noWrap w:val="0"/>
            <w:vAlign w:val="center"/>
          </w:tcPr>
          <w:p>
            <w:pPr>
              <w:pStyle w:val="6"/>
              <w:spacing w:before="93" w:line="576" w:lineRule="exact"/>
              <w:jc w:val="center"/>
              <w:rPr>
                <w:rFonts w:hAnsi="宋体"/>
                <w:kern w:val="2"/>
                <w:sz w:val="24"/>
                <w:szCs w:val="24"/>
              </w:rPr>
            </w:pPr>
            <w:r>
              <w:rPr>
                <w:rFonts w:hint="eastAsia" w:hAnsi="宋体"/>
                <w:kern w:val="2"/>
                <w:sz w:val="24"/>
                <w:szCs w:val="24"/>
              </w:rPr>
              <w:t>228.39万元</w:t>
            </w:r>
          </w:p>
        </w:tc>
        <w:tc>
          <w:tcPr>
            <w:tcW w:w="1657" w:type="dxa"/>
            <w:noWrap w:val="0"/>
            <w:vAlign w:val="center"/>
          </w:tcPr>
          <w:p>
            <w:pPr>
              <w:pStyle w:val="6"/>
              <w:spacing w:before="93" w:line="576" w:lineRule="exact"/>
              <w:jc w:val="center"/>
              <w:rPr>
                <w:rFonts w:hAnsi="宋体"/>
                <w:kern w:val="2"/>
                <w:sz w:val="24"/>
                <w:szCs w:val="24"/>
              </w:rPr>
            </w:pPr>
            <w:r>
              <w:rPr>
                <w:rFonts w:hint="eastAsia" w:hAnsi="宋体"/>
                <w:kern w:val="2"/>
                <w:sz w:val="24"/>
                <w:szCs w:val="24"/>
                <w:lang w:val="zh-CN"/>
              </w:rPr>
              <w:t>财政拨款</w:t>
            </w:r>
          </w:p>
        </w:tc>
        <w:tc>
          <w:tcPr>
            <w:tcW w:w="4037" w:type="dxa"/>
            <w:noWrap w:val="0"/>
            <w:vAlign w:val="center"/>
          </w:tcPr>
          <w:p>
            <w:pPr>
              <w:pStyle w:val="6"/>
              <w:spacing w:before="93" w:line="576" w:lineRule="exact"/>
              <w:jc w:val="both"/>
              <w:rPr>
                <w:rFonts w:hint="eastAsia" w:hAnsi="宋体"/>
                <w:kern w:val="2"/>
                <w:sz w:val="24"/>
                <w:szCs w:val="24"/>
                <w:lang w:val="zh-CN"/>
              </w:rPr>
            </w:pPr>
            <w:r>
              <w:rPr>
                <w:rFonts w:hint="eastAsia" w:hAnsi="宋体"/>
                <w:kern w:val="2"/>
                <w:sz w:val="24"/>
                <w:szCs w:val="24"/>
              </w:rPr>
              <w:t>根据上年度支出情况拨付资金计划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6" w:hRule="exact"/>
        </w:trPr>
        <w:tc>
          <w:tcPr>
            <w:tcW w:w="1663" w:type="dxa"/>
            <w:noWrap w:val="0"/>
            <w:vAlign w:val="center"/>
          </w:tcPr>
          <w:p>
            <w:pPr>
              <w:pStyle w:val="6"/>
              <w:spacing w:before="93" w:line="576" w:lineRule="exact"/>
              <w:jc w:val="center"/>
              <w:rPr>
                <w:rFonts w:hint="eastAsia" w:hAnsi="宋体"/>
                <w:kern w:val="2"/>
                <w:sz w:val="24"/>
                <w:szCs w:val="24"/>
              </w:rPr>
            </w:pPr>
            <w:r>
              <w:rPr>
                <w:rFonts w:hint="eastAsia" w:hAnsi="宋体"/>
                <w:kern w:val="2"/>
                <w:sz w:val="24"/>
                <w:szCs w:val="24"/>
                <w:lang w:val="zh-CN"/>
              </w:rPr>
              <w:t>资金使用</w:t>
            </w:r>
          </w:p>
        </w:tc>
        <w:tc>
          <w:tcPr>
            <w:tcW w:w="2188" w:type="dxa"/>
            <w:noWrap w:val="0"/>
            <w:vAlign w:val="center"/>
          </w:tcPr>
          <w:p>
            <w:pPr>
              <w:pStyle w:val="6"/>
              <w:spacing w:before="93" w:line="576" w:lineRule="exact"/>
              <w:jc w:val="center"/>
              <w:rPr>
                <w:rFonts w:hint="eastAsia" w:hAnsi="宋体"/>
                <w:kern w:val="2"/>
                <w:sz w:val="24"/>
                <w:szCs w:val="24"/>
              </w:rPr>
            </w:pPr>
            <w:r>
              <w:rPr>
                <w:rFonts w:hint="eastAsia" w:hAnsi="宋体"/>
                <w:kern w:val="2"/>
                <w:sz w:val="24"/>
                <w:szCs w:val="24"/>
              </w:rPr>
              <w:t>228.39万元</w:t>
            </w:r>
          </w:p>
        </w:tc>
        <w:tc>
          <w:tcPr>
            <w:tcW w:w="1657" w:type="dxa"/>
            <w:noWrap w:val="0"/>
            <w:vAlign w:val="center"/>
          </w:tcPr>
          <w:p>
            <w:pPr>
              <w:pStyle w:val="6"/>
              <w:spacing w:before="93" w:line="576" w:lineRule="exact"/>
              <w:jc w:val="center"/>
              <w:rPr>
                <w:rFonts w:hint="eastAsia" w:hAnsi="宋体"/>
                <w:kern w:val="2"/>
                <w:sz w:val="24"/>
                <w:szCs w:val="24"/>
              </w:rPr>
            </w:pPr>
            <w:r>
              <w:rPr>
                <w:rFonts w:hint="eastAsia" w:hAnsi="宋体"/>
                <w:kern w:val="2"/>
                <w:sz w:val="24"/>
                <w:szCs w:val="24"/>
                <w:lang w:val="zh-CN"/>
              </w:rPr>
              <w:t>财政拨款</w:t>
            </w:r>
          </w:p>
        </w:tc>
        <w:tc>
          <w:tcPr>
            <w:tcW w:w="4037" w:type="dxa"/>
            <w:noWrap w:val="0"/>
            <w:vAlign w:val="top"/>
          </w:tcPr>
          <w:p>
            <w:pPr>
              <w:pStyle w:val="6"/>
              <w:spacing w:before="93" w:line="576" w:lineRule="exact"/>
              <w:jc w:val="both"/>
              <w:rPr>
                <w:rFonts w:hint="eastAsia" w:hAnsi="宋体"/>
                <w:kern w:val="2"/>
                <w:sz w:val="24"/>
                <w:szCs w:val="24"/>
                <w:lang w:val="zh-CN"/>
              </w:rPr>
            </w:pPr>
            <w:r>
              <w:rPr>
                <w:rFonts w:hint="eastAsia" w:hAnsi="宋体"/>
                <w:kern w:val="2"/>
                <w:sz w:val="24"/>
                <w:szCs w:val="24"/>
                <w:lang w:val="zh-CN"/>
              </w:rPr>
              <w:t>支付范围、支付标准、支付进度、支付依据等合规合法、是与预算相符。</w:t>
            </w:r>
          </w:p>
        </w:tc>
      </w:tr>
    </w:tbl>
    <w:p>
      <w:pPr>
        <w:adjustRightInd w:val="0"/>
        <w:snapToGrid w:val="0"/>
        <w:spacing w:line="600" w:lineRule="exact"/>
        <w:rPr>
          <w:rFonts w:hint="eastAsia" w:ascii="仿宋_GB2312" w:hAnsi="宋体" w:eastAsia="仿宋_GB2312"/>
          <w:sz w:val="32"/>
          <w:szCs w:val="32"/>
          <w:lang w:val="zh-CN"/>
        </w:rPr>
      </w:pPr>
    </w:p>
    <w:p>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（三）项目财务管理情况</w:t>
      </w:r>
    </w:p>
    <w:p>
      <w:pPr>
        <w:adjustRightInd w:val="0"/>
        <w:snapToGrid w:val="0"/>
        <w:spacing w:line="576" w:lineRule="exact"/>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kern w:val="0"/>
          <w:sz w:val="32"/>
          <w:szCs w:val="32"/>
        </w:rPr>
        <w:t>项目资金支付严格</w:t>
      </w:r>
      <w:r>
        <w:rPr>
          <w:rFonts w:hint="eastAsia" w:ascii="仿宋_GB2312" w:hAnsi="仿宋_GB2312" w:eastAsia="仿宋_GB2312" w:cs="仿宋_GB2312"/>
          <w:sz w:val="32"/>
          <w:szCs w:val="32"/>
          <w:lang w:val="zh-CN"/>
        </w:rPr>
        <w:t>执行单位财务制度规定的报销流程，</w:t>
      </w:r>
      <w:r>
        <w:rPr>
          <w:rFonts w:hint="eastAsia" w:ascii="仿宋_GB2312" w:hAnsi="仿宋_GB2312" w:eastAsia="仿宋_GB2312" w:cs="仿宋_GB2312"/>
          <w:kern w:val="0"/>
          <w:sz w:val="32"/>
          <w:szCs w:val="32"/>
        </w:rPr>
        <w:t>附与经济业务事项相关的合法合规的原始凭证和附件，按照经办人签字、科室负责人、业务分管领导及财务分管领导审批的流程进行支付。</w:t>
      </w:r>
      <w:r>
        <w:rPr>
          <w:rFonts w:hint="eastAsia" w:ascii="仿宋_GB2312" w:hAnsi="仿宋_GB2312" w:eastAsia="仿宋_GB2312" w:cs="仿宋_GB2312"/>
          <w:sz w:val="32"/>
          <w:szCs w:val="32"/>
          <w:lang w:val="zh-CN"/>
        </w:rPr>
        <w:t>账务处理及时，会计核算规范有序。</w:t>
      </w:r>
    </w:p>
    <w:p>
      <w:pPr>
        <w:adjustRightInd w:val="0"/>
        <w:snapToGrid w:val="0"/>
        <w:spacing w:line="600" w:lineRule="exact"/>
        <w:ind w:firstLine="720"/>
        <w:rPr>
          <w:rFonts w:ascii="仿宋_GB2312" w:hAnsi="宋体" w:eastAsia="仿宋_GB2312"/>
          <w:sz w:val="32"/>
          <w:szCs w:val="32"/>
          <w:lang w:val="zh-CN"/>
        </w:rPr>
      </w:pPr>
      <w:bookmarkStart w:id="106" w:name="_Toc70577442_WPSOffice_Level2"/>
      <w:r>
        <w:rPr>
          <w:rFonts w:hint="eastAsia" w:ascii="黑体" w:hAnsi="宋体" w:eastAsia="黑体"/>
          <w:sz w:val="32"/>
          <w:szCs w:val="32"/>
        </w:rPr>
        <w:t>三、项目实施及管理情况</w:t>
      </w:r>
      <w:bookmarkEnd w:id="106"/>
    </w:p>
    <w:p>
      <w:pPr>
        <w:pStyle w:val="13"/>
        <w:widowControl/>
        <w:shd w:val="clear" w:color="auto" w:fill="FFFFFF"/>
        <w:spacing w:before="0" w:beforeAutospacing="0" w:after="0" w:afterAutospacing="0" w:line="375" w:lineRule="atLeast"/>
        <w:ind w:firstLine="600"/>
        <w:textAlignment w:val="baseline"/>
        <w:rPr>
          <w:rFonts w:hint="eastAsia" w:ascii="仿宋_GB2312" w:hAnsi="仿宋_GB2312" w:eastAsia="仿宋_GB2312" w:cs="仿宋_GB2312"/>
          <w:color w:val="000000"/>
          <w:sz w:val="32"/>
          <w:szCs w:val="32"/>
        </w:rPr>
      </w:pPr>
      <w:r>
        <w:rPr>
          <w:rFonts w:hint="eastAsia" w:ascii="楷体_GB2312" w:hAnsi="宋体" w:eastAsia="楷体_GB2312"/>
          <w:b/>
          <w:sz w:val="32"/>
          <w:szCs w:val="32"/>
          <w:lang w:val="zh-CN"/>
        </w:rPr>
        <w:t>（一）项目组织架构及实施流程。</w:t>
      </w:r>
      <w:r>
        <w:rPr>
          <w:rFonts w:hint="eastAsia" w:ascii="仿宋_GB2312" w:hAnsi="仿宋_GB2312" w:eastAsia="仿宋_GB2312" w:cs="仿宋_GB2312"/>
          <w:color w:val="000000"/>
          <w:sz w:val="32"/>
          <w:szCs w:val="32"/>
          <w:shd w:val="clear" w:color="auto" w:fill="FFFFFF"/>
        </w:rPr>
        <w:t>我中心根据广元市财政局工作要求，有计划有步骤地开展了政务服务中心综合楼办公楼运维费项目工作。该项目资金具体用途如下：</w:t>
      </w:r>
    </w:p>
    <w:p>
      <w:pPr>
        <w:pStyle w:val="13"/>
        <w:widowControl/>
        <w:shd w:val="clear" w:color="auto" w:fill="FFFFFF"/>
        <w:spacing w:before="0" w:beforeAutospacing="0" w:after="0" w:afterAutospacing="0" w:line="375" w:lineRule="atLeast"/>
        <w:ind w:firstLine="600"/>
        <w:textAlignment w:val="baseline"/>
        <w:rPr>
          <w:rFonts w:hint="eastAsia" w:ascii="仿宋_GB2312" w:hAnsi="仿宋_GB2312" w:eastAsia="仿宋_GB2312" w:cs="仿宋_GB2312"/>
          <w:color w:val="FF0000"/>
          <w:sz w:val="32"/>
          <w:szCs w:val="32"/>
          <w:shd w:val="clear" w:color="auto" w:fill="FFFFFF"/>
        </w:rPr>
      </w:pPr>
      <w:r>
        <w:rPr>
          <w:rFonts w:hint="eastAsia" w:ascii="仿宋_GB2312" w:hAnsi="仿宋_GB2312" w:eastAsia="仿宋_GB2312" w:cs="仿宋_GB2312"/>
          <w:color w:val="000000"/>
          <w:sz w:val="32"/>
          <w:szCs w:val="32"/>
        </w:rPr>
        <w:t>主要用于综合楼日常运转发生的水电气、空调电梯消防维保费及部件更换、聘用协警、日常维修及食堂运行、</w:t>
      </w:r>
      <w:r>
        <w:rPr>
          <w:rFonts w:hint="eastAsia" w:ascii="仿宋_GB2312" w:hAnsi="仿宋_GB2312" w:eastAsia="仿宋_GB2312" w:cs="仿宋_GB2312"/>
          <w:color w:val="333333"/>
          <w:sz w:val="32"/>
          <w:szCs w:val="32"/>
          <w:shd w:val="clear" w:color="auto" w:fill="FFFFFF"/>
        </w:rPr>
        <w:t>办公耗材、广告宣传等费</w:t>
      </w:r>
      <w:r>
        <w:rPr>
          <w:rFonts w:hint="eastAsia" w:ascii="仿宋_GB2312" w:hAnsi="仿宋_GB2312" w:eastAsia="仿宋_GB2312" w:cs="仿宋_GB2312"/>
          <w:sz w:val="32"/>
          <w:szCs w:val="32"/>
          <w:shd w:val="clear" w:color="auto" w:fill="FFFFFF"/>
        </w:rPr>
        <w:t>用228.39万元。</w:t>
      </w:r>
    </w:p>
    <w:p>
      <w:pPr>
        <w:pStyle w:val="13"/>
        <w:widowControl/>
        <w:shd w:val="clear" w:color="auto" w:fill="FFFFFF"/>
        <w:spacing w:before="0" w:beforeAutospacing="0" w:after="0" w:afterAutospacing="0" w:line="375" w:lineRule="atLeast"/>
        <w:ind w:firstLine="600"/>
        <w:textAlignment w:val="baseline"/>
        <w:rPr>
          <w:rFonts w:hint="eastAsia" w:ascii="仿宋_GB2312" w:hAnsi="仿宋_GB2312" w:eastAsia="仿宋_GB2312" w:cs="仿宋_GB2312"/>
          <w:bCs/>
          <w:sz w:val="32"/>
          <w:szCs w:val="32"/>
          <w:lang w:val="zh-CN"/>
        </w:rPr>
      </w:pPr>
      <w:r>
        <w:rPr>
          <w:rFonts w:hint="eastAsia" w:ascii="楷体_GB2312" w:hAnsi="宋体" w:eastAsia="楷体_GB2312"/>
          <w:b/>
          <w:sz w:val="32"/>
          <w:szCs w:val="32"/>
          <w:lang w:val="zh-CN"/>
        </w:rPr>
        <w:t>（二）项目管理情况。</w:t>
      </w:r>
      <w:r>
        <w:rPr>
          <w:rFonts w:hint="eastAsia" w:ascii="仿宋_GB2312" w:hAnsi="仿宋_GB2312" w:eastAsia="仿宋_GB2312" w:cs="仿宋_GB2312"/>
          <w:color w:val="000000"/>
          <w:sz w:val="32"/>
          <w:szCs w:val="32"/>
          <w:shd w:val="clear" w:color="auto" w:fill="FFFFFF"/>
        </w:rPr>
        <w:t>项目经费严格按照单位的财务制度和预算支出范围的使用。由广元市财政局国库支付局统一核算，按照项目计划安排和实际工作情况开支，做到了专款专用，经费均按广元市财政局印发有关文件、通知精神执行。</w:t>
      </w:r>
    </w:p>
    <w:p>
      <w:pPr>
        <w:adjustRightInd w:val="0"/>
        <w:snapToGrid w:val="0"/>
        <w:spacing w:line="600" w:lineRule="exact"/>
        <w:ind w:firstLine="720"/>
        <w:rPr>
          <w:rFonts w:hint="eastAsia" w:ascii="仿宋_GB2312" w:hAnsi="仿宋_GB2312" w:eastAsia="仿宋_GB2312" w:cs="仿宋_GB2312"/>
          <w:color w:val="000000"/>
          <w:sz w:val="24"/>
          <w:shd w:val="clear" w:color="auto" w:fill="FFFFFF"/>
        </w:rPr>
      </w:pPr>
      <w:r>
        <w:rPr>
          <w:rFonts w:hint="eastAsia" w:ascii="楷体_GB2312" w:hAnsi="宋体" w:eastAsia="楷体_GB2312"/>
          <w:b/>
          <w:sz w:val="32"/>
          <w:szCs w:val="32"/>
          <w:lang w:val="zh-CN"/>
        </w:rPr>
        <w:t>（三）项目监管情况。</w:t>
      </w:r>
      <w:r>
        <w:rPr>
          <w:rFonts w:hint="eastAsia" w:ascii="仿宋_GB2312" w:hAnsi="仿宋_GB2312" w:eastAsia="仿宋_GB2312" w:cs="仿宋_GB2312"/>
          <w:color w:val="000000"/>
          <w:sz w:val="32"/>
          <w:szCs w:val="32"/>
          <w:shd w:val="clear" w:color="auto" w:fill="FFFFFF"/>
        </w:rPr>
        <w:t>本项目支出均按照有关规章制度和项目实施完成情况进行支付。并建立相关的管理制度，有专人负责，项目进行前进行集体研究讨论，项目进行时有负责人及时跟踪项目实施情况，并及时提出意见和建议，项目实施过程全都通过政府采购办审批后办理</w:t>
      </w:r>
      <w:r>
        <w:rPr>
          <w:rFonts w:hint="eastAsia" w:ascii="仿宋_GB2312" w:hAnsi="仿宋_GB2312" w:eastAsia="仿宋_GB2312" w:cs="仿宋_GB2312"/>
          <w:color w:val="000000"/>
          <w:sz w:val="24"/>
          <w:shd w:val="clear" w:color="auto" w:fill="FFFFFF"/>
        </w:rPr>
        <w:t>。</w:t>
      </w:r>
    </w:p>
    <w:p>
      <w:pPr>
        <w:adjustRightInd w:val="0"/>
        <w:snapToGrid w:val="0"/>
        <w:spacing w:line="600" w:lineRule="exact"/>
        <w:ind w:firstLine="720"/>
        <w:rPr>
          <w:rFonts w:ascii="仿宋_GB2312" w:hAnsi="宋体" w:eastAsia="仿宋_GB2312"/>
          <w:sz w:val="32"/>
          <w:szCs w:val="32"/>
          <w:lang w:val="zh-CN"/>
        </w:rPr>
      </w:pPr>
      <w:bookmarkStart w:id="107" w:name="_Toc1729064555_WPSOffice_Level2"/>
      <w:r>
        <w:rPr>
          <w:rFonts w:hint="eastAsia" w:ascii="黑体" w:hAnsi="宋体" w:eastAsia="黑体"/>
          <w:sz w:val="32"/>
          <w:szCs w:val="32"/>
        </w:rPr>
        <w:t>四、项目绩效情况</w:t>
      </w:r>
      <w:bookmarkEnd w:id="107"/>
      <w:r>
        <w:rPr>
          <w:rFonts w:ascii="仿宋_GB2312" w:hAnsi="宋体" w:eastAsia="仿宋_GB2312"/>
          <w:sz w:val="32"/>
          <w:szCs w:val="32"/>
          <w:lang w:val="zh-CN"/>
        </w:rPr>
        <w:tab/>
      </w:r>
    </w:p>
    <w:p>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（一）项目完成情况</w:t>
      </w:r>
    </w:p>
    <w:p>
      <w:pPr>
        <w:pStyle w:val="13"/>
        <w:widowControl/>
        <w:shd w:val="clear" w:color="auto" w:fill="FFFFFF"/>
        <w:spacing w:before="0" w:beforeAutospacing="0" w:after="0" w:afterAutospacing="0" w:line="375" w:lineRule="atLeast"/>
        <w:ind w:firstLine="600"/>
        <w:textAlignment w:val="baseline"/>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1.项目预期目标完成程度。2021年政务服务中心综合楼办公楼运维费项目，达到使用功能目的。</w:t>
      </w:r>
    </w:p>
    <w:p>
      <w:pPr>
        <w:pStyle w:val="13"/>
        <w:widowControl/>
        <w:shd w:val="clear" w:color="auto" w:fill="FFFFFF"/>
        <w:spacing w:before="0" w:beforeAutospacing="0" w:after="0" w:afterAutospacing="0" w:line="375" w:lineRule="atLeast"/>
        <w:ind w:firstLine="600"/>
        <w:textAlignment w:val="baseline"/>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2.项目实施对经济和社会的影响。政务服务中心综合楼运维费项目，保障了工作环境的文明、和谐与稳定。</w:t>
      </w:r>
    </w:p>
    <w:p>
      <w:pPr>
        <w:adjustRightInd w:val="0"/>
        <w:snapToGrid w:val="0"/>
        <w:spacing w:line="600" w:lineRule="exact"/>
        <w:ind w:left="720"/>
        <w:rPr>
          <w:rFonts w:hint="eastAsia" w:ascii="楷体_GB2312" w:hAnsi="宋体" w:eastAsia="楷体_GB2312"/>
          <w:b/>
          <w:sz w:val="32"/>
          <w:szCs w:val="32"/>
          <w:lang w:val="zh-CN"/>
        </w:rPr>
      </w:pPr>
      <w:r>
        <w:rPr>
          <w:rFonts w:hint="eastAsia" w:ascii="楷体_GB2312" w:hAnsi="宋体" w:eastAsia="楷体_GB2312"/>
          <w:b/>
          <w:sz w:val="32"/>
          <w:szCs w:val="32"/>
          <w:lang w:val="zh-CN"/>
        </w:rPr>
        <w:t>（二）项目效益情况</w:t>
      </w:r>
    </w:p>
    <w:p>
      <w:pPr>
        <w:pStyle w:val="13"/>
        <w:widowControl/>
        <w:shd w:val="clear" w:color="auto" w:fill="FFFFFF"/>
        <w:spacing w:before="0" w:beforeAutospacing="0" w:after="0" w:afterAutospacing="0" w:line="375" w:lineRule="atLeast"/>
        <w:ind w:firstLine="600"/>
        <w:textAlignment w:val="baseline"/>
        <w:rPr>
          <w:rFonts w:hint="eastAsia" w:ascii="仿宋_GB2312" w:hAnsi="仿宋_GB2312" w:eastAsia="仿宋_GB2312" w:cs="仿宋_GB2312"/>
          <w:color w:val="000000"/>
          <w:sz w:val="32"/>
          <w:szCs w:val="32"/>
          <w:shd w:val="clear" w:color="auto" w:fill="FFFFFF"/>
          <w:lang w:val="en-US" w:eastAsia="zh-CN"/>
        </w:rPr>
      </w:pPr>
      <w:r>
        <w:rPr>
          <w:rFonts w:hint="eastAsia" w:ascii="仿宋_GB2312" w:hAnsi="仿宋_GB2312" w:eastAsia="仿宋_GB2312" w:cs="仿宋_GB2312"/>
          <w:color w:val="000000"/>
          <w:sz w:val="32"/>
          <w:szCs w:val="32"/>
          <w:shd w:val="clear" w:color="auto" w:fill="FFFFFF"/>
          <w:lang w:val="en-US" w:eastAsia="zh-CN"/>
        </w:rPr>
        <w:t xml:space="preserve">  </w:t>
      </w:r>
      <w:r>
        <w:rPr>
          <w:rFonts w:hint="eastAsia" w:ascii="仿宋_GB2312" w:hAnsi="仿宋_GB2312" w:eastAsia="仿宋_GB2312" w:cs="仿宋_GB2312"/>
          <w:color w:val="000000"/>
          <w:sz w:val="24"/>
        </w:rPr>
        <w:t>政</w:t>
      </w:r>
      <w:r>
        <w:rPr>
          <w:rFonts w:hint="eastAsia" w:ascii="仿宋_GB2312" w:hAnsi="仿宋_GB2312" w:eastAsia="仿宋_GB2312" w:cs="仿宋_GB2312"/>
          <w:color w:val="000000"/>
          <w:sz w:val="32"/>
          <w:szCs w:val="32"/>
          <w:shd w:val="clear" w:color="auto" w:fill="FFFFFF"/>
        </w:rPr>
        <w:t>务中心综合楼各项设施设备运行正常，秩序有序，为中心正常工作提供了良好的后勤保障</w:t>
      </w:r>
      <w:r>
        <w:rPr>
          <w:rFonts w:hint="eastAsia" w:ascii="仿宋_GB2312" w:hAnsi="仿宋_GB2312" w:eastAsia="仿宋_GB2312" w:cs="仿宋_GB2312"/>
          <w:color w:val="000000"/>
          <w:sz w:val="32"/>
          <w:szCs w:val="32"/>
          <w:shd w:val="clear" w:color="auto" w:fill="FFFFFF"/>
          <w:lang w:eastAsia="zh-CN"/>
        </w:rPr>
        <w:t>，为办事群众提供了优良的政务服务环境，群众满意度较高。</w:t>
      </w:r>
    </w:p>
    <w:p>
      <w:pPr>
        <w:adjustRightInd w:val="0"/>
        <w:snapToGrid w:val="0"/>
        <w:spacing w:line="600" w:lineRule="exact"/>
        <w:ind w:firstLine="720"/>
        <w:rPr>
          <w:rFonts w:ascii="黑体" w:hAnsi="宋体" w:eastAsia="黑体"/>
          <w:sz w:val="32"/>
          <w:szCs w:val="32"/>
        </w:rPr>
      </w:pPr>
      <w:bookmarkStart w:id="108" w:name="_Toc253366323_WPSOffice_Level2"/>
      <w:r>
        <w:rPr>
          <w:rFonts w:hint="eastAsia" w:ascii="黑体" w:hAnsi="宋体" w:eastAsia="黑体"/>
          <w:sz w:val="32"/>
          <w:szCs w:val="32"/>
        </w:rPr>
        <w:t>五、评价结论及建议</w:t>
      </w:r>
      <w:bookmarkEnd w:id="108"/>
    </w:p>
    <w:p>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（一）评价结论</w:t>
      </w:r>
    </w:p>
    <w:p>
      <w:pPr>
        <w:adjustRightInd w:val="0"/>
        <w:snapToGrid w:val="0"/>
        <w:spacing w:line="600" w:lineRule="exact"/>
        <w:ind w:firstLine="720"/>
        <w:rPr>
          <w:rFonts w:hint="eastAsia" w:ascii="仿宋" w:hAnsi="仿宋" w:eastAsia="仿宋" w:cs="仿宋"/>
          <w:color w:val="auto"/>
          <w:sz w:val="32"/>
          <w:szCs w:val="32"/>
        </w:rPr>
      </w:pPr>
      <w:r>
        <w:rPr>
          <w:rFonts w:ascii="仿宋_GB2312" w:eastAsia="仿宋_GB2312"/>
          <w:sz w:val="32"/>
          <w:szCs w:val="32"/>
        </w:rPr>
        <w:t>结合中心工作实际情况，</w:t>
      </w:r>
      <w:r>
        <w:rPr>
          <w:rFonts w:hint="eastAsia" w:ascii="仿宋_GB2312" w:hAnsi="仿宋_GB2312" w:eastAsia="仿宋_GB2312" w:cs="仿宋_GB2312"/>
          <w:kern w:val="0"/>
          <w:sz w:val="32"/>
          <w:szCs w:val="32"/>
        </w:rPr>
        <w:t>对照《2021年市级财政项目支出绩效评价指标体系》进行自</w:t>
      </w:r>
      <w:r>
        <w:rPr>
          <w:rFonts w:hint="eastAsia" w:ascii="仿宋_GB2312" w:hAnsi="仿宋_GB2312" w:eastAsia="仿宋_GB2312" w:cs="仿宋_GB2312"/>
          <w:color w:val="auto"/>
          <w:kern w:val="0"/>
          <w:sz w:val="32"/>
          <w:szCs w:val="32"/>
        </w:rPr>
        <w:t>评</w:t>
      </w:r>
      <w:r>
        <w:rPr>
          <w:rFonts w:hint="eastAsia" w:ascii="仿宋_GB2312" w:eastAsia="仿宋_GB2312"/>
          <w:color w:val="auto"/>
          <w:sz w:val="32"/>
          <w:szCs w:val="32"/>
        </w:rPr>
        <w:t>打</w:t>
      </w:r>
      <w:r>
        <w:rPr>
          <w:rFonts w:ascii="仿宋_GB2312" w:eastAsia="仿宋_GB2312"/>
          <w:color w:val="auto"/>
          <w:sz w:val="32"/>
          <w:szCs w:val="32"/>
        </w:rPr>
        <w:t>分，综合得分</w:t>
      </w:r>
      <w:r>
        <w:rPr>
          <w:rFonts w:hint="eastAsia" w:ascii="仿宋_GB2312" w:eastAsia="仿宋_GB2312"/>
          <w:color w:val="auto"/>
          <w:sz w:val="32"/>
          <w:szCs w:val="32"/>
        </w:rPr>
        <w:t>95</w:t>
      </w:r>
      <w:r>
        <w:rPr>
          <w:rFonts w:ascii="仿宋_GB2312" w:eastAsia="仿宋_GB2312"/>
          <w:color w:val="auto"/>
          <w:sz w:val="32"/>
          <w:szCs w:val="32"/>
        </w:rPr>
        <w:t>分，</w:t>
      </w:r>
      <w:r>
        <w:rPr>
          <w:rFonts w:hint="eastAsia" w:ascii="仿宋_GB2312" w:eastAsia="仿宋_GB2312"/>
          <w:color w:val="auto"/>
          <w:sz w:val="32"/>
          <w:szCs w:val="32"/>
        </w:rPr>
        <w:t>项目</w:t>
      </w:r>
      <w:r>
        <w:rPr>
          <w:rFonts w:ascii="仿宋_GB2312" w:eastAsia="仿宋_GB2312"/>
          <w:color w:val="auto"/>
          <w:sz w:val="32"/>
          <w:szCs w:val="32"/>
        </w:rPr>
        <w:t>支出绩效为</w:t>
      </w:r>
      <w:r>
        <w:rPr>
          <w:rFonts w:hint="eastAsia" w:ascii="仿宋_GB2312" w:eastAsia="仿宋_GB2312"/>
          <w:color w:val="auto"/>
          <w:sz w:val="32"/>
          <w:szCs w:val="32"/>
        </w:rPr>
        <w:t>评价为</w:t>
      </w:r>
      <w:r>
        <w:rPr>
          <w:rFonts w:ascii="仿宋_GB2312" w:eastAsia="仿宋_GB2312"/>
          <w:color w:val="auto"/>
          <w:sz w:val="32"/>
          <w:szCs w:val="32"/>
        </w:rPr>
        <w:t>“</w:t>
      </w:r>
      <w:r>
        <w:rPr>
          <w:rFonts w:hint="eastAsia" w:ascii="仿宋_GB2312" w:eastAsia="仿宋_GB2312"/>
          <w:color w:val="auto"/>
          <w:sz w:val="32"/>
          <w:szCs w:val="32"/>
        </w:rPr>
        <w:t>优</w:t>
      </w:r>
      <w:r>
        <w:rPr>
          <w:rFonts w:ascii="仿宋_GB2312" w:eastAsia="仿宋_GB2312"/>
          <w:color w:val="auto"/>
          <w:sz w:val="32"/>
          <w:szCs w:val="32"/>
        </w:rPr>
        <w:t>”。</w:t>
      </w:r>
    </w:p>
    <w:p>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（二）存在的问题</w:t>
      </w:r>
    </w:p>
    <w:p>
      <w:pPr>
        <w:spacing w:line="620" w:lineRule="exact"/>
        <w:ind w:firstLine="960" w:firstLineChars="300"/>
        <w:rPr>
          <w:lang w:val="zh-CN"/>
        </w:rPr>
      </w:pPr>
      <w:r>
        <w:rPr>
          <w:rFonts w:hint="eastAsia" w:ascii="仿宋_GB2312" w:hAnsi="仿宋_GB2312" w:eastAsia="仿宋_GB2312" w:cs="仿宋_GB2312"/>
          <w:color w:val="000000"/>
          <w:sz w:val="32"/>
          <w:szCs w:val="32"/>
          <w:shd w:val="clear" w:color="auto" w:fill="FFFFFF"/>
        </w:rPr>
        <w:t>项目经费使用严格按照相关规定执行，但仍存在支出进度缓慢，材料报送不及时等问题，针对项目执行时出现的问题，及时改进，加快材料报送与审核流程，确保项目经费支出符合相关规定并按时支出。为更好创建良好的工作环境，为人民群众服务，建议相关部门对政务服务中心综合楼办公楼正常运行维护工作给予支持。</w:t>
      </w:r>
    </w:p>
    <w:p>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（三）相关建议</w:t>
      </w:r>
    </w:p>
    <w:p>
      <w:pPr>
        <w:spacing w:line="6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1.认真做好绩效目标的编制，与相关科室沟通，听取业务部门意见，根据工作实际合理设定年度绩效目标，并细化、量化指标设置，使项目预算安排与绩效目标合理匹配。</w:t>
      </w:r>
    </w:p>
    <w:p>
      <w:pPr>
        <w:spacing w:line="6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2.年初预算下达后，及时拟定相应的资金使用方案，督促相关科室及时执行，强化预算执行的日常管理，加快预算执行。</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3.积极进行绩效跟踪监控，及时调整和优化项目支出，把预算资金使用好，最大限度发挥资金的使用效益，不断提高科学化精细化管理水平。</w:t>
      </w: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tbl>
      <w:tblPr>
        <w:tblStyle w:val="15"/>
        <w:tblpPr w:leftFromText="180" w:rightFromText="180" w:vertAnchor="text" w:horzAnchor="page" w:tblpXSpec="center" w:tblpY="423"/>
        <w:tblOverlap w:val="never"/>
        <w:tblW w:w="9960" w:type="dxa"/>
        <w:jc w:val="center"/>
        <w:tblLayout w:type="fixed"/>
        <w:tblCellMar>
          <w:top w:w="0" w:type="dxa"/>
          <w:left w:w="0" w:type="dxa"/>
          <w:bottom w:w="0" w:type="dxa"/>
          <w:right w:w="0" w:type="dxa"/>
        </w:tblCellMar>
      </w:tblPr>
      <w:tblGrid>
        <w:gridCol w:w="724"/>
        <w:gridCol w:w="936"/>
        <w:gridCol w:w="1122"/>
        <w:gridCol w:w="2392"/>
        <w:gridCol w:w="2394"/>
        <w:gridCol w:w="2392"/>
      </w:tblGrid>
      <w:tr>
        <w:tblPrEx>
          <w:tblCellMar>
            <w:top w:w="0" w:type="dxa"/>
            <w:left w:w="0" w:type="dxa"/>
            <w:bottom w:w="0" w:type="dxa"/>
            <w:right w:w="0" w:type="dxa"/>
          </w:tblCellMar>
        </w:tblPrEx>
        <w:trPr>
          <w:trHeight w:val="1034" w:hRule="atLeast"/>
          <w:jc w:val="center"/>
        </w:trPr>
        <w:tc>
          <w:tcPr>
            <w:tcW w:w="9960" w:type="dxa"/>
            <w:gridSpan w:val="6"/>
            <w:tcBorders>
              <w:top w:val="nil"/>
              <w:left w:val="nil"/>
              <w:bottom w:val="nil"/>
              <w:right w:val="nil"/>
            </w:tcBorders>
            <w:noWrap w:val="0"/>
            <w:tcMar>
              <w:top w:w="15" w:type="dxa"/>
              <w:left w:w="15" w:type="dxa"/>
              <w:right w:w="15" w:type="dxa"/>
            </w:tcMar>
            <w:vAlign w:val="center"/>
          </w:tcPr>
          <w:p>
            <w:pPr>
              <w:widowControl/>
              <w:spacing w:line="540" w:lineRule="exact"/>
              <w:jc w:val="center"/>
              <w:textAlignment w:val="center"/>
              <w:rPr>
                <w:rFonts w:hint="eastAsia" w:ascii="方正小标宋简体" w:hAnsi="宋体" w:eastAsia="方正小标宋简体" w:cs="宋体"/>
                <w:bCs/>
                <w:color w:val="000000"/>
                <w:kern w:val="0"/>
                <w:sz w:val="44"/>
                <w:szCs w:val="44"/>
                <w:lang w:bidi="ar"/>
              </w:rPr>
            </w:pPr>
            <w:r>
              <w:rPr>
                <w:rFonts w:hint="eastAsia" w:ascii="方正小标宋简体" w:hAnsi="宋体" w:eastAsia="方正小标宋简体" w:cs="宋体"/>
                <w:bCs/>
                <w:color w:val="000000"/>
                <w:kern w:val="0"/>
                <w:sz w:val="44"/>
                <w:szCs w:val="44"/>
                <w:lang w:bidi="ar"/>
              </w:rPr>
              <w:t>政务服务中心综合楼日常运行</w:t>
            </w:r>
            <w:r>
              <w:rPr>
                <w:rFonts w:hint="eastAsia" w:ascii="方正小标宋简体" w:hAnsi="宋体" w:eastAsia="方正小标宋简体" w:cs="宋体"/>
                <w:bCs/>
                <w:color w:val="000000"/>
                <w:kern w:val="0"/>
                <w:sz w:val="44"/>
                <w:szCs w:val="44"/>
                <w:lang w:eastAsia="zh-CN" w:bidi="ar"/>
              </w:rPr>
              <w:t>维护</w:t>
            </w:r>
            <w:r>
              <w:rPr>
                <w:rFonts w:hint="eastAsia" w:ascii="方正小标宋简体" w:hAnsi="宋体" w:eastAsia="方正小标宋简体" w:cs="宋体"/>
                <w:bCs/>
                <w:color w:val="000000"/>
                <w:kern w:val="0"/>
                <w:sz w:val="44"/>
                <w:szCs w:val="44"/>
                <w:lang w:bidi="ar"/>
              </w:rPr>
              <w:t>费</w:t>
            </w:r>
          </w:p>
          <w:p>
            <w:pPr>
              <w:widowControl/>
              <w:spacing w:line="540" w:lineRule="exact"/>
              <w:jc w:val="center"/>
              <w:textAlignment w:val="center"/>
              <w:rPr>
                <w:rFonts w:hint="eastAsia" w:ascii="方正小标宋简体" w:hAnsi="宋体" w:eastAsia="方正小标宋简体" w:cs="宋体"/>
                <w:bCs/>
                <w:color w:val="000000"/>
                <w:kern w:val="0"/>
                <w:sz w:val="44"/>
                <w:szCs w:val="44"/>
                <w:lang w:eastAsia="zh-CN" w:bidi="ar"/>
              </w:rPr>
            </w:pPr>
            <w:r>
              <w:rPr>
                <w:rFonts w:hint="eastAsia" w:ascii="方正小标宋简体" w:hAnsi="宋体" w:eastAsia="方正小标宋简体" w:cs="宋体"/>
                <w:bCs/>
                <w:color w:val="000000"/>
                <w:kern w:val="0"/>
                <w:sz w:val="44"/>
                <w:szCs w:val="44"/>
                <w:lang w:bidi="ar"/>
              </w:rPr>
              <w:t>项目绩效目标完成情况表</w:t>
            </w:r>
          </w:p>
          <w:p>
            <w:pPr>
              <w:widowControl/>
              <w:spacing w:line="540" w:lineRule="exact"/>
              <w:jc w:val="center"/>
              <w:textAlignment w:val="center"/>
              <w:rPr>
                <w:rFonts w:ascii="宋体" w:cs="宋体"/>
                <w:color w:val="000000"/>
                <w:sz w:val="36"/>
                <w:szCs w:val="36"/>
              </w:rPr>
            </w:pPr>
            <w:r>
              <w:rPr>
                <w:rFonts w:hint="eastAsia" w:ascii="楷体_GB2312" w:hAnsi="宋体" w:eastAsia="楷体_GB2312" w:cs="宋体"/>
                <w:color w:val="000000"/>
                <w:kern w:val="0"/>
                <w:sz w:val="32"/>
                <w:szCs w:val="32"/>
                <w:lang w:bidi="ar"/>
              </w:rPr>
              <w:t>(202</w:t>
            </w:r>
            <w:r>
              <w:rPr>
                <w:rFonts w:hint="eastAsia" w:ascii="楷体_GB2312" w:hAnsi="宋体" w:eastAsia="楷体_GB2312" w:cs="宋体"/>
                <w:color w:val="000000"/>
                <w:kern w:val="0"/>
                <w:sz w:val="32"/>
                <w:szCs w:val="32"/>
                <w:lang w:val="en-US" w:eastAsia="zh-CN" w:bidi="ar"/>
              </w:rPr>
              <w:t>1</w:t>
            </w:r>
            <w:r>
              <w:rPr>
                <w:rFonts w:hint="eastAsia" w:ascii="楷体_GB2312" w:hAnsi="宋体" w:eastAsia="楷体_GB2312" w:cs="宋体"/>
                <w:color w:val="000000"/>
                <w:kern w:val="0"/>
                <w:sz w:val="32"/>
                <w:szCs w:val="32"/>
                <w:lang w:bidi="ar"/>
              </w:rPr>
              <w:t>年度)</w:t>
            </w:r>
          </w:p>
        </w:tc>
      </w:tr>
      <w:tr>
        <w:tblPrEx>
          <w:tblCellMar>
            <w:top w:w="0" w:type="dxa"/>
            <w:left w:w="0" w:type="dxa"/>
            <w:bottom w:w="0" w:type="dxa"/>
            <w:right w:w="0" w:type="dxa"/>
          </w:tblCellMar>
        </w:tblPrEx>
        <w:trPr>
          <w:trHeight w:val="328" w:hRule="atLeast"/>
          <w:jc w:val="center"/>
        </w:trPr>
        <w:tc>
          <w:tcPr>
            <w:tcW w:w="278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项目名称</w:t>
            </w:r>
          </w:p>
        </w:tc>
        <w:tc>
          <w:tcPr>
            <w:tcW w:w="7178"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 xml:space="preserve"> 政务服务中心综合楼日常运行</w:t>
            </w:r>
            <w:r>
              <w:rPr>
                <w:rFonts w:hint="eastAsia" w:ascii="仿宋_GB2312" w:hAnsi="仿宋_GB2312" w:eastAsia="仿宋_GB2312" w:cs="仿宋_GB2312"/>
                <w:color w:val="000000"/>
                <w:sz w:val="24"/>
                <w:lang w:eastAsia="zh-CN"/>
              </w:rPr>
              <w:t>维护</w:t>
            </w:r>
            <w:r>
              <w:rPr>
                <w:rFonts w:hint="eastAsia" w:ascii="仿宋_GB2312" w:hAnsi="仿宋_GB2312" w:eastAsia="仿宋_GB2312" w:cs="仿宋_GB2312"/>
                <w:color w:val="000000"/>
                <w:sz w:val="24"/>
              </w:rPr>
              <w:t>费</w:t>
            </w:r>
          </w:p>
        </w:tc>
      </w:tr>
      <w:tr>
        <w:tblPrEx>
          <w:tblCellMar>
            <w:top w:w="0" w:type="dxa"/>
            <w:left w:w="0" w:type="dxa"/>
            <w:bottom w:w="0" w:type="dxa"/>
            <w:right w:w="0" w:type="dxa"/>
          </w:tblCellMar>
        </w:tblPrEx>
        <w:trPr>
          <w:trHeight w:val="276" w:hRule="atLeast"/>
          <w:jc w:val="center"/>
        </w:trPr>
        <w:tc>
          <w:tcPr>
            <w:tcW w:w="278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预算单位</w:t>
            </w:r>
          </w:p>
        </w:tc>
        <w:tc>
          <w:tcPr>
            <w:tcW w:w="7178"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广元市政务服务和公共资源交易中心</w:t>
            </w:r>
          </w:p>
        </w:tc>
      </w:tr>
      <w:tr>
        <w:tblPrEx>
          <w:tblCellMar>
            <w:top w:w="0" w:type="dxa"/>
            <w:left w:w="0" w:type="dxa"/>
            <w:bottom w:w="0" w:type="dxa"/>
            <w:right w:w="0" w:type="dxa"/>
          </w:tblCellMar>
        </w:tblPrEx>
        <w:trPr>
          <w:trHeight w:val="276" w:hRule="atLeast"/>
          <w:jc w:val="center"/>
        </w:trPr>
        <w:tc>
          <w:tcPr>
            <w:tcW w:w="724"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预算执行情况(万元)</w:t>
            </w:r>
          </w:p>
        </w:tc>
        <w:tc>
          <w:tcPr>
            <w:tcW w:w="205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预算数:</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228.39万元</w:t>
            </w: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执行数:</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228.39</w:t>
            </w:r>
          </w:p>
        </w:tc>
      </w:tr>
      <w:tr>
        <w:tblPrEx>
          <w:tblCellMar>
            <w:top w:w="0" w:type="dxa"/>
            <w:left w:w="0" w:type="dxa"/>
            <w:bottom w:w="0" w:type="dxa"/>
            <w:right w:w="0" w:type="dxa"/>
          </w:tblCellMar>
        </w:tblPrEx>
        <w:trPr>
          <w:trHeight w:val="276" w:hRule="atLeast"/>
          <w:jc w:val="center"/>
        </w:trPr>
        <w:tc>
          <w:tcPr>
            <w:tcW w:w="72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000000"/>
                <w:sz w:val="24"/>
              </w:rPr>
            </w:pPr>
          </w:p>
        </w:tc>
        <w:tc>
          <w:tcPr>
            <w:tcW w:w="205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其中-财政拨款:</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228.39万元</w:t>
            </w: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其中-财政拨款:</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228.39</w:t>
            </w:r>
          </w:p>
        </w:tc>
      </w:tr>
      <w:tr>
        <w:tblPrEx>
          <w:tblCellMar>
            <w:top w:w="0" w:type="dxa"/>
            <w:left w:w="0" w:type="dxa"/>
            <w:bottom w:w="0" w:type="dxa"/>
            <w:right w:w="0" w:type="dxa"/>
          </w:tblCellMar>
        </w:tblPrEx>
        <w:trPr>
          <w:trHeight w:val="824" w:hRule="atLeast"/>
          <w:jc w:val="center"/>
        </w:trPr>
        <w:tc>
          <w:tcPr>
            <w:tcW w:w="72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000000"/>
                <w:sz w:val="24"/>
              </w:rPr>
            </w:pPr>
          </w:p>
        </w:tc>
        <w:tc>
          <w:tcPr>
            <w:tcW w:w="205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其它资金:</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其它资金:</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000000"/>
                <w:sz w:val="24"/>
              </w:rPr>
            </w:pPr>
          </w:p>
        </w:tc>
      </w:tr>
      <w:tr>
        <w:tblPrEx>
          <w:tblCellMar>
            <w:top w:w="0" w:type="dxa"/>
            <w:left w:w="0" w:type="dxa"/>
            <w:bottom w:w="0" w:type="dxa"/>
            <w:right w:w="0" w:type="dxa"/>
          </w:tblCellMar>
        </w:tblPrEx>
        <w:trPr>
          <w:trHeight w:val="276" w:hRule="atLeast"/>
          <w:jc w:val="center"/>
        </w:trPr>
        <w:tc>
          <w:tcPr>
            <w:tcW w:w="724"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年度目标完成情况</w:t>
            </w:r>
          </w:p>
        </w:tc>
        <w:tc>
          <w:tcPr>
            <w:tcW w:w="445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预期目标</w:t>
            </w:r>
          </w:p>
        </w:tc>
        <w:tc>
          <w:tcPr>
            <w:tcW w:w="4786"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实际完成目标</w:t>
            </w:r>
          </w:p>
        </w:tc>
      </w:tr>
      <w:tr>
        <w:tblPrEx>
          <w:tblCellMar>
            <w:top w:w="0" w:type="dxa"/>
            <w:left w:w="0" w:type="dxa"/>
            <w:bottom w:w="0" w:type="dxa"/>
            <w:right w:w="0" w:type="dxa"/>
          </w:tblCellMar>
        </w:tblPrEx>
        <w:trPr>
          <w:trHeight w:val="1159" w:hRule="atLeast"/>
          <w:jc w:val="center"/>
        </w:trPr>
        <w:tc>
          <w:tcPr>
            <w:tcW w:w="72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000000"/>
                <w:sz w:val="24"/>
              </w:rPr>
            </w:pPr>
          </w:p>
        </w:tc>
        <w:tc>
          <w:tcPr>
            <w:tcW w:w="445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 xml:space="preserve"> 确保各项设施、设备正常运行，维护有序的秩序，为政务服务和公共资源交易顺利开展提供支撑和保障。</w:t>
            </w:r>
          </w:p>
        </w:tc>
        <w:tc>
          <w:tcPr>
            <w:tcW w:w="4786"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政务中心综合楼各项设施设备运行正常，秩序有序，为中心正常工作提供了良好的后勤保障。</w:t>
            </w:r>
          </w:p>
        </w:tc>
      </w:tr>
      <w:tr>
        <w:tblPrEx>
          <w:tblCellMar>
            <w:top w:w="0" w:type="dxa"/>
            <w:left w:w="0" w:type="dxa"/>
            <w:bottom w:w="0" w:type="dxa"/>
            <w:right w:w="0" w:type="dxa"/>
          </w:tblCellMar>
        </w:tblPrEx>
        <w:trPr>
          <w:trHeight w:val="803" w:hRule="atLeast"/>
          <w:jc w:val="center"/>
        </w:trPr>
        <w:tc>
          <w:tcPr>
            <w:tcW w:w="724"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绩效指标完成情况</w:t>
            </w:r>
          </w:p>
        </w:tc>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一级指标</w:t>
            </w:r>
          </w:p>
        </w:tc>
        <w:tc>
          <w:tcPr>
            <w:tcW w:w="11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二级指标</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三级指标</w:t>
            </w: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预期指标值(包含数字及文字描述)</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实际完成指标值(包含数字及文字描述)</w:t>
            </w:r>
          </w:p>
        </w:tc>
      </w:tr>
      <w:tr>
        <w:tblPrEx>
          <w:tblCellMar>
            <w:top w:w="0" w:type="dxa"/>
            <w:left w:w="0" w:type="dxa"/>
            <w:bottom w:w="0" w:type="dxa"/>
            <w:right w:w="0" w:type="dxa"/>
          </w:tblCellMar>
        </w:tblPrEx>
        <w:trPr>
          <w:trHeight w:val="828" w:hRule="atLeast"/>
          <w:jc w:val="center"/>
        </w:trPr>
        <w:tc>
          <w:tcPr>
            <w:tcW w:w="724" w:type="dxa"/>
            <w:vMerge w:val="continue"/>
            <w:tcBorders>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p>
        </w:tc>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项目完成指标</w:t>
            </w:r>
          </w:p>
        </w:tc>
        <w:tc>
          <w:tcPr>
            <w:tcW w:w="11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数量指标</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水电气、设备维修维护</w:t>
            </w: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服务面积32300平米</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服务面积32300平米</w:t>
            </w:r>
          </w:p>
        </w:tc>
      </w:tr>
      <w:tr>
        <w:tblPrEx>
          <w:tblCellMar>
            <w:top w:w="0" w:type="dxa"/>
            <w:left w:w="0" w:type="dxa"/>
            <w:bottom w:w="0" w:type="dxa"/>
            <w:right w:w="0" w:type="dxa"/>
          </w:tblCellMar>
        </w:tblPrEx>
        <w:trPr>
          <w:trHeight w:val="813" w:hRule="atLeast"/>
          <w:jc w:val="center"/>
        </w:trPr>
        <w:tc>
          <w:tcPr>
            <w:tcW w:w="724" w:type="dxa"/>
            <w:vMerge w:val="continue"/>
            <w:tcBorders>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p>
        </w:tc>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项目完成指标</w:t>
            </w:r>
          </w:p>
        </w:tc>
        <w:tc>
          <w:tcPr>
            <w:tcW w:w="11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rPr>
              <w:t>质量指标</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设备正常运行率</w:t>
            </w: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≥95%</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≥95%</w:t>
            </w:r>
          </w:p>
        </w:tc>
      </w:tr>
      <w:tr>
        <w:tblPrEx>
          <w:tblCellMar>
            <w:top w:w="0" w:type="dxa"/>
            <w:left w:w="0" w:type="dxa"/>
            <w:bottom w:w="0" w:type="dxa"/>
            <w:right w:w="0" w:type="dxa"/>
          </w:tblCellMar>
        </w:tblPrEx>
        <w:trPr>
          <w:trHeight w:val="824" w:hRule="atLeast"/>
          <w:jc w:val="center"/>
        </w:trPr>
        <w:tc>
          <w:tcPr>
            <w:tcW w:w="724" w:type="dxa"/>
            <w:vMerge w:val="continue"/>
            <w:tcBorders>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p>
        </w:tc>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项目完成指标</w:t>
            </w:r>
          </w:p>
        </w:tc>
        <w:tc>
          <w:tcPr>
            <w:tcW w:w="11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时效指标</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完成时间</w:t>
            </w: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202</w:t>
            </w:r>
            <w:r>
              <w:rPr>
                <w:rFonts w:hint="eastAsia" w:ascii="仿宋_GB2312" w:hAnsi="仿宋_GB2312" w:eastAsia="仿宋_GB2312" w:cs="仿宋_GB2312"/>
                <w:color w:val="000000"/>
                <w:sz w:val="24"/>
                <w:lang w:val="en-US" w:eastAsia="zh-CN"/>
              </w:rPr>
              <w:t>1</w:t>
            </w:r>
            <w:r>
              <w:rPr>
                <w:rFonts w:hint="eastAsia" w:ascii="仿宋_GB2312" w:hAnsi="仿宋_GB2312" w:eastAsia="仿宋_GB2312" w:cs="仿宋_GB2312"/>
                <w:color w:val="000000"/>
                <w:sz w:val="24"/>
              </w:rPr>
              <w:t>年度</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202</w:t>
            </w:r>
            <w:r>
              <w:rPr>
                <w:rFonts w:hint="eastAsia" w:ascii="仿宋_GB2312" w:hAnsi="仿宋_GB2312" w:eastAsia="仿宋_GB2312" w:cs="仿宋_GB2312"/>
                <w:color w:val="000000"/>
                <w:sz w:val="24"/>
                <w:lang w:val="en-US" w:eastAsia="zh-CN"/>
              </w:rPr>
              <w:t>1</w:t>
            </w:r>
            <w:r>
              <w:rPr>
                <w:rFonts w:hint="eastAsia" w:ascii="仿宋_GB2312" w:hAnsi="仿宋_GB2312" w:eastAsia="仿宋_GB2312" w:cs="仿宋_GB2312"/>
                <w:color w:val="000000"/>
                <w:sz w:val="24"/>
              </w:rPr>
              <w:t>年度</w:t>
            </w:r>
          </w:p>
        </w:tc>
      </w:tr>
      <w:tr>
        <w:tblPrEx>
          <w:tblCellMar>
            <w:top w:w="0" w:type="dxa"/>
            <w:left w:w="0" w:type="dxa"/>
            <w:bottom w:w="0" w:type="dxa"/>
            <w:right w:w="0" w:type="dxa"/>
          </w:tblCellMar>
        </w:tblPrEx>
        <w:trPr>
          <w:trHeight w:val="1042" w:hRule="atLeast"/>
          <w:jc w:val="center"/>
        </w:trPr>
        <w:tc>
          <w:tcPr>
            <w:tcW w:w="724" w:type="dxa"/>
            <w:vMerge w:val="continue"/>
            <w:tcBorders>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p>
        </w:tc>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kern w:val="0"/>
                <w:sz w:val="24"/>
                <w:lang w:bidi="ar"/>
              </w:rPr>
            </w:pPr>
            <w:r>
              <w:rPr>
                <w:rFonts w:hint="eastAsia" w:ascii="仿宋_GB2312" w:hAnsi="仿宋_GB2312" w:eastAsia="仿宋_GB2312" w:cs="仿宋_GB2312"/>
                <w:color w:val="000000"/>
                <w:kern w:val="0"/>
                <w:sz w:val="24"/>
                <w:lang w:bidi="ar"/>
              </w:rPr>
              <w:t>项目完成指标</w:t>
            </w:r>
          </w:p>
        </w:tc>
        <w:tc>
          <w:tcPr>
            <w:tcW w:w="11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成本指标</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水电气、空调电梯消防维保费及部件更换、聘用协警、日常维修及食堂运行等</w:t>
            </w: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228.39万元/年</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228.39</w:t>
            </w:r>
            <w:r>
              <w:rPr>
                <w:rFonts w:hint="eastAsia" w:ascii="仿宋_GB2312" w:hAnsi="仿宋_GB2312" w:eastAsia="仿宋_GB2312" w:cs="仿宋_GB2312"/>
                <w:color w:val="000000"/>
                <w:sz w:val="24"/>
              </w:rPr>
              <w:t>万元/年</w:t>
            </w:r>
          </w:p>
        </w:tc>
      </w:tr>
      <w:tr>
        <w:tblPrEx>
          <w:tblCellMar>
            <w:top w:w="0" w:type="dxa"/>
            <w:left w:w="0" w:type="dxa"/>
            <w:bottom w:w="0" w:type="dxa"/>
            <w:right w:w="0" w:type="dxa"/>
          </w:tblCellMar>
        </w:tblPrEx>
        <w:trPr>
          <w:trHeight w:val="685" w:hRule="atLeast"/>
          <w:jc w:val="center"/>
        </w:trPr>
        <w:tc>
          <w:tcPr>
            <w:tcW w:w="724" w:type="dxa"/>
            <w:vMerge w:val="continue"/>
            <w:tcBorders>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p>
        </w:tc>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效益指标</w:t>
            </w:r>
          </w:p>
        </w:tc>
        <w:tc>
          <w:tcPr>
            <w:tcW w:w="11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社会效益</w:t>
            </w:r>
          </w:p>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指标</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对工作的促进作用</w:t>
            </w: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各项设施、设备运行正常，秩序有序</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各项设施、设备运行正常，秩序有序</w:t>
            </w:r>
          </w:p>
        </w:tc>
      </w:tr>
      <w:tr>
        <w:tblPrEx>
          <w:tblCellMar>
            <w:top w:w="0" w:type="dxa"/>
            <w:left w:w="0" w:type="dxa"/>
            <w:bottom w:w="0" w:type="dxa"/>
            <w:right w:w="0" w:type="dxa"/>
          </w:tblCellMar>
        </w:tblPrEx>
        <w:trPr>
          <w:trHeight w:val="680" w:hRule="atLeast"/>
          <w:jc w:val="center"/>
        </w:trPr>
        <w:tc>
          <w:tcPr>
            <w:tcW w:w="724" w:type="dxa"/>
            <w:vMerge w:val="continue"/>
            <w:tcBorders>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p>
        </w:tc>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效益指标</w:t>
            </w:r>
          </w:p>
        </w:tc>
        <w:tc>
          <w:tcPr>
            <w:tcW w:w="11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生态效益</w:t>
            </w:r>
          </w:p>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指标</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能耗节约率</w:t>
            </w: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达标</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达标</w:t>
            </w:r>
          </w:p>
        </w:tc>
      </w:tr>
      <w:tr>
        <w:tblPrEx>
          <w:tblCellMar>
            <w:top w:w="0" w:type="dxa"/>
            <w:left w:w="0" w:type="dxa"/>
            <w:bottom w:w="0" w:type="dxa"/>
            <w:right w:w="0" w:type="dxa"/>
          </w:tblCellMar>
        </w:tblPrEx>
        <w:trPr>
          <w:trHeight w:val="832" w:hRule="atLeast"/>
          <w:jc w:val="center"/>
        </w:trPr>
        <w:tc>
          <w:tcPr>
            <w:tcW w:w="724" w:type="dxa"/>
            <w:vMerge w:val="continue"/>
            <w:tcBorders>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p>
        </w:tc>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效益指标</w:t>
            </w:r>
          </w:p>
        </w:tc>
        <w:tc>
          <w:tcPr>
            <w:tcW w:w="11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可持续影响指标</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项目发挥作用期限</w:t>
            </w: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长期</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长期</w:t>
            </w:r>
          </w:p>
        </w:tc>
      </w:tr>
      <w:tr>
        <w:tblPrEx>
          <w:tblCellMar>
            <w:top w:w="0" w:type="dxa"/>
            <w:left w:w="0" w:type="dxa"/>
            <w:bottom w:w="0" w:type="dxa"/>
            <w:right w:w="0" w:type="dxa"/>
          </w:tblCellMar>
        </w:tblPrEx>
        <w:trPr>
          <w:trHeight w:val="968" w:hRule="atLeast"/>
          <w:jc w:val="center"/>
        </w:trPr>
        <w:tc>
          <w:tcPr>
            <w:tcW w:w="724" w:type="dxa"/>
            <w:vMerge w:val="continue"/>
            <w:tcBorders>
              <w:left w:val="single" w:color="000000" w:sz="4" w:space="0"/>
              <w:bottom w:val="single" w:color="auto"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p>
        </w:tc>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满意度指标</w:t>
            </w:r>
          </w:p>
        </w:tc>
        <w:tc>
          <w:tcPr>
            <w:tcW w:w="11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满意度指标</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工作运行满意度</w:t>
            </w: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w:t>
            </w:r>
            <w:r>
              <w:rPr>
                <w:rFonts w:hint="eastAsia" w:ascii="仿宋_GB2312" w:hAnsi="仿宋_GB2312" w:eastAsia="仿宋_GB2312" w:cs="仿宋_GB2312"/>
                <w:color w:val="000000"/>
                <w:sz w:val="24"/>
                <w:lang w:val="en-US" w:eastAsia="zh-CN"/>
              </w:rPr>
              <w:t>99</w:t>
            </w:r>
            <w:r>
              <w:rPr>
                <w:rFonts w:hint="eastAsia" w:ascii="仿宋_GB2312" w:hAnsi="仿宋_GB2312" w:eastAsia="仿宋_GB2312" w:cs="仿宋_GB2312"/>
                <w:color w:val="000000"/>
                <w:sz w:val="24"/>
              </w:rPr>
              <w:t>%</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w:t>
            </w:r>
            <w:r>
              <w:rPr>
                <w:rFonts w:hint="eastAsia" w:ascii="仿宋_GB2312" w:hAnsi="仿宋_GB2312" w:eastAsia="仿宋_GB2312" w:cs="仿宋_GB2312"/>
                <w:color w:val="000000"/>
                <w:sz w:val="24"/>
                <w:lang w:val="en-US" w:eastAsia="zh-CN"/>
              </w:rPr>
              <w:t>99</w:t>
            </w:r>
            <w:r>
              <w:rPr>
                <w:rFonts w:hint="eastAsia" w:ascii="仿宋_GB2312" w:hAnsi="仿宋_GB2312" w:eastAsia="仿宋_GB2312" w:cs="仿宋_GB2312"/>
                <w:color w:val="000000"/>
                <w:sz w:val="24"/>
              </w:rPr>
              <w:t>%</w:t>
            </w:r>
          </w:p>
        </w:tc>
      </w:tr>
    </w:tbl>
    <w:p>
      <w:pPr>
        <w:rPr>
          <w:rFonts w:hint="eastAsia" w:ascii="仿宋_GB2312" w:hAnsi="仿宋_GB2312" w:eastAsia="仿宋_GB2312" w:cs="仿宋_GB2312"/>
        </w:rPr>
      </w:pPr>
    </w:p>
    <w:p>
      <w:pPr>
        <w:spacing w:line="600" w:lineRule="exact"/>
        <w:jc w:val="center"/>
        <w:rPr>
          <w:rFonts w:hint="eastAsia" w:ascii="方正小标宋简体" w:hAnsi="宋体" w:eastAsia="方正小标宋简体"/>
          <w:color w:val="000000"/>
          <w:kern w:val="0"/>
          <w:sz w:val="44"/>
          <w:szCs w:val="44"/>
        </w:rPr>
      </w:pPr>
      <w:r>
        <w:rPr>
          <w:rFonts w:hint="eastAsia" w:ascii="方正小标宋简体" w:hAnsi="Calibri" w:eastAsia="方正小标宋简体"/>
          <w:kern w:val="0"/>
          <w:sz w:val="44"/>
          <w:szCs w:val="44"/>
        </w:rPr>
        <w:t>广元市12345政务服务便民热线平台升级及与四川省12345政务服务便民热线网络理政平台数据对接</w:t>
      </w:r>
      <w:r>
        <w:rPr>
          <w:rFonts w:hint="eastAsia" w:ascii="方正小标宋简体" w:hAnsi="宋体" w:eastAsia="方正小标宋简体"/>
          <w:color w:val="000000"/>
          <w:kern w:val="0"/>
          <w:sz w:val="44"/>
          <w:szCs w:val="44"/>
        </w:rPr>
        <w:t>及与广元市110热线、警务民意热线966110平台数据交换建设项目</w:t>
      </w:r>
    </w:p>
    <w:p>
      <w:pPr>
        <w:spacing w:line="600" w:lineRule="exact"/>
        <w:jc w:val="center"/>
        <w:rPr>
          <w:rFonts w:ascii="方正小标宋简体" w:hAnsi="宋体" w:eastAsia="方正小标宋简体"/>
          <w:color w:val="000000"/>
          <w:kern w:val="0"/>
          <w:sz w:val="44"/>
          <w:szCs w:val="44"/>
        </w:rPr>
      </w:pPr>
      <w:r>
        <w:rPr>
          <w:rFonts w:ascii="方正小标宋简体" w:hAnsi="宋体" w:eastAsia="方正小标宋简体"/>
          <w:color w:val="000000"/>
          <w:kern w:val="0"/>
          <w:sz w:val="44"/>
          <w:szCs w:val="44"/>
        </w:rPr>
        <w:t>202</w:t>
      </w:r>
      <w:r>
        <w:rPr>
          <w:rFonts w:hint="eastAsia" w:ascii="方正小标宋简体" w:hAnsi="宋体" w:eastAsia="方正小标宋简体"/>
          <w:color w:val="000000"/>
          <w:kern w:val="0"/>
          <w:sz w:val="44"/>
          <w:szCs w:val="44"/>
        </w:rPr>
        <w:t>1年绩效评价报告</w:t>
      </w:r>
    </w:p>
    <w:p>
      <w:pPr>
        <w:spacing w:line="600" w:lineRule="exact"/>
        <w:rPr>
          <w:rFonts w:ascii="宋体"/>
          <w:sz w:val="32"/>
          <w:szCs w:val="32"/>
          <w:lang w:val="zh-CN"/>
        </w:rPr>
      </w:pPr>
    </w:p>
    <w:p>
      <w:pPr>
        <w:adjustRightInd w:val="0"/>
        <w:snapToGrid w:val="0"/>
        <w:spacing w:line="560" w:lineRule="exact"/>
        <w:ind w:firstLine="720"/>
        <w:rPr>
          <w:rFonts w:hint="eastAsia" w:ascii="黑体" w:hAnsi="黑体" w:eastAsia="黑体" w:cs="黑体"/>
          <w:b/>
          <w:bCs/>
          <w:sz w:val="30"/>
          <w:szCs w:val="30"/>
          <w:lang w:val="zh-CN"/>
        </w:rPr>
      </w:pPr>
      <w:bookmarkStart w:id="109" w:name="_Toc192114867_WPSOffice_Level2"/>
      <w:r>
        <w:rPr>
          <w:rFonts w:hint="eastAsia" w:ascii="黑体" w:hAnsi="黑体" w:eastAsia="黑体" w:cs="黑体"/>
          <w:b/>
          <w:bCs/>
          <w:sz w:val="30"/>
          <w:szCs w:val="30"/>
        </w:rPr>
        <w:t>一、</w:t>
      </w:r>
      <w:r>
        <w:rPr>
          <w:rFonts w:hint="eastAsia" w:ascii="黑体" w:hAnsi="黑体" w:eastAsia="黑体" w:cs="黑体"/>
          <w:b/>
          <w:bCs/>
          <w:sz w:val="30"/>
          <w:szCs w:val="30"/>
          <w:lang w:val="zh-CN"/>
        </w:rPr>
        <w:t>项目概况</w:t>
      </w:r>
      <w:bookmarkEnd w:id="109"/>
    </w:p>
    <w:p>
      <w:pPr>
        <w:adjustRightInd w:val="0"/>
        <w:snapToGrid w:val="0"/>
        <w:spacing w:line="560" w:lineRule="exact"/>
        <w:ind w:firstLine="452" w:firstLineChars="150"/>
        <w:rPr>
          <w:rFonts w:hint="eastAsia" w:ascii="楷体_GB2312" w:hAnsi="楷体_GB2312" w:eastAsia="楷体_GB2312" w:cs="楷体_GB2312"/>
          <w:b/>
          <w:sz w:val="30"/>
          <w:szCs w:val="30"/>
          <w:lang w:val="zh-CN"/>
        </w:rPr>
      </w:pPr>
      <w:r>
        <w:rPr>
          <w:rFonts w:hint="eastAsia" w:ascii="楷体_GB2312" w:hAnsi="楷体_GB2312" w:eastAsia="楷体_GB2312" w:cs="楷体_GB2312"/>
          <w:b/>
          <w:sz w:val="30"/>
          <w:szCs w:val="30"/>
          <w:lang w:val="zh-CN"/>
        </w:rPr>
        <w:t>（一）项目基本情况。</w:t>
      </w:r>
    </w:p>
    <w:p>
      <w:pPr>
        <w:widowControl/>
        <w:shd w:val="clear" w:color="auto" w:fill="FFFFFF"/>
        <w:spacing w:line="560" w:lineRule="exact"/>
        <w:ind w:firstLine="588" w:firstLineChars="196"/>
        <w:jc w:val="left"/>
        <w:rPr>
          <w:rFonts w:hint="eastAsia" w:ascii="仿宋_GB2312" w:hAnsi="仿宋" w:eastAsia="仿宋_GB2312" w:cs="仿宋"/>
          <w:bCs/>
          <w:color w:val="000000"/>
          <w:kern w:val="0"/>
          <w:sz w:val="30"/>
          <w:szCs w:val="30"/>
          <w:shd w:val="clear" w:color="auto" w:fill="FFFFFF"/>
        </w:rPr>
      </w:pPr>
      <w:r>
        <w:rPr>
          <w:rFonts w:hint="eastAsia" w:ascii="仿宋_GB2312" w:hAnsi="宋体" w:eastAsia="仿宋_GB2312"/>
          <w:color w:val="000000"/>
          <w:sz w:val="30"/>
          <w:szCs w:val="30"/>
          <w:lang w:val="zh-CN"/>
        </w:rPr>
        <w:t>1．</w:t>
      </w:r>
      <w:r>
        <w:rPr>
          <w:rFonts w:hint="eastAsia" w:ascii="仿宋_GB2312" w:hAnsi="宋体" w:eastAsia="仿宋_GB2312"/>
          <w:bCs/>
          <w:color w:val="000000"/>
          <w:sz w:val="30"/>
          <w:szCs w:val="30"/>
          <w:lang w:val="zh-CN"/>
        </w:rPr>
        <w:t>项目功能</w:t>
      </w:r>
      <w:r>
        <w:rPr>
          <w:rFonts w:hint="eastAsia" w:ascii="仿宋_GB2312" w:hAnsi="宋体" w:eastAsia="仿宋_GB2312"/>
          <w:sz w:val="30"/>
          <w:szCs w:val="30"/>
          <w:lang w:val="zh-CN"/>
        </w:rPr>
        <w:t>。（</w:t>
      </w:r>
      <w:r>
        <w:rPr>
          <w:rFonts w:hint="eastAsia" w:ascii="仿宋_GB2312" w:hAnsi="宋体" w:eastAsia="仿宋_GB2312"/>
          <w:sz w:val="30"/>
          <w:szCs w:val="30"/>
        </w:rPr>
        <w:t>1</w:t>
      </w:r>
      <w:r>
        <w:rPr>
          <w:rFonts w:hint="eastAsia" w:ascii="仿宋_GB2312" w:hAnsi="宋体" w:eastAsia="仿宋_GB2312"/>
          <w:sz w:val="30"/>
          <w:szCs w:val="30"/>
          <w:lang w:val="zh-CN"/>
        </w:rPr>
        <w:t>）</w:t>
      </w:r>
      <w:r>
        <w:rPr>
          <w:rFonts w:hint="eastAsia" w:ascii="仿宋_GB2312" w:hAnsi="仿宋" w:eastAsia="仿宋_GB2312" w:cs="仿宋"/>
          <w:bCs/>
          <w:color w:val="000000"/>
          <w:kern w:val="0"/>
          <w:sz w:val="30"/>
          <w:szCs w:val="30"/>
          <w:shd w:val="clear" w:color="auto" w:fill="FFFFFF"/>
        </w:rPr>
        <w:t>广元市12345政务服务便民热线平台与四川省12345政务服务便民热线网络理政平台数据对接项目。一是实现一个号码服务，在充分运用前期热线整合成果的基础上，国家部委设立的并在我市接听的政务服务便民热线通过整体并入、双号并行、设分中心三种方式归并至市12345热线；二是软硬件平台升级改造，实现与省12345热线平台无缝对接，实现互联互通、数据共享；三是完成知识库建设，打通省、市数据通道，构建集咨询、投诉、求助、建议、举报等功能为一体，涵盖电话、网站、微信、移动客户端等渠道的统一热线平台体系，实现标准统一、整体联动、业务协同。四是优化流程和资源配置，实现热线受理与后台办理服务紧密衔接，确保企业和群众反映的问题和合理诉求及时得到处置和办理。（2）广元市12345政务服务便民热线平台与与广元市110热线、警务民意热线966110平台数据交换建设项目。一是</w:t>
      </w:r>
      <w:r>
        <w:rPr>
          <w:rFonts w:ascii="仿宋_GB2312" w:hAnsi="仿宋" w:eastAsia="仿宋_GB2312" w:cs="仿宋"/>
          <w:bCs/>
          <w:color w:val="000000"/>
          <w:kern w:val="0"/>
          <w:sz w:val="30"/>
          <w:szCs w:val="30"/>
          <w:shd w:val="clear" w:color="auto" w:fill="FFFFFF"/>
        </w:rPr>
        <w:t>通过市平台统一受理、统一分发、统一考核实现市县多级平台的工单跨区域转办和多级工单调度</w:t>
      </w:r>
      <w:r>
        <w:rPr>
          <w:rFonts w:hint="eastAsia" w:ascii="仿宋_GB2312" w:hAnsi="仿宋" w:eastAsia="仿宋_GB2312" w:cs="仿宋"/>
          <w:bCs/>
          <w:color w:val="000000"/>
          <w:kern w:val="0"/>
          <w:sz w:val="30"/>
          <w:szCs w:val="30"/>
          <w:shd w:val="clear" w:color="auto" w:fill="FFFFFF"/>
        </w:rPr>
        <w:t>；二是</w:t>
      </w:r>
      <w:r>
        <w:rPr>
          <w:rFonts w:ascii="仿宋_GB2312" w:hAnsi="仿宋" w:eastAsia="仿宋_GB2312" w:cs="仿宋"/>
          <w:bCs/>
          <w:color w:val="000000"/>
          <w:kern w:val="0"/>
          <w:sz w:val="30"/>
          <w:szCs w:val="30"/>
          <w:shd w:val="clear" w:color="auto" w:fill="FFFFFF"/>
        </w:rPr>
        <w:t>整合实现电话、网络、手机短信、微博、微信、论坛、APP等各类便民服务和诉求反馈的</w:t>
      </w:r>
      <w:r>
        <w:rPr>
          <w:rFonts w:hint="eastAsia" w:ascii="仿宋_GB2312" w:hAnsi="仿宋" w:eastAsia="仿宋_GB2312" w:cs="仿宋"/>
          <w:bCs/>
          <w:color w:val="000000"/>
          <w:kern w:val="0"/>
          <w:sz w:val="30"/>
          <w:szCs w:val="30"/>
          <w:shd w:val="clear" w:color="auto" w:fill="FFFFFF"/>
        </w:rPr>
        <w:t>全媒体受理渠道；三是</w:t>
      </w:r>
      <w:r>
        <w:rPr>
          <w:rFonts w:ascii="仿宋_GB2312" w:hAnsi="仿宋" w:eastAsia="仿宋_GB2312" w:cs="仿宋"/>
          <w:bCs/>
          <w:color w:val="000000"/>
          <w:kern w:val="0"/>
          <w:sz w:val="30"/>
          <w:szCs w:val="30"/>
          <w:shd w:val="clear" w:color="auto" w:fill="FFFFFF"/>
        </w:rPr>
        <w:t>对市县多级平台进行统一业务监管，重点对跨地区转办、部门推诿、不满意、疑难与投诉等工单的告警与跟踪督办</w:t>
      </w:r>
      <w:r>
        <w:rPr>
          <w:rFonts w:hint="eastAsia" w:ascii="仿宋_GB2312" w:hAnsi="仿宋" w:eastAsia="仿宋_GB2312" w:cs="仿宋"/>
          <w:bCs/>
          <w:color w:val="000000"/>
          <w:kern w:val="0"/>
          <w:sz w:val="30"/>
          <w:szCs w:val="30"/>
          <w:shd w:val="clear" w:color="auto" w:fill="FFFFFF"/>
        </w:rPr>
        <w:t>；四是</w:t>
      </w:r>
      <w:r>
        <w:rPr>
          <w:rFonts w:ascii="仿宋_GB2312" w:hAnsi="仿宋" w:eastAsia="仿宋_GB2312" w:cs="仿宋"/>
          <w:bCs/>
          <w:color w:val="000000"/>
          <w:kern w:val="0"/>
          <w:sz w:val="30"/>
          <w:szCs w:val="30"/>
          <w:shd w:val="clear" w:color="auto" w:fill="FFFFFF"/>
        </w:rPr>
        <w:t>依托统一的12315数据标准规范和自上而下的市县多级数据交换体系，打造123</w:t>
      </w:r>
      <w:r>
        <w:rPr>
          <w:rFonts w:hint="eastAsia" w:ascii="仿宋_GB2312" w:hAnsi="仿宋" w:eastAsia="仿宋_GB2312" w:cs="仿宋"/>
          <w:bCs/>
          <w:color w:val="000000"/>
          <w:kern w:val="0"/>
          <w:sz w:val="30"/>
          <w:szCs w:val="30"/>
          <w:shd w:val="clear" w:color="auto" w:fill="FFFFFF"/>
        </w:rPr>
        <w:t>4</w:t>
      </w:r>
      <w:r>
        <w:rPr>
          <w:rFonts w:ascii="仿宋_GB2312" w:hAnsi="仿宋" w:eastAsia="仿宋_GB2312" w:cs="仿宋"/>
          <w:bCs/>
          <w:color w:val="000000"/>
          <w:kern w:val="0"/>
          <w:sz w:val="30"/>
          <w:szCs w:val="30"/>
          <w:shd w:val="clear" w:color="auto" w:fill="FFFFFF"/>
        </w:rPr>
        <w:t>5全市数据资源中心</w:t>
      </w:r>
      <w:r>
        <w:rPr>
          <w:rFonts w:hint="eastAsia" w:ascii="仿宋_GB2312" w:hAnsi="仿宋" w:eastAsia="仿宋_GB2312" w:cs="仿宋"/>
          <w:bCs/>
          <w:color w:val="000000"/>
          <w:kern w:val="0"/>
          <w:sz w:val="30"/>
          <w:szCs w:val="30"/>
          <w:shd w:val="clear" w:color="auto" w:fill="FFFFFF"/>
        </w:rPr>
        <w:t>；五是</w:t>
      </w:r>
      <w:r>
        <w:rPr>
          <w:rFonts w:ascii="仿宋_GB2312" w:hAnsi="仿宋" w:eastAsia="仿宋_GB2312" w:cs="仿宋"/>
          <w:bCs/>
          <w:color w:val="000000"/>
          <w:kern w:val="0"/>
          <w:sz w:val="30"/>
          <w:szCs w:val="30"/>
          <w:shd w:val="clear" w:color="auto" w:fill="FFFFFF"/>
        </w:rPr>
        <w:t>打造123</w:t>
      </w:r>
      <w:r>
        <w:rPr>
          <w:rFonts w:hint="eastAsia" w:ascii="仿宋_GB2312" w:hAnsi="仿宋" w:eastAsia="仿宋_GB2312" w:cs="仿宋"/>
          <w:bCs/>
          <w:color w:val="000000"/>
          <w:kern w:val="0"/>
          <w:sz w:val="30"/>
          <w:szCs w:val="30"/>
          <w:shd w:val="clear" w:color="auto" w:fill="FFFFFF"/>
        </w:rPr>
        <w:t>4</w:t>
      </w:r>
      <w:r>
        <w:rPr>
          <w:rFonts w:ascii="仿宋_GB2312" w:hAnsi="仿宋" w:eastAsia="仿宋_GB2312" w:cs="仿宋"/>
          <w:bCs/>
          <w:color w:val="000000"/>
          <w:kern w:val="0"/>
          <w:sz w:val="30"/>
          <w:szCs w:val="30"/>
          <w:shd w:val="clear" w:color="auto" w:fill="FFFFFF"/>
        </w:rPr>
        <w:t>5</w:t>
      </w:r>
      <w:r>
        <w:rPr>
          <w:rFonts w:hint="eastAsia" w:ascii="仿宋_GB2312" w:hAnsi="仿宋" w:eastAsia="仿宋_GB2312" w:cs="仿宋"/>
          <w:bCs/>
          <w:color w:val="000000"/>
          <w:kern w:val="0"/>
          <w:sz w:val="30"/>
          <w:szCs w:val="30"/>
          <w:shd w:val="clear" w:color="auto" w:fill="FFFFFF"/>
        </w:rPr>
        <w:t>便民服务系统和110接警中心的</w:t>
      </w:r>
      <w:r>
        <w:rPr>
          <w:rFonts w:ascii="仿宋_GB2312" w:hAnsi="仿宋" w:eastAsia="仿宋_GB2312" w:cs="仿宋"/>
          <w:bCs/>
          <w:color w:val="000000"/>
          <w:kern w:val="0"/>
          <w:sz w:val="30"/>
          <w:szCs w:val="30"/>
          <w:shd w:val="clear" w:color="auto" w:fill="FFFFFF"/>
        </w:rPr>
        <w:t>数据交换枢纽，实现业务流程与数据的互联互通</w:t>
      </w:r>
      <w:r>
        <w:rPr>
          <w:rFonts w:hint="eastAsia" w:ascii="仿宋_GB2312" w:hAnsi="仿宋" w:eastAsia="仿宋_GB2312" w:cs="仿宋"/>
          <w:bCs/>
          <w:color w:val="000000"/>
          <w:kern w:val="0"/>
          <w:sz w:val="30"/>
          <w:szCs w:val="30"/>
          <w:shd w:val="clear" w:color="auto" w:fill="FFFFFF"/>
        </w:rPr>
        <w:t>；六是数据交换平台则主要用于实现与第三方系统的业务数据交换，从而实现跨平台的话务数据、知识互通以及业务监管数据采集，并通过大量数据的采集，完成政府公共服务数据资源仓库的建立，为后续公共服务大数据分析提供数据支持。</w:t>
      </w:r>
    </w:p>
    <w:p>
      <w:pPr>
        <w:spacing w:line="560" w:lineRule="exact"/>
        <w:ind w:firstLine="600" w:firstLineChars="200"/>
        <w:jc w:val="left"/>
        <w:rPr>
          <w:rFonts w:hint="eastAsia" w:ascii="仿宋_GB2312" w:hAnsi="仿宋" w:eastAsia="仿宋_GB2312" w:cs="仿宋"/>
          <w:bCs/>
          <w:color w:val="000000"/>
          <w:kern w:val="0"/>
          <w:sz w:val="30"/>
          <w:szCs w:val="30"/>
          <w:shd w:val="clear" w:color="auto" w:fill="FFFFFF"/>
        </w:rPr>
      </w:pPr>
      <w:r>
        <w:rPr>
          <w:rFonts w:hint="eastAsia" w:ascii="仿宋_GB2312" w:hAnsi="仿宋" w:eastAsia="仿宋_GB2312" w:cs="仿宋"/>
          <w:bCs/>
          <w:kern w:val="0"/>
          <w:sz w:val="30"/>
          <w:szCs w:val="30"/>
          <w:shd w:val="clear" w:color="auto" w:fill="FFFFFF"/>
        </w:rPr>
        <w:t>2．项目立项、资金申报的依据。</w:t>
      </w:r>
      <w:r>
        <w:rPr>
          <w:rFonts w:hint="eastAsia" w:ascii="仿宋_GB2312" w:hAnsi="仿宋" w:eastAsia="仿宋_GB2312" w:cs="仿宋"/>
          <w:bCs/>
          <w:color w:val="000000"/>
          <w:kern w:val="0"/>
          <w:sz w:val="30"/>
          <w:szCs w:val="30"/>
          <w:shd w:val="clear" w:color="auto" w:fill="FFFFFF"/>
        </w:rPr>
        <w:t>一是市人民政府办公室关于印发《广元市政务服务便民热线整合优化工作方案》的通知〔2021〕86号；二是广元市政务服务和公共资源交易中心《关于解决12345政务服务便民热线升级改造费用的请示》广政公〔2021〕47号;三是市人民政府常务会议议定事项通知（八届第1次7号）。</w:t>
      </w:r>
    </w:p>
    <w:p>
      <w:pPr>
        <w:spacing w:line="560" w:lineRule="exact"/>
        <w:ind w:firstLine="600" w:firstLineChars="200"/>
        <w:jc w:val="left"/>
        <w:rPr>
          <w:rFonts w:hint="eastAsia" w:ascii="仿宋_GB2312" w:hAnsi="仿宋" w:eastAsia="仿宋_GB2312" w:cs="仿宋"/>
          <w:bCs/>
          <w:color w:val="000000"/>
          <w:kern w:val="0"/>
          <w:sz w:val="30"/>
          <w:szCs w:val="30"/>
          <w:shd w:val="clear" w:color="auto" w:fill="FFFFFF"/>
        </w:rPr>
      </w:pPr>
      <w:r>
        <w:rPr>
          <w:rFonts w:hint="eastAsia" w:ascii="仿宋_GB2312" w:hAnsi="仿宋" w:eastAsia="仿宋_GB2312" w:cs="仿宋"/>
          <w:bCs/>
          <w:color w:val="000000"/>
          <w:kern w:val="0"/>
          <w:sz w:val="30"/>
          <w:szCs w:val="30"/>
          <w:shd w:val="clear" w:color="auto" w:fill="FFFFFF"/>
        </w:rPr>
        <w:t>3.市财政安排</w:t>
      </w:r>
      <w:r>
        <w:rPr>
          <w:rFonts w:hint="eastAsia" w:ascii="仿宋_GB2312" w:hAnsi="微软雅黑" w:eastAsia="仿宋_GB2312" w:cs="宋体"/>
          <w:color w:val="000000"/>
          <w:kern w:val="0"/>
          <w:sz w:val="30"/>
          <w:szCs w:val="30"/>
        </w:rPr>
        <w:t>58</w:t>
      </w:r>
      <w:r>
        <w:rPr>
          <w:rFonts w:hint="eastAsia" w:ascii="仿宋_GB2312" w:hAnsi="仿宋" w:eastAsia="仿宋_GB2312" w:cs="仿宋"/>
          <w:bCs/>
          <w:color w:val="000000"/>
          <w:kern w:val="0"/>
          <w:sz w:val="30"/>
          <w:szCs w:val="30"/>
          <w:shd w:val="clear" w:color="auto" w:fill="FFFFFF"/>
        </w:rPr>
        <w:t>万专项经费,用于广元市12345政务服务便民热线平台升级及与四川省12345政务服务便民热线网络理政平台数据对接及与广元市110热线、警务民意热线966110平台数据交换建设（以下简称“</w:t>
      </w:r>
      <w:r>
        <w:rPr>
          <w:rFonts w:hint="eastAsia" w:ascii="仿宋_GB2312" w:eastAsia="仿宋_GB2312"/>
          <w:color w:val="000000"/>
          <w:sz w:val="30"/>
          <w:szCs w:val="30"/>
          <w:shd w:val="clear" w:color="auto" w:fill="FFFFFF"/>
        </w:rPr>
        <w:t>12345政务服务热线升级改造</w:t>
      </w:r>
      <w:r>
        <w:rPr>
          <w:rFonts w:hint="eastAsia" w:ascii="仿宋_GB2312" w:hAnsi="仿宋" w:eastAsia="仿宋_GB2312" w:cs="仿宋"/>
          <w:bCs/>
          <w:color w:val="000000"/>
          <w:kern w:val="0"/>
          <w:sz w:val="30"/>
          <w:szCs w:val="30"/>
          <w:shd w:val="clear" w:color="auto" w:fill="FFFFFF"/>
        </w:rPr>
        <w:t>”）。</w:t>
      </w:r>
    </w:p>
    <w:p>
      <w:pPr>
        <w:adjustRightInd w:val="0"/>
        <w:snapToGrid w:val="0"/>
        <w:spacing w:line="560" w:lineRule="exact"/>
        <w:ind w:firstLine="720"/>
        <w:rPr>
          <w:rFonts w:hint="eastAsia" w:ascii="楷体_GB2312" w:hAnsi="楷体_GB2312" w:eastAsia="楷体_GB2312" w:cs="楷体_GB2312"/>
          <w:b/>
          <w:color w:val="000000"/>
          <w:sz w:val="30"/>
          <w:szCs w:val="30"/>
          <w:lang w:val="zh-CN"/>
        </w:rPr>
      </w:pPr>
      <w:r>
        <w:rPr>
          <w:rFonts w:hint="eastAsia" w:ascii="楷体_GB2312" w:hAnsi="楷体_GB2312" w:eastAsia="楷体_GB2312" w:cs="楷体_GB2312"/>
          <w:b/>
          <w:color w:val="000000"/>
          <w:sz w:val="30"/>
          <w:szCs w:val="30"/>
          <w:lang w:val="zh-CN"/>
        </w:rPr>
        <w:t>（二）项目绩效目标。</w:t>
      </w:r>
    </w:p>
    <w:p>
      <w:pPr>
        <w:pStyle w:val="33"/>
        <w:ind w:firstLine="600"/>
        <w:rPr>
          <w:rFonts w:hint="eastAsia" w:ascii="仿宋_GB2312" w:hAnsi="宋体" w:eastAsia="仿宋_GB2312"/>
          <w:sz w:val="30"/>
          <w:szCs w:val="30"/>
          <w:lang w:val="zh-CN"/>
        </w:rPr>
      </w:pPr>
      <w:r>
        <w:rPr>
          <w:rFonts w:hint="eastAsia" w:ascii="仿宋_GB2312" w:hAnsi="宋体" w:eastAsia="仿宋_GB2312"/>
          <w:sz w:val="30"/>
          <w:szCs w:val="30"/>
          <w:lang w:val="zh-CN"/>
        </w:rPr>
        <w:t>1．项目主要内容。系统提供7×24小时的连续运行，平均年故障时间：&lt;1天，平均故障修复时间：&lt;30分钟。系统总体可用率&gt;99.99%，数据库应用可用率&gt;=99.99%，WEB应用可用率&gt;=99.99%。</w:t>
      </w:r>
      <w:r>
        <w:rPr>
          <w:rFonts w:hint="eastAsia" w:ascii="仿宋_GB2312" w:hAnsi="宋体" w:eastAsia="仿宋_GB2312"/>
          <w:sz w:val="30"/>
          <w:szCs w:val="30"/>
        </w:rPr>
        <w:t>数据响应时间：&lt;800ms，数据承载量定义十万级</w:t>
      </w:r>
      <w:r>
        <w:rPr>
          <w:rFonts w:hint="eastAsia" w:ascii="仿宋_GB2312" w:hAnsi="宋体" w:eastAsia="仿宋_GB2312"/>
          <w:sz w:val="30"/>
          <w:szCs w:val="30"/>
          <w:lang w:val="zh-CN"/>
        </w:rPr>
        <w:t>满足，</w:t>
      </w:r>
      <w:r>
        <w:rPr>
          <w:rFonts w:hint="eastAsia" w:ascii="仿宋_GB2312" w:hAnsi="宋体" w:eastAsia="仿宋_GB2312"/>
          <w:sz w:val="30"/>
          <w:szCs w:val="30"/>
        </w:rPr>
        <w:t>响应时间：300ms-3s内，错误率：控制在0%最好。</w:t>
      </w:r>
    </w:p>
    <w:p>
      <w:pPr>
        <w:adjustRightInd w:val="0"/>
        <w:snapToGrid w:val="0"/>
        <w:spacing w:line="560" w:lineRule="exact"/>
        <w:ind w:firstLine="720"/>
        <w:rPr>
          <w:rFonts w:hint="eastAsia" w:ascii="仿宋_GB2312" w:hAnsi="宋体" w:eastAsia="仿宋_GB2312"/>
          <w:sz w:val="30"/>
          <w:szCs w:val="30"/>
          <w:lang w:val="zh-CN"/>
        </w:rPr>
      </w:pPr>
      <w:r>
        <w:rPr>
          <w:rFonts w:hint="eastAsia" w:ascii="仿宋_GB2312" w:hAnsi="宋体" w:eastAsia="仿宋_GB2312"/>
          <w:sz w:val="30"/>
          <w:szCs w:val="30"/>
          <w:lang w:val="zh-CN"/>
        </w:rPr>
        <w:t>2．项目应实现的具体绩效目标，包括目标的量化、细化情况以及项目实施进度计划等。详见（</w:t>
      </w:r>
      <w:r>
        <w:rPr>
          <w:rFonts w:hint="eastAsia" w:ascii="仿宋_GB2312" w:hAnsi="宋体" w:eastAsia="仿宋_GB2312"/>
          <w:sz w:val="30"/>
          <w:szCs w:val="30"/>
        </w:rPr>
        <w:t>广元市12345政务服务便民热线平台升级及与四川省12345政务服务便民热线网络理政平台数据对接及与广元市110热线、警务民意热线966110平台数据交换建设项目绩效目标完成情况表</w:t>
      </w:r>
      <w:r>
        <w:rPr>
          <w:rFonts w:hint="eastAsia" w:ascii="仿宋_GB2312" w:hAnsi="宋体" w:eastAsia="仿宋_GB2312"/>
          <w:sz w:val="30"/>
          <w:szCs w:val="30"/>
          <w:lang w:val="zh-CN"/>
        </w:rPr>
        <w:t>）。</w:t>
      </w:r>
    </w:p>
    <w:p>
      <w:pPr>
        <w:adjustRightInd w:val="0"/>
        <w:snapToGrid w:val="0"/>
        <w:spacing w:line="560" w:lineRule="exact"/>
        <w:ind w:firstLine="720"/>
        <w:rPr>
          <w:rFonts w:hint="eastAsia" w:ascii="仿宋_GB2312" w:hAnsi="宋体" w:eastAsia="仿宋_GB2312"/>
          <w:sz w:val="30"/>
          <w:szCs w:val="30"/>
          <w:lang w:val="zh-CN"/>
        </w:rPr>
      </w:pPr>
      <w:r>
        <w:rPr>
          <w:rFonts w:hint="eastAsia" w:ascii="仿宋_GB2312" w:hAnsi="宋体" w:eastAsia="仿宋_GB2312"/>
          <w:sz w:val="30"/>
          <w:szCs w:val="30"/>
          <w:lang w:val="zh-CN"/>
        </w:rPr>
        <w:t>3．分析评价申报内容与实际相符，申报目标合理可行。</w:t>
      </w:r>
    </w:p>
    <w:p>
      <w:pPr>
        <w:adjustRightInd w:val="0"/>
        <w:snapToGrid w:val="0"/>
        <w:spacing w:line="560" w:lineRule="exact"/>
        <w:ind w:firstLine="720"/>
        <w:rPr>
          <w:rFonts w:hint="eastAsia" w:ascii="楷体_GB2312" w:hAnsi="楷体_GB2312" w:eastAsia="楷体_GB2312" w:cs="楷体_GB2312"/>
          <w:b/>
          <w:sz w:val="30"/>
          <w:szCs w:val="30"/>
          <w:lang w:val="zh-CN"/>
        </w:rPr>
      </w:pPr>
      <w:r>
        <w:rPr>
          <w:rFonts w:hint="eastAsia" w:ascii="楷体_GB2312" w:hAnsi="楷体_GB2312" w:eastAsia="楷体_GB2312" w:cs="楷体_GB2312"/>
          <w:b/>
          <w:sz w:val="30"/>
          <w:szCs w:val="30"/>
          <w:lang w:val="zh-CN"/>
        </w:rPr>
        <w:t>（三）项目自评步骤及方法。</w:t>
      </w:r>
    </w:p>
    <w:p>
      <w:pPr>
        <w:adjustRightInd w:val="0"/>
        <w:snapToGrid w:val="0"/>
        <w:spacing w:line="560" w:lineRule="exact"/>
        <w:ind w:firstLine="720"/>
        <w:rPr>
          <w:rFonts w:hint="eastAsia" w:ascii="仿宋_GB2312" w:eastAsia="仿宋_GB2312"/>
          <w:color w:val="000000"/>
          <w:sz w:val="30"/>
          <w:szCs w:val="30"/>
          <w:shd w:val="clear" w:color="auto" w:fill="FFFFFF"/>
        </w:rPr>
      </w:pPr>
      <w:r>
        <w:rPr>
          <w:rFonts w:hint="eastAsia" w:ascii="仿宋_GB2312" w:eastAsia="仿宋_GB2312"/>
          <w:color w:val="000000"/>
          <w:sz w:val="30"/>
          <w:szCs w:val="30"/>
          <w:shd w:val="clear" w:color="auto" w:fill="FFFFFF"/>
        </w:rPr>
        <w:t>本项目采取自评,专门成立项目自评小组,结合评价内容,做到有计划,有安排,扎实开展本次自评工作。按照项目支出绩效评价指标体系,自评小组针对实施情况、资金兑现、完成各项指标等综合作出自我评价。</w:t>
      </w:r>
    </w:p>
    <w:p>
      <w:pPr>
        <w:adjustRightInd w:val="0"/>
        <w:snapToGrid w:val="0"/>
        <w:spacing w:line="560" w:lineRule="exact"/>
        <w:ind w:firstLine="720"/>
        <w:rPr>
          <w:rFonts w:hint="eastAsia" w:ascii="黑体" w:hAnsi="黑体" w:eastAsia="黑体" w:cs="黑体"/>
          <w:b/>
          <w:bCs/>
          <w:sz w:val="30"/>
          <w:szCs w:val="30"/>
        </w:rPr>
      </w:pPr>
      <w:bookmarkStart w:id="110" w:name="_Toc1213940277_WPSOffice_Level2"/>
      <w:r>
        <w:rPr>
          <w:rFonts w:hint="eastAsia" w:ascii="黑体" w:hAnsi="黑体" w:eastAsia="黑体" w:cs="黑体"/>
          <w:b/>
          <w:bCs/>
          <w:sz w:val="30"/>
          <w:szCs w:val="30"/>
        </w:rPr>
        <w:t>二、项目资金申报及使用情况</w:t>
      </w:r>
      <w:bookmarkEnd w:id="110"/>
    </w:p>
    <w:p>
      <w:pPr>
        <w:adjustRightInd w:val="0"/>
        <w:snapToGrid w:val="0"/>
        <w:spacing w:line="560" w:lineRule="exact"/>
        <w:ind w:firstLine="720"/>
        <w:rPr>
          <w:rFonts w:hint="eastAsia" w:ascii="楷体_GB2312" w:hAnsi="楷体_GB2312" w:eastAsia="楷体_GB2312" w:cs="楷体_GB2312"/>
          <w:b/>
          <w:sz w:val="30"/>
          <w:szCs w:val="30"/>
          <w:lang w:val="zh-CN"/>
        </w:rPr>
      </w:pPr>
      <w:r>
        <w:rPr>
          <w:rFonts w:hint="eastAsia" w:ascii="楷体_GB2312" w:hAnsi="楷体_GB2312" w:eastAsia="楷体_GB2312" w:cs="楷体_GB2312"/>
          <w:b/>
          <w:sz w:val="30"/>
          <w:szCs w:val="30"/>
          <w:lang w:val="zh-CN"/>
        </w:rPr>
        <w:t>（一）项目资金申报及批复情况。</w:t>
      </w:r>
    </w:p>
    <w:p>
      <w:pPr>
        <w:adjustRightInd w:val="0"/>
        <w:snapToGrid w:val="0"/>
        <w:spacing w:line="600" w:lineRule="exact"/>
        <w:ind w:firstLine="720"/>
        <w:rPr>
          <w:rFonts w:hint="eastAsia" w:ascii="仿宋_GB2312" w:eastAsia="仿宋_GB2312"/>
          <w:color w:val="000000"/>
          <w:sz w:val="30"/>
          <w:szCs w:val="30"/>
          <w:shd w:val="clear" w:color="auto" w:fill="FFFFFF"/>
        </w:rPr>
      </w:pPr>
      <w:r>
        <w:rPr>
          <w:rFonts w:hint="eastAsia" w:ascii="仿宋_GB2312" w:hAnsi="宋体" w:eastAsia="仿宋_GB2312"/>
          <w:sz w:val="32"/>
          <w:szCs w:val="32"/>
          <w:lang w:val="zh-CN"/>
        </w:rPr>
        <w:t>按照一般公共预算管理要求，由</w:t>
      </w:r>
      <w:r>
        <w:rPr>
          <w:rFonts w:hint="eastAsia" w:ascii="仿宋_GB2312" w:hAnsi="宋体" w:eastAsia="仿宋_GB2312"/>
          <w:sz w:val="32"/>
          <w:szCs w:val="32"/>
        </w:rPr>
        <w:t>中心申报追加项目资金预算，</w:t>
      </w:r>
      <w:r>
        <w:rPr>
          <w:rFonts w:hint="eastAsia" w:ascii="仿宋_GB2312" w:eastAsia="仿宋_GB2312"/>
          <w:color w:val="000000"/>
          <w:sz w:val="30"/>
          <w:szCs w:val="30"/>
          <w:shd w:val="clear" w:color="auto" w:fill="FFFFFF"/>
        </w:rPr>
        <w:t>2021年度9月份</w:t>
      </w:r>
      <w:r>
        <w:rPr>
          <w:rFonts w:hint="eastAsia" w:ascii="仿宋_GB2312" w:hAnsi="宋体" w:eastAsia="仿宋_GB2312"/>
          <w:sz w:val="32"/>
          <w:szCs w:val="32"/>
        </w:rPr>
        <w:t>经市财政局批复下达我中心项目资金预算指标58万元。</w:t>
      </w:r>
    </w:p>
    <w:p>
      <w:pPr>
        <w:adjustRightInd w:val="0"/>
        <w:snapToGrid w:val="0"/>
        <w:spacing w:line="560" w:lineRule="exact"/>
        <w:ind w:firstLine="720"/>
        <w:rPr>
          <w:rFonts w:hint="eastAsia" w:ascii="楷体_GB2312" w:hAnsi="楷体_GB2312" w:eastAsia="楷体_GB2312" w:cs="楷体_GB2312"/>
          <w:sz w:val="30"/>
          <w:szCs w:val="30"/>
          <w:lang w:val="zh-CN"/>
        </w:rPr>
      </w:pPr>
      <w:r>
        <w:rPr>
          <w:rFonts w:hint="eastAsia" w:ascii="楷体_GB2312" w:hAnsi="楷体_GB2312" w:eastAsia="楷体_GB2312" w:cs="楷体_GB2312"/>
          <w:b/>
          <w:sz w:val="30"/>
          <w:szCs w:val="30"/>
          <w:lang w:val="zh-CN"/>
        </w:rPr>
        <w:t>（二）资金计划、到位及使用情况。</w:t>
      </w:r>
    </w:p>
    <w:p>
      <w:pPr>
        <w:pStyle w:val="13"/>
        <w:shd w:val="clear" w:color="auto" w:fill="FFFFFF"/>
        <w:spacing w:before="0" w:beforeAutospacing="0" w:after="0" w:afterAutospacing="0" w:line="560" w:lineRule="exact"/>
        <w:ind w:firstLine="600" w:firstLineChars="200"/>
        <w:rPr>
          <w:rFonts w:hint="eastAsia" w:ascii="仿宋_GB2312" w:eastAsia="仿宋_GB2312"/>
          <w:color w:val="000000"/>
          <w:sz w:val="30"/>
          <w:szCs w:val="30"/>
        </w:rPr>
      </w:pPr>
      <w:r>
        <w:rPr>
          <w:rFonts w:hint="eastAsia" w:ascii="仿宋_GB2312" w:eastAsia="仿宋_GB2312"/>
          <w:color w:val="000000"/>
          <w:sz w:val="30"/>
          <w:szCs w:val="30"/>
        </w:rPr>
        <w:t>1.资金计划。202</w:t>
      </w:r>
      <w:r>
        <w:rPr>
          <w:rFonts w:ascii="仿宋_GB2312" w:eastAsia="仿宋_GB2312"/>
          <w:color w:val="000000"/>
          <w:sz w:val="30"/>
          <w:szCs w:val="30"/>
          <w:lang w:val="en"/>
        </w:rPr>
        <w:t>1</w:t>
      </w:r>
      <w:r>
        <w:rPr>
          <w:rFonts w:hint="eastAsia" w:ascii="仿宋_GB2312" w:eastAsia="仿宋_GB2312"/>
          <w:color w:val="000000"/>
          <w:sz w:val="30"/>
          <w:szCs w:val="30"/>
        </w:rPr>
        <w:t>年10月14日财政安排</w:t>
      </w:r>
      <w:r>
        <w:rPr>
          <w:rFonts w:hint="eastAsia" w:ascii="仿宋_GB2312" w:eastAsia="仿宋_GB2312"/>
          <w:color w:val="000000"/>
          <w:sz w:val="30"/>
          <w:szCs w:val="30"/>
          <w:shd w:val="clear" w:color="auto" w:fill="FFFFFF"/>
        </w:rPr>
        <w:t>12345政务服务热线升级改造项目资金58万元</w:t>
      </w:r>
      <w:r>
        <w:rPr>
          <w:rFonts w:hint="eastAsia" w:ascii="仿宋_GB2312" w:eastAsia="仿宋_GB2312"/>
          <w:color w:val="000000"/>
          <w:sz w:val="30"/>
          <w:szCs w:val="30"/>
        </w:rPr>
        <w:t>。</w:t>
      </w:r>
    </w:p>
    <w:p>
      <w:pPr>
        <w:pStyle w:val="13"/>
        <w:shd w:val="clear" w:color="auto" w:fill="FFFFFF"/>
        <w:spacing w:before="0" w:beforeAutospacing="0" w:after="0" w:afterAutospacing="0" w:line="560" w:lineRule="exact"/>
        <w:ind w:firstLine="600" w:firstLineChars="200"/>
        <w:rPr>
          <w:rFonts w:hint="eastAsia" w:ascii="仿宋_GB2312" w:eastAsia="仿宋_GB2312"/>
          <w:color w:val="000000"/>
          <w:sz w:val="30"/>
          <w:szCs w:val="30"/>
        </w:rPr>
      </w:pPr>
      <w:r>
        <w:rPr>
          <w:rFonts w:hint="eastAsia" w:ascii="仿宋_GB2312" w:eastAsia="仿宋_GB2312"/>
          <w:color w:val="000000"/>
          <w:sz w:val="30"/>
          <w:szCs w:val="30"/>
        </w:rPr>
        <w:t>2.资金到位。截至</w:t>
      </w:r>
      <w:r>
        <w:rPr>
          <w:rFonts w:hint="eastAsia" w:ascii="仿宋_GB2312" w:eastAsia="仿宋_GB2312"/>
          <w:sz w:val="30"/>
          <w:szCs w:val="30"/>
        </w:rPr>
        <w:t>202</w:t>
      </w:r>
      <w:r>
        <w:rPr>
          <w:rFonts w:ascii="仿宋_GB2312" w:eastAsia="仿宋_GB2312"/>
          <w:sz w:val="30"/>
          <w:szCs w:val="30"/>
          <w:lang w:val="en"/>
        </w:rPr>
        <w:t>1</w:t>
      </w:r>
      <w:r>
        <w:rPr>
          <w:rFonts w:hint="eastAsia" w:ascii="仿宋_GB2312" w:eastAsia="仿宋_GB2312"/>
          <w:sz w:val="30"/>
          <w:szCs w:val="30"/>
        </w:rPr>
        <w:t>年12月31日,</w:t>
      </w:r>
      <w:r>
        <w:rPr>
          <w:rFonts w:hint="eastAsia" w:ascii="仿宋_GB2312" w:eastAsia="仿宋_GB2312"/>
          <w:color w:val="000000"/>
          <w:sz w:val="30"/>
          <w:szCs w:val="30"/>
        </w:rPr>
        <w:t>所有项目资金全部到位,共计</w:t>
      </w:r>
      <w:r>
        <w:rPr>
          <w:rFonts w:hint="eastAsia" w:ascii="仿宋_GB2312" w:hAnsi="微软雅黑" w:eastAsia="仿宋_GB2312"/>
          <w:color w:val="000000"/>
          <w:sz w:val="30"/>
          <w:szCs w:val="30"/>
        </w:rPr>
        <w:t>58</w:t>
      </w:r>
      <w:r>
        <w:rPr>
          <w:rFonts w:hint="eastAsia" w:ascii="仿宋_GB2312" w:eastAsia="仿宋_GB2312"/>
          <w:color w:val="000000"/>
          <w:sz w:val="30"/>
          <w:szCs w:val="30"/>
        </w:rPr>
        <w:t>万元。</w:t>
      </w:r>
    </w:p>
    <w:p>
      <w:pPr>
        <w:pStyle w:val="13"/>
        <w:shd w:val="clear" w:color="auto" w:fill="FFFFFF"/>
        <w:spacing w:before="0" w:beforeAutospacing="0" w:after="0" w:afterAutospacing="0" w:line="560" w:lineRule="exact"/>
        <w:ind w:firstLine="600" w:firstLineChars="200"/>
        <w:rPr>
          <w:rFonts w:hint="eastAsia" w:ascii="仿宋_GB2312" w:eastAsia="仿宋_GB2312"/>
          <w:color w:val="000000"/>
          <w:sz w:val="30"/>
          <w:szCs w:val="30"/>
        </w:rPr>
      </w:pPr>
      <w:r>
        <w:rPr>
          <w:rFonts w:hint="eastAsia" w:ascii="仿宋_GB2312" w:eastAsia="仿宋_GB2312"/>
          <w:color w:val="000000"/>
          <w:sz w:val="30"/>
          <w:szCs w:val="30"/>
        </w:rPr>
        <w:t>3.资金使用。按照合同约定，项目未验收，资金</w:t>
      </w:r>
      <w:r>
        <w:rPr>
          <w:rFonts w:hint="eastAsia" w:ascii="仿宋_GB2312" w:eastAsia="仿宋_GB2312"/>
          <w:sz w:val="30"/>
          <w:szCs w:val="30"/>
        </w:rPr>
        <w:t>暂未拨付</w:t>
      </w:r>
      <w:r>
        <w:rPr>
          <w:rFonts w:hint="eastAsia" w:ascii="仿宋_GB2312" w:eastAsia="仿宋_GB2312"/>
          <w:color w:val="000000"/>
          <w:sz w:val="30"/>
          <w:szCs w:val="30"/>
        </w:rPr>
        <w:t>。</w:t>
      </w:r>
    </w:p>
    <w:p>
      <w:pPr>
        <w:adjustRightInd w:val="0"/>
        <w:snapToGrid w:val="0"/>
        <w:spacing w:line="560" w:lineRule="exact"/>
        <w:ind w:firstLine="720"/>
        <w:rPr>
          <w:rFonts w:hint="eastAsia" w:ascii="楷体_GB2312" w:hAnsi="楷体_GB2312" w:eastAsia="楷体_GB2312" w:cs="楷体_GB2312"/>
          <w:b/>
          <w:sz w:val="30"/>
          <w:szCs w:val="30"/>
          <w:lang w:val="zh-CN"/>
        </w:rPr>
      </w:pPr>
      <w:r>
        <w:rPr>
          <w:rFonts w:hint="eastAsia" w:ascii="楷体_GB2312" w:hAnsi="楷体_GB2312" w:eastAsia="楷体_GB2312" w:cs="楷体_GB2312"/>
          <w:b/>
          <w:sz w:val="30"/>
          <w:szCs w:val="30"/>
          <w:lang w:val="zh-CN"/>
        </w:rPr>
        <w:t>（三）项目财务管理情况。</w:t>
      </w:r>
    </w:p>
    <w:p>
      <w:pPr>
        <w:adjustRightInd w:val="0"/>
        <w:snapToGrid w:val="0"/>
        <w:spacing w:line="560" w:lineRule="exact"/>
        <w:ind w:firstLine="720"/>
        <w:rPr>
          <w:rFonts w:hint="eastAsia" w:ascii="楷体_GB2312" w:hAnsi="楷体_GB2312" w:eastAsia="楷体_GB2312" w:cs="楷体_GB2312"/>
          <w:color w:val="000000"/>
          <w:sz w:val="30"/>
          <w:szCs w:val="30"/>
          <w:shd w:val="clear" w:color="auto" w:fill="FFFFFF"/>
        </w:rPr>
      </w:pPr>
      <w:r>
        <w:rPr>
          <w:rFonts w:hint="eastAsia" w:ascii="仿宋_GB2312" w:eastAsia="仿宋_GB2312"/>
          <w:color w:val="000000"/>
          <w:sz w:val="30"/>
          <w:szCs w:val="30"/>
          <w:shd w:val="clear" w:color="auto" w:fill="FFFFFF"/>
        </w:rPr>
        <w:t>12345政务服务热线升级改造项目资金采取预算内直接支付或授权支付形式,按照相应文件申请、划拨、支付资金,账务处理及时、会计核算规范,符合会计管理的要求。</w:t>
      </w:r>
    </w:p>
    <w:p>
      <w:pPr>
        <w:adjustRightInd w:val="0"/>
        <w:snapToGrid w:val="0"/>
        <w:spacing w:line="560" w:lineRule="exact"/>
        <w:ind w:firstLine="602" w:firstLineChars="200"/>
        <w:rPr>
          <w:rFonts w:hint="eastAsia" w:ascii="黑体" w:hAnsi="黑体" w:eastAsia="黑体" w:cs="黑体"/>
          <w:b/>
          <w:bCs/>
          <w:sz w:val="30"/>
          <w:szCs w:val="30"/>
        </w:rPr>
      </w:pPr>
      <w:bookmarkStart w:id="111" w:name="_Toc632590682_WPSOffice_Level2"/>
      <w:r>
        <w:rPr>
          <w:rFonts w:hint="eastAsia" w:ascii="黑体" w:hAnsi="黑体" w:eastAsia="黑体" w:cs="黑体"/>
          <w:b/>
          <w:bCs/>
          <w:sz w:val="30"/>
          <w:szCs w:val="30"/>
        </w:rPr>
        <w:t>三、项目实施及管理情况</w:t>
      </w:r>
      <w:bookmarkEnd w:id="111"/>
    </w:p>
    <w:p>
      <w:pPr>
        <w:adjustRightInd w:val="0"/>
        <w:snapToGrid w:val="0"/>
        <w:spacing w:line="560" w:lineRule="exact"/>
        <w:ind w:firstLine="720"/>
        <w:rPr>
          <w:rFonts w:hint="eastAsia" w:ascii="仿宋_GB2312" w:eastAsia="仿宋_GB2312"/>
          <w:color w:val="000000"/>
          <w:sz w:val="30"/>
          <w:szCs w:val="30"/>
          <w:shd w:val="clear" w:color="auto" w:fill="FFFFFF"/>
        </w:rPr>
      </w:pPr>
      <w:r>
        <w:rPr>
          <w:rFonts w:hint="eastAsia" w:ascii="仿宋_GB2312" w:hAnsi="宋体" w:eastAsia="仿宋_GB2312"/>
          <w:b/>
          <w:sz w:val="30"/>
          <w:szCs w:val="30"/>
          <w:lang w:val="zh-CN"/>
        </w:rPr>
        <w:t>（一）项目组织架构及实施流程。</w:t>
      </w:r>
      <w:r>
        <w:rPr>
          <w:rFonts w:hint="eastAsia" w:ascii="仿宋_GB2312" w:eastAsia="仿宋_GB2312"/>
          <w:color w:val="000000"/>
          <w:sz w:val="30"/>
          <w:szCs w:val="30"/>
          <w:shd w:val="clear" w:color="auto" w:fill="FFFFFF"/>
        </w:rPr>
        <w:t>本部门热线中心将热线建设以“服务政府、责任政府、法治政府”为引领,坚持“听民声、解民困、分民忧、集民智”的工作理念，以提升热线服务能力为抓手，持续推动热线规范化、法治化、智能化运行，建立完善“一号对外、集中受理、按责分办、限时办结、跟踪督办、考核问责、反馈回访”工作模式。以回应市民关切、妥善解决市民诉求为追求目标,通过加强协调,建立完善回访、复核机制、分级分责协调督办机制以及监察、行政督查和热线督办“三位一体”联动督办机制,实现对热线事项办理过程和结果的监控。通过深化建设12345热线平台，进一步优化公共资源配置，构建统一规范、运行顺畅、互动有序的公共服务平台，切实提高12345热线工作实效，让社会公众享受便捷、高效的政府公共服务。</w:t>
      </w:r>
    </w:p>
    <w:p>
      <w:pPr>
        <w:adjustRightInd w:val="0"/>
        <w:snapToGrid w:val="0"/>
        <w:spacing w:line="560" w:lineRule="exact"/>
        <w:ind w:firstLine="720"/>
        <w:rPr>
          <w:rFonts w:hint="eastAsia" w:ascii="仿宋_GB2312" w:hAnsi="宋体" w:eastAsia="仿宋_GB2312"/>
          <w:sz w:val="30"/>
          <w:szCs w:val="30"/>
          <w:lang w:val="zh-CN"/>
        </w:rPr>
      </w:pPr>
      <w:r>
        <w:rPr>
          <w:rFonts w:hint="eastAsia" w:ascii="楷体_GB2312" w:hAnsi="楷体_GB2312" w:eastAsia="楷体_GB2312" w:cs="楷体_GB2312"/>
          <w:b/>
          <w:sz w:val="30"/>
          <w:szCs w:val="30"/>
          <w:lang w:val="zh-CN"/>
        </w:rPr>
        <w:t>（二）项目管理情况。</w:t>
      </w:r>
      <w:r>
        <w:rPr>
          <w:rFonts w:hint="eastAsia" w:ascii="仿宋_GB2312" w:eastAsia="仿宋_GB2312"/>
          <w:color w:val="000000"/>
          <w:sz w:val="30"/>
          <w:szCs w:val="30"/>
          <w:shd w:val="clear" w:color="auto" w:fill="FFFFFF"/>
          <w:lang w:val="zh-CN"/>
        </w:rPr>
        <w:t>自</w:t>
      </w:r>
      <w:r>
        <w:rPr>
          <w:rFonts w:hint="eastAsia" w:ascii="仿宋_GB2312" w:eastAsia="仿宋_GB2312"/>
          <w:color w:val="000000"/>
          <w:sz w:val="30"/>
          <w:szCs w:val="30"/>
          <w:shd w:val="clear" w:color="auto" w:fill="FFFFFF"/>
        </w:rPr>
        <w:t>12345政务服务热线升级改造项目完成以来，热线整体业务水平稳步提升。按时办结率、投诉处理率、群众满意度、平均回复天数均已达到指标要求,相关各项工作也顺利的开展。本部门热线中心通过深化建设12345热线平台，进一步优化公共资源配置，提升热线工单效率,完善知识库储备,构建统一规范、运行顺畅、互动有序的公共服务平台，切实提高12345热线工作实效，让社会公众享受便捷、高效的政府公共服务，从而进一步提升了群众对广元“12345”热线的整体满意度。</w:t>
      </w:r>
    </w:p>
    <w:p>
      <w:pPr>
        <w:adjustRightInd w:val="0"/>
        <w:snapToGrid w:val="0"/>
        <w:spacing w:line="560" w:lineRule="exact"/>
        <w:ind w:firstLine="720"/>
        <w:rPr>
          <w:rFonts w:hint="eastAsia" w:ascii="仿宋_GB2312" w:eastAsia="仿宋_GB2312"/>
          <w:color w:val="000000"/>
          <w:sz w:val="30"/>
          <w:szCs w:val="30"/>
          <w:shd w:val="clear" w:color="auto" w:fill="FFFFFF"/>
        </w:rPr>
      </w:pPr>
      <w:r>
        <w:rPr>
          <w:rFonts w:hint="eastAsia" w:ascii="楷体_GB2312" w:hAnsi="楷体_GB2312" w:eastAsia="楷体_GB2312" w:cs="楷体_GB2312"/>
          <w:b/>
          <w:sz w:val="30"/>
          <w:szCs w:val="30"/>
          <w:lang w:val="zh-CN"/>
        </w:rPr>
        <w:t>（三）项目监管情况。</w:t>
      </w:r>
      <w:r>
        <w:rPr>
          <w:rFonts w:hint="eastAsia" w:ascii="仿宋_GB2312" w:eastAsia="仿宋_GB2312"/>
          <w:color w:val="000000"/>
          <w:sz w:val="30"/>
          <w:szCs w:val="30"/>
          <w:shd w:val="clear" w:color="auto" w:fill="FFFFFF"/>
        </w:rPr>
        <w:t>12345政务服务热线升级改造项目资金实行预算内管理,按照合同和票据实报实销。没有出现挤占挪用项目资金的情况。</w:t>
      </w:r>
    </w:p>
    <w:p>
      <w:pPr>
        <w:adjustRightInd w:val="0"/>
        <w:snapToGrid w:val="0"/>
        <w:spacing w:line="560" w:lineRule="exact"/>
        <w:ind w:firstLine="720"/>
        <w:rPr>
          <w:rFonts w:hint="eastAsia" w:ascii="黑体" w:hAnsi="黑体" w:eastAsia="黑体" w:cs="黑体"/>
          <w:b/>
          <w:bCs/>
          <w:sz w:val="30"/>
          <w:szCs w:val="30"/>
          <w:lang w:val="zh-CN"/>
        </w:rPr>
      </w:pPr>
      <w:bookmarkStart w:id="112" w:name="_Toc885767566_WPSOffice_Level2"/>
      <w:r>
        <w:rPr>
          <w:rFonts w:hint="eastAsia" w:ascii="黑体" w:hAnsi="黑体" w:eastAsia="黑体" w:cs="黑体"/>
          <w:b/>
          <w:bCs/>
          <w:sz w:val="30"/>
          <w:szCs w:val="30"/>
        </w:rPr>
        <w:t>四、项目绩效情况</w:t>
      </w:r>
      <w:bookmarkEnd w:id="112"/>
      <w:r>
        <w:rPr>
          <w:rFonts w:hint="eastAsia" w:ascii="黑体" w:hAnsi="黑体" w:eastAsia="黑体" w:cs="黑体"/>
          <w:b/>
          <w:bCs/>
          <w:sz w:val="30"/>
          <w:szCs w:val="30"/>
          <w:lang w:val="zh-CN"/>
        </w:rPr>
        <w:tab/>
      </w:r>
    </w:p>
    <w:p>
      <w:pPr>
        <w:adjustRightInd w:val="0"/>
        <w:snapToGrid w:val="0"/>
        <w:spacing w:line="560" w:lineRule="exact"/>
        <w:ind w:firstLine="720"/>
        <w:rPr>
          <w:rFonts w:hint="eastAsia" w:ascii="仿宋_GB2312" w:eastAsia="仿宋_GB2312"/>
          <w:color w:val="000000"/>
          <w:sz w:val="30"/>
          <w:szCs w:val="30"/>
          <w:shd w:val="clear" w:color="auto" w:fill="FFFFFF"/>
          <w:lang w:val="zh-CN"/>
        </w:rPr>
      </w:pPr>
      <w:r>
        <w:rPr>
          <w:rFonts w:hint="eastAsia" w:ascii="楷体_GB2312" w:hAnsi="楷体_GB2312" w:eastAsia="楷体_GB2312" w:cs="楷体_GB2312"/>
          <w:b/>
          <w:sz w:val="30"/>
          <w:szCs w:val="30"/>
          <w:lang w:val="zh-CN"/>
        </w:rPr>
        <w:t>（一）项目完成情况。</w:t>
      </w:r>
      <w:r>
        <w:rPr>
          <w:rFonts w:hint="eastAsia" w:ascii="仿宋_GB2312" w:eastAsia="仿宋_GB2312"/>
          <w:color w:val="000000"/>
          <w:sz w:val="30"/>
          <w:szCs w:val="30"/>
          <w:shd w:val="clear" w:color="auto" w:fill="FFFFFF"/>
        </w:rPr>
        <w:t>保障了12345政府服务便民热线正常运行,</w:t>
      </w:r>
      <w:r>
        <w:rPr>
          <w:rFonts w:hint="eastAsia" w:ascii="仿宋_GB2312" w:hAnsi="宋体" w:eastAsia="仿宋_GB2312"/>
          <w:sz w:val="30"/>
          <w:szCs w:val="30"/>
          <w:lang w:val="zh-CN"/>
        </w:rPr>
        <w:t>满足了7×24小时的连续运行，平均年故障时间&lt;1天，平均故障修复时间&lt;30分钟。系统总体可用率&gt;99.99%，数据库应用可用率&gt;=99.99%，WEB应用可用率&gt;=99.99%。</w:t>
      </w:r>
      <w:r>
        <w:rPr>
          <w:rFonts w:hint="eastAsia" w:ascii="仿宋_GB2312" w:hAnsi="宋体" w:eastAsia="仿宋_GB2312"/>
          <w:sz w:val="30"/>
          <w:szCs w:val="30"/>
        </w:rPr>
        <w:t>数据响应时间&lt;800ms，数据承载量定义十万级</w:t>
      </w:r>
      <w:r>
        <w:rPr>
          <w:rFonts w:hint="eastAsia" w:ascii="仿宋_GB2312" w:hAnsi="宋体" w:eastAsia="仿宋_GB2312"/>
          <w:sz w:val="30"/>
          <w:szCs w:val="30"/>
          <w:lang w:val="zh-CN"/>
        </w:rPr>
        <w:t>满足，</w:t>
      </w:r>
      <w:r>
        <w:rPr>
          <w:rFonts w:hint="eastAsia" w:ascii="仿宋_GB2312" w:hAnsi="宋体" w:eastAsia="仿宋_GB2312"/>
          <w:sz w:val="30"/>
          <w:szCs w:val="30"/>
        </w:rPr>
        <w:t>响应时间300ms-3s内，错误率控制在0%。截至2021年</w:t>
      </w:r>
      <w:r>
        <w:rPr>
          <w:rFonts w:hint="eastAsia" w:ascii="仿宋_GB2312" w:eastAsia="仿宋_GB2312"/>
          <w:color w:val="000000"/>
          <w:sz w:val="30"/>
          <w:szCs w:val="30"/>
          <w:shd w:val="clear" w:color="auto" w:fill="FFFFFF"/>
        </w:rPr>
        <w:t>12月31日</w:t>
      </w:r>
      <w:r>
        <w:rPr>
          <w:rFonts w:hint="eastAsia" w:ascii="仿宋_GB2312" w:hAnsi="宋体" w:eastAsia="仿宋_GB2312"/>
          <w:sz w:val="30"/>
          <w:szCs w:val="30"/>
        </w:rPr>
        <w:t>，新增整合</w:t>
      </w:r>
      <w:r>
        <w:rPr>
          <w:rFonts w:hint="eastAsia" w:ascii="仿宋_GB2312" w:hAnsi="仿宋_GB2312" w:eastAsia="仿宋_GB2312" w:cs="仿宋_GB2312"/>
          <w:color w:val="000000"/>
          <w:sz w:val="32"/>
          <w:szCs w:val="32"/>
        </w:rPr>
        <w:t>除“110、119、120、122”外的45条非紧急类政务热线</w:t>
      </w:r>
      <w:r>
        <w:rPr>
          <w:rFonts w:hint="eastAsia" w:ascii="仿宋_GB2312" w:hAnsi="仿宋_GB2312" w:eastAsia="仿宋_GB2312" w:cs="仿宋_GB2312"/>
          <w:color w:val="000000"/>
          <w:spacing w:val="10"/>
          <w:sz w:val="32"/>
          <w:szCs w:val="32"/>
        </w:rPr>
        <w:t>短号，</w:t>
      </w:r>
      <w:r>
        <w:rPr>
          <w:rFonts w:hint="eastAsia" w:ascii="仿宋_GB2312" w:eastAsia="仿宋_GB2312"/>
          <w:color w:val="000000"/>
          <w:sz w:val="30"/>
          <w:szCs w:val="30"/>
          <w:shd w:val="clear" w:color="auto" w:fill="FFFFFF"/>
        </w:rPr>
        <w:t>话务总量76.23万通,来件总计34.08万件次，共计办理疫情类工单2.4万件，一级部门派单6.98万件次，回访5.06万件次。直办件21.51万件次，转办件6.98万件次，交办率100%，办结率100%，按时办结率99.31%，办件结果群众满意率99.01%，承办部门累计录入知识库信息66781条。</w:t>
      </w:r>
    </w:p>
    <w:p>
      <w:pPr>
        <w:adjustRightInd w:val="0"/>
        <w:snapToGrid w:val="0"/>
        <w:spacing w:line="560" w:lineRule="exact"/>
        <w:ind w:firstLine="720"/>
        <w:rPr>
          <w:rFonts w:hint="eastAsia" w:ascii="仿宋_GB2312" w:eastAsia="仿宋_GB2312"/>
          <w:color w:val="000000"/>
          <w:sz w:val="30"/>
          <w:szCs w:val="30"/>
          <w:shd w:val="clear" w:color="auto" w:fill="FFFFFF"/>
        </w:rPr>
      </w:pPr>
      <w:r>
        <w:rPr>
          <w:rFonts w:hint="eastAsia" w:ascii="楷体_GB2312" w:hAnsi="楷体_GB2312" w:eastAsia="楷体_GB2312" w:cs="楷体_GB2312"/>
          <w:b/>
          <w:sz w:val="30"/>
          <w:szCs w:val="30"/>
          <w:lang w:val="zh-CN"/>
        </w:rPr>
        <w:t>（二）项目效益情况。</w:t>
      </w:r>
      <w:r>
        <w:rPr>
          <w:rFonts w:hint="eastAsia" w:ascii="仿宋_GB2312" w:eastAsia="仿宋_GB2312"/>
          <w:color w:val="000000"/>
          <w:sz w:val="30"/>
          <w:szCs w:val="30"/>
          <w:shd w:val="clear" w:color="auto" w:fill="FFFFFF"/>
        </w:rPr>
        <w:t>202</w:t>
      </w:r>
      <w:r>
        <w:rPr>
          <w:rFonts w:ascii="仿宋_GB2312" w:eastAsia="仿宋_GB2312"/>
          <w:color w:val="000000"/>
          <w:sz w:val="30"/>
          <w:szCs w:val="30"/>
          <w:shd w:val="clear" w:color="auto" w:fill="FFFFFF"/>
          <w:lang w:val="en"/>
        </w:rPr>
        <w:t>1</w:t>
      </w:r>
      <w:r>
        <w:rPr>
          <w:rFonts w:hint="eastAsia" w:ascii="仿宋_GB2312" w:eastAsia="仿宋_GB2312"/>
          <w:color w:val="000000"/>
          <w:sz w:val="30"/>
          <w:szCs w:val="30"/>
          <w:shd w:val="clear" w:color="auto" w:fill="FFFFFF"/>
        </w:rPr>
        <w:t>年，12345政府服务便民热线已帮助群众解决诉求34.08万余次,</w:t>
      </w:r>
      <w:r>
        <w:rPr>
          <w:rFonts w:hint="eastAsia" w:ascii="仿宋_GB2312" w:hAnsi="仿宋_GB2312" w:eastAsia="仿宋_GB2312" w:cs="仿宋_GB2312"/>
          <w:sz w:val="32"/>
          <w:szCs w:val="32"/>
        </w:rPr>
        <w:t>群众诉求事项办理平均用时5.6小时/件，</w:t>
      </w:r>
      <w:r>
        <w:rPr>
          <w:rFonts w:hint="eastAsia" w:ascii="仿宋_GB2312" w:eastAsia="仿宋_GB2312"/>
          <w:color w:val="000000"/>
          <w:sz w:val="30"/>
          <w:szCs w:val="30"/>
          <w:shd w:val="clear" w:color="auto" w:fill="FFFFFF"/>
        </w:rPr>
        <w:t>在办结工单中,群众评价为“满意”的有50127件,群众对热线服务满意率为99.01%。</w:t>
      </w:r>
    </w:p>
    <w:p>
      <w:pPr>
        <w:adjustRightInd w:val="0"/>
        <w:snapToGrid w:val="0"/>
        <w:spacing w:line="560" w:lineRule="exact"/>
        <w:ind w:firstLine="720"/>
        <w:rPr>
          <w:rFonts w:hint="eastAsia" w:ascii="黑体" w:hAnsi="黑体" w:eastAsia="黑体" w:cs="黑体"/>
          <w:b/>
          <w:bCs/>
          <w:sz w:val="30"/>
          <w:szCs w:val="30"/>
        </w:rPr>
      </w:pPr>
      <w:bookmarkStart w:id="113" w:name="_Toc1319467443_WPSOffice_Level2"/>
      <w:r>
        <w:rPr>
          <w:rFonts w:hint="eastAsia" w:ascii="黑体" w:hAnsi="黑体" w:eastAsia="黑体" w:cs="黑体"/>
          <w:b/>
          <w:bCs/>
          <w:sz w:val="30"/>
          <w:szCs w:val="30"/>
        </w:rPr>
        <w:t>五、评价结论及建议</w:t>
      </w:r>
      <w:bookmarkEnd w:id="113"/>
    </w:p>
    <w:p>
      <w:pPr>
        <w:adjustRightInd w:val="0"/>
        <w:snapToGrid w:val="0"/>
        <w:spacing w:line="560" w:lineRule="exact"/>
        <w:ind w:firstLine="720"/>
        <w:rPr>
          <w:rFonts w:hint="eastAsia" w:ascii="楷体_GB2312" w:hAnsi="楷体_GB2312" w:eastAsia="楷体_GB2312" w:cs="楷体_GB2312"/>
          <w:b/>
          <w:sz w:val="30"/>
          <w:szCs w:val="30"/>
          <w:lang w:val="zh-CN"/>
        </w:rPr>
      </w:pPr>
      <w:r>
        <w:rPr>
          <w:rFonts w:hint="eastAsia" w:ascii="楷体_GB2312" w:hAnsi="楷体_GB2312" w:eastAsia="楷体_GB2312" w:cs="楷体_GB2312"/>
          <w:b/>
          <w:sz w:val="30"/>
          <w:szCs w:val="30"/>
          <w:lang w:val="zh-CN"/>
        </w:rPr>
        <w:t>（一）评价结论。</w:t>
      </w:r>
    </w:p>
    <w:p>
      <w:pPr>
        <w:adjustRightInd w:val="0"/>
        <w:snapToGrid w:val="0"/>
        <w:spacing w:line="560" w:lineRule="exact"/>
        <w:ind w:firstLine="720"/>
        <w:rPr>
          <w:rFonts w:hint="eastAsia" w:ascii="仿宋_GB2312" w:eastAsia="仿宋_GB2312"/>
          <w:color w:val="000000"/>
          <w:sz w:val="30"/>
          <w:szCs w:val="30"/>
          <w:shd w:val="clear" w:color="auto" w:fill="FFFFFF"/>
        </w:rPr>
      </w:pPr>
      <w:r>
        <w:rPr>
          <w:rFonts w:hint="eastAsia" w:ascii="仿宋_GB2312" w:eastAsia="仿宋_GB2312"/>
          <w:color w:val="000000"/>
          <w:sz w:val="30"/>
          <w:szCs w:val="30"/>
          <w:shd w:val="clear" w:color="auto" w:fill="FFFFFF"/>
        </w:rPr>
        <w:t>项目执行规范,预算执行及时、有效,绩效目标得到较好实现。12345政府服务便民热线坚持以“听民声、汇民意、集民智、解民忧”为价值追求,以“提高政务服务效能、提升政府公共服务和社会管理水平、推进服务型政府建设”为职责担当,狠抓服务质量,提升服务水平,并且按照“统一平台、统一标准、统一受理”的原则,认真贯彻落实市委、市政府的工作部署,不断加强运营管理和诉求办理工作,确保了平台健康、有序、高效的运转,为群众解决了大量生产、生活中的问题,得到了群众的一致好评。</w:t>
      </w:r>
    </w:p>
    <w:p>
      <w:pPr>
        <w:adjustRightInd w:val="0"/>
        <w:snapToGrid w:val="0"/>
        <w:spacing w:line="560" w:lineRule="exact"/>
        <w:ind w:firstLine="720"/>
        <w:rPr>
          <w:rFonts w:hint="eastAsia" w:ascii="楷体_GB2312" w:hAnsi="楷体_GB2312" w:eastAsia="楷体_GB2312" w:cs="楷体_GB2312"/>
          <w:b/>
          <w:sz w:val="30"/>
          <w:szCs w:val="30"/>
          <w:lang w:val="zh-CN"/>
        </w:rPr>
      </w:pPr>
      <w:r>
        <w:rPr>
          <w:rFonts w:hint="eastAsia" w:ascii="楷体_GB2312" w:hAnsi="楷体_GB2312" w:eastAsia="楷体_GB2312" w:cs="楷体_GB2312"/>
          <w:b/>
          <w:sz w:val="30"/>
          <w:szCs w:val="30"/>
          <w:lang w:val="zh-CN"/>
        </w:rPr>
        <w:t>（二）存在的问题。</w:t>
      </w:r>
    </w:p>
    <w:p>
      <w:pPr>
        <w:adjustRightInd w:val="0"/>
        <w:snapToGrid w:val="0"/>
        <w:spacing w:line="560" w:lineRule="exact"/>
        <w:ind w:firstLine="600" w:firstLineChars="200"/>
        <w:rPr>
          <w:rFonts w:hint="eastAsia" w:ascii="仿宋_GB2312" w:eastAsia="仿宋_GB2312"/>
          <w:color w:val="000000"/>
          <w:sz w:val="30"/>
          <w:szCs w:val="30"/>
          <w:shd w:val="clear" w:color="auto" w:fill="FFFFFF"/>
          <w:lang w:val="zh-CN"/>
        </w:rPr>
      </w:pPr>
      <w:r>
        <w:rPr>
          <w:rFonts w:hint="eastAsia" w:ascii="仿宋_GB2312" w:eastAsia="仿宋_GB2312"/>
          <w:color w:val="000000"/>
          <w:sz w:val="30"/>
          <w:szCs w:val="30"/>
          <w:shd w:val="clear" w:color="auto" w:fill="FFFFFF"/>
        </w:rPr>
        <w:t>一是系统运行过程中，偶尔存在复杂统计分析时间稍长；二是因知识库上传量增加，导致查询功能缓慢。</w:t>
      </w:r>
    </w:p>
    <w:p>
      <w:pPr>
        <w:adjustRightInd w:val="0"/>
        <w:snapToGrid w:val="0"/>
        <w:spacing w:line="560" w:lineRule="exact"/>
        <w:ind w:firstLine="720"/>
        <w:rPr>
          <w:rFonts w:hint="eastAsia" w:ascii="楷体_GB2312" w:hAnsi="楷体_GB2312" w:eastAsia="楷体_GB2312" w:cs="楷体_GB2312"/>
          <w:b/>
          <w:color w:val="FF0000"/>
          <w:sz w:val="30"/>
          <w:szCs w:val="30"/>
          <w:lang w:val="zh-CN"/>
        </w:rPr>
      </w:pPr>
      <w:r>
        <w:rPr>
          <w:rFonts w:hint="eastAsia" w:ascii="楷体_GB2312" w:hAnsi="楷体_GB2312" w:eastAsia="楷体_GB2312" w:cs="楷体_GB2312"/>
          <w:b/>
          <w:sz w:val="30"/>
          <w:szCs w:val="30"/>
          <w:lang w:val="zh-CN"/>
        </w:rPr>
        <w:t>（三）相关建议。</w:t>
      </w:r>
    </w:p>
    <w:p>
      <w:pPr>
        <w:widowControl/>
        <w:spacing w:line="560" w:lineRule="exact"/>
        <w:ind w:firstLine="600" w:firstLineChars="200"/>
        <w:jc w:val="left"/>
        <w:rPr>
          <w:rFonts w:hint="eastAsia" w:ascii="仿宋_GB2312" w:hAnsi="仿宋_GB2312" w:eastAsia="仿宋_GB2312" w:cs="仿宋_GB2312"/>
          <w:sz w:val="32"/>
          <w:szCs w:val="32"/>
        </w:rPr>
      </w:pPr>
      <w:r>
        <w:rPr>
          <w:rFonts w:hint="eastAsia" w:ascii="仿宋_GB2312" w:eastAsia="仿宋_GB2312"/>
          <w:color w:val="000000"/>
          <w:sz w:val="30"/>
          <w:szCs w:val="30"/>
          <w:shd w:val="clear" w:color="auto" w:fill="FFFFFF"/>
        </w:rPr>
        <w:t>为确保升级改造后的12345政务服务便民热线稳定运行，</w:t>
      </w:r>
      <w:r>
        <w:rPr>
          <w:rFonts w:hint="eastAsia" w:ascii="仿宋_GB2312" w:hAnsi="仿宋_GB2312" w:eastAsia="仿宋_GB2312" w:cs="仿宋_GB2312"/>
          <w:bCs/>
          <w:color w:val="000000"/>
          <w:sz w:val="32"/>
          <w:szCs w:val="32"/>
        </w:rPr>
        <w:t>建立热线平台运维团队</w:t>
      </w:r>
      <w:r>
        <w:rPr>
          <w:rFonts w:hint="eastAsia" w:ascii="仿宋_GB2312" w:hAnsi="仿宋_GB2312" w:eastAsia="仿宋_GB2312" w:cs="仿宋_GB2312"/>
          <w:sz w:val="32"/>
          <w:szCs w:val="32"/>
        </w:rPr>
        <w:t>，负责热线平台管理、维护运行、改造升级。积极供应商，围绕12345平台数据上报管理、业务平台数据质量等方面开展拉网式自查自纠，不断完善平台系统功能，全面规范平台运行管理。</w:t>
      </w:r>
    </w:p>
    <w:p>
      <w:pPr>
        <w:pStyle w:val="2"/>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tbl>
      <w:tblPr>
        <w:tblStyle w:val="15"/>
        <w:tblpPr w:leftFromText="180" w:rightFromText="180" w:vertAnchor="text" w:horzAnchor="margin" w:tblpXSpec="center" w:tblpY="608"/>
        <w:tblW w:w="9945" w:type="dxa"/>
        <w:tblInd w:w="0" w:type="dxa"/>
        <w:shd w:val="clear" w:color="auto" w:fill="FFFFFF"/>
        <w:tblLayout w:type="autofit"/>
        <w:tblCellMar>
          <w:top w:w="15" w:type="dxa"/>
          <w:left w:w="15" w:type="dxa"/>
          <w:bottom w:w="15" w:type="dxa"/>
          <w:right w:w="15" w:type="dxa"/>
        </w:tblCellMar>
      </w:tblPr>
      <w:tblGrid>
        <w:gridCol w:w="866"/>
        <w:gridCol w:w="1134"/>
        <w:gridCol w:w="760"/>
        <w:gridCol w:w="799"/>
        <w:gridCol w:w="1256"/>
        <w:gridCol w:w="2745"/>
        <w:gridCol w:w="2385"/>
      </w:tblGrid>
      <w:tr>
        <w:tblPrEx>
          <w:shd w:val="clear" w:color="auto" w:fill="FFFFFF"/>
          <w:tblCellMar>
            <w:top w:w="15" w:type="dxa"/>
            <w:left w:w="15" w:type="dxa"/>
            <w:bottom w:w="15" w:type="dxa"/>
            <w:right w:w="15" w:type="dxa"/>
          </w:tblCellMar>
        </w:tblPrEx>
        <w:trPr>
          <w:trHeight w:val="1035" w:hRule="atLeast"/>
        </w:trPr>
        <w:tc>
          <w:tcPr>
            <w:tcW w:w="9945" w:type="dxa"/>
            <w:gridSpan w:val="7"/>
            <w:tcBorders>
              <w:top w:val="nil"/>
              <w:left w:val="nil"/>
              <w:bottom w:val="nil"/>
              <w:right w:val="nil"/>
            </w:tcBorders>
            <w:shd w:val="clear" w:color="auto" w:fill="FFFFFF"/>
            <w:noWrap w:val="0"/>
            <w:tcMar>
              <w:top w:w="15" w:type="dxa"/>
              <w:left w:w="15" w:type="dxa"/>
              <w:bottom w:w="0" w:type="dxa"/>
              <w:right w:w="15" w:type="dxa"/>
            </w:tcMar>
            <w:vAlign w:val="center"/>
          </w:tcPr>
          <w:p>
            <w:pPr>
              <w:widowControl/>
              <w:spacing w:before="75" w:after="75" w:line="560" w:lineRule="exact"/>
              <w:jc w:val="center"/>
              <w:rPr>
                <w:rFonts w:hint="eastAsia" w:ascii="方正小标宋简体" w:hAnsi="宋体" w:eastAsia="方正小标宋简体" w:cs="宋体"/>
                <w:kern w:val="0"/>
                <w:sz w:val="44"/>
                <w:szCs w:val="44"/>
              </w:rPr>
            </w:pPr>
            <w:r>
              <w:rPr>
                <w:rFonts w:hint="eastAsia" w:ascii="方正小标宋简体" w:hAnsi="宋体" w:eastAsia="方正小标宋简体" w:cs="宋体"/>
                <w:kern w:val="0"/>
                <w:sz w:val="44"/>
                <w:szCs w:val="44"/>
              </w:rPr>
              <w:t>广元市１２３４５政务服务便民热线平台与四川省１２３４５政务服务便民热线网络理政平台数据对接与广元１１０热线警务民意热线９６６１１０平台数据交换系统建设</w:t>
            </w:r>
          </w:p>
          <w:p>
            <w:pPr>
              <w:widowControl/>
              <w:spacing w:before="75" w:after="75" w:line="560" w:lineRule="exact"/>
              <w:jc w:val="center"/>
              <w:rPr>
                <w:rFonts w:hint="eastAsia" w:ascii="楷体_GB2312" w:hAnsi="微软雅黑" w:eastAsia="楷体_GB2312" w:cs="宋体"/>
                <w:kern w:val="0"/>
                <w:sz w:val="32"/>
                <w:szCs w:val="32"/>
              </w:rPr>
            </w:pPr>
            <w:r>
              <w:rPr>
                <w:rFonts w:hint="eastAsia" w:ascii="楷体_GB2312" w:hAnsi="宋体" w:eastAsia="楷体_GB2312" w:cs="宋体"/>
                <w:kern w:val="0"/>
                <w:sz w:val="32"/>
                <w:szCs w:val="32"/>
              </w:rPr>
              <w:t>(202</w:t>
            </w:r>
            <w:r>
              <w:rPr>
                <w:rFonts w:hint="eastAsia" w:ascii="楷体_GB2312" w:hAnsi="宋体" w:eastAsia="楷体_GB2312" w:cs="宋体"/>
                <w:kern w:val="0"/>
                <w:sz w:val="32"/>
                <w:szCs w:val="32"/>
                <w:lang w:val="en-US" w:eastAsia="zh-CN"/>
              </w:rPr>
              <w:t>1</w:t>
            </w:r>
            <w:r>
              <w:rPr>
                <w:rFonts w:hint="eastAsia" w:ascii="楷体_GB2312" w:hAnsi="宋体" w:eastAsia="楷体_GB2312" w:cs="宋体"/>
                <w:kern w:val="0"/>
                <w:sz w:val="32"/>
                <w:szCs w:val="32"/>
              </w:rPr>
              <w:t>年度)</w:t>
            </w:r>
          </w:p>
        </w:tc>
      </w:tr>
      <w:tr>
        <w:tblPrEx>
          <w:shd w:val="clear" w:color="auto" w:fill="FFFFFF"/>
          <w:tblCellMar>
            <w:top w:w="15" w:type="dxa"/>
            <w:left w:w="15" w:type="dxa"/>
            <w:bottom w:w="15" w:type="dxa"/>
            <w:right w:w="15" w:type="dxa"/>
          </w:tblCellMar>
        </w:tblPrEx>
        <w:trPr>
          <w:trHeight w:val="270" w:hRule="atLeast"/>
        </w:trPr>
        <w:tc>
          <w:tcPr>
            <w:tcW w:w="2760" w:type="dxa"/>
            <w:gridSpan w:val="3"/>
            <w:tcBorders>
              <w:top w:val="single" w:color="000000" w:sz="6" w:space="0"/>
              <w:left w:val="single" w:color="000000" w:sz="6" w:space="0"/>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spacing w:line="38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项目名称</w:t>
            </w:r>
          </w:p>
        </w:tc>
        <w:tc>
          <w:tcPr>
            <w:tcW w:w="7185" w:type="dxa"/>
            <w:gridSpan w:val="4"/>
            <w:tcBorders>
              <w:top w:val="single" w:color="000000" w:sz="6" w:space="0"/>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广元市１２３４５政务服务便民热线平台与四川省１２３４５政务服务便民热线网络理政平台数据对接与广元１１０热线警务民意热线９６６１１０平台数据交换系统建设</w:t>
            </w:r>
          </w:p>
        </w:tc>
      </w:tr>
      <w:tr>
        <w:tblPrEx>
          <w:shd w:val="clear" w:color="auto" w:fill="FFFFFF"/>
          <w:tblCellMar>
            <w:top w:w="15" w:type="dxa"/>
            <w:left w:w="15" w:type="dxa"/>
            <w:bottom w:w="15" w:type="dxa"/>
            <w:right w:w="15" w:type="dxa"/>
          </w:tblCellMar>
        </w:tblPrEx>
        <w:trPr>
          <w:trHeight w:val="270" w:hRule="atLeast"/>
        </w:trPr>
        <w:tc>
          <w:tcPr>
            <w:tcW w:w="2760" w:type="dxa"/>
            <w:gridSpan w:val="3"/>
            <w:tcBorders>
              <w:top w:val="nil"/>
              <w:left w:val="single" w:color="000000" w:sz="6" w:space="0"/>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spacing w:line="38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预算单位</w:t>
            </w:r>
          </w:p>
        </w:tc>
        <w:tc>
          <w:tcPr>
            <w:tcW w:w="7185" w:type="dxa"/>
            <w:gridSpan w:val="4"/>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市政务服务和公共资源交易中心</w:t>
            </w:r>
          </w:p>
        </w:tc>
      </w:tr>
      <w:tr>
        <w:tblPrEx>
          <w:shd w:val="clear" w:color="auto" w:fill="FFFFFF"/>
          <w:tblCellMar>
            <w:top w:w="15" w:type="dxa"/>
            <w:left w:w="15" w:type="dxa"/>
            <w:bottom w:w="15" w:type="dxa"/>
            <w:right w:w="15" w:type="dxa"/>
          </w:tblCellMar>
        </w:tblPrEx>
        <w:trPr>
          <w:trHeight w:val="714" w:hRule="atLeast"/>
        </w:trPr>
        <w:tc>
          <w:tcPr>
            <w:tcW w:w="866" w:type="dxa"/>
            <w:vMerge w:val="restart"/>
            <w:tcBorders>
              <w:top w:val="nil"/>
              <w:left w:val="single" w:color="000000" w:sz="6" w:space="0"/>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spacing w:line="38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预算执行情况(万元)</w:t>
            </w:r>
          </w:p>
        </w:tc>
        <w:tc>
          <w:tcPr>
            <w:tcW w:w="1894" w:type="dxa"/>
            <w:gridSpan w:val="2"/>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spacing w:line="38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预算数:</w:t>
            </w:r>
          </w:p>
        </w:tc>
        <w:tc>
          <w:tcPr>
            <w:tcW w:w="2055" w:type="dxa"/>
            <w:gridSpan w:val="2"/>
            <w:tcBorders>
              <w:top w:val="single" w:color="000000" w:sz="6" w:space="0"/>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lang w:val="en-US" w:eastAsia="zh-CN"/>
              </w:rPr>
              <w:t>58</w:t>
            </w:r>
            <w:r>
              <w:rPr>
                <w:rFonts w:hint="eastAsia" w:ascii="仿宋_GB2312" w:hAnsi="仿宋_GB2312" w:eastAsia="仿宋_GB2312" w:cs="仿宋_GB2312"/>
                <w:kern w:val="0"/>
                <w:sz w:val="24"/>
              </w:rPr>
              <w:t>万元</w:t>
            </w:r>
          </w:p>
        </w:tc>
        <w:tc>
          <w:tcPr>
            <w:tcW w:w="2745" w:type="dxa"/>
            <w:tcBorders>
              <w:top w:val="single" w:color="000000" w:sz="6" w:space="0"/>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执行数:</w:t>
            </w:r>
          </w:p>
        </w:tc>
        <w:tc>
          <w:tcPr>
            <w:tcW w:w="2385" w:type="dxa"/>
            <w:tcBorders>
              <w:top w:val="single" w:color="000000" w:sz="6" w:space="0"/>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lang w:val="en-US" w:eastAsia="zh-CN"/>
              </w:rPr>
              <w:t>57.79</w:t>
            </w:r>
            <w:r>
              <w:rPr>
                <w:rFonts w:hint="eastAsia" w:ascii="仿宋_GB2312" w:hAnsi="仿宋_GB2312" w:eastAsia="仿宋_GB2312" w:cs="仿宋_GB2312"/>
                <w:kern w:val="0"/>
                <w:sz w:val="24"/>
              </w:rPr>
              <w:t>万元</w:t>
            </w:r>
          </w:p>
        </w:tc>
      </w:tr>
      <w:tr>
        <w:tblPrEx>
          <w:shd w:val="clear" w:color="auto" w:fill="FFFFFF"/>
          <w:tblCellMar>
            <w:top w:w="15" w:type="dxa"/>
            <w:left w:w="15" w:type="dxa"/>
            <w:bottom w:w="15" w:type="dxa"/>
            <w:right w:w="15" w:type="dxa"/>
          </w:tblCellMar>
        </w:tblPrEx>
        <w:trPr>
          <w:trHeight w:val="480" w:hRule="atLeast"/>
        </w:trPr>
        <w:tc>
          <w:tcPr>
            <w:tcW w:w="866" w:type="dxa"/>
            <w:vMerge w:val="continue"/>
            <w:tcBorders>
              <w:top w:val="nil"/>
              <w:left w:val="single" w:color="000000" w:sz="6" w:space="0"/>
              <w:bottom w:val="single" w:color="000000" w:sz="6" w:space="0"/>
              <w:right w:val="single" w:color="000000" w:sz="6" w:space="0"/>
            </w:tcBorders>
            <w:shd w:val="clear" w:color="auto" w:fill="FFFFFF"/>
            <w:noWrap w:val="0"/>
            <w:vAlign w:val="center"/>
          </w:tcPr>
          <w:p>
            <w:pPr>
              <w:widowControl/>
              <w:spacing w:line="380" w:lineRule="exact"/>
              <w:jc w:val="center"/>
              <w:rPr>
                <w:rFonts w:hint="eastAsia" w:ascii="仿宋_GB2312" w:hAnsi="仿宋_GB2312" w:eastAsia="仿宋_GB2312" w:cs="仿宋_GB2312"/>
                <w:kern w:val="0"/>
                <w:sz w:val="24"/>
              </w:rPr>
            </w:pPr>
          </w:p>
        </w:tc>
        <w:tc>
          <w:tcPr>
            <w:tcW w:w="1894" w:type="dxa"/>
            <w:gridSpan w:val="2"/>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spacing w:line="38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其中-财政拨款:</w:t>
            </w:r>
          </w:p>
        </w:tc>
        <w:tc>
          <w:tcPr>
            <w:tcW w:w="2055" w:type="dxa"/>
            <w:gridSpan w:val="2"/>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lang w:val="en-US" w:eastAsia="zh-CN"/>
              </w:rPr>
              <w:t>58</w:t>
            </w:r>
            <w:r>
              <w:rPr>
                <w:rFonts w:hint="eastAsia" w:ascii="仿宋_GB2312" w:hAnsi="仿宋_GB2312" w:eastAsia="仿宋_GB2312" w:cs="仿宋_GB2312"/>
                <w:kern w:val="0"/>
                <w:sz w:val="24"/>
              </w:rPr>
              <w:t>万元</w:t>
            </w:r>
          </w:p>
        </w:tc>
        <w:tc>
          <w:tcPr>
            <w:tcW w:w="2745" w:type="dxa"/>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其中-财政拨款:</w:t>
            </w:r>
          </w:p>
        </w:tc>
        <w:tc>
          <w:tcPr>
            <w:tcW w:w="2385" w:type="dxa"/>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lang w:val="en-US" w:eastAsia="zh-CN"/>
              </w:rPr>
              <w:t>57.79</w:t>
            </w:r>
            <w:r>
              <w:rPr>
                <w:rFonts w:hint="eastAsia" w:ascii="仿宋_GB2312" w:hAnsi="仿宋_GB2312" w:eastAsia="仿宋_GB2312" w:cs="仿宋_GB2312"/>
                <w:kern w:val="0"/>
                <w:sz w:val="24"/>
              </w:rPr>
              <w:t>万元</w:t>
            </w:r>
          </w:p>
        </w:tc>
      </w:tr>
      <w:tr>
        <w:tblPrEx>
          <w:shd w:val="clear" w:color="auto" w:fill="FFFFFF"/>
          <w:tblCellMar>
            <w:top w:w="15" w:type="dxa"/>
            <w:left w:w="15" w:type="dxa"/>
            <w:bottom w:w="15" w:type="dxa"/>
            <w:right w:w="15" w:type="dxa"/>
          </w:tblCellMar>
        </w:tblPrEx>
        <w:trPr>
          <w:trHeight w:val="687" w:hRule="atLeast"/>
        </w:trPr>
        <w:tc>
          <w:tcPr>
            <w:tcW w:w="866" w:type="dxa"/>
            <w:vMerge w:val="continue"/>
            <w:tcBorders>
              <w:top w:val="nil"/>
              <w:left w:val="single" w:color="000000" w:sz="6" w:space="0"/>
              <w:bottom w:val="single" w:color="000000" w:sz="6" w:space="0"/>
              <w:right w:val="single" w:color="000000" w:sz="6" w:space="0"/>
            </w:tcBorders>
            <w:shd w:val="clear" w:color="auto" w:fill="FFFFFF"/>
            <w:noWrap w:val="0"/>
            <w:vAlign w:val="center"/>
          </w:tcPr>
          <w:p>
            <w:pPr>
              <w:widowControl/>
              <w:spacing w:line="380" w:lineRule="exact"/>
              <w:jc w:val="center"/>
              <w:rPr>
                <w:rFonts w:hint="eastAsia" w:ascii="仿宋_GB2312" w:hAnsi="仿宋_GB2312" w:eastAsia="仿宋_GB2312" w:cs="仿宋_GB2312"/>
                <w:kern w:val="0"/>
                <w:sz w:val="24"/>
              </w:rPr>
            </w:pPr>
          </w:p>
        </w:tc>
        <w:tc>
          <w:tcPr>
            <w:tcW w:w="1894" w:type="dxa"/>
            <w:gridSpan w:val="2"/>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spacing w:line="38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其它资金:</w:t>
            </w:r>
          </w:p>
        </w:tc>
        <w:tc>
          <w:tcPr>
            <w:tcW w:w="2055" w:type="dxa"/>
            <w:gridSpan w:val="2"/>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0</w:t>
            </w:r>
          </w:p>
        </w:tc>
        <w:tc>
          <w:tcPr>
            <w:tcW w:w="2745" w:type="dxa"/>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其它资金:</w:t>
            </w:r>
          </w:p>
        </w:tc>
        <w:tc>
          <w:tcPr>
            <w:tcW w:w="2385" w:type="dxa"/>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0</w:t>
            </w:r>
          </w:p>
        </w:tc>
      </w:tr>
      <w:tr>
        <w:tblPrEx>
          <w:shd w:val="clear" w:color="auto" w:fill="FFFFFF"/>
          <w:tblCellMar>
            <w:top w:w="15" w:type="dxa"/>
            <w:left w:w="15" w:type="dxa"/>
            <w:bottom w:w="15" w:type="dxa"/>
            <w:right w:w="15" w:type="dxa"/>
          </w:tblCellMar>
        </w:tblPrEx>
        <w:trPr>
          <w:trHeight w:val="540" w:hRule="atLeast"/>
        </w:trPr>
        <w:tc>
          <w:tcPr>
            <w:tcW w:w="866" w:type="dxa"/>
            <w:vMerge w:val="restart"/>
            <w:tcBorders>
              <w:top w:val="nil"/>
              <w:left w:val="single" w:color="000000" w:sz="6" w:space="0"/>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spacing w:line="38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度目标完成情况</w:t>
            </w:r>
          </w:p>
        </w:tc>
        <w:tc>
          <w:tcPr>
            <w:tcW w:w="3949" w:type="dxa"/>
            <w:gridSpan w:val="4"/>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spacing w:line="38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预期目标</w:t>
            </w:r>
          </w:p>
        </w:tc>
        <w:tc>
          <w:tcPr>
            <w:tcW w:w="5130" w:type="dxa"/>
            <w:gridSpan w:val="2"/>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实际完成目标</w:t>
            </w:r>
          </w:p>
        </w:tc>
      </w:tr>
      <w:tr>
        <w:tblPrEx>
          <w:shd w:val="clear" w:color="auto" w:fill="FFFFFF"/>
          <w:tblCellMar>
            <w:top w:w="15" w:type="dxa"/>
            <w:left w:w="15" w:type="dxa"/>
            <w:bottom w:w="15" w:type="dxa"/>
            <w:right w:w="15" w:type="dxa"/>
          </w:tblCellMar>
        </w:tblPrEx>
        <w:trPr>
          <w:trHeight w:val="5170" w:hRule="atLeast"/>
        </w:trPr>
        <w:tc>
          <w:tcPr>
            <w:tcW w:w="866" w:type="dxa"/>
            <w:vMerge w:val="continue"/>
            <w:tcBorders>
              <w:top w:val="nil"/>
              <w:left w:val="single" w:color="000000" w:sz="6" w:space="0"/>
              <w:bottom w:val="single" w:color="auto" w:sz="4" w:space="0"/>
              <w:right w:val="single" w:color="000000" w:sz="6" w:space="0"/>
            </w:tcBorders>
            <w:shd w:val="clear" w:color="auto" w:fill="FFFFFF"/>
            <w:noWrap w:val="0"/>
            <w:vAlign w:val="center"/>
          </w:tcPr>
          <w:p>
            <w:pPr>
              <w:widowControl/>
              <w:spacing w:line="380" w:lineRule="exact"/>
              <w:jc w:val="center"/>
              <w:rPr>
                <w:rFonts w:hint="eastAsia" w:ascii="仿宋_GB2312" w:hAnsi="仿宋_GB2312" w:eastAsia="仿宋_GB2312" w:cs="仿宋_GB2312"/>
                <w:kern w:val="0"/>
                <w:sz w:val="24"/>
              </w:rPr>
            </w:pPr>
          </w:p>
        </w:tc>
        <w:tc>
          <w:tcPr>
            <w:tcW w:w="3949" w:type="dxa"/>
            <w:gridSpan w:val="4"/>
            <w:tcBorders>
              <w:top w:val="nil"/>
              <w:left w:val="nil"/>
              <w:bottom w:val="single" w:color="auto" w:sz="4" w:space="0"/>
              <w:right w:val="single" w:color="000000" w:sz="6" w:space="0"/>
            </w:tcBorders>
            <w:shd w:val="clear" w:color="auto" w:fill="FFFFFF"/>
            <w:noWrap w:val="0"/>
            <w:tcMar>
              <w:top w:w="15" w:type="dxa"/>
              <w:left w:w="15" w:type="dxa"/>
              <w:bottom w:w="0" w:type="dxa"/>
              <w:right w:w="15" w:type="dxa"/>
            </w:tcMar>
            <w:vAlign w:val="center"/>
          </w:tcPr>
          <w:p>
            <w:pPr>
              <w:widowControl/>
              <w:spacing w:line="380" w:lineRule="exact"/>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广元市12345政务服务便民热线平台与四川省网络理政平台做系统对接，通过接口和服务相互推送业务协同、实时服务、数据汇聚信息。广元市12345政务服务便民热线系统与110、966110（警务民意热线）热线系统之间的对接，通过接口和硬件设备相互推送工单。</w:t>
            </w:r>
          </w:p>
        </w:tc>
        <w:tc>
          <w:tcPr>
            <w:tcW w:w="5130" w:type="dxa"/>
            <w:gridSpan w:val="2"/>
            <w:tcBorders>
              <w:top w:val="nil"/>
              <w:left w:val="nil"/>
              <w:bottom w:val="single" w:color="auto" w:sz="4"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left"/>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 xml:space="preserve"> 广元市12345政务服务便民热线平台与四川省网络理政平台做系统对接，通过接口和服务相互推送业务协同、实时服务、数据汇聚信息。广元市12345政务服务便民热线系统与110、966110（警务民意热线）热线系统之间的对接，通过接口和硬件设备相互推送工单。</w:t>
            </w:r>
          </w:p>
        </w:tc>
      </w:tr>
      <w:tr>
        <w:tblPrEx>
          <w:shd w:val="clear" w:color="auto" w:fill="FFFFFF"/>
          <w:tblCellMar>
            <w:top w:w="15" w:type="dxa"/>
            <w:left w:w="15" w:type="dxa"/>
            <w:bottom w:w="15" w:type="dxa"/>
            <w:right w:w="15" w:type="dxa"/>
          </w:tblCellMar>
        </w:tblPrEx>
        <w:trPr>
          <w:trHeight w:val="1035" w:hRule="atLeast"/>
        </w:trPr>
        <w:tc>
          <w:tcPr>
            <w:tcW w:w="866" w:type="dxa"/>
            <w:vMerge w:val="restart"/>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bottom w:w="0" w:type="dxa"/>
              <w:right w:w="15" w:type="dxa"/>
            </w:tcMar>
            <w:vAlign w:val="center"/>
          </w:tcPr>
          <w:p>
            <w:pPr>
              <w:widowControl/>
              <w:spacing w:line="38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绩效指标完成情况</w:t>
            </w:r>
          </w:p>
        </w:tc>
        <w:tc>
          <w:tcPr>
            <w:tcW w:w="1134"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bottom w:w="0" w:type="dxa"/>
              <w:right w:w="15" w:type="dxa"/>
            </w:tcMar>
            <w:vAlign w:val="center"/>
          </w:tcPr>
          <w:p>
            <w:pPr>
              <w:widowControl/>
              <w:spacing w:line="38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一级指标</w:t>
            </w:r>
          </w:p>
        </w:tc>
        <w:tc>
          <w:tcPr>
            <w:tcW w:w="1559" w:type="dxa"/>
            <w:gridSpan w:val="2"/>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二级指标</w:t>
            </w:r>
          </w:p>
        </w:tc>
        <w:tc>
          <w:tcPr>
            <w:tcW w:w="1256"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三级指标</w:t>
            </w:r>
          </w:p>
        </w:tc>
        <w:tc>
          <w:tcPr>
            <w:tcW w:w="2745"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预期指标值(包含数字及文字描述)</w:t>
            </w:r>
          </w:p>
        </w:tc>
        <w:tc>
          <w:tcPr>
            <w:tcW w:w="2385"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实际完成指标值(包含数字及文字描述)</w:t>
            </w:r>
          </w:p>
        </w:tc>
      </w:tr>
      <w:tr>
        <w:tblPrEx>
          <w:shd w:val="clear" w:color="auto" w:fill="FFFFFF"/>
          <w:tblCellMar>
            <w:top w:w="15" w:type="dxa"/>
            <w:left w:w="15" w:type="dxa"/>
            <w:bottom w:w="15" w:type="dxa"/>
            <w:right w:w="15" w:type="dxa"/>
          </w:tblCellMar>
        </w:tblPrEx>
        <w:trPr>
          <w:trHeight w:val="495" w:hRule="atLeast"/>
        </w:trPr>
        <w:tc>
          <w:tcPr>
            <w:tcW w:w="866"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spacing w:line="380" w:lineRule="exact"/>
              <w:jc w:val="left"/>
              <w:rPr>
                <w:rFonts w:hint="eastAsia" w:ascii="仿宋_GB2312" w:hAnsi="仿宋_GB2312" w:eastAsia="仿宋_GB2312" w:cs="仿宋_GB2312"/>
                <w:kern w:val="0"/>
                <w:sz w:val="24"/>
              </w:rPr>
            </w:pPr>
          </w:p>
        </w:tc>
        <w:tc>
          <w:tcPr>
            <w:tcW w:w="1134"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bottom w:w="0" w:type="dxa"/>
              <w:right w:w="15" w:type="dxa"/>
            </w:tcMar>
            <w:vAlign w:val="center"/>
          </w:tcPr>
          <w:p>
            <w:pPr>
              <w:widowControl/>
              <w:spacing w:line="38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项目完成指标</w:t>
            </w:r>
          </w:p>
        </w:tc>
        <w:tc>
          <w:tcPr>
            <w:tcW w:w="1559" w:type="dxa"/>
            <w:gridSpan w:val="2"/>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质量指标</w:t>
            </w:r>
          </w:p>
        </w:tc>
        <w:tc>
          <w:tcPr>
            <w:tcW w:w="1256"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lang w:eastAsia="zh-CN"/>
              </w:rPr>
            </w:pPr>
            <w:r>
              <w:rPr>
                <w:rFonts w:hint="eastAsia" w:ascii="仿宋_GB2312" w:hAnsi="仿宋_GB2312" w:eastAsia="仿宋_GB2312" w:cs="仿宋_GB2312"/>
                <w:kern w:val="0"/>
                <w:sz w:val="24"/>
                <w:lang w:val="en-US" w:eastAsia="zh-CN"/>
              </w:rPr>
              <w:t>系统信息和信息传输安全率</w:t>
            </w:r>
          </w:p>
        </w:tc>
        <w:tc>
          <w:tcPr>
            <w:tcW w:w="2745"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lang w:val="en-US" w:eastAsia="zh-CN"/>
              </w:rPr>
            </w:pPr>
            <w:r>
              <w:rPr>
                <w:rFonts w:hint="eastAsia" w:ascii="仿宋_GB2312" w:hAnsi="仿宋_GB2312" w:eastAsia="仿宋_GB2312" w:cs="仿宋_GB2312"/>
                <w:kern w:val="0"/>
                <w:sz w:val="24"/>
                <w:lang w:val="en-US" w:eastAsia="zh-CN"/>
              </w:rPr>
              <w:t>=100%</w:t>
            </w:r>
          </w:p>
        </w:tc>
        <w:tc>
          <w:tcPr>
            <w:tcW w:w="2385"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lang w:val="en-US" w:eastAsia="zh-CN"/>
              </w:rPr>
            </w:pPr>
            <w:r>
              <w:rPr>
                <w:rFonts w:hint="eastAsia" w:ascii="仿宋_GB2312" w:hAnsi="仿宋_GB2312" w:eastAsia="仿宋_GB2312" w:cs="仿宋_GB2312"/>
                <w:kern w:val="0"/>
                <w:sz w:val="24"/>
                <w:lang w:val="en-US" w:eastAsia="zh-CN"/>
              </w:rPr>
              <w:t>100%</w:t>
            </w:r>
          </w:p>
        </w:tc>
      </w:tr>
      <w:tr>
        <w:tblPrEx>
          <w:shd w:val="clear" w:color="auto" w:fill="FFFFFF"/>
          <w:tblCellMar>
            <w:top w:w="15" w:type="dxa"/>
            <w:left w:w="15" w:type="dxa"/>
            <w:bottom w:w="15" w:type="dxa"/>
            <w:right w:w="15" w:type="dxa"/>
          </w:tblCellMar>
        </w:tblPrEx>
        <w:trPr>
          <w:trHeight w:val="540" w:hRule="atLeast"/>
        </w:trPr>
        <w:tc>
          <w:tcPr>
            <w:tcW w:w="866"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spacing w:line="380" w:lineRule="exact"/>
              <w:jc w:val="left"/>
              <w:rPr>
                <w:rFonts w:hint="eastAsia" w:ascii="仿宋_GB2312" w:hAnsi="仿宋_GB2312" w:eastAsia="仿宋_GB2312" w:cs="仿宋_GB2312"/>
                <w:kern w:val="0"/>
                <w:sz w:val="24"/>
              </w:rPr>
            </w:pPr>
          </w:p>
        </w:tc>
        <w:tc>
          <w:tcPr>
            <w:tcW w:w="1134"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bottom w:w="0" w:type="dxa"/>
              <w:right w:w="15" w:type="dxa"/>
            </w:tcMar>
            <w:vAlign w:val="center"/>
          </w:tcPr>
          <w:p>
            <w:pPr>
              <w:widowControl/>
              <w:spacing w:line="38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项目完成指标</w:t>
            </w:r>
          </w:p>
        </w:tc>
        <w:tc>
          <w:tcPr>
            <w:tcW w:w="1559" w:type="dxa"/>
            <w:gridSpan w:val="2"/>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数量指标</w:t>
            </w:r>
          </w:p>
        </w:tc>
        <w:tc>
          <w:tcPr>
            <w:tcW w:w="1256"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lang w:val="en-US" w:eastAsia="zh-CN"/>
              </w:rPr>
            </w:pPr>
            <w:r>
              <w:rPr>
                <w:rFonts w:hint="eastAsia" w:ascii="仿宋_GB2312" w:hAnsi="仿宋_GB2312" w:eastAsia="仿宋_GB2312" w:cs="仿宋_GB2312"/>
                <w:kern w:val="0"/>
                <w:sz w:val="24"/>
                <w:lang w:val="en-US" w:eastAsia="zh-CN"/>
              </w:rPr>
              <w:t>系统正常运行率</w:t>
            </w:r>
          </w:p>
        </w:tc>
        <w:tc>
          <w:tcPr>
            <w:tcW w:w="2745"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lang w:val="en-US" w:eastAsia="zh-CN"/>
              </w:rPr>
            </w:pP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lang w:val="en-US" w:eastAsia="zh-CN"/>
              </w:rPr>
              <w:t>99.99%</w:t>
            </w:r>
          </w:p>
        </w:tc>
        <w:tc>
          <w:tcPr>
            <w:tcW w:w="2385"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lang w:eastAsia="zh-CN"/>
              </w:rPr>
              <w:t>≥</w:t>
            </w:r>
            <w:r>
              <w:rPr>
                <w:rFonts w:hint="eastAsia" w:ascii="仿宋_GB2312" w:hAnsi="仿宋_GB2312" w:eastAsia="仿宋_GB2312" w:cs="仿宋_GB2312"/>
                <w:kern w:val="0"/>
                <w:sz w:val="24"/>
                <w:lang w:val="en-US" w:eastAsia="zh-CN"/>
              </w:rPr>
              <w:t>99.99%</w:t>
            </w:r>
          </w:p>
        </w:tc>
      </w:tr>
      <w:tr>
        <w:tblPrEx>
          <w:shd w:val="clear" w:color="auto" w:fill="FFFFFF"/>
          <w:tblCellMar>
            <w:top w:w="15" w:type="dxa"/>
            <w:left w:w="15" w:type="dxa"/>
            <w:bottom w:w="15" w:type="dxa"/>
            <w:right w:w="15" w:type="dxa"/>
          </w:tblCellMar>
        </w:tblPrEx>
        <w:trPr>
          <w:trHeight w:val="690" w:hRule="atLeast"/>
        </w:trPr>
        <w:tc>
          <w:tcPr>
            <w:tcW w:w="866"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pPr>
              <w:widowControl/>
              <w:spacing w:line="380" w:lineRule="exact"/>
              <w:jc w:val="left"/>
              <w:rPr>
                <w:rFonts w:hint="eastAsia" w:ascii="仿宋_GB2312" w:hAnsi="仿宋_GB2312" w:eastAsia="仿宋_GB2312" w:cs="仿宋_GB2312"/>
                <w:kern w:val="0"/>
                <w:sz w:val="24"/>
              </w:rPr>
            </w:pPr>
          </w:p>
        </w:tc>
        <w:tc>
          <w:tcPr>
            <w:tcW w:w="1134"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bottom w:w="0" w:type="dxa"/>
              <w:right w:w="15" w:type="dxa"/>
            </w:tcMar>
            <w:vAlign w:val="center"/>
          </w:tcPr>
          <w:p>
            <w:pPr>
              <w:widowControl/>
              <w:spacing w:line="38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效益指标</w:t>
            </w:r>
          </w:p>
        </w:tc>
        <w:tc>
          <w:tcPr>
            <w:tcW w:w="1559" w:type="dxa"/>
            <w:gridSpan w:val="2"/>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社会效益指标</w:t>
            </w:r>
          </w:p>
        </w:tc>
        <w:tc>
          <w:tcPr>
            <w:tcW w:w="1256"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lang w:eastAsia="zh-CN"/>
              </w:rPr>
            </w:pPr>
            <w:r>
              <w:rPr>
                <w:rFonts w:hint="eastAsia" w:ascii="仿宋_GB2312" w:hAnsi="仿宋_GB2312" w:eastAsia="仿宋_GB2312" w:cs="仿宋_GB2312"/>
                <w:kern w:val="0"/>
                <w:sz w:val="24"/>
                <w:lang w:eastAsia="zh-CN"/>
              </w:rPr>
              <w:t>平均回复天数</w:t>
            </w:r>
          </w:p>
        </w:tc>
        <w:tc>
          <w:tcPr>
            <w:tcW w:w="2745"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≤咨询1小时、疫情4小时、求助建议1天、投诉举报3天</w:t>
            </w:r>
          </w:p>
        </w:tc>
        <w:tc>
          <w:tcPr>
            <w:tcW w:w="2385" w:type="dxa"/>
            <w:tcBorders>
              <w:top w:val="single" w:color="auto" w:sz="4" w:space="0"/>
              <w:left w:val="single" w:color="auto" w:sz="4" w:space="0"/>
              <w:bottom w:val="single" w:color="auto" w:sz="4" w:space="0"/>
              <w:right w:val="single" w:color="auto" w:sz="4"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≤咨询1小时、疫情4小时、求助建议1天、投诉举报3天</w:t>
            </w:r>
          </w:p>
        </w:tc>
      </w:tr>
      <w:tr>
        <w:tblPrEx>
          <w:tblCellMar>
            <w:top w:w="15" w:type="dxa"/>
            <w:left w:w="15" w:type="dxa"/>
            <w:bottom w:w="15" w:type="dxa"/>
            <w:right w:w="15" w:type="dxa"/>
          </w:tblCellMar>
        </w:tblPrEx>
        <w:trPr>
          <w:trHeight w:val="615" w:hRule="atLeast"/>
        </w:trPr>
        <w:tc>
          <w:tcPr>
            <w:tcW w:w="866" w:type="dxa"/>
            <w:vMerge w:val="continue"/>
            <w:tcBorders>
              <w:top w:val="single" w:color="auto" w:sz="4" w:space="0"/>
              <w:left w:val="single" w:color="auto" w:sz="4" w:space="0"/>
              <w:bottom w:val="single" w:color="000000" w:sz="6" w:space="0"/>
              <w:right w:val="single" w:color="000000" w:sz="6" w:space="0"/>
            </w:tcBorders>
            <w:shd w:val="clear" w:color="auto" w:fill="FFFFFF"/>
            <w:noWrap w:val="0"/>
            <w:vAlign w:val="center"/>
          </w:tcPr>
          <w:p>
            <w:pPr>
              <w:widowControl/>
              <w:spacing w:line="380" w:lineRule="exact"/>
              <w:jc w:val="left"/>
              <w:rPr>
                <w:rFonts w:hint="eastAsia" w:ascii="仿宋_GB2312" w:hAnsi="仿宋_GB2312" w:eastAsia="仿宋_GB2312" w:cs="仿宋_GB2312"/>
                <w:kern w:val="0"/>
                <w:sz w:val="24"/>
              </w:rPr>
            </w:pPr>
          </w:p>
        </w:tc>
        <w:tc>
          <w:tcPr>
            <w:tcW w:w="1134" w:type="dxa"/>
            <w:tcBorders>
              <w:top w:val="single" w:color="auto" w:sz="4" w:space="0"/>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spacing w:line="38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效益指标</w:t>
            </w:r>
          </w:p>
        </w:tc>
        <w:tc>
          <w:tcPr>
            <w:tcW w:w="1559" w:type="dxa"/>
            <w:gridSpan w:val="2"/>
            <w:tcBorders>
              <w:top w:val="single" w:color="auto" w:sz="4" w:space="0"/>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可持续影响指标</w:t>
            </w:r>
          </w:p>
        </w:tc>
        <w:tc>
          <w:tcPr>
            <w:tcW w:w="1256" w:type="dxa"/>
            <w:tcBorders>
              <w:top w:val="single" w:color="auto" w:sz="4" w:space="0"/>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lang w:eastAsia="zh-CN"/>
              </w:rPr>
            </w:pPr>
            <w:r>
              <w:rPr>
                <w:rFonts w:hint="eastAsia" w:ascii="仿宋_GB2312" w:hAnsi="仿宋_GB2312" w:eastAsia="仿宋_GB2312" w:cs="仿宋_GB2312"/>
                <w:kern w:val="0"/>
                <w:sz w:val="24"/>
                <w:lang w:eastAsia="zh-CN"/>
              </w:rPr>
              <w:t>系统使用年限</w:t>
            </w:r>
          </w:p>
        </w:tc>
        <w:tc>
          <w:tcPr>
            <w:tcW w:w="2745" w:type="dxa"/>
            <w:tcBorders>
              <w:top w:val="single" w:color="auto" w:sz="4" w:space="0"/>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≥10年</w:t>
            </w:r>
          </w:p>
        </w:tc>
        <w:tc>
          <w:tcPr>
            <w:tcW w:w="2385" w:type="dxa"/>
            <w:tcBorders>
              <w:top w:val="single" w:color="auto" w:sz="4" w:space="0"/>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≥10年</w:t>
            </w:r>
          </w:p>
        </w:tc>
      </w:tr>
      <w:tr>
        <w:tblPrEx>
          <w:tblCellMar>
            <w:top w:w="15" w:type="dxa"/>
            <w:left w:w="15" w:type="dxa"/>
            <w:bottom w:w="15" w:type="dxa"/>
            <w:right w:w="15" w:type="dxa"/>
          </w:tblCellMar>
        </w:tblPrEx>
        <w:trPr>
          <w:trHeight w:val="540" w:hRule="atLeast"/>
        </w:trPr>
        <w:tc>
          <w:tcPr>
            <w:tcW w:w="866" w:type="dxa"/>
            <w:vMerge w:val="continue"/>
            <w:tcBorders>
              <w:top w:val="nil"/>
              <w:left w:val="single" w:color="auto" w:sz="4" w:space="0"/>
              <w:bottom w:val="single" w:color="000000" w:sz="6" w:space="0"/>
              <w:right w:val="single" w:color="000000" w:sz="6" w:space="0"/>
            </w:tcBorders>
            <w:shd w:val="clear" w:color="auto" w:fill="FFFFFF"/>
            <w:noWrap w:val="0"/>
            <w:vAlign w:val="center"/>
          </w:tcPr>
          <w:p>
            <w:pPr>
              <w:widowControl/>
              <w:spacing w:line="380" w:lineRule="exact"/>
              <w:jc w:val="left"/>
              <w:rPr>
                <w:rFonts w:hint="eastAsia" w:ascii="仿宋_GB2312" w:hAnsi="仿宋_GB2312" w:eastAsia="仿宋_GB2312" w:cs="仿宋_GB2312"/>
                <w:kern w:val="0"/>
                <w:sz w:val="24"/>
              </w:rPr>
            </w:pPr>
          </w:p>
        </w:tc>
        <w:tc>
          <w:tcPr>
            <w:tcW w:w="1134" w:type="dxa"/>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spacing w:line="380" w:lineRule="exac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满意度指标</w:t>
            </w:r>
          </w:p>
        </w:tc>
        <w:tc>
          <w:tcPr>
            <w:tcW w:w="1559" w:type="dxa"/>
            <w:gridSpan w:val="2"/>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满意度指标</w:t>
            </w:r>
          </w:p>
        </w:tc>
        <w:tc>
          <w:tcPr>
            <w:tcW w:w="1256" w:type="dxa"/>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lang w:eastAsia="zh-CN"/>
              </w:rPr>
              <w:t>平台使用满意度</w:t>
            </w:r>
          </w:p>
        </w:tc>
        <w:tc>
          <w:tcPr>
            <w:tcW w:w="2745" w:type="dxa"/>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≥95%</w:t>
            </w:r>
          </w:p>
        </w:tc>
        <w:tc>
          <w:tcPr>
            <w:tcW w:w="2385" w:type="dxa"/>
            <w:tcBorders>
              <w:top w:val="nil"/>
              <w:left w:val="nil"/>
              <w:bottom w:val="single" w:color="000000" w:sz="6" w:space="0"/>
              <w:right w:val="single" w:color="000000" w:sz="6" w:space="0"/>
            </w:tcBorders>
            <w:shd w:val="clear" w:color="auto" w:fill="FFFFFF"/>
            <w:noWrap w:val="0"/>
            <w:tcMar>
              <w:top w:w="15" w:type="dxa"/>
              <w:left w:w="15" w:type="dxa"/>
              <w:bottom w:w="0" w:type="dxa"/>
              <w:right w:w="15" w:type="dxa"/>
            </w:tcMar>
            <w:vAlign w:val="center"/>
          </w:tcPr>
          <w:p>
            <w:pPr>
              <w:widowControl/>
              <w:wordWrap w:val="0"/>
              <w:spacing w:before="75" w:after="75" w:line="450" w:lineRule="atLeast"/>
              <w:jc w:val="center"/>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≥9</w:t>
            </w:r>
            <w:r>
              <w:rPr>
                <w:rFonts w:hint="eastAsia" w:ascii="仿宋_GB2312" w:hAnsi="仿宋_GB2312" w:eastAsia="仿宋_GB2312" w:cs="仿宋_GB2312"/>
                <w:kern w:val="0"/>
                <w:sz w:val="24"/>
                <w:lang w:val="en-US" w:eastAsia="zh-CN"/>
              </w:rPr>
              <w:t>7</w:t>
            </w:r>
            <w:r>
              <w:rPr>
                <w:rFonts w:hint="eastAsia" w:ascii="仿宋_GB2312" w:hAnsi="仿宋_GB2312" w:eastAsia="仿宋_GB2312" w:cs="仿宋_GB2312"/>
                <w:kern w:val="0"/>
                <w:sz w:val="24"/>
              </w:rPr>
              <w:t>%</w:t>
            </w:r>
          </w:p>
        </w:tc>
      </w:tr>
    </w:tbl>
    <w:p>
      <w:pPr>
        <w:spacing w:line="540" w:lineRule="exact"/>
        <w:jc w:val="center"/>
        <w:rPr>
          <w:rFonts w:hint="eastAsia" w:ascii="仿宋_GB2312" w:hAnsi="仿宋_GB2312" w:eastAsia="仿宋_GB2312" w:cs="仿宋_GB2312"/>
          <w:color w:val="000000"/>
          <w:kern w:val="0"/>
          <w:sz w:val="44"/>
          <w:szCs w:val="44"/>
          <w:lang w:val="zh-CN"/>
        </w:rPr>
      </w:pPr>
    </w:p>
    <w:p/>
    <w:p>
      <w:pPr>
        <w:pStyle w:val="6"/>
        <w:rPr>
          <w:rFonts w:hint="eastAsia"/>
          <w:lang w:val="zh-CN"/>
        </w:rPr>
      </w:pPr>
    </w:p>
    <w:p/>
    <w:p>
      <w:pPr>
        <w:rPr>
          <w:rFonts w:hint="eastAsia" w:ascii="黑体" w:hAnsi="黑体" w:eastAsia="黑体"/>
          <w:sz w:val="32"/>
          <w:szCs w:val="32"/>
        </w:rPr>
      </w:pPr>
      <w:r>
        <w:rPr>
          <w:rFonts w:hint="eastAsia" w:ascii="黑体" w:hAnsi="黑体" w:eastAsia="黑体"/>
          <w:sz w:val="32"/>
          <w:szCs w:val="32"/>
        </w:rPr>
        <w:br w:type="page"/>
      </w:r>
    </w:p>
    <w:p>
      <w:pPr>
        <w:pStyle w:val="6"/>
        <w:spacing w:beforeLines="0" w:line="576" w:lineRule="exact"/>
        <w:ind w:firstLine="3300" w:firstLineChars="750"/>
        <w:rPr>
          <w:rFonts w:hAnsi="宋体"/>
          <w:sz w:val="44"/>
          <w:szCs w:val="44"/>
          <w:lang w:val="zh-CN"/>
        </w:rPr>
      </w:pPr>
      <w:bookmarkStart w:id="114" w:name="_Toc1341084348_WPSOffice_Level2"/>
      <w:r>
        <w:rPr>
          <w:rFonts w:hint="eastAsia" w:ascii="黑体" w:hAnsi="黑体" w:eastAsia="黑体"/>
          <w:sz w:val="44"/>
          <w:szCs w:val="44"/>
        </w:rPr>
        <w:t>网络运行维护费</w:t>
      </w:r>
      <w:bookmarkEnd w:id="114"/>
    </w:p>
    <w:p>
      <w:pPr>
        <w:adjustRightInd w:val="0"/>
        <w:snapToGrid w:val="0"/>
        <w:spacing w:line="576" w:lineRule="exact"/>
        <w:ind w:left="48" w:leftChars="23" w:firstLine="736" w:firstLineChars="230"/>
        <w:rPr>
          <w:rFonts w:ascii="黑体" w:hAnsi="黑体" w:eastAsia="黑体"/>
          <w:sz w:val="32"/>
          <w:szCs w:val="32"/>
          <w:lang w:val="zh-CN"/>
        </w:rPr>
      </w:pPr>
      <w:bookmarkStart w:id="115" w:name="_Toc784853174_WPSOffice_Level2"/>
      <w:r>
        <w:rPr>
          <w:rFonts w:hint="eastAsia" w:ascii="黑体" w:hAnsi="黑体" w:eastAsia="黑体"/>
          <w:sz w:val="32"/>
          <w:szCs w:val="32"/>
        </w:rPr>
        <w:t>一、</w:t>
      </w:r>
      <w:r>
        <w:rPr>
          <w:rFonts w:hint="eastAsia" w:ascii="黑体" w:hAnsi="黑体" w:eastAsia="黑体"/>
          <w:sz w:val="32"/>
          <w:szCs w:val="32"/>
          <w:lang w:val="zh-CN"/>
        </w:rPr>
        <w:t>项目概况</w:t>
      </w:r>
      <w:bookmarkEnd w:id="115"/>
    </w:p>
    <w:p>
      <w:pPr>
        <w:adjustRightInd w:val="0"/>
        <w:snapToGrid w:val="0"/>
        <w:spacing w:line="576" w:lineRule="exact"/>
        <w:ind w:left="105"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（一）项目基本情况</w:t>
      </w:r>
    </w:p>
    <w:p>
      <w:pPr>
        <w:pStyle w:val="13"/>
        <w:widowControl/>
        <w:spacing w:before="0" w:beforeAutospacing="0" w:after="0" w:afterAutospacing="0" w:line="576" w:lineRule="exact"/>
        <w:ind w:firstLine="800" w:firstLineChars="250"/>
        <w:rPr>
          <w:rFonts w:ascii="仿宋_GB2312" w:hAnsi="宋体" w:eastAsia="仿宋_GB2312" w:cs="仿宋"/>
          <w:sz w:val="32"/>
          <w:szCs w:val="32"/>
        </w:rPr>
      </w:pPr>
      <w:r>
        <w:rPr>
          <w:rFonts w:hint="eastAsia" w:ascii="仿宋_GB2312" w:hAnsi="宋体" w:eastAsia="仿宋_GB2312" w:cs="宋体"/>
          <w:color w:val="000000"/>
          <w:sz w:val="32"/>
          <w:szCs w:val="32"/>
          <w:shd w:val="clear" w:color="auto" w:fill="FFFFFF"/>
          <w:lang w:val="zh-CN"/>
        </w:rPr>
        <w:t>广元市</w:t>
      </w:r>
      <w:r>
        <w:rPr>
          <w:rFonts w:hint="eastAsia" w:ascii="仿宋_GB2312" w:hAnsi="宋体" w:eastAsia="仿宋_GB2312"/>
          <w:color w:val="000000"/>
          <w:sz w:val="32"/>
          <w:szCs w:val="32"/>
        </w:rPr>
        <w:t>公共资源交易信息中心是经市委、市政府批准设立的公益一类事业单位，直属市政务服务和公共资源交易中心。</w:t>
      </w:r>
      <w:r>
        <w:rPr>
          <w:rFonts w:hint="eastAsia" w:ascii="仿宋_GB2312" w:hAnsi="宋体" w:eastAsia="仿宋_GB2312" w:cs="仿宋"/>
          <w:color w:val="000000"/>
          <w:sz w:val="32"/>
          <w:szCs w:val="32"/>
          <w:shd w:val="clear" w:color="auto" w:fill="FFFFFF"/>
        </w:rPr>
        <w:t>承担全市工程建设招投标现场服务和管理工作，负责政府采购活动现场服务和管理工作，负责国有产权、特许经营权出（转）让等现场服务和管理</w:t>
      </w:r>
      <w:r>
        <w:rPr>
          <w:rFonts w:hint="eastAsia" w:ascii="仿宋_GB2312" w:hAnsi="宋体" w:eastAsia="仿宋_GB2312" w:cs="微软雅黑"/>
          <w:color w:val="000000"/>
          <w:sz w:val="32"/>
          <w:szCs w:val="32"/>
          <w:shd w:val="clear" w:color="auto" w:fill="FFFFFF"/>
        </w:rPr>
        <w:t>工</w:t>
      </w:r>
      <w:r>
        <w:rPr>
          <w:rFonts w:hint="eastAsia" w:ascii="仿宋_GB2312" w:hAnsi="宋体" w:eastAsia="仿宋_GB2312" w:cs="仿宋"/>
          <w:color w:val="000000"/>
          <w:sz w:val="32"/>
          <w:szCs w:val="32"/>
        </w:rPr>
        <w:t>的职能，</w:t>
      </w:r>
      <w:r>
        <w:rPr>
          <w:rFonts w:hint="eastAsia" w:ascii="仿宋_GB2312" w:hAnsi="宋体" w:eastAsia="仿宋_GB2312" w:cs="仿宋"/>
          <w:sz w:val="32"/>
          <w:szCs w:val="32"/>
        </w:rPr>
        <w:t>为确保202</w:t>
      </w:r>
      <w:r>
        <w:rPr>
          <w:rFonts w:hint="eastAsia" w:ascii="仿宋_GB2312" w:hAnsi="宋体" w:eastAsia="仿宋_GB2312" w:cs="仿宋"/>
          <w:sz w:val="32"/>
          <w:szCs w:val="32"/>
          <w:lang w:val="en-US" w:eastAsia="zh-CN"/>
        </w:rPr>
        <w:t>1</w:t>
      </w:r>
      <w:r>
        <w:rPr>
          <w:rFonts w:hint="eastAsia" w:ascii="仿宋_GB2312" w:hAnsi="宋体" w:eastAsia="仿宋_GB2312" w:cs="仿宋"/>
          <w:sz w:val="32"/>
          <w:szCs w:val="32"/>
        </w:rPr>
        <w:t>年度市公共资源交易信息中心网络宽带及电话、应急抢险救灾施工队伍储备库信息系统、公共资源交易电子平台管理信息系统等网络系统稳定通畅运行</w:t>
      </w:r>
      <w:r>
        <w:rPr>
          <w:rFonts w:hint="eastAsia" w:ascii="仿宋_GB2312" w:hAnsi="宋体" w:eastAsia="仿宋_GB2312" w:cs="仿宋"/>
          <w:color w:val="000000"/>
          <w:sz w:val="32"/>
          <w:szCs w:val="32"/>
        </w:rPr>
        <w:t>，申请设立了“网络运行维护费”项目预算。</w:t>
      </w:r>
    </w:p>
    <w:p>
      <w:pPr>
        <w:adjustRightInd w:val="0"/>
        <w:snapToGrid w:val="0"/>
        <w:spacing w:line="576" w:lineRule="exact"/>
        <w:ind w:left="105"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（二）项目绩效目标</w:t>
      </w:r>
    </w:p>
    <w:p>
      <w:pPr>
        <w:adjustRightInd w:val="0"/>
        <w:snapToGrid w:val="0"/>
        <w:spacing w:line="576" w:lineRule="exact"/>
        <w:ind w:left="105" w:firstLine="640" w:firstLineChars="200"/>
        <w:rPr>
          <w:rFonts w:ascii="仿宋_GB2312" w:hAnsi="宋体" w:eastAsia="仿宋_GB2312" w:cs="仿宋"/>
          <w:sz w:val="32"/>
          <w:szCs w:val="32"/>
          <w:lang w:val="zh-CN"/>
        </w:rPr>
      </w:pPr>
      <w:r>
        <w:rPr>
          <w:rFonts w:hint="eastAsia" w:ascii="仿宋_GB2312" w:hAnsi="宋体" w:eastAsia="仿宋_GB2312" w:cs="仿宋"/>
          <w:sz w:val="32"/>
          <w:szCs w:val="32"/>
          <w:lang w:val="zh-CN"/>
        </w:rPr>
        <w:t>1</w:t>
      </w:r>
      <w:r>
        <w:rPr>
          <w:rFonts w:hint="eastAsia" w:ascii="仿宋_GB2312" w:hAnsi="宋体" w:eastAsia="仿宋_GB2312" w:cs="仿宋"/>
          <w:sz w:val="32"/>
          <w:szCs w:val="32"/>
        </w:rPr>
        <w:t>.</w:t>
      </w:r>
      <w:r>
        <w:rPr>
          <w:rFonts w:hint="eastAsia" w:ascii="仿宋_GB2312" w:hAnsi="宋体" w:eastAsia="仿宋_GB2312" w:cs="仿宋"/>
          <w:sz w:val="32"/>
          <w:szCs w:val="32"/>
          <w:lang w:val="zh-CN"/>
        </w:rPr>
        <w:t>项目主要内容：</w:t>
      </w:r>
      <w:r>
        <w:rPr>
          <w:rFonts w:hint="eastAsia" w:ascii="仿宋_GB2312" w:hAnsi="宋体" w:eastAsia="仿宋_GB2312" w:cs="仿宋"/>
          <w:color w:val="000000"/>
          <w:sz w:val="32"/>
          <w:szCs w:val="32"/>
          <w:shd w:val="clear" w:color="auto" w:fill="FFFFFF"/>
        </w:rPr>
        <w:t>1、数量指标：新增防火墙病毒库授权服务一年</w:t>
      </w:r>
      <w:r>
        <w:rPr>
          <w:rFonts w:hint="eastAsia" w:ascii="仿宋_GB2312" w:hAnsi="宋体" w:eastAsia="仿宋_GB2312" w:cs="仿宋"/>
          <w:color w:val="000000"/>
          <w:sz w:val="32"/>
          <w:szCs w:val="32"/>
        </w:rPr>
        <w:t>；正常运行率</w:t>
      </w:r>
      <w:r>
        <w:rPr>
          <w:rFonts w:hint="eastAsia" w:ascii="仿宋_GB2312" w:hAnsi="宋体" w:eastAsia="仿宋_GB2312" w:cs="仿宋"/>
          <w:color w:val="000000"/>
          <w:sz w:val="32"/>
          <w:szCs w:val="32"/>
          <w:shd w:val="clear" w:color="auto" w:fill="FFFFFF"/>
        </w:rPr>
        <w:t>≥95%。2、效益指标：确保网络设备、服务器安全有效；相关交易主体放心使用中心网站。定性：优。3.满意度指标：相关交易主体对公共资源电子化交易平台使用满意率≥90%。</w:t>
      </w:r>
    </w:p>
    <w:p>
      <w:pPr>
        <w:adjustRightInd w:val="0"/>
        <w:snapToGrid w:val="0"/>
        <w:spacing w:line="576" w:lineRule="exact"/>
        <w:ind w:left="105" w:firstLine="640" w:firstLineChars="200"/>
        <w:rPr>
          <w:rFonts w:ascii="仿宋_GB2312" w:hAnsi="宋体" w:eastAsia="仿宋_GB2312" w:cs="仿宋"/>
          <w:color w:val="000000"/>
          <w:sz w:val="32"/>
          <w:szCs w:val="32"/>
          <w:shd w:val="clear" w:color="auto" w:fill="FFFFFF"/>
        </w:rPr>
      </w:pPr>
      <w:r>
        <w:rPr>
          <w:rFonts w:hint="eastAsia" w:ascii="仿宋_GB2312" w:hAnsi="宋体" w:eastAsia="仿宋_GB2312" w:cs="仿宋"/>
          <w:sz w:val="32"/>
          <w:szCs w:val="32"/>
          <w:lang w:val="zh-CN"/>
        </w:rPr>
        <w:t>2．</w:t>
      </w:r>
      <w:r>
        <w:rPr>
          <w:rFonts w:hint="eastAsia" w:ascii="仿宋_GB2312" w:hAnsi="宋体" w:eastAsia="仿宋_GB2312" w:cs="仿宋"/>
          <w:sz w:val="32"/>
          <w:szCs w:val="32"/>
        </w:rPr>
        <w:t>202</w:t>
      </w:r>
      <w:r>
        <w:rPr>
          <w:rFonts w:hint="eastAsia" w:ascii="仿宋_GB2312" w:hAnsi="宋体" w:eastAsia="仿宋_GB2312" w:cs="仿宋"/>
          <w:sz w:val="32"/>
          <w:szCs w:val="32"/>
          <w:lang w:val="en-US" w:eastAsia="zh-CN"/>
        </w:rPr>
        <w:t>1</w:t>
      </w:r>
      <w:r>
        <w:rPr>
          <w:rFonts w:hint="eastAsia" w:ascii="仿宋_GB2312" w:hAnsi="宋体" w:eastAsia="仿宋_GB2312" w:cs="仿宋"/>
          <w:sz w:val="32"/>
          <w:szCs w:val="32"/>
        </w:rPr>
        <w:t>年设定项目绩效目标：</w:t>
      </w:r>
      <w:r>
        <w:rPr>
          <w:rFonts w:hint="eastAsia" w:ascii="仿宋_GB2312" w:hAnsi="宋体" w:eastAsia="仿宋_GB2312" w:cs="仿宋"/>
          <w:color w:val="000000"/>
          <w:sz w:val="32"/>
          <w:szCs w:val="32"/>
          <w:shd w:val="clear" w:color="auto" w:fill="FFFFFF"/>
        </w:rPr>
        <w:t xml:space="preserve"> 使全市公共资源电子化交易活动顺利开展，实现公共资源交易活动全流程电子化，搭建全国统一的公共资源交易电子平台，优化营商环境，推动社会经济发展</w:t>
      </w:r>
    </w:p>
    <w:p>
      <w:pPr>
        <w:adjustRightInd w:val="0"/>
        <w:snapToGrid w:val="0"/>
        <w:spacing w:line="576" w:lineRule="exact"/>
        <w:ind w:left="48" w:leftChars="23" w:firstLine="576" w:firstLineChars="180"/>
        <w:rPr>
          <w:rFonts w:ascii="楷体_GB2312" w:hAnsi="宋体" w:eastAsia="楷体_GB2312"/>
          <w:sz w:val="32"/>
          <w:szCs w:val="32"/>
          <w:lang w:val="zh-CN"/>
        </w:rPr>
      </w:pPr>
      <w:r>
        <w:rPr>
          <w:rFonts w:hint="eastAsia" w:ascii="楷体_GB2312" w:hAnsi="宋体" w:eastAsia="楷体_GB2312"/>
          <w:sz w:val="32"/>
          <w:szCs w:val="32"/>
          <w:lang w:val="zh-CN"/>
        </w:rPr>
        <w:t>（三）项目自评步骤及方法。</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由涉及相关业务科室先自评，再由中心领导班子组织审评。</w:t>
      </w:r>
    </w:p>
    <w:p>
      <w:pPr>
        <w:adjustRightInd w:val="0"/>
        <w:snapToGrid w:val="0"/>
        <w:spacing w:line="576" w:lineRule="exact"/>
        <w:ind w:left="48" w:leftChars="23" w:firstLine="736" w:firstLineChars="230"/>
        <w:rPr>
          <w:rFonts w:ascii="黑体" w:hAnsi="黑体" w:eastAsia="黑体"/>
          <w:sz w:val="32"/>
          <w:szCs w:val="32"/>
        </w:rPr>
      </w:pPr>
      <w:bookmarkStart w:id="116" w:name="_Toc21765857_WPSOffice_Level2"/>
      <w:r>
        <w:rPr>
          <w:rFonts w:hint="eastAsia" w:ascii="黑体" w:hAnsi="黑体" w:eastAsia="黑体"/>
          <w:sz w:val="32"/>
          <w:szCs w:val="32"/>
        </w:rPr>
        <w:t>二、项目资金申报及使用情况</w:t>
      </w:r>
      <w:bookmarkEnd w:id="116"/>
    </w:p>
    <w:p>
      <w:pPr>
        <w:adjustRightInd w:val="0"/>
        <w:snapToGrid w:val="0"/>
        <w:spacing w:line="576" w:lineRule="exact"/>
        <w:ind w:left="48" w:leftChars="23" w:firstLine="736" w:firstLineChars="230"/>
        <w:rPr>
          <w:rFonts w:ascii="楷体_GB2312" w:hAnsi="宋体" w:eastAsia="楷体_GB2312"/>
          <w:sz w:val="32"/>
          <w:szCs w:val="32"/>
          <w:lang w:val="zh-CN"/>
        </w:rPr>
      </w:pPr>
      <w:r>
        <w:rPr>
          <w:rFonts w:hint="eastAsia" w:ascii="楷体_GB2312" w:hAnsi="宋体" w:eastAsia="楷体_GB2312"/>
          <w:sz w:val="32"/>
          <w:szCs w:val="32"/>
          <w:lang w:val="zh-CN"/>
        </w:rPr>
        <w:t>（一）项目资金申报及批复情况。</w:t>
      </w:r>
    </w:p>
    <w:p>
      <w:pPr>
        <w:adjustRightInd w:val="0"/>
        <w:snapToGrid w:val="0"/>
        <w:spacing w:line="576" w:lineRule="exact"/>
        <w:ind w:left="105" w:firstLine="640" w:firstLineChars="200"/>
        <w:rPr>
          <w:rFonts w:ascii="仿宋_GB2312" w:hAnsi="宋体" w:eastAsia="仿宋_GB2312"/>
          <w:sz w:val="32"/>
          <w:szCs w:val="32"/>
        </w:rPr>
      </w:pPr>
      <w:r>
        <w:rPr>
          <w:rFonts w:hint="eastAsia" w:ascii="仿宋_GB2312" w:hAnsi="宋体" w:eastAsia="仿宋_GB2312" w:cs="仿宋"/>
          <w:color w:val="000000"/>
          <w:sz w:val="32"/>
          <w:szCs w:val="32"/>
        </w:rPr>
        <w:t>网络运行维护费</w:t>
      </w:r>
      <w:r>
        <w:rPr>
          <w:rFonts w:hint="eastAsia" w:ascii="仿宋_GB2312" w:hAnsi="宋体" w:eastAsia="仿宋_GB2312" w:cs="仿宋"/>
          <w:color w:val="000000"/>
          <w:sz w:val="32"/>
          <w:szCs w:val="32"/>
          <w:lang w:val="zh-CN"/>
        </w:rPr>
        <w:t>项目</w:t>
      </w:r>
      <w:r>
        <w:rPr>
          <w:rFonts w:hint="eastAsia" w:ascii="仿宋_GB2312" w:hAnsi="宋体" w:eastAsia="仿宋_GB2312" w:cs="仿宋_GB2312"/>
          <w:sz w:val="32"/>
          <w:szCs w:val="32"/>
          <w:lang w:val="zh-CN"/>
        </w:rPr>
        <w:t>预算申报</w:t>
      </w:r>
      <w:r>
        <w:rPr>
          <w:rFonts w:hint="eastAsia" w:ascii="仿宋_GB2312" w:hAnsi="宋体" w:eastAsia="仿宋_GB2312" w:cs="仿宋_GB2312"/>
          <w:color w:val="000000"/>
          <w:sz w:val="32"/>
          <w:szCs w:val="32"/>
        </w:rPr>
        <w:t>10万元</w:t>
      </w:r>
      <w:r>
        <w:rPr>
          <w:rFonts w:hint="eastAsia" w:ascii="仿宋_GB2312" w:hAnsi="宋体" w:eastAsia="仿宋_GB2312" w:cs="仿宋_GB2312"/>
          <w:sz w:val="32"/>
          <w:szCs w:val="32"/>
        </w:rPr>
        <w:t>，财政下达预算批复</w:t>
      </w:r>
      <w:r>
        <w:rPr>
          <w:rFonts w:hint="eastAsia" w:ascii="仿宋_GB2312" w:hAnsi="宋体" w:eastAsia="仿宋_GB2312" w:cs="仿宋_GB2312"/>
          <w:color w:val="000000"/>
          <w:sz w:val="32"/>
          <w:szCs w:val="32"/>
        </w:rPr>
        <w:t>10万元。</w:t>
      </w:r>
    </w:p>
    <w:p>
      <w:pPr>
        <w:adjustRightInd w:val="0"/>
        <w:snapToGrid w:val="0"/>
        <w:spacing w:line="576" w:lineRule="exact"/>
        <w:ind w:left="105" w:firstLine="640" w:firstLineChars="200"/>
        <w:rPr>
          <w:rFonts w:ascii="仿宋_GB2312" w:hAnsi="宋体" w:eastAsia="仿宋_GB2312"/>
          <w:sz w:val="32"/>
          <w:szCs w:val="32"/>
        </w:rPr>
      </w:pPr>
      <w:r>
        <w:rPr>
          <w:rFonts w:hint="eastAsia" w:ascii="楷体_GB2312" w:hAnsi="宋体" w:eastAsia="楷体_GB2312"/>
          <w:sz w:val="32"/>
          <w:szCs w:val="32"/>
          <w:lang w:val="zh-CN"/>
        </w:rPr>
        <w:t>（二）资金计划、到位及使用情况（可用表格形式反映）。</w:t>
      </w:r>
    </w:p>
    <w:p>
      <w:pPr>
        <w:pStyle w:val="6"/>
        <w:spacing w:beforeLines="0" w:line="576" w:lineRule="exact"/>
        <w:ind w:firstLine="640" w:firstLineChars="200"/>
        <w:rPr>
          <w:rFonts w:hAnsi="宋体"/>
          <w:kern w:val="2"/>
          <w:sz w:val="32"/>
          <w:szCs w:val="32"/>
          <w:lang w:val="zh-CN"/>
        </w:rPr>
      </w:pPr>
      <w:r>
        <w:rPr>
          <w:rFonts w:hint="eastAsia" w:hAnsi="宋体" w:cs="宋体"/>
          <w:color w:val="000000"/>
          <w:sz w:val="32"/>
          <w:szCs w:val="32"/>
          <w:shd w:val="clear" w:color="auto" w:fill="FFFFFF"/>
        </w:rPr>
        <w:t>本项目安排经费10万元，全部来自财政局。资金到位率100%。</w:t>
      </w:r>
    </w:p>
    <w:tbl>
      <w:tblPr>
        <w:tblStyle w:val="15"/>
        <w:tblW w:w="90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1"/>
        <w:gridCol w:w="2081"/>
        <w:gridCol w:w="2221"/>
        <w:gridCol w:w="3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581" w:type="dxa"/>
            <w:noWrap w:val="0"/>
            <w:vAlign w:val="center"/>
          </w:tcPr>
          <w:p>
            <w:pPr>
              <w:pStyle w:val="6"/>
              <w:pBdr>
                <w:top w:val="none" w:color="auto" w:sz="0" w:space="1"/>
                <w:left w:val="none" w:color="auto" w:sz="0" w:space="4"/>
                <w:bottom w:val="none" w:color="auto" w:sz="0" w:space="1"/>
                <w:right w:val="none" w:color="auto" w:sz="0" w:space="4"/>
              </w:pBdr>
              <w:tabs>
                <w:tab w:val="center" w:pos="4153"/>
                <w:tab w:val="right" w:pos="8306"/>
              </w:tabs>
              <w:snapToGrid w:val="0"/>
              <w:spacing w:beforeLines="0" w:line="400" w:lineRule="exact"/>
              <w:jc w:val="center"/>
              <w:rPr>
                <w:rFonts w:hAnsi="宋体"/>
                <w:kern w:val="2"/>
                <w:szCs w:val="24"/>
                <w:lang w:val="zh-CN"/>
              </w:rPr>
            </w:pPr>
          </w:p>
        </w:tc>
        <w:tc>
          <w:tcPr>
            <w:tcW w:w="2081" w:type="dxa"/>
            <w:noWrap w:val="0"/>
            <w:vAlign w:val="center"/>
          </w:tcPr>
          <w:p>
            <w:pPr>
              <w:pStyle w:val="6"/>
              <w:pBdr>
                <w:top w:val="none" w:color="auto" w:sz="0" w:space="1"/>
                <w:left w:val="none" w:color="auto" w:sz="0" w:space="4"/>
                <w:bottom w:val="none" w:color="auto" w:sz="0" w:space="1"/>
                <w:right w:val="none" w:color="auto" w:sz="0" w:space="4"/>
              </w:pBdr>
              <w:tabs>
                <w:tab w:val="center" w:pos="4153"/>
                <w:tab w:val="right" w:pos="8306"/>
              </w:tabs>
              <w:snapToGrid w:val="0"/>
              <w:spacing w:beforeLines="0" w:line="400" w:lineRule="exact"/>
              <w:jc w:val="center"/>
              <w:rPr>
                <w:rFonts w:hint="eastAsia" w:ascii="黑体" w:hAnsi="黑体" w:eastAsia="黑体" w:cs="黑体"/>
                <w:kern w:val="2"/>
                <w:szCs w:val="24"/>
              </w:rPr>
            </w:pPr>
            <w:r>
              <w:rPr>
                <w:rFonts w:hint="eastAsia" w:ascii="黑体" w:hAnsi="黑体" w:eastAsia="黑体" w:cs="黑体"/>
                <w:kern w:val="2"/>
                <w:szCs w:val="24"/>
              </w:rPr>
              <w:t>财政拨款</w:t>
            </w:r>
          </w:p>
        </w:tc>
        <w:tc>
          <w:tcPr>
            <w:tcW w:w="2221" w:type="dxa"/>
            <w:noWrap w:val="0"/>
            <w:vAlign w:val="center"/>
          </w:tcPr>
          <w:p>
            <w:pPr>
              <w:pStyle w:val="6"/>
              <w:pBdr>
                <w:top w:val="none" w:color="auto" w:sz="0" w:space="1"/>
                <w:left w:val="none" w:color="auto" w:sz="0" w:space="4"/>
                <w:bottom w:val="none" w:color="auto" w:sz="0" w:space="1"/>
                <w:right w:val="none" w:color="auto" w:sz="0" w:space="4"/>
              </w:pBdr>
              <w:tabs>
                <w:tab w:val="center" w:pos="4153"/>
                <w:tab w:val="right" w:pos="8306"/>
              </w:tabs>
              <w:snapToGrid w:val="0"/>
              <w:spacing w:beforeLines="0" w:line="400" w:lineRule="exact"/>
              <w:jc w:val="center"/>
              <w:rPr>
                <w:rFonts w:hint="eastAsia" w:ascii="黑体" w:hAnsi="黑体" w:eastAsia="黑体" w:cs="黑体"/>
                <w:kern w:val="2"/>
                <w:szCs w:val="24"/>
                <w:lang w:val="zh-CN"/>
              </w:rPr>
            </w:pPr>
            <w:r>
              <w:rPr>
                <w:rFonts w:hint="eastAsia" w:ascii="黑体" w:hAnsi="黑体" w:eastAsia="黑体" w:cs="黑体"/>
                <w:kern w:val="2"/>
                <w:szCs w:val="24"/>
                <w:lang w:val="zh-CN"/>
              </w:rPr>
              <w:t>来源渠道</w:t>
            </w:r>
          </w:p>
        </w:tc>
        <w:tc>
          <w:tcPr>
            <w:tcW w:w="3195" w:type="dxa"/>
            <w:noWrap w:val="0"/>
            <w:vAlign w:val="center"/>
          </w:tcPr>
          <w:p>
            <w:pPr>
              <w:pStyle w:val="6"/>
              <w:pBdr>
                <w:top w:val="none" w:color="auto" w:sz="0" w:space="1"/>
                <w:left w:val="none" w:color="auto" w:sz="0" w:space="4"/>
                <w:bottom w:val="none" w:color="auto" w:sz="0" w:space="1"/>
                <w:right w:val="none" w:color="auto" w:sz="0" w:space="4"/>
              </w:pBdr>
              <w:tabs>
                <w:tab w:val="center" w:pos="4153"/>
                <w:tab w:val="right" w:pos="8306"/>
              </w:tabs>
              <w:snapToGrid w:val="0"/>
              <w:spacing w:beforeLines="0" w:line="400" w:lineRule="exact"/>
              <w:jc w:val="center"/>
              <w:rPr>
                <w:rFonts w:hint="eastAsia" w:ascii="黑体" w:hAnsi="黑体" w:eastAsia="黑体" w:cs="黑体"/>
                <w:kern w:val="2"/>
                <w:szCs w:val="24"/>
                <w:lang w:val="zh-CN"/>
              </w:rPr>
            </w:pPr>
            <w:r>
              <w:rPr>
                <w:rFonts w:hint="eastAsia" w:ascii="黑体" w:hAnsi="黑体" w:eastAsia="黑体" w:cs="黑体"/>
                <w:kern w:val="2"/>
                <w:szCs w:val="24"/>
                <w:lang w:val="zh-CN"/>
              </w:rPr>
              <w:t>分析说明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5" w:hRule="exact"/>
        </w:trPr>
        <w:tc>
          <w:tcPr>
            <w:tcW w:w="1581" w:type="dxa"/>
            <w:noWrap w:val="0"/>
            <w:vAlign w:val="center"/>
          </w:tcPr>
          <w:p>
            <w:pPr>
              <w:pStyle w:val="6"/>
              <w:pBdr>
                <w:top w:val="none" w:color="auto" w:sz="0" w:space="1"/>
                <w:left w:val="none" w:color="auto" w:sz="0" w:space="4"/>
                <w:bottom w:val="none" w:color="auto" w:sz="0" w:space="1"/>
                <w:right w:val="none" w:color="auto" w:sz="0" w:space="4"/>
              </w:pBdr>
              <w:tabs>
                <w:tab w:val="center" w:pos="4153"/>
                <w:tab w:val="right" w:pos="8306"/>
              </w:tabs>
              <w:snapToGrid w:val="0"/>
              <w:spacing w:beforeLines="0" w:line="400" w:lineRule="exact"/>
              <w:jc w:val="center"/>
              <w:rPr>
                <w:rFonts w:hAnsi="宋体"/>
                <w:kern w:val="2"/>
                <w:sz w:val="24"/>
                <w:szCs w:val="24"/>
                <w:lang w:val="zh-CN"/>
              </w:rPr>
            </w:pPr>
            <w:r>
              <w:rPr>
                <w:rFonts w:hint="eastAsia" w:hAnsi="宋体"/>
                <w:kern w:val="2"/>
                <w:sz w:val="24"/>
                <w:szCs w:val="24"/>
                <w:lang w:val="zh-CN"/>
              </w:rPr>
              <w:t>资金计划</w:t>
            </w:r>
          </w:p>
        </w:tc>
        <w:tc>
          <w:tcPr>
            <w:tcW w:w="2081" w:type="dxa"/>
            <w:noWrap w:val="0"/>
            <w:vAlign w:val="center"/>
          </w:tcPr>
          <w:p>
            <w:pPr>
              <w:pStyle w:val="6"/>
              <w:pBdr>
                <w:top w:val="none" w:color="auto" w:sz="0" w:space="1"/>
                <w:left w:val="none" w:color="auto" w:sz="0" w:space="4"/>
                <w:bottom w:val="none" w:color="auto" w:sz="0" w:space="1"/>
                <w:right w:val="none" w:color="auto" w:sz="0" w:space="4"/>
              </w:pBdr>
              <w:tabs>
                <w:tab w:val="center" w:pos="4153"/>
                <w:tab w:val="right" w:pos="8306"/>
              </w:tabs>
              <w:snapToGrid w:val="0"/>
              <w:spacing w:beforeLines="0" w:line="400" w:lineRule="exact"/>
              <w:jc w:val="center"/>
              <w:rPr>
                <w:rFonts w:hAnsi="宋体"/>
                <w:kern w:val="2"/>
                <w:sz w:val="24"/>
                <w:szCs w:val="24"/>
                <w:lang w:val="zh-CN"/>
              </w:rPr>
            </w:pPr>
            <w:r>
              <w:rPr>
                <w:rFonts w:hint="eastAsia" w:hAnsi="宋体"/>
                <w:kern w:val="2"/>
                <w:sz w:val="24"/>
                <w:szCs w:val="24"/>
              </w:rPr>
              <w:t>10万元</w:t>
            </w:r>
          </w:p>
        </w:tc>
        <w:tc>
          <w:tcPr>
            <w:tcW w:w="2221" w:type="dxa"/>
            <w:noWrap w:val="0"/>
            <w:vAlign w:val="center"/>
          </w:tcPr>
          <w:p>
            <w:pPr>
              <w:pStyle w:val="6"/>
              <w:pBdr>
                <w:top w:val="none" w:color="auto" w:sz="0" w:space="1"/>
                <w:left w:val="none" w:color="auto" w:sz="0" w:space="4"/>
                <w:bottom w:val="none" w:color="auto" w:sz="0" w:space="1"/>
                <w:right w:val="none" w:color="auto" w:sz="0" w:space="4"/>
              </w:pBdr>
              <w:tabs>
                <w:tab w:val="center" w:pos="4153"/>
                <w:tab w:val="right" w:pos="8306"/>
              </w:tabs>
              <w:snapToGrid w:val="0"/>
              <w:spacing w:beforeLines="0" w:line="400" w:lineRule="exact"/>
              <w:jc w:val="center"/>
              <w:rPr>
                <w:rFonts w:hAnsi="宋体"/>
                <w:kern w:val="2"/>
                <w:sz w:val="24"/>
                <w:szCs w:val="24"/>
                <w:lang w:val="zh-CN"/>
              </w:rPr>
            </w:pPr>
            <w:r>
              <w:rPr>
                <w:rFonts w:hint="eastAsia" w:hAnsi="宋体"/>
                <w:kern w:val="2"/>
                <w:sz w:val="24"/>
                <w:szCs w:val="24"/>
                <w:lang w:val="zh-CN"/>
              </w:rPr>
              <w:t>财政拨款</w:t>
            </w:r>
          </w:p>
        </w:tc>
        <w:tc>
          <w:tcPr>
            <w:tcW w:w="3195" w:type="dxa"/>
            <w:noWrap w:val="0"/>
            <w:vAlign w:val="center"/>
          </w:tcPr>
          <w:p>
            <w:pPr>
              <w:pStyle w:val="6"/>
              <w:pBdr>
                <w:top w:val="none" w:color="auto" w:sz="0" w:space="1"/>
                <w:left w:val="none" w:color="auto" w:sz="0" w:space="4"/>
                <w:bottom w:val="none" w:color="auto" w:sz="0" w:space="1"/>
                <w:right w:val="none" w:color="auto" w:sz="0" w:space="4"/>
              </w:pBdr>
              <w:tabs>
                <w:tab w:val="center" w:pos="4153"/>
                <w:tab w:val="right" w:pos="8306"/>
              </w:tabs>
              <w:snapToGrid w:val="0"/>
              <w:spacing w:beforeLines="0" w:line="400" w:lineRule="exact"/>
              <w:jc w:val="both"/>
              <w:rPr>
                <w:rFonts w:hint="eastAsia" w:hAnsi="宋体" w:eastAsia="仿宋_GB2312"/>
                <w:kern w:val="2"/>
                <w:sz w:val="24"/>
                <w:szCs w:val="24"/>
                <w:lang w:eastAsia="zh-CN"/>
              </w:rPr>
            </w:pPr>
            <w:r>
              <w:rPr>
                <w:rFonts w:hint="eastAsia" w:hAnsi="宋体"/>
                <w:kern w:val="2"/>
                <w:sz w:val="24"/>
                <w:szCs w:val="24"/>
              </w:rPr>
              <w:t>根据上年度支出情况申报资金计划</w:t>
            </w:r>
            <w:r>
              <w:rPr>
                <w:rFonts w:hint="eastAsia" w:hAnsi="宋体"/>
                <w:kern w:val="2"/>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exact"/>
        </w:trPr>
        <w:tc>
          <w:tcPr>
            <w:tcW w:w="1581" w:type="dxa"/>
            <w:noWrap w:val="0"/>
            <w:vAlign w:val="center"/>
          </w:tcPr>
          <w:p>
            <w:pPr>
              <w:pStyle w:val="6"/>
              <w:pBdr>
                <w:top w:val="none" w:color="auto" w:sz="0" w:space="1"/>
                <w:left w:val="none" w:color="auto" w:sz="0" w:space="4"/>
                <w:bottom w:val="none" w:color="auto" w:sz="0" w:space="1"/>
                <w:right w:val="none" w:color="auto" w:sz="0" w:space="4"/>
              </w:pBdr>
              <w:tabs>
                <w:tab w:val="center" w:pos="4153"/>
                <w:tab w:val="right" w:pos="8306"/>
              </w:tabs>
              <w:snapToGrid w:val="0"/>
              <w:spacing w:beforeLines="0" w:line="400" w:lineRule="exact"/>
              <w:jc w:val="center"/>
              <w:rPr>
                <w:rFonts w:hAnsi="宋体"/>
                <w:kern w:val="2"/>
                <w:sz w:val="24"/>
                <w:szCs w:val="24"/>
              </w:rPr>
            </w:pPr>
            <w:r>
              <w:rPr>
                <w:rFonts w:hint="eastAsia" w:hAnsi="宋体"/>
                <w:kern w:val="2"/>
                <w:sz w:val="24"/>
                <w:szCs w:val="24"/>
                <w:lang w:val="zh-CN"/>
              </w:rPr>
              <w:t>资金到位</w:t>
            </w:r>
          </w:p>
        </w:tc>
        <w:tc>
          <w:tcPr>
            <w:tcW w:w="2081" w:type="dxa"/>
            <w:noWrap w:val="0"/>
            <w:vAlign w:val="center"/>
          </w:tcPr>
          <w:p>
            <w:pPr>
              <w:pStyle w:val="6"/>
              <w:pBdr>
                <w:top w:val="none" w:color="auto" w:sz="0" w:space="1"/>
                <w:left w:val="none" w:color="auto" w:sz="0" w:space="4"/>
                <w:bottom w:val="none" w:color="auto" w:sz="0" w:space="1"/>
                <w:right w:val="none" w:color="auto" w:sz="0" w:space="4"/>
              </w:pBdr>
              <w:tabs>
                <w:tab w:val="center" w:pos="4153"/>
                <w:tab w:val="right" w:pos="8306"/>
              </w:tabs>
              <w:snapToGrid w:val="0"/>
              <w:spacing w:beforeLines="0" w:line="400" w:lineRule="exact"/>
              <w:jc w:val="center"/>
              <w:rPr>
                <w:rFonts w:hAnsi="宋体"/>
                <w:kern w:val="2"/>
                <w:sz w:val="24"/>
                <w:szCs w:val="24"/>
              </w:rPr>
            </w:pPr>
            <w:r>
              <w:rPr>
                <w:rFonts w:hint="eastAsia" w:hAnsi="宋体"/>
                <w:kern w:val="2"/>
                <w:sz w:val="24"/>
                <w:szCs w:val="24"/>
              </w:rPr>
              <w:t>10万元</w:t>
            </w:r>
          </w:p>
        </w:tc>
        <w:tc>
          <w:tcPr>
            <w:tcW w:w="2221" w:type="dxa"/>
            <w:noWrap w:val="0"/>
            <w:vAlign w:val="center"/>
          </w:tcPr>
          <w:p>
            <w:pPr>
              <w:pStyle w:val="6"/>
              <w:pBdr>
                <w:top w:val="none" w:color="auto" w:sz="0" w:space="1"/>
                <w:left w:val="none" w:color="auto" w:sz="0" w:space="4"/>
                <w:bottom w:val="none" w:color="auto" w:sz="0" w:space="1"/>
                <w:right w:val="none" w:color="auto" w:sz="0" w:space="4"/>
              </w:pBdr>
              <w:tabs>
                <w:tab w:val="center" w:pos="4153"/>
                <w:tab w:val="right" w:pos="8306"/>
              </w:tabs>
              <w:snapToGrid w:val="0"/>
              <w:spacing w:beforeLines="0" w:line="400" w:lineRule="exact"/>
              <w:jc w:val="center"/>
              <w:rPr>
                <w:rFonts w:hAnsi="宋体"/>
                <w:kern w:val="2"/>
                <w:sz w:val="24"/>
                <w:szCs w:val="24"/>
              </w:rPr>
            </w:pPr>
            <w:r>
              <w:rPr>
                <w:rFonts w:hint="eastAsia" w:hAnsi="宋体"/>
                <w:kern w:val="2"/>
                <w:sz w:val="24"/>
                <w:szCs w:val="24"/>
                <w:lang w:val="zh-CN"/>
              </w:rPr>
              <w:t>财政拨款</w:t>
            </w:r>
          </w:p>
        </w:tc>
        <w:tc>
          <w:tcPr>
            <w:tcW w:w="3195" w:type="dxa"/>
            <w:noWrap w:val="0"/>
            <w:vAlign w:val="center"/>
          </w:tcPr>
          <w:p>
            <w:pPr>
              <w:pStyle w:val="6"/>
              <w:pBdr>
                <w:top w:val="none" w:color="auto" w:sz="0" w:space="1"/>
                <w:left w:val="none" w:color="auto" w:sz="0" w:space="4"/>
                <w:bottom w:val="none" w:color="auto" w:sz="0" w:space="1"/>
                <w:right w:val="none" w:color="auto" w:sz="0" w:space="4"/>
              </w:pBdr>
              <w:tabs>
                <w:tab w:val="center" w:pos="4153"/>
                <w:tab w:val="right" w:pos="8306"/>
              </w:tabs>
              <w:snapToGrid w:val="0"/>
              <w:spacing w:beforeLines="0" w:line="400" w:lineRule="exact"/>
              <w:jc w:val="both"/>
              <w:rPr>
                <w:rFonts w:hint="eastAsia" w:hAnsi="宋体" w:eastAsia="仿宋_GB2312"/>
                <w:kern w:val="2"/>
                <w:sz w:val="24"/>
                <w:szCs w:val="24"/>
                <w:lang w:val="zh-CN" w:eastAsia="zh-CN"/>
              </w:rPr>
            </w:pPr>
            <w:r>
              <w:rPr>
                <w:rFonts w:hint="eastAsia" w:hAnsi="宋体"/>
                <w:kern w:val="2"/>
                <w:sz w:val="24"/>
                <w:szCs w:val="24"/>
              </w:rPr>
              <w:t>根据上年度支出情况拨付资金计划</w:t>
            </w:r>
            <w:r>
              <w:rPr>
                <w:rFonts w:hint="eastAsia" w:hAnsi="宋体"/>
                <w:kern w:val="2"/>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exact"/>
        </w:trPr>
        <w:tc>
          <w:tcPr>
            <w:tcW w:w="1581" w:type="dxa"/>
            <w:noWrap w:val="0"/>
            <w:vAlign w:val="center"/>
          </w:tcPr>
          <w:p>
            <w:pPr>
              <w:pStyle w:val="6"/>
              <w:pBdr>
                <w:top w:val="none" w:color="auto" w:sz="0" w:space="1"/>
                <w:left w:val="none" w:color="auto" w:sz="0" w:space="4"/>
                <w:bottom w:val="none" w:color="auto" w:sz="0" w:space="1"/>
                <w:right w:val="none" w:color="auto" w:sz="0" w:space="4"/>
              </w:pBdr>
              <w:tabs>
                <w:tab w:val="center" w:pos="4153"/>
                <w:tab w:val="right" w:pos="8306"/>
              </w:tabs>
              <w:snapToGrid w:val="0"/>
              <w:spacing w:beforeLines="0" w:line="400" w:lineRule="exact"/>
              <w:jc w:val="center"/>
              <w:rPr>
                <w:rFonts w:hAnsi="宋体"/>
                <w:kern w:val="2"/>
                <w:sz w:val="24"/>
                <w:szCs w:val="24"/>
              </w:rPr>
            </w:pPr>
            <w:r>
              <w:rPr>
                <w:rFonts w:hint="eastAsia" w:hAnsi="宋体"/>
                <w:kern w:val="2"/>
                <w:sz w:val="24"/>
                <w:szCs w:val="24"/>
                <w:lang w:val="zh-CN"/>
              </w:rPr>
              <w:t>资金使用</w:t>
            </w:r>
          </w:p>
        </w:tc>
        <w:tc>
          <w:tcPr>
            <w:tcW w:w="2081" w:type="dxa"/>
            <w:noWrap w:val="0"/>
            <w:vAlign w:val="center"/>
          </w:tcPr>
          <w:p>
            <w:pPr>
              <w:pStyle w:val="6"/>
              <w:pBdr>
                <w:top w:val="none" w:color="auto" w:sz="0" w:space="1"/>
                <w:left w:val="none" w:color="auto" w:sz="0" w:space="4"/>
                <w:bottom w:val="none" w:color="auto" w:sz="0" w:space="1"/>
                <w:right w:val="none" w:color="auto" w:sz="0" w:space="4"/>
              </w:pBdr>
              <w:tabs>
                <w:tab w:val="center" w:pos="4153"/>
                <w:tab w:val="right" w:pos="8306"/>
              </w:tabs>
              <w:snapToGrid w:val="0"/>
              <w:spacing w:beforeLines="0" w:line="400" w:lineRule="exact"/>
              <w:jc w:val="center"/>
              <w:rPr>
                <w:rFonts w:hAnsi="宋体"/>
                <w:kern w:val="2"/>
                <w:sz w:val="24"/>
                <w:szCs w:val="24"/>
              </w:rPr>
            </w:pPr>
            <w:r>
              <w:rPr>
                <w:rFonts w:hint="eastAsia" w:hAnsi="宋体"/>
                <w:kern w:val="2"/>
                <w:sz w:val="24"/>
                <w:szCs w:val="24"/>
              </w:rPr>
              <w:t>10万元</w:t>
            </w:r>
          </w:p>
        </w:tc>
        <w:tc>
          <w:tcPr>
            <w:tcW w:w="2221" w:type="dxa"/>
            <w:noWrap w:val="0"/>
            <w:vAlign w:val="center"/>
          </w:tcPr>
          <w:p>
            <w:pPr>
              <w:pStyle w:val="6"/>
              <w:pBdr>
                <w:top w:val="none" w:color="auto" w:sz="0" w:space="1"/>
                <w:left w:val="none" w:color="auto" w:sz="0" w:space="4"/>
                <w:bottom w:val="none" w:color="auto" w:sz="0" w:space="1"/>
                <w:right w:val="none" w:color="auto" w:sz="0" w:space="4"/>
              </w:pBdr>
              <w:tabs>
                <w:tab w:val="center" w:pos="4153"/>
                <w:tab w:val="right" w:pos="8306"/>
              </w:tabs>
              <w:snapToGrid w:val="0"/>
              <w:spacing w:beforeLines="0" w:line="400" w:lineRule="exact"/>
              <w:jc w:val="center"/>
              <w:rPr>
                <w:rFonts w:hAnsi="宋体"/>
                <w:kern w:val="2"/>
                <w:sz w:val="24"/>
                <w:szCs w:val="24"/>
              </w:rPr>
            </w:pPr>
            <w:r>
              <w:rPr>
                <w:rFonts w:hint="eastAsia" w:hAnsi="宋体"/>
                <w:kern w:val="2"/>
                <w:sz w:val="24"/>
                <w:szCs w:val="24"/>
                <w:lang w:val="zh-CN"/>
              </w:rPr>
              <w:t>财政拨款</w:t>
            </w:r>
          </w:p>
        </w:tc>
        <w:tc>
          <w:tcPr>
            <w:tcW w:w="3195" w:type="dxa"/>
            <w:noWrap w:val="0"/>
            <w:vAlign w:val="top"/>
          </w:tcPr>
          <w:p>
            <w:pPr>
              <w:pStyle w:val="6"/>
              <w:pBdr>
                <w:top w:val="none" w:color="auto" w:sz="0" w:space="1"/>
                <w:left w:val="none" w:color="auto" w:sz="0" w:space="4"/>
                <w:bottom w:val="none" w:color="auto" w:sz="0" w:space="1"/>
                <w:right w:val="none" w:color="auto" w:sz="0" w:space="4"/>
              </w:pBdr>
              <w:tabs>
                <w:tab w:val="center" w:pos="4153"/>
                <w:tab w:val="right" w:pos="8306"/>
              </w:tabs>
              <w:snapToGrid w:val="0"/>
              <w:spacing w:beforeLines="0" w:line="400" w:lineRule="exact"/>
              <w:jc w:val="both"/>
              <w:rPr>
                <w:rFonts w:hAnsi="宋体"/>
                <w:kern w:val="2"/>
                <w:sz w:val="24"/>
                <w:szCs w:val="24"/>
                <w:lang w:val="zh-CN"/>
              </w:rPr>
            </w:pPr>
            <w:r>
              <w:rPr>
                <w:rFonts w:hint="eastAsia" w:hAnsi="宋体"/>
                <w:kern w:val="2"/>
                <w:sz w:val="24"/>
                <w:szCs w:val="24"/>
                <w:lang w:val="zh-CN"/>
              </w:rPr>
              <w:t>支付范围、支付标准、支付进度、支付依据等合规合法，与预算相符。</w:t>
            </w:r>
          </w:p>
        </w:tc>
      </w:tr>
    </w:tbl>
    <w:p>
      <w:pPr>
        <w:adjustRightInd w:val="0"/>
        <w:snapToGrid w:val="0"/>
        <w:spacing w:line="576" w:lineRule="exact"/>
        <w:ind w:left="105" w:firstLine="480" w:firstLineChars="150"/>
        <w:rPr>
          <w:rFonts w:ascii="楷体_GB2312" w:hAnsi="宋体" w:eastAsia="楷体_GB2312"/>
          <w:sz w:val="32"/>
          <w:szCs w:val="32"/>
          <w:lang w:val="zh-CN"/>
        </w:rPr>
      </w:pPr>
      <w:r>
        <w:rPr>
          <w:rFonts w:hint="eastAsia" w:ascii="楷体_GB2312" w:hAnsi="宋体" w:eastAsia="楷体_GB2312"/>
          <w:sz w:val="32"/>
          <w:szCs w:val="32"/>
          <w:lang w:val="zh-CN"/>
        </w:rPr>
        <w:t>（三）项目财务管理情况。</w:t>
      </w:r>
    </w:p>
    <w:p>
      <w:pPr>
        <w:adjustRightInd w:val="0"/>
        <w:snapToGrid w:val="0"/>
        <w:spacing w:line="576" w:lineRule="exact"/>
        <w:ind w:firstLine="640" w:firstLineChars="200"/>
        <w:jc w:val="left"/>
        <w:rPr>
          <w:rFonts w:ascii="仿宋_GB2312" w:hAnsi="宋体" w:eastAsia="仿宋_GB2312" w:cs="仿宋"/>
          <w:sz w:val="32"/>
          <w:szCs w:val="32"/>
          <w:lang w:val="zh-CN"/>
        </w:rPr>
      </w:pPr>
      <w:r>
        <w:rPr>
          <w:rFonts w:hint="eastAsia" w:ascii="仿宋_GB2312" w:hAnsi="宋体" w:eastAsia="仿宋_GB2312" w:cs="仿宋"/>
          <w:kern w:val="0"/>
          <w:sz w:val="32"/>
          <w:szCs w:val="32"/>
        </w:rPr>
        <w:t>项目资金支付严格</w:t>
      </w:r>
      <w:r>
        <w:rPr>
          <w:rFonts w:hint="eastAsia" w:ascii="仿宋_GB2312" w:hAnsi="宋体" w:eastAsia="仿宋_GB2312" w:cs="仿宋"/>
          <w:sz w:val="32"/>
          <w:szCs w:val="32"/>
          <w:lang w:val="zh-CN"/>
        </w:rPr>
        <w:t>执行单位财务制度规定的报销流程，</w:t>
      </w:r>
      <w:r>
        <w:rPr>
          <w:rFonts w:hint="eastAsia" w:ascii="仿宋_GB2312" w:hAnsi="宋体" w:eastAsia="仿宋_GB2312" w:cs="仿宋"/>
          <w:kern w:val="0"/>
          <w:sz w:val="32"/>
          <w:szCs w:val="32"/>
        </w:rPr>
        <w:t>应附与经济业务事项相关的合法合规的原始凭证和附件，需经办人签字，科室负责人、业务分管领导及财务分管领导审批后才能进行支付。</w:t>
      </w:r>
      <w:r>
        <w:rPr>
          <w:rFonts w:hint="eastAsia" w:ascii="仿宋_GB2312" w:hAnsi="宋体" w:eastAsia="仿宋_GB2312" w:cs="仿宋"/>
          <w:sz w:val="32"/>
          <w:szCs w:val="32"/>
          <w:lang w:val="zh-CN"/>
        </w:rPr>
        <w:t>账务处理及时，会计核算规范有序。</w:t>
      </w:r>
    </w:p>
    <w:p>
      <w:pPr>
        <w:adjustRightInd w:val="0"/>
        <w:snapToGrid w:val="0"/>
        <w:spacing w:line="576" w:lineRule="exact"/>
        <w:ind w:left="105" w:firstLine="640" w:firstLineChars="200"/>
        <w:rPr>
          <w:rFonts w:ascii="黑体" w:hAnsi="黑体" w:eastAsia="黑体"/>
          <w:sz w:val="32"/>
          <w:szCs w:val="32"/>
          <w:lang w:val="zh-CN"/>
        </w:rPr>
      </w:pPr>
      <w:bookmarkStart w:id="117" w:name="_Toc606854071_WPSOffice_Level2"/>
      <w:r>
        <w:rPr>
          <w:rFonts w:hint="eastAsia" w:ascii="黑体" w:hAnsi="黑体" w:eastAsia="黑体"/>
          <w:sz w:val="32"/>
          <w:szCs w:val="32"/>
        </w:rPr>
        <w:t>三、项目实施及管理情况</w:t>
      </w:r>
      <w:bookmarkEnd w:id="117"/>
    </w:p>
    <w:p>
      <w:pPr>
        <w:pStyle w:val="13"/>
        <w:widowControl/>
        <w:shd w:val="clear" w:color="auto" w:fill="FFFFFF"/>
        <w:spacing w:before="0" w:beforeAutospacing="0" w:after="0" w:afterAutospacing="0" w:line="576" w:lineRule="exact"/>
        <w:ind w:firstLine="600"/>
        <w:textAlignment w:val="baseline"/>
        <w:rPr>
          <w:rFonts w:ascii="仿宋_GB2312" w:hAnsi="宋体" w:eastAsia="仿宋_GB2312" w:cs="仿宋"/>
          <w:color w:val="000000"/>
          <w:sz w:val="32"/>
          <w:szCs w:val="32"/>
        </w:rPr>
      </w:pPr>
      <w:r>
        <w:rPr>
          <w:rFonts w:hint="eastAsia" w:ascii="楷体_GB2312" w:hAnsi="宋体" w:eastAsia="楷体_GB2312"/>
          <w:kern w:val="2"/>
          <w:sz w:val="32"/>
          <w:szCs w:val="32"/>
          <w:lang w:val="zh-CN"/>
        </w:rPr>
        <w:t>（一）项目组织架构及实施流程。</w:t>
      </w:r>
      <w:r>
        <w:rPr>
          <w:rFonts w:hint="eastAsia" w:ascii="仿宋_GB2312" w:hAnsi="宋体" w:eastAsia="仿宋_GB2312" w:cs="仿宋"/>
          <w:color w:val="000000"/>
          <w:sz w:val="32"/>
          <w:szCs w:val="32"/>
          <w:shd w:val="clear" w:color="auto" w:fill="FFFFFF"/>
        </w:rPr>
        <w:t>我中心根据广元市财政局的工作指示精神，我中心有计划有步骤地开展了</w:t>
      </w:r>
      <w:r>
        <w:rPr>
          <w:rFonts w:hint="eastAsia" w:ascii="仿宋_GB2312" w:hAnsi="宋体" w:eastAsia="仿宋_GB2312" w:cs="仿宋"/>
          <w:color w:val="000000"/>
          <w:sz w:val="32"/>
          <w:szCs w:val="32"/>
          <w:lang w:val="zh-CN"/>
        </w:rPr>
        <w:t>网络及信息系统运维费</w:t>
      </w:r>
      <w:r>
        <w:rPr>
          <w:rFonts w:hint="eastAsia" w:ascii="仿宋_GB2312" w:hAnsi="宋体" w:eastAsia="仿宋_GB2312" w:cs="仿宋"/>
          <w:color w:val="000000"/>
          <w:sz w:val="32"/>
          <w:szCs w:val="32"/>
          <w:shd w:val="clear" w:color="auto" w:fill="FFFFFF"/>
        </w:rPr>
        <w:t>项目工作。该项目资金具体用途如下：</w:t>
      </w:r>
    </w:p>
    <w:p>
      <w:pPr>
        <w:pStyle w:val="13"/>
        <w:widowControl/>
        <w:shd w:val="clear" w:color="auto" w:fill="FFFFFF"/>
        <w:spacing w:before="0" w:beforeAutospacing="0" w:after="0" w:afterAutospacing="0" w:line="576" w:lineRule="exact"/>
        <w:ind w:firstLine="600"/>
        <w:textAlignment w:val="baseline"/>
        <w:rPr>
          <w:rFonts w:ascii="仿宋_GB2312" w:hAnsi="宋体" w:eastAsia="仿宋_GB2312" w:cs="仿宋"/>
          <w:color w:val="000000"/>
          <w:sz w:val="32"/>
          <w:szCs w:val="32"/>
          <w:shd w:val="clear" w:color="auto" w:fill="FFFFFF"/>
        </w:rPr>
      </w:pPr>
      <w:r>
        <w:rPr>
          <w:rFonts w:hint="eastAsia" w:ascii="仿宋_GB2312" w:hAnsi="宋体" w:eastAsia="仿宋_GB2312" w:cs="仿宋"/>
          <w:color w:val="000000"/>
          <w:sz w:val="32"/>
          <w:szCs w:val="32"/>
        </w:rPr>
        <w:t>主要用于座机使用年费、金财网、光纤互联网及政务外网年费，电信托管设备托管费、其他网络运维费支出预算资金</w:t>
      </w:r>
      <w:r>
        <w:rPr>
          <w:rFonts w:hint="eastAsia" w:ascii="仿宋_GB2312" w:hAnsi="宋体" w:eastAsia="仿宋_GB2312" w:cs="仿宋"/>
          <w:color w:val="000000"/>
          <w:sz w:val="32"/>
          <w:szCs w:val="32"/>
          <w:shd w:val="clear" w:color="auto" w:fill="FFFFFF"/>
        </w:rPr>
        <w:t>10万元，实际执行10万元，资金执行率100%。</w:t>
      </w:r>
    </w:p>
    <w:p>
      <w:pPr>
        <w:pStyle w:val="13"/>
        <w:widowControl/>
        <w:shd w:val="clear" w:color="auto" w:fill="FFFFFF"/>
        <w:spacing w:before="0" w:beforeAutospacing="0" w:after="0" w:afterAutospacing="0" w:line="576" w:lineRule="exact"/>
        <w:ind w:firstLine="600"/>
        <w:textAlignment w:val="baseline"/>
        <w:rPr>
          <w:rFonts w:ascii="仿宋_GB2312" w:hAnsi="宋体" w:eastAsia="仿宋_GB2312" w:cs="仿宋"/>
          <w:bCs/>
          <w:sz w:val="32"/>
          <w:szCs w:val="32"/>
          <w:lang w:val="zh-CN"/>
        </w:rPr>
      </w:pPr>
      <w:r>
        <w:rPr>
          <w:rFonts w:hint="eastAsia" w:ascii="楷体_GB2312" w:hAnsi="宋体" w:eastAsia="楷体_GB2312"/>
          <w:kern w:val="2"/>
          <w:sz w:val="32"/>
          <w:szCs w:val="32"/>
          <w:lang w:val="zh-CN"/>
        </w:rPr>
        <w:t>（二）项目管理情况。</w:t>
      </w:r>
      <w:r>
        <w:rPr>
          <w:rFonts w:hint="eastAsia" w:ascii="仿宋_GB2312" w:hAnsi="宋体" w:eastAsia="仿宋_GB2312" w:cs="仿宋"/>
          <w:color w:val="000000"/>
          <w:sz w:val="32"/>
          <w:szCs w:val="32"/>
          <w:shd w:val="clear" w:color="auto" w:fill="FFFFFF"/>
        </w:rPr>
        <w:t>项目经费严格按照单位的财务制度和预算支出范围的使用。由广元市财政局国库支付局统一核算，按照项目计划安排和实际工作情况开支，做到了专款专用，经费均按广元市财政局印发有关文件、通知精神执行。</w:t>
      </w:r>
    </w:p>
    <w:p>
      <w:pPr>
        <w:adjustRightInd w:val="0"/>
        <w:snapToGrid w:val="0"/>
        <w:spacing w:line="576" w:lineRule="exact"/>
        <w:ind w:left="105" w:firstLine="480" w:firstLineChars="150"/>
        <w:rPr>
          <w:rFonts w:ascii="仿宋_GB2312" w:hAnsi="宋体" w:eastAsia="仿宋_GB2312" w:cs="宋体"/>
          <w:color w:val="000000"/>
          <w:sz w:val="32"/>
          <w:szCs w:val="32"/>
          <w:shd w:val="clear" w:color="auto" w:fill="FFFFFF"/>
        </w:rPr>
      </w:pPr>
      <w:r>
        <w:rPr>
          <w:rFonts w:hint="eastAsia" w:ascii="楷体_GB2312" w:hAnsi="宋体" w:eastAsia="楷体_GB2312"/>
          <w:sz w:val="32"/>
          <w:szCs w:val="32"/>
          <w:lang w:val="zh-CN"/>
        </w:rPr>
        <w:t>（三）项目监管情况。</w:t>
      </w:r>
      <w:r>
        <w:rPr>
          <w:rFonts w:hint="eastAsia" w:ascii="仿宋_GB2312" w:hAnsi="宋体" w:eastAsia="仿宋_GB2312" w:cs="仿宋"/>
          <w:color w:val="000000"/>
          <w:sz w:val="32"/>
          <w:szCs w:val="32"/>
          <w:shd w:val="clear" w:color="auto" w:fill="FFFFFF"/>
        </w:rPr>
        <w:t>本项目支出均按照有关规章制度和项目实施完成情况进行支付。并建立相关的管理制度，</w:t>
      </w:r>
      <w:r>
        <w:rPr>
          <w:rFonts w:hint="eastAsia" w:ascii="仿宋_GB2312" w:hAnsi="宋体" w:eastAsia="仿宋_GB2312"/>
          <w:bCs/>
          <w:sz w:val="32"/>
          <w:szCs w:val="32"/>
          <w:lang w:val="zh-CN"/>
        </w:rPr>
        <w:t>单位</w:t>
      </w:r>
      <w:r>
        <w:rPr>
          <w:rFonts w:hint="eastAsia" w:ascii="仿宋_GB2312" w:hAnsi="宋体" w:eastAsia="仿宋_GB2312"/>
          <w:bCs/>
          <w:kern w:val="0"/>
          <w:sz w:val="32"/>
          <w:szCs w:val="32"/>
          <w:lang w:val="zh-CN"/>
        </w:rPr>
        <w:t>内控工作小组与现场监督科定期对项目的实施进度和支付情况进行监督检查。对进度较慢的项目进行督促指导，对不合规、不合理的情况进行指正并立要求即整改</w:t>
      </w:r>
      <w:r>
        <w:rPr>
          <w:rFonts w:hint="eastAsia" w:ascii="仿宋_GB2312" w:hAnsi="宋体" w:eastAsia="仿宋_GB2312" w:cs="宋体"/>
          <w:color w:val="000000"/>
          <w:sz w:val="32"/>
          <w:szCs w:val="32"/>
          <w:shd w:val="clear" w:color="auto" w:fill="FFFFFF"/>
        </w:rPr>
        <w:t>。</w:t>
      </w:r>
    </w:p>
    <w:p>
      <w:pPr>
        <w:adjustRightInd w:val="0"/>
        <w:snapToGrid w:val="0"/>
        <w:spacing w:line="576" w:lineRule="exact"/>
        <w:ind w:left="48" w:leftChars="23" w:firstLine="736" w:firstLineChars="230"/>
        <w:rPr>
          <w:rFonts w:ascii="黑体" w:hAnsi="黑体" w:eastAsia="黑体"/>
          <w:sz w:val="32"/>
          <w:szCs w:val="32"/>
          <w:lang w:val="zh-CN"/>
        </w:rPr>
      </w:pPr>
      <w:bookmarkStart w:id="118" w:name="_Toc2039220810_WPSOffice_Level2"/>
      <w:r>
        <w:rPr>
          <w:rFonts w:hint="eastAsia" w:ascii="黑体" w:hAnsi="黑体" w:eastAsia="黑体"/>
          <w:sz w:val="32"/>
          <w:szCs w:val="32"/>
        </w:rPr>
        <w:t>四、项目绩效情况</w:t>
      </w:r>
      <w:bookmarkEnd w:id="118"/>
    </w:p>
    <w:p>
      <w:pPr>
        <w:adjustRightInd w:val="0"/>
        <w:snapToGrid w:val="0"/>
        <w:spacing w:line="576" w:lineRule="exact"/>
        <w:ind w:left="105" w:firstLine="480" w:firstLineChars="150"/>
        <w:rPr>
          <w:rFonts w:ascii="楷体_GB2312" w:hAnsi="宋体" w:eastAsia="楷体_GB2312"/>
          <w:sz w:val="32"/>
          <w:szCs w:val="32"/>
          <w:lang w:val="zh-CN"/>
        </w:rPr>
      </w:pPr>
      <w:r>
        <w:rPr>
          <w:rFonts w:hint="eastAsia" w:ascii="楷体_GB2312" w:hAnsi="宋体" w:eastAsia="楷体_GB2312"/>
          <w:sz w:val="32"/>
          <w:szCs w:val="32"/>
          <w:lang w:val="zh-CN"/>
        </w:rPr>
        <w:t>（一）项目完成情况</w:t>
      </w:r>
    </w:p>
    <w:p>
      <w:pPr>
        <w:adjustRightInd w:val="0"/>
        <w:snapToGrid w:val="0"/>
        <w:spacing w:line="576" w:lineRule="exact"/>
        <w:ind w:firstLine="640" w:firstLineChars="200"/>
        <w:rPr>
          <w:rFonts w:ascii="仿宋_GB2312" w:hAnsi="宋体" w:eastAsia="仿宋_GB2312"/>
          <w:b/>
          <w:sz w:val="32"/>
          <w:szCs w:val="32"/>
          <w:lang w:val="zh-CN"/>
        </w:rPr>
      </w:pPr>
      <w:r>
        <w:rPr>
          <w:rFonts w:hint="eastAsia" w:ascii="仿宋_GB2312" w:hAnsi="宋体" w:eastAsia="仿宋_GB2312"/>
          <w:sz w:val="32"/>
          <w:szCs w:val="32"/>
        </w:rPr>
        <w:t>年初下达</w:t>
      </w:r>
      <w:r>
        <w:rPr>
          <w:rFonts w:hint="eastAsia" w:ascii="仿宋_GB2312" w:hAnsi="宋体" w:eastAsia="仿宋_GB2312" w:cs="仿宋"/>
          <w:color w:val="000000"/>
          <w:sz w:val="32"/>
          <w:szCs w:val="32"/>
          <w:lang w:val="zh-CN"/>
        </w:rPr>
        <w:t>网络及信息系统运维费</w:t>
      </w:r>
      <w:r>
        <w:rPr>
          <w:rFonts w:hint="eastAsia" w:ascii="仿宋_GB2312" w:hAnsi="宋体" w:eastAsia="仿宋_GB2312"/>
          <w:sz w:val="32"/>
          <w:szCs w:val="32"/>
        </w:rPr>
        <w:t>10万元，实际支付10万元，执行率100%，完成情况好。</w:t>
      </w:r>
    </w:p>
    <w:p>
      <w:pPr>
        <w:adjustRightInd w:val="0"/>
        <w:snapToGrid w:val="0"/>
        <w:spacing w:line="576" w:lineRule="exact"/>
        <w:ind w:left="105" w:firstLine="480" w:firstLineChars="150"/>
        <w:rPr>
          <w:rFonts w:ascii="楷体_GB2312" w:hAnsi="宋体" w:eastAsia="楷体_GB2312"/>
          <w:sz w:val="32"/>
          <w:szCs w:val="32"/>
          <w:lang w:val="zh-CN"/>
        </w:rPr>
      </w:pPr>
      <w:r>
        <w:rPr>
          <w:rFonts w:hint="eastAsia" w:ascii="楷体_GB2312" w:hAnsi="宋体" w:eastAsia="楷体_GB2312"/>
          <w:sz w:val="32"/>
          <w:szCs w:val="32"/>
          <w:lang w:val="zh-CN"/>
        </w:rPr>
        <w:t>（二）项目效益情况</w:t>
      </w:r>
    </w:p>
    <w:p>
      <w:pPr>
        <w:adjustRightInd w:val="0"/>
        <w:snapToGrid w:val="0"/>
        <w:spacing w:line="576" w:lineRule="exact"/>
        <w:ind w:left="105"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该项目顺利实施，使全市公共资源电子化交易活动顺利开展，实现公共资源交易活动全流程电子化，搭建全国统一的公共资源交易电子平台，优化营商环境，推动社会经济发展。</w:t>
      </w:r>
    </w:p>
    <w:p>
      <w:pPr>
        <w:adjustRightInd w:val="0"/>
        <w:snapToGrid w:val="0"/>
        <w:spacing w:line="576" w:lineRule="exact"/>
        <w:ind w:left="105" w:firstLine="640" w:firstLineChars="200"/>
        <w:rPr>
          <w:rFonts w:ascii="黑体" w:hAnsi="黑体" w:eastAsia="黑体"/>
          <w:sz w:val="32"/>
          <w:szCs w:val="32"/>
        </w:rPr>
      </w:pPr>
      <w:bookmarkStart w:id="119" w:name="_Toc89798390_WPSOffice_Level2"/>
      <w:r>
        <w:rPr>
          <w:rFonts w:hint="eastAsia" w:ascii="黑体" w:hAnsi="黑体" w:eastAsia="黑体"/>
          <w:sz w:val="32"/>
          <w:szCs w:val="32"/>
        </w:rPr>
        <w:t>五、评价结论及建议</w:t>
      </w:r>
      <w:bookmarkEnd w:id="119"/>
    </w:p>
    <w:p>
      <w:pPr>
        <w:adjustRightInd w:val="0"/>
        <w:snapToGrid w:val="0"/>
        <w:spacing w:line="576" w:lineRule="exact"/>
        <w:ind w:left="105"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（一）评价结论</w:t>
      </w:r>
    </w:p>
    <w:p>
      <w:pPr>
        <w:adjustRightInd w:val="0"/>
        <w:snapToGrid w:val="0"/>
        <w:spacing w:line="576" w:lineRule="exact"/>
        <w:ind w:left="105" w:firstLine="640" w:firstLineChars="200"/>
        <w:rPr>
          <w:rFonts w:ascii="仿宋_GB2312" w:hAnsi="宋体" w:eastAsia="仿宋_GB2312" w:cs="仿宋"/>
          <w:sz w:val="32"/>
          <w:szCs w:val="32"/>
        </w:rPr>
      </w:pPr>
      <w:r>
        <w:rPr>
          <w:rFonts w:hint="eastAsia" w:ascii="仿宋_GB2312" w:hAnsi="宋体" w:eastAsia="仿宋_GB2312"/>
          <w:sz w:val="32"/>
          <w:szCs w:val="32"/>
        </w:rPr>
        <w:t>结合中心工作实际情况，</w:t>
      </w:r>
      <w:r>
        <w:rPr>
          <w:rFonts w:hint="eastAsia" w:ascii="仿宋_GB2312" w:hAnsi="宋体" w:eastAsia="仿宋_GB2312" w:cs="仿宋_GB2312"/>
          <w:kern w:val="0"/>
          <w:sz w:val="32"/>
          <w:szCs w:val="32"/>
        </w:rPr>
        <w:t>对照《202</w:t>
      </w:r>
      <w:r>
        <w:rPr>
          <w:rFonts w:hint="eastAsia" w:ascii="仿宋_GB2312" w:hAnsi="宋体" w:eastAsia="仿宋_GB2312" w:cs="仿宋_GB2312"/>
          <w:kern w:val="0"/>
          <w:sz w:val="32"/>
          <w:szCs w:val="32"/>
          <w:lang w:val="en-US" w:eastAsia="zh-CN"/>
        </w:rPr>
        <w:t>1</w:t>
      </w:r>
      <w:r>
        <w:rPr>
          <w:rFonts w:hint="eastAsia" w:ascii="仿宋_GB2312" w:hAnsi="宋体" w:eastAsia="仿宋_GB2312" w:cs="仿宋_GB2312"/>
          <w:kern w:val="0"/>
          <w:sz w:val="32"/>
          <w:szCs w:val="32"/>
        </w:rPr>
        <w:t>年市级财政项目支出绩效评价指标体系》进行自评</w:t>
      </w:r>
      <w:r>
        <w:rPr>
          <w:rFonts w:hint="eastAsia" w:ascii="仿宋_GB2312" w:hAnsi="宋体" w:eastAsia="仿宋_GB2312"/>
          <w:sz w:val="32"/>
          <w:szCs w:val="32"/>
        </w:rPr>
        <w:t>打分，综合得分97分，项目支出绩效为评价为“优”。</w:t>
      </w:r>
    </w:p>
    <w:p>
      <w:pPr>
        <w:adjustRightInd w:val="0"/>
        <w:snapToGrid w:val="0"/>
        <w:spacing w:line="576" w:lineRule="exact"/>
        <w:ind w:left="105"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（二）存在的问题</w:t>
      </w:r>
    </w:p>
    <w:p>
      <w:pPr>
        <w:pStyle w:val="6"/>
        <w:spacing w:beforeLines="0" w:line="576" w:lineRule="exact"/>
        <w:ind w:firstLine="640" w:firstLineChars="200"/>
        <w:rPr>
          <w:rFonts w:hAnsi="宋体" w:cs="仿宋"/>
          <w:color w:val="000000"/>
          <w:sz w:val="32"/>
          <w:szCs w:val="32"/>
          <w:shd w:val="clear" w:color="auto" w:fill="FFFFFF"/>
        </w:rPr>
      </w:pPr>
      <w:r>
        <w:rPr>
          <w:rFonts w:hint="eastAsia" w:hAnsi="宋体" w:cs="仿宋"/>
          <w:color w:val="000000"/>
          <w:sz w:val="32"/>
          <w:szCs w:val="32"/>
          <w:shd w:val="clear" w:color="auto" w:fill="FFFFFF"/>
        </w:rPr>
        <w:t>1.由于项目申报时支出规划不是很完善，导致项目资金支付略有不足。</w:t>
      </w:r>
    </w:p>
    <w:p>
      <w:pPr>
        <w:widowControl/>
        <w:jc w:val="center"/>
        <w:textAlignment w:val="center"/>
        <w:rPr>
          <w:rFonts w:hint="eastAsia" w:ascii="仿宋_GB2312" w:hAnsi="宋体" w:eastAsia="仿宋_GB2312" w:cs="仿宋"/>
          <w:color w:val="000000"/>
          <w:kern w:val="0"/>
          <w:sz w:val="32"/>
          <w:szCs w:val="32"/>
          <w:shd w:val="clear" w:color="auto" w:fill="FFFFFF"/>
          <w:lang w:val="en-US" w:eastAsia="zh-CN" w:bidi="ar-SA"/>
        </w:rPr>
      </w:pPr>
      <w:r>
        <w:rPr>
          <w:rFonts w:hint="eastAsia" w:ascii="仿宋_GB2312" w:hAnsi="宋体" w:eastAsia="仿宋_GB2312" w:cs="仿宋"/>
          <w:color w:val="000000"/>
          <w:kern w:val="0"/>
          <w:sz w:val="32"/>
          <w:szCs w:val="32"/>
          <w:shd w:val="clear" w:color="auto" w:fill="FFFFFF"/>
          <w:lang w:val="en-US" w:eastAsia="zh-CN" w:bidi="ar-SA"/>
        </w:rPr>
        <w:t xml:space="preserve">   2.项目经费使用严格按照相关规定执行，但仍存在支出进度缓慢，材料报送不及时等问题，针对项目执行时出现的问题，及时改进，加快材料报送与审核流程，确保项目经费</w:t>
      </w:r>
    </w:p>
    <w:p>
      <w:pPr>
        <w:widowControl/>
        <w:jc w:val="both"/>
        <w:textAlignment w:val="center"/>
        <w:rPr>
          <w:rFonts w:hint="eastAsia" w:ascii="仿宋_GB2312" w:hAnsi="宋体" w:eastAsia="仿宋_GB2312" w:cs="仿宋"/>
          <w:color w:val="000000"/>
          <w:kern w:val="0"/>
          <w:sz w:val="32"/>
          <w:szCs w:val="32"/>
          <w:shd w:val="clear" w:color="auto" w:fill="FFFFFF"/>
          <w:lang w:val="en-US" w:eastAsia="zh-CN" w:bidi="ar-SA"/>
        </w:rPr>
      </w:pPr>
      <w:r>
        <w:rPr>
          <w:rFonts w:hint="eastAsia" w:ascii="仿宋_GB2312" w:hAnsi="宋体" w:eastAsia="仿宋_GB2312" w:cs="仿宋"/>
          <w:color w:val="000000"/>
          <w:kern w:val="0"/>
          <w:sz w:val="32"/>
          <w:szCs w:val="32"/>
          <w:shd w:val="clear" w:color="auto" w:fill="FFFFFF"/>
          <w:lang w:val="en-US" w:eastAsia="zh-CN" w:bidi="ar-SA"/>
        </w:rPr>
        <w:t>支出符合相关规定并按时支出。</w:t>
      </w:r>
    </w:p>
    <w:p>
      <w:pPr>
        <w:widowControl/>
        <w:jc w:val="center"/>
        <w:textAlignment w:val="center"/>
        <w:rPr>
          <w:rFonts w:hint="eastAsia" w:hAnsi="宋体" w:cs="仿宋"/>
          <w:color w:val="000000"/>
          <w:sz w:val="32"/>
          <w:szCs w:val="32"/>
          <w:shd w:val="clear" w:color="auto" w:fill="FFFFFF"/>
        </w:rPr>
      </w:pPr>
    </w:p>
    <w:p>
      <w:pPr>
        <w:rPr>
          <w:rFonts w:hint="eastAsia" w:ascii="方正小标宋简体" w:hAnsi="宋体" w:eastAsia="方正小标宋简体" w:cs="宋体"/>
          <w:bCs/>
          <w:color w:val="000000"/>
          <w:kern w:val="0"/>
          <w:sz w:val="44"/>
          <w:szCs w:val="44"/>
          <w:lang w:bidi="ar"/>
        </w:rPr>
      </w:pPr>
      <w:r>
        <w:rPr>
          <w:rFonts w:hint="eastAsia" w:ascii="方正小标宋简体" w:hAnsi="宋体" w:eastAsia="方正小标宋简体" w:cs="宋体"/>
          <w:bCs/>
          <w:color w:val="000000"/>
          <w:kern w:val="0"/>
          <w:sz w:val="44"/>
          <w:szCs w:val="44"/>
          <w:lang w:bidi="ar"/>
        </w:rPr>
        <w:br w:type="page"/>
      </w:r>
    </w:p>
    <w:p>
      <w:pPr>
        <w:keepNext w:val="0"/>
        <w:keepLines w:val="0"/>
        <w:pageBreakBefore w:val="0"/>
        <w:widowControl/>
        <w:kinsoku/>
        <w:wordWrap/>
        <w:overflowPunct/>
        <w:topLinePunct w:val="0"/>
        <w:autoSpaceDE/>
        <w:autoSpaceDN/>
        <w:bidi w:val="0"/>
        <w:adjustRightInd/>
        <w:snapToGrid/>
        <w:spacing w:line="576" w:lineRule="exact"/>
        <w:jc w:val="center"/>
        <w:textAlignment w:val="center"/>
        <w:rPr>
          <w:rFonts w:hint="eastAsia" w:ascii="方正小标宋简体" w:hAnsi="宋体" w:eastAsia="方正小标宋简体" w:cs="宋体"/>
          <w:bCs/>
          <w:color w:val="000000"/>
          <w:kern w:val="0"/>
          <w:sz w:val="44"/>
          <w:szCs w:val="44"/>
          <w:lang w:bidi="ar"/>
        </w:rPr>
      </w:pPr>
      <w:r>
        <w:rPr>
          <w:rFonts w:hint="eastAsia" w:ascii="方正小标宋简体" w:hAnsi="宋体" w:eastAsia="方正小标宋简体" w:cs="宋体"/>
          <w:bCs/>
          <w:color w:val="000000"/>
          <w:kern w:val="0"/>
          <w:sz w:val="44"/>
          <w:szCs w:val="44"/>
          <w:lang w:bidi="ar"/>
        </w:rPr>
        <w:t>网络运行维护费</w:t>
      </w:r>
    </w:p>
    <w:p>
      <w:pPr>
        <w:pStyle w:val="6"/>
        <w:keepNext w:val="0"/>
        <w:keepLines w:val="0"/>
        <w:pageBreakBefore w:val="0"/>
        <w:kinsoku/>
        <w:wordWrap/>
        <w:overflowPunct/>
        <w:topLinePunct w:val="0"/>
        <w:autoSpaceDE/>
        <w:autoSpaceDN/>
        <w:bidi w:val="0"/>
        <w:adjustRightInd/>
        <w:snapToGrid/>
        <w:spacing w:beforeLines="0" w:line="576" w:lineRule="exact"/>
        <w:jc w:val="center"/>
        <w:rPr>
          <w:rFonts w:hint="eastAsia"/>
        </w:rPr>
      </w:pPr>
      <w:r>
        <w:rPr>
          <w:rFonts w:hint="eastAsia" w:ascii="楷体_GB2312" w:hAnsi="宋体" w:eastAsia="楷体_GB2312" w:cs="宋体"/>
          <w:color w:val="000000"/>
          <w:kern w:val="0"/>
          <w:sz w:val="32"/>
          <w:szCs w:val="32"/>
          <w:lang w:bidi="ar"/>
        </w:rPr>
        <w:t>(202</w:t>
      </w:r>
      <w:r>
        <w:rPr>
          <w:rFonts w:hint="eastAsia" w:ascii="楷体_GB2312" w:hAnsi="宋体" w:eastAsia="楷体_GB2312" w:cs="宋体"/>
          <w:color w:val="000000"/>
          <w:kern w:val="0"/>
          <w:sz w:val="32"/>
          <w:szCs w:val="32"/>
          <w:lang w:val="en-US" w:eastAsia="zh-CN" w:bidi="ar"/>
        </w:rPr>
        <w:t>1</w:t>
      </w:r>
      <w:r>
        <w:rPr>
          <w:rFonts w:hint="eastAsia" w:ascii="楷体_GB2312" w:hAnsi="宋体" w:eastAsia="楷体_GB2312" w:cs="宋体"/>
          <w:color w:val="000000"/>
          <w:kern w:val="0"/>
          <w:sz w:val="32"/>
          <w:szCs w:val="32"/>
          <w:lang w:bidi="ar"/>
        </w:rPr>
        <w:t>年度)</w:t>
      </w:r>
    </w:p>
    <w:tbl>
      <w:tblPr>
        <w:tblStyle w:val="15"/>
        <w:tblpPr w:leftFromText="180" w:rightFromText="180" w:vertAnchor="text" w:horzAnchor="page" w:tblpX="1146" w:tblpY="465"/>
        <w:tblOverlap w:val="never"/>
        <w:tblW w:w="9960" w:type="dxa"/>
        <w:jc w:val="center"/>
        <w:tblLayout w:type="fixed"/>
        <w:tblCellMar>
          <w:top w:w="0" w:type="dxa"/>
          <w:left w:w="0" w:type="dxa"/>
          <w:bottom w:w="0" w:type="dxa"/>
          <w:right w:w="0" w:type="dxa"/>
        </w:tblCellMar>
      </w:tblPr>
      <w:tblGrid>
        <w:gridCol w:w="724"/>
        <w:gridCol w:w="936"/>
        <w:gridCol w:w="1122"/>
        <w:gridCol w:w="3228"/>
        <w:gridCol w:w="1988"/>
        <w:gridCol w:w="1962"/>
      </w:tblGrid>
      <w:tr>
        <w:tblPrEx>
          <w:tblCellMar>
            <w:top w:w="0" w:type="dxa"/>
            <w:left w:w="0" w:type="dxa"/>
            <w:bottom w:w="0" w:type="dxa"/>
            <w:right w:w="0" w:type="dxa"/>
          </w:tblCellMar>
        </w:tblPrEx>
        <w:trPr>
          <w:trHeight w:val="276" w:hRule="atLeast"/>
          <w:jc w:val="center"/>
        </w:trPr>
        <w:tc>
          <w:tcPr>
            <w:tcW w:w="278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项目名称</w:t>
            </w:r>
          </w:p>
        </w:tc>
        <w:tc>
          <w:tcPr>
            <w:tcW w:w="7178"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网络运行维护费</w:t>
            </w:r>
          </w:p>
        </w:tc>
      </w:tr>
      <w:tr>
        <w:tblPrEx>
          <w:tblCellMar>
            <w:top w:w="0" w:type="dxa"/>
            <w:left w:w="0" w:type="dxa"/>
            <w:bottom w:w="0" w:type="dxa"/>
            <w:right w:w="0" w:type="dxa"/>
          </w:tblCellMar>
        </w:tblPrEx>
        <w:trPr>
          <w:trHeight w:val="276" w:hRule="atLeast"/>
          <w:jc w:val="center"/>
        </w:trPr>
        <w:tc>
          <w:tcPr>
            <w:tcW w:w="278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预算单位</w:t>
            </w:r>
          </w:p>
        </w:tc>
        <w:tc>
          <w:tcPr>
            <w:tcW w:w="7178"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广元公共资源交易信息中心</w:t>
            </w:r>
          </w:p>
        </w:tc>
      </w:tr>
      <w:tr>
        <w:tblPrEx>
          <w:tblCellMar>
            <w:top w:w="0" w:type="dxa"/>
            <w:left w:w="0" w:type="dxa"/>
            <w:bottom w:w="0" w:type="dxa"/>
            <w:right w:w="0" w:type="dxa"/>
          </w:tblCellMar>
        </w:tblPrEx>
        <w:trPr>
          <w:trHeight w:val="276" w:hRule="atLeast"/>
          <w:jc w:val="center"/>
        </w:trPr>
        <w:tc>
          <w:tcPr>
            <w:tcW w:w="724"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预算执行情况(万元)</w:t>
            </w:r>
          </w:p>
        </w:tc>
        <w:tc>
          <w:tcPr>
            <w:tcW w:w="205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预算数:</w:t>
            </w:r>
          </w:p>
        </w:tc>
        <w:tc>
          <w:tcPr>
            <w:tcW w:w="32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10</w:t>
            </w:r>
            <w:r>
              <w:rPr>
                <w:rFonts w:hint="eastAsia" w:ascii="仿宋_GB2312" w:hAnsi="仿宋_GB2312" w:eastAsia="仿宋_GB2312" w:cs="仿宋_GB2312"/>
                <w:color w:val="000000"/>
                <w:sz w:val="24"/>
              </w:rPr>
              <w:t>万元</w:t>
            </w:r>
          </w:p>
        </w:tc>
        <w:tc>
          <w:tcPr>
            <w:tcW w:w="19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执行数:</w:t>
            </w:r>
          </w:p>
        </w:tc>
        <w:tc>
          <w:tcPr>
            <w:tcW w:w="19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10</w:t>
            </w:r>
            <w:r>
              <w:rPr>
                <w:rFonts w:hint="eastAsia" w:ascii="仿宋_GB2312" w:hAnsi="仿宋_GB2312" w:eastAsia="仿宋_GB2312" w:cs="仿宋_GB2312"/>
                <w:color w:val="000000"/>
                <w:sz w:val="24"/>
              </w:rPr>
              <w:t>万元</w:t>
            </w:r>
          </w:p>
        </w:tc>
      </w:tr>
      <w:tr>
        <w:tblPrEx>
          <w:tblCellMar>
            <w:top w:w="0" w:type="dxa"/>
            <w:left w:w="0" w:type="dxa"/>
            <w:bottom w:w="0" w:type="dxa"/>
            <w:right w:w="0" w:type="dxa"/>
          </w:tblCellMar>
        </w:tblPrEx>
        <w:trPr>
          <w:trHeight w:val="276" w:hRule="atLeast"/>
          <w:jc w:val="center"/>
        </w:trPr>
        <w:tc>
          <w:tcPr>
            <w:tcW w:w="72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000000"/>
                <w:sz w:val="24"/>
              </w:rPr>
            </w:pPr>
          </w:p>
        </w:tc>
        <w:tc>
          <w:tcPr>
            <w:tcW w:w="205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其中-财政拨款:</w:t>
            </w:r>
          </w:p>
        </w:tc>
        <w:tc>
          <w:tcPr>
            <w:tcW w:w="32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10</w:t>
            </w:r>
            <w:r>
              <w:rPr>
                <w:rFonts w:hint="eastAsia" w:ascii="仿宋_GB2312" w:hAnsi="仿宋_GB2312" w:eastAsia="仿宋_GB2312" w:cs="仿宋_GB2312"/>
                <w:color w:val="000000"/>
                <w:sz w:val="24"/>
              </w:rPr>
              <w:t>万元</w:t>
            </w:r>
          </w:p>
        </w:tc>
        <w:tc>
          <w:tcPr>
            <w:tcW w:w="19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其中-财政拨款:</w:t>
            </w:r>
          </w:p>
        </w:tc>
        <w:tc>
          <w:tcPr>
            <w:tcW w:w="19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10</w:t>
            </w:r>
            <w:r>
              <w:rPr>
                <w:rFonts w:hint="eastAsia" w:ascii="仿宋_GB2312" w:hAnsi="仿宋_GB2312" w:eastAsia="仿宋_GB2312" w:cs="仿宋_GB2312"/>
                <w:color w:val="000000"/>
                <w:sz w:val="24"/>
              </w:rPr>
              <w:t>万元</w:t>
            </w:r>
          </w:p>
        </w:tc>
      </w:tr>
      <w:tr>
        <w:tblPrEx>
          <w:tblCellMar>
            <w:top w:w="0" w:type="dxa"/>
            <w:left w:w="0" w:type="dxa"/>
            <w:bottom w:w="0" w:type="dxa"/>
            <w:right w:w="0" w:type="dxa"/>
          </w:tblCellMar>
        </w:tblPrEx>
        <w:trPr>
          <w:trHeight w:val="703" w:hRule="atLeast"/>
          <w:jc w:val="center"/>
        </w:trPr>
        <w:tc>
          <w:tcPr>
            <w:tcW w:w="72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000000"/>
                <w:sz w:val="24"/>
              </w:rPr>
            </w:pPr>
          </w:p>
        </w:tc>
        <w:tc>
          <w:tcPr>
            <w:tcW w:w="205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其它资金:</w:t>
            </w:r>
          </w:p>
        </w:tc>
        <w:tc>
          <w:tcPr>
            <w:tcW w:w="32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p>
        </w:tc>
        <w:tc>
          <w:tcPr>
            <w:tcW w:w="19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其它资金:</w:t>
            </w:r>
          </w:p>
        </w:tc>
        <w:tc>
          <w:tcPr>
            <w:tcW w:w="19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000000"/>
                <w:sz w:val="24"/>
              </w:rPr>
            </w:pPr>
          </w:p>
        </w:tc>
      </w:tr>
      <w:tr>
        <w:tblPrEx>
          <w:tblCellMar>
            <w:top w:w="0" w:type="dxa"/>
            <w:left w:w="0" w:type="dxa"/>
            <w:bottom w:w="0" w:type="dxa"/>
            <w:right w:w="0" w:type="dxa"/>
          </w:tblCellMar>
        </w:tblPrEx>
        <w:trPr>
          <w:trHeight w:val="276" w:hRule="atLeast"/>
          <w:jc w:val="center"/>
        </w:trPr>
        <w:tc>
          <w:tcPr>
            <w:tcW w:w="724"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年度目标完成情况</w:t>
            </w:r>
          </w:p>
        </w:tc>
        <w:tc>
          <w:tcPr>
            <w:tcW w:w="5286"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预期目标</w:t>
            </w:r>
          </w:p>
        </w:tc>
        <w:tc>
          <w:tcPr>
            <w:tcW w:w="395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实际完成目标</w:t>
            </w:r>
          </w:p>
        </w:tc>
      </w:tr>
      <w:tr>
        <w:trPr>
          <w:trHeight w:val="1159" w:hRule="atLeast"/>
          <w:jc w:val="center"/>
        </w:trPr>
        <w:tc>
          <w:tcPr>
            <w:tcW w:w="72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000000"/>
                <w:sz w:val="24"/>
              </w:rPr>
            </w:pPr>
          </w:p>
        </w:tc>
        <w:tc>
          <w:tcPr>
            <w:tcW w:w="5286"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确保2021年度市公共资源交易信息中心网络宽带及电话、应急抢险救灾施工队伍储备库信息系统、公共资源交易电子平台管理信息系统等网络系统稳定通畅运行。</w:t>
            </w:r>
          </w:p>
        </w:tc>
        <w:tc>
          <w:tcPr>
            <w:tcW w:w="3950"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000000"/>
                <w:sz w:val="24"/>
              </w:rPr>
            </w:pPr>
          </w:p>
          <w:p>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2021年度，市公共资源交易信息中心网络宽带及电话、应急抢险救灾施工队伍储备库信息系统、公共资源交易电子平台管理信息系统等网络系统稳定通畅运行。</w:t>
            </w:r>
          </w:p>
        </w:tc>
      </w:tr>
      <w:tr>
        <w:tblPrEx>
          <w:tblCellMar>
            <w:top w:w="0" w:type="dxa"/>
            <w:left w:w="0" w:type="dxa"/>
            <w:bottom w:w="0" w:type="dxa"/>
            <w:right w:w="0" w:type="dxa"/>
          </w:tblCellMar>
        </w:tblPrEx>
        <w:trPr>
          <w:trHeight w:val="778" w:hRule="atLeast"/>
          <w:jc w:val="center"/>
        </w:trPr>
        <w:tc>
          <w:tcPr>
            <w:tcW w:w="724"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绩效指标完成情况</w:t>
            </w:r>
          </w:p>
        </w:tc>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一级指标</w:t>
            </w:r>
          </w:p>
        </w:tc>
        <w:tc>
          <w:tcPr>
            <w:tcW w:w="11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二级指标</w:t>
            </w:r>
          </w:p>
        </w:tc>
        <w:tc>
          <w:tcPr>
            <w:tcW w:w="32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三级指标</w:t>
            </w:r>
          </w:p>
        </w:tc>
        <w:tc>
          <w:tcPr>
            <w:tcW w:w="19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预期指标值(包含数字及文字描述)</w:t>
            </w:r>
          </w:p>
        </w:tc>
        <w:tc>
          <w:tcPr>
            <w:tcW w:w="19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实际完成指标值(包含数字及文字描述)</w:t>
            </w:r>
          </w:p>
        </w:tc>
      </w:tr>
      <w:tr>
        <w:tblPrEx>
          <w:tblCellMar>
            <w:top w:w="0" w:type="dxa"/>
            <w:left w:w="0" w:type="dxa"/>
            <w:bottom w:w="0" w:type="dxa"/>
            <w:right w:w="0" w:type="dxa"/>
          </w:tblCellMar>
        </w:tblPrEx>
        <w:trPr>
          <w:trHeight w:val="809" w:hRule="atLeast"/>
          <w:jc w:val="center"/>
        </w:trPr>
        <w:tc>
          <w:tcPr>
            <w:tcW w:w="724" w:type="dxa"/>
            <w:vMerge w:val="continue"/>
            <w:tcBorders>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p>
        </w:tc>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项目完成指标</w:t>
            </w:r>
          </w:p>
        </w:tc>
        <w:tc>
          <w:tcPr>
            <w:tcW w:w="11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数量指标</w:t>
            </w:r>
          </w:p>
        </w:tc>
        <w:tc>
          <w:tcPr>
            <w:tcW w:w="32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 xml:space="preserve"> 新增防火墙病毒库授权服务</w:t>
            </w:r>
          </w:p>
        </w:tc>
        <w:tc>
          <w:tcPr>
            <w:tcW w:w="19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1次</w:t>
            </w:r>
          </w:p>
        </w:tc>
        <w:tc>
          <w:tcPr>
            <w:tcW w:w="19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1次</w:t>
            </w:r>
          </w:p>
        </w:tc>
      </w:tr>
      <w:tr>
        <w:tblPrEx>
          <w:tblCellMar>
            <w:top w:w="0" w:type="dxa"/>
            <w:left w:w="0" w:type="dxa"/>
            <w:bottom w:w="0" w:type="dxa"/>
            <w:right w:w="0" w:type="dxa"/>
          </w:tblCellMar>
        </w:tblPrEx>
        <w:trPr>
          <w:trHeight w:val="836" w:hRule="atLeast"/>
          <w:jc w:val="center"/>
        </w:trPr>
        <w:tc>
          <w:tcPr>
            <w:tcW w:w="724" w:type="dxa"/>
            <w:vMerge w:val="continue"/>
            <w:tcBorders>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p>
        </w:tc>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项目完成指标</w:t>
            </w:r>
          </w:p>
        </w:tc>
        <w:tc>
          <w:tcPr>
            <w:tcW w:w="11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rPr>
              <w:t>质量指标</w:t>
            </w:r>
          </w:p>
        </w:tc>
        <w:tc>
          <w:tcPr>
            <w:tcW w:w="32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rPr>
              <w:t>办公场所及开评标区域网络宽带及座机电话稳定通畅运行</w:t>
            </w:r>
            <w:r>
              <w:rPr>
                <w:rFonts w:hint="eastAsia" w:ascii="仿宋_GB2312" w:hAnsi="仿宋_GB2312" w:eastAsia="仿宋_GB2312" w:cs="仿宋_GB2312"/>
                <w:color w:val="000000"/>
                <w:sz w:val="24"/>
                <w:lang w:val="en-US" w:eastAsia="zh-CN"/>
              </w:rPr>
              <w:t>,公共资源交易电子化平台网络网络设备、服务器安全有效；应急抢险救灾施工队伍储备库信息系统稳定通畅运行，需抽取时能立即抽取</w:t>
            </w:r>
          </w:p>
        </w:tc>
        <w:tc>
          <w:tcPr>
            <w:tcW w:w="19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≥99.99%</w:t>
            </w:r>
          </w:p>
        </w:tc>
        <w:tc>
          <w:tcPr>
            <w:tcW w:w="19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100%</w:t>
            </w:r>
          </w:p>
        </w:tc>
      </w:tr>
      <w:tr>
        <w:tblPrEx>
          <w:tblCellMar>
            <w:top w:w="0" w:type="dxa"/>
            <w:left w:w="0" w:type="dxa"/>
            <w:bottom w:w="0" w:type="dxa"/>
            <w:right w:w="0" w:type="dxa"/>
          </w:tblCellMar>
        </w:tblPrEx>
        <w:trPr>
          <w:trHeight w:val="678" w:hRule="atLeast"/>
          <w:jc w:val="center"/>
        </w:trPr>
        <w:tc>
          <w:tcPr>
            <w:tcW w:w="724" w:type="dxa"/>
            <w:vMerge w:val="continue"/>
            <w:tcBorders>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p>
        </w:tc>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项目完成指标</w:t>
            </w:r>
          </w:p>
        </w:tc>
        <w:tc>
          <w:tcPr>
            <w:tcW w:w="11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时效指标</w:t>
            </w:r>
          </w:p>
        </w:tc>
        <w:tc>
          <w:tcPr>
            <w:tcW w:w="32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完成时间</w:t>
            </w:r>
          </w:p>
        </w:tc>
        <w:tc>
          <w:tcPr>
            <w:tcW w:w="19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202</w:t>
            </w:r>
            <w:r>
              <w:rPr>
                <w:rFonts w:hint="eastAsia" w:ascii="仿宋_GB2312" w:hAnsi="仿宋_GB2312" w:eastAsia="仿宋_GB2312" w:cs="仿宋_GB2312"/>
                <w:color w:val="000000"/>
                <w:sz w:val="24"/>
                <w:lang w:val="en-US" w:eastAsia="zh-CN"/>
              </w:rPr>
              <w:t>1</w:t>
            </w:r>
            <w:r>
              <w:rPr>
                <w:rFonts w:hint="eastAsia" w:ascii="仿宋_GB2312" w:hAnsi="仿宋_GB2312" w:eastAsia="仿宋_GB2312" w:cs="仿宋_GB2312"/>
                <w:color w:val="000000"/>
                <w:sz w:val="24"/>
              </w:rPr>
              <w:t>年度</w:t>
            </w:r>
          </w:p>
        </w:tc>
        <w:tc>
          <w:tcPr>
            <w:tcW w:w="19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202</w:t>
            </w:r>
            <w:r>
              <w:rPr>
                <w:rFonts w:hint="eastAsia" w:ascii="仿宋_GB2312" w:hAnsi="仿宋_GB2312" w:eastAsia="仿宋_GB2312" w:cs="仿宋_GB2312"/>
                <w:color w:val="000000"/>
                <w:sz w:val="24"/>
                <w:lang w:val="en-US" w:eastAsia="zh-CN"/>
              </w:rPr>
              <w:t>1</w:t>
            </w:r>
            <w:r>
              <w:rPr>
                <w:rFonts w:hint="eastAsia" w:ascii="仿宋_GB2312" w:hAnsi="仿宋_GB2312" w:eastAsia="仿宋_GB2312" w:cs="仿宋_GB2312"/>
                <w:color w:val="000000"/>
                <w:sz w:val="24"/>
              </w:rPr>
              <w:t>年度</w:t>
            </w:r>
          </w:p>
        </w:tc>
      </w:tr>
      <w:tr>
        <w:tblPrEx>
          <w:tblCellMar>
            <w:top w:w="0" w:type="dxa"/>
            <w:left w:w="0" w:type="dxa"/>
            <w:bottom w:w="0" w:type="dxa"/>
            <w:right w:w="0" w:type="dxa"/>
          </w:tblCellMar>
        </w:tblPrEx>
        <w:trPr>
          <w:trHeight w:val="817" w:hRule="atLeast"/>
          <w:jc w:val="center"/>
        </w:trPr>
        <w:tc>
          <w:tcPr>
            <w:tcW w:w="724" w:type="dxa"/>
            <w:vMerge w:val="continue"/>
            <w:tcBorders>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p>
        </w:tc>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kern w:val="0"/>
                <w:sz w:val="24"/>
                <w:lang w:bidi="ar"/>
              </w:rPr>
            </w:pPr>
            <w:r>
              <w:rPr>
                <w:rFonts w:hint="eastAsia" w:ascii="仿宋_GB2312" w:hAnsi="仿宋_GB2312" w:eastAsia="仿宋_GB2312" w:cs="仿宋_GB2312"/>
                <w:color w:val="000000"/>
                <w:kern w:val="0"/>
                <w:sz w:val="24"/>
                <w:lang w:bidi="ar"/>
              </w:rPr>
              <w:t>项目完成指标</w:t>
            </w:r>
          </w:p>
        </w:tc>
        <w:tc>
          <w:tcPr>
            <w:tcW w:w="11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成本指标</w:t>
            </w:r>
          </w:p>
        </w:tc>
        <w:tc>
          <w:tcPr>
            <w:tcW w:w="32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rPr>
              <w:t>金财网、光纤互联网及政务外网年费</w:t>
            </w:r>
            <w:r>
              <w:rPr>
                <w:rFonts w:hint="eastAsia" w:ascii="仿宋_GB2312" w:hAnsi="仿宋_GB2312" w:eastAsia="仿宋_GB2312" w:cs="仿宋_GB2312"/>
                <w:color w:val="000000"/>
                <w:sz w:val="24"/>
                <w:lang w:val="en-US" w:eastAsia="zh-CN"/>
              </w:rPr>
              <w:t>,其他网络运维费支出,座机使用年费</w:t>
            </w:r>
          </w:p>
        </w:tc>
        <w:tc>
          <w:tcPr>
            <w:tcW w:w="19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10万元</w:t>
            </w:r>
          </w:p>
        </w:tc>
        <w:tc>
          <w:tcPr>
            <w:tcW w:w="19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lang w:val="en-US" w:eastAsia="zh-CN"/>
              </w:rPr>
            </w:pPr>
            <w:r>
              <w:rPr>
                <w:rFonts w:hint="eastAsia" w:ascii="仿宋_GB2312" w:hAnsi="仿宋_GB2312" w:eastAsia="仿宋_GB2312" w:cs="仿宋_GB2312"/>
                <w:color w:val="000000"/>
                <w:sz w:val="24"/>
                <w:lang w:val="en-US" w:eastAsia="zh-CN"/>
              </w:rPr>
              <w:t>已完成</w:t>
            </w:r>
          </w:p>
        </w:tc>
      </w:tr>
      <w:tr>
        <w:tblPrEx>
          <w:tblCellMar>
            <w:top w:w="0" w:type="dxa"/>
            <w:left w:w="0" w:type="dxa"/>
            <w:bottom w:w="0" w:type="dxa"/>
            <w:right w:w="0" w:type="dxa"/>
          </w:tblCellMar>
        </w:tblPrEx>
        <w:trPr>
          <w:trHeight w:val="686" w:hRule="atLeast"/>
          <w:jc w:val="center"/>
        </w:trPr>
        <w:tc>
          <w:tcPr>
            <w:tcW w:w="724" w:type="dxa"/>
            <w:vMerge w:val="continue"/>
            <w:tcBorders>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ascii="宋体" w:cs="宋体"/>
                <w:color w:val="000000"/>
                <w:sz w:val="24"/>
              </w:rPr>
            </w:pPr>
          </w:p>
        </w:tc>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效益指标</w:t>
            </w:r>
          </w:p>
        </w:tc>
        <w:tc>
          <w:tcPr>
            <w:tcW w:w="11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社会效益</w:t>
            </w:r>
          </w:p>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指标</w:t>
            </w:r>
          </w:p>
        </w:tc>
        <w:tc>
          <w:tcPr>
            <w:tcW w:w="32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 xml:space="preserve"> 公共资源电子化交易活动正常运行</w:t>
            </w:r>
          </w:p>
        </w:tc>
        <w:tc>
          <w:tcPr>
            <w:tcW w:w="19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≥99.99%</w:t>
            </w:r>
          </w:p>
        </w:tc>
        <w:tc>
          <w:tcPr>
            <w:tcW w:w="19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≥99.99%</w:t>
            </w:r>
          </w:p>
        </w:tc>
      </w:tr>
      <w:tr>
        <w:tblPrEx>
          <w:tblCellMar>
            <w:top w:w="0" w:type="dxa"/>
            <w:left w:w="0" w:type="dxa"/>
            <w:bottom w:w="0" w:type="dxa"/>
            <w:right w:w="0" w:type="dxa"/>
          </w:tblCellMar>
        </w:tblPrEx>
        <w:trPr>
          <w:trHeight w:val="917" w:hRule="atLeast"/>
          <w:jc w:val="center"/>
        </w:trPr>
        <w:tc>
          <w:tcPr>
            <w:tcW w:w="724" w:type="dxa"/>
            <w:vMerge w:val="continue"/>
            <w:tcBorders>
              <w:left w:val="single" w:color="000000" w:sz="4" w:space="0"/>
              <w:bottom w:val="single" w:color="auto" w:sz="4" w:space="0"/>
              <w:right w:val="single" w:color="000000" w:sz="4" w:space="0"/>
            </w:tcBorders>
            <w:noWrap w:val="0"/>
            <w:tcMar>
              <w:top w:w="15" w:type="dxa"/>
              <w:left w:w="15" w:type="dxa"/>
              <w:right w:w="15" w:type="dxa"/>
            </w:tcMar>
            <w:vAlign w:val="center"/>
          </w:tcPr>
          <w:p>
            <w:pPr>
              <w:widowControl/>
              <w:jc w:val="center"/>
              <w:textAlignment w:val="center"/>
              <w:rPr>
                <w:rFonts w:ascii="宋体" w:cs="宋体"/>
                <w:color w:val="000000"/>
                <w:sz w:val="24"/>
              </w:rPr>
            </w:pPr>
          </w:p>
        </w:tc>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满意度指标</w:t>
            </w:r>
          </w:p>
        </w:tc>
        <w:tc>
          <w:tcPr>
            <w:tcW w:w="11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满意度指标</w:t>
            </w:r>
          </w:p>
        </w:tc>
        <w:tc>
          <w:tcPr>
            <w:tcW w:w="322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相关交易主体对公共资源电子化交易平台使用满意率</w:t>
            </w:r>
          </w:p>
        </w:tc>
        <w:tc>
          <w:tcPr>
            <w:tcW w:w="19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≥90%</w:t>
            </w:r>
          </w:p>
        </w:tc>
        <w:tc>
          <w:tcPr>
            <w:tcW w:w="196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≥90%</w:t>
            </w:r>
          </w:p>
        </w:tc>
      </w:tr>
    </w:tbl>
    <w:p>
      <w:pPr>
        <w:spacing w:line="580" w:lineRule="exact"/>
        <w:rPr>
          <w:rFonts w:ascii="仿宋_GB2312" w:hAnsi="仿宋_GB2312" w:eastAsia="仿宋_GB2312" w:cs="仿宋_GB2312"/>
          <w:sz w:val="32"/>
          <w:szCs w:val="32"/>
        </w:rPr>
      </w:pPr>
      <w:r>
        <w:rPr>
          <w:rFonts w:hint="eastAsia" w:ascii="黑体" w:hAnsi="黑体" w:eastAsia="黑体" w:cs="黑体"/>
          <w:sz w:val="32"/>
          <w:szCs w:val="32"/>
        </w:rPr>
        <w:t>附件</w:t>
      </w:r>
      <w:r>
        <w:rPr>
          <w:rFonts w:ascii="黑体" w:hAnsi="黑体" w:eastAsia="黑体" w:cs="黑体"/>
          <w:sz w:val="32"/>
          <w:szCs w:val="32"/>
        </w:rPr>
        <w:t>2</w:t>
      </w:r>
    </w:p>
    <w:p>
      <w:pPr>
        <w:spacing w:line="580" w:lineRule="exact"/>
        <w:ind w:firstLine="640" w:firstLineChars="200"/>
        <w:rPr>
          <w:rFonts w:ascii="仿宋_GB2312" w:hAnsi="仿宋_GB2312" w:eastAsia="仿宋_GB2312" w:cs="仿宋_GB2312"/>
          <w:sz w:val="32"/>
          <w:szCs w:val="32"/>
        </w:rPr>
      </w:pPr>
    </w:p>
    <w:p>
      <w:pPr>
        <w:spacing w:line="600" w:lineRule="exact"/>
        <w:jc w:val="center"/>
        <w:rPr>
          <w:rFonts w:hint="eastAsia" w:ascii="方正小标宋简体" w:hAnsi="宋体" w:eastAsia="方正小标宋简体"/>
          <w:color w:val="000000"/>
          <w:kern w:val="0"/>
          <w:sz w:val="44"/>
          <w:szCs w:val="44"/>
        </w:rPr>
      </w:pPr>
      <w:r>
        <w:rPr>
          <w:rFonts w:hint="eastAsia" w:ascii="方正小标宋简体" w:hAnsi="宋体" w:eastAsia="方正小标宋简体"/>
          <w:color w:val="000000"/>
          <w:kern w:val="0"/>
          <w:sz w:val="44"/>
          <w:szCs w:val="44"/>
        </w:rPr>
        <w:t>土地出让工作经费</w:t>
      </w:r>
    </w:p>
    <w:p>
      <w:pPr>
        <w:spacing w:line="600" w:lineRule="exact"/>
        <w:jc w:val="center"/>
        <w:rPr>
          <w:rFonts w:ascii="方正小标宋简体" w:hAnsi="宋体" w:eastAsia="方正小标宋简体"/>
          <w:color w:val="000000"/>
          <w:kern w:val="0"/>
          <w:sz w:val="44"/>
          <w:szCs w:val="44"/>
          <w:lang w:val="zh-CN"/>
        </w:rPr>
      </w:pPr>
      <w:r>
        <w:rPr>
          <w:rFonts w:hint="eastAsia" w:ascii="方正小标宋简体" w:hAnsi="宋体" w:eastAsia="方正小标宋简体"/>
          <w:color w:val="000000"/>
          <w:kern w:val="0"/>
          <w:sz w:val="44"/>
          <w:szCs w:val="44"/>
          <w:lang w:val="zh-CN"/>
        </w:rPr>
        <w:t>项目</w:t>
      </w:r>
      <w:r>
        <w:rPr>
          <w:rFonts w:ascii="方正小标宋简体" w:hAnsi="宋体" w:eastAsia="方正小标宋简体"/>
          <w:color w:val="000000"/>
          <w:kern w:val="0"/>
          <w:sz w:val="44"/>
          <w:szCs w:val="44"/>
        </w:rPr>
        <w:t>202</w:t>
      </w:r>
      <w:r>
        <w:rPr>
          <w:rFonts w:hint="eastAsia" w:ascii="方正小标宋简体" w:hAnsi="宋体" w:eastAsia="方正小标宋简体"/>
          <w:color w:val="000000"/>
          <w:kern w:val="0"/>
          <w:sz w:val="44"/>
          <w:szCs w:val="44"/>
        </w:rPr>
        <w:t>1年</w:t>
      </w:r>
      <w:r>
        <w:rPr>
          <w:rFonts w:hint="eastAsia" w:ascii="方正小标宋简体" w:hAnsi="宋体" w:eastAsia="方正小标宋简体"/>
          <w:color w:val="000000"/>
          <w:kern w:val="0"/>
          <w:sz w:val="44"/>
          <w:szCs w:val="44"/>
          <w:lang w:val="zh-CN"/>
        </w:rPr>
        <w:t>绩效评价报告</w:t>
      </w:r>
    </w:p>
    <w:p>
      <w:pPr>
        <w:spacing w:line="600" w:lineRule="exact"/>
        <w:rPr>
          <w:rFonts w:ascii="宋体"/>
          <w:sz w:val="32"/>
          <w:szCs w:val="32"/>
          <w:lang w:val="zh-CN"/>
        </w:rPr>
      </w:pPr>
    </w:p>
    <w:p>
      <w:pPr>
        <w:adjustRightInd w:val="0"/>
        <w:snapToGrid w:val="0"/>
        <w:spacing w:line="600" w:lineRule="exact"/>
        <w:ind w:firstLine="720"/>
        <w:rPr>
          <w:rFonts w:ascii="黑体" w:hAnsi="宋体" w:eastAsia="黑体"/>
          <w:sz w:val="32"/>
          <w:szCs w:val="32"/>
          <w:lang w:val="zh-CN"/>
        </w:rPr>
      </w:pPr>
      <w:bookmarkStart w:id="120" w:name="_Toc1976160710_WPSOffice_Level2"/>
      <w:r>
        <w:rPr>
          <w:rFonts w:hint="eastAsia" w:ascii="黑体" w:hAnsi="宋体" w:eastAsia="黑体"/>
          <w:sz w:val="32"/>
          <w:szCs w:val="32"/>
        </w:rPr>
        <w:t>一、</w:t>
      </w:r>
      <w:r>
        <w:rPr>
          <w:rFonts w:hint="eastAsia" w:ascii="黑体" w:hAnsi="宋体" w:eastAsia="黑体"/>
          <w:sz w:val="32"/>
          <w:szCs w:val="32"/>
          <w:lang w:val="zh-CN"/>
        </w:rPr>
        <w:t>项目概况</w:t>
      </w:r>
      <w:bookmarkEnd w:id="120"/>
    </w:p>
    <w:p>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（一）项目基本情况</w:t>
      </w:r>
    </w:p>
    <w:p>
      <w:pPr>
        <w:adjustRightInd w:val="0"/>
        <w:snapToGrid w:val="0"/>
        <w:spacing w:line="600" w:lineRule="exact"/>
        <w:ind w:firstLine="720"/>
        <w:rPr>
          <w:rFonts w:hint="eastAsia" w:ascii="仿宋_GB2312" w:hAnsi="仿宋_GB2312" w:eastAsia="仿宋_GB2312" w:cs="仿宋_GB2312"/>
          <w:color w:val="000000"/>
          <w:sz w:val="32"/>
          <w:szCs w:val="32"/>
        </w:rPr>
      </w:pPr>
      <w:r>
        <w:rPr>
          <w:rFonts w:ascii="仿宋_GB2312" w:hAnsi="宋体" w:eastAsia="仿宋_GB2312"/>
          <w:sz w:val="32"/>
          <w:szCs w:val="32"/>
          <w:lang w:val="zh-CN"/>
        </w:rPr>
        <w:t>1</w:t>
      </w:r>
      <w:r>
        <w:rPr>
          <w:rFonts w:hint="eastAsia" w:ascii="仿宋_GB2312" w:hAnsi="宋体" w:eastAsia="仿宋_GB2312"/>
          <w:sz w:val="32"/>
          <w:szCs w:val="32"/>
          <w:lang w:val="zh-CN"/>
        </w:rPr>
        <w:t>．</w:t>
      </w:r>
      <w:r>
        <w:rPr>
          <w:rFonts w:hint="eastAsia" w:ascii="仿宋_GB2312" w:hAnsi="仿宋_GB2312" w:eastAsia="仿宋_GB2312" w:cs="仿宋_GB2312"/>
          <w:color w:val="000000"/>
          <w:kern w:val="0"/>
          <w:sz w:val="32"/>
          <w:szCs w:val="32"/>
          <w:shd w:val="clear" w:color="auto" w:fill="FFFFFF"/>
          <w:lang w:val="zh-CN"/>
        </w:rPr>
        <w:t>广元市</w:t>
      </w:r>
      <w:r>
        <w:rPr>
          <w:rFonts w:hint="eastAsia" w:ascii="仿宋_GB2312" w:hAnsi="仿宋_GB2312" w:eastAsia="仿宋_GB2312" w:cs="仿宋_GB2312"/>
          <w:color w:val="000000"/>
          <w:sz w:val="32"/>
          <w:szCs w:val="32"/>
        </w:rPr>
        <w:t>公共资源交易信息中心是经市委、市政府批准设立的公益一类事业单位，直属市政务服务和公共资源交易中心。根据该部门“</w:t>
      </w:r>
      <w:r>
        <w:rPr>
          <w:rFonts w:hint="eastAsia" w:ascii="仿宋_GB2312" w:hAnsi="仿宋_GB2312" w:eastAsia="仿宋_GB2312" w:cs="仿宋_GB2312"/>
          <w:sz w:val="32"/>
          <w:szCs w:val="32"/>
        </w:rPr>
        <w:t>贯彻实施公共资源交易相关法律、法规和政策，为公共资源交易活动提供场所、设施和服务。”及</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sz w:val="32"/>
          <w:szCs w:val="32"/>
        </w:rPr>
        <w:t>承担全市工程建设招投标现场服务和管理工作，负责政府采购活动现场服务和管理工作，负责国有产权、特许经营权出（转）让等现场服务和管理工作，负责国有土地、矿业权出（转）让提供交易服务</w:t>
      </w:r>
      <w:r>
        <w:rPr>
          <w:rFonts w:hint="eastAsia" w:ascii="仿宋_GB2312" w:hAnsi="仿宋_GB2312" w:eastAsia="仿宋_GB2312" w:cs="仿宋_GB2312"/>
          <w:color w:val="000000"/>
          <w:sz w:val="32"/>
          <w:szCs w:val="32"/>
        </w:rPr>
        <w:t>”的职能申请设立了“土地出让工作经费”项目预算。</w:t>
      </w:r>
      <w:r>
        <w:rPr>
          <w:rFonts w:hint="eastAsia" w:ascii="仿宋_GB2312" w:hAnsi="仿宋_GB2312" w:eastAsia="仿宋_GB2312" w:cs="仿宋_GB2312"/>
          <w:sz w:val="32"/>
          <w:szCs w:val="32"/>
        </w:rPr>
        <w:t>作为开展土地出让工作必需的工作业务费。</w:t>
      </w:r>
    </w:p>
    <w:p>
      <w:pPr>
        <w:adjustRightInd w:val="0"/>
        <w:snapToGrid w:val="0"/>
        <w:spacing w:line="600" w:lineRule="exact"/>
        <w:ind w:firstLine="720"/>
        <w:rPr>
          <w:rFonts w:hint="eastAsia" w:ascii="仿宋_GB2312" w:hAnsi="仿宋_GB2312" w:eastAsia="仿宋_GB2312" w:cs="仿宋_GB2312"/>
          <w:sz w:val="32"/>
          <w:szCs w:val="32"/>
        </w:rPr>
      </w:pPr>
      <w:r>
        <w:rPr>
          <w:rFonts w:ascii="仿宋_GB2312" w:hAnsi="宋体" w:eastAsia="仿宋_GB2312"/>
          <w:sz w:val="32"/>
          <w:szCs w:val="32"/>
          <w:lang w:val="zh-CN"/>
        </w:rPr>
        <w:t>2</w:t>
      </w:r>
      <w:r>
        <w:rPr>
          <w:rFonts w:hint="eastAsia" w:ascii="仿宋_GB2312" w:hAnsi="宋体" w:eastAsia="仿宋_GB2312"/>
          <w:sz w:val="32"/>
          <w:szCs w:val="32"/>
          <w:lang w:val="zh-CN"/>
        </w:rPr>
        <w:t>．</w:t>
      </w:r>
      <w:r>
        <w:rPr>
          <w:rFonts w:hint="eastAsia" w:ascii="仿宋_GB2312" w:hAnsi="仿宋_GB2312" w:eastAsia="仿宋_GB2312" w:cs="仿宋_GB2312"/>
          <w:color w:val="000000"/>
          <w:sz w:val="32"/>
          <w:szCs w:val="32"/>
        </w:rPr>
        <w:t>土地出让工作经费</w:t>
      </w:r>
      <w:r>
        <w:rPr>
          <w:rFonts w:hint="eastAsia" w:ascii="仿宋_GB2312" w:hAnsi="仿宋_GB2312" w:eastAsia="仿宋_GB2312" w:cs="仿宋_GB2312"/>
          <w:sz w:val="32"/>
          <w:szCs w:val="32"/>
          <w:lang w:val="zh-CN"/>
        </w:rPr>
        <w:t>项目是根据《中华人民共和国土地管理法》《中华人民共和国拍卖法》的相关规定及以前年度土地出让情况和市财政下达的</w:t>
      </w:r>
      <w:r>
        <w:rPr>
          <w:rFonts w:hint="eastAsia" w:ascii="仿宋_GB2312" w:hAnsi="仿宋_GB2312" w:eastAsia="仿宋_GB2312" w:cs="仿宋_GB2312"/>
          <w:sz w:val="32"/>
          <w:szCs w:val="32"/>
        </w:rPr>
        <w:t>2021</w:t>
      </w:r>
      <w:r>
        <w:rPr>
          <w:rFonts w:hint="eastAsia" w:ascii="仿宋_GB2312" w:hAnsi="仿宋_GB2312" w:eastAsia="仿宋_GB2312" w:cs="仿宋_GB2312"/>
          <w:sz w:val="32"/>
          <w:szCs w:val="32"/>
          <w:lang w:val="zh-CN"/>
        </w:rPr>
        <w:t>年度非税征收任务申报年初项目预算</w:t>
      </w:r>
      <w:r>
        <w:rPr>
          <w:rFonts w:hint="eastAsia" w:ascii="仿宋_GB2312" w:hAnsi="仿宋_GB2312" w:eastAsia="仿宋_GB2312" w:cs="仿宋_GB2312"/>
          <w:sz w:val="32"/>
          <w:szCs w:val="32"/>
        </w:rPr>
        <w:t>38.76万元。</w:t>
      </w:r>
    </w:p>
    <w:p>
      <w:pPr>
        <w:adjustRightInd w:val="0"/>
        <w:snapToGrid w:val="0"/>
        <w:spacing w:line="600" w:lineRule="exact"/>
        <w:ind w:firstLine="720"/>
        <w:rPr>
          <w:rFonts w:hint="eastAsia" w:ascii="仿宋_GB2312" w:hAnsi="仿宋_GB2312" w:eastAsia="仿宋_GB2312" w:cs="仿宋_GB2312"/>
          <w:color w:val="000000"/>
          <w:sz w:val="32"/>
          <w:szCs w:val="32"/>
        </w:rPr>
      </w:pPr>
      <w:r>
        <w:rPr>
          <w:rFonts w:ascii="仿宋_GB2312" w:hAnsi="宋体" w:eastAsia="仿宋_GB2312"/>
          <w:sz w:val="32"/>
          <w:szCs w:val="32"/>
          <w:lang w:val="zh-CN"/>
        </w:rPr>
        <w:t>3</w:t>
      </w:r>
      <w:r>
        <w:rPr>
          <w:rFonts w:hint="eastAsia" w:ascii="仿宋_GB2312" w:hAnsi="宋体" w:eastAsia="仿宋_GB2312"/>
          <w:sz w:val="32"/>
          <w:szCs w:val="32"/>
          <w:lang w:val="zh-CN"/>
        </w:rPr>
        <w:t>．</w:t>
      </w:r>
      <w:r>
        <w:rPr>
          <w:rFonts w:hint="eastAsia" w:ascii="仿宋_GB2312" w:hAnsi="仿宋_GB2312" w:eastAsia="仿宋_GB2312" w:cs="仿宋_GB2312"/>
          <w:color w:val="000000"/>
          <w:sz w:val="32"/>
          <w:szCs w:val="32"/>
        </w:rPr>
        <w:t>土地出让工作经费主要用于支付土地拍卖机构劳务费、土地出让公告费、以及其他为完成年度非税征收任务而进行的必要开支。支付标准为</w:t>
      </w:r>
      <w:r>
        <w:rPr>
          <w:rFonts w:hint="eastAsia" w:ascii="仿宋_GB2312" w:hAnsi="仿宋_GB2312" w:eastAsia="仿宋_GB2312" w:cs="仿宋_GB2312"/>
          <w:sz w:val="32"/>
          <w:szCs w:val="32"/>
        </w:rPr>
        <w:t>有关财务管理制度、规定以及</w:t>
      </w:r>
      <w:r>
        <w:rPr>
          <w:rFonts w:hint="eastAsia" w:ascii="仿宋_GB2312" w:hAnsi="仿宋_GB2312" w:eastAsia="仿宋_GB2312" w:cs="仿宋_GB2312"/>
          <w:color w:val="000000"/>
          <w:sz w:val="32"/>
          <w:szCs w:val="32"/>
        </w:rPr>
        <w:t>中心与拍卖机构签订的费用支付协议等。</w:t>
      </w:r>
    </w:p>
    <w:p>
      <w:pPr>
        <w:adjustRightInd w:val="0"/>
        <w:snapToGrid w:val="0"/>
        <w:spacing w:line="600" w:lineRule="exact"/>
        <w:ind w:firstLine="72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4．资金分配时根据重要性及及时性原则优先支付拍卖机构的劳务报酬，根据约定土地拍卖工作完成后及时支付。在资金充足情况下合理支付其他必要开支。</w:t>
      </w:r>
    </w:p>
    <w:p>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（二）项目绩效目标</w:t>
      </w:r>
    </w:p>
    <w:p>
      <w:pPr>
        <w:adjustRightInd w:val="0"/>
        <w:snapToGrid w:val="0"/>
        <w:spacing w:line="600" w:lineRule="exact"/>
        <w:ind w:firstLine="720"/>
        <w:rPr>
          <w:rFonts w:hint="eastAsia" w:ascii="仿宋_GB2312" w:hAnsi="宋体" w:eastAsia="仿宋_GB2312"/>
          <w:sz w:val="32"/>
          <w:szCs w:val="32"/>
          <w:lang w:val="zh-CN"/>
        </w:rPr>
      </w:pPr>
      <w:r>
        <w:rPr>
          <w:rFonts w:ascii="仿宋_GB2312" w:hAnsi="宋体" w:eastAsia="仿宋_GB2312"/>
          <w:sz w:val="32"/>
          <w:szCs w:val="32"/>
          <w:lang w:val="zh-CN"/>
        </w:rPr>
        <w:t>1</w:t>
      </w:r>
      <w:r>
        <w:rPr>
          <w:rFonts w:hint="eastAsia" w:ascii="仿宋_GB2312" w:hAnsi="宋体" w:eastAsia="仿宋_GB2312"/>
          <w:sz w:val="32"/>
          <w:szCs w:val="32"/>
          <w:lang w:val="zh-CN"/>
        </w:rPr>
        <w:t>．项目主要内容：完成202</w:t>
      </w:r>
      <w:r>
        <w:rPr>
          <w:rFonts w:hint="eastAsia" w:ascii="仿宋_GB2312" w:hAnsi="宋体" w:eastAsia="仿宋_GB2312"/>
          <w:sz w:val="32"/>
          <w:szCs w:val="32"/>
        </w:rPr>
        <w:t>1</w:t>
      </w:r>
      <w:r>
        <w:rPr>
          <w:rFonts w:hint="eastAsia" w:ascii="仿宋_GB2312" w:hAnsi="宋体" w:eastAsia="仿宋_GB2312"/>
          <w:sz w:val="32"/>
          <w:szCs w:val="32"/>
          <w:lang w:val="zh-CN"/>
        </w:rPr>
        <w:t>年度土地（或矿权）出让1</w:t>
      </w:r>
      <w:r>
        <w:rPr>
          <w:rFonts w:hint="eastAsia" w:ascii="仿宋_GB2312" w:hAnsi="宋体" w:eastAsia="仿宋_GB2312"/>
          <w:sz w:val="32"/>
          <w:szCs w:val="32"/>
        </w:rPr>
        <w:t>7</w:t>
      </w:r>
      <w:r>
        <w:rPr>
          <w:rFonts w:hint="eastAsia" w:ascii="仿宋_GB2312" w:hAnsi="宋体" w:eastAsia="仿宋_GB2312"/>
          <w:sz w:val="32"/>
          <w:szCs w:val="32"/>
          <w:lang w:val="zh-CN"/>
        </w:rPr>
        <w:t>宗，完成年度非税征收任务700万元。</w:t>
      </w:r>
    </w:p>
    <w:p>
      <w:pPr>
        <w:adjustRightInd w:val="0"/>
        <w:snapToGrid w:val="0"/>
        <w:spacing w:line="600" w:lineRule="exact"/>
        <w:ind w:firstLine="720"/>
        <w:rPr>
          <w:rFonts w:ascii="仿宋_GB2312" w:hAnsi="宋体" w:eastAsia="仿宋_GB2312"/>
          <w:sz w:val="32"/>
          <w:szCs w:val="32"/>
        </w:rPr>
      </w:pPr>
      <w:r>
        <w:rPr>
          <w:rFonts w:ascii="仿宋_GB2312" w:hAnsi="宋体" w:eastAsia="仿宋_GB2312"/>
          <w:sz w:val="32"/>
          <w:szCs w:val="32"/>
          <w:lang w:val="zh-CN"/>
        </w:rPr>
        <w:t>2</w:t>
      </w:r>
      <w:r>
        <w:rPr>
          <w:rFonts w:hint="eastAsia" w:ascii="仿宋_GB2312" w:hAnsi="宋体" w:eastAsia="仿宋_GB2312"/>
          <w:sz w:val="32"/>
          <w:szCs w:val="32"/>
          <w:lang w:val="zh-CN"/>
        </w:rPr>
        <w:t>．</w:t>
      </w:r>
      <w:r>
        <w:rPr>
          <w:rFonts w:hint="eastAsia" w:ascii="仿宋_GB2312" w:hAnsi="仿宋_GB2312" w:eastAsia="仿宋_GB2312" w:cs="仿宋_GB2312"/>
          <w:sz w:val="32"/>
          <w:szCs w:val="32"/>
        </w:rPr>
        <w:t>2021年设定项目绩效目标：预计</w:t>
      </w:r>
      <w:r>
        <w:rPr>
          <w:rFonts w:hint="eastAsia" w:ascii="仿宋_GB2312" w:hAnsi="宋体" w:eastAsia="仿宋_GB2312"/>
          <w:sz w:val="32"/>
          <w:szCs w:val="32"/>
          <w:lang w:val="zh-CN"/>
        </w:rPr>
        <w:t>完成2020年度土地（或矿权）出让10余宗；完成年度非税征收任务700万元；</w:t>
      </w:r>
      <w:r>
        <w:rPr>
          <w:rFonts w:hint="eastAsia" w:ascii="仿宋_GB2312" w:hAnsi="宋体" w:eastAsia="仿宋_GB2312"/>
          <w:sz w:val="32"/>
          <w:szCs w:val="32"/>
        </w:rPr>
        <w:t>2020年12月31日前完成非税征收任务；</w:t>
      </w:r>
      <w:r>
        <w:rPr>
          <w:rFonts w:hint="eastAsia" w:ascii="仿宋_GB2312" w:hAnsi="宋体" w:eastAsia="仿宋_GB2312"/>
          <w:sz w:val="32"/>
          <w:szCs w:val="32"/>
          <w:lang w:val="zh-CN"/>
        </w:rPr>
        <w:t>拍卖机构满意度达</w:t>
      </w:r>
      <w:r>
        <w:rPr>
          <w:rFonts w:hint="eastAsia" w:ascii="仿宋_GB2312" w:hAnsi="宋体" w:eastAsia="仿宋_GB2312"/>
          <w:sz w:val="32"/>
          <w:szCs w:val="32"/>
        </w:rPr>
        <w:t>100%。</w:t>
      </w:r>
    </w:p>
    <w:p>
      <w:pPr>
        <w:adjustRightInd w:val="0"/>
        <w:snapToGrid w:val="0"/>
        <w:spacing w:line="600" w:lineRule="exact"/>
        <w:ind w:firstLine="720"/>
        <w:rPr>
          <w:rFonts w:ascii="仿宋_GB2312" w:hAnsi="宋体" w:eastAsia="仿宋_GB2312"/>
          <w:sz w:val="32"/>
          <w:szCs w:val="32"/>
          <w:lang w:val="zh-CN"/>
        </w:rPr>
      </w:pPr>
      <w:r>
        <w:rPr>
          <w:rFonts w:ascii="仿宋_GB2312" w:hAnsi="宋体" w:eastAsia="仿宋_GB2312"/>
          <w:sz w:val="32"/>
          <w:szCs w:val="32"/>
          <w:lang w:val="zh-CN"/>
        </w:rPr>
        <w:t>3</w:t>
      </w:r>
      <w:r>
        <w:rPr>
          <w:rFonts w:hint="eastAsia" w:ascii="仿宋_GB2312" w:hAnsi="宋体" w:eastAsia="仿宋_GB2312"/>
          <w:sz w:val="32"/>
          <w:szCs w:val="32"/>
          <w:lang w:val="zh-CN"/>
        </w:rPr>
        <w:t>．经分析土地出让工作经费项目申报内容与实际相符，申报目标合理可行，能够保证全市土地出让活动的顺利进行，能按时完成财政下达的年度非税任务。</w:t>
      </w:r>
    </w:p>
    <w:p>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（三）项目自评步骤及方法</w:t>
      </w:r>
    </w:p>
    <w:p>
      <w:pPr>
        <w:adjustRightInd w:val="0"/>
        <w:snapToGrid w:val="0"/>
        <w:spacing w:line="600" w:lineRule="exact"/>
        <w:ind w:firstLine="720"/>
        <w:rPr>
          <w:rFonts w:ascii="仿宋_GB2312" w:hAnsi="宋体" w:eastAsia="仿宋_GB2312"/>
          <w:sz w:val="32"/>
          <w:szCs w:val="32"/>
          <w:lang w:val="zh-CN"/>
        </w:rPr>
      </w:pPr>
      <w:r>
        <w:rPr>
          <w:rFonts w:hint="eastAsia" w:ascii="仿宋_GB2312" w:hAnsi="宋体" w:eastAsia="仿宋_GB2312"/>
          <w:sz w:val="32"/>
          <w:szCs w:val="32"/>
          <w:lang w:val="zh-CN"/>
        </w:rPr>
        <w:t>由涉及相关业务科室先自评，再由中心领导班子组织审评。</w:t>
      </w:r>
    </w:p>
    <w:p>
      <w:pPr>
        <w:adjustRightInd w:val="0"/>
        <w:snapToGrid w:val="0"/>
        <w:spacing w:line="600" w:lineRule="exact"/>
        <w:ind w:firstLine="720"/>
        <w:rPr>
          <w:rFonts w:ascii="黑体" w:hAnsi="宋体" w:eastAsia="黑体"/>
          <w:sz w:val="32"/>
          <w:szCs w:val="32"/>
        </w:rPr>
      </w:pPr>
      <w:bookmarkStart w:id="121" w:name="_Toc226755803_WPSOffice_Level2"/>
      <w:r>
        <w:rPr>
          <w:rFonts w:hint="eastAsia" w:ascii="黑体" w:hAnsi="宋体" w:eastAsia="黑体"/>
          <w:sz w:val="32"/>
          <w:szCs w:val="32"/>
        </w:rPr>
        <w:t>二、项目资金申报及使用情况</w:t>
      </w:r>
      <w:bookmarkEnd w:id="121"/>
    </w:p>
    <w:p>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（一）项目资金申报及批复情况</w:t>
      </w:r>
    </w:p>
    <w:p>
      <w:pPr>
        <w:adjustRightInd w:val="0"/>
        <w:snapToGrid w:val="0"/>
        <w:spacing w:line="600" w:lineRule="exact"/>
        <w:ind w:firstLine="720"/>
        <w:rPr>
          <w:rFonts w:ascii="仿宋_GB2312" w:hAnsi="宋体" w:eastAsia="仿宋_GB2312"/>
          <w:sz w:val="32"/>
          <w:szCs w:val="32"/>
        </w:rPr>
      </w:pPr>
      <w:r>
        <w:rPr>
          <w:rFonts w:hint="eastAsia" w:ascii="仿宋_GB2312" w:hAnsi="宋体" w:eastAsia="仿宋_GB2312"/>
          <w:sz w:val="32"/>
          <w:szCs w:val="32"/>
          <w:lang w:val="zh-CN"/>
        </w:rPr>
        <w:t>土地出让工作经费预算申报</w:t>
      </w:r>
      <w:r>
        <w:rPr>
          <w:rFonts w:hint="eastAsia" w:ascii="仿宋_GB2312" w:hAnsi="宋体" w:eastAsia="仿宋_GB2312"/>
          <w:sz w:val="32"/>
          <w:szCs w:val="32"/>
        </w:rPr>
        <w:t>38.76万元，财政下达预算批复38.76万元。</w:t>
      </w:r>
    </w:p>
    <w:p>
      <w:pPr>
        <w:numPr>
          <w:ilvl w:val="0"/>
          <w:numId w:val="0"/>
        </w:numPr>
        <w:adjustRightInd w:val="0"/>
        <w:snapToGrid w:val="0"/>
        <w:spacing w:line="600" w:lineRule="exact"/>
        <w:ind w:firstLine="643" w:firstLineChars="200"/>
        <w:rPr>
          <w:rFonts w:hint="eastAsia" w:ascii="楷体_GB2312" w:hAnsi="宋体" w:eastAsia="楷体_GB2312"/>
          <w:b/>
          <w:sz w:val="32"/>
          <w:szCs w:val="32"/>
          <w:lang w:val="zh-CN"/>
        </w:rPr>
      </w:pPr>
      <w:r>
        <w:rPr>
          <w:rFonts w:hint="eastAsia" w:ascii="楷体_GB2312" w:hAnsi="宋体" w:eastAsia="楷体_GB2312"/>
          <w:b/>
          <w:sz w:val="32"/>
          <w:szCs w:val="32"/>
          <w:lang w:val="zh-CN"/>
        </w:rPr>
        <w:t>（二）资金计划、到位及使用情况（可用表格形式反映）</w:t>
      </w:r>
    </w:p>
    <w:p>
      <w:pPr>
        <w:pStyle w:val="6"/>
        <w:spacing w:before="93" w:line="576" w:lineRule="exact"/>
        <w:ind w:firstLine="640" w:firstLineChars="200"/>
        <w:rPr>
          <w:rFonts w:hint="eastAsia" w:hAnsi="宋体"/>
          <w:kern w:val="2"/>
          <w:sz w:val="32"/>
          <w:szCs w:val="32"/>
          <w:lang w:val="zh-CN"/>
        </w:rPr>
      </w:pPr>
      <w:r>
        <w:rPr>
          <w:rFonts w:hint="eastAsia" w:hAnsi="宋体"/>
          <w:kern w:val="2"/>
          <w:sz w:val="32"/>
          <w:szCs w:val="32"/>
          <w:lang w:val="zh-CN"/>
        </w:rPr>
        <w:t>在项目执行过程中，严格遵守相关法律法规和单位工作制度，项目基础业务信息资料齐全并及时归档，项目实施的人员条件、信息支撑等落实到位。</w:t>
      </w:r>
    </w:p>
    <w:p>
      <w:pPr>
        <w:pStyle w:val="6"/>
        <w:spacing w:before="93" w:line="576" w:lineRule="exact"/>
        <w:ind w:firstLine="640" w:firstLineChars="200"/>
        <w:rPr>
          <w:rFonts w:hint="eastAsia" w:hAnsi="宋体"/>
          <w:kern w:val="2"/>
          <w:sz w:val="32"/>
          <w:szCs w:val="32"/>
          <w:lang w:val="zh-CN"/>
        </w:rPr>
      </w:pP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3"/>
        <w:gridCol w:w="2188"/>
        <w:gridCol w:w="2335"/>
        <w:gridCol w:w="3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trPr>
        <w:tc>
          <w:tcPr>
            <w:tcW w:w="1663" w:type="dxa"/>
            <w:noWrap w:val="0"/>
            <w:vAlign w:val="center"/>
          </w:tcPr>
          <w:p>
            <w:pPr>
              <w:pStyle w:val="6"/>
              <w:snapToGrid w:val="0"/>
              <w:spacing w:before="93"/>
              <w:jc w:val="center"/>
              <w:rPr>
                <w:rFonts w:hint="eastAsia" w:hAnsi="宋体"/>
                <w:kern w:val="2"/>
                <w:sz w:val="32"/>
                <w:szCs w:val="32"/>
                <w:lang w:val="zh-CN"/>
              </w:rPr>
            </w:pPr>
          </w:p>
          <w:p>
            <w:pPr>
              <w:pStyle w:val="6"/>
              <w:spacing w:before="93" w:line="576" w:lineRule="exact"/>
              <w:jc w:val="center"/>
              <w:rPr>
                <w:rFonts w:hint="eastAsia" w:hAnsi="宋体"/>
                <w:kern w:val="2"/>
                <w:sz w:val="32"/>
                <w:szCs w:val="32"/>
                <w:lang w:val="zh-CN"/>
              </w:rPr>
            </w:pPr>
          </w:p>
        </w:tc>
        <w:tc>
          <w:tcPr>
            <w:tcW w:w="2188" w:type="dxa"/>
            <w:noWrap w:val="0"/>
            <w:vAlign w:val="center"/>
          </w:tcPr>
          <w:p>
            <w:pPr>
              <w:pStyle w:val="6"/>
              <w:spacing w:before="93" w:line="576" w:lineRule="exact"/>
              <w:jc w:val="center"/>
              <w:rPr>
                <w:rFonts w:hint="eastAsia" w:ascii="黑体" w:hAnsi="黑体" w:eastAsia="黑体" w:cs="黑体"/>
                <w:kern w:val="2"/>
                <w:sz w:val="32"/>
                <w:szCs w:val="32"/>
              </w:rPr>
            </w:pPr>
            <w:r>
              <w:rPr>
                <w:rFonts w:hint="eastAsia" w:ascii="黑体" w:hAnsi="黑体" w:eastAsia="黑体" w:cs="黑体"/>
                <w:kern w:val="2"/>
                <w:sz w:val="32"/>
                <w:szCs w:val="32"/>
              </w:rPr>
              <w:t>财政拨款</w:t>
            </w:r>
          </w:p>
        </w:tc>
        <w:tc>
          <w:tcPr>
            <w:tcW w:w="2335" w:type="dxa"/>
            <w:noWrap w:val="0"/>
            <w:vAlign w:val="center"/>
          </w:tcPr>
          <w:p>
            <w:pPr>
              <w:pStyle w:val="6"/>
              <w:spacing w:before="93" w:line="576" w:lineRule="exact"/>
              <w:jc w:val="center"/>
              <w:rPr>
                <w:rFonts w:hint="eastAsia" w:ascii="黑体" w:hAnsi="黑体" w:eastAsia="黑体" w:cs="黑体"/>
                <w:kern w:val="2"/>
                <w:sz w:val="32"/>
                <w:szCs w:val="32"/>
                <w:lang w:val="zh-CN"/>
              </w:rPr>
            </w:pPr>
            <w:r>
              <w:rPr>
                <w:rFonts w:hint="eastAsia" w:ascii="黑体" w:hAnsi="黑体" w:eastAsia="黑体" w:cs="黑体"/>
                <w:kern w:val="2"/>
                <w:sz w:val="32"/>
                <w:szCs w:val="32"/>
                <w:lang w:val="zh-CN"/>
              </w:rPr>
              <w:t>来源渠道</w:t>
            </w:r>
          </w:p>
        </w:tc>
        <w:tc>
          <w:tcPr>
            <w:tcW w:w="3359" w:type="dxa"/>
            <w:noWrap w:val="0"/>
            <w:vAlign w:val="center"/>
          </w:tcPr>
          <w:p>
            <w:pPr>
              <w:pStyle w:val="6"/>
              <w:spacing w:before="93" w:line="576" w:lineRule="exact"/>
              <w:jc w:val="center"/>
              <w:rPr>
                <w:rFonts w:hint="eastAsia" w:ascii="黑体" w:hAnsi="黑体" w:eastAsia="黑体" w:cs="黑体"/>
                <w:kern w:val="2"/>
                <w:sz w:val="32"/>
                <w:szCs w:val="32"/>
                <w:lang w:val="zh-CN"/>
              </w:rPr>
            </w:pPr>
            <w:r>
              <w:rPr>
                <w:rFonts w:hint="eastAsia" w:ascii="黑体" w:hAnsi="黑体" w:eastAsia="黑体" w:cs="黑体"/>
                <w:kern w:val="2"/>
                <w:sz w:val="32"/>
                <w:szCs w:val="32"/>
                <w:lang w:val="zh-CN"/>
              </w:rPr>
              <w:t>分析说明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exact"/>
        </w:trPr>
        <w:tc>
          <w:tcPr>
            <w:tcW w:w="1663" w:type="dxa"/>
            <w:noWrap w:val="0"/>
            <w:vAlign w:val="center"/>
          </w:tcPr>
          <w:p>
            <w:pPr>
              <w:pStyle w:val="6"/>
              <w:spacing w:before="93" w:line="576" w:lineRule="exact"/>
              <w:jc w:val="center"/>
              <w:rPr>
                <w:rFonts w:hint="eastAsia" w:ascii="仿宋_GB2312" w:hAnsi="仿宋_GB2312" w:eastAsia="仿宋_GB2312" w:cs="仿宋_GB2312"/>
                <w:kern w:val="2"/>
                <w:sz w:val="24"/>
                <w:szCs w:val="24"/>
                <w:lang w:val="zh-CN"/>
              </w:rPr>
            </w:pPr>
            <w:r>
              <w:rPr>
                <w:rFonts w:hint="eastAsia" w:ascii="仿宋_GB2312" w:hAnsi="仿宋_GB2312" w:eastAsia="仿宋_GB2312" w:cs="仿宋_GB2312"/>
                <w:kern w:val="2"/>
                <w:sz w:val="24"/>
                <w:szCs w:val="24"/>
                <w:lang w:val="zh-CN"/>
              </w:rPr>
              <w:t>资金计划</w:t>
            </w:r>
          </w:p>
        </w:tc>
        <w:tc>
          <w:tcPr>
            <w:tcW w:w="2188" w:type="dxa"/>
            <w:noWrap w:val="0"/>
            <w:vAlign w:val="center"/>
          </w:tcPr>
          <w:p>
            <w:pPr>
              <w:pStyle w:val="6"/>
              <w:spacing w:before="93" w:line="576" w:lineRule="exact"/>
              <w:jc w:val="center"/>
              <w:rPr>
                <w:rFonts w:hint="eastAsia" w:ascii="仿宋_GB2312" w:hAnsi="仿宋_GB2312" w:eastAsia="仿宋_GB2312" w:cs="仿宋_GB2312"/>
                <w:kern w:val="2"/>
                <w:sz w:val="24"/>
                <w:szCs w:val="24"/>
                <w:lang w:val="zh-CN"/>
              </w:rPr>
            </w:pPr>
            <w:r>
              <w:rPr>
                <w:rFonts w:hint="eastAsia" w:ascii="仿宋_GB2312" w:hAnsi="仿宋_GB2312" w:eastAsia="仿宋_GB2312" w:cs="仿宋_GB2312"/>
                <w:kern w:val="2"/>
                <w:sz w:val="24"/>
                <w:szCs w:val="24"/>
              </w:rPr>
              <w:t>38.76万元</w:t>
            </w:r>
          </w:p>
        </w:tc>
        <w:tc>
          <w:tcPr>
            <w:tcW w:w="2335" w:type="dxa"/>
            <w:noWrap w:val="0"/>
            <w:vAlign w:val="center"/>
          </w:tcPr>
          <w:p>
            <w:pPr>
              <w:pStyle w:val="6"/>
              <w:spacing w:before="93" w:line="576" w:lineRule="exact"/>
              <w:jc w:val="center"/>
              <w:rPr>
                <w:rFonts w:hint="eastAsia" w:ascii="仿宋_GB2312" w:hAnsi="仿宋_GB2312" w:eastAsia="仿宋_GB2312" w:cs="仿宋_GB2312"/>
                <w:kern w:val="2"/>
                <w:sz w:val="24"/>
                <w:szCs w:val="24"/>
                <w:lang w:val="zh-CN"/>
              </w:rPr>
            </w:pPr>
            <w:r>
              <w:rPr>
                <w:rFonts w:hint="eastAsia" w:ascii="仿宋_GB2312" w:hAnsi="仿宋_GB2312" w:eastAsia="仿宋_GB2312" w:cs="仿宋_GB2312"/>
                <w:kern w:val="2"/>
                <w:sz w:val="24"/>
                <w:szCs w:val="24"/>
                <w:lang w:val="zh-CN"/>
              </w:rPr>
              <w:t>财政拨款</w:t>
            </w:r>
          </w:p>
        </w:tc>
        <w:tc>
          <w:tcPr>
            <w:tcW w:w="3359" w:type="dxa"/>
            <w:noWrap w:val="0"/>
            <w:vAlign w:val="center"/>
          </w:tcPr>
          <w:p>
            <w:pPr>
              <w:pStyle w:val="6"/>
              <w:spacing w:before="93" w:line="576" w:lineRule="exact"/>
              <w:jc w:val="both"/>
              <w:rPr>
                <w:rFonts w:hint="eastAsia" w:ascii="仿宋_GB2312" w:hAnsi="仿宋_GB2312" w:eastAsia="仿宋_GB2312" w:cs="仿宋_GB2312"/>
                <w:kern w:val="2"/>
                <w:sz w:val="24"/>
                <w:szCs w:val="24"/>
                <w:lang w:eastAsia="zh-CN"/>
              </w:rPr>
            </w:pPr>
            <w:r>
              <w:rPr>
                <w:rFonts w:hint="eastAsia" w:ascii="仿宋_GB2312" w:hAnsi="仿宋_GB2312" w:eastAsia="仿宋_GB2312" w:cs="仿宋_GB2312"/>
                <w:kern w:val="2"/>
                <w:sz w:val="24"/>
                <w:szCs w:val="24"/>
              </w:rPr>
              <w:t>根据上年度支出情况申报资金计划</w:t>
            </w:r>
            <w:r>
              <w:rPr>
                <w:rFonts w:hint="eastAsia" w:hAnsi="仿宋_GB2312" w:cs="仿宋_GB2312"/>
                <w:kern w:val="2"/>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exact"/>
        </w:trPr>
        <w:tc>
          <w:tcPr>
            <w:tcW w:w="1663" w:type="dxa"/>
            <w:noWrap w:val="0"/>
            <w:vAlign w:val="center"/>
          </w:tcPr>
          <w:p>
            <w:pPr>
              <w:pStyle w:val="6"/>
              <w:spacing w:before="93" w:line="576" w:lineRule="exact"/>
              <w:jc w:val="center"/>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lang w:val="zh-CN"/>
              </w:rPr>
              <w:t>资金使用</w:t>
            </w:r>
          </w:p>
        </w:tc>
        <w:tc>
          <w:tcPr>
            <w:tcW w:w="2188" w:type="dxa"/>
            <w:noWrap w:val="0"/>
            <w:vAlign w:val="center"/>
          </w:tcPr>
          <w:p>
            <w:pPr>
              <w:pStyle w:val="6"/>
              <w:spacing w:before="93" w:line="576" w:lineRule="exact"/>
              <w:jc w:val="center"/>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rPr>
              <w:t xml:space="preserve"> 38.76万元</w:t>
            </w:r>
          </w:p>
        </w:tc>
        <w:tc>
          <w:tcPr>
            <w:tcW w:w="2335" w:type="dxa"/>
            <w:noWrap w:val="0"/>
            <w:vAlign w:val="center"/>
          </w:tcPr>
          <w:p>
            <w:pPr>
              <w:pStyle w:val="6"/>
              <w:spacing w:before="93" w:line="576" w:lineRule="exact"/>
              <w:jc w:val="center"/>
              <w:rPr>
                <w:rFonts w:hint="eastAsia" w:ascii="仿宋_GB2312" w:hAnsi="仿宋_GB2312" w:eastAsia="仿宋_GB2312" w:cs="仿宋_GB2312"/>
                <w:kern w:val="2"/>
                <w:sz w:val="24"/>
                <w:szCs w:val="24"/>
              </w:rPr>
            </w:pPr>
            <w:r>
              <w:rPr>
                <w:rFonts w:hint="eastAsia" w:ascii="仿宋_GB2312" w:hAnsi="仿宋_GB2312" w:eastAsia="仿宋_GB2312" w:cs="仿宋_GB2312"/>
                <w:kern w:val="2"/>
                <w:sz w:val="24"/>
                <w:szCs w:val="24"/>
                <w:lang w:val="zh-CN"/>
              </w:rPr>
              <w:t>财政拨款</w:t>
            </w:r>
          </w:p>
        </w:tc>
        <w:tc>
          <w:tcPr>
            <w:tcW w:w="3359" w:type="dxa"/>
            <w:noWrap w:val="0"/>
            <w:vAlign w:val="top"/>
          </w:tcPr>
          <w:p>
            <w:pPr>
              <w:pStyle w:val="6"/>
              <w:spacing w:before="93" w:line="576" w:lineRule="exact"/>
              <w:jc w:val="both"/>
              <w:rPr>
                <w:rFonts w:hint="eastAsia" w:ascii="仿宋_GB2312" w:hAnsi="仿宋_GB2312" w:eastAsia="仿宋_GB2312" w:cs="仿宋_GB2312"/>
                <w:kern w:val="2"/>
                <w:sz w:val="24"/>
                <w:szCs w:val="24"/>
                <w:lang w:val="zh-CN"/>
              </w:rPr>
            </w:pPr>
            <w:r>
              <w:rPr>
                <w:rFonts w:hint="eastAsia" w:ascii="仿宋_GB2312" w:hAnsi="仿宋_GB2312" w:eastAsia="仿宋_GB2312" w:cs="仿宋_GB2312"/>
                <w:kern w:val="2"/>
                <w:sz w:val="24"/>
                <w:szCs w:val="24"/>
                <w:lang w:val="zh-CN"/>
              </w:rPr>
              <w:t>支付范围、支付标准、支付进度、支付依据等合规合法、是与预算相符。</w:t>
            </w:r>
          </w:p>
        </w:tc>
      </w:tr>
    </w:tbl>
    <w:p>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（三）项目财务管理情况</w:t>
      </w:r>
    </w:p>
    <w:p>
      <w:pPr>
        <w:adjustRightInd w:val="0"/>
        <w:snapToGrid w:val="0"/>
        <w:spacing w:line="576" w:lineRule="exact"/>
        <w:ind w:firstLine="600" w:firstLineChars="200"/>
        <w:rPr>
          <w:rFonts w:ascii="仿宋_GB2312" w:hAnsi="宋体" w:eastAsia="仿宋_GB2312"/>
          <w:sz w:val="32"/>
          <w:szCs w:val="32"/>
          <w:lang w:val="zh-CN"/>
        </w:rPr>
      </w:pPr>
      <w:r>
        <w:rPr>
          <w:rFonts w:hint="eastAsia" w:ascii="仿宋_GB2312" w:eastAsia="仿宋_GB2312"/>
          <w:kern w:val="0"/>
          <w:sz w:val="30"/>
        </w:rPr>
        <w:t>项目资金支付严格</w:t>
      </w:r>
      <w:r>
        <w:rPr>
          <w:rFonts w:hint="eastAsia" w:ascii="仿宋_GB2312" w:hAnsi="宋体" w:eastAsia="仿宋_GB2312"/>
          <w:sz w:val="32"/>
          <w:szCs w:val="32"/>
          <w:lang w:val="zh-CN"/>
        </w:rPr>
        <w:t>执行单位财务制度规定的报销流程，</w:t>
      </w:r>
      <w:r>
        <w:rPr>
          <w:rFonts w:hint="eastAsia" w:ascii="仿宋_GB2312" w:eastAsia="仿宋_GB2312"/>
          <w:kern w:val="0"/>
          <w:sz w:val="30"/>
        </w:rPr>
        <w:t>应附与经济业务事项相关的合法合规的原始凭证和附件，需经办人签字，科室负责人、业务分管领导及财务分管领导领导审批后才能进行支付。</w:t>
      </w:r>
      <w:r>
        <w:rPr>
          <w:rFonts w:hint="eastAsia" w:ascii="仿宋_GB2312" w:hAnsi="宋体" w:eastAsia="仿宋_GB2312"/>
          <w:sz w:val="32"/>
          <w:szCs w:val="32"/>
          <w:lang w:val="zh-CN"/>
        </w:rPr>
        <w:t>账务处理及时，会计核算规范有序。</w:t>
      </w:r>
    </w:p>
    <w:p>
      <w:pPr>
        <w:adjustRightInd w:val="0"/>
        <w:snapToGrid w:val="0"/>
        <w:spacing w:line="600" w:lineRule="exact"/>
        <w:ind w:firstLine="720"/>
        <w:rPr>
          <w:rFonts w:ascii="仿宋_GB2312" w:hAnsi="宋体" w:eastAsia="仿宋_GB2312"/>
          <w:sz w:val="32"/>
          <w:szCs w:val="32"/>
          <w:lang w:val="zh-CN"/>
        </w:rPr>
      </w:pPr>
      <w:bookmarkStart w:id="122" w:name="_Toc1131362513_WPSOffice_Level2"/>
      <w:r>
        <w:rPr>
          <w:rFonts w:hint="eastAsia" w:ascii="黑体" w:hAnsi="宋体" w:eastAsia="黑体"/>
          <w:sz w:val="32"/>
          <w:szCs w:val="32"/>
        </w:rPr>
        <w:t>三、项目实施及管理情况</w:t>
      </w:r>
      <w:bookmarkEnd w:id="122"/>
    </w:p>
    <w:p>
      <w:pPr>
        <w:adjustRightInd w:val="0"/>
        <w:snapToGrid w:val="0"/>
        <w:spacing w:line="600" w:lineRule="exact"/>
        <w:ind w:firstLine="720"/>
        <w:rPr>
          <w:rFonts w:hint="eastAsia" w:ascii="楷体_GB2312" w:hAnsi="宋体" w:eastAsia="楷体_GB2312"/>
          <w:b/>
          <w:sz w:val="32"/>
          <w:szCs w:val="32"/>
          <w:lang w:val="zh-CN"/>
        </w:rPr>
      </w:pPr>
      <w:r>
        <w:rPr>
          <w:rFonts w:hint="eastAsia" w:ascii="楷体_GB2312" w:hAnsi="宋体" w:eastAsia="楷体_GB2312"/>
          <w:b/>
          <w:sz w:val="32"/>
          <w:szCs w:val="32"/>
          <w:lang w:val="zh-CN"/>
        </w:rPr>
        <w:t>（一）项目组织架构及实施流程</w:t>
      </w:r>
    </w:p>
    <w:p>
      <w:pPr>
        <w:adjustRightInd w:val="0"/>
        <w:snapToGrid w:val="0"/>
        <w:spacing w:line="600" w:lineRule="exact"/>
        <w:ind w:firstLine="720"/>
        <w:rPr>
          <w:rFonts w:hint="eastAsia" w:ascii="仿宋_GB2312" w:hAnsi="仿宋_GB2312" w:eastAsia="仿宋_GB2312" w:cs="仿宋_GB2312"/>
          <w:b/>
          <w:sz w:val="32"/>
          <w:szCs w:val="32"/>
          <w:lang w:val="zh-CN"/>
        </w:rPr>
      </w:pPr>
      <w:r>
        <w:rPr>
          <w:rFonts w:hint="eastAsia" w:ascii="仿宋_GB2312" w:hAnsi="仿宋_GB2312" w:eastAsia="仿宋_GB2312" w:cs="仿宋_GB2312"/>
          <w:bCs/>
          <w:sz w:val="32"/>
          <w:szCs w:val="32"/>
          <w:lang w:val="zh-CN"/>
        </w:rPr>
        <w:t>根据我中心的职能职责及市委、市政府统一做出的年度供地安排，由我中心根据工作需要进行确定项目资金和安排实施进度。资金分配严格按照审批流程操作执行，符合相关管理办法，分配结果公平合理</w:t>
      </w:r>
      <w:r>
        <w:rPr>
          <w:rFonts w:hint="eastAsia" w:ascii="仿宋_GB2312" w:hAnsi="仿宋_GB2312" w:eastAsia="仿宋_GB2312" w:cs="仿宋_GB2312"/>
          <w:b/>
          <w:sz w:val="32"/>
          <w:szCs w:val="32"/>
          <w:lang w:val="zh-CN"/>
        </w:rPr>
        <w:t>。</w:t>
      </w:r>
    </w:p>
    <w:p>
      <w:pPr>
        <w:numPr>
          <w:ilvl w:val="0"/>
          <w:numId w:val="7"/>
        </w:numPr>
        <w:adjustRightInd w:val="0"/>
        <w:snapToGrid w:val="0"/>
        <w:spacing w:line="576" w:lineRule="exact"/>
        <w:ind w:firstLine="720"/>
        <w:rPr>
          <w:rFonts w:hint="eastAsia" w:ascii="楷体_GB2312" w:hAnsi="宋体" w:eastAsia="楷体_GB2312"/>
          <w:b/>
          <w:sz w:val="32"/>
          <w:szCs w:val="32"/>
          <w:lang w:val="zh-CN"/>
        </w:rPr>
      </w:pPr>
      <w:r>
        <w:rPr>
          <w:rFonts w:hint="eastAsia" w:ascii="楷体_GB2312" w:hAnsi="宋体" w:eastAsia="楷体_GB2312"/>
          <w:b/>
          <w:sz w:val="32"/>
          <w:szCs w:val="32"/>
          <w:lang w:val="zh-CN"/>
        </w:rPr>
        <w:t>项目管理情况</w:t>
      </w:r>
    </w:p>
    <w:p>
      <w:pPr>
        <w:adjustRightInd w:val="0"/>
        <w:snapToGrid w:val="0"/>
        <w:spacing w:line="576" w:lineRule="exact"/>
        <w:ind w:firstLine="640" w:firstLineChars="200"/>
        <w:rPr>
          <w:rFonts w:ascii="仿宋_GB2312" w:hAnsi="宋体" w:eastAsia="仿宋_GB2312"/>
          <w:bCs/>
          <w:sz w:val="32"/>
          <w:szCs w:val="32"/>
          <w:lang w:val="zh-CN"/>
        </w:rPr>
      </w:pPr>
      <w:r>
        <w:rPr>
          <w:rFonts w:hint="eastAsia" w:ascii="仿宋_GB2312" w:hAnsi="仿宋_GB2312" w:eastAsia="仿宋_GB2312" w:cs="仿宋_GB2312"/>
          <w:bCs/>
          <w:sz w:val="32"/>
          <w:szCs w:val="32"/>
          <w:lang w:val="zh-CN"/>
        </w:rPr>
        <w:t>本项目在实施过程中严格执行</w:t>
      </w:r>
      <w:r>
        <w:rPr>
          <w:rFonts w:hint="eastAsia" w:ascii="仿宋_GB2312" w:hAnsi="宋体" w:eastAsia="仿宋_GB2312"/>
          <w:bCs/>
          <w:sz w:val="32"/>
          <w:szCs w:val="32"/>
          <w:lang w:val="zh-CN"/>
        </w:rPr>
        <w:t>《中华人民共和国土地管理法》《中华人民共和国拍卖法》的规定和单位财务管理制度。</w:t>
      </w:r>
      <w:r>
        <w:rPr>
          <w:rFonts w:hint="eastAsia" w:ascii="仿宋_GB2312" w:eastAsia="仿宋_GB2312"/>
          <w:bCs/>
          <w:kern w:val="0"/>
          <w:sz w:val="30"/>
          <w:lang w:val="zh-CN"/>
        </w:rPr>
        <w:t>资金使用合规，财务核算规范，无虚列支出，无截留、挤占、挪用现象。</w:t>
      </w:r>
    </w:p>
    <w:p>
      <w:pPr>
        <w:numPr>
          <w:ilvl w:val="0"/>
          <w:numId w:val="7"/>
        </w:numPr>
        <w:adjustRightInd w:val="0"/>
        <w:snapToGrid w:val="0"/>
        <w:spacing w:line="600" w:lineRule="exact"/>
        <w:ind w:firstLine="720"/>
        <w:rPr>
          <w:rFonts w:hint="eastAsia" w:ascii="楷体_GB2312" w:hAnsi="宋体" w:eastAsia="楷体_GB2312"/>
          <w:b/>
          <w:sz w:val="32"/>
          <w:szCs w:val="32"/>
          <w:lang w:val="zh-CN"/>
        </w:rPr>
      </w:pPr>
      <w:r>
        <w:rPr>
          <w:rFonts w:hint="eastAsia" w:ascii="楷体_GB2312" w:hAnsi="宋体" w:eastAsia="楷体_GB2312"/>
          <w:b/>
          <w:sz w:val="32"/>
          <w:szCs w:val="32"/>
          <w:lang w:val="zh-CN"/>
        </w:rPr>
        <w:t>项目监管情况</w:t>
      </w:r>
    </w:p>
    <w:p>
      <w:pPr>
        <w:adjustRightInd w:val="0"/>
        <w:snapToGrid w:val="0"/>
        <w:spacing w:line="600" w:lineRule="exact"/>
        <w:ind w:firstLine="640" w:firstLineChars="200"/>
        <w:rPr>
          <w:rFonts w:hint="eastAsia" w:ascii="仿宋_GB2312" w:eastAsia="仿宋_GB2312"/>
          <w:bCs/>
          <w:kern w:val="0"/>
          <w:sz w:val="30"/>
          <w:lang w:val="zh-CN"/>
        </w:rPr>
      </w:pPr>
      <w:r>
        <w:rPr>
          <w:rFonts w:hint="eastAsia" w:ascii="仿宋_GB2312" w:hAnsi="仿宋_GB2312" w:eastAsia="仿宋_GB2312" w:cs="仿宋_GB2312"/>
          <w:bCs/>
          <w:sz w:val="32"/>
          <w:szCs w:val="32"/>
          <w:lang w:val="zh-CN"/>
        </w:rPr>
        <w:t>单位</w:t>
      </w:r>
      <w:r>
        <w:rPr>
          <w:rFonts w:hint="eastAsia" w:ascii="仿宋_GB2312" w:eastAsia="仿宋_GB2312"/>
          <w:bCs/>
          <w:kern w:val="0"/>
          <w:sz w:val="30"/>
          <w:lang w:val="zh-CN"/>
        </w:rPr>
        <w:t>内控工作小组与现场监督科定期对项目的实施进度和支付情况进行监督检查。对进度较慢的项目进行督促指导，对不合规、不合理的情况进行指正并立要求即整改。</w:t>
      </w:r>
    </w:p>
    <w:p>
      <w:pPr>
        <w:adjustRightInd w:val="0"/>
        <w:snapToGrid w:val="0"/>
        <w:spacing w:line="600" w:lineRule="exact"/>
        <w:ind w:firstLine="720"/>
        <w:rPr>
          <w:rFonts w:ascii="仿宋_GB2312" w:hAnsi="宋体" w:eastAsia="仿宋_GB2312"/>
          <w:sz w:val="32"/>
          <w:szCs w:val="32"/>
          <w:lang w:val="zh-CN"/>
        </w:rPr>
      </w:pPr>
      <w:bookmarkStart w:id="123" w:name="_Toc810906561_WPSOffice_Level2"/>
      <w:r>
        <w:rPr>
          <w:rFonts w:hint="eastAsia" w:ascii="黑体" w:hAnsi="宋体" w:eastAsia="黑体"/>
          <w:sz w:val="32"/>
          <w:szCs w:val="32"/>
        </w:rPr>
        <w:t>四、项目绩效情况</w:t>
      </w:r>
      <w:bookmarkEnd w:id="123"/>
      <w:r>
        <w:rPr>
          <w:rFonts w:ascii="仿宋_GB2312" w:hAnsi="宋体" w:eastAsia="仿宋_GB2312"/>
          <w:sz w:val="32"/>
          <w:szCs w:val="32"/>
          <w:lang w:val="zh-CN"/>
        </w:rPr>
        <w:tab/>
      </w:r>
    </w:p>
    <w:p>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（一）项目完成情况</w:t>
      </w:r>
    </w:p>
    <w:p>
      <w:pPr>
        <w:adjustRightInd w:val="0"/>
        <w:snapToGrid w:val="0"/>
        <w:spacing w:line="600" w:lineRule="exact"/>
        <w:ind w:firstLine="720"/>
        <w:rPr>
          <w:rFonts w:hint="eastAsia" w:ascii="仿宋_GB2312" w:hAnsi="宋体" w:eastAsia="仿宋_GB2312"/>
          <w:sz w:val="32"/>
          <w:szCs w:val="32"/>
        </w:rPr>
      </w:pPr>
      <w:r>
        <w:rPr>
          <w:rFonts w:hint="eastAsia" w:ascii="仿宋_GB2312" w:hAnsi="宋体" w:eastAsia="仿宋_GB2312"/>
          <w:sz w:val="32"/>
          <w:szCs w:val="32"/>
        </w:rPr>
        <w:t>2021年完成土地出让17宗，上缴财政非税收入</w:t>
      </w:r>
      <w:r>
        <w:rPr>
          <w:rFonts w:hint="eastAsia" w:ascii="仿宋_GB2312" w:hAnsi="宋体" w:eastAsia="仿宋_GB2312"/>
          <w:color w:val="FF0000"/>
          <w:sz w:val="32"/>
          <w:szCs w:val="32"/>
        </w:rPr>
        <w:t>2200</w:t>
      </w:r>
      <w:r>
        <w:rPr>
          <w:rFonts w:hint="eastAsia" w:ascii="仿宋_GB2312" w:hAnsi="宋体" w:eastAsia="仿宋_GB2312"/>
          <w:sz w:val="32"/>
          <w:szCs w:val="32"/>
        </w:rPr>
        <w:t>余万元，超额完成非税征收任务。下达年度土地出让工作经费项目资金38.76万元，实际支付38.76万元，执行率100%，完成情况较好。</w:t>
      </w:r>
    </w:p>
    <w:p>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（二）项目效益情况</w:t>
      </w:r>
    </w:p>
    <w:p>
      <w:pPr>
        <w:adjustRightInd w:val="0"/>
        <w:snapToGrid w:val="0"/>
        <w:spacing w:line="600" w:lineRule="exact"/>
        <w:ind w:firstLine="720"/>
        <w:rPr>
          <w:rFonts w:ascii="仿宋_GB2312" w:hAnsi="宋体" w:eastAsia="仿宋_GB2312"/>
          <w:sz w:val="32"/>
          <w:szCs w:val="32"/>
        </w:rPr>
      </w:pPr>
      <w:r>
        <w:rPr>
          <w:rFonts w:hint="eastAsia" w:ascii="仿宋_GB2312" w:hAnsi="宋体" w:eastAsia="仿宋_GB2312"/>
          <w:sz w:val="32"/>
          <w:szCs w:val="32"/>
          <w:lang w:val="zh-CN"/>
        </w:rPr>
        <w:t>该项目顺利实施，加大了全市土地出让力度，促进房地产市场活跃发展，为市本级财政增加收入，拍卖机构满意度达</w:t>
      </w:r>
      <w:r>
        <w:rPr>
          <w:rFonts w:hint="eastAsia" w:ascii="仿宋_GB2312" w:hAnsi="宋体" w:eastAsia="仿宋_GB2312"/>
          <w:sz w:val="32"/>
          <w:szCs w:val="32"/>
        </w:rPr>
        <w:t>100%。</w:t>
      </w:r>
    </w:p>
    <w:p>
      <w:pPr>
        <w:adjustRightInd w:val="0"/>
        <w:snapToGrid w:val="0"/>
        <w:spacing w:line="600" w:lineRule="exact"/>
        <w:ind w:firstLine="720"/>
        <w:rPr>
          <w:rFonts w:ascii="黑体" w:hAnsi="宋体" w:eastAsia="黑体"/>
          <w:sz w:val="32"/>
          <w:szCs w:val="32"/>
        </w:rPr>
      </w:pPr>
      <w:bookmarkStart w:id="124" w:name="_Toc4521643_WPSOffice_Level2"/>
      <w:r>
        <w:rPr>
          <w:rFonts w:hint="eastAsia" w:ascii="黑体" w:hAnsi="宋体" w:eastAsia="黑体"/>
          <w:sz w:val="32"/>
          <w:szCs w:val="32"/>
        </w:rPr>
        <w:t>五、评价结论及建议</w:t>
      </w:r>
      <w:bookmarkEnd w:id="124"/>
    </w:p>
    <w:p>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（一）评价结论</w:t>
      </w:r>
    </w:p>
    <w:p>
      <w:pPr>
        <w:adjustRightInd w:val="0"/>
        <w:snapToGrid w:val="0"/>
        <w:spacing w:line="580" w:lineRule="exact"/>
        <w:ind w:firstLine="640" w:firstLineChars="200"/>
        <w:contextualSpacing/>
        <w:jc w:val="left"/>
        <w:rPr>
          <w:rFonts w:ascii="仿宋_GB2312" w:hAnsi="宋体" w:eastAsia="仿宋_GB2312"/>
          <w:sz w:val="32"/>
          <w:szCs w:val="32"/>
          <w:bdr w:val="single" w:color="auto" w:sz="4" w:space="0"/>
          <w:lang w:val="zh-CN"/>
        </w:rPr>
      </w:pPr>
      <w:r>
        <w:rPr>
          <w:rFonts w:ascii="仿宋_GB2312" w:eastAsia="仿宋_GB2312"/>
          <w:sz w:val="32"/>
          <w:szCs w:val="32"/>
        </w:rPr>
        <w:t>结合中心工作实际情况，</w:t>
      </w:r>
      <w:r>
        <w:rPr>
          <w:rFonts w:hint="eastAsia" w:ascii="仿宋_GB2312" w:hAnsi="仿宋_GB2312" w:eastAsia="仿宋_GB2312" w:cs="仿宋_GB2312"/>
          <w:kern w:val="0"/>
          <w:sz w:val="32"/>
          <w:szCs w:val="32"/>
        </w:rPr>
        <w:t>对照《2020年市级财政项目支出绩效评价指标体系》进行自评</w:t>
      </w:r>
      <w:r>
        <w:rPr>
          <w:rFonts w:hint="eastAsia" w:ascii="仿宋_GB2312" w:eastAsia="仿宋_GB2312"/>
          <w:sz w:val="32"/>
          <w:szCs w:val="32"/>
        </w:rPr>
        <w:t>打</w:t>
      </w:r>
      <w:r>
        <w:rPr>
          <w:rFonts w:ascii="仿宋_GB2312" w:eastAsia="仿宋_GB2312"/>
          <w:sz w:val="32"/>
          <w:szCs w:val="32"/>
        </w:rPr>
        <w:t>分，综合得分</w:t>
      </w:r>
      <w:r>
        <w:rPr>
          <w:rFonts w:hint="eastAsia" w:ascii="仿宋_GB2312" w:eastAsia="仿宋_GB2312"/>
          <w:sz w:val="32"/>
          <w:szCs w:val="32"/>
        </w:rPr>
        <w:t>95</w:t>
      </w:r>
      <w:r>
        <w:rPr>
          <w:rFonts w:ascii="仿宋_GB2312" w:eastAsia="仿宋_GB2312"/>
          <w:sz w:val="32"/>
          <w:szCs w:val="32"/>
        </w:rPr>
        <w:t>分，</w:t>
      </w:r>
      <w:r>
        <w:rPr>
          <w:rFonts w:hint="eastAsia" w:ascii="仿宋_GB2312" w:eastAsia="仿宋_GB2312"/>
          <w:sz w:val="32"/>
          <w:szCs w:val="32"/>
        </w:rPr>
        <w:t>项目</w:t>
      </w:r>
      <w:r>
        <w:rPr>
          <w:rFonts w:ascii="仿宋_GB2312" w:eastAsia="仿宋_GB2312"/>
          <w:sz w:val="32"/>
          <w:szCs w:val="32"/>
        </w:rPr>
        <w:t>支出绩效为</w:t>
      </w:r>
      <w:r>
        <w:rPr>
          <w:rFonts w:hint="eastAsia" w:ascii="仿宋_GB2312" w:eastAsia="仿宋_GB2312"/>
          <w:sz w:val="32"/>
          <w:szCs w:val="32"/>
        </w:rPr>
        <w:t>评价为</w:t>
      </w:r>
      <w:r>
        <w:rPr>
          <w:rFonts w:ascii="仿宋_GB2312" w:eastAsia="仿宋_GB2312"/>
          <w:sz w:val="32"/>
          <w:szCs w:val="32"/>
        </w:rPr>
        <w:t>“</w:t>
      </w:r>
      <w:r>
        <w:rPr>
          <w:rFonts w:hint="eastAsia" w:ascii="仿宋_GB2312" w:eastAsia="仿宋_GB2312"/>
          <w:sz w:val="32"/>
          <w:szCs w:val="32"/>
        </w:rPr>
        <w:t>优</w:t>
      </w:r>
      <w:r>
        <w:rPr>
          <w:rFonts w:ascii="仿宋_GB2312" w:eastAsia="仿宋_GB2312"/>
          <w:sz w:val="32"/>
          <w:szCs w:val="32"/>
        </w:rPr>
        <w:t>”。</w:t>
      </w:r>
    </w:p>
    <w:p>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（二）存在的问题</w:t>
      </w:r>
    </w:p>
    <w:p>
      <w:pPr>
        <w:spacing w:line="6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1.绩效目标还需要进一步细化、量化。</w:t>
      </w:r>
    </w:p>
    <w:p>
      <w:pPr>
        <w:spacing w:line="6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2.预算执行进度较慢，存在年末集中支付情况。</w:t>
      </w:r>
    </w:p>
    <w:p>
      <w:pPr>
        <w:adjustRightInd w:val="0"/>
        <w:snapToGrid w:val="0"/>
        <w:spacing w:line="600" w:lineRule="exact"/>
        <w:ind w:firstLine="720"/>
        <w:rPr>
          <w:rFonts w:ascii="楷体_GB2312" w:hAnsi="宋体" w:eastAsia="楷体_GB2312"/>
          <w:b/>
          <w:sz w:val="32"/>
          <w:szCs w:val="32"/>
          <w:lang w:val="zh-CN"/>
        </w:rPr>
      </w:pPr>
      <w:r>
        <w:rPr>
          <w:rFonts w:hint="eastAsia" w:ascii="楷体_GB2312" w:hAnsi="宋体" w:eastAsia="楷体_GB2312"/>
          <w:b/>
          <w:sz w:val="32"/>
          <w:szCs w:val="32"/>
          <w:lang w:val="zh-CN"/>
        </w:rPr>
        <w:t>（三）相关建议</w:t>
      </w:r>
    </w:p>
    <w:p>
      <w:pPr>
        <w:spacing w:line="6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1.认真做好绩效目标的编制，与相关科室沟通，听取业务部门意见，根据工作实际合理设定年度绩效目标，并细化、量化指标设置，使项目预算安排与绩效目标合理匹配。</w:t>
      </w:r>
    </w:p>
    <w:p>
      <w:pPr>
        <w:spacing w:line="6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2.年初预算下达后，及时拟定相应的资金使用方案，督促相关科室及时执行，强化预算执行的日常管理，加快预算执行。</w:t>
      </w:r>
    </w:p>
    <w:p>
      <w:r>
        <w:br w:type="page"/>
      </w:r>
    </w:p>
    <w:tbl>
      <w:tblPr>
        <w:tblStyle w:val="15"/>
        <w:tblpPr w:leftFromText="180" w:rightFromText="180" w:vertAnchor="text" w:horzAnchor="page" w:tblpXSpec="center" w:tblpY="423"/>
        <w:tblOverlap w:val="never"/>
        <w:tblW w:w="0" w:type="auto"/>
        <w:jc w:val="center"/>
        <w:tblLayout w:type="fixed"/>
        <w:tblCellMar>
          <w:top w:w="0" w:type="dxa"/>
          <w:left w:w="0" w:type="dxa"/>
          <w:bottom w:w="0" w:type="dxa"/>
          <w:right w:w="0" w:type="dxa"/>
        </w:tblCellMar>
      </w:tblPr>
      <w:tblGrid>
        <w:gridCol w:w="699"/>
        <w:gridCol w:w="961"/>
        <w:gridCol w:w="1122"/>
        <w:gridCol w:w="2392"/>
        <w:gridCol w:w="2394"/>
        <w:gridCol w:w="2392"/>
      </w:tblGrid>
      <w:tr>
        <w:tblPrEx>
          <w:tblCellMar>
            <w:top w:w="0" w:type="dxa"/>
            <w:left w:w="0" w:type="dxa"/>
            <w:bottom w:w="0" w:type="dxa"/>
            <w:right w:w="0" w:type="dxa"/>
          </w:tblCellMar>
        </w:tblPrEx>
        <w:trPr>
          <w:trHeight w:val="1034" w:hRule="atLeast"/>
          <w:jc w:val="center"/>
        </w:trPr>
        <w:tc>
          <w:tcPr>
            <w:tcW w:w="9960" w:type="dxa"/>
            <w:gridSpan w:val="6"/>
            <w:tcBorders>
              <w:top w:val="nil"/>
              <w:left w:val="nil"/>
              <w:bottom w:val="nil"/>
              <w:right w:val="nil"/>
            </w:tcBorders>
            <w:noWrap w:val="0"/>
            <w:tcMar>
              <w:top w:w="15" w:type="dxa"/>
              <w:left w:w="15" w:type="dxa"/>
              <w:right w:w="15" w:type="dxa"/>
            </w:tcMar>
            <w:vAlign w:val="center"/>
          </w:tcPr>
          <w:p>
            <w:pPr>
              <w:widowControl/>
              <w:spacing w:line="560" w:lineRule="exact"/>
              <w:jc w:val="center"/>
              <w:textAlignment w:val="center"/>
              <w:rPr>
                <w:rFonts w:hint="eastAsia" w:ascii="方正小标宋简体" w:hAnsi="宋体" w:eastAsia="方正小标宋简体" w:cs="宋体"/>
                <w:bCs/>
                <w:color w:val="000000"/>
                <w:kern w:val="0"/>
                <w:sz w:val="44"/>
                <w:szCs w:val="44"/>
                <w:lang w:bidi="ar"/>
              </w:rPr>
            </w:pPr>
            <w:r>
              <w:rPr>
                <w:rFonts w:hint="eastAsia" w:ascii="方正小标宋简体" w:hAnsi="宋体" w:eastAsia="方正小标宋简体" w:cs="宋体"/>
                <w:bCs/>
                <w:color w:val="000000"/>
                <w:kern w:val="0"/>
                <w:sz w:val="44"/>
                <w:szCs w:val="44"/>
                <w:lang w:bidi="ar"/>
              </w:rPr>
              <w:t>土地出让工作经费</w:t>
            </w:r>
          </w:p>
          <w:p>
            <w:pPr>
              <w:widowControl/>
              <w:spacing w:line="560" w:lineRule="exact"/>
              <w:jc w:val="center"/>
              <w:textAlignment w:val="center"/>
              <w:rPr>
                <w:rFonts w:hint="eastAsia" w:ascii="方正小标宋简体" w:hAnsi="宋体" w:eastAsia="方正小标宋简体" w:cs="宋体"/>
                <w:bCs/>
                <w:color w:val="000000"/>
                <w:kern w:val="0"/>
                <w:sz w:val="44"/>
                <w:szCs w:val="44"/>
                <w:lang w:eastAsia="zh-CN" w:bidi="ar"/>
              </w:rPr>
            </w:pPr>
            <w:r>
              <w:rPr>
                <w:rFonts w:hint="eastAsia" w:ascii="方正小标宋简体" w:hAnsi="宋体" w:eastAsia="方正小标宋简体" w:cs="宋体"/>
                <w:bCs/>
                <w:color w:val="000000"/>
                <w:kern w:val="0"/>
                <w:sz w:val="44"/>
                <w:szCs w:val="44"/>
                <w:lang w:bidi="ar"/>
              </w:rPr>
              <w:t>项目绩效目标完成情况表</w:t>
            </w:r>
          </w:p>
          <w:p>
            <w:pPr>
              <w:widowControl/>
              <w:spacing w:line="560" w:lineRule="exact"/>
              <w:jc w:val="center"/>
              <w:textAlignment w:val="center"/>
              <w:rPr>
                <w:rFonts w:ascii="宋体" w:cs="宋体"/>
                <w:color w:val="000000"/>
                <w:sz w:val="36"/>
                <w:szCs w:val="36"/>
              </w:rPr>
            </w:pPr>
            <w:r>
              <w:rPr>
                <w:rFonts w:hint="eastAsia" w:ascii="楷体_GB2312" w:hAnsi="宋体" w:eastAsia="楷体_GB2312" w:cs="宋体"/>
                <w:color w:val="000000"/>
                <w:kern w:val="0"/>
                <w:sz w:val="32"/>
                <w:szCs w:val="32"/>
                <w:lang w:bidi="ar"/>
              </w:rPr>
              <w:t>(202</w:t>
            </w:r>
            <w:r>
              <w:rPr>
                <w:rFonts w:hint="eastAsia" w:ascii="楷体_GB2312" w:hAnsi="宋体" w:eastAsia="楷体_GB2312" w:cs="宋体"/>
                <w:color w:val="000000"/>
                <w:kern w:val="0"/>
                <w:sz w:val="32"/>
                <w:szCs w:val="32"/>
                <w:lang w:val="en-US" w:eastAsia="zh-CN" w:bidi="ar"/>
              </w:rPr>
              <w:t>1</w:t>
            </w:r>
            <w:r>
              <w:rPr>
                <w:rFonts w:hint="eastAsia" w:ascii="楷体_GB2312" w:hAnsi="宋体" w:eastAsia="楷体_GB2312" w:cs="宋体"/>
                <w:color w:val="000000"/>
                <w:kern w:val="0"/>
                <w:sz w:val="32"/>
                <w:szCs w:val="32"/>
                <w:lang w:bidi="ar"/>
              </w:rPr>
              <w:t>年度)</w:t>
            </w:r>
          </w:p>
        </w:tc>
      </w:tr>
      <w:tr>
        <w:tblPrEx>
          <w:tblCellMar>
            <w:top w:w="0" w:type="dxa"/>
            <w:left w:w="0" w:type="dxa"/>
            <w:bottom w:w="0" w:type="dxa"/>
            <w:right w:w="0" w:type="dxa"/>
          </w:tblCellMar>
        </w:tblPrEx>
        <w:trPr>
          <w:trHeight w:val="276" w:hRule="atLeast"/>
          <w:jc w:val="center"/>
        </w:trPr>
        <w:tc>
          <w:tcPr>
            <w:tcW w:w="278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项目名称</w:t>
            </w:r>
          </w:p>
        </w:tc>
        <w:tc>
          <w:tcPr>
            <w:tcW w:w="7178"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土地出让工作经费</w:t>
            </w:r>
          </w:p>
        </w:tc>
      </w:tr>
      <w:tr>
        <w:tblPrEx>
          <w:tblCellMar>
            <w:top w:w="0" w:type="dxa"/>
            <w:left w:w="0" w:type="dxa"/>
            <w:bottom w:w="0" w:type="dxa"/>
            <w:right w:w="0" w:type="dxa"/>
          </w:tblCellMar>
        </w:tblPrEx>
        <w:trPr>
          <w:trHeight w:val="276" w:hRule="atLeast"/>
          <w:jc w:val="center"/>
        </w:trPr>
        <w:tc>
          <w:tcPr>
            <w:tcW w:w="278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预算单位</w:t>
            </w:r>
          </w:p>
        </w:tc>
        <w:tc>
          <w:tcPr>
            <w:tcW w:w="7178"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广元市公共资源交易信息中心</w:t>
            </w:r>
          </w:p>
        </w:tc>
      </w:tr>
      <w:tr>
        <w:tblPrEx>
          <w:tblCellMar>
            <w:top w:w="0" w:type="dxa"/>
            <w:left w:w="0" w:type="dxa"/>
            <w:bottom w:w="0" w:type="dxa"/>
            <w:right w:w="0" w:type="dxa"/>
          </w:tblCellMar>
        </w:tblPrEx>
        <w:trPr>
          <w:trHeight w:val="276" w:hRule="atLeast"/>
          <w:jc w:val="center"/>
        </w:trPr>
        <w:tc>
          <w:tcPr>
            <w:tcW w:w="69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预算执行情况(万元)</w:t>
            </w:r>
          </w:p>
        </w:tc>
        <w:tc>
          <w:tcPr>
            <w:tcW w:w="2083"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预算数:</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30.26</w:t>
            </w:r>
            <w:r>
              <w:rPr>
                <w:rFonts w:hint="eastAsia" w:ascii="仿宋_GB2312" w:hAnsi="仿宋_GB2312" w:eastAsia="仿宋_GB2312" w:cs="仿宋_GB2312"/>
                <w:color w:val="000000"/>
                <w:sz w:val="24"/>
              </w:rPr>
              <w:t>万元</w:t>
            </w: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执行数:</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30.26</w:t>
            </w:r>
            <w:r>
              <w:rPr>
                <w:rFonts w:hint="eastAsia" w:ascii="仿宋_GB2312" w:hAnsi="仿宋_GB2312" w:eastAsia="仿宋_GB2312" w:cs="仿宋_GB2312"/>
                <w:color w:val="000000"/>
                <w:sz w:val="24"/>
              </w:rPr>
              <w:t>万元</w:t>
            </w:r>
          </w:p>
        </w:tc>
      </w:tr>
      <w:tr>
        <w:tblPrEx>
          <w:tblCellMar>
            <w:top w:w="0" w:type="dxa"/>
            <w:left w:w="0" w:type="dxa"/>
            <w:bottom w:w="0" w:type="dxa"/>
            <w:right w:w="0" w:type="dxa"/>
          </w:tblCellMar>
        </w:tblPrEx>
        <w:trPr>
          <w:trHeight w:val="276" w:hRule="atLeast"/>
          <w:jc w:val="center"/>
        </w:trPr>
        <w:tc>
          <w:tcPr>
            <w:tcW w:w="69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000000"/>
                <w:sz w:val="24"/>
              </w:rPr>
            </w:pPr>
          </w:p>
        </w:tc>
        <w:tc>
          <w:tcPr>
            <w:tcW w:w="2083"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其中-财政拨款:</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30.26</w:t>
            </w:r>
            <w:r>
              <w:rPr>
                <w:rFonts w:hint="eastAsia" w:ascii="仿宋_GB2312" w:hAnsi="仿宋_GB2312" w:eastAsia="仿宋_GB2312" w:cs="仿宋_GB2312"/>
                <w:color w:val="000000"/>
                <w:sz w:val="24"/>
              </w:rPr>
              <w:t>万元</w:t>
            </w: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其中-财政拨款:</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30.26</w:t>
            </w:r>
            <w:r>
              <w:rPr>
                <w:rFonts w:hint="eastAsia" w:ascii="仿宋_GB2312" w:hAnsi="仿宋_GB2312" w:eastAsia="仿宋_GB2312" w:cs="仿宋_GB2312"/>
                <w:color w:val="000000"/>
                <w:sz w:val="24"/>
              </w:rPr>
              <w:t>万元</w:t>
            </w:r>
          </w:p>
        </w:tc>
      </w:tr>
      <w:tr>
        <w:tblPrEx>
          <w:tblCellMar>
            <w:top w:w="0" w:type="dxa"/>
            <w:left w:w="0" w:type="dxa"/>
            <w:bottom w:w="0" w:type="dxa"/>
            <w:right w:w="0" w:type="dxa"/>
          </w:tblCellMar>
        </w:tblPrEx>
        <w:trPr>
          <w:trHeight w:val="1445" w:hRule="atLeast"/>
          <w:jc w:val="center"/>
        </w:trPr>
        <w:tc>
          <w:tcPr>
            <w:tcW w:w="69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000000"/>
                <w:sz w:val="24"/>
              </w:rPr>
            </w:pPr>
          </w:p>
        </w:tc>
        <w:tc>
          <w:tcPr>
            <w:tcW w:w="2083"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其它资金:</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其它资金:</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000000"/>
                <w:sz w:val="24"/>
              </w:rPr>
            </w:pPr>
          </w:p>
        </w:tc>
      </w:tr>
      <w:tr>
        <w:tblPrEx>
          <w:tblCellMar>
            <w:top w:w="0" w:type="dxa"/>
            <w:left w:w="0" w:type="dxa"/>
            <w:bottom w:w="0" w:type="dxa"/>
            <w:right w:w="0" w:type="dxa"/>
          </w:tblCellMar>
        </w:tblPrEx>
        <w:trPr>
          <w:trHeight w:val="276" w:hRule="atLeast"/>
          <w:jc w:val="center"/>
        </w:trPr>
        <w:tc>
          <w:tcPr>
            <w:tcW w:w="699"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年度目标完成情况</w:t>
            </w:r>
          </w:p>
        </w:tc>
        <w:tc>
          <w:tcPr>
            <w:tcW w:w="44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预期目标</w:t>
            </w:r>
          </w:p>
        </w:tc>
        <w:tc>
          <w:tcPr>
            <w:tcW w:w="4786"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实际完成目标</w:t>
            </w:r>
          </w:p>
        </w:tc>
      </w:tr>
      <w:tr>
        <w:tblPrEx>
          <w:tblCellMar>
            <w:top w:w="0" w:type="dxa"/>
            <w:left w:w="0" w:type="dxa"/>
            <w:bottom w:w="0" w:type="dxa"/>
            <w:right w:w="0" w:type="dxa"/>
          </w:tblCellMar>
        </w:tblPrEx>
        <w:trPr>
          <w:trHeight w:val="1159" w:hRule="atLeast"/>
          <w:jc w:val="center"/>
        </w:trPr>
        <w:tc>
          <w:tcPr>
            <w:tcW w:w="699"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000000"/>
                <w:sz w:val="24"/>
              </w:rPr>
            </w:pPr>
          </w:p>
        </w:tc>
        <w:tc>
          <w:tcPr>
            <w:tcW w:w="447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预计完成2021年度土地（或矿权）出让10余宗，完成年度非税征收任务2000万元。</w:t>
            </w:r>
          </w:p>
        </w:tc>
        <w:tc>
          <w:tcPr>
            <w:tcW w:w="4786"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预计完成2021年度土地（或矿权）出让17宗，完成年度非税征收任务2273万元。</w:t>
            </w:r>
          </w:p>
        </w:tc>
      </w:tr>
      <w:tr>
        <w:tblPrEx>
          <w:tblCellMar>
            <w:top w:w="0" w:type="dxa"/>
            <w:left w:w="0" w:type="dxa"/>
            <w:bottom w:w="0" w:type="dxa"/>
            <w:right w:w="0" w:type="dxa"/>
          </w:tblCellMar>
        </w:tblPrEx>
        <w:trPr>
          <w:trHeight w:val="896" w:hRule="atLeast"/>
          <w:jc w:val="center"/>
        </w:trPr>
        <w:tc>
          <w:tcPr>
            <w:tcW w:w="699"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绩效指标完成情况</w:t>
            </w:r>
          </w:p>
        </w:tc>
        <w:tc>
          <w:tcPr>
            <w:tcW w:w="9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一级指标</w:t>
            </w:r>
          </w:p>
        </w:tc>
        <w:tc>
          <w:tcPr>
            <w:tcW w:w="11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二级指标</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三级指标</w:t>
            </w: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预期指标值(包含数字及文字描述)</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实际完成指标值(包含数字及文字描述)</w:t>
            </w:r>
          </w:p>
        </w:tc>
      </w:tr>
      <w:tr>
        <w:tblPrEx>
          <w:tblCellMar>
            <w:top w:w="0" w:type="dxa"/>
            <w:left w:w="0" w:type="dxa"/>
            <w:bottom w:w="0" w:type="dxa"/>
            <w:right w:w="0" w:type="dxa"/>
          </w:tblCellMar>
        </w:tblPrEx>
        <w:trPr>
          <w:trHeight w:val="810" w:hRule="atLeast"/>
          <w:jc w:val="center"/>
        </w:trPr>
        <w:tc>
          <w:tcPr>
            <w:tcW w:w="699" w:type="dxa"/>
            <w:vMerge w:val="continue"/>
            <w:tcBorders>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p>
        </w:tc>
        <w:tc>
          <w:tcPr>
            <w:tcW w:w="9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项目完成指标</w:t>
            </w:r>
          </w:p>
        </w:tc>
        <w:tc>
          <w:tcPr>
            <w:tcW w:w="11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数量指标</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预计完成年度土地（或矿权）出让数</w:t>
            </w: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10余宗</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17宗</w:t>
            </w:r>
          </w:p>
        </w:tc>
      </w:tr>
      <w:tr>
        <w:trPr>
          <w:trHeight w:val="822" w:hRule="atLeast"/>
          <w:jc w:val="center"/>
        </w:trPr>
        <w:tc>
          <w:tcPr>
            <w:tcW w:w="699" w:type="dxa"/>
            <w:vMerge w:val="continue"/>
            <w:tcBorders>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p>
        </w:tc>
        <w:tc>
          <w:tcPr>
            <w:tcW w:w="9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项目完成指标</w:t>
            </w:r>
          </w:p>
        </w:tc>
        <w:tc>
          <w:tcPr>
            <w:tcW w:w="11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时效指标</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按时完成年度非税征收任务并上交财政</w:t>
            </w: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按时完成年度非税征收任务并上交财政</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202</w:t>
            </w:r>
            <w:r>
              <w:rPr>
                <w:rFonts w:hint="eastAsia" w:ascii="仿宋_GB2312" w:hAnsi="仿宋_GB2312" w:eastAsia="仿宋_GB2312" w:cs="仿宋_GB2312"/>
                <w:color w:val="000000"/>
                <w:sz w:val="24"/>
                <w:lang w:val="en-US" w:eastAsia="zh-CN"/>
              </w:rPr>
              <w:t>1</w:t>
            </w:r>
            <w:r>
              <w:rPr>
                <w:rFonts w:hint="eastAsia" w:ascii="仿宋_GB2312" w:hAnsi="仿宋_GB2312" w:eastAsia="仿宋_GB2312" w:cs="仿宋_GB2312"/>
                <w:color w:val="000000"/>
                <w:sz w:val="24"/>
              </w:rPr>
              <w:t>年12月31日之前</w:t>
            </w:r>
          </w:p>
        </w:tc>
      </w:tr>
      <w:tr>
        <w:tblPrEx>
          <w:tblCellMar>
            <w:top w:w="0" w:type="dxa"/>
            <w:left w:w="0" w:type="dxa"/>
            <w:bottom w:w="0" w:type="dxa"/>
            <w:right w:w="0" w:type="dxa"/>
          </w:tblCellMar>
        </w:tblPrEx>
        <w:trPr>
          <w:trHeight w:val="834" w:hRule="atLeast"/>
          <w:jc w:val="center"/>
        </w:trPr>
        <w:tc>
          <w:tcPr>
            <w:tcW w:w="699" w:type="dxa"/>
            <w:vMerge w:val="continue"/>
            <w:tcBorders>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p>
        </w:tc>
        <w:tc>
          <w:tcPr>
            <w:tcW w:w="9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kern w:val="0"/>
                <w:sz w:val="24"/>
                <w:lang w:bidi="ar"/>
              </w:rPr>
            </w:pPr>
            <w:r>
              <w:rPr>
                <w:rFonts w:hint="eastAsia" w:ascii="仿宋_GB2312" w:hAnsi="仿宋_GB2312" w:eastAsia="仿宋_GB2312" w:cs="仿宋_GB2312"/>
                <w:color w:val="000000"/>
                <w:kern w:val="0"/>
                <w:sz w:val="24"/>
                <w:lang w:bidi="ar"/>
              </w:rPr>
              <w:t>项目完成指标</w:t>
            </w:r>
          </w:p>
        </w:tc>
        <w:tc>
          <w:tcPr>
            <w:tcW w:w="11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成本指标</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土地（矿权）出让公告费.土地拍卖机构佣金,其他非税征收成本支出</w:t>
            </w: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30.26</w:t>
            </w:r>
            <w:r>
              <w:rPr>
                <w:rFonts w:hint="eastAsia" w:ascii="仿宋_GB2312" w:hAnsi="仿宋_GB2312" w:eastAsia="仿宋_GB2312" w:cs="仿宋_GB2312"/>
                <w:color w:val="000000"/>
                <w:sz w:val="24"/>
              </w:rPr>
              <w:t>万元</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lang w:val="en-US" w:eastAsia="zh-CN"/>
              </w:rPr>
              <w:t>30.26</w:t>
            </w:r>
            <w:r>
              <w:rPr>
                <w:rFonts w:hint="eastAsia" w:ascii="仿宋_GB2312" w:hAnsi="仿宋_GB2312" w:eastAsia="仿宋_GB2312" w:cs="仿宋_GB2312"/>
                <w:color w:val="000000"/>
                <w:sz w:val="24"/>
              </w:rPr>
              <w:t>万元</w:t>
            </w:r>
          </w:p>
        </w:tc>
      </w:tr>
      <w:tr>
        <w:tblPrEx>
          <w:tblCellMar>
            <w:top w:w="0" w:type="dxa"/>
            <w:left w:w="0" w:type="dxa"/>
            <w:bottom w:w="0" w:type="dxa"/>
            <w:right w:w="0" w:type="dxa"/>
          </w:tblCellMar>
        </w:tblPrEx>
        <w:trPr>
          <w:trHeight w:val="832" w:hRule="atLeast"/>
          <w:jc w:val="center"/>
        </w:trPr>
        <w:tc>
          <w:tcPr>
            <w:tcW w:w="699" w:type="dxa"/>
            <w:vMerge w:val="continue"/>
            <w:tcBorders>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p>
        </w:tc>
        <w:tc>
          <w:tcPr>
            <w:tcW w:w="9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效益指标</w:t>
            </w:r>
          </w:p>
        </w:tc>
        <w:tc>
          <w:tcPr>
            <w:tcW w:w="11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经济效益</w:t>
            </w:r>
          </w:p>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指标</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促进财政增收</w:t>
            </w: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2000万元</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 xml:space="preserve"> 为市财政年度增收2200余万元</w:t>
            </w:r>
          </w:p>
        </w:tc>
      </w:tr>
      <w:tr>
        <w:trPr>
          <w:trHeight w:val="1042" w:hRule="atLeast"/>
          <w:jc w:val="center"/>
        </w:trPr>
        <w:tc>
          <w:tcPr>
            <w:tcW w:w="699" w:type="dxa"/>
            <w:vMerge w:val="continue"/>
            <w:tcBorders>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p>
        </w:tc>
        <w:tc>
          <w:tcPr>
            <w:tcW w:w="96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kern w:val="0"/>
                <w:sz w:val="24"/>
                <w:lang w:bidi="ar"/>
              </w:rPr>
            </w:pPr>
            <w:r>
              <w:rPr>
                <w:rFonts w:hint="eastAsia" w:ascii="仿宋_GB2312" w:hAnsi="仿宋_GB2312" w:eastAsia="仿宋_GB2312" w:cs="仿宋_GB2312"/>
                <w:color w:val="000000"/>
                <w:kern w:val="0"/>
                <w:sz w:val="24"/>
                <w:lang w:bidi="ar"/>
              </w:rPr>
              <w:t>效益指标</w:t>
            </w:r>
          </w:p>
        </w:tc>
        <w:tc>
          <w:tcPr>
            <w:tcW w:w="11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社会效益</w:t>
            </w:r>
          </w:p>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指标</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加大全市土地出让力度，促进房地产市场的发展</w:t>
            </w: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加大全市土地出让力度，促进房地产市场的发展</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加大全市土地出让力度，促进房地产市场的发展</w:t>
            </w:r>
          </w:p>
        </w:tc>
      </w:tr>
      <w:tr>
        <w:tblPrEx>
          <w:tblCellMar>
            <w:top w:w="0" w:type="dxa"/>
            <w:left w:w="0" w:type="dxa"/>
            <w:bottom w:w="0" w:type="dxa"/>
            <w:right w:w="0" w:type="dxa"/>
          </w:tblCellMar>
        </w:tblPrEx>
        <w:trPr>
          <w:trHeight w:val="1016" w:hRule="atLeast"/>
          <w:jc w:val="center"/>
        </w:trPr>
        <w:tc>
          <w:tcPr>
            <w:tcW w:w="699" w:type="dxa"/>
            <w:vMerge w:val="continue"/>
            <w:tcBorders>
              <w:left w:val="single" w:color="000000" w:sz="4" w:space="0"/>
              <w:bottom w:val="single" w:color="auto"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p>
        </w:tc>
        <w:tc>
          <w:tcPr>
            <w:tcW w:w="961"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4"/>
                <w:lang w:bidi="ar"/>
              </w:rPr>
              <w:t>满意度指标</w:t>
            </w:r>
          </w:p>
        </w:tc>
        <w:tc>
          <w:tcPr>
            <w:tcW w:w="11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满意度指标</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拍卖机构满意度</w:t>
            </w: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100%</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100%</w:t>
            </w:r>
          </w:p>
        </w:tc>
      </w:tr>
    </w:tbl>
    <w:p>
      <w:pPr>
        <w:rPr>
          <w:rFonts w:hint="eastAsia" w:ascii="方正小标宋简体" w:hAnsi="方正小标宋简体" w:eastAsia="方正小标宋简体" w:cs="方正小标宋简体"/>
          <w:color w:val="000000"/>
          <w:kern w:val="0"/>
          <w:sz w:val="44"/>
          <w:szCs w:val="44"/>
        </w:rPr>
      </w:pPr>
      <w:r>
        <w:rPr>
          <w:rFonts w:hint="eastAsia" w:ascii="方正小标宋简体" w:hAnsi="方正小标宋简体" w:eastAsia="方正小标宋简体" w:cs="方正小标宋简体"/>
          <w:color w:val="000000"/>
          <w:kern w:val="0"/>
          <w:sz w:val="44"/>
          <w:szCs w:val="44"/>
        </w:rPr>
        <w:br w:type="page"/>
      </w:r>
    </w:p>
    <w:p>
      <w:pPr>
        <w:spacing w:line="600" w:lineRule="exact"/>
        <w:jc w:val="center"/>
        <w:rPr>
          <w:rFonts w:hint="eastAsia" w:ascii="方正小标宋简体" w:hAnsi="方正小标宋简体" w:eastAsia="方正小标宋简体" w:cs="方正小标宋简体"/>
          <w:color w:val="000000"/>
          <w:kern w:val="0"/>
          <w:sz w:val="44"/>
          <w:szCs w:val="44"/>
        </w:rPr>
      </w:pPr>
      <w:r>
        <w:rPr>
          <w:rFonts w:hint="eastAsia" w:ascii="方正小标宋简体" w:hAnsi="方正小标宋简体" w:eastAsia="方正小标宋简体" w:cs="方正小标宋简体"/>
          <w:color w:val="000000"/>
          <w:kern w:val="0"/>
          <w:sz w:val="44"/>
          <w:szCs w:val="44"/>
        </w:rPr>
        <w:t>交易场地设施设备维护费</w:t>
      </w:r>
    </w:p>
    <w:p>
      <w:pPr>
        <w:spacing w:line="600" w:lineRule="exact"/>
        <w:jc w:val="center"/>
        <w:rPr>
          <w:rFonts w:hint="eastAsia" w:ascii="方正小标宋简体" w:hAnsi="方正小标宋简体" w:eastAsia="方正小标宋简体" w:cs="方正小标宋简体"/>
          <w:color w:val="000000"/>
          <w:kern w:val="0"/>
          <w:sz w:val="44"/>
          <w:szCs w:val="44"/>
        </w:rPr>
      </w:pPr>
      <w:r>
        <w:rPr>
          <w:rFonts w:hint="eastAsia" w:ascii="方正小标宋简体" w:hAnsi="方正小标宋简体" w:eastAsia="方正小标宋简体" w:cs="方正小标宋简体"/>
          <w:color w:val="000000"/>
          <w:kern w:val="0"/>
          <w:sz w:val="44"/>
          <w:szCs w:val="44"/>
        </w:rPr>
        <w:t>2021年绩效评价报告</w:t>
      </w:r>
    </w:p>
    <w:p>
      <w:pPr>
        <w:spacing w:line="576" w:lineRule="exact"/>
        <w:ind w:left="48" w:leftChars="23" w:firstLine="729" w:firstLineChars="228"/>
        <w:jc w:val="left"/>
        <w:rPr>
          <w:rFonts w:ascii="黑体" w:hAnsi="黑体" w:eastAsia="黑体"/>
          <w:kern w:val="0"/>
          <w:sz w:val="32"/>
          <w:szCs w:val="32"/>
        </w:rPr>
      </w:pPr>
    </w:p>
    <w:p>
      <w:pPr>
        <w:adjustRightInd w:val="0"/>
        <w:snapToGrid w:val="0"/>
        <w:spacing w:line="576" w:lineRule="exact"/>
        <w:ind w:left="50" w:leftChars="24" w:firstLine="736" w:firstLineChars="230"/>
        <w:rPr>
          <w:rFonts w:ascii="黑体" w:hAnsi="黑体" w:eastAsia="黑体"/>
          <w:sz w:val="32"/>
          <w:szCs w:val="32"/>
          <w:lang w:val="zh-CN"/>
        </w:rPr>
      </w:pPr>
      <w:bookmarkStart w:id="125" w:name="_Toc401979562_WPSOffice_Level2"/>
      <w:r>
        <w:rPr>
          <w:rFonts w:hint="eastAsia" w:ascii="黑体" w:hAnsi="黑体" w:eastAsia="黑体"/>
          <w:sz w:val="32"/>
          <w:szCs w:val="32"/>
        </w:rPr>
        <w:t>一、</w:t>
      </w:r>
      <w:r>
        <w:rPr>
          <w:rFonts w:hint="eastAsia" w:ascii="黑体" w:hAnsi="黑体" w:eastAsia="黑体"/>
          <w:sz w:val="32"/>
          <w:szCs w:val="32"/>
          <w:lang w:val="zh-CN"/>
        </w:rPr>
        <w:t>项目概况</w:t>
      </w:r>
      <w:bookmarkEnd w:id="125"/>
    </w:p>
    <w:p>
      <w:pPr>
        <w:pStyle w:val="6"/>
        <w:spacing w:beforeLines="0" w:line="576" w:lineRule="exact"/>
        <w:ind w:firstLine="640" w:firstLineChars="200"/>
        <w:rPr>
          <w:rFonts w:ascii="楷体_GB2312" w:hAnsi="宋体" w:eastAsia="楷体_GB2312"/>
          <w:kern w:val="2"/>
          <w:sz w:val="32"/>
          <w:szCs w:val="32"/>
          <w:lang w:val="zh-CN"/>
        </w:rPr>
      </w:pPr>
      <w:r>
        <w:rPr>
          <w:rFonts w:hint="eastAsia" w:ascii="楷体_GB2312" w:hAnsi="宋体" w:eastAsia="楷体_GB2312"/>
          <w:kern w:val="2"/>
          <w:sz w:val="32"/>
          <w:szCs w:val="32"/>
          <w:lang w:val="zh-CN"/>
        </w:rPr>
        <w:t>（一）项目基本情况</w:t>
      </w:r>
    </w:p>
    <w:p>
      <w:pPr>
        <w:adjustRightInd w:val="0"/>
        <w:snapToGrid w:val="0"/>
        <w:spacing w:line="576" w:lineRule="exact"/>
        <w:ind w:left="105" w:firstLine="640" w:firstLineChars="200"/>
        <w:rPr>
          <w:rFonts w:ascii="仿宋_GB2312" w:hAnsi="宋体" w:eastAsia="仿宋_GB2312"/>
          <w:color w:val="000000"/>
          <w:sz w:val="32"/>
          <w:szCs w:val="32"/>
        </w:rPr>
      </w:pPr>
      <w:r>
        <w:rPr>
          <w:rFonts w:hint="eastAsia" w:ascii="仿宋_GB2312" w:hAnsi="宋体" w:eastAsia="仿宋_GB2312"/>
          <w:sz w:val="32"/>
          <w:szCs w:val="32"/>
          <w:lang w:val="zh-CN"/>
        </w:rPr>
        <w:t>1．</w:t>
      </w:r>
      <w:r>
        <w:rPr>
          <w:rFonts w:hint="eastAsia" w:ascii="仿宋_GB2312" w:hAnsi="宋体" w:eastAsia="仿宋_GB2312" w:cs="宋体"/>
          <w:color w:val="000000"/>
          <w:kern w:val="0"/>
          <w:sz w:val="32"/>
          <w:szCs w:val="32"/>
          <w:shd w:val="clear" w:color="auto" w:fill="FFFFFF"/>
          <w:lang w:val="zh-CN"/>
        </w:rPr>
        <w:t>广元市</w:t>
      </w:r>
      <w:r>
        <w:rPr>
          <w:rFonts w:hint="eastAsia" w:ascii="仿宋_GB2312" w:hAnsi="宋体" w:eastAsia="仿宋_GB2312"/>
          <w:color w:val="000000"/>
          <w:sz w:val="32"/>
          <w:szCs w:val="32"/>
        </w:rPr>
        <w:t>公共资源交易信息中心是经市委、市政府批准设立的公益一类事业单位，直属市政务服务和公共资源交易中心。根据该部门“</w:t>
      </w:r>
      <w:r>
        <w:rPr>
          <w:rFonts w:hint="eastAsia" w:ascii="仿宋_GB2312" w:hAnsi="宋体" w:eastAsia="仿宋_GB2312"/>
          <w:sz w:val="32"/>
          <w:szCs w:val="32"/>
        </w:rPr>
        <w:t>贯彻实施公共资源交易相关法律、法规和政策，为公共资源交易活动提供场所、设施和服务。”及“制定公共资源交易现场管理规章制度、工作流程并组织实施，指导全市公共资源交易活动现场和管理工作”</w:t>
      </w:r>
      <w:r>
        <w:rPr>
          <w:rFonts w:hint="eastAsia" w:ascii="仿宋_GB2312" w:hAnsi="宋体" w:eastAsia="仿宋_GB2312"/>
          <w:color w:val="000000"/>
          <w:sz w:val="32"/>
          <w:szCs w:val="32"/>
        </w:rPr>
        <w:t>的职能申请设立了“交易场地设施设备维护费”项目预算。</w:t>
      </w:r>
      <w:r>
        <w:rPr>
          <w:rFonts w:hint="eastAsia" w:ascii="仿宋_GB2312" w:hAnsi="宋体" w:eastAsia="仿宋_GB2312" w:cs="仿宋_GB2312"/>
          <w:sz w:val="32"/>
          <w:szCs w:val="32"/>
        </w:rPr>
        <w:t>作为建设和维护公共资源交易场所软硬件环境所必须的工作经费。</w:t>
      </w:r>
    </w:p>
    <w:p>
      <w:pPr>
        <w:adjustRightInd w:val="0"/>
        <w:snapToGrid w:val="0"/>
        <w:spacing w:line="576" w:lineRule="exact"/>
        <w:ind w:left="105"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2．</w:t>
      </w:r>
      <w:r>
        <w:rPr>
          <w:rFonts w:hint="eastAsia" w:ascii="仿宋_GB2312" w:hAnsi="宋体" w:eastAsia="仿宋_GB2312"/>
          <w:color w:val="000000"/>
          <w:sz w:val="32"/>
          <w:szCs w:val="32"/>
        </w:rPr>
        <w:t>交易场地设施设备维护费</w:t>
      </w:r>
      <w:r>
        <w:rPr>
          <w:rFonts w:hint="eastAsia" w:ascii="仿宋_GB2312" w:hAnsi="宋体" w:eastAsia="仿宋_GB2312" w:cs="仿宋"/>
          <w:color w:val="000000"/>
          <w:sz w:val="32"/>
          <w:szCs w:val="32"/>
        </w:rPr>
        <w:t>主要是对开标室、评标室、监控室、机房、开评标区外围大厅等交易场所的设施设备进行维修维护，确保各项设备正常使用；对照省中心对各市州建设规范化、标准化、示范化交易中心的要求，对交易中心相关制度、公示牌、环境布置等进行维护改造升级。</w:t>
      </w:r>
      <w:r>
        <w:rPr>
          <w:rFonts w:hint="eastAsia" w:ascii="仿宋_GB2312" w:hAnsi="宋体" w:eastAsia="仿宋_GB2312" w:cs="仿宋"/>
          <w:sz w:val="32"/>
          <w:szCs w:val="32"/>
          <w:lang w:val="zh-CN"/>
        </w:rPr>
        <w:t>申报年初项目预算</w:t>
      </w:r>
      <w:r>
        <w:rPr>
          <w:rFonts w:hint="eastAsia" w:ascii="仿宋_GB2312" w:hAnsi="宋体" w:eastAsia="仿宋_GB2312" w:cs="仿宋"/>
          <w:sz w:val="32"/>
          <w:szCs w:val="32"/>
        </w:rPr>
        <w:t>5.24万元</w:t>
      </w:r>
      <w:r>
        <w:rPr>
          <w:rFonts w:hint="eastAsia" w:ascii="仿宋_GB2312" w:hAnsi="宋体" w:eastAsia="仿宋_GB2312" w:cs="仿宋"/>
          <w:color w:val="333333"/>
          <w:sz w:val="32"/>
          <w:szCs w:val="32"/>
          <w:shd w:val="clear" w:color="auto" w:fill="FFFFFF"/>
        </w:rPr>
        <w:t>，</w:t>
      </w:r>
      <w:r>
        <w:rPr>
          <w:rFonts w:hint="eastAsia" w:ascii="仿宋_GB2312" w:hAnsi="宋体" w:eastAsia="仿宋_GB2312" w:cs="仿宋"/>
          <w:sz w:val="32"/>
          <w:szCs w:val="32"/>
          <w:shd w:val="clear" w:color="auto" w:fill="FFFFFF"/>
        </w:rPr>
        <w:t>旨在为交易活动主体提供良好的交易环境。</w:t>
      </w:r>
      <w:r>
        <w:rPr>
          <w:rFonts w:hint="eastAsia" w:ascii="仿宋_GB2312" w:hAnsi="宋体" w:eastAsia="仿宋_GB2312"/>
          <w:color w:val="000000"/>
          <w:sz w:val="32"/>
          <w:szCs w:val="32"/>
        </w:rPr>
        <w:t>支付标准依据中心制度的资产管理办法、财务规章制度及相关合同等。</w:t>
      </w:r>
    </w:p>
    <w:p>
      <w:pPr>
        <w:pStyle w:val="6"/>
        <w:spacing w:beforeLines="0" w:line="576" w:lineRule="exact"/>
        <w:ind w:firstLine="640" w:firstLineChars="200"/>
        <w:rPr>
          <w:rFonts w:ascii="楷体_GB2312" w:hAnsi="宋体" w:eastAsia="楷体_GB2312"/>
          <w:kern w:val="2"/>
          <w:sz w:val="32"/>
          <w:szCs w:val="32"/>
          <w:lang w:val="zh-CN"/>
        </w:rPr>
      </w:pPr>
      <w:r>
        <w:rPr>
          <w:rFonts w:hint="eastAsia" w:ascii="楷体_GB2312" w:hAnsi="宋体" w:eastAsia="楷体_GB2312"/>
          <w:kern w:val="2"/>
          <w:sz w:val="32"/>
          <w:szCs w:val="32"/>
          <w:lang w:val="zh-CN"/>
        </w:rPr>
        <w:t>（二）项目绩效目标。</w:t>
      </w:r>
    </w:p>
    <w:p>
      <w:pPr>
        <w:adjustRightInd w:val="0"/>
        <w:snapToGrid w:val="0"/>
        <w:spacing w:line="576" w:lineRule="exact"/>
        <w:ind w:left="105"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1．项目主要内容：交易场地设施设备购置及维护若干；根据需要更换或新建一批标识牌、制度牌等；公共资源交易活动现场设施设备能正常使用；公共资源电子化交易活动顺利开展；相关交易主体使用公共资源交易中心相关设施设备的满意率≥90%。</w:t>
      </w:r>
    </w:p>
    <w:p>
      <w:pPr>
        <w:adjustRightInd w:val="0"/>
        <w:snapToGrid w:val="0"/>
        <w:spacing w:line="576" w:lineRule="exact"/>
        <w:ind w:left="105" w:firstLine="640" w:firstLineChars="200"/>
        <w:rPr>
          <w:rFonts w:ascii="仿宋_GB2312" w:hAnsi="宋体" w:eastAsia="仿宋_GB2312"/>
          <w:sz w:val="32"/>
          <w:szCs w:val="32"/>
        </w:rPr>
      </w:pPr>
      <w:r>
        <w:rPr>
          <w:rFonts w:hint="eastAsia" w:ascii="仿宋_GB2312" w:hAnsi="宋体" w:eastAsia="仿宋_GB2312"/>
          <w:sz w:val="32"/>
          <w:szCs w:val="32"/>
          <w:lang w:val="zh-CN"/>
        </w:rPr>
        <w:t>2．</w:t>
      </w:r>
      <w:r>
        <w:rPr>
          <w:rFonts w:hint="eastAsia" w:ascii="仿宋_GB2312" w:hAnsi="宋体" w:eastAsia="仿宋_GB2312" w:cs="仿宋_GB2312"/>
          <w:sz w:val="32"/>
          <w:szCs w:val="32"/>
        </w:rPr>
        <w:t>2021年设定项目绩效目标：</w:t>
      </w:r>
      <w:r>
        <w:rPr>
          <w:rFonts w:hint="eastAsia" w:ascii="仿宋_GB2312" w:hAnsi="宋体" w:eastAsia="仿宋_GB2312"/>
          <w:sz w:val="32"/>
          <w:szCs w:val="32"/>
          <w:lang w:val="zh-CN"/>
        </w:rPr>
        <w:t>对市公共资源交易信息中心开标室、评标室、监控室、机房、开评标区外围大厅等交易场所的设施设备进行维修维护，确保各项设备正常使用；对照省中心对各市州建设规范化、标准化、示范化交易中心的要求，对交易中心相关制度、公示牌、环境布置等进行维护改造升级。</w:t>
      </w:r>
    </w:p>
    <w:p>
      <w:pPr>
        <w:numPr>
          <w:ilvl w:val="0"/>
          <w:numId w:val="8"/>
        </w:numPr>
        <w:adjustRightInd w:val="0"/>
        <w:snapToGrid w:val="0"/>
        <w:spacing w:line="576" w:lineRule="exact"/>
        <w:ind w:firstLine="720"/>
        <w:rPr>
          <w:rFonts w:ascii="仿宋_GB2312" w:hAnsi="宋体" w:eastAsia="仿宋_GB2312"/>
          <w:sz w:val="32"/>
          <w:szCs w:val="32"/>
          <w:lang w:val="zh-CN"/>
        </w:rPr>
      </w:pPr>
      <w:r>
        <w:rPr>
          <w:rFonts w:hint="eastAsia" w:ascii="仿宋_GB2312" w:hAnsi="宋体" w:eastAsia="仿宋_GB2312"/>
          <w:sz w:val="32"/>
          <w:szCs w:val="32"/>
          <w:lang w:val="zh-CN"/>
        </w:rPr>
        <w:t>经分析政府采购</w:t>
      </w:r>
      <w:r>
        <w:rPr>
          <w:rFonts w:hint="eastAsia" w:ascii="仿宋_GB2312" w:hAnsi="宋体" w:eastAsia="仿宋_GB2312"/>
          <w:color w:val="000000"/>
          <w:sz w:val="32"/>
          <w:szCs w:val="32"/>
        </w:rPr>
        <w:t>交易场地设施设备维护费</w:t>
      </w:r>
      <w:r>
        <w:rPr>
          <w:rFonts w:hint="eastAsia" w:ascii="仿宋_GB2312" w:hAnsi="宋体" w:eastAsia="仿宋_GB2312"/>
          <w:sz w:val="32"/>
          <w:szCs w:val="32"/>
          <w:lang w:val="zh-CN"/>
        </w:rPr>
        <w:t>项目申报内容与实际相符，申报目标合理可行，能够保证公共资源交易活动正常有序进行。</w:t>
      </w:r>
    </w:p>
    <w:p>
      <w:pPr>
        <w:pStyle w:val="6"/>
        <w:spacing w:beforeLines="0" w:line="576" w:lineRule="exact"/>
        <w:ind w:firstLine="640" w:firstLineChars="200"/>
        <w:rPr>
          <w:rFonts w:ascii="楷体_GB2312" w:hAnsi="宋体" w:eastAsia="楷体_GB2312"/>
          <w:kern w:val="2"/>
          <w:sz w:val="32"/>
          <w:szCs w:val="32"/>
          <w:lang w:val="zh-CN"/>
        </w:rPr>
      </w:pPr>
      <w:r>
        <w:rPr>
          <w:rFonts w:hint="eastAsia" w:ascii="楷体_GB2312" w:hAnsi="宋体" w:eastAsia="楷体_GB2312"/>
          <w:kern w:val="2"/>
          <w:sz w:val="32"/>
          <w:szCs w:val="32"/>
          <w:lang w:val="zh-CN"/>
        </w:rPr>
        <w:t>（三）项目自评步骤及方法。</w:t>
      </w:r>
    </w:p>
    <w:p>
      <w:pPr>
        <w:pStyle w:val="6"/>
        <w:spacing w:beforeLines="0" w:line="576" w:lineRule="exact"/>
        <w:ind w:firstLine="640" w:firstLineChars="200"/>
        <w:rPr>
          <w:rFonts w:hAnsi="宋体"/>
          <w:sz w:val="32"/>
          <w:szCs w:val="32"/>
          <w:lang w:val="zh-CN"/>
        </w:rPr>
      </w:pPr>
      <w:r>
        <w:rPr>
          <w:rFonts w:hint="eastAsia" w:hAnsi="宋体"/>
          <w:sz w:val="32"/>
          <w:szCs w:val="32"/>
          <w:lang w:val="zh-CN"/>
        </w:rPr>
        <w:t>由涉及相关业务科室先自评，再由中心领导班子组织审评。</w:t>
      </w:r>
    </w:p>
    <w:p>
      <w:pPr>
        <w:pStyle w:val="6"/>
        <w:spacing w:beforeLines="0" w:line="576" w:lineRule="exact"/>
        <w:ind w:firstLine="640" w:firstLineChars="200"/>
        <w:rPr>
          <w:rFonts w:ascii="楷体_GB2312" w:hAnsi="宋体" w:eastAsia="楷体_GB2312"/>
          <w:kern w:val="2"/>
          <w:sz w:val="32"/>
          <w:szCs w:val="32"/>
          <w:lang w:val="zh-CN"/>
        </w:rPr>
      </w:pPr>
      <w:bookmarkStart w:id="126" w:name="_Toc201964082_WPSOffice_Level2"/>
      <w:r>
        <w:rPr>
          <w:rFonts w:hint="eastAsia" w:ascii="黑体" w:hAnsi="黑体" w:eastAsia="黑体"/>
          <w:sz w:val="32"/>
          <w:szCs w:val="32"/>
        </w:rPr>
        <w:t>二、项目资金申报及使用情况</w:t>
      </w:r>
      <w:bookmarkEnd w:id="126"/>
    </w:p>
    <w:p>
      <w:pPr>
        <w:adjustRightInd w:val="0"/>
        <w:snapToGrid w:val="0"/>
        <w:spacing w:line="576" w:lineRule="exact"/>
        <w:ind w:left="105" w:firstLine="480" w:firstLineChars="150"/>
        <w:rPr>
          <w:rFonts w:ascii="黑体" w:hAnsi="黑体" w:eastAsia="黑体"/>
          <w:sz w:val="32"/>
          <w:szCs w:val="32"/>
          <w:lang w:val="zh-CN"/>
        </w:rPr>
      </w:pPr>
      <w:r>
        <w:rPr>
          <w:rFonts w:hint="eastAsia" w:ascii="楷体_GB2312" w:hAnsi="宋体" w:eastAsia="楷体_GB2312"/>
          <w:sz w:val="32"/>
          <w:szCs w:val="32"/>
          <w:lang w:val="zh-CN"/>
        </w:rPr>
        <w:t>（一）项目资金申报及批复情况</w:t>
      </w:r>
    </w:p>
    <w:p>
      <w:pPr>
        <w:adjustRightInd w:val="0"/>
        <w:snapToGrid w:val="0"/>
        <w:spacing w:line="576" w:lineRule="exact"/>
        <w:ind w:left="105" w:firstLine="640" w:firstLineChars="200"/>
        <w:rPr>
          <w:rFonts w:ascii="仿宋_GB2312" w:hAnsi="宋体" w:eastAsia="仿宋_GB2312"/>
          <w:sz w:val="32"/>
          <w:szCs w:val="32"/>
        </w:rPr>
      </w:pPr>
      <w:r>
        <w:rPr>
          <w:rFonts w:hint="eastAsia" w:ascii="仿宋_GB2312" w:hAnsi="宋体" w:eastAsia="仿宋_GB2312"/>
          <w:sz w:val="32"/>
          <w:szCs w:val="32"/>
          <w:lang w:val="zh-CN"/>
        </w:rPr>
        <w:t>政府采购专家评审费预算申报</w:t>
      </w:r>
      <w:r>
        <w:rPr>
          <w:rFonts w:hint="eastAsia" w:ascii="仿宋_GB2312" w:hAnsi="宋体" w:eastAsia="仿宋_GB2312"/>
          <w:sz w:val="32"/>
          <w:szCs w:val="32"/>
        </w:rPr>
        <w:t>5.24万元，财政下达预算批复5.24万元。</w:t>
      </w:r>
    </w:p>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（二）资金计划、到位及使用情况</w:t>
      </w:r>
    </w:p>
    <w:p>
      <w:pPr>
        <w:pStyle w:val="6"/>
        <w:spacing w:beforeLines="0" w:line="576" w:lineRule="exact"/>
        <w:ind w:firstLine="640" w:firstLineChars="200"/>
        <w:rPr>
          <w:rFonts w:hAnsi="宋体"/>
          <w:kern w:val="2"/>
          <w:sz w:val="32"/>
          <w:szCs w:val="32"/>
          <w:lang w:val="zh-CN"/>
        </w:rPr>
      </w:pPr>
      <w:r>
        <w:rPr>
          <w:rFonts w:hint="eastAsia" w:hAnsi="宋体"/>
          <w:kern w:val="2"/>
          <w:sz w:val="32"/>
          <w:szCs w:val="32"/>
          <w:lang w:val="zh-CN"/>
        </w:rPr>
        <w:t>在项目执行过程中，严格遵守相关法律法规和单位工作制度，项目基础业务信息资料齐全并及时归档，项目实施的人员条件、信息支撑等落实到位。</w:t>
      </w:r>
    </w:p>
    <w:tbl>
      <w:tblPr>
        <w:tblStyle w:val="15"/>
        <w:tblW w:w="95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3"/>
        <w:gridCol w:w="2188"/>
        <w:gridCol w:w="2335"/>
        <w:gridCol w:w="33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1663" w:type="dxa"/>
            <w:noWrap w:val="0"/>
            <w:vAlign w:val="center"/>
          </w:tcPr>
          <w:p>
            <w:pPr>
              <w:pStyle w:val="6"/>
              <w:pBdr>
                <w:top w:val="none" w:color="auto" w:sz="0" w:space="1"/>
                <w:left w:val="none" w:color="auto" w:sz="0" w:space="4"/>
                <w:bottom w:val="none" w:color="auto" w:sz="0" w:space="1"/>
                <w:right w:val="none" w:color="auto" w:sz="0" w:space="4"/>
              </w:pBdr>
              <w:tabs>
                <w:tab w:val="center" w:pos="4153"/>
                <w:tab w:val="right" w:pos="8306"/>
              </w:tabs>
              <w:snapToGrid w:val="0"/>
              <w:spacing w:beforeLines="0" w:line="400" w:lineRule="exact"/>
              <w:jc w:val="center"/>
              <w:rPr>
                <w:rFonts w:hint="eastAsia" w:ascii="黑体" w:hAnsi="黑体" w:eastAsia="黑体" w:cs="黑体"/>
                <w:kern w:val="2"/>
                <w:szCs w:val="24"/>
                <w:lang w:val="zh-CN"/>
              </w:rPr>
            </w:pPr>
          </w:p>
        </w:tc>
        <w:tc>
          <w:tcPr>
            <w:tcW w:w="2188" w:type="dxa"/>
            <w:noWrap w:val="0"/>
            <w:vAlign w:val="center"/>
          </w:tcPr>
          <w:p>
            <w:pPr>
              <w:pStyle w:val="6"/>
              <w:pBdr>
                <w:top w:val="none" w:color="auto" w:sz="0" w:space="1"/>
                <w:left w:val="none" w:color="auto" w:sz="0" w:space="4"/>
                <w:bottom w:val="none" w:color="auto" w:sz="0" w:space="1"/>
                <w:right w:val="none" w:color="auto" w:sz="0" w:space="4"/>
              </w:pBdr>
              <w:tabs>
                <w:tab w:val="center" w:pos="4153"/>
                <w:tab w:val="right" w:pos="8306"/>
              </w:tabs>
              <w:snapToGrid w:val="0"/>
              <w:spacing w:beforeLines="0" w:line="400" w:lineRule="exact"/>
              <w:jc w:val="center"/>
              <w:rPr>
                <w:rFonts w:hint="eastAsia" w:ascii="黑体" w:hAnsi="黑体" w:eastAsia="黑体" w:cs="黑体"/>
                <w:kern w:val="2"/>
                <w:szCs w:val="24"/>
              </w:rPr>
            </w:pPr>
            <w:r>
              <w:rPr>
                <w:rFonts w:hint="eastAsia" w:ascii="黑体" w:hAnsi="黑体" w:eastAsia="黑体" w:cs="黑体"/>
                <w:kern w:val="2"/>
                <w:szCs w:val="24"/>
              </w:rPr>
              <w:t>财政拨款</w:t>
            </w:r>
          </w:p>
        </w:tc>
        <w:tc>
          <w:tcPr>
            <w:tcW w:w="2335" w:type="dxa"/>
            <w:noWrap w:val="0"/>
            <w:vAlign w:val="center"/>
          </w:tcPr>
          <w:p>
            <w:pPr>
              <w:pStyle w:val="6"/>
              <w:pBdr>
                <w:top w:val="none" w:color="auto" w:sz="0" w:space="1"/>
                <w:left w:val="none" w:color="auto" w:sz="0" w:space="4"/>
                <w:bottom w:val="none" w:color="auto" w:sz="0" w:space="1"/>
                <w:right w:val="none" w:color="auto" w:sz="0" w:space="4"/>
              </w:pBdr>
              <w:tabs>
                <w:tab w:val="center" w:pos="4153"/>
                <w:tab w:val="right" w:pos="8306"/>
              </w:tabs>
              <w:snapToGrid w:val="0"/>
              <w:spacing w:beforeLines="0" w:line="400" w:lineRule="exact"/>
              <w:jc w:val="center"/>
              <w:rPr>
                <w:rFonts w:hint="eastAsia" w:ascii="黑体" w:hAnsi="黑体" w:eastAsia="黑体" w:cs="黑体"/>
                <w:kern w:val="2"/>
                <w:szCs w:val="24"/>
                <w:lang w:val="zh-CN"/>
              </w:rPr>
            </w:pPr>
            <w:r>
              <w:rPr>
                <w:rFonts w:hint="eastAsia" w:ascii="黑体" w:hAnsi="黑体" w:eastAsia="黑体" w:cs="黑体"/>
                <w:kern w:val="2"/>
                <w:szCs w:val="24"/>
                <w:lang w:val="zh-CN"/>
              </w:rPr>
              <w:t>来源渠道</w:t>
            </w:r>
          </w:p>
        </w:tc>
        <w:tc>
          <w:tcPr>
            <w:tcW w:w="3359" w:type="dxa"/>
            <w:noWrap w:val="0"/>
            <w:vAlign w:val="center"/>
          </w:tcPr>
          <w:p>
            <w:pPr>
              <w:pStyle w:val="6"/>
              <w:pBdr>
                <w:top w:val="none" w:color="auto" w:sz="0" w:space="1"/>
                <w:left w:val="none" w:color="auto" w:sz="0" w:space="4"/>
                <w:bottom w:val="none" w:color="auto" w:sz="0" w:space="1"/>
                <w:right w:val="none" w:color="auto" w:sz="0" w:space="4"/>
              </w:pBdr>
              <w:tabs>
                <w:tab w:val="center" w:pos="4153"/>
                <w:tab w:val="right" w:pos="8306"/>
              </w:tabs>
              <w:snapToGrid w:val="0"/>
              <w:spacing w:beforeLines="0" w:line="400" w:lineRule="exact"/>
              <w:jc w:val="center"/>
              <w:rPr>
                <w:rFonts w:hint="eastAsia" w:ascii="黑体" w:hAnsi="黑体" w:eastAsia="黑体" w:cs="黑体"/>
                <w:kern w:val="2"/>
                <w:szCs w:val="24"/>
                <w:lang w:val="zh-CN"/>
              </w:rPr>
            </w:pPr>
            <w:r>
              <w:rPr>
                <w:rFonts w:hint="eastAsia" w:ascii="黑体" w:hAnsi="黑体" w:eastAsia="黑体" w:cs="黑体"/>
                <w:kern w:val="2"/>
                <w:szCs w:val="24"/>
                <w:lang w:val="zh-CN"/>
              </w:rPr>
              <w:t>分析说明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exact"/>
        </w:trPr>
        <w:tc>
          <w:tcPr>
            <w:tcW w:w="1663" w:type="dxa"/>
            <w:noWrap w:val="0"/>
            <w:vAlign w:val="center"/>
          </w:tcPr>
          <w:p>
            <w:pPr>
              <w:pStyle w:val="6"/>
              <w:pBdr>
                <w:top w:val="none" w:color="auto" w:sz="0" w:space="1"/>
                <w:left w:val="none" w:color="auto" w:sz="0" w:space="4"/>
                <w:bottom w:val="none" w:color="auto" w:sz="0" w:space="1"/>
                <w:right w:val="none" w:color="auto" w:sz="0" w:space="4"/>
              </w:pBdr>
              <w:tabs>
                <w:tab w:val="center" w:pos="4153"/>
                <w:tab w:val="right" w:pos="8306"/>
              </w:tabs>
              <w:snapToGrid w:val="0"/>
              <w:spacing w:beforeLines="0" w:line="400" w:lineRule="exact"/>
              <w:jc w:val="center"/>
              <w:rPr>
                <w:rFonts w:hAnsi="宋体"/>
                <w:kern w:val="2"/>
                <w:sz w:val="24"/>
                <w:szCs w:val="24"/>
                <w:lang w:val="zh-CN"/>
              </w:rPr>
            </w:pPr>
            <w:r>
              <w:rPr>
                <w:rFonts w:hint="eastAsia" w:hAnsi="宋体"/>
                <w:kern w:val="2"/>
                <w:sz w:val="24"/>
                <w:szCs w:val="24"/>
                <w:lang w:val="zh-CN"/>
              </w:rPr>
              <w:t>资金计划</w:t>
            </w:r>
          </w:p>
        </w:tc>
        <w:tc>
          <w:tcPr>
            <w:tcW w:w="2188" w:type="dxa"/>
            <w:noWrap w:val="0"/>
            <w:vAlign w:val="center"/>
          </w:tcPr>
          <w:p>
            <w:pPr>
              <w:pStyle w:val="6"/>
              <w:pBdr>
                <w:top w:val="none" w:color="auto" w:sz="0" w:space="1"/>
                <w:left w:val="none" w:color="auto" w:sz="0" w:space="4"/>
                <w:bottom w:val="none" w:color="auto" w:sz="0" w:space="1"/>
                <w:right w:val="none" w:color="auto" w:sz="0" w:space="4"/>
              </w:pBdr>
              <w:tabs>
                <w:tab w:val="center" w:pos="4153"/>
                <w:tab w:val="right" w:pos="8306"/>
              </w:tabs>
              <w:snapToGrid w:val="0"/>
              <w:spacing w:beforeLines="0" w:line="400" w:lineRule="exact"/>
              <w:jc w:val="center"/>
              <w:rPr>
                <w:rFonts w:hAnsi="宋体"/>
                <w:kern w:val="2"/>
                <w:sz w:val="24"/>
                <w:szCs w:val="24"/>
                <w:lang w:val="zh-CN"/>
              </w:rPr>
            </w:pPr>
            <w:r>
              <w:rPr>
                <w:rFonts w:hint="eastAsia" w:hAnsi="宋体"/>
                <w:kern w:val="2"/>
                <w:sz w:val="24"/>
                <w:szCs w:val="24"/>
              </w:rPr>
              <w:t>5.24万元</w:t>
            </w:r>
          </w:p>
        </w:tc>
        <w:tc>
          <w:tcPr>
            <w:tcW w:w="2335" w:type="dxa"/>
            <w:noWrap w:val="0"/>
            <w:vAlign w:val="center"/>
          </w:tcPr>
          <w:p>
            <w:pPr>
              <w:pStyle w:val="6"/>
              <w:pBdr>
                <w:top w:val="none" w:color="auto" w:sz="0" w:space="1"/>
                <w:left w:val="none" w:color="auto" w:sz="0" w:space="4"/>
                <w:bottom w:val="none" w:color="auto" w:sz="0" w:space="1"/>
                <w:right w:val="none" w:color="auto" w:sz="0" w:space="4"/>
              </w:pBdr>
              <w:tabs>
                <w:tab w:val="center" w:pos="4153"/>
                <w:tab w:val="right" w:pos="8306"/>
              </w:tabs>
              <w:snapToGrid w:val="0"/>
              <w:spacing w:beforeLines="0" w:line="400" w:lineRule="exact"/>
              <w:jc w:val="center"/>
              <w:rPr>
                <w:rFonts w:hAnsi="宋体"/>
                <w:kern w:val="2"/>
                <w:sz w:val="24"/>
                <w:szCs w:val="24"/>
                <w:lang w:val="zh-CN"/>
              </w:rPr>
            </w:pPr>
            <w:r>
              <w:rPr>
                <w:rFonts w:hint="eastAsia" w:hAnsi="宋体"/>
                <w:kern w:val="2"/>
                <w:sz w:val="24"/>
                <w:szCs w:val="24"/>
                <w:lang w:val="zh-CN"/>
              </w:rPr>
              <w:t>财政拨款</w:t>
            </w:r>
          </w:p>
        </w:tc>
        <w:tc>
          <w:tcPr>
            <w:tcW w:w="3359" w:type="dxa"/>
            <w:noWrap w:val="0"/>
            <w:vAlign w:val="center"/>
          </w:tcPr>
          <w:p>
            <w:pPr>
              <w:pStyle w:val="6"/>
              <w:pBdr>
                <w:top w:val="none" w:color="auto" w:sz="0" w:space="1"/>
                <w:left w:val="none" w:color="auto" w:sz="0" w:space="4"/>
                <w:bottom w:val="none" w:color="auto" w:sz="0" w:space="1"/>
                <w:right w:val="none" w:color="auto" w:sz="0" w:space="4"/>
              </w:pBdr>
              <w:tabs>
                <w:tab w:val="center" w:pos="4153"/>
                <w:tab w:val="right" w:pos="8306"/>
              </w:tabs>
              <w:snapToGrid w:val="0"/>
              <w:spacing w:beforeLines="0" w:line="400" w:lineRule="exact"/>
              <w:jc w:val="both"/>
              <w:rPr>
                <w:rFonts w:hint="eastAsia" w:hAnsi="宋体" w:eastAsia="仿宋_GB2312"/>
                <w:kern w:val="2"/>
                <w:sz w:val="24"/>
                <w:szCs w:val="24"/>
                <w:lang w:eastAsia="zh-CN"/>
              </w:rPr>
            </w:pPr>
            <w:r>
              <w:rPr>
                <w:rFonts w:hint="eastAsia" w:hAnsi="宋体"/>
                <w:kern w:val="2"/>
                <w:sz w:val="24"/>
                <w:szCs w:val="24"/>
              </w:rPr>
              <w:t>根据上年度支出情况申报资金计划</w:t>
            </w:r>
            <w:r>
              <w:rPr>
                <w:rFonts w:hint="eastAsia" w:hAnsi="宋体"/>
                <w:kern w:val="2"/>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exact"/>
        </w:trPr>
        <w:tc>
          <w:tcPr>
            <w:tcW w:w="1663" w:type="dxa"/>
            <w:noWrap w:val="0"/>
            <w:vAlign w:val="center"/>
          </w:tcPr>
          <w:p>
            <w:pPr>
              <w:pStyle w:val="6"/>
              <w:pBdr>
                <w:top w:val="none" w:color="auto" w:sz="0" w:space="1"/>
                <w:left w:val="none" w:color="auto" w:sz="0" w:space="4"/>
                <w:bottom w:val="none" w:color="auto" w:sz="0" w:space="1"/>
                <w:right w:val="none" w:color="auto" w:sz="0" w:space="4"/>
              </w:pBdr>
              <w:tabs>
                <w:tab w:val="center" w:pos="4153"/>
                <w:tab w:val="right" w:pos="8306"/>
              </w:tabs>
              <w:snapToGrid w:val="0"/>
              <w:spacing w:beforeLines="0" w:line="400" w:lineRule="exact"/>
              <w:jc w:val="center"/>
              <w:rPr>
                <w:rFonts w:hAnsi="宋体"/>
                <w:kern w:val="2"/>
                <w:sz w:val="24"/>
                <w:szCs w:val="24"/>
              </w:rPr>
            </w:pPr>
            <w:r>
              <w:rPr>
                <w:rFonts w:hint="eastAsia" w:hAnsi="宋体"/>
                <w:kern w:val="2"/>
                <w:sz w:val="24"/>
                <w:szCs w:val="24"/>
                <w:lang w:val="zh-CN"/>
              </w:rPr>
              <w:t>资金到位</w:t>
            </w:r>
          </w:p>
        </w:tc>
        <w:tc>
          <w:tcPr>
            <w:tcW w:w="2188" w:type="dxa"/>
            <w:noWrap w:val="0"/>
            <w:vAlign w:val="center"/>
          </w:tcPr>
          <w:p>
            <w:pPr>
              <w:pStyle w:val="6"/>
              <w:pBdr>
                <w:top w:val="none" w:color="auto" w:sz="0" w:space="1"/>
                <w:left w:val="none" w:color="auto" w:sz="0" w:space="4"/>
                <w:bottom w:val="none" w:color="auto" w:sz="0" w:space="1"/>
                <w:right w:val="none" w:color="auto" w:sz="0" w:space="4"/>
              </w:pBdr>
              <w:tabs>
                <w:tab w:val="center" w:pos="4153"/>
                <w:tab w:val="right" w:pos="8306"/>
              </w:tabs>
              <w:snapToGrid w:val="0"/>
              <w:spacing w:beforeLines="0" w:line="400" w:lineRule="exact"/>
              <w:jc w:val="center"/>
              <w:rPr>
                <w:rFonts w:hAnsi="宋体"/>
                <w:kern w:val="2"/>
                <w:sz w:val="24"/>
                <w:szCs w:val="24"/>
              </w:rPr>
            </w:pPr>
            <w:r>
              <w:rPr>
                <w:rFonts w:hint="eastAsia" w:hAnsi="宋体"/>
                <w:kern w:val="2"/>
                <w:sz w:val="24"/>
                <w:szCs w:val="24"/>
              </w:rPr>
              <w:t>5.24万元</w:t>
            </w:r>
          </w:p>
        </w:tc>
        <w:tc>
          <w:tcPr>
            <w:tcW w:w="2335" w:type="dxa"/>
            <w:noWrap w:val="0"/>
            <w:vAlign w:val="center"/>
          </w:tcPr>
          <w:p>
            <w:pPr>
              <w:pStyle w:val="6"/>
              <w:pBdr>
                <w:top w:val="none" w:color="auto" w:sz="0" w:space="1"/>
                <w:left w:val="none" w:color="auto" w:sz="0" w:space="4"/>
                <w:bottom w:val="none" w:color="auto" w:sz="0" w:space="1"/>
                <w:right w:val="none" w:color="auto" w:sz="0" w:space="4"/>
              </w:pBdr>
              <w:tabs>
                <w:tab w:val="center" w:pos="4153"/>
                <w:tab w:val="right" w:pos="8306"/>
              </w:tabs>
              <w:snapToGrid w:val="0"/>
              <w:spacing w:beforeLines="0" w:line="400" w:lineRule="exact"/>
              <w:jc w:val="center"/>
              <w:rPr>
                <w:rFonts w:hAnsi="宋体"/>
                <w:kern w:val="2"/>
                <w:sz w:val="24"/>
                <w:szCs w:val="24"/>
              </w:rPr>
            </w:pPr>
            <w:r>
              <w:rPr>
                <w:rFonts w:hint="eastAsia" w:hAnsi="宋体"/>
                <w:kern w:val="2"/>
                <w:sz w:val="24"/>
                <w:szCs w:val="24"/>
                <w:lang w:val="zh-CN"/>
              </w:rPr>
              <w:t>财政拨款</w:t>
            </w:r>
          </w:p>
        </w:tc>
        <w:tc>
          <w:tcPr>
            <w:tcW w:w="3359" w:type="dxa"/>
            <w:noWrap w:val="0"/>
            <w:vAlign w:val="center"/>
          </w:tcPr>
          <w:p>
            <w:pPr>
              <w:pStyle w:val="6"/>
              <w:pBdr>
                <w:top w:val="none" w:color="auto" w:sz="0" w:space="1"/>
                <w:left w:val="none" w:color="auto" w:sz="0" w:space="4"/>
                <w:bottom w:val="none" w:color="auto" w:sz="0" w:space="1"/>
                <w:right w:val="none" w:color="auto" w:sz="0" w:space="4"/>
              </w:pBdr>
              <w:tabs>
                <w:tab w:val="center" w:pos="4153"/>
                <w:tab w:val="right" w:pos="8306"/>
              </w:tabs>
              <w:snapToGrid w:val="0"/>
              <w:spacing w:beforeLines="0" w:line="400" w:lineRule="exact"/>
              <w:jc w:val="both"/>
              <w:rPr>
                <w:rFonts w:hint="eastAsia" w:hAnsi="宋体" w:eastAsia="仿宋_GB2312"/>
                <w:kern w:val="2"/>
                <w:sz w:val="24"/>
                <w:szCs w:val="24"/>
                <w:lang w:val="zh-CN" w:eastAsia="zh-CN"/>
              </w:rPr>
            </w:pPr>
            <w:r>
              <w:rPr>
                <w:rFonts w:hint="eastAsia" w:hAnsi="宋体"/>
                <w:kern w:val="2"/>
                <w:sz w:val="24"/>
                <w:szCs w:val="24"/>
              </w:rPr>
              <w:t>全部到位</w:t>
            </w:r>
            <w:r>
              <w:rPr>
                <w:rFonts w:hint="eastAsia" w:hAnsi="宋体"/>
                <w:kern w:val="2"/>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exact"/>
        </w:trPr>
        <w:tc>
          <w:tcPr>
            <w:tcW w:w="1663" w:type="dxa"/>
            <w:noWrap w:val="0"/>
            <w:vAlign w:val="center"/>
          </w:tcPr>
          <w:p>
            <w:pPr>
              <w:pStyle w:val="6"/>
              <w:pBdr>
                <w:top w:val="none" w:color="auto" w:sz="0" w:space="1"/>
                <w:left w:val="none" w:color="auto" w:sz="0" w:space="4"/>
                <w:bottom w:val="none" w:color="auto" w:sz="0" w:space="1"/>
                <w:right w:val="none" w:color="auto" w:sz="0" w:space="4"/>
              </w:pBdr>
              <w:tabs>
                <w:tab w:val="center" w:pos="4153"/>
                <w:tab w:val="right" w:pos="8306"/>
              </w:tabs>
              <w:snapToGrid w:val="0"/>
              <w:spacing w:beforeLines="0" w:line="400" w:lineRule="exact"/>
              <w:jc w:val="center"/>
              <w:rPr>
                <w:rFonts w:hAnsi="宋体"/>
                <w:kern w:val="2"/>
                <w:sz w:val="24"/>
                <w:szCs w:val="24"/>
              </w:rPr>
            </w:pPr>
            <w:r>
              <w:rPr>
                <w:rFonts w:hint="eastAsia" w:hAnsi="宋体"/>
                <w:kern w:val="2"/>
                <w:sz w:val="24"/>
                <w:szCs w:val="24"/>
                <w:lang w:val="zh-CN"/>
              </w:rPr>
              <w:t>资金使用</w:t>
            </w:r>
          </w:p>
        </w:tc>
        <w:tc>
          <w:tcPr>
            <w:tcW w:w="2188" w:type="dxa"/>
            <w:noWrap w:val="0"/>
            <w:vAlign w:val="center"/>
          </w:tcPr>
          <w:p>
            <w:pPr>
              <w:pStyle w:val="6"/>
              <w:pBdr>
                <w:top w:val="none" w:color="auto" w:sz="0" w:space="1"/>
                <w:left w:val="none" w:color="auto" w:sz="0" w:space="4"/>
                <w:bottom w:val="none" w:color="auto" w:sz="0" w:space="1"/>
                <w:right w:val="none" w:color="auto" w:sz="0" w:space="4"/>
              </w:pBdr>
              <w:tabs>
                <w:tab w:val="center" w:pos="4153"/>
                <w:tab w:val="right" w:pos="8306"/>
              </w:tabs>
              <w:snapToGrid w:val="0"/>
              <w:spacing w:beforeLines="0" w:line="400" w:lineRule="exact"/>
              <w:jc w:val="center"/>
              <w:rPr>
                <w:rFonts w:hAnsi="宋体"/>
                <w:kern w:val="2"/>
                <w:sz w:val="24"/>
                <w:szCs w:val="24"/>
              </w:rPr>
            </w:pPr>
            <w:r>
              <w:rPr>
                <w:rFonts w:hint="eastAsia" w:hAnsi="宋体"/>
                <w:kern w:val="2"/>
                <w:sz w:val="24"/>
                <w:szCs w:val="24"/>
              </w:rPr>
              <w:t>5.03万元</w:t>
            </w:r>
          </w:p>
        </w:tc>
        <w:tc>
          <w:tcPr>
            <w:tcW w:w="2335" w:type="dxa"/>
            <w:noWrap w:val="0"/>
            <w:vAlign w:val="center"/>
          </w:tcPr>
          <w:p>
            <w:pPr>
              <w:pStyle w:val="6"/>
              <w:pBdr>
                <w:top w:val="none" w:color="auto" w:sz="0" w:space="1"/>
                <w:left w:val="none" w:color="auto" w:sz="0" w:space="4"/>
                <w:bottom w:val="none" w:color="auto" w:sz="0" w:space="1"/>
                <w:right w:val="none" w:color="auto" w:sz="0" w:space="4"/>
              </w:pBdr>
              <w:tabs>
                <w:tab w:val="center" w:pos="4153"/>
                <w:tab w:val="right" w:pos="8306"/>
              </w:tabs>
              <w:snapToGrid w:val="0"/>
              <w:spacing w:beforeLines="0" w:line="400" w:lineRule="exact"/>
              <w:jc w:val="center"/>
              <w:rPr>
                <w:rFonts w:hAnsi="宋体"/>
                <w:kern w:val="2"/>
                <w:sz w:val="24"/>
                <w:szCs w:val="24"/>
              </w:rPr>
            </w:pPr>
            <w:r>
              <w:rPr>
                <w:rFonts w:hint="eastAsia" w:hAnsi="宋体"/>
                <w:kern w:val="2"/>
                <w:sz w:val="24"/>
                <w:szCs w:val="24"/>
                <w:lang w:val="zh-CN"/>
              </w:rPr>
              <w:t>财政拨款</w:t>
            </w:r>
          </w:p>
        </w:tc>
        <w:tc>
          <w:tcPr>
            <w:tcW w:w="3359" w:type="dxa"/>
            <w:noWrap w:val="0"/>
            <w:vAlign w:val="top"/>
          </w:tcPr>
          <w:p>
            <w:pPr>
              <w:pStyle w:val="6"/>
              <w:pBdr>
                <w:top w:val="none" w:color="auto" w:sz="0" w:space="1"/>
                <w:left w:val="none" w:color="auto" w:sz="0" w:space="4"/>
                <w:bottom w:val="none" w:color="auto" w:sz="0" w:space="1"/>
                <w:right w:val="none" w:color="auto" w:sz="0" w:space="4"/>
              </w:pBdr>
              <w:tabs>
                <w:tab w:val="center" w:pos="4153"/>
                <w:tab w:val="right" w:pos="8306"/>
              </w:tabs>
              <w:snapToGrid w:val="0"/>
              <w:spacing w:beforeLines="0" w:line="400" w:lineRule="exact"/>
              <w:jc w:val="both"/>
              <w:rPr>
                <w:rFonts w:hAnsi="宋体"/>
                <w:kern w:val="2"/>
                <w:sz w:val="24"/>
                <w:szCs w:val="24"/>
                <w:lang w:val="zh-CN"/>
              </w:rPr>
            </w:pPr>
            <w:r>
              <w:rPr>
                <w:rFonts w:hint="eastAsia" w:hAnsi="宋体"/>
                <w:kern w:val="2"/>
                <w:sz w:val="24"/>
                <w:szCs w:val="24"/>
                <w:lang w:val="zh-CN"/>
              </w:rPr>
              <w:t>支付范围、支付标准、支付进度、支付依据等合规合法，与预算相符。</w:t>
            </w:r>
          </w:p>
        </w:tc>
      </w:tr>
    </w:tbl>
    <w:p>
      <w:pPr>
        <w:adjustRightInd w:val="0"/>
        <w:snapToGrid w:val="0"/>
        <w:spacing w:line="576" w:lineRule="exact"/>
        <w:ind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（三）项目财务管理情况</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kern w:val="0"/>
          <w:sz w:val="32"/>
          <w:szCs w:val="32"/>
        </w:rPr>
        <w:t>项目资金支付严格</w:t>
      </w:r>
      <w:r>
        <w:rPr>
          <w:rFonts w:hint="eastAsia" w:ascii="仿宋_GB2312" w:hAnsi="宋体" w:eastAsia="仿宋_GB2312"/>
          <w:sz w:val="32"/>
          <w:szCs w:val="32"/>
          <w:lang w:val="zh-CN"/>
        </w:rPr>
        <w:t>执行单位财务制度规定的报销流程，</w:t>
      </w:r>
      <w:r>
        <w:rPr>
          <w:rFonts w:hint="eastAsia" w:ascii="仿宋_GB2312" w:hAnsi="宋体" w:eastAsia="仿宋_GB2312"/>
          <w:kern w:val="0"/>
          <w:sz w:val="32"/>
          <w:szCs w:val="32"/>
        </w:rPr>
        <w:t>应附与经济业务事项相关的合法合规的原始凭证和附件，需经办人签字，科室负责人、业务分管领导及财务分管领导审批后才能进行支付。</w:t>
      </w:r>
      <w:r>
        <w:rPr>
          <w:rFonts w:hint="eastAsia" w:ascii="仿宋_GB2312" w:hAnsi="宋体" w:eastAsia="仿宋_GB2312"/>
          <w:sz w:val="32"/>
          <w:szCs w:val="32"/>
          <w:lang w:val="zh-CN"/>
        </w:rPr>
        <w:t>账务处理及时，会计核算规范有序。</w:t>
      </w:r>
    </w:p>
    <w:p>
      <w:pPr>
        <w:adjustRightInd w:val="0"/>
        <w:snapToGrid w:val="0"/>
        <w:spacing w:line="576" w:lineRule="exact"/>
        <w:ind w:firstLine="640" w:firstLineChars="200"/>
        <w:rPr>
          <w:rFonts w:ascii="黑体" w:hAnsi="黑体" w:eastAsia="黑体"/>
          <w:sz w:val="32"/>
          <w:szCs w:val="32"/>
          <w:lang w:val="zh-CN"/>
        </w:rPr>
      </w:pPr>
      <w:bookmarkStart w:id="127" w:name="_Toc620103457_WPSOffice_Level2"/>
      <w:r>
        <w:rPr>
          <w:rFonts w:hint="eastAsia" w:ascii="黑体" w:hAnsi="黑体" w:eastAsia="黑体"/>
          <w:sz w:val="32"/>
          <w:szCs w:val="32"/>
        </w:rPr>
        <w:t>三、项目实施及管理情况</w:t>
      </w:r>
      <w:bookmarkEnd w:id="127"/>
    </w:p>
    <w:p>
      <w:pPr>
        <w:adjustRightInd w:val="0"/>
        <w:snapToGrid w:val="0"/>
        <w:spacing w:line="576" w:lineRule="exact"/>
        <w:ind w:left="105" w:leftChars="50" w:firstLine="640" w:firstLineChars="200"/>
        <w:rPr>
          <w:rFonts w:ascii="仿宋_GB2312" w:hAnsi="宋体" w:eastAsia="仿宋_GB2312"/>
          <w:sz w:val="32"/>
          <w:szCs w:val="32"/>
          <w:lang w:val="zh-CN"/>
        </w:rPr>
      </w:pPr>
      <w:r>
        <w:rPr>
          <w:rFonts w:hint="eastAsia" w:ascii="楷体_GB2312" w:hAnsi="宋体" w:eastAsia="楷体_GB2312"/>
          <w:sz w:val="32"/>
          <w:szCs w:val="32"/>
          <w:lang w:val="zh-CN"/>
        </w:rPr>
        <w:t>（一）项目组织架构及实施流程。</w:t>
      </w:r>
      <w:r>
        <w:rPr>
          <w:rFonts w:hint="eastAsia" w:ascii="仿宋_GB2312" w:hAnsi="宋体" w:eastAsia="仿宋_GB2312"/>
          <w:sz w:val="32"/>
          <w:szCs w:val="32"/>
          <w:lang w:val="zh-CN"/>
        </w:rPr>
        <w:t>根据责任分工，由我中心交易现场管理业务科室根据工作需要向综合科提出设施设备购置及维修申请，综合科统一安排项目实施进度，财务科负责资金结算。资金分配严格按照审批流程操作执行，符合相关管理办法，分配结果公平合理。</w:t>
      </w:r>
    </w:p>
    <w:p>
      <w:pPr>
        <w:adjustRightInd w:val="0"/>
        <w:snapToGrid w:val="0"/>
        <w:spacing w:line="576" w:lineRule="exact"/>
        <w:ind w:left="105" w:firstLine="640" w:firstLineChars="200"/>
        <w:rPr>
          <w:rFonts w:ascii="仿宋_GB2312" w:hAnsi="宋体" w:eastAsia="仿宋_GB2312"/>
          <w:sz w:val="32"/>
          <w:szCs w:val="32"/>
          <w:lang w:val="zh-CN"/>
        </w:rPr>
      </w:pPr>
      <w:r>
        <w:rPr>
          <w:rFonts w:hint="eastAsia" w:ascii="楷体_GB2312" w:hAnsi="宋体" w:eastAsia="楷体_GB2312"/>
          <w:sz w:val="32"/>
          <w:szCs w:val="32"/>
          <w:lang w:val="zh-CN"/>
        </w:rPr>
        <w:t>（二）项目管理情况。</w:t>
      </w:r>
      <w:r>
        <w:rPr>
          <w:rFonts w:hint="eastAsia" w:ascii="仿宋_GB2312" w:hAnsi="宋体" w:eastAsia="仿宋_GB2312"/>
          <w:sz w:val="32"/>
          <w:szCs w:val="32"/>
          <w:lang w:val="zh-CN"/>
        </w:rPr>
        <w:t>本项目在实施过程中严格执行合同约定及单位财务管理制度。资金使用合规，财务核算规范，无虚列支出，无截留、挤占、挪用现象。</w:t>
      </w:r>
    </w:p>
    <w:p>
      <w:pPr>
        <w:adjustRightInd w:val="0"/>
        <w:snapToGrid w:val="0"/>
        <w:spacing w:line="576" w:lineRule="exact"/>
        <w:ind w:left="105" w:firstLine="640" w:firstLineChars="200"/>
        <w:rPr>
          <w:rFonts w:ascii="仿宋_GB2312" w:hAnsi="宋体" w:eastAsia="仿宋_GB2312"/>
          <w:bCs/>
          <w:kern w:val="0"/>
          <w:sz w:val="32"/>
          <w:szCs w:val="32"/>
          <w:lang w:val="zh-CN"/>
        </w:rPr>
      </w:pPr>
      <w:r>
        <w:rPr>
          <w:rFonts w:hint="eastAsia" w:ascii="楷体_GB2312" w:hAnsi="宋体" w:eastAsia="楷体_GB2312"/>
          <w:sz w:val="32"/>
          <w:szCs w:val="32"/>
          <w:lang w:val="zh-CN"/>
        </w:rPr>
        <w:t>（三）项目监管情况。</w:t>
      </w:r>
      <w:r>
        <w:rPr>
          <w:rFonts w:hint="eastAsia" w:ascii="仿宋_GB2312" w:hAnsi="宋体" w:eastAsia="仿宋_GB2312"/>
          <w:bCs/>
          <w:sz w:val="32"/>
          <w:szCs w:val="32"/>
          <w:lang w:val="zh-CN"/>
        </w:rPr>
        <w:t>单位</w:t>
      </w:r>
      <w:r>
        <w:rPr>
          <w:rFonts w:hint="eastAsia" w:ascii="仿宋_GB2312" w:hAnsi="宋体" w:eastAsia="仿宋_GB2312"/>
          <w:bCs/>
          <w:kern w:val="0"/>
          <w:sz w:val="32"/>
          <w:szCs w:val="32"/>
          <w:lang w:val="zh-CN"/>
        </w:rPr>
        <w:t>内控工作小组与现场监督科定期对项目的实施进度和支付情况进行监督检查。对进度较慢的项目进行督促指导，对不合规、不合理的情况进行指正并立要求即整改。</w:t>
      </w:r>
    </w:p>
    <w:p>
      <w:pPr>
        <w:adjustRightInd w:val="0"/>
        <w:snapToGrid w:val="0"/>
        <w:spacing w:line="576" w:lineRule="exact"/>
        <w:ind w:left="105" w:firstLine="640" w:firstLineChars="200"/>
        <w:rPr>
          <w:rFonts w:ascii="黑体" w:hAnsi="黑体" w:eastAsia="黑体"/>
          <w:bCs/>
          <w:kern w:val="0"/>
          <w:sz w:val="32"/>
          <w:szCs w:val="32"/>
          <w:lang w:val="zh-CN"/>
        </w:rPr>
      </w:pPr>
      <w:bookmarkStart w:id="128" w:name="_Toc255565456_WPSOffice_Level2"/>
      <w:r>
        <w:rPr>
          <w:rFonts w:hint="eastAsia" w:ascii="黑体" w:hAnsi="黑体" w:eastAsia="黑体"/>
          <w:sz w:val="32"/>
          <w:szCs w:val="32"/>
        </w:rPr>
        <w:t>四、项目绩效情况</w:t>
      </w:r>
      <w:bookmarkEnd w:id="128"/>
      <w:r>
        <w:rPr>
          <w:rFonts w:hint="eastAsia" w:ascii="黑体" w:hAnsi="黑体" w:eastAsia="黑体"/>
          <w:sz w:val="32"/>
          <w:szCs w:val="32"/>
          <w:lang w:val="zh-CN"/>
        </w:rPr>
        <w:tab/>
      </w:r>
    </w:p>
    <w:p>
      <w:pPr>
        <w:adjustRightInd w:val="0"/>
        <w:snapToGrid w:val="0"/>
        <w:spacing w:line="576" w:lineRule="exact"/>
        <w:ind w:left="105"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（一）项目完成情况</w:t>
      </w:r>
    </w:p>
    <w:p>
      <w:pPr>
        <w:adjustRightInd w:val="0"/>
        <w:snapToGrid w:val="0"/>
        <w:spacing w:line="576" w:lineRule="exact"/>
        <w:ind w:left="48" w:leftChars="23" w:firstLine="736" w:firstLineChars="230"/>
        <w:rPr>
          <w:rFonts w:ascii="仿宋_GB2312" w:hAnsi="宋体" w:eastAsia="仿宋_GB2312"/>
          <w:sz w:val="32"/>
          <w:szCs w:val="32"/>
        </w:rPr>
      </w:pPr>
      <w:r>
        <w:rPr>
          <w:rFonts w:hint="eastAsia" w:ascii="仿宋_GB2312" w:hAnsi="宋体" w:eastAsia="仿宋_GB2312"/>
          <w:sz w:val="32"/>
          <w:szCs w:val="32"/>
        </w:rPr>
        <w:t>2021年度开标室、评标室、监控室、机房、开评标区外围大厅等交易场所的设施设备能正常使用，规范化、标准化、示范交易中心“回头看”的要求达标。下达年度交易场地设施设备维护费项目资金5.24万元，实际支付5.24万元，执行率100%，完成情况较好。</w:t>
      </w:r>
    </w:p>
    <w:p>
      <w:pPr>
        <w:adjustRightInd w:val="0"/>
        <w:snapToGrid w:val="0"/>
        <w:spacing w:line="576" w:lineRule="exact"/>
        <w:ind w:left="48" w:leftChars="23" w:firstLine="736" w:firstLineChars="230"/>
        <w:rPr>
          <w:rFonts w:ascii="仿宋_GB2312" w:hAnsi="宋体" w:eastAsia="仿宋_GB2312"/>
          <w:sz w:val="32"/>
          <w:szCs w:val="32"/>
        </w:rPr>
      </w:pPr>
      <w:r>
        <w:rPr>
          <w:rFonts w:hint="eastAsia" w:ascii="楷体_GB2312" w:hAnsi="宋体" w:eastAsia="楷体_GB2312"/>
          <w:sz w:val="32"/>
          <w:szCs w:val="32"/>
          <w:lang w:val="zh-CN"/>
        </w:rPr>
        <w:t>（二）项目效益情况</w:t>
      </w:r>
    </w:p>
    <w:p>
      <w:pPr>
        <w:adjustRightInd w:val="0"/>
        <w:snapToGrid w:val="0"/>
        <w:spacing w:line="576" w:lineRule="exact"/>
        <w:ind w:left="48" w:leftChars="23" w:firstLine="736" w:firstLineChars="230"/>
        <w:rPr>
          <w:rFonts w:ascii="仿宋_GB2312" w:hAnsi="宋体" w:eastAsia="仿宋_GB2312"/>
          <w:sz w:val="32"/>
          <w:szCs w:val="32"/>
        </w:rPr>
      </w:pPr>
      <w:r>
        <w:rPr>
          <w:rFonts w:hint="eastAsia" w:ascii="仿宋_GB2312" w:hAnsi="宋体" w:eastAsia="仿宋_GB2312"/>
          <w:sz w:val="32"/>
          <w:szCs w:val="32"/>
          <w:lang w:val="zh-CN"/>
        </w:rPr>
        <w:t>该项目顺利实施，保障了公共资源交易活动正常、有序开展，推动了社会经济发展，相关交易主体使用公共资源交易中心相关设施设备的满意率≥90%</w:t>
      </w:r>
      <w:r>
        <w:rPr>
          <w:rFonts w:hint="eastAsia" w:ascii="仿宋_GB2312" w:hAnsi="宋体" w:eastAsia="仿宋_GB2312"/>
          <w:sz w:val="32"/>
          <w:szCs w:val="32"/>
        </w:rPr>
        <w:t>。</w:t>
      </w:r>
    </w:p>
    <w:p>
      <w:pPr>
        <w:adjustRightInd w:val="0"/>
        <w:snapToGrid w:val="0"/>
        <w:spacing w:line="576" w:lineRule="exact"/>
        <w:ind w:left="48" w:leftChars="23" w:firstLine="736" w:firstLineChars="230"/>
        <w:rPr>
          <w:rFonts w:ascii="仿宋_GB2312" w:hAnsi="宋体" w:eastAsia="仿宋_GB2312"/>
          <w:sz w:val="32"/>
          <w:szCs w:val="32"/>
        </w:rPr>
      </w:pPr>
      <w:bookmarkStart w:id="129" w:name="_Toc1082514237_WPSOffice_Level2"/>
      <w:r>
        <w:rPr>
          <w:rFonts w:hint="eastAsia" w:ascii="黑体" w:hAnsi="黑体" w:eastAsia="黑体"/>
          <w:sz w:val="32"/>
          <w:szCs w:val="32"/>
        </w:rPr>
        <w:t>五、评价结论及建议</w:t>
      </w:r>
      <w:bookmarkEnd w:id="129"/>
    </w:p>
    <w:p>
      <w:pPr>
        <w:adjustRightInd w:val="0"/>
        <w:snapToGrid w:val="0"/>
        <w:spacing w:line="576" w:lineRule="exact"/>
        <w:ind w:left="48" w:leftChars="23" w:firstLine="736" w:firstLineChars="230"/>
        <w:rPr>
          <w:rFonts w:ascii="仿宋_GB2312" w:hAnsi="宋体" w:eastAsia="仿宋_GB2312"/>
          <w:sz w:val="32"/>
          <w:szCs w:val="32"/>
        </w:rPr>
      </w:pPr>
      <w:r>
        <w:rPr>
          <w:rFonts w:hint="eastAsia" w:ascii="楷体_GB2312" w:hAnsi="宋体" w:eastAsia="楷体_GB2312"/>
          <w:sz w:val="32"/>
          <w:szCs w:val="32"/>
          <w:lang w:val="zh-CN"/>
        </w:rPr>
        <w:t>（一）评价结论</w:t>
      </w:r>
    </w:p>
    <w:p>
      <w:pPr>
        <w:widowControl/>
        <w:adjustRightInd w:val="0"/>
        <w:snapToGrid w:val="0"/>
        <w:spacing w:line="576" w:lineRule="exact"/>
        <w:ind w:left="105" w:firstLine="640" w:firstLineChars="200"/>
        <w:contextualSpacing/>
        <w:jc w:val="left"/>
        <w:rPr>
          <w:rFonts w:ascii="仿宋_GB2312" w:hAnsi="宋体" w:eastAsia="仿宋_GB2312"/>
          <w:sz w:val="32"/>
          <w:szCs w:val="32"/>
          <w:bdr w:val="single" w:color="auto" w:sz="4" w:space="0"/>
          <w:lang w:val="zh-CN"/>
        </w:rPr>
      </w:pPr>
      <w:r>
        <w:rPr>
          <w:rFonts w:hint="eastAsia" w:ascii="仿宋_GB2312" w:hAnsi="宋体" w:eastAsia="仿宋_GB2312"/>
          <w:sz w:val="32"/>
          <w:szCs w:val="32"/>
        </w:rPr>
        <w:t>结合中心工作实际情况，</w:t>
      </w:r>
      <w:r>
        <w:rPr>
          <w:rFonts w:hint="eastAsia" w:ascii="仿宋_GB2312" w:hAnsi="宋体" w:eastAsia="仿宋_GB2312" w:cs="仿宋_GB2312"/>
          <w:kern w:val="0"/>
          <w:sz w:val="32"/>
          <w:szCs w:val="32"/>
        </w:rPr>
        <w:t>对照《2021年市级财政项目支出绩效评价指标体系》进行自评</w:t>
      </w:r>
      <w:r>
        <w:rPr>
          <w:rFonts w:hint="eastAsia" w:ascii="仿宋_GB2312" w:hAnsi="宋体" w:eastAsia="仿宋_GB2312"/>
          <w:sz w:val="32"/>
          <w:szCs w:val="32"/>
        </w:rPr>
        <w:t>打分，综合得分90分，项目支出绩效为评价为“优”。</w:t>
      </w:r>
    </w:p>
    <w:p>
      <w:pPr>
        <w:adjustRightInd w:val="0"/>
        <w:snapToGrid w:val="0"/>
        <w:spacing w:line="576" w:lineRule="exact"/>
        <w:ind w:left="105" w:firstLine="640" w:firstLineChars="200"/>
        <w:rPr>
          <w:rFonts w:ascii="楷体_GB2312" w:hAnsi="宋体" w:eastAsia="楷体_GB2312"/>
          <w:sz w:val="32"/>
          <w:szCs w:val="32"/>
          <w:lang w:val="zh-CN"/>
        </w:rPr>
      </w:pPr>
      <w:r>
        <w:rPr>
          <w:rFonts w:hint="eastAsia" w:ascii="楷体_GB2312" w:hAnsi="宋体" w:eastAsia="楷体_GB2312"/>
          <w:sz w:val="32"/>
          <w:szCs w:val="32"/>
          <w:lang w:val="zh-CN"/>
        </w:rPr>
        <w:t>（二）存在的问题。</w:t>
      </w:r>
    </w:p>
    <w:p>
      <w:pPr>
        <w:spacing w:line="576" w:lineRule="exact"/>
        <w:ind w:firstLine="800" w:firstLineChars="250"/>
        <w:rPr>
          <w:rFonts w:ascii="仿宋_GB2312" w:hAnsi="宋体" w:eastAsia="仿宋_GB2312" w:cs="仿宋_GB2312"/>
          <w:sz w:val="32"/>
          <w:szCs w:val="32"/>
        </w:rPr>
      </w:pPr>
      <w:r>
        <w:rPr>
          <w:rFonts w:hint="eastAsia" w:ascii="仿宋_GB2312" w:hAnsi="宋体" w:eastAsia="仿宋_GB2312" w:cs="仿宋_GB2312"/>
          <w:sz w:val="32"/>
          <w:szCs w:val="32"/>
        </w:rPr>
        <w:t>1.绩效目标还需要进一步细化、量化。</w:t>
      </w:r>
    </w:p>
    <w:p>
      <w:pPr>
        <w:adjustRightInd w:val="0"/>
        <w:snapToGrid w:val="0"/>
        <w:spacing w:line="576" w:lineRule="exact"/>
        <w:ind w:left="105" w:firstLine="640" w:firstLineChars="200"/>
        <w:rPr>
          <w:rFonts w:ascii="仿宋_GB2312" w:hAnsi="宋体" w:eastAsia="仿宋_GB2312" w:cs="仿宋"/>
          <w:color w:val="000000"/>
          <w:sz w:val="32"/>
          <w:szCs w:val="32"/>
          <w:shd w:val="clear" w:color="auto" w:fill="FFFFFF"/>
        </w:rPr>
      </w:pPr>
      <w:r>
        <w:rPr>
          <w:rFonts w:hint="eastAsia" w:ascii="仿宋_GB2312" w:hAnsi="宋体" w:eastAsia="仿宋_GB2312" w:cs="仿宋_GB2312"/>
          <w:sz w:val="32"/>
          <w:szCs w:val="32"/>
        </w:rPr>
        <w:t>2.</w:t>
      </w:r>
      <w:r>
        <w:rPr>
          <w:rFonts w:hint="eastAsia" w:ascii="仿宋_GB2312" w:hAnsi="宋体" w:eastAsia="仿宋_GB2312" w:cs="仿宋"/>
          <w:color w:val="000000"/>
          <w:sz w:val="32"/>
          <w:szCs w:val="32"/>
          <w:shd w:val="clear" w:color="auto" w:fill="FFFFFF"/>
        </w:rPr>
        <w:t>由于项目申报时支出规划不是很完善，导致项目资金支付略有不足。</w:t>
      </w:r>
    </w:p>
    <w:p>
      <w:pPr>
        <w:pStyle w:val="6"/>
        <w:spacing w:beforeLines="0" w:line="576" w:lineRule="exact"/>
        <w:ind w:firstLine="800" w:firstLineChars="250"/>
        <w:rPr>
          <w:rFonts w:hAnsi="宋体" w:cs="仿宋_GB2312"/>
          <w:sz w:val="32"/>
          <w:szCs w:val="32"/>
        </w:rPr>
      </w:pPr>
      <w:r>
        <w:rPr>
          <w:rFonts w:hint="eastAsia" w:hAnsi="宋体" w:cs="仿宋_GB2312"/>
          <w:sz w:val="32"/>
          <w:szCs w:val="32"/>
        </w:rPr>
        <w:t>3.预算执行进度较慢。</w:t>
      </w:r>
    </w:p>
    <w:p>
      <w:pPr>
        <w:rPr>
          <w:rFonts w:hint="eastAsia" w:ascii="方正小标宋简体" w:hAnsi="宋体" w:eastAsia="方正小标宋简体" w:cs="宋体"/>
          <w:bCs/>
          <w:color w:val="000000"/>
          <w:kern w:val="0"/>
          <w:sz w:val="44"/>
          <w:szCs w:val="44"/>
          <w:lang w:bidi="ar"/>
        </w:rPr>
      </w:pPr>
      <w:r>
        <w:rPr>
          <w:rFonts w:hint="eastAsia" w:ascii="方正小标宋简体" w:hAnsi="宋体" w:eastAsia="方正小标宋简体" w:cs="宋体"/>
          <w:bCs/>
          <w:color w:val="000000"/>
          <w:kern w:val="0"/>
          <w:sz w:val="44"/>
          <w:szCs w:val="44"/>
          <w:lang w:bidi="ar"/>
        </w:rPr>
        <w:br w:type="page"/>
      </w:r>
    </w:p>
    <w:p>
      <w:pPr>
        <w:widowControl/>
        <w:jc w:val="center"/>
        <w:textAlignment w:val="center"/>
        <w:rPr>
          <w:rFonts w:hint="eastAsia" w:ascii="方正小标宋简体" w:hAnsi="宋体" w:eastAsia="方正小标宋简体" w:cs="宋体"/>
          <w:bCs/>
          <w:color w:val="000000"/>
          <w:kern w:val="0"/>
          <w:sz w:val="44"/>
          <w:szCs w:val="44"/>
          <w:lang w:bidi="ar"/>
        </w:rPr>
      </w:pPr>
      <w:r>
        <w:rPr>
          <w:rFonts w:hint="eastAsia" w:ascii="方正小标宋简体" w:hAnsi="宋体" w:eastAsia="方正小标宋简体" w:cs="宋体"/>
          <w:bCs/>
          <w:color w:val="000000"/>
          <w:kern w:val="0"/>
          <w:sz w:val="44"/>
          <w:szCs w:val="44"/>
          <w:lang w:bidi="ar"/>
        </w:rPr>
        <w:t>设施设备日常维护运行费用</w:t>
      </w:r>
    </w:p>
    <w:tbl>
      <w:tblPr>
        <w:tblStyle w:val="15"/>
        <w:tblpPr w:leftFromText="180" w:rightFromText="180" w:vertAnchor="text" w:horzAnchor="page" w:tblpX="835" w:tblpY="1397"/>
        <w:tblOverlap w:val="never"/>
        <w:tblW w:w="9960" w:type="dxa"/>
        <w:jc w:val="center"/>
        <w:tblLayout w:type="fixed"/>
        <w:tblCellMar>
          <w:top w:w="0" w:type="dxa"/>
          <w:left w:w="0" w:type="dxa"/>
          <w:bottom w:w="0" w:type="dxa"/>
          <w:right w:w="0" w:type="dxa"/>
        </w:tblCellMar>
      </w:tblPr>
      <w:tblGrid>
        <w:gridCol w:w="724"/>
        <w:gridCol w:w="936"/>
        <w:gridCol w:w="1122"/>
        <w:gridCol w:w="2392"/>
        <w:gridCol w:w="2394"/>
        <w:gridCol w:w="2392"/>
      </w:tblGrid>
      <w:tr>
        <w:tblPrEx>
          <w:tblCellMar>
            <w:top w:w="0" w:type="dxa"/>
            <w:left w:w="0" w:type="dxa"/>
            <w:bottom w:w="0" w:type="dxa"/>
            <w:right w:w="0" w:type="dxa"/>
          </w:tblCellMar>
        </w:tblPrEx>
        <w:trPr>
          <w:trHeight w:val="276" w:hRule="atLeast"/>
          <w:jc w:val="center"/>
        </w:trPr>
        <w:tc>
          <w:tcPr>
            <w:tcW w:w="278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项目名称</w:t>
            </w:r>
          </w:p>
        </w:tc>
        <w:tc>
          <w:tcPr>
            <w:tcW w:w="7178"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设施设备日常维护运行费用</w:t>
            </w:r>
          </w:p>
        </w:tc>
      </w:tr>
      <w:tr>
        <w:tblPrEx>
          <w:tblCellMar>
            <w:top w:w="0" w:type="dxa"/>
            <w:left w:w="0" w:type="dxa"/>
            <w:bottom w:w="0" w:type="dxa"/>
            <w:right w:w="0" w:type="dxa"/>
          </w:tblCellMar>
        </w:tblPrEx>
        <w:trPr>
          <w:trHeight w:val="276" w:hRule="atLeast"/>
          <w:jc w:val="center"/>
        </w:trPr>
        <w:tc>
          <w:tcPr>
            <w:tcW w:w="278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预算单位</w:t>
            </w:r>
          </w:p>
        </w:tc>
        <w:tc>
          <w:tcPr>
            <w:tcW w:w="7178"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广元公共资源交易信息中心</w:t>
            </w:r>
          </w:p>
        </w:tc>
      </w:tr>
      <w:tr>
        <w:tblPrEx>
          <w:tblCellMar>
            <w:top w:w="0" w:type="dxa"/>
            <w:left w:w="0" w:type="dxa"/>
            <w:bottom w:w="0" w:type="dxa"/>
            <w:right w:w="0" w:type="dxa"/>
          </w:tblCellMar>
        </w:tblPrEx>
        <w:trPr>
          <w:trHeight w:val="276" w:hRule="atLeast"/>
          <w:jc w:val="center"/>
        </w:trPr>
        <w:tc>
          <w:tcPr>
            <w:tcW w:w="724"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预算执行情况(万元)</w:t>
            </w:r>
          </w:p>
        </w:tc>
        <w:tc>
          <w:tcPr>
            <w:tcW w:w="205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预算数:</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5.24</w:t>
            </w:r>
            <w:r>
              <w:rPr>
                <w:rFonts w:hint="eastAsia" w:ascii="仿宋_GB2312" w:hAnsi="仿宋_GB2312" w:eastAsia="仿宋_GB2312" w:cs="仿宋_GB2312"/>
                <w:color w:val="000000"/>
                <w:sz w:val="24"/>
                <w:szCs w:val="24"/>
              </w:rPr>
              <w:t>万元</w:t>
            </w: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执行数:</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5.24</w:t>
            </w:r>
            <w:r>
              <w:rPr>
                <w:rFonts w:hint="eastAsia" w:ascii="仿宋_GB2312" w:hAnsi="仿宋_GB2312" w:eastAsia="仿宋_GB2312" w:cs="仿宋_GB2312"/>
                <w:color w:val="000000"/>
                <w:sz w:val="24"/>
                <w:szCs w:val="24"/>
              </w:rPr>
              <w:t>万元</w:t>
            </w:r>
          </w:p>
        </w:tc>
      </w:tr>
      <w:tr>
        <w:tblPrEx>
          <w:tblCellMar>
            <w:top w:w="0" w:type="dxa"/>
            <w:left w:w="0" w:type="dxa"/>
            <w:bottom w:w="0" w:type="dxa"/>
            <w:right w:w="0" w:type="dxa"/>
          </w:tblCellMar>
        </w:tblPrEx>
        <w:trPr>
          <w:trHeight w:val="276" w:hRule="atLeast"/>
          <w:jc w:val="center"/>
        </w:trPr>
        <w:tc>
          <w:tcPr>
            <w:tcW w:w="72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000000"/>
                <w:sz w:val="24"/>
                <w:szCs w:val="24"/>
              </w:rPr>
            </w:pPr>
          </w:p>
        </w:tc>
        <w:tc>
          <w:tcPr>
            <w:tcW w:w="205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其中-财政拨款:</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5.24</w:t>
            </w:r>
            <w:r>
              <w:rPr>
                <w:rFonts w:hint="eastAsia" w:ascii="仿宋_GB2312" w:hAnsi="仿宋_GB2312" w:eastAsia="仿宋_GB2312" w:cs="仿宋_GB2312"/>
                <w:color w:val="000000"/>
                <w:sz w:val="24"/>
                <w:szCs w:val="24"/>
              </w:rPr>
              <w:t>万元</w:t>
            </w: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其中-财政拨款:</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5.24</w:t>
            </w:r>
            <w:r>
              <w:rPr>
                <w:rFonts w:hint="eastAsia" w:ascii="仿宋_GB2312" w:hAnsi="仿宋_GB2312" w:eastAsia="仿宋_GB2312" w:cs="仿宋_GB2312"/>
                <w:color w:val="000000"/>
                <w:sz w:val="24"/>
                <w:szCs w:val="24"/>
              </w:rPr>
              <w:t>万元</w:t>
            </w:r>
          </w:p>
        </w:tc>
      </w:tr>
      <w:tr>
        <w:tblPrEx>
          <w:tblCellMar>
            <w:top w:w="0" w:type="dxa"/>
            <w:left w:w="0" w:type="dxa"/>
            <w:bottom w:w="0" w:type="dxa"/>
            <w:right w:w="0" w:type="dxa"/>
          </w:tblCellMar>
        </w:tblPrEx>
        <w:trPr>
          <w:trHeight w:val="1010" w:hRule="atLeast"/>
          <w:jc w:val="center"/>
        </w:trPr>
        <w:tc>
          <w:tcPr>
            <w:tcW w:w="72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000000"/>
                <w:sz w:val="24"/>
                <w:szCs w:val="24"/>
              </w:rPr>
            </w:pPr>
          </w:p>
        </w:tc>
        <w:tc>
          <w:tcPr>
            <w:tcW w:w="205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其它资金:</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其它资金:</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000000"/>
                <w:sz w:val="24"/>
                <w:szCs w:val="24"/>
              </w:rPr>
            </w:pPr>
          </w:p>
        </w:tc>
      </w:tr>
      <w:tr>
        <w:tblPrEx>
          <w:tblCellMar>
            <w:top w:w="0" w:type="dxa"/>
            <w:left w:w="0" w:type="dxa"/>
            <w:bottom w:w="0" w:type="dxa"/>
            <w:right w:w="0" w:type="dxa"/>
          </w:tblCellMar>
        </w:tblPrEx>
        <w:trPr>
          <w:trHeight w:val="276" w:hRule="atLeast"/>
          <w:jc w:val="center"/>
        </w:trPr>
        <w:tc>
          <w:tcPr>
            <w:tcW w:w="724"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年度目标完成情况</w:t>
            </w:r>
          </w:p>
        </w:tc>
        <w:tc>
          <w:tcPr>
            <w:tcW w:w="445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预期目标</w:t>
            </w:r>
          </w:p>
        </w:tc>
        <w:tc>
          <w:tcPr>
            <w:tcW w:w="4786"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实际完成目标</w:t>
            </w:r>
          </w:p>
        </w:tc>
      </w:tr>
      <w:tr>
        <w:tblPrEx>
          <w:tblCellMar>
            <w:top w:w="0" w:type="dxa"/>
            <w:left w:w="0" w:type="dxa"/>
            <w:bottom w:w="0" w:type="dxa"/>
            <w:right w:w="0" w:type="dxa"/>
          </w:tblCellMar>
        </w:tblPrEx>
        <w:trPr>
          <w:trHeight w:val="1159" w:hRule="atLeast"/>
          <w:jc w:val="center"/>
        </w:trPr>
        <w:tc>
          <w:tcPr>
            <w:tcW w:w="724"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_GB2312" w:hAnsi="仿宋_GB2312" w:eastAsia="仿宋_GB2312" w:cs="仿宋_GB2312"/>
                <w:color w:val="000000"/>
                <w:sz w:val="24"/>
                <w:szCs w:val="24"/>
              </w:rPr>
            </w:pPr>
          </w:p>
        </w:tc>
        <w:tc>
          <w:tcPr>
            <w:tcW w:w="4450"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对市公共资源交易信息中心开标室、评标室、监控室、机房、开评标区外围大厅等交易场所的设施设备进行维修维护，确保各项设备正常使用；对照省中心对各市州建设规范化、标准化、示范化交易中心的要求，对交易中心相关制度、公示牌、环境布置等进行维护改造升级</w:t>
            </w:r>
          </w:p>
        </w:tc>
        <w:tc>
          <w:tcPr>
            <w:tcW w:w="4786"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仿宋_GB2312" w:hAnsi="仿宋_GB2312" w:eastAsia="仿宋_GB2312" w:cs="仿宋_GB2312"/>
                <w:color w:val="000000"/>
                <w:sz w:val="24"/>
                <w:szCs w:val="24"/>
              </w:rPr>
            </w:pPr>
          </w:p>
          <w:p>
            <w:pPr>
              <w:widowControl/>
              <w:jc w:val="left"/>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保障开标室、评标室、监控室、机房、开评标区外围大厅等交易场所的设施设备正常运行，基本达到省中心对各市州建设规范化、标准化、示范化交易中心的要求。</w:t>
            </w:r>
          </w:p>
        </w:tc>
      </w:tr>
      <w:tr>
        <w:tblPrEx>
          <w:tblCellMar>
            <w:top w:w="0" w:type="dxa"/>
            <w:left w:w="0" w:type="dxa"/>
            <w:bottom w:w="0" w:type="dxa"/>
            <w:right w:w="0" w:type="dxa"/>
          </w:tblCellMar>
        </w:tblPrEx>
        <w:trPr>
          <w:trHeight w:val="778" w:hRule="atLeast"/>
          <w:jc w:val="center"/>
        </w:trPr>
        <w:tc>
          <w:tcPr>
            <w:tcW w:w="724" w:type="dxa"/>
            <w:vMerge w:val="restart"/>
            <w:tcBorders>
              <w:top w:val="single" w:color="000000" w:sz="4" w:space="0"/>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绩效指标完成情况</w:t>
            </w:r>
          </w:p>
        </w:tc>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一级指标</w:t>
            </w:r>
          </w:p>
        </w:tc>
        <w:tc>
          <w:tcPr>
            <w:tcW w:w="11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二级指标</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三级指标</w:t>
            </w: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预期指标值(包含数字及文字描述)</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实际完成指标值(包含数字及文字描述)</w:t>
            </w:r>
          </w:p>
        </w:tc>
      </w:tr>
      <w:tr>
        <w:tblPrEx>
          <w:tblCellMar>
            <w:top w:w="0" w:type="dxa"/>
            <w:left w:w="0" w:type="dxa"/>
            <w:bottom w:w="0" w:type="dxa"/>
            <w:right w:w="0" w:type="dxa"/>
          </w:tblCellMar>
        </w:tblPrEx>
        <w:trPr>
          <w:trHeight w:val="953" w:hRule="atLeast"/>
          <w:jc w:val="center"/>
        </w:trPr>
        <w:tc>
          <w:tcPr>
            <w:tcW w:w="724" w:type="dxa"/>
            <w:vMerge w:val="continue"/>
            <w:tcBorders>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p>
        </w:tc>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项目完成指标</w:t>
            </w:r>
          </w:p>
        </w:tc>
        <w:tc>
          <w:tcPr>
            <w:tcW w:w="11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数量指标</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LED显示屏</w:t>
            </w: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val="en-US" w:eastAsia="zh-CN"/>
              </w:rPr>
              <w:t>3</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val="en-US" w:eastAsia="zh-CN"/>
              </w:rPr>
              <w:t>3</w:t>
            </w:r>
          </w:p>
        </w:tc>
      </w:tr>
      <w:tr>
        <w:tblPrEx>
          <w:tblCellMar>
            <w:top w:w="0" w:type="dxa"/>
            <w:left w:w="0" w:type="dxa"/>
            <w:bottom w:w="0" w:type="dxa"/>
            <w:right w:w="0" w:type="dxa"/>
          </w:tblCellMar>
        </w:tblPrEx>
        <w:trPr>
          <w:trHeight w:val="836" w:hRule="atLeast"/>
          <w:jc w:val="center"/>
        </w:trPr>
        <w:tc>
          <w:tcPr>
            <w:tcW w:w="724" w:type="dxa"/>
            <w:vMerge w:val="continue"/>
            <w:tcBorders>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p>
        </w:tc>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项目完成指标</w:t>
            </w:r>
          </w:p>
        </w:tc>
        <w:tc>
          <w:tcPr>
            <w:tcW w:w="11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质量指标</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 xml:space="preserve"> 设备正常运行率</w:t>
            </w: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≥99.99%</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≥99.99%</w:t>
            </w:r>
          </w:p>
        </w:tc>
      </w:tr>
      <w:tr>
        <w:tblPrEx>
          <w:tblCellMar>
            <w:top w:w="0" w:type="dxa"/>
            <w:left w:w="0" w:type="dxa"/>
            <w:bottom w:w="0" w:type="dxa"/>
            <w:right w:w="0" w:type="dxa"/>
          </w:tblCellMar>
        </w:tblPrEx>
        <w:trPr>
          <w:trHeight w:val="678" w:hRule="atLeast"/>
          <w:jc w:val="center"/>
        </w:trPr>
        <w:tc>
          <w:tcPr>
            <w:tcW w:w="724" w:type="dxa"/>
            <w:vMerge w:val="continue"/>
            <w:tcBorders>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p>
        </w:tc>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项目完成指标</w:t>
            </w:r>
          </w:p>
        </w:tc>
        <w:tc>
          <w:tcPr>
            <w:tcW w:w="11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时效指标</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维护完成率</w:t>
            </w: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100%</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100%</w:t>
            </w:r>
          </w:p>
        </w:tc>
      </w:tr>
      <w:tr>
        <w:tblPrEx>
          <w:tblCellMar>
            <w:top w:w="0" w:type="dxa"/>
            <w:left w:w="0" w:type="dxa"/>
            <w:bottom w:w="0" w:type="dxa"/>
            <w:right w:w="0" w:type="dxa"/>
          </w:tblCellMar>
        </w:tblPrEx>
        <w:trPr>
          <w:trHeight w:val="817" w:hRule="atLeast"/>
          <w:jc w:val="center"/>
        </w:trPr>
        <w:tc>
          <w:tcPr>
            <w:tcW w:w="724" w:type="dxa"/>
            <w:vMerge w:val="continue"/>
            <w:tcBorders>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p>
        </w:tc>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项目完成指标</w:t>
            </w:r>
          </w:p>
        </w:tc>
        <w:tc>
          <w:tcPr>
            <w:tcW w:w="11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成本指标</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设备耗材, 工作按时完成率,其他设施设备维护维修</w:t>
            </w: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5.24万元</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已完成</w:t>
            </w:r>
          </w:p>
        </w:tc>
      </w:tr>
      <w:tr>
        <w:tblPrEx>
          <w:tblCellMar>
            <w:top w:w="0" w:type="dxa"/>
            <w:left w:w="0" w:type="dxa"/>
            <w:bottom w:w="0" w:type="dxa"/>
            <w:right w:w="0" w:type="dxa"/>
          </w:tblCellMar>
        </w:tblPrEx>
        <w:trPr>
          <w:trHeight w:val="686" w:hRule="atLeast"/>
          <w:jc w:val="center"/>
        </w:trPr>
        <w:tc>
          <w:tcPr>
            <w:tcW w:w="724" w:type="dxa"/>
            <w:vMerge w:val="continue"/>
            <w:tcBorders>
              <w:left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p>
        </w:tc>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效益指标</w:t>
            </w:r>
          </w:p>
        </w:tc>
        <w:tc>
          <w:tcPr>
            <w:tcW w:w="11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社会效益</w:t>
            </w:r>
          </w:p>
          <w:p>
            <w:pPr>
              <w:widowControl/>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指标</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工作按时完成率</w:t>
            </w: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≥9</w:t>
            </w:r>
            <w:r>
              <w:rPr>
                <w:rFonts w:hint="eastAsia" w:ascii="仿宋_GB2312" w:hAnsi="仿宋_GB2312" w:eastAsia="仿宋_GB2312" w:cs="仿宋_GB2312"/>
                <w:color w:val="000000"/>
                <w:sz w:val="24"/>
                <w:szCs w:val="24"/>
                <w:lang w:val="en-US" w:eastAsia="zh-CN"/>
              </w:rPr>
              <w:t>8</w:t>
            </w:r>
            <w:r>
              <w:rPr>
                <w:rFonts w:hint="eastAsia" w:ascii="仿宋_GB2312" w:hAnsi="仿宋_GB2312" w:eastAsia="仿宋_GB2312" w:cs="仿宋_GB2312"/>
                <w:color w:val="000000"/>
                <w:sz w:val="24"/>
                <w:szCs w:val="24"/>
              </w:rPr>
              <w:t>%</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100%</w:t>
            </w:r>
          </w:p>
        </w:tc>
      </w:tr>
      <w:tr>
        <w:tblPrEx>
          <w:tblCellMar>
            <w:top w:w="0" w:type="dxa"/>
            <w:left w:w="0" w:type="dxa"/>
            <w:bottom w:w="0" w:type="dxa"/>
            <w:right w:w="0" w:type="dxa"/>
          </w:tblCellMar>
        </w:tblPrEx>
        <w:trPr>
          <w:trHeight w:val="1042" w:hRule="atLeast"/>
          <w:jc w:val="center"/>
        </w:trPr>
        <w:tc>
          <w:tcPr>
            <w:tcW w:w="724" w:type="dxa"/>
            <w:vMerge w:val="continue"/>
            <w:tcBorders>
              <w:left w:val="single" w:color="000000" w:sz="4" w:space="0"/>
              <w:bottom w:val="single" w:color="auto"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p>
        </w:tc>
        <w:tc>
          <w:tcPr>
            <w:tcW w:w="93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lang w:bidi="ar"/>
              </w:rPr>
              <w:t>满意度指标</w:t>
            </w:r>
          </w:p>
        </w:tc>
        <w:tc>
          <w:tcPr>
            <w:tcW w:w="11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满意度指标</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服务对象满意度</w:t>
            </w:r>
          </w:p>
        </w:tc>
        <w:tc>
          <w:tcPr>
            <w:tcW w:w="23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≥90%</w:t>
            </w:r>
          </w:p>
        </w:tc>
        <w:tc>
          <w:tcPr>
            <w:tcW w:w="239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≥90%</w:t>
            </w:r>
          </w:p>
        </w:tc>
      </w:tr>
    </w:tbl>
    <w:p>
      <w:pPr>
        <w:jc w:val="center"/>
        <w:rPr>
          <w:rFonts w:hint="eastAsia" w:ascii="仿宋_GB2312" w:hAnsi="仿宋_GB2312" w:eastAsia="仿宋_GB2312" w:cs="仿宋_GB2312"/>
          <w:sz w:val="24"/>
          <w:szCs w:val="24"/>
        </w:rPr>
      </w:pPr>
      <w:bookmarkStart w:id="130" w:name="_Toc1167879727_WPSOffice_Level2"/>
      <w:r>
        <w:rPr>
          <w:rFonts w:hint="eastAsia" w:ascii="仿宋_GB2312" w:hAnsi="仿宋_GB2312" w:eastAsia="仿宋_GB2312" w:cs="仿宋_GB2312"/>
          <w:color w:val="000000"/>
          <w:kern w:val="0"/>
          <w:sz w:val="24"/>
          <w:szCs w:val="24"/>
          <w:lang w:bidi="ar"/>
        </w:rPr>
        <w:t>(202</w:t>
      </w:r>
      <w:r>
        <w:rPr>
          <w:rFonts w:hint="eastAsia" w:ascii="仿宋_GB2312" w:hAnsi="仿宋_GB2312" w:eastAsia="仿宋_GB2312" w:cs="仿宋_GB2312"/>
          <w:color w:val="000000"/>
          <w:kern w:val="0"/>
          <w:sz w:val="24"/>
          <w:szCs w:val="24"/>
          <w:lang w:val="en-US" w:eastAsia="zh-CN" w:bidi="ar"/>
        </w:rPr>
        <w:t>1</w:t>
      </w:r>
      <w:r>
        <w:rPr>
          <w:rFonts w:hint="eastAsia" w:ascii="仿宋_GB2312" w:hAnsi="仿宋_GB2312" w:eastAsia="仿宋_GB2312" w:cs="仿宋_GB2312"/>
          <w:color w:val="000000"/>
          <w:kern w:val="0"/>
          <w:sz w:val="24"/>
          <w:szCs w:val="24"/>
          <w:lang w:bidi="ar"/>
        </w:rPr>
        <w:t>年度)</w:t>
      </w:r>
      <w:bookmarkEnd w:id="130"/>
    </w:p>
    <w:p>
      <w:pPr>
        <w:rPr>
          <w:rFonts w:hint="eastAsia" w:ascii="仿宋_GB2312" w:hAnsi="仿宋_GB2312" w:eastAsia="仿宋_GB2312" w:cs="仿宋_GB2312"/>
          <w:sz w:val="24"/>
          <w:szCs w:val="24"/>
        </w:rPr>
      </w:pPr>
    </w:p>
    <w:p>
      <w:pPr>
        <w:spacing w:line="540" w:lineRule="exact"/>
        <w:jc w:val="center"/>
        <w:rPr>
          <w:rFonts w:hint="eastAsia" w:ascii="方正小标宋简体" w:hAnsi="宋体" w:eastAsia="方正小标宋简体"/>
          <w:color w:val="000000"/>
          <w:kern w:val="0"/>
          <w:sz w:val="44"/>
          <w:szCs w:val="44"/>
          <w:lang w:val="zh-CN"/>
        </w:rPr>
      </w:pPr>
    </w:p>
    <w:p/>
    <w:p>
      <w:pPr>
        <w:spacing w:line="600" w:lineRule="exact"/>
        <w:jc w:val="center"/>
        <w:outlineLvl w:val="0"/>
        <w:rPr>
          <w:rStyle w:val="19"/>
          <w:rFonts w:hint="eastAsia" w:ascii="黑体" w:hAnsi="黑体" w:eastAsia="黑体"/>
          <w:b w:val="0"/>
          <w:color w:val="auto"/>
          <w:highlight w:val="none"/>
        </w:rPr>
      </w:pPr>
      <w:bookmarkStart w:id="131" w:name="_Toc1216322075_WPSOffice_Level1"/>
      <w:bookmarkStart w:id="132" w:name="_Toc15396618"/>
      <w:r>
        <w:rPr>
          <w:rFonts w:hint="eastAsia" w:ascii="黑体" w:hAnsi="黑体" w:eastAsia="黑体"/>
          <w:color w:val="auto"/>
          <w:sz w:val="44"/>
          <w:szCs w:val="44"/>
          <w:highlight w:val="none"/>
        </w:rPr>
        <w:t>第</w:t>
      </w:r>
      <w:r>
        <w:rPr>
          <w:rStyle w:val="19"/>
          <w:rFonts w:hint="eastAsia" w:ascii="黑体" w:hAnsi="黑体" w:eastAsia="黑体"/>
          <w:b w:val="0"/>
          <w:color w:val="auto"/>
          <w:highlight w:val="none"/>
        </w:rPr>
        <w:t>五部分 附表</w:t>
      </w:r>
      <w:bookmarkEnd w:id="79"/>
      <w:bookmarkEnd w:id="131"/>
      <w:bookmarkEnd w:id="132"/>
      <w:bookmarkStart w:id="133" w:name="_Toc15396619"/>
    </w:p>
    <w:p>
      <w:pPr>
        <w:pStyle w:val="2"/>
        <w:rPr>
          <w:rFonts w:hint="eastAsia"/>
        </w:rPr>
      </w:pPr>
    </w:p>
    <w:p>
      <w:pPr>
        <w:pStyle w:val="4"/>
        <w:pageBreakBefore w:val="0"/>
        <w:widowControl w:val="0"/>
        <w:kinsoku/>
        <w:wordWrap/>
        <w:overflowPunct/>
        <w:topLinePunct w:val="0"/>
        <w:autoSpaceDE/>
        <w:autoSpaceDN/>
        <w:bidi w:val="0"/>
        <w:adjustRightInd/>
        <w:snapToGrid/>
        <w:spacing w:before="0" w:after="0" w:line="576" w:lineRule="exact"/>
        <w:textAlignment w:val="auto"/>
        <w:rPr>
          <w:rFonts w:ascii="仿宋" w:hAnsi="仿宋" w:eastAsia="仿宋"/>
          <w:color w:val="auto"/>
          <w:highlight w:val="none"/>
        </w:rPr>
      </w:pPr>
      <w:bookmarkStart w:id="134" w:name="_Toc331856316_WPSOffice_Level2"/>
      <w:r>
        <w:rPr>
          <w:rFonts w:hint="eastAsia" w:ascii="仿宋" w:hAnsi="仿宋" w:eastAsia="仿宋"/>
          <w:b w:val="0"/>
          <w:color w:val="auto"/>
          <w:highlight w:val="none"/>
        </w:rPr>
        <w:t>一、收</w:t>
      </w:r>
      <w:r>
        <w:rPr>
          <w:rStyle w:val="20"/>
          <w:rFonts w:hint="eastAsia" w:ascii="仿宋" w:hAnsi="仿宋" w:eastAsia="仿宋"/>
          <w:b w:val="0"/>
          <w:bCs w:val="0"/>
          <w:color w:val="auto"/>
          <w:highlight w:val="none"/>
        </w:rPr>
        <w:t>入支出决算总表</w:t>
      </w:r>
      <w:bookmarkEnd w:id="133"/>
      <w:bookmarkEnd w:id="134"/>
    </w:p>
    <w:p>
      <w:pPr>
        <w:pStyle w:val="4"/>
        <w:pageBreakBefore w:val="0"/>
        <w:widowControl w:val="0"/>
        <w:kinsoku/>
        <w:wordWrap/>
        <w:overflowPunct/>
        <w:topLinePunct w:val="0"/>
        <w:autoSpaceDE/>
        <w:autoSpaceDN/>
        <w:bidi w:val="0"/>
        <w:adjustRightInd/>
        <w:snapToGrid/>
        <w:spacing w:before="0" w:after="0" w:line="576" w:lineRule="exact"/>
        <w:textAlignment w:val="auto"/>
        <w:rPr>
          <w:rFonts w:ascii="仿宋" w:hAnsi="仿宋" w:eastAsia="仿宋"/>
          <w:color w:val="auto"/>
          <w:highlight w:val="none"/>
        </w:rPr>
      </w:pPr>
      <w:bookmarkStart w:id="135" w:name="_Toc1201138488_WPSOffice_Level2"/>
      <w:bookmarkStart w:id="136" w:name="_Toc15396620"/>
      <w:r>
        <w:rPr>
          <w:rFonts w:hint="eastAsia" w:ascii="仿宋" w:hAnsi="仿宋" w:eastAsia="仿宋"/>
          <w:b w:val="0"/>
          <w:color w:val="auto"/>
          <w:highlight w:val="none"/>
        </w:rPr>
        <w:t>二、收</w:t>
      </w:r>
      <w:r>
        <w:rPr>
          <w:rStyle w:val="20"/>
          <w:rFonts w:hint="eastAsia" w:ascii="仿宋" w:hAnsi="仿宋" w:eastAsia="仿宋"/>
          <w:b w:val="0"/>
          <w:bCs w:val="0"/>
          <w:color w:val="auto"/>
          <w:highlight w:val="none"/>
        </w:rPr>
        <w:t>入决算表</w:t>
      </w:r>
      <w:bookmarkEnd w:id="135"/>
      <w:bookmarkEnd w:id="136"/>
    </w:p>
    <w:p>
      <w:pPr>
        <w:pStyle w:val="4"/>
        <w:pageBreakBefore w:val="0"/>
        <w:widowControl w:val="0"/>
        <w:kinsoku/>
        <w:wordWrap/>
        <w:overflowPunct/>
        <w:topLinePunct w:val="0"/>
        <w:autoSpaceDE/>
        <w:autoSpaceDN/>
        <w:bidi w:val="0"/>
        <w:adjustRightInd/>
        <w:snapToGrid/>
        <w:spacing w:before="0" w:after="0" w:line="576" w:lineRule="exact"/>
        <w:textAlignment w:val="auto"/>
        <w:rPr>
          <w:rFonts w:ascii="仿宋" w:hAnsi="仿宋" w:eastAsia="仿宋"/>
          <w:color w:val="auto"/>
          <w:highlight w:val="none"/>
        </w:rPr>
      </w:pPr>
      <w:bookmarkStart w:id="137" w:name="_Toc15396621"/>
      <w:bookmarkStart w:id="138" w:name="_Toc780694994_WPSOffice_Level2"/>
      <w:r>
        <w:rPr>
          <w:rStyle w:val="20"/>
          <w:rFonts w:hint="eastAsia" w:ascii="仿宋" w:hAnsi="仿宋" w:eastAsia="仿宋"/>
          <w:b w:val="0"/>
          <w:bCs w:val="0"/>
          <w:color w:val="auto"/>
          <w:highlight w:val="none"/>
        </w:rPr>
        <w:t>三、</w:t>
      </w:r>
      <w:r>
        <w:rPr>
          <w:rFonts w:hint="eastAsia" w:ascii="仿宋" w:hAnsi="仿宋" w:eastAsia="仿宋"/>
          <w:b w:val="0"/>
          <w:color w:val="auto"/>
          <w:highlight w:val="none"/>
        </w:rPr>
        <w:t>支</w:t>
      </w:r>
      <w:r>
        <w:rPr>
          <w:rStyle w:val="20"/>
          <w:rFonts w:hint="eastAsia" w:ascii="仿宋" w:hAnsi="仿宋" w:eastAsia="仿宋"/>
          <w:b w:val="0"/>
          <w:bCs w:val="0"/>
          <w:color w:val="auto"/>
          <w:highlight w:val="none"/>
        </w:rPr>
        <w:t>出决算表</w:t>
      </w:r>
      <w:bookmarkEnd w:id="137"/>
      <w:bookmarkEnd w:id="138"/>
    </w:p>
    <w:p>
      <w:pPr>
        <w:pStyle w:val="4"/>
        <w:pageBreakBefore w:val="0"/>
        <w:widowControl w:val="0"/>
        <w:kinsoku/>
        <w:wordWrap/>
        <w:overflowPunct/>
        <w:topLinePunct w:val="0"/>
        <w:autoSpaceDE/>
        <w:autoSpaceDN/>
        <w:bidi w:val="0"/>
        <w:adjustRightInd/>
        <w:snapToGrid/>
        <w:spacing w:before="0" w:after="0" w:line="576" w:lineRule="exact"/>
        <w:textAlignment w:val="auto"/>
        <w:rPr>
          <w:rFonts w:ascii="仿宋" w:hAnsi="仿宋" w:eastAsia="仿宋"/>
          <w:b w:val="0"/>
          <w:color w:val="auto"/>
          <w:highlight w:val="none"/>
        </w:rPr>
      </w:pPr>
      <w:bookmarkStart w:id="139" w:name="_Toc1624469251_WPSOffice_Level2"/>
      <w:bookmarkStart w:id="140" w:name="_Toc15396622"/>
      <w:r>
        <w:rPr>
          <w:rStyle w:val="20"/>
          <w:rFonts w:hint="eastAsia" w:ascii="仿宋" w:hAnsi="仿宋" w:eastAsia="仿宋"/>
          <w:b w:val="0"/>
          <w:bCs w:val="0"/>
          <w:color w:val="auto"/>
          <w:highlight w:val="none"/>
        </w:rPr>
        <w:t>四、</w:t>
      </w:r>
      <w:r>
        <w:rPr>
          <w:rFonts w:hint="eastAsia" w:ascii="仿宋" w:hAnsi="仿宋" w:eastAsia="仿宋"/>
          <w:b w:val="0"/>
          <w:color w:val="auto"/>
          <w:highlight w:val="none"/>
        </w:rPr>
        <w:t>财</w:t>
      </w:r>
      <w:r>
        <w:rPr>
          <w:rStyle w:val="20"/>
          <w:rFonts w:hint="eastAsia" w:ascii="仿宋" w:hAnsi="仿宋" w:eastAsia="仿宋"/>
          <w:b w:val="0"/>
          <w:bCs w:val="0"/>
          <w:color w:val="auto"/>
          <w:highlight w:val="none"/>
        </w:rPr>
        <w:t>政拨款收入支出决算总表</w:t>
      </w:r>
      <w:bookmarkEnd w:id="139"/>
      <w:bookmarkEnd w:id="140"/>
    </w:p>
    <w:p>
      <w:pPr>
        <w:pStyle w:val="4"/>
        <w:pageBreakBefore w:val="0"/>
        <w:widowControl w:val="0"/>
        <w:kinsoku/>
        <w:wordWrap/>
        <w:overflowPunct/>
        <w:topLinePunct w:val="0"/>
        <w:autoSpaceDE/>
        <w:autoSpaceDN/>
        <w:bidi w:val="0"/>
        <w:adjustRightInd/>
        <w:snapToGrid/>
        <w:spacing w:before="0" w:after="0" w:line="576" w:lineRule="exact"/>
        <w:textAlignment w:val="auto"/>
        <w:rPr>
          <w:rStyle w:val="20"/>
          <w:rFonts w:ascii="仿宋" w:hAnsi="仿宋" w:eastAsia="仿宋"/>
          <w:b w:val="0"/>
          <w:bCs w:val="0"/>
          <w:color w:val="auto"/>
          <w:highlight w:val="none"/>
        </w:rPr>
      </w:pPr>
      <w:bookmarkStart w:id="141" w:name="_Toc979765250_WPSOffice_Level2"/>
      <w:bookmarkStart w:id="142" w:name="_Toc15396623"/>
      <w:r>
        <w:rPr>
          <w:rStyle w:val="20"/>
          <w:rFonts w:hint="eastAsia" w:ascii="仿宋" w:hAnsi="仿宋" w:eastAsia="仿宋"/>
          <w:b w:val="0"/>
          <w:bCs w:val="0"/>
          <w:color w:val="auto"/>
          <w:highlight w:val="none"/>
        </w:rPr>
        <w:t>五、</w:t>
      </w:r>
      <w:r>
        <w:rPr>
          <w:rFonts w:hint="eastAsia" w:ascii="仿宋" w:hAnsi="仿宋" w:eastAsia="仿宋"/>
          <w:b w:val="0"/>
          <w:color w:val="auto"/>
          <w:highlight w:val="none"/>
        </w:rPr>
        <w:t>财</w:t>
      </w:r>
      <w:r>
        <w:rPr>
          <w:rStyle w:val="20"/>
          <w:rFonts w:hint="eastAsia" w:ascii="仿宋" w:hAnsi="仿宋" w:eastAsia="仿宋"/>
          <w:b w:val="0"/>
          <w:bCs w:val="0"/>
          <w:color w:val="auto"/>
          <w:highlight w:val="none"/>
        </w:rPr>
        <w:t>政拨款支出决算明细表</w:t>
      </w:r>
      <w:bookmarkEnd w:id="141"/>
      <w:bookmarkEnd w:id="142"/>
      <w:bookmarkStart w:id="143" w:name="_Toc15396624"/>
    </w:p>
    <w:p>
      <w:pPr>
        <w:pStyle w:val="4"/>
        <w:pageBreakBefore w:val="0"/>
        <w:widowControl w:val="0"/>
        <w:kinsoku/>
        <w:wordWrap/>
        <w:overflowPunct/>
        <w:topLinePunct w:val="0"/>
        <w:autoSpaceDE/>
        <w:autoSpaceDN/>
        <w:bidi w:val="0"/>
        <w:adjustRightInd/>
        <w:snapToGrid/>
        <w:spacing w:before="0" w:after="0" w:line="576" w:lineRule="exact"/>
        <w:textAlignment w:val="auto"/>
        <w:rPr>
          <w:rFonts w:ascii="仿宋" w:hAnsi="仿宋" w:eastAsia="仿宋"/>
          <w:color w:val="auto"/>
          <w:highlight w:val="none"/>
        </w:rPr>
      </w:pPr>
      <w:bookmarkStart w:id="144" w:name="_Toc1004596628_WPSOffice_Level2"/>
      <w:r>
        <w:rPr>
          <w:rStyle w:val="20"/>
          <w:rFonts w:hint="eastAsia" w:ascii="仿宋" w:hAnsi="仿宋" w:eastAsia="仿宋"/>
          <w:b w:val="0"/>
          <w:bCs w:val="0"/>
          <w:color w:val="auto"/>
          <w:highlight w:val="none"/>
        </w:rPr>
        <w:t>六、</w:t>
      </w:r>
      <w:r>
        <w:rPr>
          <w:rFonts w:hint="eastAsia" w:ascii="仿宋" w:hAnsi="仿宋" w:eastAsia="仿宋"/>
          <w:b w:val="0"/>
          <w:color w:val="auto"/>
          <w:highlight w:val="none"/>
        </w:rPr>
        <w:t>一</w:t>
      </w:r>
      <w:r>
        <w:rPr>
          <w:rStyle w:val="20"/>
          <w:rFonts w:hint="eastAsia" w:ascii="仿宋" w:hAnsi="仿宋" w:eastAsia="仿宋"/>
          <w:b w:val="0"/>
          <w:bCs w:val="0"/>
          <w:color w:val="auto"/>
          <w:highlight w:val="none"/>
        </w:rPr>
        <w:t>般公共预算财政拨款支出决算表</w:t>
      </w:r>
      <w:bookmarkEnd w:id="143"/>
      <w:bookmarkEnd w:id="144"/>
    </w:p>
    <w:p>
      <w:pPr>
        <w:pStyle w:val="4"/>
        <w:pageBreakBefore w:val="0"/>
        <w:widowControl w:val="0"/>
        <w:kinsoku/>
        <w:wordWrap/>
        <w:overflowPunct/>
        <w:topLinePunct w:val="0"/>
        <w:autoSpaceDE/>
        <w:autoSpaceDN/>
        <w:bidi w:val="0"/>
        <w:adjustRightInd/>
        <w:snapToGrid/>
        <w:spacing w:before="0" w:after="0" w:line="576" w:lineRule="exact"/>
        <w:textAlignment w:val="auto"/>
        <w:rPr>
          <w:rFonts w:ascii="仿宋" w:hAnsi="仿宋" w:eastAsia="仿宋"/>
          <w:color w:val="auto"/>
          <w:highlight w:val="none"/>
        </w:rPr>
      </w:pPr>
      <w:bookmarkStart w:id="145" w:name="_Toc1695046693_WPSOffice_Level2"/>
      <w:bookmarkStart w:id="146" w:name="_Toc15396625"/>
      <w:r>
        <w:rPr>
          <w:rStyle w:val="20"/>
          <w:rFonts w:hint="eastAsia" w:ascii="仿宋" w:hAnsi="仿宋" w:eastAsia="仿宋"/>
          <w:b w:val="0"/>
          <w:bCs w:val="0"/>
          <w:color w:val="auto"/>
          <w:highlight w:val="none"/>
        </w:rPr>
        <w:t>七、</w:t>
      </w:r>
      <w:r>
        <w:rPr>
          <w:rFonts w:hint="eastAsia" w:ascii="仿宋" w:hAnsi="仿宋" w:eastAsia="仿宋"/>
          <w:b w:val="0"/>
          <w:color w:val="auto"/>
          <w:highlight w:val="none"/>
        </w:rPr>
        <w:t>一</w:t>
      </w:r>
      <w:r>
        <w:rPr>
          <w:rStyle w:val="20"/>
          <w:rFonts w:hint="eastAsia" w:ascii="仿宋" w:hAnsi="仿宋" w:eastAsia="仿宋"/>
          <w:b w:val="0"/>
          <w:bCs w:val="0"/>
          <w:color w:val="auto"/>
          <w:highlight w:val="none"/>
        </w:rPr>
        <w:t>般公共预算财政拨款支出决算明细表</w:t>
      </w:r>
      <w:bookmarkEnd w:id="145"/>
      <w:bookmarkEnd w:id="146"/>
    </w:p>
    <w:p>
      <w:pPr>
        <w:pStyle w:val="4"/>
        <w:pageBreakBefore w:val="0"/>
        <w:widowControl w:val="0"/>
        <w:kinsoku/>
        <w:wordWrap/>
        <w:overflowPunct/>
        <w:topLinePunct w:val="0"/>
        <w:autoSpaceDE/>
        <w:autoSpaceDN/>
        <w:bidi w:val="0"/>
        <w:adjustRightInd/>
        <w:snapToGrid/>
        <w:spacing w:before="0" w:after="0" w:line="576" w:lineRule="exact"/>
        <w:textAlignment w:val="auto"/>
        <w:rPr>
          <w:rFonts w:ascii="仿宋" w:hAnsi="仿宋" w:eastAsia="仿宋"/>
          <w:color w:val="auto"/>
          <w:highlight w:val="none"/>
        </w:rPr>
      </w:pPr>
      <w:bookmarkStart w:id="147" w:name="_Toc15396626"/>
      <w:bookmarkStart w:id="148" w:name="_Toc561346158_WPSOffice_Level2"/>
      <w:r>
        <w:rPr>
          <w:rStyle w:val="20"/>
          <w:rFonts w:hint="eastAsia" w:ascii="仿宋" w:hAnsi="仿宋" w:eastAsia="仿宋"/>
          <w:b w:val="0"/>
          <w:bCs w:val="0"/>
          <w:color w:val="auto"/>
          <w:highlight w:val="none"/>
        </w:rPr>
        <w:t>八、</w:t>
      </w:r>
      <w:r>
        <w:rPr>
          <w:rFonts w:hint="eastAsia" w:ascii="仿宋" w:hAnsi="仿宋" w:eastAsia="仿宋"/>
          <w:b w:val="0"/>
          <w:color w:val="auto"/>
          <w:highlight w:val="none"/>
        </w:rPr>
        <w:t>一</w:t>
      </w:r>
      <w:r>
        <w:rPr>
          <w:rStyle w:val="20"/>
          <w:rFonts w:hint="eastAsia" w:ascii="仿宋" w:hAnsi="仿宋" w:eastAsia="仿宋"/>
          <w:b w:val="0"/>
          <w:bCs w:val="0"/>
          <w:color w:val="auto"/>
          <w:highlight w:val="none"/>
        </w:rPr>
        <w:t>般公共预算财政拨款基本支出决算表</w:t>
      </w:r>
      <w:bookmarkEnd w:id="147"/>
      <w:bookmarkEnd w:id="148"/>
    </w:p>
    <w:p>
      <w:pPr>
        <w:pStyle w:val="4"/>
        <w:pageBreakBefore w:val="0"/>
        <w:widowControl w:val="0"/>
        <w:kinsoku/>
        <w:wordWrap/>
        <w:overflowPunct/>
        <w:topLinePunct w:val="0"/>
        <w:autoSpaceDE/>
        <w:autoSpaceDN/>
        <w:bidi w:val="0"/>
        <w:adjustRightInd/>
        <w:snapToGrid/>
        <w:spacing w:before="0" w:after="0" w:line="576" w:lineRule="exact"/>
        <w:textAlignment w:val="auto"/>
        <w:rPr>
          <w:rFonts w:ascii="仿宋" w:hAnsi="仿宋" w:eastAsia="仿宋"/>
          <w:color w:val="auto"/>
          <w:highlight w:val="none"/>
        </w:rPr>
      </w:pPr>
      <w:bookmarkStart w:id="149" w:name="_Toc15396627"/>
      <w:bookmarkStart w:id="150" w:name="_Toc1257962951_WPSOffice_Level2"/>
      <w:r>
        <w:rPr>
          <w:rStyle w:val="20"/>
          <w:rFonts w:hint="eastAsia" w:ascii="仿宋" w:hAnsi="仿宋" w:eastAsia="仿宋"/>
          <w:b w:val="0"/>
          <w:bCs w:val="0"/>
          <w:color w:val="auto"/>
          <w:highlight w:val="none"/>
        </w:rPr>
        <w:t>九、</w:t>
      </w:r>
      <w:r>
        <w:rPr>
          <w:rFonts w:hint="eastAsia" w:ascii="仿宋" w:hAnsi="仿宋" w:eastAsia="仿宋"/>
          <w:b w:val="0"/>
          <w:color w:val="auto"/>
          <w:highlight w:val="none"/>
        </w:rPr>
        <w:t>一</w:t>
      </w:r>
      <w:r>
        <w:rPr>
          <w:rStyle w:val="20"/>
          <w:rFonts w:hint="eastAsia" w:ascii="仿宋" w:hAnsi="仿宋" w:eastAsia="仿宋"/>
          <w:b w:val="0"/>
          <w:bCs w:val="0"/>
          <w:color w:val="auto"/>
          <w:highlight w:val="none"/>
        </w:rPr>
        <w:t>般公共预算财政拨款项目支出决算表</w:t>
      </w:r>
      <w:bookmarkEnd w:id="149"/>
      <w:bookmarkEnd w:id="150"/>
    </w:p>
    <w:p>
      <w:pPr>
        <w:pStyle w:val="4"/>
        <w:pageBreakBefore w:val="0"/>
        <w:widowControl w:val="0"/>
        <w:kinsoku/>
        <w:wordWrap/>
        <w:overflowPunct/>
        <w:topLinePunct w:val="0"/>
        <w:autoSpaceDE/>
        <w:autoSpaceDN/>
        <w:bidi w:val="0"/>
        <w:adjustRightInd/>
        <w:snapToGrid/>
        <w:spacing w:before="0" w:after="0" w:line="576" w:lineRule="exact"/>
        <w:textAlignment w:val="auto"/>
        <w:rPr>
          <w:rFonts w:ascii="仿宋" w:hAnsi="仿宋" w:eastAsia="仿宋"/>
          <w:color w:val="auto"/>
          <w:highlight w:val="none"/>
        </w:rPr>
      </w:pPr>
      <w:bookmarkStart w:id="151" w:name="_Toc15396628"/>
      <w:bookmarkStart w:id="152" w:name="_Toc1887161561_WPSOffice_Level2"/>
      <w:r>
        <w:rPr>
          <w:rStyle w:val="20"/>
          <w:rFonts w:hint="eastAsia" w:ascii="仿宋" w:hAnsi="仿宋" w:eastAsia="仿宋"/>
          <w:b w:val="0"/>
          <w:bCs w:val="0"/>
          <w:color w:val="auto"/>
          <w:highlight w:val="none"/>
        </w:rPr>
        <w:t>十、</w:t>
      </w:r>
      <w:r>
        <w:rPr>
          <w:rFonts w:hint="eastAsia" w:ascii="仿宋" w:hAnsi="仿宋" w:eastAsia="仿宋"/>
          <w:b w:val="0"/>
          <w:color w:val="auto"/>
          <w:highlight w:val="none"/>
        </w:rPr>
        <w:t>一</w:t>
      </w:r>
      <w:r>
        <w:rPr>
          <w:rStyle w:val="20"/>
          <w:rFonts w:hint="eastAsia" w:ascii="仿宋" w:hAnsi="仿宋" w:eastAsia="仿宋"/>
          <w:b w:val="0"/>
          <w:bCs w:val="0"/>
          <w:color w:val="auto"/>
          <w:highlight w:val="none"/>
        </w:rPr>
        <w:t>般公共预算财政拨款“三公”经费支出决算表</w:t>
      </w:r>
      <w:bookmarkEnd w:id="151"/>
      <w:bookmarkEnd w:id="152"/>
    </w:p>
    <w:p>
      <w:pPr>
        <w:pStyle w:val="4"/>
        <w:pageBreakBefore w:val="0"/>
        <w:widowControl w:val="0"/>
        <w:kinsoku/>
        <w:wordWrap/>
        <w:overflowPunct/>
        <w:topLinePunct w:val="0"/>
        <w:autoSpaceDE/>
        <w:autoSpaceDN/>
        <w:bidi w:val="0"/>
        <w:adjustRightInd/>
        <w:snapToGrid/>
        <w:spacing w:before="0" w:after="0" w:line="576" w:lineRule="exact"/>
        <w:textAlignment w:val="auto"/>
        <w:rPr>
          <w:rFonts w:ascii="仿宋" w:hAnsi="仿宋" w:eastAsia="仿宋"/>
          <w:color w:val="auto"/>
          <w:highlight w:val="none"/>
        </w:rPr>
      </w:pPr>
      <w:bookmarkStart w:id="153" w:name="_Toc1775286435_WPSOffice_Level2"/>
      <w:bookmarkStart w:id="154" w:name="_Toc15396629"/>
      <w:r>
        <w:rPr>
          <w:rStyle w:val="20"/>
          <w:rFonts w:hint="eastAsia" w:ascii="仿宋" w:hAnsi="仿宋" w:eastAsia="仿宋"/>
          <w:b w:val="0"/>
          <w:bCs w:val="0"/>
          <w:color w:val="auto"/>
          <w:highlight w:val="none"/>
        </w:rPr>
        <w:t>十一、</w:t>
      </w:r>
      <w:r>
        <w:rPr>
          <w:rFonts w:hint="eastAsia" w:ascii="仿宋" w:hAnsi="仿宋" w:eastAsia="仿宋"/>
          <w:b w:val="0"/>
          <w:color w:val="auto"/>
          <w:highlight w:val="none"/>
        </w:rPr>
        <w:t>政</w:t>
      </w:r>
      <w:r>
        <w:rPr>
          <w:rStyle w:val="20"/>
          <w:rFonts w:hint="eastAsia" w:ascii="仿宋" w:hAnsi="仿宋" w:eastAsia="仿宋"/>
          <w:b w:val="0"/>
          <w:bCs w:val="0"/>
          <w:color w:val="auto"/>
          <w:highlight w:val="none"/>
        </w:rPr>
        <w:t>府性基金预算财政拨款收入支出决算表</w:t>
      </w:r>
      <w:bookmarkEnd w:id="153"/>
      <w:bookmarkEnd w:id="154"/>
    </w:p>
    <w:p>
      <w:pPr>
        <w:pStyle w:val="4"/>
        <w:pageBreakBefore w:val="0"/>
        <w:widowControl w:val="0"/>
        <w:kinsoku/>
        <w:wordWrap/>
        <w:overflowPunct/>
        <w:topLinePunct w:val="0"/>
        <w:autoSpaceDE/>
        <w:autoSpaceDN/>
        <w:bidi w:val="0"/>
        <w:adjustRightInd/>
        <w:snapToGrid/>
        <w:spacing w:before="0" w:after="0" w:line="576" w:lineRule="exact"/>
        <w:textAlignment w:val="auto"/>
        <w:rPr>
          <w:rFonts w:ascii="仿宋" w:hAnsi="仿宋" w:eastAsia="仿宋"/>
          <w:color w:val="auto"/>
          <w:highlight w:val="none"/>
        </w:rPr>
      </w:pPr>
      <w:bookmarkStart w:id="155" w:name="_Toc1890553633_WPSOffice_Level2"/>
      <w:bookmarkStart w:id="156" w:name="_Toc15396630"/>
      <w:r>
        <w:rPr>
          <w:rStyle w:val="20"/>
          <w:rFonts w:hint="eastAsia" w:ascii="仿宋" w:hAnsi="仿宋" w:eastAsia="仿宋"/>
          <w:b w:val="0"/>
          <w:bCs w:val="0"/>
          <w:color w:val="auto"/>
          <w:highlight w:val="none"/>
        </w:rPr>
        <w:t>十二、</w:t>
      </w:r>
      <w:r>
        <w:rPr>
          <w:rFonts w:hint="eastAsia" w:ascii="仿宋" w:hAnsi="仿宋" w:eastAsia="仿宋"/>
          <w:b w:val="0"/>
          <w:color w:val="auto"/>
          <w:highlight w:val="none"/>
        </w:rPr>
        <w:t>政</w:t>
      </w:r>
      <w:r>
        <w:rPr>
          <w:rStyle w:val="20"/>
          <w:rFonts w:hint="eastAsia" w:ascii="仿宋" w:hAnsi="仿宋" w:eastAsia="仿宋"/>
          <w:b w:val="0"/>
          <w:bCs w:val="0"/>
          <w:color w:val="auto"/>
          <w:highlight w:val="none"/>
        </w:rPr>
        <w:t>府性基金预算财政拨款“三公”经费支出决算表</w:t>
      </w:r>
      <w:bookmarkEnd w:id="155"/>
      <w:bookmarkEnd w:id="156"/>
    </w:p>
    <w:p>
      <w:pPr>
        <w:pStyle w:val="4"/>
        <w:pageBreakBefore w:val="0"/>
        <w:widowControl w:val="0"/>
        <w:kinsoku/>
        <w:wordWrap/>
        <w:overflowPunct/>
        <w:topLinePunct w:val="0"/>
        <w:autoSpaceDE/>
        <w:autoSpaceDN/>
        <w:bidi w:val="0"/>
        <w:adjustRightInd/>
        <w:snapToGrid/>
        <w:spacing w:before="0" w:after="0" w:line="576" w:lineRule="exact"/>
        <w:textAlignment w:val="auto"/>
        <w:rPr>
          <w:rStyle w:val="20"/>
          <w:rFonts w:hint="eastAsia" w:ascii="仿宋" w:hAnsi="仿宋" w:eastAsia="仿宋"/>
          <w:b w:val="0"/>
          <w:bCs w:val="0"/>
          <w:color w:val="auto"/>
          <w:highlight w:val="none"/>
        </w:rPr>
      </w:pPr>
      <w:bookmarkStart w:id="157" w:name="_Toc625445479_WPSOffice_Level2"/>
      <w:bookmarkStart w:id="158" w:name="_Toc15396631"/>
      <w:r>
        <w:rPr>
          <w:rStyle w:val="20"/>
          <w:rFonts w:hint="eastAsia" w:ascii="仿宋" w:hAnsi="仿宋" w:eastAsia="仿宋"/>
          <w:b w:val="0"/>
          <w:bCs w:val="0"/>
          <w:color w:val="auto"/>
          <w:highlight w:val="none"/>
        </w:rPr>
        <w:t>十三、</w:t>
      </w:r>
      <w:r>
        <w:rPr>
          <w:rFonts w:hint="eastAsia" w:ascii="仿宋" w:hAnsi="仿宋" w:eastAsia="仿宋"/>
          <w:b w:val="0"/>
          <w:color w:val="auto"/>
          <w:highlight w:val="none"/>
        </w:rPr>
        <w:t>国</w:t>
      </w:r>
      <w:r>
        <w:rPr>
          <w:rStyle w:val="20"/>
          <w:rFonts w:hint="eastAsia" w:ascii="仿宋" w:hAnsi="仿宋" w:eastAsia="仿宋"/>
          <w:b w:val="0"/>
          <w:bCs w:val="0"/>
          <w:color w:val="auto"/>
          <w:highlight w:val="none"/>
        </w:rPr>
        <w:t>有资本经营预算</w:t>
      </w:r>
      <w:r>
        <w:rPr>
          <w:rStyle w:val="20"/>
          <w:rFonts w:hint="eastAsia" w:ascii="仿宋" w:hAnsi="仿宋" w:eastAsia="仿宋"/>
          <w:b w:val="0"/>
          <w:bCs w:val="0"/>
          <w:color w:val="auto"/>
          <w:highlight w:val="none"/>
          <w:lang w:eastAsia="zh-CN"/>
        </w:rPr>
        <w:t>财政拨款收入</w:t>
      </w:r>
      <w:r>
        <w:rPr>
          <w:rStyle w:val="20"/>
          <w:rFonts w:hint="eastAsia" w:ascii="仿宋" w:hAnsi="仿宋" w:eastAsia="仿宋"/>
          <w:b w:val="0"/>
          <w:bCs w:val="0"/>
          <w:color w:val="auto"/>
          <w:highlight w:val="none"/>
        </w:rPr>
        <w:t>支出决算表</w:t>
      </w:r>
      <w:bookmarkEnd w:id="157"/>
      <w:bookmarkEnd w:id="158"/>
    </w:p>
    <w:p>
      <w:pPr>
        <w:pageBreakBefore w:val="0"/>
        <w:widowControl w:val="0"/>
        <w:kinsoku/>
        <w:wordWrap/>
        <w:overflowPunct/>
        <w:topLinePunct w:val="0"/>
        <w:autoSpaceDE/>
        <w:autoSpaceDN/>
        <w:bidi w:val="0"/>
        <w:adjustRightInd/>
        <w:snapToGrid/>
        <w:spacing w:line="576" w:lineRule="exact"/>
        <w:textAlignment w:val="auto"/>
        <w:rPr>
          <w:rFonts w:hint="eastAsia" w:eastAsia="仿宋"/>
          <w:color w:val="auto"/>
          <w:highlight w:val="none"/>
          <w:lang w:eastAsia="zh-CN"/>
        </w:rPr>
      </w:pPr>
      <w:bookmarkStart w:id="159" w:name="_Toc947270230_WPSOffice_Level2"/>
      <w:r>
        <w:rPr>
          <w:rStyle w:val="20"/>
          <w:rFonts w:hint="eastAsia" w:ascii="仿宋" w:hAnsi="仿宋" w:eastAsia="仿宋"/>
          <w:b w:val="0"/>
          <w:bCs w:val="0"/>
          <w:color w:val="auto"/>
          <w:highlight w:val="none"/>
          <w:lang w:eastAsia="zh-CN"/>
        </w:rPr>
        <w:t>十四、国有资本经营预算财政拨款支出决算表</w:t>
      </w:r>
      <w:bookmarkEnd w:id="159"/>
    </w:p>
    <w:sectPr>
      <w:footerReference r:id="rId5" w:type="first"/>
      <w:footerReference r:id="rId4" w:type="default"/>
      <w:pgSz w:w="11906" w:h="16838"/>
      <w:pgMar w:top="1440" w:right="1800" w:bottom="1440" w:left="1800" w:header="851" w:footer="992" w:gutter="0"/>
      <w:pgNumType w:fmt="decimal"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6BAA150-1FEB-41F0-A148-07F82EFEF7A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BB1B66A1-F660-4D8C-824B-BEEF9ADBCD3E}"/>
  </w:font>
  <w:font w:name="方正小标宋_GBK">
    <w:altName w:val="微软雅黑"/>
    <w:panose1 w:val="03000509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embedRegular r:id="rId3" w:fontKey="{B78BA209-9493-4858-A8BE-1CA30E911838}"/>
  </w:font>
  <w:font w:name="Cambria">
    <w:panose1 w:val="02040503050406030204"/>
    <w:charset w:val="00"/>
    <w:family w:val="roman"/>
    <w:pitch w:val="default"/>
    <w:sig w:usb0="E00006FF" w:usb1="420024FF" w:usb2="02000000" w:usb3="00000000" w:csb0="2000019F" w:csb1="00000000"/>
    <w:embedRegular r:id="rId4" w:fontKey="{C3D47987-3E87-4BE5-9BB9-3F0A3C69109C}"/>
  </w:font>
  <w:font w:name="仿宋">
    <w:panose1 w:val="02010609060101010101"/>
    <w:charset w:val="86"/>
    <w:family w:val="auto"/>
    <w:pitch w:val="default"/>
    <w:sig w:usb0="800002BF" w:usb1="38CF7CFA" w:usb2="00000016" w:usb3="00000000" w:csb0="00040001" w:csb1="00000000"/>
    <w:embedRegular r:id="rId5" w:fontKey="{EE2D5F2F-0DDD-40EF-BCF8-9680AEA25A0B}"/>
  </w:font>
  <w:font w:name="Arial Unicode MS">
    <w:panose1 w:val="020B0604020202020204"/>
    <w:charset w:val="86"/>
    <w:family w:val="swiss"/>
    <w:pitch w:val="default"/>
    <w:sig w:usb0="FFFFFFFF" w:usb1="E9FFFFFF" w:usb2="0000003F" w:usb3="00000000" w:csb0="603F01FF" w:csb1="FFFF0000"/>
  </w:font>
  <w:font w:name="方正小标宋简体">
    <w:panose1 w:val="02000000000000000000"/>
    <w:charset w:val="86"/>
    <w:family w:val="script"/>
    <w:pitch w:val="default"/>
    <w:sig w:usb0="00000001" w:usb1="08000000" w:usb2="00000000" w:usb3="00000000" w:csb0="00040000" w:csb1="00000000"/>
    <w:embedRegular r:id="rId6" w:fontKey="{9544331E-2AF4-4CEA-B190-91D6F58F9443}"/>
  </w:font>
  <w:font w:name="楷体_GB2312">
    <w:altName w:val="楷体"/>
    <w:panose1 w:val="02010609030101010101"/>
    <w:charset w:val="86"/>
    <w:family w:val="auto"/>
    <w:pitch w:val="default"/>
    <w:sig w:usb0="00000000" w:usb1="00000000" w:usb2="00000000" w:usb3="00000000" w:csb0="00040000" w:csb1="00000000"/>
    <w:embedRegular r:id="rId7" w:fontKey="{DEF3446B-027F-435D-A6A6-E157BA46F64A}"/>
  </w:font>
  <w:font w:name="微软雅黑">
    <w:panose1 w:val="020B0503020204020204"/>
    <w:charset w:val="86"/>
    <w:family w:val="swiss"/>
    <w:pitch w:val="default"/>
    <w:sig w:usb0="80000287" w:usb1="2ACF3C50" w:usb2="00000016" w:usb3="00000000" w:csb0="0004001F" w:csb1="00000000"/>
    <w:embedRegular r:id="rId8" w:fontKey="{47EB9B19-47D9-43CE-BC58-B6CDF6AB032D}"/>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t xml:space="preserve">— </w:t>
                          </w:r>
                          <w:r>
                            <w:fldChar w:fldCharType="begin"/>
                          </w:r>
                          <w:r>
                            <w:instrText xml:space="preserve"> PAGE  \* MERGEFORMAT </w:instrText>
                          </w:r>
                          <w:r>
                            <w:fldChar w:fldCharType="separate"/>
                          </w:r>
                          <w:r>
                            <w:t>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9"/>
                    </w:pPr>
                    <w:r>
                      <w:t xml:space="preserve">— </w:t>
                    </w:r>
                    <w:r>
                      <w:fldChar w:fldCharType="begin"/>
                    </w:r>
                    <w:r>
                      <w:instrText xml:space="preserve"> PAGE  \* MERGEFORMAT </w:instrText>
                    </w:r>
                    <w:r>
                      <w:fldChar w:fldCharType="separate"/>
                    </w:r>
                    <w:r>
                      <w:t>2</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9"/>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F4476F"/>
    <w:multiLevelType w:val="singleLevel"/>
    <w:tmpl w:val="85F4476F"/>
    <w:lvl w:ilvl="0" w:tentative="0">
      <w:start w:val="2"/>
      <w:numFmt w:val="chineseCounting"/>
      <w:suff w:val="nothing"/>
      <w:lvlText w:val="（%1）"/>
      <w:lvlJc w:val="left"/>
      <w:rPr>
        <w:rFonts w:hint="eastAsia"/>
      </w:rPr>
    </w:lvl>
  </w:abstractNum>
  <w:abstractNum w:abstractNumId="1">
    <w:nsid w:val="CF652CEC"/>
    <w:multiLevelType w:val="singleLevel"/>
    <w:tmpl w:val="CF652CEC"/>
    <w:lvl w:ilvl="0" w:tentative="0">
      <w:start w:val="9"/>
      <w:numFmt w:val="chineseCounting"/>
      <w:suff w:val="nothing"/>
      <w:lvlText w:val="%1、"/>
      <w:lvlJc w:val="left"/>
      <w:rPr>
        <w:rFonts w:hint="eastAsia"/>
      </w:rPr>
    </w:lvl>
  </w:abstractNum>
  <w:abstractNum w:abstractNumId="2">
    <w:nsid w:val="E2FA047D"/>
    <w:multiLevelType w:val="singleLevel"/>
    <w:tmpl w:val="E2FA047D"/>
    <w:lvl w:ilvl="0" w:tentative="0">
      <w:start w:val="3"/>
      <w:numFmt w:val="chineseCounting"/>
      <w:suff w:val="space"/>
      <w:lvlText w:val="第%1部分"/>
      <w:lvlJc w:val="left"/>
      <w:rPr>
        <w:rFonts w:hint="eastAsia"/>
      </w:rPr>
    </w:lvl>
  </w:abstractNum>
  <w:abstractNum w:abstractNumId="3">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4">
    <w:nsid w:val="18946193"/>
    <w:multiLevelType w:val="singleLevel"/>
    <w:tmpl w:val="18946193"/>
    <w:lvl w:ilvl="0" w:tentative="0">
      <w:start w:val="3"/>
      <w:numFmt w:val="decimal"/>
      <w:suff w:val="nothing"/>
      <w:lvlText w:val="%1．"/>
      <w:lvlJc w:val="left"/>
    </w:lvl>
  </w:abstractNum>
  <w:abstractNum w:abstractNumId="5">
    <w:nsid w:val="193AB55A"/>
    <w:multiLevelType w:val="singleLevel"/>
    <w:tmpl w:val="193AB55A"/>
    <w:lvl w:ilvl="0" w:tentative="0">
      <w:start w:val="3"/>
      <w:numFmt w:val="chineseCounting"/>
      <w:suff w:val="nothing"/>
      <w:lvlText w:val="（%1）"/>
      <w:lvlJc w:val="left"/>
      <w:rPr>
        <w:rFonts w:hint="eastAsia"/>
      </w:rPr>
    </w:lvl>
  </w:abstractNum>
  <w:abstractNum w:abstractNumId="6">
    <w:nsid w:val="625B8B42"/>
    <w:multiLevelType w:val="singleLevel"/>
    <w:tmpl w:val="625B8B42"/>
    <w:lvl w:ilvl="0" w:tentative="0">
      <w:start w:val="2"/>
      <w:numFmt w:val="chineseCounting"/>
      <w:suff w:val="nothing"/>
      <w:lvlText w:val="（%1）"/>
      <w:lvlJc w:val="left"/>
    </w:lvl>
  </w:abstractNum>
  <w:abstractNum w:abstractNumId="7">
    <w:nsid w:val="6992A4B6"/>
    <w:multiLevelType w:val="singleLevel"/>
    <w:tmpl w:val="6992A4B6"/>
    <w:lvl w:ilvl="0" w:tentative="0">
      <w:start w:val="3"/>
      <w:numFmt w:val="decimal"/>
      <w:suff w:val="nothing"/>
      <w:lvlText w:val="%1．"/>
      <w:lvlJc w:val="left"/>
    </w:lvl>
  </w:abstractNum>
  <w:num w:numId="1">
    <w:abstractNumId w:val="3"/>
  </w:num>
  <w:num w:numId="2">
    <w:abstractNumId w:val="5"/>
  </w:num>
  <w:num w:numId="3">
    <w:abstractNumId w:val="1"/>
  </w:num>
  <w:num w:numId="4">
    <w:abstractNumId w:val="2"/>
  </w:num>
  <w:num w:numId="5">
    <w:abstractNumId w:val="4"/>
  </w:num>
  <w:num w:numId="6">
    <w:abstractNumId w:val="0"/>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2ZGZiNzZiNDVlOGViOWVmM2JhOTY0NGJkNjUyYzg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757DB"/>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70859"/>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064C9A"/>
    <w:rsid w:val="012F41F1"/>
    <w:rsid w:val="01973B44"/>
    <w:rsid w:val="02460776"/>
    <w:rsid w:val="031F3A88"/>
    <w:rsid w:val="039D7B38"/>
    <w:rsid w:val="049B394B"/>
    <w:rsid w:val="04C63BD8"/>
    <w:rsid w:val="05157BA2"/>
    <w:rsid w:val="05445D91"/>
    <w:rsid w:val="05595CE0"/>
    <w:rsid w:val="066E0107"/>
    <w:rsid w:val="06896151"/>
    <w:rsid w:val="0781507A"/>
    <w:rsid w:val="07996F6E"/>
    <w:rsid w:val="07A019A5"/>
    <w:rsid w:val="07C37441"/>
    <w:rsid w:val="097529BD"/>
    <w:rsid w:val="09FB3E68"/>
    <w:rsid w:val="0A2032A3"/>
    <w:rsid w:val="0B275F39"/>
    <w:rsid w:val="0C7E427E"/>
    <w:rsid w:val="0CBE54B2"/>
    <w:rsid w:val="0CE71E24"/>
    <w:rsid w:val="0D6945E7"/>
    <w:rsid w:val="0DE72889"/>
    <w:rsid w:val="0E8C1776"/>
    <w:rsid w:val="0EB9334C"/>
    <w:rsid w:val="0F768B24"/>
    <w:rsid w:val="0FA1213B"/>
    <w:rsid w:val="0FC30926"/>
    <w:rsid w:val="101860EC"/>
    <w:rsid w:val="109202F8"/>
    <w:rsid w:val="10C055FF"/>
    <w:rsid w:val="111D4066"/>
    <w:rsid w:val="117D2D56"/>
    <w:rsid w:val="118107EC"/>
    <w:rsid w:val="11B85B3D"/>
    <w:rsid w:val="11FF0A0C"/>
    <w:rsid w:val="12557610"/>
    <w:rsid w:val="128C4BBC"/>
    <w:rsid w:val="12C624DB"/>
    <w:rsid w:val="12F14A20"/>
    <w:rsid w:val="132A488B"/>
    <w:rsid w:val="133B6A25"/>
    <w:rsid w:val="13B14F39"/>
    <w:rsid w:val="13D50BC4"/>
    <w:rsid w:val="143E4A1F"/>
    <w:rsid w:val="149467C1"/>
    <w:rsid w:val="14BF97C3"/>
    <w:rsid w:val="15681628"/>
    <w:rsid w:val="15ED707B"/>
    <w:rsid w:val="15FAFA06"/>
    <w:rsid w:val="16287735"/>
    <w:rsid w:val="167504A0"/>
    <w:rsid w:val="16BB723D"/>
    <w:rsid w:val="176C5AAF"/>
    <w:rsid w:val="179B3F36"/>
    <w:rsid w:val="17A93E97"/>
    <w:rsid w:val="17E551B2"/>
    <w:rsid w:val="18B20AD8"/>
    <w:rsid w:val="1A8844E0"/>
    <w:rsid w:val="1AA90718"/>
    <w:rsid w:val="1AC27A2C"/>
    <w:rsid w:val="1BE8440E"/>
    <w:rsid w:val="1C237506"/>
    <w:rsid w:val="1D155CEE"/>
    <w:rsid w:val="1D7274E7"/>
    <w:rsid w:val="1E472722"/>
    <w:rsid w:val="1E48649A"/>
    <w:rsid w:val="1E7FB4A7"/>
    <w:rsid w:val="1F4D6543"/>
    <w:rsid w:val="1FA31BDA"/>
    <w:rsid w:val="1FA92F69"/>
    <w:rsid w:val="1FBE6A14"/>
    <w:rsid w:val="1FC010C0"/>
    <w:rsid w:val="1FDFCD46"/>
    <w:rsid w:val="20230F6D"/>
    <w:rsid w:val="203A51A7"/>
    <w:rsid w:val="205F5D8C"/>
    <w:rsid w:val="20A03498"/>
    <w:rsid w:val="20E120C3"/>
    <w:rsid w:val="20EC135F"/>
    <w:rsid w:val="226F3FF6"/>
    <w:rsid w:val="23356FED"/>
    <w:rsid w:val="233B1BD3"/>
    <w:rsid w:val="236553F8"/>
    <w:rsid w:val="23860B96"/>
    <w:rsid w:val="240371BF"/>
    <w:rsid w:val="243C43AB"/>
    <w:rsid w:val="24CA7C09"/>
    <w:rsid w:val="253B35FE"/>
    <w:rsid w:val="25407ECB"/>
    <w:rsid w:val="264D464E"/>
    <w:rsid w:val="26802C75"/>
    <w:rsid w:val="27514B06"/>
    <w:rsid w:val="27A44741"/>
    <w:rsid w:val="27B30E28"/>
    <w:rsid w:val="27FFCD6C"/>
    <w:rsid w:val="281A0EA7"/>
    <w:rsid w:val="282910EA"/>
    <w:rsid w:val="28D64DCE"/>
    <w:rsid w:val="29FD04D3"/>
    <w:rsid w:val="2AB253C7"/>
    <w:rsid w:val="2B920D55"/>
    <w:rsid w:val="2BA03472"/>
    <w:rsid w:val="2BB05C79"/>
    <w:rsid w:val="2BF57C61"/>
    <w:rsid w:val="2BFB26A9"/>
    <w:rsid w:val="2BFF6379"/>
    <w:rsid w:val="2C2B0B8C"/>
    <w:rsid w:val="2C8A61B5"/>
    <w:rsid w:val="2D2D6F87"/>
    <w:rsid w:val="2D452523"/>
    <w:rsid w:val="2DF04E50"/>
    <w:rsid w:val="2DF857E7"/>
    <w:rsid w:val="2E0107CD"/>
    <w:rsid w:val="2E9A064C"/>
    <w:rsid w:val="2ECAC9E2"/>
    <w:rsid w:val="2F715851"/>
    <w:rsid w:val="2F7EFCA7"/>
    <w:rsid w:val="2FD1142A"/>
    <w:rsid w:val="2FF40230"/>
    <w:rsid w:val="30005495"/>
    <w:rsid w:val="305F01B7"/>
    <w:rsid w:val="30EF3563"/>
    <w:rsid w:val="30F304E8"/>
    <w:rsid w:val="319F7F4E"/>
    <w:rsid w:val="31B4561C"/>
    <w:rsid w:val="31DB4EB1"/>
    <w:rsid w:val="31FC33CC"/>
    <w:rsid w:val="3212499D"/>
    <w:rsid w:val="32FD564D"/>
    <w:rsid w:val="33906946"/>
    <w:rsid w:val="33C8223B"/>
    <w:rsid w:val="34171D99"/>
    <w:rsid w:val="343D03F7"/>
    <w:rsid w:val="34945433"/>
    <w:rsid w:val="34E46AC5"/>
    <w:rsid w:val="359F7AA1"/>
    <w:rsid w:val="367B0D63"/>
    <w:rsid w:val="368311A7"/>
    <w:rsid w:val="36AA5135"/>
    <w:rsid w:val="36F7E70E"/>
    <w:rsid w:val="36FA25D0"/>
    <w:rsid w:val="36FB1EA4"/>
    <w:rsid w:val="37AA2DE4"/>
    <w:rsid w:val="37E16F03"/>
    <w:rsid w:val="3837515E"/>
    <w:rsid w:val="38741F0E"/>
    <w:rsid w:val="38DB3D3B"/>
    <w:rsid w:val="38E3979E"/>
    <w:rsid w:val="3962620A"/>
    <w:rsid w:val="39DFBBF2"/>
    <w:rsid w:val="3A3DB485"/>
    <w:rsid w:val="3A4526F1"/>
    <w:rsid w:val="3AA1431F"/>
    <w:rsid w:val="3AF86E26"/>
    <w:rsid w:val="3B3A743F"/>
    <w:rsid w:val="3B6E1ECA"/>
    <w:rsid w:val="3BAB3E99"/>
    <w:rsid w:val="3BC907C3"/>
    <w:rsid w:val="3BFD8AED"/>
    <w:rsid w:val="3C2459F9"/>
    <w:rsid w:val="3C4340D1"/>
    <w:rsid w:val="3D0A4BEF"/>
    <w:rsid w:val="3D170DEA"/>
    <w:rsid w:val="3D6764E5"/>
    <w:rsid w:val="3D8C1AA8"/>
    <w:rsid w:val="3D98207C"/>
    <w:rsid w:val="3EC05EAD"/>
    <w:rsid w:val="3EFB5137"/>
    <w:rsid w:val="3EFDF1DF"/>
    <w:rsid w:val="3F937557"/>
    <w:rsid w:val="3FBBC581"/>
    <w:rsid w:val="3FDF3EC7"/>
    <w:rsid w:val="3FF77376"/>
    <w:rsid w:val="41602ED0"/>
    <w:rsid w:val="41D659E7"/>
    <w:rsid w:val="425B744A"/>
    <w:rsid w:val="4290724E"/>
    <w:rsid w:val="433504EC"/>
    <w:rsid w:val="436446D3"/>
    <w:rsid w:val="44024872"/>
    <w:rsid w:val="44192C42"/>
    <w:rsid w:val="4436727B"/>
    <w:rsid w:val="445552E9"/>
    <w:rsid w:val="44564BBE"/>
    <w:rsid w:val="44D97CC8"/>
    <w:rsid w:val="44E268DA"/>
    <w:rsid w:val="450308A1"/>
    <w:rsid w:val="45435142"/>
    <w:rsid w:val="45BB22DF"/>
    <w:rsid w:val="46083AE8"/>
    <w:rsid w:val="464006D8"/>
    <w:rsid w:val="46401681"/>
    <w:rsid w:val="46DC3AA0"/>
    <w:rsid w:val="47523D62"/>
    <w:rsid w:val="4791488A"/>
    <w:rsid w:val="47973BFF"/>
    <w:rsid w:val="47F170D7"/>
    <w:rsid w:val="48FD1AAC"/>
    <w:rsid w:val="4977360C"/>
    <w:rsid w:val="498B5309"/>
    <w:rsid w:val="49D05CED"/>
    <w:rsid w:val="4A627F82"/>
    <w:rsid w:val="4ADA20A4"/>
    <w:rsid w:val="4AE20F59"/>
    <w:rsid w:val="4AFF7D5D"/>
    <w:rsid w:val="4B3C2D5F"/>
    <w:rsid w:val="4B4F25DA"/>
    <w:rsid w:val="4B5D2CD5"/>
    <w:rsid w:val="4B7C315C"/>
    <w:rsid w:val="4BAE52DF"/>
    <w:rsid w:val="4BE068DB"/>
    <w:rsid w:val="4C5703F4"/>
    <w:rsid w:val="4C5C5A25"/>
    <w:rsid w:val="4D3F0B45"/>
    <w:rsid w:val="4D577224"/>
    <w:rsid w:val="4DEFED69"/>
    <w:rsid w:val="4E651F29"/>
    <w:rsid w:val="4E802F63"/>
    <w:rsid w:val="4EAB630A"/>
    <w:rsid w:val="4ECE2238"/>
    <w:rsid w:val="4FF5172F"/>
    <w:rsid w:val="50033E4B"/>
    <w:rsid w:val="5023228F"/>
    <w:rsid w:val="508245E4"/>
    <w:rsid w:val="509E058D"/>
    <w:rsid w:val="50B415EA"/>
    <w:rsid w:val="50C335DB"/>
    <w:rsid w:val="50C87CD7"/>
    <w:rsid w:val="516B614C"/>
    <w:rsid w:val="519F4486"/>
    <w:rsid w:val="52CD24EF"/>
    <w:rsid w:val="52EC6E19"/>
    <w:rsid w:val="534A7FE3"/>
    <w:rsid w:val="539211A3"/>
    <w:rsid w:val="544B4013"/>
    <w:rsid w:val="545A6004"/>
    <w:rsid w:val="54D062C6"/>
    <w:rsid w:val="55162DF9"/>
    <w:rsid w:val="55AA2FBB"/>
    <w:rsid w:val="56A874FB"/>
    <w:rsid w:val="56B23ED5"/>
    <w:rsid w:val="56FF0AE0"/>
    <w:rsid w:val="570404A9"/>
    <w:rsid w:val="578F589D"/>
    <w:rsid w:val="57B27F05"/>
    <w:rsid w:val="57C86A81"/>
    <w:rsid w:val="586B555F"/>
    <w:rsid w:val="5979517E"/>
    <w:rsid w:val="59ABA7CD"/>
    <w:rsid w:val="5ADFD8BE"/>
    <w:rsid w:val="5AF92295"/>
    <w:rsid w:val="5B084A0C"/>
    <w:rsid w:val="5B90055D"/>
    <w:rsid w:val="5BB71F8E"/>
    <w:rsid w:val="5C2F0CA3"/>
    <w:rsid w:val="5C673CD8"/>
    <w:rsid w:val="5C8EC046"/>
    <w:rsid w:val="5CD71FC4"/>
    <w:rsid w:val="5D6121B1"/>
    <w:rsid w:val="5DFE07F5"/>
    <w:rsid w:val="5E2C6C63"/>
    <w:rsid w:val="5E48511F"/>
    <w:rsid w:val="5E6C52B2"/>
    <w:rsid w:val="5F1020E1"/>
    <w:rsid w:val="5F2345A8"/>
    <w:rsid w:val="5F3B24A5"/>
    <w:rsid w:val="5F405534"/>
    <w:rsid w:val="5F620FA2"/>
    <w:rsid w:val="5F7709E2"/>
    <w:rsid w:val="5FFF9851"/>
    <w:rsid w:val="60741B2F"/>
    <w:rsid w:val="60786190"/>
    <w:rsid w:val="60DE4788"/>
    <w:rsid w:val="61504A17"/>
    <w:rsid w:val="62C05BCC"/>
    <w:rsid w:val="64A62BA0"/>
    <w:rsid w:val="64B65633"/>
    <w:rsid w:val="64CF0B76"/>
    <w:rsid w:val="65B5A558"/>
    <w:rsid w:val="65BF331D"/>
    <w:rsid w:val="66376316"/>
    <w:rsid w:val="66AB26EF"/>
    <w:rsid w:val="66D73941"/>
    <w:rsid w:val="677D0530"/>
    <w:rsid w:val="67A62F04"/>
    <w:rsid w:val="68106CAE"/>
    <w:rsid w:val="682A5B14"/>
    <w:rsid w:val="68442DFB"/>
    <w:rsid w:val="68466B73"/>
    <w:rsid w:val="698E6833"/>
    <w:rsid w:val="6A10592E"/>
    <w:rsid w:val="6A1567FD"/>
    <w:rsid w:val="6A9D062E"/>
    <w:rsid w:val="6BBD3B81"/>
    <w:rsid w:val="6BEDD578"/>
    <w:rsid w:val="6C375151"/>
    <w:rsid w:val="6C4A05C8"/>
    <w:rsid w:val="6C5F1FB2"/>
    <w:rsid w:val="6C621AA2"/>
    <w:rsid w:val="6D1AE42F"/>
    <w:rsid w:val="6D68133A"/>
    <w:rsid w:val="6D6F389C"/>
    <w:rsid w:val="6DDF784E"/>
    <w:rsid w:val="6E7E3605"/>
    <w:rsid w:val="6EBFBEB9"/>
    <w:rsid w:val="6EDFFCF9"/>
    <w:rsid w:val="6F0E7CBF"/>
    <w:rsid w:val="6F500E74"/>
    <w:rsid w:val="6F5AEF6E"/>
    <w:rsid w:val="6FD04537"/>
    <w:rsid w:val="6FE27182"/>
    <w:rsid w:val="6FF52103"/>
    <w:rsid w:val="6FF5CC65"/>
    <w:rsid w:val="6FF72D82"/>
    <w:rsid w:val="6FFCCEDB"/>
    <w:rsid w:val="6FFDE9AD"/>
    <w:rsid w:val="70311EB7"/>
    <w:rsid w:val="70877D29"/>
    <w:rsid w:val="70C525FF"/>
    <w:rsid w:val="70CC0E69"/>
    <w:rsid w:val="715C0E4B"/>
    <w:rsid w:val="71685DAD"/>
    <w:rsid w:val="71687CAF"/>
    <w:rsid w:val="71DFCF88"/>
    <w:rsid w:val="720E3262"/>
    <w:rsid w:val="72734D90"/>
    <w:rsid w:val="730613D9"/>
    <w:rsid w:val="73893DB8"/>
    <w:rsid w:val="73AD73D5"/>
    <w:rsid w:val="73B6EB34"/>
    <w:rsid w:val="73B8671C"/>
    <w:rsid w:val="76360D8E"/>
    <w:rsid w:val="76BF671D"/>
    <w:rsid w:val="77244553"/>
    <w:rsid w:val="777C7D51"/>
    <w:rsid w:val="77BF5FFA"/>
    <w:rsid w:val="77F66893"/>
    <w:rsid w:val="78585335"/>
    <w:rsid w:val="78716ECB"/>
    <w:rsid w:val="796E2CF3"/>
    <w:rsid w:val="79B002F1"/>
    <w:rsid w:val="79B7167F"/>
    <w:rsid w:val="79EE5BA4"/>
    <w:rsid w:val="79F857F4"/>
    <w:rsid w:val="7A894339"/>
    <w:rsid w:val="7ACC6142"/>
    <w:rsid w:val="7B35282A"/>
    <w:rsid w:val="7B364826"/>
    <w:rsid w:val="7BBE7997"/>
    <w:rsid w:val="7BFDDE1D"/>
    <w:rsid w:val="7C6F9BFF"/>
    <w:rsid w:val="7D5B67C5"/>
    <w:rsid w:val="7D8BAB65"/>
    <w:rsid w:val="7D926C74"/>
    <w:rsid w:val="7DA42A61"/>
    <w:rsid w:val="7DCB6DF1"/>
    <w:rsid w:val="7DD6FD61"/>
    <w:rsid w:val="7DFF66BA"/>
    <w:rsid w:val="7EBB5888"/>
    <w:rsid w:val="7ED73DBB"/>
    <w:rsid w:val="7EEF11D3"/>
    <w:rsid w:val="7EF26CB5"/>
    <w:rsid w:val="7EFBAE83"/>
    <w:rsid w:val="7EFD6B50"/>
    <w:rsid w:val="7F7738CA"/>
    <w:rsid w:val="7F8658BE"/>
    <w:rsid w:val="7F898BD4"/>
    <w:rsid w:val="7FA30C79"/>
    <w:rsid w:val="7FB79A0E"/>
    <w:rsid w:val="7FBF4BC4"/>
    <w:rsid w:val="7FC96657"/>
    <w:rsid w:val="7FEFCC9C"/>
    <w:rsid w:val="7FFE66B6"/>
    <w:rsid w:val="7FFF249B"/>
    <w:rsid w:val="7FFF59CA"/>
    <w:rsid w:val="7FFFB031"/>
    <w:rsid w:val="93FF39AF"/>
    <w:rsid w:val="9BDF212F"/>
    <w:rsid w:val="AACBB7C1"/>
    <w:rsid w:val="AFF652D5"/>
    <w:rsid w:val="B1BF1DF3"/>
    <w:rsid w:val="B75F2787"/>
    <w:rsid w:val="B7A3A5D6"/>
    <w:rsid w:val="B7FE71D5"/>
    <w:rsid w:val="BABDE181"/>
    <w:rsid w:val="BBDDFC60"/>
    <w:rsid w:val="BC7715AD"/>
    <w:rsid w:val="BCBF9D72"/>
    <w:rsid w:val="BCF357FB"/>
    <w:rsid w:val="BEBFC9B1"/>
    <w:rsid w:val="BF970FCF"/>
    <w:rsid w:val="BFB8CDFC"/>
    <w:rsid w:val="BFE3893A"/>
    <w:rsid w:val="BFFB2F9A"/>
    <w:rsid w:val="C5FE087C"/>
    <w:rsid w:val="CBB1B3E1"/>
    <w:rsid w:val="D5EE1BDC"/>
    <w:rsid w:val="D7EDCD34"/>
    <w:rsid w:val="D8D6DB89"/>
    <w:rsid w:val="D9E2FB3F"/>
    <w:rsid w:val="DB535C7B"/>
    <w:rsid w:val="DB6F4CAB"/>
    <w:rsid w:val="DF698108"/>
    <w:rsid w:val="DF6F9789"/>
    <w:rsid w:val="DF7E0B32"/>
    <w:rsid w:val="DF9EFDFA"/>
    <w:rsid w:val="DFCFD76C"/>
    <w:rsid w:val="DFDA4053"/>
    <w:rsid w:val="DFEF8540"/>
    <w:rsid w:val="E37B78BD"/>
    <w:rsid w:val="ECFF4AFE"/>
    <w:rsid w:val="ED77A69A"/>
    <w:rsid w:val="EDF7ADAD"/>
    <w:rsid w:val="EF9DC07D"/>
    <w:rsid w:val="EFE58713"/>
    <w:rsid w:val="EFF5E9F9"/>
    <w:rsid w:val="F3A7A573"/>
    <w:rsid w:val="F5BF88BE"/>
    <w:rsid w:val="F6741277"/>
    <w:rsid w:val="F6EA6170"/>
    <w:rsid w:val="F77F3C41"/>
    <w:rsid w:val="F7BE7440"/>
    <w:rsid w:val="F7EB967E"/>
    <w:rsid w:val="F9BF9CFF"/>
    <w:rsid w:val="FA5D6A60"/>
    <w:rsid w:val="FB5D82FF"/>
    <w:rsid w:val="FBEE4133"/>
    <w:rsid w:val="FC7B8C89"/>
    <w:rsid w:val="FD3B15E9"/>
    <w:rsid w:val="FD7FC9A6"/>
    <w:rsid w:val="FDCEADBF"/>
    <w:rsid w:val="FDF36FB1"/>
    <w:rsid w:val="FE5B86C2"/>
    <w:rsid w:val="FEB54BB3"/>
    <w:rsid w:val="FEB608A2"/>
    <w:rsid w:val="FEDFAE96"/>
    <w:rsid w:val="FF6D5D1A"/>
    <w:rsid w:val="FF9F0705"/>
    <w:rsid w:val="FFEF0762"/>
    <w:rsid w:val="FFF27786"/>
    <w:rsid w:val="FFF7E0E8"/>
    <w:rsid w:val="FFFD893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2">
    <w:name w:val="heading 3"/>
    <w:basedOn w:val="1"/>
    <w:next w:val="1"/>
    <w:link w:val="21"/>
    <w:unhideWhenUsed/>
    <w:qFormat/>
    <w:uiPriority w:val="9"/>
    <w:pPr>
      <w:keepNext/>
      <w:keepLines/>
      <w:spacing w:before="260" w:after="260" w:line="416" w:lineRule="auto"/>
      <w:outlineLvl w:val="2"/>
    </w:pPr>
    <w:rPr>
      <w:b/>
      <w:bCs/>
      <w:sz w:val="32"/>
      <w:szCs w:val="32"/>
    </w:rPr>
  </w:style>
  <w:style w:type="character" w:default="1" w:styleId="16">
    <w:name w:val="Default Paragraph Font"/>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index 8"/>
    <w:basedOn w:val="1"/>
    <w:next w:val="1"/>
    <w:qFormat/>
    <w:uiPriority w:val="0"/>
    <w:pPr>
      <w:ind w:left="2940"/>
    </w:pPr>
  </w:style>
  <w:style w:type="paragraph" w:styleId="6">
    <w:name w:val="Body Text"/>
    <w:basedOn w:val="1"/>
    <w:next w:val="5"/>
    <w:link w:val="27"/>
    <w:qFormat/>
    <w:uiPriority w:val="99"/>
    <w:pPr>
      <w:spacing w:beforeLines="30"/>
    </w:pPr>
    <w:rPr>
      <w:rFonts w:ascii="仿宋_GB2312" w:eastAsia="仿宋_GB2312"/>
      <w:kern w:val="0"/>
      <w:sz w:val="30"/>
    </w:rPr>
  </w:style>
  <w:style w:type="paragraph" w:styleId="7">
    <w:name w:val="toc 3"/>
    <w:basedOn w:val="1"/>
    <w:next w:val="1"/>
    <w:unhideWhenUsed/>
    <w:qFormat/>
    <w:uiPriority w:val="39"/>
    <w:pPr>
      <w:tabs>
        <w:tab w:val="right" w:leader="dot" w:pos="8296"/>
      </w:tabs>
      <w:ind w:left="840" w:leftChars="400"/>
    </w:pPr>
  </w:style>
  <w:style w:type="paragraph" w:styleId="8">
    <w:name w:val="Balloon Text"/>
    <w:basedOn w:val="1"/>
    <w:link w:val="31"/>
    <w:semiHidden/>
    <w:unhideWhenUsed/>
    <w:qFormat/>
    <w:uiPriority w:val="99"/>
    <w:rPr>
      <w:sz w:val="18"/>
      <w:szCs w:val="18"/>
    </w:rPr>
  </w:style>
  <w:style w:type="paragraph" w:styleId="9">
    <w:name w:val="footer"/>
    <w:basedOn w:val="1"/>
    <w:link w:val="25"/>
    <w:qFormat/>
    <w:uiPriority w:val="99"/>
    <w:pPr>
      <w:tabs>
        <w:tab w:val="center" w:pos="4153"/>
        <w:tab w:val="right" w:pos="8306"/>
      </w:tabs>
      <w:snapToGrid w:val="0"/>
      <w:jc w:val="left"/>
    </w:pPr>
    <w:rPr>
      <w:rFonts w:ascii="Calibri" w:hAnsi="Calibri"/>
      <w:kern w:val="0"/>
      <w:sz w:val="18"/>
      <w:szCs w:val="18"/>
    </w:rPr>
  </w:style>
  <w:style w:type="paragraph" w:styleId="10">
    <w:name w:val="header"/>
    <w:basedOn w:val="1"/>
    <w:link w:val="23"/>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1">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2">
    <w:name w:val="toc 2"/>
    <w:basedOn w:val="1"/>
    <w:next w:val="1"/>
    <w:unhideWhenUsed/>
    <w:qFormat/>
    <w:uiPriority w:val="39"/>
    <w:pPr>
      <w:tabs>
        <w:tab w:val="right" w:leader="dot" w:pos="8296"/>
      </w:tabs>
      <w:ind w:left="420" w:leftChars="200"/>
    </w:pPr>
  </w:style>
  <w:style w:type="paragraph" w:styleId="13">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4">
    <w:name w:val="Body Text First Indent"/>
    <w:basedOn w:val="6"/>
    <w:qFormat/>
    <w:uiPriority w:val="0"/>
    <w:pPr>
      <w:spacing w:after="120"/>
      <w:ind w:firstLine="100" w:firstLineChars="100"/>
    </w:pPr>
  </w:style>
  <w:style w:type="character" w:styleId="17">
    <w:name w:val="Strong"/>
    <w:basedOn w:val="16"/>
    <w:qFormat/>
    <w:uiPriority w:val="99"/>
    <w:rPr>
      <w:b/>
    </w:rPr>
  </w:style>
  <w:style w:type="character" w:styleId="18">
    <w:name w:val="Hyperlink"/>
    <w:basedOn w:val="16"/>
    <w:unhideWhenUsed/>
    <w:qFormat/>
    <w:uiPriority w:val="99"/>
    <w:rPr>
      <w:color w:val="0000FF" w:themeColor="hyperlink"/>
      <w:u w:val="single"/>
      <w14:textFill>
        <w14:solidFill>
          <w14:schemeClr w14:val="hlink"/>
        </w14:solidFill>
      </w14:textFill>
    </w:rPr>
  </w:style>
  <w:style w:type="character" w:customStyle="1" w:styleId="19">
    <w:name w:val="标题 1 Char"/>
    <w:basedOn w:val="16"/>
    <w:link w:val="3"/>
    <w:qFormat/>
    <w:uiPriority w:val="9"/>
    <w:rPr>
      <w:rFonts w:ascii="Times New Roman" w:hAnsi="Times New Roman"/>
      <w:b/>
      <w:bCs/>
      <w:kern w:val="44"/>
      <w:sz w:val="44"/>
      <w:szCs w:val="44"/>
    </w:rPr>
  </w:style>
  <w:style w:type="character" w:customStyle="1" w:styleId="20">
    <w:name w:val="标题 2 Char"/>
    <w:basedOn w:val="16"/>
    <w:link w:val="4"/>
    <w:qFormat/>
    <w:uiPriority w:val="9"/>
    <w:rPr>
      <w:rFonts w:asciiTheme="majorHAnsi" w:hAnsiTheme="majorHAnsi" w:eastAsiaTheme="majorEastAsia" w:cstheme="majorBidi"/>
      <w:b/>
      <w:bCs/>
      <w:kern w:val="2"/>
      <w:sz w:val="32"/>
      <w:szCs w:val="32"/>
    </w:rPr>
  </w:style>
  <w:style w:type="character" w:customStyle="1" w:styleId="21">
    <w:name w:val="标题 3 Char"/>
    <w:basedOn w:val="16"/>
    <w:link w:val="2"/>
    <w:qFormat/>
    <w:uiPriority w:val="9"/>
    <w:rPr>
      <w:rFonts w:ascii="Times New Roman" w:hAnsi="Times New Roman"/>
      <w:b/>
      <w:bCs/>
      <w:kern w:val="2"/>
      <w:sz w:val="32"/>
      <w:szCs w:val="32"/>
    </w:rPr>
  </w:style>
  <w:style w:type="character" w:customStyle="1" w:styleId="22">
    <w:name w:val="Header Char"/>
    <w:basedOn w:val="16"/>
    <w:semiHidden/>
    <w:qFormat/>
    <w:uiPriority w:val="99"/>
    <w:rPr>
      <w:rFonts w:ascii="Times New Roman" w:hAnsi="Times New Roman"/>
      <w:sz w:val="18"/>
      <w:szCs w:val="18"/>
    </w:rPr>
  </w:style>
  <w:style w:type="character" w:customStyle="1" w:styleId="23">
    <w:name w:val="页眉 Char"/>
    <w:link w:val="10"/>
    <w:semiHidden/>
    <w:qFormat/>
    <w:locked/>
    <w:uiPriority w:val="99"/>
    <w:rPr>
      <w:sz w:val="18"/>
    </w:rPr>
  </w:style>
  <w:style w:type="character" w:customStyle="1" w:styleId="24">
    <w:name w:val="Footer Char"/>
    <w:basedOn w:val="16"/>
    <w:semiHidden/>
    <w:qFormat/>
    <w:uiPriority w:val="99"/>
    <w:rPr>
      <w:rFonts w:ascii="Times New Roman" w:hAnsi="Times New Roman"/>
      <w:sz w:val="18"/>
      <w:szCs w:val="18"/>
    </w:rPr>
  </w:style>
  <w:style w:type="character" w:customStyle="1" w:styleId="25">
    <w:name w:val="页脚 Char"/>
    <w:link w:val="9"/>
    <w:qFormat/>
    <w:locked/>
    <w:uiPriority w:val="99"/>
    <w:rPr>
      <w:sz w:val="18"/>
    </w:rPr>
  </w:style>
  <w:style w:type="character" w:customStyle="1" w:styleId="26">
    <w:name w:val="Body Text Char"/>
    <w:basedOn w:val="16"/>
    <w:semiHidden/>
    <w:qFormat/>
    <w:uiPriority w:val="99"/>
    <w:rPr>
      <w:rFonts w:ascii="Times New Roman" w:hAnsi="Times New Roman"/>
      <w:szCs w:val="24"/>
    </w:rPr>
  </w:style>
  <w:style w:type="character" w:customStyle="1" w:styleId="27">
    <w:name w:val="正文文本 Char"/>
    <w:link w:val="6"/>
    <w:qFormat/>
    <w:locked/>
    <w:uiPriority w:val="99"/>
    <w:rPr>
      <w:rFonts w:ascii="仿宋_GB2312" w:hAnsi="Times New Roman" w:eastAsia="仿宋_GB2312"/>
      <w:sz w:val="24"/>
    </w:rPr>
  </w:style>
  <w:style w:type="paragraph" w:customStyle="1" w:styleId="28">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9">
    <w:name w:val="List Paragraph"/>
    <w:basedOn w:val="1"/>
    <w:qFormat/>
    <w:uiPriority w:val="34"/>
    <w:pPr>
      <w:ind w:firstLine="420" w:firstLineChars="200"/>
    </w:pPr>
  </w:style>
  <w:style w:type="paragraph" w:customStyle="1" w:styleId="30">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1">
    <w:name w:val="批注框文本 Char"/>
    <w:basedOn w:val="16"/>
    <w:link w:val="8"/>
    <w:semiHidden/>
    <w:qFormat/>
    <w:uiPriority w:val="99"/>
    <w:rPr>
      <w:rFonts w:ascii="Times New Roman" w:hAnsi="Times New Roman"/>
      <w:kern w:val="2"/>
      <w:sz w:val="18"/>
      <w:szCs w:val="18"/>
    </w:rPr>
  </w:style>
  <w:style w:type="paragraph" w:customStyle="1" w:styleId="32">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3">
    <w:name w:val="正文（首行缩进2）"/>
    <w:basedOn w:val="1"/>
    <w:qFormat/>
    <w:uiPriority w:val="0"/>
    <w:pPr>
      <w:ind w:firstLine="200" w:firstLineChars="200"/>
    </w:pPr>
    <w:rPr>
      <w:rFonts w:ascii="Arial Unicode MS" w:hAnsi="Arial Unicode MS"/>
    </w:rPr>
  </w:style>
  <w:style w:type="paragraph" w:customStyle="1" w:styleId="34">
    <w:name w:val="WPSOffice手动目录 1"/>
    <w:qFormat/>
    <w:uiPriority w:val="0"/>
    <w:pPr>
      <w:ind w:leftChars="0"/>
    </w:pPr>
    <w:rPr>
      <w:rFonts w:ascii="Times New Roman" w:hAnsi="Times New Roman" w:eastAsia="宋体" w:cs="Times New Roman"/>
      <w:sz w:val="20"/>
      <w:szCs w:val="20"/>
    </w:rPr>
  </w:style>
  <w:style w:type="paragraph" w:customStyle="1" w:styleId="35">
    <w:name w:val="WPSOffice手动目录 2"/>
    <w:qFormat/>
    <w:uiPriority w:val="0"/>
    <w:pPr>
      <w:ind w:leftChars="200"/>
    </w:pPr>
    <w:rPr>
      <w:rFonts w:ascii="Times New Roman" w:hAnsi="Times New Roman" w:eastAsia="宋体" w:cs="Times New Roman"/>
      <w:sz w:val="20"/>
      <w:szCs w:val="20"/>
    </w:rPr>
  </w:style>
  <w:style w:type="paragraph" w:customStyle="1" w:styleId="36">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chart" Target="charts/chart3.xml"/><Relationship Id="rId8" Type="http://schemas.openxmlformats.org/officeDocument/2006/relationships/chart" Target="charts/chart2.xml"/><Relationship Id="rId7" Type="http://schemas.openxmlformats.org/officeDocument/2006/relationships/chart" Target="charts/chart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glossaryDocument" Target="glossary/document.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chart" Target="charts/chart7.xml"/><Relationship Id="rId12" Type="http://schemas.openxmlformats.org/officeDocument/2006/relationships/chart" Target="charts/chart6.xml"/><Relationship Id="rId11" Type="http://schemas.openxmlformats.org/officeDocument/2006/relationships/chart" Target="charts/chart5.xml"/><Relationship Id="rId10" Type="http://schemas.openxmlformats.org/officeDocument/2006/relationships/chart" Target="charts/chart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package" Target="../embeddings/Workbook5.xlsx"/></Relationships>
</file>

<file path=word/charts/_rels/chart2.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4.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1.xlsx"/></Relationships>
</file>

<file path=word/charts/_rels/chart5.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24037;&#20316;&#31807;1"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24037;&#20316;&#31807;2"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barChart>
        <c:barDir val="col"/>
        <c:grouping val="stacked"/>
        <c:varyColors val="0"/>
        <c:ser>
          <c:idx val="0"/>
          <c:order val="0"/>
          <c:tx>
            <c:strRef>
              <c:f>Sheet1!$B$1</c:f>
              <c:strCache>
                <c:ptCount val="1"/>
                <c:pt idx="0">
                  <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2020年收、支总计</c:v>
                </c:pt>
                <c:pt idx="1">
                  <c:v>2021年收、支总计</c:v>
                </c:pt>
              </c:strCache>
            </c:strRef>
          </c:cat>
          <c:val>
            <c:numRef>
              <c:f>Sheet1!$B$2:$B$3</c:f>
              <c:numCache>
                <c:formatCode>General</c:formatCode>
                <c:ptCount val="2"/>
                <c:pt idx="0">
                  <c:v>1681.77</c:v>
                </c:pt>
                <c:pt idx="1">
                  <c:v>1956.25</c:v>
                </c:pt>
              </c:numCache>
            </c:numRef>
          </c:val>
        </c:ser>
        <c:dLbls>
          <c:showLegendKey val="0"/>
          <c:showVal val="1"/>
          <c:showCatName val="0"/>
          <c:showSerName val="0"/>
          <c:showPercent val="0"/>
          <c:showBubbleSize val="0"/>
        </c:dLbls>
        <c:gapWidth val="150"/>
        <c:overlap val="100"/>
        <c:axId val="310277289"/>
        <c:axId val="849988809"/>
      </c:barChart>
      <c:catAx>
        <c:axId val="31027728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49988809"/>
        <c:crosses val="autoZero"/>
        <c:auto val="1"/>
        <c:lblAlgn val="ctr"/>
        <c:lblOffset val="100"/>
        <c:noMultiLvlLbl val="0"/>
      </c:catAx>
      <c:valAx>
        <c:axId val="84998880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0277289"/>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2021年本年收入</a:t>
            </a:r>
          </a:p>
        </c:rich>
      </c:tx>
      <c:layout/>
      <c:overlay val="0"/>
      <c:spPr>
        <a:noFill/>
        <a:ln>
          <a:noFill/>
        </a:ln>
        <a:effectLst/>
      </c:spPr>
    </c:title>
    <c:autoTitleDeleted val="0"/>
    <c:plotArea>
      <c:layout/>
      <c:pieChart>
        <c:varyColors val="1"/>
        <c:ser>
          <c:idx val="0"/>
          <c:order val="0"/>
          <c:tx>
            <c:strRef>
              <c:f>Sheet1!$B$1</c:f>
              <c:strCache>
                <c:ptCount val="1"/>
                <c:pt idx="0">
                  <c:v>2021年本人收入</c:v>
                </c:pt>
              </c:strCache>
            </c:strRef>
          </c:tx>
          <c:spPr/>
          <c:explosion val="0"/>
          <c:dPt>
            <c:idx val="0"/>
            <c:bubble3D val="0"/>
            <c:spPr>
              <a:solidFill>
                <a:schemeClr val="accent1"/>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一般公共预算财政拨款收入</c:v>
                </c:pt>
              </c:strCache>
            </c:strRef>
          </c:cat>
          <c:val>
            <c:numRef>
              <c:f>Sheet1!$B$2</c:f>
              <c:numCache>
                <c:formatCode>General</c:formatCode>
                <c:ptCount val="1"/>
                <c:pt idx="0">
                  <c:v>1669.4</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2021年本年支出</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基本支出</c:v>
                </c:pt>
                <c:pt idx="1">
                  <c:v>项目支出</c:v>
                </c:pt>
              </c:strCache>
            </c:strRef>
          </c:cat>
          <c:val>
            <c:numRef>
              <c:f>Sheet1!$B$2:$B$3</c:f>
              <c:numCache>
                <c:formatCode>General</c:formatCode>
                <c:ptCount val="2"/>
                <c:pt idx="0">
                  <c:v>571.76</c:v>
                </c:pt>
                <c:pt idx="1">
                  <c:v>1077.49</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barChart>
        <c:barDir val="col"/>
        <c:grouping val="stacked"/>
        <c:varyColors val="0"/>
        <c:ser>
          <c:idx val="0"/>
          <c:order val="0"/>
          <c:tx>
            <c:strRef>
              <c:f>Sheet1!$B$1</c:f>
              <c:strCache>
                <c:ptCount val="1"/>
                <c:pt idx="0">
                  <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2020年财政拨款收、支总计</c:v>
                </c:pt>
                <c:pt idx="1">
                  <c:v>2021年财政拨款收、支总计</c:v>
                </c:pt>
              </c:strCache>
            </c:strRef>
          </c:cat>
          <c:val>
            <c:numRef>
              <c:f>Sheet1!$B$2:$B$3</c:f>
              <c:numCache>
                <c:formatCode>General</c:formatCode>
                <c:ptCount val="2"/>
                <c:pt idx="0">
                  <c:v>1671.35</c:v>
                </c:pt>
                <c:pt idx="1">
                  <c:v>1956.25</c:v>
                </c:pt>
              </c:numCache>
            </c:numRef>
          </c:val>
        </c:ser>
        <c:dLbls>
          <c:showLegendKey val="0"/>
          <c:showVal val="1"/>
          <c:showCatName val="0"/>
          <c:showSerName val="0"/>
          <c:showPercent val="0"/>
          <c:showBubbleSize val="0"/>
        </c:dLbls>
        <c:gapWidth val="150"/>
        <c:overlap val="100"/>
        <c:axId val="976210570"/>
        <c:axId val="360847123"/>
      </c:barChart>
      <c:catAx>
        <c:axId val="97621057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60847123"/>
        <c:crosses val="autoZero"/>
        <c:auto val="1"/>
        <c:lblAlgn val="ctr"/>
        <c:lblOffset val="100"/>
        <c:noMultiLvlLbl val="0"/>
      </c:catAx>
      <c:valAx>
        <c:axId val="3608471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7621057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[工作簿1]Sheet1!$A$3:$A$4</c:f>
              <c:strCache>
                <c:ptCount val="2"/>
                <c:pt idx="0">
                  <c:v>2020年一般公共预算财政拨款支出</c:v>
                </c:pt>
                <c:pt idx="1">
                  <c:v>2021年一般公共预算财政拨款支出</c:v>
                </c:pt>
              </c:strCache>
            </c:strRef>
          </c:cat>
          <c:val>
            <c:numRef>
              <c:f>[工作簿1]Sheet1!$B$3:$B$4</c:f>
              <c:numCache>
                <c:formatCode>General</c:formatCode>
                <c:ptCount val="2"/>
                <c:pt idx="0">
                  <c:v>1360.7</c:v>
                </c:pt>
                <c:pt idx="1">
                  <c:v>1649.25</c:v>
                </c:pt>
              </c:numCache>
            </c:numRef>
          </c:val>
        </c:ser>
        <c:dLbls>
          <c:showLegendKey val="0"/>
          <c:showVal val="1"/>
          <c:showCatName val="0"/>
          <c:showSerName val="0"/>
          <c:showPercent val="0"/>
          <c:showBubbleSize val="0"/>
        </c:dLbls>
        <c:gapWidth val="219"/>
        <c:overlap val="-27"/>
        <c:axId val="387515509"/>
        <c:axId val="107611829"/>
      </c:barChart>
      <c:catAx>
        <c:axId val="38751550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7611829"/>
        <c:crosses val="autoZero"/>
        <c:auto val="1"/>
        <c:lblAlgn val="ctr"/>
        <c:lblOffset val="100"/>
        <c:noMultiLvlLbl val="0"/>
      </c:catAx>
      <c:valAx>
        <c:axId val="10761182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8751550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1"/>
              <c:layout>
                <c:manualLayout>
                  <c:x val="-0.0342291015004234"/>
                  <c:y val="0.018485567844097"/>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285150397662982"/>
                  <c:y val="-0.00436951463194277"/>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627869560094908"/>
                  <c:y val="0.025106943654984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[工作簿2]Sheet1!$A$2:$A$5</c:f>
              <c:strCache>
                <c:ptCount val="4"/>
                <c:pt idx="0">
                  <c:v>一般公共服务支出</c:v>
                </c:pt>
                <c:pt idx="1">
                  <c:v>社会保障和就业支出</c:v>
                </c:pt>
                <c:pt idx="2">
                  <c:v>卫生健康支出</c:v>
                </c:pt>
                <c:pt idx="3">
                  <c:v>住房保障支出</c:v>
                </c:pt>
              </c:strCache>
            </c:strRef>
          </c:cat>
          <c:val>
            <c:numRef>
              <c:f>[工作簿2]Sheet1!$B$2:$B$5</c:f>
              <c:numCache>
                <c:formatCode>General</c:formatCode>
                <c:ptCount val="4"/>
                <c:pt idx="0">
                  <c:v>1540.5</c:v>
                </c:pt>
                <c:pt idx="1">
                  <c:v>44.4</c:v>
                </c:pt>
                <c:pt idx="2">
                  <c:v>20.88</c:v>
                </c:pt>
                <c:pt idx="3">
                  <c:v>43.48</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2021年三公经费财政拨款支出决算</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因公出国（境）费支出决算</c:v>
                </c:pt>
                <c:pt idx="1">
                  <c:v>公务用车购置及运行维护费支出决算</c:v>
                </c:pt>
                <c:pt idx="2">
                  <c:v>公务接待费支出决算</c:v>
                </c:pt>
              </c:strCache>
            </c:strRef>
          </c:cat>
          <c:val>
            <c:numRef>
              <c:f>Sheet1!$B$2:$B$4</c:f>
              <c:numCache>
                <c:formatCode>General</c:formatCode>
                <c:ptCount val="3"/>
                <c:pt idx="0">
                  <c:v>0</c:v>
                </c:pt>
                <c:pt idx="1">
                  <c:v>0</c:v>
                </c:pt>
                <c:pt idx="2">
                  <c:v>1.63</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7865f629-67b2-42e1-afd4-259ff681c13b}"/>
        <w:style w:val=""/>
        <w:category>
          <w:name w:val="常规"/>
          <w:gallery w:val="placeholder"/>
        </w:category>
        <w:types>
          <w:type w:val="bbPlcHdr"/>
        </w:types>
        <w:behaviors>
          <w:behavior w:val="content"/>
        </w:behaviors>
        <w:description w:val=""/>
        <w:guid w:val="{7865f629-67b2-42e1-afd4-259ff681c13b}"/>
      </w:docPartPr>
      <w:docPartBody>
        <w:p>
          <w:r>
            <w:rPr>
              <w:color w:val="808080"/>
            </w:rPr>
            <w:t>单击此处输入文字。</w:t>
          </w:r>
        </w:p>
      </w:docPartBody>
    </w:docPart>
    <w:docPart>
      <w:docPartPr>
        <w:name w:val="{060a2db9-35b4-4743-bf06-e1bd105145a0}"/>
        <w:style w:val=""/>
        <w:category>
          <w:name w:val="常规"/>
          <w:gallery w:val="placeholder"/>
        </w:category>
        <w:types>
          <w:type w:val="bbPlcHdr"/>
        </w:types>
        <w:behaviors>
          <w:behavior w:val="content"/>
        </w:behaviors>
        <w:description w:val=""/>
        <w:guid w:val="{060a2db9-35b4-4743-bf06-e1bd105145a0}"/>
      </w:docPartPr>
      <w:docPartBody>
        <w:p>
          <w:r>
            <w:rPr>
              <w:color w:val="808080"/>
            </w:rPr>
            <w:t>单击此处输入文字。</w:t>
          </w:r>
        </w:p>
      </w:docPartBody>
    </w:docPart>
    <w:docPart>
      <w:docPartPr>
        <w:name w:val="{f89e523d-fa52-4c91-9e3d-c58bd77e112b}"/>
        <w:style w:val=""/>
        <w:category>
          <w:name w:val="常规"/>
          <w:gallery w:val="placeholder"/>
        </w:category>
        <w:types>
          <w:type w:val="bbPlcHdr"/>
        </w:types>
        <w:behaviors>
          <w:behavior w:val="content"/>
        </w:behaviors>
        <w:description w:val=""/>
        <w:guid w:val="{f89e523d-fa52-4c91-9e3d-c58bd77e112b}"/>
      </w:docPartPr>
      <w:docPartBody>
        <w:p>
          <w:r>
            <w:rPr>
              <w:color w:val="808080"/>
            </w:rPr>
            <w:t>单击此处输入文字。</w:t>
          </w:r>
        </w:p>
      </w:docPartBody>
    </w:docPart>
    <w:docPart>
      <w:docPartPr>
        <w:name w:val="{5bfd8a00-000c-45d7-ad60-87a19ed2fb3c}"/>
        <w:style w:val=""/>
        <w:category>
          <w:name w:val="常规"/>
          <w:gallery w:val="placeholder"/>
        </w:category>
        <w:types>
          <w:type w:val="bbPlcHdr"/>
        </w:types>
        <w:behaviors>
          <w:behavior w:val="content"/>
        </w:behaviors>
        <w:description w:val=""/>
        <w:guid w:val="{5bfd8a00-000c-45d7-ad60-87a19ed2fb3c}"/>
      </w:docPartPr>
      <w:docPartBody>
        <w:p>
          <w:r>
            <w:rPr>
              <w:color w:val="808080"/>
            </w:rPr>
            <w:t>单击此处输入文字。</w:t>
          </w:r>
        </w:p>
      </w:docPartBody>
    </w:docPart>
    <w:docPart>
      <w:docPartPr>
        <w:name w:val="{d7f7f1c7-f89d-42de-9dc1-41e0036ef762}"/>
        <w:style w:val=""/>
        <w:category>
          <w:name w:val="常规"/>
          <w:gallery w:val="placeholder"/>
        </w:category>
        <w:types>
          <w:type w:val="bbPlcHdr"/>
        </w:types>
        <w:behaviors>
          <w:behavior w:val="content"/>
        </w:behaviors>
        <w:description w:val=""/>
        <w:guid w:val="{d7f7f1c7-f89d-42de-9dc1-41e0036ef762}"/>
      </w:docPartPr>
      <w:docPartBody>
        <w:p>
          <w:r>
            <w:rPr>
              <w:color w:val="808080"/>
            </w:rPr>
            <w:t>单击此处输入文字。</w:t>
          </w:r>
        </w:p>
      </w:docPartBody>
    </w:docPart>
    <w:docPart>
      <w:docPartPr>
        <w:name w:val="{91729adc-df94-43c3-b3fe-24d985601205}"/>
        <w:style w:val=""/>
        <w:category>
          <w:name w:val="常规"/>
          <w:gallery w:val="placeholder"/>
        </w:category>
        <w:types>
          <w:type w:val="bbPlcHdr"/>
        </w:types>
        <w:behaviors>
          <w:behavior w:val="content"/>
        </w:behaviors>
        <w:description w:val=""/>
        <w:guid w:val="{91729adc-df94-43c3-b3fe-24d985601205}"/>
      </w:docPartPr>
      <w:docPartBody>
        <w:p>
          <w:r>
            <w:rPr>
              <w:color w:val="808080"/>
            </w:rPr>
            <w:t>单击此处输入文字。</w:t>
          </w:r>
        </w:p>
      </w:docPartBody>
    </w:docPart>
    <w:docPart>
      <w:docPartPr>
        <w:name w:val="{768df780-6d0d-41ef-b2a2-bbc02d061dc9}"/>
        <w:style w:val=""/>
        <w:category>
          <w:name w:val="常规"/>
          <w:gallery w:val="placeholder"/>
        </w:category>
        <w:types>
          <w:type w:val="bbPlcHdr"/>
        </w:types>
        <w:behaviors>
          <w:behavior w:val="content"/>
        </w:behaviors>
        <w:description w:val=""/>
        <w:guid w:val="{768df780-6d0d-41ef-b2a2-bbc02d061dc9}"/>
      </w:docPartPr>
      <w:docPartBody>
        <w:p>
          <w:r>
            <w:rPr>
              <w:color w:val="808080"/>
            </w:rPr>
            <w:t>单击此处输入文字。</w:t>
          </w:r>
        </w:p>
      </w:docPartBody>
    </w:docPart>
    <w:docPart>
      <w:docPartPr>
        <w:name w:val="{aacde8e0-feb7-44ba-a04a-82d9dbad8477}"/>
        <w:style w:val=""/>
        <w:category>
          <w:name w:val="常规"/>
          <w:gallery w:val="placeholder"/>
        </w:category>
        <w:types>
          <w:type w:val="bbPlcHdr"/>
        </w:types>
        <w:behaviors>
          <w:behavior w:val="content"/>
        </w:behaviors>
        <w:description w:val=""/>
        <w:guid w:val="{aacde8e0-feb7-44ba-a04a-82d9dbad8477}"/>
      </w:docPartPr>
      <w:docPartBody>
        <w:p>
          <w:r>
            <w:rPr>
              <w:color w:val="808080"/>
            </w:rPr>
            <w:t>单击此处输入文字。</w:t>
          </w:r>
        </w:p>
      </w:docPartBody>
    </w:docPart>
    <w:docPart>
      <w:docPartPr>
        <w:name w:val="{5b54226c-93fb-4618-87c5-56380e49a999}"/>
        <w:style w:val=""/>
        <w:category>
          <w:name w:val="常规"/>
          <w:gallery w:val="placeholder"/>
        </w:category>
        <w:types>
          <w:type w:val="bbPlcHdr"/>
        </w:types>
        <w:behaviors>
          <w:behavior w:val="content"/>
        </w:behaviors>
        <w:description w:val=""/>
        <w:guid w:val="{5b54226c-93fb-4618-87c5-56380e49a999}"/>
      </w:docPartPr>
      <w:docPartBody>
        <w:p>
          <w:r>
            <w:rPr>
              <w:color w:val="808080"/>
            </w:rPr>
            <w:t>单击此处输入文字。</w:t>
          </w:r>
        </w:p>
      </w:docPartBody>
    </w:docPart>
    <w:docPart>
      <w:docPartPr>
        <w:name w:val="{30ec238e-2157-481a-bde5-ce52e51a948f}"/>
        <w:style w:val=""/>
        <w:category>
          <w:name w:val="常规"/>
          <w:gallery w:val="placeholder"/>
        </w:category>
        <w:types>
          <w:type w:val="bbPlcHdr"/>
        </w:types>
        <w:behaviors>
          <w:behavior w:val="content"/>
        </w:behaviors>
        <w:description w:val=""/>
        <w:guid w:val="{30ec238e-2157-481a-bde5-ce52e51a948f}"/>
      </w:docPartPr>
      <w:docPartBody>
        <w:p>
          <w:r>
            <w:rPr>
              <w:color w:val="808080"/>
            </w:rPr>
            <w:t>单击此处输入文字。</w:t>
          </w:r>
        </w:p>
      </w:docPartBody>
    </w:docPart>
    <w:docPart>
      <w:docPartPr>
        <w:name w:val="{92f370e8-b845-4cc6-9552-2b0bc9c582b7}"/>
        <w:style w:val=""/>
        <w:category>
          <w:name w:val="常规"/>
          <w:gallery w:val="placeholder"/>
        </w:category>
        <w:types>
          <w:type w:val="bbPlcHdr"/>
        </w:types>
        <w:behaviors>
          <w:behavior w:val="content"/>
        </w:behaviors>
        <w:description w:val=""/>
        <w:guid w:val="{92f370e8-b845-4cc6-9552-2b0bc9c582b7}"/>
      </w:docPartPr>
      <w:docPartBody>
        <w:p>
          <w:r>
            <w:rPr>
              <w:color w:val="808080"/>
            </w:rPr>
            <w:t>单击此处输入文字。</w:t>
          </w:r>
        </w:p>
      </w:docPartBody>
    </w:docPart>
    <w:docPart>
      <w:docPartPr>
        <w:name w:val="{777b5893-b564-4ff4-a8eb-e6ff93f32cd3}"/>
        <w:style w:val=""/>
        <w:category>
          <w:name w:val="常规"/>
          <w:gallery w:val="placeholder"/>
        </w:category>
        <w:types>
          <w:type w:val="bbPlcHdr"/>
        </w:types>
        <w:behaviors>
          <w:behavior w:val="content"/>
        </w:behaviors>
        <w:description w:val=""/>
        <w:guid w:val="{777b5893-b564-4ff4-a8eb-e6ff93f32cd3}"/>
      </w:docPartPr>
      <w:docPartBody>
        <w:p>
          <w:r>
            <w:rPr>
              <w:color w:val="808080"/>
            </w:rPr>
            <w:t>单击此处输入文字。</w:t>
          </w:r>
        </w:p>
      </w:docPartBody>
    </w:docPart>
    <w:docPart>
      <w:docPartPr>
        <w:name w:val="{4cea6d3d-a486-4de9-b077-ceed0b102dca}"/>
        <w:style w:val=""/>
        <w:category>
          <w:name w:val="常规"/>
          <w:gallery w:val="placeholder"/>
        </w:category>
        <w:types>
          <w:type w:val="bbPlcHdr"/>
        </w:types>
        <w:behaviors>
          <w:behavior w:val="content"/>
        </w:behaviors>
        <w:description w:val=""/>
        <w:guid w:val="{4cea6d3d-a486-4de9-b077-ceed0b102dca}"/>
      </w:docPartPr>
      <w:docPartBody>
        <w:p>
          <w:r>
            <w:rPr>
              <w:color w:val="808080"/>
            </w:rPr>
            <w:t>单击此处输入文字。</w:t>
          </w:r>
        </w:p>
      </w:docPartBody>
    </w:docPart>
    <w:docPart>
      <w:docPartPr>
        <w:name w:val="{50364cbf-cc70-4c9a-8638-ba86be07dd4b}"/>
        <w:style w:val=""/>
        <w:category>
          <w:name w:val="常规"/>
          <w:gallery w:val="placeholder"/>
        </w:category>
        <w:types>
          <w:type w:val="bbPlcHdr"/>
        </w:types>
        <w:behaviors>
          <w:behavior w:val="content"/>
        </w:behaviors>
        <w:description w:val=""/>
        <w:guid w:val="{50364cbf-cc70-4c9a-8638-ba86be07dd4b}"/>
      </w:docPartPr>
      <w:docPartBody>
        <w:p>
          <w:r>
            <w:rPr>
              <w:color w:val="808080"/>
            </w:rPr>
            <w:t>单击此处输入文字。</w:t>
          </w:r>
        </w:p>
      </w:docPartBody>
    </w:docPart>
    <w:docPart>
      <w:docPartPr>
        <w:name w:val="{b85f5cc5-ee33-455f-bc5c-536786ae31b3}"/>
        <w:style w:val=""/>
        <w:category>
          <w:name w:val="常规"/>
          <w:gallery w:val="placeholder"/>
        </w:category>
        <w:types>
          <w:type w:val="bbPlcHdr"/>
        </w:types>
        <w:behaviors>
          <w:behavior w:val="content"/>
        </w:behaviors>
        <w:description w:val=""/>
        <w:guid w:val="{b85f5cc5-ee33-455f-bc5c-536786ae31b3}"/>
      </w:docPartPr>
      <w:docPartBody>
        <w:p>
          <w:r>
            <w:rPr>
              <w:color w:val="808080"/>
            </w:rPr>
            <w:t>单击此处输入文字。</w:t>
          </w:r>
        </w:p>
      </w:docPartBody>
    </w:docPart>
    <w:docPart>
      <w:docPartPr>
        <w:name w:val="{0348e617-3ad8-489c-ac82-2dd33e4aecdd}"/>
        <w:style w:val=""/>
        <w:category>
          <w:name w:val="常规"/>
          <w:gallery w:val="placeholder"/>
        </w:category>
        <w:types>
          <w:type w:val="bbPlcHdr"/>
        </w:types>
        <w:behaviors>
          <w:behavior w:val="content"/>
        </w:behaviors>
        <w:description w:val=""/>
        <w:guid w:val="{0348e617-3ad8-489c-ac82-2dd33e4aecdd}"/>
      </w:docPartPr>
      <w:docPartBody>
        <w:p>
          <w:r>
            <w:rPr>
              <w:color w:val="808080"/>
            </w:rPr>
            <w:t>单击此处输入文字。</w:t>
          </w:r>
        </w:p>
      </w:docPartBody>
    </w:docPart>
    <w:docPart>
      <w:docPartPr>
        <w:name w:val="{4bac4bff-7dfe-4108-9479-eaab69c019f1}"/>
        <w:style w:val=""/>
        <w:category>
          <w:name w:val="常规"/>
          <w:gallery w:val="placeholder"/>
        </w:category>
        <w:types>
          <w:type w:val="bbPlcHdr"/>
        </w:types>
        <w:behaviors>
          <w:behavior w:val="content"/>
        </w:behaviors>
        <w:description w:val=""/>
        <w:guid w:val="{4bac4bff-7dfe-4108-9479-eaab69c019f1}"/>
      </w:docPartPr>
      <w:docPartBody>
        <w:p>
          <w:r>
            <w:rPr>
              <w:color w:val="808080"/>
            </w:rPr>
            <w:t>单击此处输入文字。</w:t>
          </w:r>
        </w:p>
      </w:docPartBody>
    </w:docPart>
    <w:docPart>
      <w:docPartPr>
        <w:name w:val="{527eb37e-a9f6-4ac9-abf7-33844e510a37}"/>
        <w:style w:val=""/>
        <w:category>
          <w:name w:val="常规"/>
          <w:gallery w:val="placeholder"/>
        </w:category>
        <w:types>
          <w:type w:val="bbPlcHdr"/>
        </w:types>
        <w:behaviors>
          <w:behavior w:val="content"/>
        </w:behaviors>
        <w:description w:val=""/>
        <w:guid w:val="{527eb37e-a9f6-4ac9-abf7-33844e510a37}"/>
      </w:docPartPr>
      <w:docPartBody>
        <w:p>
          <w:r>
            <w:rPr>
              <w:color w:val="808080"/>
            </w:rPr>
            <w:t>单击此处输入文字。</w:t>
          </w:r>
        </w:p>
      </w:docPartBody>
    </w:docPart>
    <w:docPart>
      <w:docPartPr>
        <w:name w:val="{dda3599f-b15f-4150-b729-a776c46b1766}"/>
        <w:style w:val=""/>
        <w:category>
          <w:name w:val="常规"/>
          <w:gallery w:val="placeholder"/>
        </w:category>
        <w:types>
          <w:type w:val="bbPlcHdr"/>
        </w:types>
        <w:behaviors>
          <w:behavior w:val="content"/>
        </w:behaviors>
        <w:description w:val=""/>
        <w:guid w:val="{dda3599f-b15f-4150-b729-a776c46b1766}"/>
      </w:docPartPr>
      <w:docPartBody>
        <w:p>
          <w:r>
            <w:rPr>
              <w:color w:val="808080"/>
            </w:rPr>
            <w:t>单击此处输入文字。</w:t>
          </w:r>
        </w:p>
      </w:docPartBody>
    </w:docPart>
    <w:docPart>
      <w:docPartPr>
        <w:name w:val="{25416c74-7dd2-4844-80f0-745f1d566a4c}"/>
        <w:style w:val=""/>
        <w:category>
          <w:name w:val="常规"/>
          <w:gallery w:val="placeholder"/>
        </w:category>
        <w:types>
          <w:type w:val="bbPlcHdr"/>
        </w:types>
        <w:behaviors>
          <w:behavior w:val="content"/>
        </w:behaviors>
        <w:description w:val=""/>
        <w:guid w:val="{25416c74-7dd2-4844-80f0-745f1d566a4c}"/>
      </w:docPartPr>
      <w:docPartBody>
        <w:p>
          <w:r>
            <w:rPr>
              <w:color w:val="808080"/>
            </w:rPr>
            <w:t>单击此处输入文字。</w:t>
          </w:r>
        </w:p>
      </w:docPartBody>
    </w:docPart>
    <w:docPart>
      <w:docPartPr>
        <w:name w:val="{c6dc6f18-252b-410c-b953-31f9b10f1b57}"/>
        <w:style w:val=""/>
        <w:category>
          <w:name w:val="常规"/>
          <w:gallery w:val="placeholder"/>
        </w:category>
        <w:types>
          <w:type w:val="bbPlcHdr"/>
        </w:types>
        <w:behaviors>
          <w:behavior w:val="content"/>
        </w:behaviors>
        <w:description w:val=""/>
        <w:guid w:val="{c6dc6f18-252b-410c-b953-31f9b10f1b57}"/>
      </w:docPartPr>
      <w:docPartBody>
        <w:p>
          <w:r>
            <w:rPr>
              <w:color w:val="808080"/>
            </w:rPr>
            <w:t>单击此处输入文字。</w:t>
          </w:r>
        </w:p>
      </w:docPartBody>
    </w:docPart>
    <w:docPart>
      <w:docPartPr>
        <w:name w:val="{e914704b-b664-458b-9e13-34aca018d730}"/>
        <w:style w:val=""/>
        <w:category>
          <w:name w:val="常规"/>
          <w:gallery w:val="placeholder"/>
        </w:category>
        <w:types>
          <w:type w:val="bbPlcHdr"/>
        </w:types>
        <w:behaviors>
          <w:behavior w:val="content"/>
        </w:behaviors>
        <w:description w:val=""/>
        <w:guid w:val="{e914704b-b664-458b-9e13-34aca018d730}"/>
      </w:docPartPr>
      <w:docPartBody>
        <w:p>
          <w:r>
            <w:rPr>
              <w:color w:val="808080"/>
            </w:rPr>
            <w:t>单击此处输入文字。</w:t>
          </w:r>
        </w:p>
      </w:docPartBody>
    </w:docPart>
    <w:docPart>
      <w:docPartPr>
        <w:name w:val="{0536c102-ae2e-43e4-a9b8-2cfcef8b6384}"/>
        <w:style w:val=""/>
        <w:category>
          <w:name w:val="常规"/>
          <w:gallery w:val="placeholder"/>
        </w:category>
        <w:types>
          <w:type w:val="bbPlcHdr"/>
        </w:types>
        <w:behaviors>
          <w:behavior w:val="content"/>
        </w:behaviors>
        <w:description w:val=""/>
        <w:guid w:val="{0536c102-ae2e-43e4-a9b8-2cfcef8b6384}"/>
      </w:docPartPr>
      <w:docPartBody>
        <w:p>
          <w:r>
            <w:rPr>
              <w:color w:val="808080"/>
            </w:rPr>
            <w:t>单击此处输入文字。</w:t>
          </w:r>
        </w:p>
      </w:docPartBody>
    </w:docPart>
    <w:docPart>
      <w:docPartPr>
        <w:name w:val="{6c2c896a-2217-48e0-83d1-14474d1db4b8}"/>
        <w:style w:val=""/>
        <w:category>
          <w:name w:val="常规"/>
          <w:gallery w:val="placeholder"/>
        </w:category>
        <w:types>
          <w:type w:val="bbPlcHdr"/>
        </w:types>
        <w:behaviors>
          <w:behavior w:val="content"/>
        </w:behaviors>
        <w:description w:val=""/>
        <w:guid w:val="{6c2c896a-2217-48e0-83d1-14474d1db4b8}"/>
      </w:docPartPr>
      <w:docPartBody>
        <w:p>
          <w:r>
            <w:rPr>
              <w:color w:val="808080"/>
            </w:rPr>
            <w:t>单击此处输入文字。</w:t>
          </w:r>
        </w:p>
      </w:docPartBody>
    </w:docPart>
    <w:docPart>
      <w:docPartPr>
        <w:name w:val="{435d448c-5ad7-44ad-a3ce-574c5a15b8bb}"/>
        <w:style w:val=""/>
        <w:category>
          <w:name w:val="常规"/>
          <w:gallery w:val="placeholder"/>
        </w:category>
        <w:types>
          <w:type w:val="bbPlcHdr"/>
        </w:types>
        <w:behaviors>
          <w:behavior w:val="content"/>
        </w:behaviors>
        <w:description w:val=""/>
        <w:guid w:val="{435d448c-5ad7-44ad-a3ce-574c5a15b8bb}"/>
      </w:docPartPr>
      <w:docPartBody>
        <w:p>
          <w:r>
            <w:rPr>
              <w:color w:val="808080"/>
            </w:rPr>
            <w:t>单击此处输入文字。</w:t>
          </w:r>
        </w:p>
      </w:docPartBody>
    </w:docPart>
    <w:docPart>
      <w:docPartPr>
        <w:name w:val="{534ae01a-2b27-43a3-a3ef-13c7f510c4a3}"/>
        <w:style w:val=""/>
        <w:category>
          <w:name w:val="常规"/>
          <w:gallery w:val="placeholder"/>
        </w:category>
        <w:types>
          <w:type w:val="bbPlcHdr"/>
        </w:types>
        <w:behaviors>
          <w:behavior w:val="content"/>
        </w:behaviors>
        <w:description w:val=""/>
        <w:guid w:val="{534ae01a-2b27-43a3-a3ef-13c7f510c4a3}"/>
      </w:docPartPr>
      <w:docPartBody>
        <w:p>
          <w:r>
            <w:rPr>
              <w:color w:val="808080"/>
            </w:rPr>
            <w:t>单击此处输入文字。</w:t>
          </w:r>
        </w:p>
      </w:docPartBody>
    </w:docPart>
    <w:docPart>
      <w:docPartPr>
        <w:name w:val="{67a1d129-83de-427d-b1b8-9130fc26916d}"/>
        <w:style w:val=""/>
        <w:category>
          <w:name w:val="常规"/>
          <w:gallery w:val="placeholder"/>
        </w:category>
        <w:types>
          <w:type w:val="bbPlcHdr"/>
        </w:types>
        <w:behaviors>
          <w:behavior w:val="content"/>
        </w:behaviors>
        <w:description w:val=""/>
        <w:guid w:val="{67a1d129-83de-427d-b1b8-9130fc26916d}"/>
      </w:docPartPr>
      <w:docPartBody>
        <w:p>
          <w:r>
            <w:rPr>
              <w:color w:val="808080"/>
            </w:rPr>
            <w:t>单击此处输入文字。</w:t>
          </w:r>
        </w:p>
      </w:docPartBody>
    </w:docPart>
    <w:docPart>
      <w:docPartPr>
        <w:name w:val="{bb378360-d858-4d80-8962-02869139cfe1}"/>
        <w:style w:val=""/>
        <w:category>
          <w:name w:val="常规"/>
          <w:gallery w:val="placeholder"/>
        </w:category>
        <w:types>
          <w:type w:val="bbPlcHdr"/>
        </w:types>
        <w:behaviors>
          <w:behavior w:val="content"/>
        </w:behaviors>
        <w:description w:val=""/>
        <w:guid w:val="{bb378360-d858-4d80-8962-02869139cfe1}"/>
      </w:docPartPr>
      <w:docPartBody>
        <w:p>
          <w:r>
            <w:rPr>
              <w:color w:val="808080"/>
            </w:rPr>
            <w:t>单击此处输入文字。</w:t>
          </w:r>
        </w:p>
      </w:docPartBody>
    </w:docPart>
    <w:docPart>
      <w:docPartPr>
        <w:name w:val="{f77ecbed-d817-48d8-b6be-b4203d0ed910}"/>
        <w:style w:val=""/>
        <w:category>
          <w:name w:val="常规"/>
          <w:gallery w:val="placeholder"/>
        </w:category>
        <w:types>
          <w:type w:val="bbPlcHdr"/>
        </w:types>
        <w:behaviors>
          <w:behavior w:val="content"/>
        </w:behaviors>
        <w:description w:val=""/>
        <w:guid w:val="{f77ecbed-d817-48d8-b6be-b4203d0ed910}"/>
      </w:docPartPr>
      <w:docPartBody>
        <w:p>
          <w:r>
            <w:rPr>
              <w:color w:val="808080"/>
            </w:rPr>
            <w:t>单击此处输入文字。</w:t>
          </w:r>
        </w:p>
      </w:docPartBody>
    </w:docPart>
    <w:docPart>
      <w:docPartPr>
        <w:name w:val="{db3cdae4-d0ea-449e-8c36-74f4e4ad55f7}"/>
        <w:style w:val=""/>
        <w:category>
          <w:name w:val="常规"/>
          <w:gallery w:val="placeholder"/>
        </w:category>
        <w:types>
          <w:type w:val="bbPlcHdr"/>
        </w:types>
        <w:behaviors>
          <w:behavior w:val="content"/>
        </w:behaviors>
        <w:description w:val=""/>
        <w:guid w:val="{db3cdae4-d0ea-449e-8c36-74f4e4ad55f7}"/>
      </w:docPartPr>
      <w:docPartBody>
        <w:p>
          <w:r>
            <w:rPr>
              <w:color w:val="808080"/>
            </w:rPr>
            <w:t>单击此处输入文字。</w:t>
          </w:r>
        </w:p>
      </w:docPartBody>
    </w:docPart>
    <w:docPart>
      <w:docPartPr>
        <w:name w:val="{f06cdf66-ed71-4e6b-90b5-ac3b252eb66b}"/>
        <w:style w:val=""/>
        <w:category>
          <w:name w:val="常规"/>
          <w:gallery w:val="placeholder"/>
        </w:category>
        <w:types>
          <w:type w:val="bbPlcHdr"/>
        </w:types>
        <w:behaviors>
          <w:behavior w:val="content"/>
        </w:behaviors>
        <w:description w:val=""/>
        <w:guid w:val="{f06cdf66-ed71-4e6b-90b5-ac3b252eb66b}"/>
      </w:docPartPr>
      <w:docPartBody>
        <w:p>
          <w:r>
            <w:rPr>
              <w:color w:val="808080"/>
            </w:rPr>
            <w:t>单击此处输入文字。</w:t>
          </w:r>
        </w:p>
      </w:docPartBody>
    </w:docPart>
    <w:docPart>
      <w:docPartPr>
        <w:name w:val="{3e8e85d4-c760-4e17-b0a1-b9f35b054229}"/>
        <w:style w:val=""/>
        <w:category>
          <w:name w:val="常规"/>
          <w:gallery w:val="placeholder"/>
        </w:category>
        <w:types>
          <w:type w:val="bbPlcHdr"/>
        </w:types>
        <w:behaviors>
          <w:behavior w:val="content"/>
        </w:behaviors>
        <w:description w:val=""/>
        <w:guid w:val="{3e8e85d4-c760-4e17-b0a1-b9f35b054229}"/>
      </w:docPartPr>
      <w:docPartBody>
        <w:p>
          <w:r>
            <w:rPr>
              <w:color w:val="808080"/>
            </w:rPr>
            <w:t>单击此处输入文字。</w:t>
          </w:r>
        </w:p>
      </w:docPartBody>
    </w:docPart>
    <w:docPart>
      <w:docPartPr>
        <w:name w:val="{5263c667-69e0-4f08-8b49-1a5142f4288a}"/>
        <w:style w:val=""/>
        <w:category>
          <w:name w:val="常规"/>
          <w:gallery w:val="placeholder"/>
        </w:category>
        <w:types>
          <w:type w:val="bbPlcHdr"/>
        </w:types>
        <w:behaviors>
          <w:behavior w:val="content"/>
        </w:behaviors>
        <w:description w:val=""/>
        <w:guid w:val="{5263c667-69e0-4f08-8b49-1a5142f4288a}"/>
      </w:docPartPr>
      <w:docPartBody>
        <w:p>
          <w:r>
            <w:rPr>
              <w:color w:val="808080"/>
            </w:rPr>
            <w:t>单击此处输入文字。</w:t>
          </w:r>
        </w:p>
      </w:docPartBody>
    </w:docPart>
    <w:docPart>
      <w:docPartPr>
        <w:name w:val="{b7e9deee-91e4-42a9-a1f6-daa08d1de8f6}"/>
        <w:style w:val=""/>
        <w:category>
          <w:name w:val="常规"/>
          <w:gallery w:val="placeholder"/>
        </w:category>
        <w:types>
          <w:type w:val="bbPlcHdr"/>
        </w:types>
        <w:behaviors>
          <w:behavior w:val="content"/>
        </w:behaviors>
        <w:description w:val=""/>
        <w:guid w:val="{b7e9deee-91e4-42a9-a1f6-daa08d1de8f6}"/>
      </w:docPartPr>
      <w:docPartBody>
        <w:p>
          <w:r>
            <w:rPr>
              <w:color w:val="808080"/>
            </w:rPr>
            <w:t>单击此处输入文字。</w:t>
          </w:r>
        </w:p>
      </w:docPartBody>
    </w:docPart>
    <w:docPart>
      <w:docPartPr>
        <w:name w:val="{bb525230-6abd-4003-9f98-3f3aa12dbec5}"/>
        <w:style w:val=""/>
        <w:category>
          <w:name w:val="常规"/>
          <w:gallery w:val="placeholder"/>
        </w:category>
        <w:types>
          <w:type w:val="bbPlcHdr"/>
        </w:types>
        <w:behaviors>
          <w:behavior w:val="content"/>
        </w:behaviors>
        <w:description w:val=""/>
        <w:guid w:val="{bb525230-6abd-4003-9f98-3f3aa12dbec5}"/>
      </w:docPartPr>
      <w:docPartBody>
        <w:p>
          <w:r>
            <w:rPr>
              <w:color w:val="808080"/>
            </w:rPr>
            <w:t>单击此处输入文字。</w:t>
          </w:r>
        </w:p>
      </w:docPartBody>
    </w:docPart>
    <w:docPart>
      <w:docPartPr>
        <w:name w:val="{d75fbdb8-74c7-426c-9330-49e0786a5c72}"/>
        <w:style w:val=""/>
        <w:category>
          <w:name w:val="常规"/>
          <w:gallery w:val="placeholder"/>
        </w:category>
        <w:types>
          <w:type w:val="bbPlcHdr"/>
        </w:types>
        <w:behaviors>
          <w:behavior w:val="content"/>
        </w:behaviors>
        <w:description w:val=""/>
        <w:guid w:val="{d75fbdb8-74c7-426c-9330-49e0786a5c72}"/>
      </w:docPartPr>
      <w:docPartBody>
        <w:p>
          <w:r>
            <w:rPr>
              <w:color w:val="808080"/>
            </w:rPr>
            <w:t>单击此处输入文字。</w:t>
          </w:r>
        </w:p>
      </w:docPartBody>
    </w:docPart>
    <w:docPart>
      <w:docPartPr>
        <w:name w:val="{9572a8e1-8bc6-4356-9ddd-7b46b8649ec1}"/>
        <w:style w:val=""/>
        <w:category>
          <w:name w:val="常规"/>
          <w:gallery w:val="placeholder"/>
        </w:category>
        <w:types>
          <w:type w:val="bbPlcHdr"/>
        </w:types>
        <w:behaviors>
          <w:behavior w:val="content"/>
        </w:behaviors>
        <w:description w:val=""/>
        <w:guid w:val="{9572a8e1-8bc6-4356-9ddd-7b46b8649ec1}"/>
      </w:docPartPr>
      <w:docPartBody>
        <w:p>
          <w:r>
            <w:rPr>
              <w:color w:val="808080"/>
            </w:rPr>
            <w:t>单击此处输入文字。</w:t>
          </w:r>
        </w:p>
      </w:docPartBody>
    </w:docPart>
    <w:docPart>
      <w:docPartPr>
        <w:name w:val="{31ae2411-7ec3-4757-bd00-d6da6dd2d2e7}"/>
        <w:style w:val=""/>
        <w:category>
          <w:name w:val="常规"/>
          <w:gallery w:val="placeholder"/>
        </w:category>
        <w:types>
          <w:type w:val="bbPlcHdr"/>
        </w:types>
        <w:behaviors>
          <w:behavior w:val="content"/>
        </w:behaviors>
        <w:description w:val=""/>
        <w:guid w:val="{31ae2411-7ec3-4757-bd00-d6da6dd2d2e7}"/>
      </w:docPartPr>
      <w:docPartBody>
        <w:p>
          <w:r>
            <w:rPr>
              <w:color w:val="808080"/>
            </w:rPr>
            <w:t>单击此处输入文字。</w:t>
          </w:r>
        </w:p>
      </w:docPartBody>
    </w:docPart>
    <w:docPart>
      <w:docPartPr>
        <w:name w:val="{283d588f-f24a-4593-b66c-be06c6ec3c1e}"/>
        <w:style w:val=""/>
        <w:category>
          <w:name w:val="常规"/>
          <w:gallery w:val="placeholder"/>
        </w:category>
        <w:types>
          <w:type w:val="bbPlcHdr"/>
        </w:types>
        <w:behaviors>
          <w:behavior w:val="content"/>
        </w:behaviors>
        <w:description w:val=""/>
        <w:guid w:val="{283d588f-f24a-4593-b66c-be06c6ec3c1e}"/>
      </w:docPartPr>
      <w:docPartBody>
        <w:p>
          <w:r>
            <w:rPr>
              <w:color w:val="808080"/>
            </w:rPr>
            <w:t>单击此处输入文字。</w:t>
          </w:r>
        </w:p>
      </w:docPartBody>
    </w:docPart>
    <w:docPart>
      <w:docPartPr>
        <w:name w:val="{ede6268e-5f27-405f-90d9-6118ce2cd8ad}"/>
        <w:style w:val=""/>
        <w:category>
          <w:name w:val="常规"/>
          <w:gallery w:val="placeholder"/>
        </w:category>
        <w:types>
          <w:type w:val="bbPlcHdr"/>
        </w:types>
        <w:behaviors>
          <w:behavior w:val="content"/>
        </w:behaviors>
        <w:description w:val=""/>
        <w:guid w:val="{ede6268e-5f27-405f-90d9-6118ce2cd8ad}"/>
      </w:docPartPr>
      <w:docPartBody>
        <w:p>
          <w:r>
            <w:rPr>
              <w:color w:val="808080"/>
            </w:rPr>
            <w:t>单击此处输入文字。</w:t>
          </w:r>
        </w:p>
      </w:docPartBody>
    </w:docPart>
    <w:docPart>
      <w:docPartPr>
        <w:name w:val="{73c333cd-952a-44f1-bb32-d1be52f30d0f}"/>
        <w:style w:val=""/>
        <w:category>
          <w:name w:val="常规"/>
          <w:gallery w:val="placeholder"/>
        </w:category>
        <w:types>
          <w:type w:val="bbPlcHdr"/>
        </w:types>
        <w:behaviors>
          <w:behavior w:val="content"/>
        </w:behaviors>
        <w:description w:val=""/>
        <w:guid w:val="{73c333cd-952a-44f1-bb32-d1be52f30d0f}"/>
      </w:docPartPr>
      <w:docPartBody>
        <w:p>
          <w:r>
            <w:rPr>
              <w:color w:val="808080"/>
            </w:rPr>
            <w:t>单击此处输入文字。</w:t>
          </w:r>
        </w:p>
      </w:docPartBody>
    </w:docPart>
    <w:docPart>
      <w:docPartPr>
        <w:name w:val="{63c394f5-a009-43ad-97ab-8c3d7c88f662}"/>
        <w:style w:val=""/>
        <w:category>
          <w:name w:val="常规"/>
          <w:gallery w:val="placeholder"/>
        </w:category>
        <w:types>
          <w:type w:val="bbPlcHdr"/>
        </w:types>
        <w:behaviors>
          <w:behavior w:val="content"/>
        </w:behaviors>
        <w:description w:val=""/>
        <w:guid w:val="{63c394f5-a009-43ad-97ab-8c3d7c88f662}"/>
      </w:docPartPr>
      <w:docPartBody>
        <w:p>
          <w:r>
            <w:rPr>
              <w:color w:val="808080"/>
            </w:rPr>
            <w:t>单击此处输入文字。</w:t>
          </w:r>
        </w:p>
      </w:docPartBody>
    </w:docPart>
    <w:docPart>
      <w:docPartPr>
        <w:name w:val="{36e7df20-e712-42ee-a43e-296dc6f27cc6}"/>
        <w:style w:val=""/>
        <w:category>
          <w:name w:val="常规"/>
          <w:gallery w:val="placeholder"/>
        </w:category>
        <w:types>
          <w:type w:val="bbPlcHdr"/>
        </w:types>
        <w:behaviors>
          <w:behavior w:val="content"/>
        </w:behaviors>
        <w:description w:val=""/>
        <w:guid w:val="{36e7df20-e712-42ee-a43e-296dc6f27cc6}"/>
      </w:docPartPr>
      <w:docPartBody>
        <w:p>
          <w:r>
            <w:rPr>
              <w:color w:val="808080"/>
            </w:rPr>
            <w:t>单击此处输入文字。</w:t>
          </w:r>
        </w:p>
      </w:docPartBody>
    </w:docPart>
    <w:docPart>
      <w:docPartPr>
        <w:name w:val="{c3a53778-1a30-43ed-92ff-5cabac1d371f}"/>
        <w:style w:val=""/>
        <w:category>
          <w:name w:val="常规"/>
          <w:gallery w:val="placeholder"/>
        </w:category>
        <w:types>
          <w:type w:val="bbPlcHdr"/>
        </w:types>
        <w:behaviors>
          <w:behavior w:val="content"/>
        </w:behaviors>
        <w:description w:val=""/>
        <w:guid w:val="{c3a53778-1a30-43ed-92ff-5cabac1d371f}"/>
      </w:docPartPr>
      <w:docPartBody>
        <w:p>
          <w:r>
            <w:rPr>
              <w:color w:val="808080"/>
            </w:rPr>
            <w:t>单击此处输入文字。</w:t>
          </w:r>
        </w:p>
      </w:docPartBody>
    </w:docPart>
    <w:docPart>
      <w:docPartPr>
        <w:name w:val="{8635ac66-93bb-4181-9956-e467e8fe2eee}"/>
        <w:style w:val=""/>
        <w:category>
          <w:name w:val="常规"/>
          <w:gallery w:val="placeholder"/>
        </w:category>
        <w:types>
          <w:type w:val="bbPlcHdr"/>
        </w:types>
        <w:behaviors>
          <w:behavior w:val="content"/>
        </w:behaviors>
        <w:description w:val=""/>
        <w:guid w:val="{8635ac66-93bb-4181-9956-e467e8fe2eee}"/>
      </w:docPartPr>
      <w:docPartBody>
        <w:p>
          <w:r>
            <w:rPr>
              <w:color w:val="808080"/>
            </w:rPr>
            <w:t>单击此处输入文字。</w:t>
          </w:r>
        </w:p>
      </w:docPartBody>
    </w:docPart>
    <w:docPart>
      <w:docPartPr>
        <w:name w:val="{3783defb-f33f-4b9b-a494-3d6913ea7249}"/>
        <w:style w:val=""/>
        <w:category>
          <w:name w:val="常规"/>
          <w:gallery w:val="placeholder"/>
        </w:category>
        <w:types>
          <w:type w:val="bbPlcHdr"/>
        </w:types>
        <w:behaviors>
          <w:behavior w:val="content"/>
        </w:behaviors>
        <w:description w:val=""/>
        <w:guid w:val="{3783defb-f33f-4b9b-a494-3d6913ea7249}"/>
      </w:docPartPr>
      <w:docPartBody>
        <w:p>
          <w:r>
            <w:rPr>
              <w:color w:val="808080"/>
            </w:rPr>
            <w:t>单击此处输入文字。</w:t>
          </w:r>
        </w:p>
      </w:docPartBody>
    </w:docPart>
    <w:docPart>
      <w:docPartPr>
        <w:name w:val="{c7147faf-8555-4e6a-845f-54882f53d262}"/>
        <w:style w:val=""/>
        <w:category>
          <w:name w:val="常规"/>
          <w:gallery w:val="placeholder"/>
        </w:category>
        <w:types>
          <w:type w:val="bbPlcHdr"/>
        </w:types>
        <w:behaviors>
          <w:behavior w:val="content"/>
        </w:behaviors>
        <w:description w:val=""/>
        <w:guid w:val="{c7147faf-8555-4e6a-845f-54882f53d262}"/>
      </w:docPartPr>
      <w:docPartBody>
        <w:p>
          <w:r>
            <w:rPr>
              <w:color w:val="808080"/>
            </w:rPr>
            <w:t>单击此处输入文字。</w:t>
          </w:r>
        </w:p>
      </w:docPartBody>
    </w:docPart>
    <w:docPart>
      <w:docPartPr>
        <w:name w:val="{40253360-af9a-4648-aaf5-9187148191ee}"/>
        <w:style w:val=""/>
        <w:category>
          <w:name w:val="常规"/>
          <w:gallery w:val="placeholder"/>
        </w:category>
        <w:types>
          <w:type w:val="bbPlcHdr"/>
        </w:types>
        <w:behaviors>
          <w:behavior w:val="content"/>
        </w:behaviors>
        <w:description w:val=""/>
        <w:guid w:val="{40253360-af9a-4648-aaf5-9187148191ee}"/>
      </w:docPartPr>
      <w:docPartBody>
        <w:p>
          <w:r>
            <w:rPr>
              <w:color w:val="808080"/>
            </w:rPr>
            <w:t>单击此处输入文字。</w:t>
          </w:r>
        </w:p>
      </w:docPartBody>
    </w:docPart>
    <w:docPart>
      <w:docPartPr>
        <w:name w:val="{3d578910-9caf-420d-8df4-89ab58a9347e}"/>
        <w:style w:val=""/>
        <w:category>
          <w:name w:val="常规"/>
          <w:gallery w:val="placeholder"/>
        </w:category>
        <w:types>
          <w:type w:val="bbPlcHdr"/>
        </w:types>
        <w:behaviors>
          <w:behavior w:val="content"/>
        </w:behaviors>
        <w:description w:val=""/>
        <w:guid w:val="{3d578910-9caf-420d-8df4-89ab58a9347e}"/>
      </w:docPartPr>
      <w:docPartBody>
        <w:p>
          <w:r>
            <w:rPr>
              <w:color w:val="808080"/>
            </w:rPr>
            <w:t>单击此处输入文字。</w:t>
          </w:r>
        </w:p>
      </w:docPartBody>
    </w:docPart>
    <w:docPart>
      <w:docPartPr>
        <w:name w:val="{641417c5-7e44-4abe-9b22-51688902be0e}"/>
        <w:style w:val=""/>
        <w:category>
          <w:name w:val="常规"/>
          <w:gallery w:val="placeholder"/>
        </w:category>
        <w:types>
          <w:type w:val="bbPlcHdr"/>
        </w:types>
        <w:behaviors>
          <w:behavior w:val="content"/>
        </w:behaviors>
        <w:description w:val=""/>
        <w:guid w:val="{641417c5-7e44-4abe-9b22-51688902be0e}"/>
      </w:docPartPr>
      <w:docPartBody>
        <w:p>
          <w:r>
            <w:rPr>
              <w:color w:val="808080"/>
            </w:rPr>
            <w:t>单击此处输入文字。</w:t>
          </w:r>
        </w:p>
      </w:docPartBody>
    </w:docPart>
    <w:docPart>
      <w:docPartPr>
        <w:name w:val="{0cab9698-7e81-420b-99e5-3a9602ba0196}"/>
        <w:style w:val=""/>
        <w:category>
          <w:name w:val="常规"/>
          <w:gallery w:val="placeholder"/>
        </w:category>
        <w:types>
          <w:type w:val="bbPlcHdr"/>
        </w:types>
        <w:behaviors>
          <w:behavior w:val="content"/>
        </w:behaviors>
        <w:description w:val=""/>
        <w:guid w:val="{0cab9698-7e81-420b-99e5-3a9602ba0196}"/>
      </w:docPartPr>
      <w:docPartBody>
        <w:p>
          <w:r>
            <w:rPr>
              <w:color w:val="808080"/>
            </w:rPr>
            <w:t>单击此处输入文字。</w:t>
          </w:r>
        </w:p>
      </w:docPartBody>
    </w:docPart>
    <w:docPart>
      <w:docPartPr>
        <w:name w:val="{19abeda5-88c6-49a4-a49f-4f53576a7388}"/>
        <w:style w:val=""/>
        <w:category>
          <w:name w:val="常规"/>
          <w:gallery w:val="placeholder"/>
        </w:category>
        <w:types>
          <w:type w:val="bbPlcHdr"/>
        </w:types>
        <w:behaviors>
          <w:behavior w:val="content"/>
        </w:behaviors>
        <w:description w:val=""/>
        <w:guid w:val="{19abeda5-88c6-49a4-a49f-4f53576a7388}"/>
      </w:docPartPr>
      <w:docPartBody>
        <w:p>
          <w:r>
            <w:rPr>
              <w:color w:val="808080"/>
            </w:rPr>
            <w:t>单击此处输入文字。</w:t>
          </w:r>
        </w:p>
      </w:docPartBody>
    </w:docPart>
    <w:docPart>
      <w:docPartPr>
        <w:name w:val="{01ebc942-4e7c-4655-bafb-dccdd412bf5b}"/>
        <w:style w:val=""/>
        <w:category>
          <w:name w:val="常规"/>
          <w:gallery w:val="placeholder"/>
        </w:category>
        <w:types>
          <w:type w:val="bbPlcHdr"/>
        </w:types>
        <w:behaviors>
          <w:behavior w:val="content"/>
        </w:behaviors>
        <w:description w:val=""/>
        <w:guid w:val="{01ebc942-4e7c-4655-bafb-dccdd412bf5b}"/>
      </w:docPartPr>
      <w:docPartBody>
        <w:p>
          <w:r>
            <w:rPr>
              <w:color w:val="808080"/>
            </w:rPr>
            <w:t>单击此处输入文字。</w:t>
          </w:r>
        </w:p>
      </w:docPartBody>
    </w:docPart>
    <w:docPart>
      <w:docPartPr>
        <w:name w:val="{0a584acc-d1bc-472c-af9d-a206b7d4b698}"/>
        <w:style w:val=""/>
        <w:category>
          <w:name w:val="常规"/>
          <w:gallery w:val="placeholder"/>
        </w:category>
        <w:types>
          <w:type w:val="bbPlcHdr"/>
        </w:types>
        <w:behaviors>
          <w:behavior w:val="content"/>
        </w:behaviors>
        <w:description w:val=""/>
        <w:guid w:val="{0a584acc-d1bc-472c-af9d-a206b7d4b698}"/>
      </w:docPartPr>
      <w:docPartBody>
        <w:p>
          <w:r>
            <w:rPr>
              <w:color w:val="808080"/>
            </w:rPr>
            <w:t>单击此处输入文字。</w:t>
          </w:r>
        </w:p>
      </w:docPartBody>
    </w:docPart>
    <w:docPart>
      <w:docPartPr>
        <w:name w:val="{2007baee-d7cf-416d-b332-e205eebf2915}"/>
        <w:style w:val=""/>
        <w:category>
          <w:name w:val="常规"/>
          <w:gallery w:val="placeholder"/>
        </w:category>
        <w:types>
          <w:type w:val="bbPlcHdr"/>
        </w:types>
        <w:behaviors>
          <w:behavior w:val="content"/>
        </w:behaviors>
        <w:description w:val=""/>
        <w:guid w:val="{2007baee-d7cf-416d-b332-e205eebf2915}"/>
      </w:docPartPr>
      <w:docPartBody>
        <w:p>
          <w:r>
            <w:rPr>
              <w:color w:val="808080"/>
            </w:rPr>
            <w:t>单击此处输入文字。</w:t>
          </w:r>
        </w:p>
      </w:docPartBody>
    </w:docPart>
    <w:docPart>
      <w:docPartPr>
        <w:name w:val="{18e5de49-56d6-4af7-b1ff-da9a45d44917}"/>
        <w:style w:val=""/>
        <w:category>
          <w:name w:val="常规"/>
          <w:gallery w:val="placeholder"/>
        </w:category>
        <w:types>
          <w:type w:val="bbPlcHdr"/>
        </w:types>
        <w:behaviors>
          <w:behavior w:val="content"/>
        </w:behaviors>
        <w:description w:val=""/>
        <w:guid w:val="{18e5de49-56d6-4af7-b1ff-da9a45d44917}"/>
      </w:docPartPr>
      <w:docPartBody>
        <w:p>
          <w:r>
            <w:rPr>
              <w:color w:val="808080"/>
            </w:rPr>
            <w:t>单击此处输入文字。</w:t>
          </w:r>
        </w:p>
      </w:docPartBody>
    </w:docPart>
    <w:docPart>
      <w:docPartPr>
        <w:name w:val="{82b8e650-22b8-4c24-811b-0d8ab9411294}"/>
        <w:style w:val=""/>
        <w:category>
          <w:name w:val="常规"/>
          <w:gallery w:val="placeholder"/>
        </w:category>
        <w:types>
          <w:type w:val="bbPlcHdr"/>
        </w:types>
        <w:behaviors>
          <w:behavior w:val="content"/>
        </w:behaviors>
        <w:description w:val=""/>
        <w:guid w:val="{82b8e650-22b8-4c24-811b-0d8ab9411294}"/>
      </w:docPartPr>
      <w:docPartBody>
        <w:p>
          <w:r>
            <w:rPr>
              <w:color w:val="808080"/>
            </w:rPr>
            <w:t>单击此处输入文字。</w:t>
          </w:r>
        </w:p>
      </w:docPartBody>
    </w:docPart>
    <w:docPart>
      <w:docPartPr>
        <w:name w:val="{ba8f9455-db71-42b2-8e79-f8670df9fba3}"/>
        <w:style w:val=""/>
        <w:category>
          <w:name w:val="常规"/>
          <w:gallery w:val="placeholder"/>
        </w:category>
        <w:types>
          <w:type w:val="bbPlcHdr"/>
        </w:types>
        <w:behaviors>
          <w:behavior w:val="content"/>
        </w:behaviors>
        <w:description w:val=""/>
        <w:guid w:val="{ba8f9455-db71-42b2-8e79-f8670df9fba3}"/>
      </w:docPartPr>
      <w:docPartBody>
        <w:p>
          <w:r>
            <w:rPr>
              <w:color w:val="808080"/>
            </w:rPr>
            <w:t>单击此处输入文字。</w:t>
          </w:r>
        </w:p>
      </w:docPartBody>
    </w:docPart>
    <w:docPart>
      <w:docPartPr>
        <w:name w:val="{da4088ba-d5f2-4f20-9f5c-a25e4e6e4014}"/>
        <w:style w:val=""/>
        <w:category>
          <w:name w:val="常规"/>
          <w:gallery w:val="placeholder"/>
        </w:category>
        <w:types>
          <w:type w:val="bbPlcHdr"/>
        </w:types>
        <w:behaviors>
          <w:behavior w:val="content"/>
        </w:behaviors>
        <w:description w:val=""/>
        <w:guid w:val="{da4088ba-d5f2-4f20-9f5c-a25e4e6e4014}"/>
      </w:docPartPr>
      <w:docPartBody>
        <w:p>
          <w:r>
            <w:rPr>
              <w:color w:val="808080"/>
            </w:rPr>
            <w:t>单击此处输入文字。</w:t>
          </w:r>
        </w:p>
      </w:docPartBody>
    </w:docPart>
    <w:docPart>
      <w:docPartPr>
        <w:name w:val="{ac8fb9fb-0463-46d8-b710-bcfbe30fdd88}"/>
        <w:style w:val=""/>
        <w:category>
          <w:name w:val="常规"/>
          <w:gallery w:val="placeholder"/>
        </w:category>
        <w:types>
          <w:type w:val="bbPlcHdr"/>
        </w:types>
        <w:behaviors>
          <w:behavior w:val="content"/>
        </w:behaviors>
        <w:description w:val=""/>
        <w:guid w:val="{ac8fb9fb-0463-46d8-b710-bcfbe30fdd88}"/>
      </w:docPartPr>
      <w:docPartBody>
        <w:p>
          <w:r>
            <w:rPr>
              <w:color w:val="808080"/>
            </w:rPr>
            <w:t>单击此处输入文字。</w:t>
          </w:r>
        </w:p>
      </w:docPartBody>
    </w:docPart>
    <w:docPart>
      <w:docPartPr>
        <w:name w:val="{2f801ac7-75e4-4a35-a129-0d199bbccf56}"/>
        <w:style w:val=""/>
        <w:category>
          <w:name w:val="常规"/>
          <w:gallery w:val="placeholder"/>
        </w:category>
        <w:types>
          <w:type w:val="bbPlcHdr"/>
        </w:types>
        <w:behaviors>
          <w:behavior w:val="content"/>
        </w:behaviors>
        <w:description w:val=""/>
        <w:guid w:val="{2f801ac7-75e4-4a35-a129-0d199bbccf56}"/>
      </w:docPartPr>
      <w:docPartBody>
        <w:p>
          <w:r>
            <w:rPr>
              <w:color w:val="808080"/>
            </w:rPr>
            <w:t>单击此处输入文字。</w:t>
          </w:r>
        </w:p>
      </w:docPartBody>
    </w:docPart>
    <w:docPart>
      <w:docPartPr>
        <w:name w:val="{067a2c79-1c29-4591-aa21-0f66d16f1c12}"/>
        <w:style w:val=""/>
        <w:category>
          <w:name w:val="常规"/>
          <w:gallery w:val="placeholder"/>
        </w:category>
        <w:types>
          <w:type w:val="bbPlcHdr"/>
        </w:types>
        <w:behaviors>
          <w:behavior w:val="content"/>
        </w:behaviors>
        <w:description w:val=""/>
        <w:guid w:val="{067a2c79-1c29-4591-aa21-0f66d16f1c12}"/>
      </w:docPartPr>
      <w:docPartBody>
        <w:p>
          <w:r>
            <w:rPr>
              <w:color w:val="808080"/>
            </w:rPr>
            <w:t>单击此处输入文字。</w:t>
          </w:r>
        </w:p>
      </w:docPartBody>
    </w:docPart>
    <w:docPart>
      <w:docPartPr>
        <w:name w:val="{52c5c12b-9862-4775-9d62-7cd710ddc56b}"/>
        <w:style w:val=""/>
        <w:category>
          <w:name w:val="常规"/>
          <w:gallery w:val="placeholder"/>
        </w:category>
        <w:types>
          <w:type w:val="bbPlcHdr"/>
        </w:types>
        <w:behaviors>
          <w:behavior w:val="content"/>
        </w:behaviors>
        <w:description w:val=""/>
        <w:guid w:val="{52c5c12b-9862-4775-9d62-7cd710ddc56b}"/>
      </w:docPartPr>
      <w:docPartBody>
        <w:p>
          <w:r>
            <w:rPr>
              <w:color w:val="808080"/>
            </w:rPr>
            <w:t>单击此处输入文字。</w:t>
          </w:r>
        </w:p>
      </w:docPartBody>
    </w:docPart>
    <w:docPart>
      <w:docPartPr>
        <w:name w:val="{e68f7b76-e732-42fe-a405-7048cb7ee3d5}"/>
        <w:style w:val=""/>
        <w:category>
          <w:name w:val="常规"/>
          <w:gallery w:val="placeholder"/>
        </w:category>
        <w:types>
          <w:type w:val="bbPlcHdr"/>
        </w:types>
        <w:behaviors>
          <w:behavior w:val="content"/>
        </w:behaviors>
        <w:description w:val=""/>
        <w:guid w:val="{e68f7b76-e732-42fe-a405-7048cb7ee3d5}"/>
      </w:docPartPr>
      <w:docPartBody>
        <w:p>
          <w:r>
            <w:rPr>
              <w:color w:val="808080"/>
            </w:rPr>
            <w:t>单击此处输入文字。</w:t>
          </w:r>
        </w:p>
      </w:docPartBody>
    </w:docPart>
    <w:docPart>
      <w:docPartPr>
        <w:name w:val="{b3a7846b-c9e7-4e65-9055-b84910e38fb9}"/>
        <w:style w:val=""/>
        <w:category>
          <w:name w:val="常规"/>
          <w:gallery w:val="placeholder"/>
        </w:category>
        <w:types>
          <w:type w:val="bbPlcHdr"/>
        </w:types>
        <w:behaviors>
          <w:behavior w:val="content"/>
        </w:behaviors>
        <w:description w:val=""/>
        <w:guid w:val="{b3a7846b-c9e7-4e65-9055-b84910e38fb9}"/>
      </w:docPartPr>
      <w:docPartBody>
        <w:p>
          <w:r>
            <w:rPr>
              <w:color w:val="808080"/>
            </w:rPr>
            <w:t>单击此处输入文字。</w:t>
          </w:r>
        </w:p>
      </w:docPartBody>
    </w:docPart>
    <w:docPart>
      <w:docPartPr>
        <w:name w:val="{686ac998-c39f-4480-ad59-6136ed08e4bd}"/>
        <w:style w:val=""/>
        <w:category>
          <w:name w:val="常规"/>
          <w:gallery w:val="placeholder"/>
        </w:category>
        <w:types>
          <w:type w:val="bbPlcHdr"/>
        </w:types>
        <w:behaviors>
          <w:behavior w:val="content"/>
        </w:behaviors>
        <w:description w:val=""/>
        <w:guid w:val="{686ac998-c39f-4480-ad59-6136ed08e4bd}"/>
      </w:docPartPr>
      <w:docPartBody>
        <w:p>
          <w:r>
            <w:rPr>
              <w:color w:val="808080"/>
            </w:rPr>
            <w:t>单击此处输入文字。</w:t>
          </w:r>
        </w:p>
      </w:docPartBody>
    </w:docPart>
    <w:docPart>
      <w:docPartPr>
        <w:name w:val="{40469b5f-b01c-480b-8735-f3c910d62f09}"/>
        <w:style w:val=""/>
        <w:category>
          <w:name w:val="常规"/>
          <w:gallery w:val="placeholder"/>
        </w:category>
        <w:types>
          <w:type w:val="bbPlcHdr"/>
        </w:types>
        <w:behaviors>
          <w:behavior w:val="content"/>
        </w:behaviors>
        <w:description w:val=""/>
        <w:guid w:val="{40469b5f-b01c-480b-8735-f3c910d62f09}"/>
      </w:docPartPr>
      <w:docPartBody>
        <w:p>
          <w:r>
            <w:rPr>
              <w:color w:val="808080"/>
            </w:rPr>
            <w:t>单击此处输入文字。</w:t>
          </w:r>
        </w:p>
      </w:docPartBody>
    </w:docPart>
    <w:docPart>
      <w:docPartPr>
        <w:name w:val="{d6388980-630a-4319-91a8-3666a28f5d1f}"/>
        <w:style w:val=""/>
        <w:category>
          <w:name w:val="常规"/>
          <w:gallery w:val="placeholder"/>
        </w:category>
        <w:types>
          <w:type w:val="bbPlcHdr"/>
        </w:types>
        <w:behaviors>
          <w:behavior w:val="content"/>
        </w:behaviors>
        <w:description w:val=""/>
        <w:guid w:val="{d6388980-630a-4319-91a8-3666a28f5d1f}"/>
      </w:docPartPr>
      <w:docPartBody>
        <w:p>
          <w:r>
            <w:rPr>
              <w:color w:val="808080"/>
            </w:rPr>
            <w:t>单击此处输入文字。</w:t>
          </w:r>
        </w:p>
      </w:docPartBody>
    </w:docPart>
    <w:docPart>
      <w:docPartPr>
        <w:name w:val="{b32c13b3-6be5-4094-9ffe-c47b3a3c9702}"/>
        <w:style w:val=""/>
        <w:category>
          <w:name w:val="常规"/>
          <w:gallery w:val="placeholder"/>
        </w:category>
        <w:types>
          <w:type w:val="bbPlcHdr"/>
        </w:types>
        <w:behaviors>
          <w:behavior w:val="content"/>
        </w:behaviors>
        <w:description w:val=""/>
        <w:guid w:val="{b32c13b3-6be5-4094-9ffe-c47b3a3c9702}"/>
      </w:docPartPr>
      <w:docPartBody>
        <w:p>
          <w:r>
            <w:rPr>
              <w:color w:val="808080"/>
            </w:rPr>
            <w:t>单击此处输入文字。</w:t>
          </w:r>
        </w:p>
      </w:docPartBody>
    </w:docPart>
    <w:docPart>
      <w:docPartPr>
        <w:name w:val="{33533652-a2be-444a-968b-724da452c347}"/>
        <w:style w:val=""/>
        <w:category>
          <w:name w:val="常规"/>
          <w:gallery w:val="placeholder"/>
        </w:category>
        <w:types>
          <w:type w:val="bbPlcHdr"/>
        </w:types>
        <w:behaviors>
          <w:behavior w:val="content"/>
        </w:behaviors>
        <w:description w:val=""/>
        <w:guid w:val="{33533652-a2be-444a-968b-724da452c347}"/>
      </w:docPartPr>
      <w:docPartBody>
        <w:p>
          <w:r>
            <w:rPr>
              <w:color w:val="808080"/>
            </w:rPr>
            <w:t>单击此处输入文字。</w:t>
          </w:r>
        </w:p>
      </w:docPartBody>
    </w:docPart>
    <w:docPart>
      <w:docPartPr>
        <w:name w:val="{0558f77a-295e-406f-926f-c0c1c9d7de02}"/>
        <w:style w:val=""/>
        <w:category>
          <w:name w:val="常规"/>
          <w:gallery w:val="placeholder"/>
        </w:category>
        <w:types>
          <w:type w:val="bbPlcHdr"/>
        </w:types>
        <w:behaviors>
          <w:behavior w:val="content"/>
        </w:behaviors>
        <w:description w:val=""/>
        <w:guid w:val="{0558f77a-295e-406f-926f-c0c1c9d7de02}"/>
      </w:docPartPr>
      <w:docPartBody>
        <w:p>
          <w:r>
            <w:rPr>
              <w:color w:val="808080"/>
            </w:rPr>
            <w:t>单击此处输入文字。</w:t>
          </w:r>
        </w:p>
      </w:docPartBody>
    </w:docPart>
    <w:docPart>
      <w:docPartPr>
        <w:name w:val="{9a8111e7-6a87-4e5a-99a9-411535d39063}"/>
        <w:style w:val=""/>
        <w:category>
          <w:name w:val="常规"/>
          <w:gallery w:val="placeholder"/>
        </w:category>
        <w:types>
          <w:type w:val="bbPlcHdr"/>
        </w:types>
        <w:behaviors>
          <w:behavior w:val="content"/>
        </w:behaviors>
        <w:description w:val=""/>
        <w:guid w:val="{9a8111e7-6a87-4e5a-99a9-411535d39063}"/>
      </w:docPartPr>
      <w:docPartBody>
        <w:p>
          <w:r>
            <w:rPr>
              <w:color w:val="808080"/>
            </w:rPr>
            <w:t>单击此处输入文字。</w:t>
          </w:r>
        </w:p>
      </w:docPartBody>
    </w:docPart>
    <w:docPart>
      <w:docPartPr>
        <w:name w:val="{e57cd50d-6ca1-4c8c-9241-c6cd0bd0f870}"/>
        <w:style w:val=""/>
        <w:category>
          <w:name w:val="常规"/>
          <w:gallery w:val="placeholder"/>
        </w:category>
        <w:types>
          <w:type w:val="bbPlcHdr"/>
        </w:types>
        <w:behaviors>
          <w:behavior w:val="content"/>
        </w:behaviors>
        <w:description w:val=""/>
        <w:guid w:val="{e57cd50d-6ca1-4c8c-9241-c6cd0bd0f870}"/>
      </w:docPartPr>
      <w:docPartBody>
        <w:p>
          <w:r>
            <w:rPr>
              <w:color w:val="808080"/>
            </w:rPr>
            <w:t>单击此处输入文字。</w:t>
          </w:r>
        </w:p>
      </w:docPartBody>
    </w:docPart>
    <w:docPart>
      <w:docPartPr>
        <w:name w:val="{c7cfc337-aca7-44d8-95a2-4ec9045fb735}"/>
        <w:style w:val=""/>
        <w:category>
          <w:name w:val="常规"/>
          <w:gallery w:val="placeholder"/>
        </w:category>
        <w:types>
          <w:type w:val="bbPlcHdr"/>
        </w:types>
        <w:behaviors>
          <w:behavior w:val="content"/>
        </w:behaviors>
        <w:description w:val=""/>
        <w:guid w:val="{c7cfc337-aca7-44d8-95a2-4ec9045fb735}"/>
      </w:docPartPr>
      <w:docPartBody>
        <w:p>
          <w:r>
            <w:rPr>
              <w:color w:val="808080"/>
            </w:rPr>
            <w:t>单击此处输入文字。</w:t>
          </w:r>
        </w:p>
      </w:docPartBody>
    </w:docPart>
    <w:docPart>
      <w:docPartPr>
        <w:name w:val="{a4ed4ef3-a8e9-487f-a64e-bf9856964f87}"/>
        <w:style w:val=""/>
        <w:category>
          <w:name w:val="常规"/>
          <w:gallery w:val="placeholder"/>
        </w:category>
        <w:types>
          <w:type w:val="bbPlcHdr"/>
        </w:types>
        <w:behaviors>
          <w:behavior w:val="content"/>
        </w:behaviors>
        <w:description w:val=""/>
        <w:guid w:val="{a4ed4ef3-a8e9-487f-a64e-bf9856964f87}"/>
      </w:docPartPr>
      <w:docPartBody>
        <w:p>
          <w:r>
            <w:rPr>
              <w:color w:val="808080"/>
            </w:rPr>
            <w:t>单击此处输入文字。</w:t>
          </w:r>
        </w:p>
      </w:docPartBody>
    </w:docPart>
    <w:docPart>
      <w:docPartPr>
        <w:name w:val="{220db443-ab00-4048-b841-b6ee6477a457}"/>
        <w:style w:val=""/>
        <w:category>
          <w:name w:val="常规"/>
          <w:gallery w:val="placeholder"/>
        </w:category>
        <w:types>
          <w:type w:val="bbPlcHdr"/>
        </w:types>
        <w:behaviors>
          <w:behavior w:val="content"/>
        </w:behaviors>
        <w:description w:val=""/>
        <w:guid w:val="{220db443-ab00-4048-b841-b6ee6477a457}"/>
      </w:docPartPr>
      <w:docPartBody>
        <w:p>
          <w:r>
            <w:rPr>
              <w:color w:val="808080"/>
            </w:rPr>
            <w:t>单击此处输入文字。</w:t>
          </w:r>
        </w:p>
      </w:docPartBody>
    </w:docPart>
    <w:docPart>
      <w:docPartPr>
        <w:name w:val="{3fd7beef-1a91-4213-860d-b0cfdf3f2ae7}"/>
        <w:style w:val=""/>
        <w:category>
          <w:name w:val="常规"/>
          <w:gallery w:val="placeholder"/>
        </w:category>
        <w:types>
          <w:type w:val="bbPlcHdr"/>
        </w:types>
        <w:behaviors>
          <w:behavior w:val="content"/>
        </w:behaviors>
        <w:description w:val=""/>
        <w:guid w:val="{3fd7beef-1a91-4213-860d-b0cfdf3f2ae7}"/>
      </w:docPartPr>
      <w:docPartBody>
        <w:p>
          <w:r>
            <w:rPr>
              <w:color w:val="808080"/>
            </w:rPr>
            <w:t>单击此处输入文字。</w:t>
          </w:r>
        </w:p>
      </w:docPartBody>
    </w:docPart>
    <w:docPart>
      <w:docPartPr>
        <w:name w:val="{d34602aa-3716-45f1-bff0-7c704c6b86f3}"/>
        <w:style w:val=""/>
        <w:category>
          <w:name w:val="常规"/>
          <w:gallery w:val="placeholder"/>
        </w:category>
        <w:types>
          <w:type w:val="bbPlcHdr"/>
        </w:types>
        <w:behaviors>
          <w:behavior w:val="content"/>
        </w:behaviors>
        <w:description w:val=""/>
        <w:guid w:val="{d34602aa-3716-45f1-bff0-7c704c6b86f3}"/>
      </w:docPartPr>
      <w:docPartBody>
        <w:p>
          <w:r>
            <w:rPr>
              <w:color w:val="808080"/>
            </w:rPr>
            <w:t>单击此处输入文字。</w:t>
          </w:r>
        </w:p>
      </w:docPartBody>
    </w:docPart>
    <w:docPart>
      <w:docPartPr>
        <w:name w:val="{3882b7a1-6481-4885-8c54-db2bb60703df}"/>
        <w:style w:val=""/>
        <w:category>
          <w:name w:val="常规"/>
          <w:gallery w:val="placeholder"/>
        </w:category>
        <w:types>
          <w:type w:val="bbPlcHdr"/>
        </w:types>
        <w:behaviors>
          <w:behavior w:val="content"/>
        </w:behaviors>
        <w:description w:val=""/>
        <w:guid w:val="{3882b7a1-6481-4885-8c54-db2bb60703df}"/>
      </w:docPartPr>
      <w:docPartBody>
        <w:p>
          <w:r>
            <w:rPr>
              <w:color w:val="808080"/>
            </w:rPr>
            <w:t>单击此处输入文字。</w:t>
          </w:r>
        </w:p>
      </w:docPartBody>
    </w:docPart>
    <w:docPart>
      <w:docPartPr>
        <w:name w:val="{62db131d-e081-4b40-8235-883c5cf26d18}"/>
        <w:style w:val=""/>
        <w:category>
          <w:name w:val="常规"/>
          <w:gallery w:val="placeholder"/>
        </w:category>
        <w:types>
          <w:type w:val="bbPlcHdr"/>
        </w:types>
        <w:behaviors>
          <w:behavior w:val="content"/>
        </w:behaviors>
        <w:description w:val=""/>
        <w:guid w:val="{62db131d-e081-4b40-8235-883c5cf26d18}"/>
      </w:docPartPr>
      <w:docPartBody>
        <w:p>
          <w:r>
            <w:rPr>
              <w:color w:val="808080"/>
            </w:rPr>
            <w:t>单击此处输入文字。</w:t>
          </w:r>
        </w:p>
      </w:docPartBody>
    </w:docPart>
    <w:docPart>
      <w:docPartPr>
        <w:name w:val="{ceb21867-225b-4472-b244-2204599987f9}"/>
        <w:style w:val=""/>
        <w:category>
          <w:name w:val="常规"/>
          <w:gallery w:val="placeholder"/>
        </w:category>
        <w:types>
          <w:type w:val="bbPlcHdr"/>
        </w:types>
        <w:behaviors>
          <w:behavior w:val="content"/>
        </w:behaviors>
        <w:description w:val=""/>
        <w:guid w:val="{ceb21867-225b-4472-b244-2204599987f9}"/>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altName w:val="微软雅黑"/>
    <w:panose1 w:val="03000509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styl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76</Pages>
  <Words>31122</Words>
  <Characters>33130</Characters>
  <Lines>61</Lines>
  <Paragraphs>17</Paragraphs>
  <TotalTime>37</TotalTime>
  <ScaleCrop>false</ScaleCrop>
  <LinksUpToDate>false</LinksUpToDate>
  <CharactersWithSpaces>33978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2020-08-06T09:49:00Z</dcterms:created>
  <dc:creator>曹颖</dc:creator>
  <cp:lastModifiedBy>玖千余为春秋</cp:lastModifiedBy>
  <cp:lastPrinted>2022-08-09T17:11:00Z</cp:lastPrinted>
  <dcterms:modified xsi:type="dcterms:W3CDTF">2023-08-03T05:16:18Z</dcterms:modified>
  <dc:title>四川省***</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71EE4C5B63CC42F888BCD11980679D2B</vt:lpwstr>
  </property>
</Properties>
</file>