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72"/>
          <w:szCs w:val="72"/>
          <w:highlight w:val="none"/>
          <w:lang w:val="en-US" w:eastAsia="zh-CN"/>
        </w:rPr>
      </w:pPr>
      <w:bookmarkStart w:id="0" w:name="_Toc15378441"/>
      <w:bookmarkStart w:id="1" w:name="_Toc15396597"/>
      <w:bookmarkStart w:id="2" w:name="_Toc15377425"/>
      <w:bookmarkStart w:id="3" w:name="_Toc15377193"/>
      <w:bookmarkStart w:id="4" w:name="_Toc15396475"/>
      <w:bookmarkStart w:id="5" w:name="_Toc15306267"/>
      <w:r>
        <w:rPr>
          <w:rFonts w:hint="eastAsia" w:ascii="方正小标宋简体" w:eastAsia="方正小标宋简体"/>
          <w:color w:val="auto"/>
          <w:sz w:val="72"/>
          <w:szCs w:val="72"/>
          <w:highlight w:val="none"/>
          <w:lang w:val="en-US" w:eastAsia="zh-CN"/>
        </w:rPr>
        <w:t xml:space="preserve"> </w:t>
      </w:r>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1400" w:lineRule="exact"/>
        <w:jc w:val="center"/>
        <w:textAlignment w:val="auto"/>
        <w:outlineLvl w:val="0"/>
        <w:rPr>
          <w:rFonts w:hint="eastAsia" w:ascii="方正小标宋简体" w:eastAsia="方正小标宋简体" w:cs="方正小标宋简体"/>
          <w:color w:val="auto"/>
          <w:sz w:val="84"/>
          <w:szCs w:val="84"/>
          <w:highlight w:val="none"/>
        </w:rPr>
      </w:pPr>
      <w:r>
        <w:rPr>
          <w:rFonts w:hint="eastAsia" w:ascii="方正小标宋简体" w:eastAsia="方正小标宋简体" w:cs="方正小标宋简体"/>
          <w:color w:val="auto"/>
          <w:sz w:val="84"/>
          <w:szCs w:val="84"/>
          <w:highlight w:val="none"/>
        </w:rPr>
        <w:t>20</w:t>
      </w:r>
      <w:r>
        <w:rPr>
          <w:rFonts w:hint="eastAsia" w:ascii="方正小标宋简体" w:eastAsia="方正小标宋简体" w:cs="方正小标宋简体"/>
          <w:color w:val="auto"/>
          <w:sz w:val="84"/>
          <w:szCs w:val="84"/>
          <w:highlight w:val="none"/>
          <w:lang w:val="en-US" w:eastAsia="zh-CN"/>
        </w:rPr>
        <w:t>21</w:t>
      </w:r>
      <w:r>
        <w:rPr>
          <w:rFonts w:hint="eastAsia" w:ascii="方正小标宋简体" w:eastAsia="方正小标宋简体" w:cs="方正小标宋简体"/>
          <w:color w:val="auto"/>
          <w:sz w:val="84"/>
          <w:szCs w:val="84"/>
          <w:highlight w:val="none"/>
        </w:rPr>
        <w:t>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1400" w:lineRule="exact"/>
        <w:jc w:val="center"/>
        <w:textAlignment w:val="auto"/>
        <w:outlineLvl w:val="0"/>
        <w:rPr>
          <w:rFonts w:hint="eastAsia" w:ascii="方正小标宋简体" w:eastAsia="方正小标宋简体" w:cs="方正小标宋简体"/>
          <w:color w:val="auto"/>
          <w:sz w:val="84"/>
          <w:szCs w:val="84"/>
          <w:highlight w:val="none"/>
          <w:lang w:val="en-US" w:eastAsia="zh-CN"/>
        </w:rPr>
      </w:pPr>
      <w:bookmarkStart w:id="6" w:name="_Toc15377426"/>
      <w:bookmarkStart w:id="7" w:name="_Toc15396476"/>
      <w:bookmarkStart w:id="8" w:name="_Toc15377194"/>
      <w:bookmarkStart w:id="9" w:name="_Toc15378442"/>
      <w:bookmarkStart w:id="10" w:name="_Toc15396598"/>
      <w:r>
        <w:rPr>
          <w:rFonts w:hint="eastAsia" w:ascii="方正小标宋简体" w:eastAsia="方正小标宋简体" w:cs="方正小标宋简体"/>
          <w:color w:val="auto"/>
          <w:sz w:val="84"/>
          <w:szCs w:val="84"/>
          <w:highlight w:val="none"/>
          <w:lang w:val="en-US" w:eastAsia="zh-CN"/>
        </w:rPr>
        <w:t>广元市</w:t>
      </w:r>
      <w:bookmarkEnd w:id="5"/>
      <w:bookmarkStart w:id="11" w:name="_Toc15306268"/>
      <w:r>
        <w:rPr>
          <w:rFonts w:hint="eastAsia" w:ascii="方正小标宋简体" w:eastAsia="方正小标宋简体" w:cs="方正小标宋简体"/>
          <w:color w:val="auto"/>
          <w:sz w:val="84"/>
          <w:szCs w:val="84"/>
          <w:highlight w:val="none"/>
          <w:lang w:eastAsia="zh-CN"/>
        </w:rPr>
        <w:t>退役军人事务局</w:t>
      </w:r>
    </w:p>
    <w:p>
      <w:pPr>
        <w:keepNext w:val="0"/>
        <w:keepLines w:val="0"/>
        <w:pageBreakBefore w:val="0"/>
        <w:widowControl w:val="0"/>
        <w:kinsoku/>
        <w:wordWrap/>
        <w:overflowPunct/>
        <w:topLinePunct w:val="0"/>
        <w:autoSpaceDE/>
        <w:autoSpaceDN/>
        <w:bidi w:val="0"/>
        <w:adjustRightInd w:val="0"/>
        <w:snapToGrid w:val="0"/>
        <w:spacing w:line="1400" w:lineRule="exact"/>
        <w:jc w:val="center"/>
        <w:textAlignment w:val="auto"/>
        <w:outlineLvl w:val="0"/>
        <w:rPr>
          <w:rFonts w:hint="eastAsia" w:ascii="方正小标宋简体" w:eastAsia="方正小标宋简体" w:cs="方正小标宋简体"/>
          <w:color w:val="auto"/>
          <w:sz w:val="84"/>
          <w:szCs w:val="84"/>
          <w:highlight w:val="none"/>
        </w:rPr>
      </w:pPr>
      <w:r>
        <w:rPr>
          <w:rFonts w:hint="eastAsia" w:ascii="方正小标宋简体" w:eastAsia="方正小标宋简体" w:cs="方正小标宋简体"/>
          <w:color w:val="auto"/>
          <w:sz w:val="84"/>
          <w:szCs w:val="84"/>
          <w:highlight w:val="none"/>
        </w:rPr>
        <w:t>部门决算</w:t>
      </w:r>
      <w:bookmarkEnd w:id="6"/>
      <w:bookmarkEnd w:id="7"/>
      <w:bookmarkEnd w:id="8"/>
      <w:bookmarkEnd w:id="9"/>
      <w:bookmarkEnd w:id="10"/>
      <w:bookmarkEnd w:id="11"/>
    </w:p>
    <w:p>
      <w:pPr>
        <w:widowControl/>
        <w:jc w:val="center"/>
        <w:rPr>
          <w:rFonts w:hint="eastAsia" w:ascii="方正小标宋简体" w:eastAsia="方正小标宋简体" w:cs="方正小标宋简体"/>
          <w:color w:val="auto"/>
          <w:sz w:val="44"/>
          <w:szCs w:val="44"/>
          <w:highlight w:val="none"/>
        </w:rPr>
        <w:sectPr>
          <w:headerReference r:id="rId3" w:type="default"/>
          <w:pgSz w:w="11906" w:h="16838"/>
          <w:pgMar w:top="2098" w:right="1474" w:bottom="1984" w:left="1587" w:header="851" w:footer="1559" w:gutter="0"/>
          <w:pgNumType w:start="1"/>
          <w:cols w:space="720" w:num="1"/>
          <w:titlePg/>
          <w:rtlGutter w:val="1"/>
          <w:docGrid w:type="lines" w:linePitch="312" w:charSpace="0"/>
        </w:sectPr>
      </w:pPr>
    </w:p>
    <w:p>
      <w:pPr>
        <w:widowControl/>
        <w:jc w:val="center"/>
        <w:rPr>
          <w:rFonts w:hint="eastAsia" w:ascii="方正小标宋简体" w:eastAsia="方正小标宋简体" w:cs="方正小标宋简体"/>
          <w:color w:val="auto"/>
          <w:sz w:val="44"/>
          <w:szCs w:val="44"/>
          <w:highlight w:val="none"/>
        </w:rPr>
      </w:pPr>
      <w:r>
        <w:rPr>
          <w:rFonts w:hint="eastAsia" w:ascii="方正小标宋简体" w:eastAsia="方正小标宋简体" w:cs="方正小标宋简体"/>
          <w:color w:val="auto"/>
          <w:sz w:val="44"/>
          <w:szCs w:val="44"/>
          <w:highlight w:val="none"/>
        </w:rPr>
        <w:t>目</w:t>
      </w:r>
      <w:r>
        <w:rPr>
          <w:rFonts w:hint="eastAsia" w:ascii="方正小标宋简体" w:eastAsia="方正小标宋简体" w:cs="方正小标宋简体"/>
          <w:color w:val="auto"/>
          <w:sz w:val="44"/>
          <w:szCs w:val="44"/>
          <w:highlight w:val="none"/>
          <w:lang w:val="en-US" w:eastAsia="zh-CN"/>
        </w:rPr>
        <w:t xml:space="preserve">    </w:t>
      </w:r>
      <w:r>
        <w:rPr>
          <w:rFonts w:hint="eastAsia" w:ascii="方正小标宋简体" w:eastAsia="方正小标宋简体" w:cs="方正小标宋简体"/>
          <w:color w:val="auto"/>
          <w:sz w:val="44"/>
          <w:szCs w:val="44"/>
          <w:highlight w:val="none"/>
        </w:rPr>
        <w:t>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eastAsia="黑体" w:cs="Arial"/>
          <w:color w:val="auto"/>
          <w:sz w:val="28"/>
          <w:szCs w:val="28"/>
          <w:highlight w:val="none"/>
        </w:rPr>
      </w:pPr>
    </w:p>
    <w:p>
      <w:pPr>
        <w:pStyle w:val="10"/>
        <w:rPr>
          <w:rFonts w:hint="eastAsia" w:ascii="楷体_GB2312" w:eastAsia="楷体_GB2312" w:cs="楷体_GB2312"/>
          <w:color w:val="auto"/>
          <w:sz w:val="30"/>
          <w:szCs w:val="30"/>
          <w:highlight w:val="none"/>
        </w:rPr>
      </w:pPr>
      <w:r>
        <w:rPr>
          <w:rFonts w:hint="eastAsia" w:ascii="楷体_GB2312" w:eastAsia="楷体_GB2312" w:cs="楷体_GB2312"/>
          <w:color w:val="auto"/>
          <w:sz w:val="30"/>
          <w:szCs w:val="30"/>
          <w:highlight w:val="none"/>
        </w:rPr>
        <w:t>公开时间：20</w:t>
      </w:r>
      <w:r>
        <w:rPr>
          <w:rFonts w:hint="eastAsia" w:ascii="楷体_GB2312" w:eastAsia="楷体_GB2312" w:cs="楷体_GB2312"/>
          <w:color w:val="auto"/>
          <w:sz w:val="30"/>
          <w:szCs w:val="30"/>
          <w:highlight w:val="none"/>
          <w:lang w:val="en-US" w:eastAsia="zh-CN"/>
        </w:rPr>
        <w:t>22</w:t>
      </w:r>
      <w:r>
        <w:rPr>
          <w:rFonts w:hint="eastAsia" w:ascii="楷体_GB2312" w:eastAsia="楷体_GB2312" w:cs="楷体_GB2312"/>
          <w:color w:val="auto"/>
          <w:sz w:val="30"/>
          <w:szCs w:val="30"/>
          <w:highlight w:val="none"/>
        </w:rPr>
        <w:t>年</w:t>
      </w:r>
      <w:r>
        <w:rPr>
          <w:rFonts w:hint="eastAsia" w:ascii="楷体_GB2312" w:eastAsia="楷体_GB2312" w:cs="楷体_GB2312"/>
          <w:color w:val="auto"/>
          <w:sz w:val="30"/>
          <w:szCs w:val="30"/>
          <w:highlight w:val="none"/>
          <w:lang w:val="en-US" w:eastAsia="zh-CN"/>
        </w:rPr>
        <w:t>9</w:t>
      </w:r>
      <w:r>
        <w:rPr>
          <w:rFonts w:hint="eastAsia" w:ascii="楷体_GB2312" w:eastAsia="楷体_GB2312" w:cs="楷体_GB2312"/>
          <w:color w:val="auto"/>
          <w:sz w:val="30"/>
          <w:szCs w:val="30"/>
          <w:highlight w:val="none"/>
        </w:rPr>
        <w:t>月</w:t>
      </w:r>
      <w:r>
        <w:rPr>
          <w:rFonts w:hint="eastAsia" w:ascii="楷体_GB2312" w:eastAsia="楷体_GB2312" w:cs="楷体_GB2312"/>
          <w:color w:val="auto"/>
          <w:sz w:val="30"/>
          <w:szCs w:val="30"/>
          <w:highlight w:val="none"/>
          <w:lang w:val="en-US" w:eastAsia="zh-CN"/>
        </w:rPr>
        <w:t>2</w:t>
      </w:r>
      <w:r>
        <w:rPr>
          <w:rFonts w:hint="default" w:ascii="楷体_GB2312" w:eastAsia="楷体_GB2312" w:cs="楷体_GB2312"/>
          <w:color w:val="auto"/>
          <w:sz w:val="30"/>
          <w:szCs w:val="30"/>
          <w:highlight w:val="none"/>
          <w:lang w:eastAsia="zh-CN"/>
          <w:woUserID w:val="1"/>
        </w:rPr>
        <w:t>7</w:t>
      </w:r>
      <w:bookmarkStart w:id="60" w:name="_GoBack"/>
      <w:bookmarkEnd w:id="60"/>
      <w:r>
        <w:rPr>
          <w:rFonts w:hint="eastAsia" w:ascii="楷体_GB2312" w:eastAsia="楷体_GB2312" w:cs="楷体_GB2312"/>
          <w:color w:val="auto"/>
          <w:sz w:val="30"/>
          <w:szCs w:val="30"/>
          <w:highlight w:val="none"/>
        </w:rPr>
        <w:t>日</w:t>
      </w:r>
    </w:p>
    <w:p>
      <w:pPr>
        <w:rPr>
          <w:color w:val="auto"/>
          <w:highlight w:val="none"/>
        </w:rPr>
      </w:pP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pPr>
      <w:r>
        <w:rPr>
          <w:rFonts w:hint="eastAsia" w:ascii="仿宋_GB2312" w:eastAsia="仿宋_GB2312" w:cs="仿宋_GB2312"/>
          <w:b/>
          <w:bCs/>
          <w:color w:val="auto"/>
          <w:sz w:val="30"/>
          <w:szCs w:val="30"/>
          <w:highlight w:val="none"/>
        </w:rPr>
        <w:t>第一部分 部门概况</w:t>
      </w:r>
      <w:r>
        <w:rPr>
          <w:rFonts w:hint="eastAsia" w:ascii="仿宋_GB2312" w:eastAsia="仿宋_GB2312" w:cs="仿宋_GB2312"/>
          <w:b/>
          <w:bCs/>
          <w:color w:val="auto"/>
          <w:sz w:val="30"/>
          <w:szCs w:val="30"/>
          <w:highlight w:val="none"/>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一、基本职能及主要工作</w:t>
      </w:r>
      <w:r>
        <w:rPr>
          <w:rFonts w:hint="eastAsia" w:ascii="仿宋_GB2312" w:eastAsia="仿宋_GB2312" w:cs="仿宋_GB2312"/>
          <w:color w:val="auto"/>
          <w:sz w:val="30"/>
          <w:szCs w:val="30"/>
          <w:highlight w:val="none"/>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二、机构设置</w:t>
      </w:r>
      <w:r>
        <w:rPr>
          <w:rFonts w:hint="eastAsia" w:ascii="仿宋_GB2312" w:eastAsia="仿宋_GB2312" w:cs="仿宋_GB2312"/>
          <w:color w:val="auto"/>
          <w:sz w:val="30"/>
          <w:szCs w:val="30"/>
          <w:highlight w:val="none"/>
          <w:lang w:val="en-US" w:eastAsia="zh-CN"/>
        </w:rPr>
        <w:t>...........................................3</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pPr>
      <w:r>
        <w:rPr>
          <w:rFonts w:hint="eastAsia" w:ascii="仿宋_GB2312" w:eastAsia="仿宋_GB2312" w:cs="仿宋_GB2312"/>
          <w:b/>
          <w:bCs/>
          <w:color w:val="auto"/>
          <w:sz w:val="30"/>
          <w:szCs w:val="30"/>
          <w:highlight w:val="none"/>
        </w:rPr>
        <w:t>第二部分</w:t>
      </w:r>
      <w:r>
        <w:rPr>
          <w:rFonts w:hint="eastAsia" w:ascii="仿宋_GB2312" w:eastAsia="仿宋_GB2312" w:cs="仿宋_GB2312"/>
          <w:b/>
          <w:bCs/>
          <w:color w:val="auto"/>
          <w:sz w:val="30"/>
          <w:szCs w:val="30"/>
          <w:highlight w:val="none"/>
          <w:lang w:val="en-US" w:eastAsia="zh-CN"/>
        </w:rPr>
        <w:t xml:space="preserve"> 2021年度</w:t>
      </w:r>
      <w:r>
        <w:rPr>
          <w:rFonts w:hint="eastAsia" w:ascii="仿宋_GB2312" w:eastAsia="仿宋_GB2312" w:cs="仿宋_GB2312"/>
          <w:b/>
          <w:bCs/>
          <w:color w:val="auto"/>
          <w:sz w:val="30"/>
          <w:szCs w:val="30"/>
          <w:highlight w:val="none"/>
        </w:rPr>
        <w:t>部门决算情况说明</w:t>
      </w:r>
      <w:r>
        <w:rPr>
          <w:rFonts w:hint="eastAsia" w:ascii="仿宋_GB2312" w:eastAsia="仿宋_GB2312" w:cs="仿宋_GB2312"/>
          <w:b/>
          <w:bCs/>
          <w:color w:val="auto"/>
          <w:sz w:val="30"/>
          <w:szCs w:val="30"/>
          <w:highlight w:val="none"/>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一、收入支出决算总体情况说明</w:t>
      </w:r>
      <w:r>
        <w:rPr>
          <w:rFonts w:hint="eastAsia" w:ascii="仿宋_GB2312" w:eastAsia="仿宋_GB2312" w:cs="仿宋_GB2312"/>
          <w:color w:val="auto"/>
          <w:sz w:val="30"/>
          <w:szCs w:val="30"/>
          <w:highlight w:val="none"/>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三、支出决算情况说明</w:t>
      </w:r>
      <w:r>
        <w:rPr>
          <w:rFonts w:hint="eastAsia" w:ascii="仿宋_GB2312" w:eastAsia="仿宋_GB2312" w:cs="仿宋_GB2312"/>
          <w:color w:val="auto"/>
          <w:sz w:val="30"/>
          <w:szCs w:val="30"/>
          <w:highlight w:val="none"/>
          <w:lang w:val="en-US" w:eastAsia="zh-CN"/>
        </w:rPr>
        <w:t>...................................5</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四、财政拨款收入支出决算总体情况说明</w:t>
      </w:r>
      <w:r>
        <w:rPr>
          <w:rFonts w:hint="eastAsia" w:ascii="仿宋_GB2312" w:eastAsia="仿宋_GB2312" w:cs="仿宋_GB2312"/>
          <w:color w:val="auto"/>
          <w:sz w:val="30"/>
          <w:szCs w:val="30"/>
          <w:highlight w:val="none"/>
          <w:lang w:val="en-US" w:eastAsia="zh-CN"/>
        </w:rPr>
        <w:t>...................5</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五、一般公共预算财政拨款支出决算情况说明</w:t>
      </w:r>
      <w:r>
        <w:rPr>
          <w:rFonts w:hint="eastAsia" w:ascii="仿宋_GB2312" w:eastAsia="仿宋_GB2312" w:cs="仿宋_GB2312"/>
          <w:color w:val="auto"/>
          <w:sz w:val="30"/>
          <w:szCs w:val="30"/>
          <w:highlight w:val="none"/>
          <w:lang w:val="en-US" w:eastAsia="zh-CN"/>
        </w:rPr>
        <w:t>...............6</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六、一般公共预算财政拨款基本支出决算情况说明</w:t>
      </w:r>
      <w:r>
        <w:rPr>
          <w:rFonts w:hint="eastAsia" w:ascii="仿宋_GB2312" w:eastAsia="仿宋_GB2312" w:cs="仿宋_GB2312"/>
          <w:color w:val="auto"/>
          <w:sz w:val="30"/>
          <w:szCs w:val="30"/>
          <w:highlight w:val="none"/>
          <w:lang w:val="en-US" w:eastAsia="zh-CN"/>
        </w:rPr>
        <w:t>...........10</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七、</w:t>
      </w:r>
      <w:r>
        <w:rPr>
          <w:rFonts w:hint="eastAsia" w:ascii="仿宋_GB2312" w:eastAsia="仿宋_GB2312" w:cs="仿宋_GB2312"/>
          <w:color w:val="auto"/>
          <w:sz w:val="30"/>
          <w:szCs w:val="30"/>
          <w:highlight w:val="none"/>
          <w:lang w:eastAsia="zh-CN"/>
        </w:rPr>
        <w:t>“</w:t>
      </w:r>
      <w:r>
        <w:rPr>
          <w:rFonts w:hint="eastAsia" w:ascii="仿宋_GB2312" w:eastAsia="仿宋_GB2312" w:cs="仿宋_GB2312"/>
          <w:color w:val="auto"/>
          <w:sz w:val="30"/>
          <w:szCs w:val="30"/>
          <w:highlight w:val="none"/>
        </w:rPr>
        <w:t>三公”经费财政拨款支出决算情况说明</w:t>
      </w:r>
      <w:r>
        <w:rPr>
          <w:rFonts w:hint="eastAsia" w:ascii="仿宋_GB2312" w:eastAsia="仿宋_GB2312" w:cs="仿宋_GB2312"/>
          <w:color w:val="auto"/>
          <w:sz w:val="30"/>
          <w:szCs w:val="30"/>
          <w:highlight w:val="none"/>
          <w:lang w:val="en-US" w:eastAsia="zh-CN"/>
        </w:rPr>
        <w:t>...............10</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八、政府性基金预算支出决算情况说明</w:t>
      </w:r>
      <w:r>
        <w:rPr>
          <w:rFonts w:hint="eastAsia" w:ascii="仿宋_GB2312" w:eastAsia="仿宋_GB2312" w:cs="仿宋_GB2312"/>
          <w:color w:val="auto"/>
          <w:sz w:val="30"/>
          <w:szCs w:val="30"/>
          <w:highlight w:val="none"/>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rPr>
        <w:t>九、</w:t>
      </w:r>
      <w:r>
        <w:rPr>
          <w:rFonts w:hint="eastAsia" w:ascii="仿宋_GB2312" w:eastAsia="仿宋_GB2312" w:cs="仿宋_GB2312"/>
          <w:color w:val="auto"/>
          <w:sz w:val="30"/>
          <w:szCs w:val="30"/>
          <w:highlight w:val="none"/>
          <w:lang w:eastAsia="zh-CN"/>
        </w:rPr>
        <w:t>国</w:t>
      </w:r>
      <w:r>
        <w:rPr>
          <w:rFonts w:hint="eastAsia" w:ascii="仿宋_GB2312" w:eastAsia="仿宋_GB2312" w:cs="仿宋_GB2312"/>
          <w:color w:val="auto"/>
          <w:sz w:val="30"/>
          <w:szCs w:val="30"/>
          <w:highlight w:val="none"/>
        </w:rPr>
        <w:t>有资本经营预算支出决算情况说明</w:t>
      </w:r>
      <w:r>
        <w:rPr>
          <w:rFonts w:hint="eastAsia" w:ascii="仿宋_GB2312" w:eastAsia="仿宋_GB2312" w:cs="仿宋_GB2312"/>
          <w:color w:val="auto"/>
          <w:sz w:val="30"/>
          <w:szCs w:val="30"/>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jc w:val="left"/>
        <w:textAlignment w:val="auto"/>
        <w:rPr>
          <w:rFonts w:hint="eastAsia" w:ascii="仿宋_GB2312" w:eastAsia="仿宋_GB2312" w:cs="仿宋_GB2312"/>
          <w:color w:val="auto"/>
          <w:sz w:val="30"/>
          <w:szCs w:val="30"/>
          <w:highlight w:val="none"/>
        </w:rPr>
      </w:pPr>
      <w:r>
        <w:rPr>
          <w:rStyle w:val="17"/>
          <w:rFonts w:hint="eastAsia" w:ascii="仿宋_GB2312" w:eastAsia="仿宋_GB2312" w:cs="仿宋_GB2312"/>
          <w:color w:val="auto"/>
          <w:sz w:val="30"/>
          <w:szCs w:val="30"/>
          <w:highlight w:val="none"/>
          <w:u w:val="none"/>
          <w:lang w:eastAsia="zh-CN"/>
        </w:rPr>
        <w:t>十</w:t>
      </w:r>
      <w:r>
        <w:rPr>
          <w:rStyle w:val="17"/>
          <w:rFonts w:hint="eastAsia" w:ascii="仿宋_GB2312" w:eastAsia="仿宋_GB2312" w:cs="仿宋_GB2312"/>
          <w:color w:val="auto"/>
          <w:sz w:val="30"/>
          <w:szCs w:val="30"/>
          <w:highlight w:val="none"/>
          <w:u w:val="none"/>
        </w:rPr>
        <w:t>、</w:t>
      </w:r>
      <w:r>
        <w:rPr>
          <w:rFonts w:hint="eastAsia" w:ascii="仿宋_GB2312" w:eastAsia="仿宋_GB2312" w:cs="仿宋_GB2312"/>
          <w:color w:val="auto"/>
          <w:sz w:val="30"/>
          <w:szCs w:val="30"/>
          <w:highlight w:val="none"/>
          <w:lang w:val="en-US" w:eastAsia="zh-CN"/>
        </w:rPr>
        <w:t>预算绩效管理情况...................................13</w:t>
      </w:r>
      <w:r>
        <w:rPr>
          <w:rFonts w:hint="eastAsia" w:ascii="仿宋_GB2312" w:eastAsia="仿宋_GB2312" w:cs="仿宋_GB2312"/>
          <w:color w:val="auto"/>
          <w:sz w:val="30"/>
          <w:szCs w:val="30"/>
          <w:highlight w:val="none"/>
        </w:rPr>
        <w:tab/>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jc w:val="left"/>
        <w:textAlignment w:val="auto"/>
        <w:rPr>
          <w:rFonts w:hint="default" w:ascii="仿宋_GB2312" w:eastAsia="仿宋_GB2312" w:cs="仿宋_GB2312"/>
          <w:sz w:val="30"/>
          <w:szCs w:val="30"/>
          <w:lang w:val="en-US" w:eastAsia="zh-CN"/>
        </w:rPr>
      </w:pPr>
      <w:r>
        <w:rPr>
          <w:rFonts w:hint="eastAsia" w:ascii="仿宋_GB2312" w:eastAsia="仿宋_GB2312" w:cs="仿宋_GB2312"/>
          <w:color w:val="auto"/>
          <w:sz w:val="30"/>
          <w:szCs w:val="30"/>
          <w:highlight w:val="none"/>
          <w:lang w:val="en-US" w:eastAsia="zh-CN"/>
        </w:rPr>
        <w:t>十一、</w:t>
      </w:r>
      <w:r>
        <w:rPr>
          <w:rFonts w:hint="eastAsia" w:ascii="仿宋_GB2312" w:eastAsia="仿宋_GB2312" w:cs="仿宋_GB2312"/>
          <w:color w:val="auto"/>
          <w:sz w:val="30"/>
          <w:szCs w:val="30"/>
          <w:highlight w:val="none"/>
        </w:rPr>
        <w:t>其他重要事项的情况说明</w:t>
      </w:r>
      <w:r>
        <w:rPr>
          <w:rFonts w:hint="eastAsia" w:ascii="仿宋_GB2312" w:eastAsia="仿宋_GB2312" w:cs="仿宋_GB2312"/>
          <w:color w:val="auto"/>
          <w:sz w:val="30"/>
          <w:szCs w:val="30"/>
          <w:highlight w:val="none"/>
          <w:lang w:val="en-US" w:eastAsia="zh-CN"/>
        </w:rPr>
        <w:t>...........................13</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pPr>
      <w:r>
        <w:rPr>
          <w:rFonts w:hint="eastAsia" w:ascii="仿宋_GB2312" w:eastAsia="仿宋_GB2312" w:cs="仿宋_GB2312"/>
          <w:b/>
          <w:bCs/>
          <w:color w:val="auto"/>
          <w:sz w:val="30"/>
          <w:szCs w:val="30"/>
          <w:highlight w:val="none"/>
        </w:rPr>
        <w:t>第三部分 名词解释</w:t>
      </w:r>
      <w:r>
        <w:rPr>
          <w:rFonts w:hint="eastAsia" w:ascii="仿宋_GB2312" w:eastAsia="仿宋_GB2312" w:cs="仿宋_GB2312"/>
          <w:b/>
          <w:bCs/>
          <w:color w:val="auto"/>
          <w:sz w:val="30"/>
          <w:szCs w:val="30"/>
          <w:highlight w:val="none"/>
          <w:lang w:val="en-US" w:eastAsia="zh-CN"/>
        </w:rPr>
        <w:t>......................................14</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pPr>
      <w:r>
        <w:rPr>
          <w:rFonts w:hint="eastAsia" w:ascii="仿宋_GB2312" w:eastAsia="仿宋_GB2312" w:cs="仿宋_GB2312"/>
          <w:b/>
          <w:bCs/>
          <w:color w:val="auto"/>
          <w:sz w:val="30"/>
          <w:szCs w:val="30"/>
          <w:highlight w:val="none"/>
        </w:rPr>
        <w:t>第四部分 附</w:t>
      </w:r>
      <w:r>
        <w:rPr>
          <w:rFonts w:hint="eastAsia" w:ascii="仿宋_GB2312" w:eastAsia="仿宋_GB2312" w:cs="仿宋_GB2312"/>
          <w:b/>
          <w:bCs/>
          <w:color w:val="auto"/>
          <w:sz w:val="30"/>
          <w:szCs w:val="30"/>
          <w:highlight w:val="none"/>
          <w:lang w:val="en-US" w:eastAsia="zh-CN"/>
        </w:rPr>
        <w:t xml:space="preserve">  </w:t>
      </w:r>
      <w:r>
        <w:rPr>
          <w:rFonts w:hint="eastAsia" w:ascii="仿宋_GB2312" w:eastAsia="仿宋_GB2312" w:cs="仿宋_GB2312"/>
          <w:b/>
          <w:bCs/>
          <w:color w:val="auto"/>
          <w:sz w:val="30"/>
          <w:szCs w:val="30"/>
          <w:highlight w:val="none"/>
        </w:rPr>
        <w:t>件</w:t>
      </w:r>
      <w:r>
        <w:rPr>
          <w:rFonts w:hint="eastAsia" w:ascii="仿宋_GB2312" w:eastAsia="仿宋_GB2312" w:cs="仿宋_GB2312"/>
          <w:b/>
          <w:bCs/>
          <w:color w:val="auto"/>
          <w:sz w:val="30"/>
          <w:szCs w:val="30"/>
          <w:highlight w:val="none"/>
          <w:lang w:val="en-US" w:eastAsia="zh-CN"/>
        </w:rPr>
        <w:t>........................................20</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sectPr>
          <w:footerReference r:id="rId5" w:type="first"/>
          <w:footerReference r:id="rId4" w:type="default"/>
          <w:pgSz w:w="11906" w:h="16838"/>
          <w:pgMar w:top="2098" w:right="1474" w:bottom="1984" w:left="1587" w:header="851" w:footer="1559" w:gutter="0"/>
          <w:pgNumType w:start="1"/>
          <w:cols w:space="720" w:num="1"/>
          <w:titlePg/>
          <w:rtlGutter w:val="1"/>
          <w:docGrid w:type="lines" w:linePitch="312" w:charSpace="0"/>
        </w:sectPr>
      </w:pP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left"/>
        <w:textAlignment w:val="auto"/>
        <w:rPr>
          <w:rFonts w:hint="default" w:ascii="仿宋_GB2312" w:eastAsia="仿宋_GB2312" w:cs="仿宋_GB2312"/>
          <w:b/>
          <w:bCs/>
          <w:color w:val="auto"/>
          <w:sz w:val="30"/>
          <w:szCs w:val="30"/>
          <w:highlight w:val="none"/>
          <w:lang w:val="en-US" w:eastAsia="zh-CN"/>
        </w:rPr>
      </w:pPr>
      <w:r>
        <w:rPr>
          <w:rFonts w:hint="eastAsia" w:ascii="仿宋_GB2312" w:eastAsia="仿宋_GB2312" w:cs="仿宋_GB2312"/>
          <w:b/>
          <w:bCs/>
          <w:color w:val="auto"/>
          <w:sz w:val="30"/>
          <w:szCs w:val="30"/>
          <w:highlight w:val="none"/>
        </w:rPr>
        <w:t>第五部分 附</w:t>
      </w:r>
      <w:r>
        <w:rPr>
          <w:rFonts w:hint="eastAsia" w:ascii="仿宋_GB2312" w:eastAsia="仿宋_GB2312" w:cs="仿宋_GB2312"/>
          <w:b/>
          <w:bCs/>
          <w:color w:val="auto"/>
          <w:sz w:val="30"/>
          <w:szCs w:val="30"/>
          <w:highlight w:val="none"/>
          <w:lang w:val="en-US" w:eastAsia="zh-CN"/>
        </w:rPr>
        <w:t xml:space="preserve">  </w:t>
      </w:r>
      <w:r>
        <w:rPr>
          <w:rFonts w:hint="eastAsia" w:ascii="仿宋_GB2312" w:eastAsia="仿宋_GB2312" w:cs="仿宋_GB2312"/>
          <w:b/>
          <w:bCs/>
          <w:color w:val="auto"/>
          <w:sz w:val="30"/>
          <w:szCs w:val="30"/>
          <w:highlight w:val="none"/>
        </w:rPr>
        <w:t>表</w:t>
      </w:r>
      <w:r>
        <w:rPr>
          <w:rFonts w:hint="eastAsia" w:ascii="仿宋_GB2312" w:eastAsia="仿宋_GB2312" w:cs="仿宋_GB2312"/>
          <w:b/>
          <w:bCs/>
          <w:color w:val="auto"/>
          <w:sz w:val="30"/>
          <w:szCs w:val="30"/>
          <w:highlight w:val="none"/>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一、收入支出决算总表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二、收入决算表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三、支出决算表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四、财政拨款收入支出决算总表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五、财政拨款支出决算明细表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六、一般公共预算财政拨款支出决算表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七、一般公共预算财政拨款支出决算明细表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八、一般公共预算财政拨款基本支出决算表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九、一般公共预算财政拨款项目支出决算表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十、一般公共预算财政拨款“三公”经费支出决算表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十一、政府性基金预算财政拨款收入支出决算表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十二、政府性基金预算财政拨款“三公”经费支出决算表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十三、国有资本经营预算</w:t>
      </w:r>
      <w:r>
        <w:rPr>
          <w:rFonts w:hint="eastAsia" w:ascii="仿宋_GB2312" w:eastAsia="仿宋_GB2312" w:cs="仿宋_GB2312"/>
          <w:color w:val="auto"/>
          <w:sz w:val="30"/>
          <w:szCs w:val="30"/>
          <w:highlight w:val="none"/>
          <w:lang w:eastAsia="zh-CN"/>
        </w:rPr>
        <w:t>财政拨款收入</w:t>
      </w:r>
      <w:r>
        <w:rPr>
          <w:rFonts w:hint="eastAsia" w:ascii="仿宋_GB2312" w:eastAsia="仿宋_GB2312" w:cs="仿宋_GB2312"/>
          <w:color w:val="auto"/>
          <w:sz w:val="30"/>
          <w:szCs w:val="30"/>
          <w:highlight w:val="none"/>
        </w:rPr>
        <w:t>支出决算表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十四、国有资本经营预算财政拨款支出决算表</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eastAsia="方正小标宋简体" w:cs="方正小标宋简体"/>
          <w:b w:val="0"/>
          <w:color w:val="auto"/>
          <w:highlight w:val="none"/>
        </w:rPr>
        <w:sectPr>
          <w:footerReference r:id="rId7" w:type="first"/>
          <w:footerReference r:id="rId6" w:type="default"/>
          <w:pgSz w:w="11906" w:h="16838"/>
          <w:pgMar w:top="2098" w:right="1474" w:bottom="1984" w:left="1587" w:header="851" w:footer="1559" w:gutter="0"/>
          <w:pgNumType w:start="1"/>
          <w:cols w:space="720" w:num="1"/>
          <w:titlePg/>
          <w:rtlGutter w:val="1"/>
          <w:docGrid w:type="lines" w:linePitch="312" w:charSpace="0"/>
        </w:sectPr>
      </w:pPr>
      <w:bookmarkStart w:id="12" w:name="_Toc15377196"/>
      <w:bookmarkStart w:id="13" w:name="_Toc15396599"/>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Style w:val="18"/>
          <w:rFonts w:hint="eastAsia" w:ascii="方正小标宋简体" w:eastAsia="方正小标宋简体" w:cs="方正小标宋简体"/>
          <w:b/>
          <w:bCs w:val="0"/>
          <w:color w:val="auto"/>
          <w:highlight w:val="none"/>
        </w:rPr>
      </w:pPr>
      <w:r>
        <w:rPr>
          <w:rFonts w:hint="eastAsia" w:ascii="方正小标宋简体" w:eastAsia="方正小标宋简体" w:cs="方正小标宋简体"/>
          <w:b w:val="0"/>
          <w:color w:val="auto"/>
          <w:highlight w:val="none"/>
        </w:rPr>
        <w:t xml:space="preserve">第一部分 </w:t>
      </w:r>
      <w:r>
        <w:rPr>
          <w:rStyle w:val="18"/>
          <w:rFonts w:hint="eastAsia" w:ascii="方正小标宋简体" w:eastAsia="方正小标宋简体" w:cs="方正小标宋简体"/>
          <w:b w:val="0"/>
          <w:bCs w:val="0"/>
          <w:color w:val="auto"/>
          <w:highlight w:val="none"/>
        </w:rPr>
        <w:t>部门概况</w:t>
      </w:r>
      <w:bookmarkEnd w:id="12"/>
      <w:bookmarkEnd w:id="13"/>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s="仿宋_GB2312"/>
          <w:color w:val="auto"/>
          <w:sz w:val="32"/>
          <w:szCs w:val="32"/>
          <w:highlight w:val="none"/>
        </w:rPr>
      </w:pPr>
    </w:p>
    <w:p>
      <w:pPr>
        <w:pStyle w:val="4"/>
        <w:keepNext/>
        <w:keepLines/>
        <w:pageBreakBefore w:val="0"/>
        <w:widowControl w:val="0"/>
        <w:kinsoku/>
        <w:wordWrap/>
        <w:overflowPunct/>
        <w:topLinePunct w:val="0"/>
        <w:autoSpaceDE/>
        <w:autoSpaceDN/>
        <w:bidi w:val="0"/>
        <w:spacing w:before="0" w:after="0" w:line="600" w:lineRule="exact"/>
        <w:ind w:firstLine="640" w:firstLineChars="200"/>
        <w:textAlignment w:val="auto"/>
        <w:rPr>
          <w:rStyle w:val="19"/>
          <w:rFonts w:hint="eastAsia" w:ascii="黑体" w:eastAsia="黑体" w:cs="黑体"/>
          <w:b w:val="0"/>
          <w:bCs w:val="0"/>
          <w:color w:val="auto"/>
          <w:sz w:val="32"/>
          <w:szCs w:val="32"/>
          <w:highlight w:val="none"/>
        </w:rPr>
      </w:pPr>
      <w:bookmarkStart w:id="14" w:name="_Toc15396600"/>
      <w:bookmarkStart w:id="15" w:name="_Toc15377197"/>
      <w:r>
        <w:rPr>
          <w:rFonts w:hint="eastAsia" w:ascii="黑体" w:eastAsia="黑体" w:cs="黑体"/>
          <w:b w:val="0"/>
          <w:color w:val="auto"/>
          <w:sz w:val="32"/>
          <w:szCs w:val="32"/>
          <w:highlight w:val="none"/>
        </w:rPr>
        <w:t>一、基</w:t>
      </w:r>
      <w:r>
        <w:rPr>
          <w:rStyle w:val="19"/>
          <w:rFonts w:hint="eastAsia" w:ascii="黑体" w:eastAsia="黑体" w:cs="黑体"/>
          <w:b w:val="0"/>
          <w:bCs w:val="0"/>
          <w:color w:val="auto"/>
          <w:sz w:val="32"/>
          <w:szCs w:val="32"/>
          <w:highlight w:val="none"/>
        </w:rPr>
        <w:t>本职能及主要工作</w:t>
      </w:r>
      <w:bookmarkEnd w:id="14"/>
      <w:bookmarkEnd w:id="15"/>
    </w:p>
    <w:p>
      <w:pPr>
        <w:pStyle w:val="2"/>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outlineLvl w:val="2"/>
        <w:rPr>
          <w:rFonts w:hint="eastAsia" w:ascii="仿宋_GB2312" w:eastAsia="仿宋_GB2312" w:cs="仿宋_GB2312"/>
          <w:color w:val="000000"/>
          <w:sz w:val="32"/>
          <w:szCs w:val="32"/>
        </w:rPr>
      </w:pPr>
      <w:bookmarkStart w:id="16" w:name="_Toc15377198"/>
      <w:bookmarkStart w:id="17" w:name="_Toc15378445"/>
      <w:r>
        <w:rPr>
          <w:rFonts w:hint="eastAsia" w:ascii="楷体_GB2312" w:eastAsia="楷体_GB2312" w:cs="楷体_GB2312"/>
          <w:bCs/>
          <w:color w:val="auto"/>
          <w:sz w:val="32"/>
          <w:szCs w:val="32"/>
          <w:highlight w:val="none"/>
        </w:rPr>
        <w:t>（一）主要职能。</w:t>
      </w:r>
      <w:r>
        <w:rPr>
          <w:rFonts w:hint="eastAsia" w:ascii="仿宋_GB2312" w:eastAsia="仿宋_GB2312" w:cs="仿宋_GB2312"/>
          <w:color w:val="000000"/>
          <w:sz w:val="32"/>
          <w:szCs w:val="32"/>
        </w:rPr>
        <w:t>负责全市退役军人移交安置、优待抚恤、就业创业、服务保障、烈士褒扬纪念、拥军优属等事务工作。</w:t>
      </w:r>
      <w:bookmarkEnd w:id="16"/>
      <w:bookmarkEnd w:id="17"/>
      <w:bookmarkStart w:id="18" w:name="_Toc15378446"/>
      <w:bookmarkStart w:id="19" w:name="_Toc15377199"/>
    </w:p>
    <w:p>
      <w:pPr>
        <w:pStyle w:val="2"/>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outlineLvl w:val="2"/>
        <w:rPr>
          <w:rFonts w:hint="eastAsia"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（二）20</w:t>
      </w:r>
      <w:r>
        <w:rPr>
          <w:rFonts w:hint="eastAsia" w:ascii="楷体_GB2312" w:eastAsia="楷体_GB2312" w:cs="楷体_GB2312"/>
          <w:bCs/>
          <w:color w:val="auto"/>
          <w:sz w:val="32"/>
          <w:szCs w:val="32"/>
          <w:highlight w:val="none"/>
          <w:lang w:val="en-US" w:eastAsia="zh-CN"/>
        </w:rPr>
        <w:t>21</w:t>
      </w:r>
      <w:r>
        <w:rPr>
          <w:rFonts w:hint="eastAsia" w:ascii="楷体_GB2312" w:eastAsia="楷体_GB2312" w:cs="楷体_GB2312"/>
          <w:bCs/>
          <w:color w:val="auto"/>
          <w:sz w:val="32"/>
          <w:szCs w:val="32"/>
          <w:highlight w:val="none"/>
        </w:rPr>
        <w:t>年重点工作完成情况。</w:t>
      </w:r>
      <w:bookmarkEnd w:id="18"/>
      <w:bookmarkEnd w:id="19"/>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2021年，全市退役军人事务工作在市委、市政府的坚强领导下，坚持以推动全市退役军人工作高质量发展为指引，以贯彻执行《退役军人保障法》为主线，始终保持“闯”的精神、“创”的劲头、“干”的作风，统筹推进安置就业、拥军优抚、褒扬纪念、思想教育、权益维护、信访维稳等工作，取得了较好的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一、双拥创建成果持续巩固。在全省率先成立市烈士纪念设施保护中心和2个县（区）烈士纪念设施保护中心，开展县级及以下英雄烈士纪念设施项目整修工程。广元市烈士陵园烈士纪念设施改建项目等6个项目获退役军人事务部批复或确认，批复和确认数量居全省第一。开展“清明祭英烈”“9·30烈士纪念日”活动，全市累计5.5万余人参加纪念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二、安置就业工作扎实开展。完成全年退役军人接收安置任务。组织开展线上线下退役军人专场招聘会24场次，帮助913名退役军人实现就业。成功承办全省第一期由政府安排工作退役士兵（消防员）适应性培训示范班，开展自主就业退役士兵适应性培训801名，参训率100%。开展退役军人职业技能培训844人。参加全省第二届退役军人创业创新大赛，广元团队荣获三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000000"/>
          <w:kern w:val="2"/>
          <w:sz w:val="32"/>
          <w:szCs w:val="32"/>
          <w:lang w:val="en-US" w:eastAsia="zh-CN" w:bidi="ar-SA"/>
        </w:rPr>
      </w:pPr>
      <w:r>
        <w:rPr>
          <w:rFonts w:hint="eastAsia" w:ascii="楷体_GB2312" w:eastAsia="楷体_GB2312" w:cs="楷体_GB2312"/>
          <w:color w:val="000000"/>
          <w:kern w:val="2"/>
          <w:sz w:val="32"/>
          <w:szCs w:val="32"/>
          <w:lang w:val="en-US" w:eastAsia="zh-CN" w:bidi="ar-SA"/>
        </w:rPr>
        <w:t>（三）权益维护工作平稳有序。</w:t>
      </w:r>
      <w:r>
        <w:rPr>
          <w:rFonts w:hint="eastAsia" w:ascii="仿宋_GB2312" w:eastAsia="仿宋_GB2312" w:cs="仿宋_GB2312"/>
          <w:color w:val="000000"/>
          <w:kern w:val="2"/>
          <w:sz w:val="32"/>
          <w:szCs w:val="32"/>
          <w:lang w:val="en-US" w:eastAsia="zh-CN" w:bidi="ar-SA"/>
        </w:rPr>
        <w:t>全面贯彻落实“法律政策落实年”活动，深入开展“法律七进”活动26场次。修订《广元市困难退役军人关爱帮扶专项基金实施细则》，共帮扶987人次。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楷体_GB2312" w:eastAsia="楷体_GB2312" w:cs="楷体_GB2312"/>
          <w:color w:val="000000"/>
          <w:kern w:val="2"/>
          <w:sz w:val="32"/>
          <w:szCs w:val="32"/>
          <w:lang w:val="en-US" w:eastAsia="zh-CN" w:bidi="ar-SA"/>
        </w:rPr>
        <w:t>（四）思想政治工作创新开展。</w:t>
      </w:r>
      <w:r>
        <w:rPr>
          <w:rFonts w:hint="eastAsia" w:ascii="仿宋_GB2312" w:eastAsia="仿宋_GB2312" w:cs="仿宋_GB2312"/>
          <w:color w:val="000000"/>
          <w:kern w:val="2"/>
          <w:sz w:val="32"/>
          <w:szCs w:val="32"/>
          <w:lang w:val="en-US" w:eastAsia="zh-CN" w:bidi="ar-SA"/>
        </w:rPr>
        <w:t>成立“老英模党史宣讲团”，创新推进党史学习教育“七进”活动。开展老英模宣讲会72场次，覆盖1.4万余名群众。市光荣院、军休所、烈士陵园发挥红色阵地作用，共承接各级机关、学校、团体开展党史学习教育41场次，受众7000余人次。李化武同志典型事迹，先后3次被四川日报和四川新闻联播头条报道，3次被央视新闻《2021英雄的中国 因为有你》《100个瞬间，定格2021最有爱的模样》《致敬国家丰碑 全国红色故事讲解员大赛》集中报道。《这场&lt;长津湖&gt;为他一人放映！》上抖音热榜，累计阅读量超3亿次。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楷体_GB2312" w:eastAsia="楷体_GB2312" w:cs="楷体_GB2312"/>
          <w:color w:val="000000"/>
          <w:kern w:val="2"/>
          <w:sz w:val="32"/>
          <w:szCs w:val="32"/>
          <w:lang w:val="en-US" w:eastAsia="zh-CN" w:bidi="ar-SA"/>
        </w:rPr>
        <w:t>（五）服务保障能力进一步增强。</w:t>
      </w:r>
      <w:r>
        <w:rPr>
          <w:rFonts w:hint="eastAsia" w:ascii="仿宋_GB2312" w:eastAsia="仿宋_GB2312" w:cs="仿宋_GB2312"/>
          <w:color w:val="000000"/>
          <w:kern w:val="2"/>
          <w:sz w:val="32"/>
          <w:szCs w:val="32"/>
          <w:lang w:val="en-US" w:eastAsia="zh-CN" w:bidi="ar-SA"/>
        </w:rPr>
        <w:t>召开全市退役军人“一体化”服务暨共建共享“服务超市”试点工作现场会。军供保障、拥军优抚、服务体系建设两项试点工作经验在全国和全省会议上交流。广元军供站通过全国重点军供站考评，并作为全省唯一一个单位荣获全国退役军人服务保障先进单位。启动退役军人系统内控制度建设，开展全市退役军人系统办公室公文写作培训、财务培训、全市退役军人服务中心（站）人员等专项培训，共完成全市退役军人服务中心（站）人员培训1595人。</w:t>
      </w:r>
      <w:bookmarkStart w:id="20" w:name="_Toc15396601"/>
      <w:bookmarkStart w:id="21" w:name="_Toc153772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黑体" w:eastAsia="黑体" w:cs="黑体"/>
          <w:b w:val="0"/>
          <w:bCs w:val="0"/>
          <w:color w:val="auto"/>
          <w:sz w:val="32"/>
          <w:szCs w:val="32"/>
          <w:highlight w:val="none"/>
        </w:rPr>
      </w:pPr>
      <w:r>
        <w:rPr>
          <w:rStyle w:val="19"/>
          <w:rFonts w:hint="eastAsia" w:ascii="黑体" w:eastAsia="黑体" w:cs="黑体"/>
          <w:b w:val="0"/>
          <w:bCs w:val="0"/>
          <w:color w:val="auto"/>
          <w:sz w:val="32"/>
          <w:szCs w:val="32"/>
          <w:highlight w:val="none"/>
        </w:rPr>
        <w:t>二、机构设置</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本部门及下属二级单位6个，其中行政单位1个，参照公务员法管理的事业单位0个，其他事业单位5个。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从预算单位构成看，市退役军人事务局部门预算包括：局机关本级预算（局属行政单位预算）、局属事业单位预算。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纳入</w:t>
      </w:r>
      <w:r>
        <w:rPr>
          <w:rFonts w:hint="eastAsia" w:ascii="仿宋_GB2312" w:eastAsia="仿宋_GB2312" w:cs="仿宋_GB2312"/>
          <w:color w:val="auto"/>
          <w:sz w:val="32"/>
          <w:szCs w:val="32"/>
          <w:highlight w:val="none"/>
          <w:lang w:eastAsia="zh-CN"/>
        </w:rPr>
        <w:t>市退役军人事务局</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市退役军人服务中心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市光荣院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广元军供站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市军休所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市烈士陵园管理所</w:t>
      </w:r>
    </w:p>
    <w:p>
      <w:pPr>
        <w:pStyle w:val="3"/>
        <w:keepNext/>
        <w:keepLines/>
        <w:pageBreakBefore w:val="0"/>
        <w:widowControl w:val="0"/>
        <w:kinsoku/>
        <w:wordWrap/>
        <w:overflowPunct/>
        <w:topLinePunct w:val="0"/>
        <w:autoSpaceDE/>
        <w:autoSpaceDN/>
        <w:bidi w:val="0"/>
        <w:adjustRightInd/>
        <w:snapToGrid/>
        <w:spacing w:before="0" w:after="0" w:line="600" w:lineRule="exact"/>
        <w:ind w:left="0" w:right="0"/>
        <w:jc w:val="center"/>
        <w:textAlignment w:val="auto"/>
        <w:rPr>
          <w:rFonts w:hint="eastAsia" w:ascii="方正小标宋简体" w:eastAsia="方正小标宋简体" w:cs="方正小标宋简体"/>
          <w:b w:val="0"/>
          <w:bCs/>
          <w:color w:val="auto"/>
          <w:highlight w:val="none"/>
        </w:rPr>
      </w:pPr>
      <w:bookmarkStart w:id="22" w:name="_Toc15396602"/>
      <w:bookmarkStart w:id="23" w:name="_Toc15377204"/>
    </w:p>
    <w:p>
      <w:pPr>
        <w:pStyle w:val="3"/>
        <w:keepNext/>
        <w:keepLines/>
        <w:pageBreakBefore w:val="0"/>
        <w:widowControl w:val="0"/>
        <w:kinsoku/>
        <w:wordWrap/>
        <w:overflowPunct/>
        <w:topLinePunct w:val="0"/>
        <w:autoSpaceDE/>
        <w:autoSpaceDN/>
        <w:bidi w:val="0"/>
        <w:adjustRightInd/>
        <w:snapToGrid/>
        <w:spacing w:before="0" w:after="0" w:line="600" w:lineRule="exact"/>
        <w:ind w:left="0" w:right="0"/>
        <w:jc w:val="center"/>
        <w:textAlignment w:val="auto"/>
        <w:rPr>
          <w:rStyle w:val="18"/>
          <w:rFonts w:hint="eastAsia" w:ascii="方正小标宋简体" w:eastAsia="方正小标宋简体" w:cs="方正小标宋简体"/>
          <w:b w:val="0"/>
          <w:bCs/>
          <w:color w:val="auto"/>
          <w:highlight w:val="none"/>
        </w:rPr>
      </w:pPr>
      <w:r>
        <w:rPr>
          <w:rFonts w:hint="eastAsia" w:ascii="方正小标宋简体" w:eastAsia="方正小标宋简体" w:cs="方正小标宋简体"/>
          <w:b w:val="0"/>
          <w:bCs/>
          <w:color w:val="auto"/>
          <w:highlight w:val="none"/>
        </w:rPr>
        <w:t xml:space="preserve">第二部分 </w:t>
      </w:r>
      <w:r>
        <w:rPr>
          <w:rFonts w:hint="eastAsia" w:ascii="方正小标宋简体" w:eastAsia="方正小标宋简体" w:cs="方正小标宋简体"/>
          <w:b w:val="0"/>
          <w:bCs/>
          <w:color w:val="auto"/>
          <w:highlight w:val="none"/>
          <w:lang w:val="en-US" w:eastAsia="zh-CN"/>
        </w:rPr>
        <w:t>2021年度</w:t>
      </w:r>
      <w:r>
        <w:rPr>
          <w:rStyle w:val="18"/>
          <w:rFonts w:hint="eastAsia" w:ascii="方正小标宋简体" w:eastAsia="方正小标宋简体" w:cs="方正小标宋简体"/>
          <w:b w:val="0"/>
          <w:bCs/>
          <w:color w:val="auto"/>
          <w:highlight w:val="none"/>
        </w:rPr>
        <w:t>部门决算情况说明</w:t>
      </w:r>
      <w:bookmarkEnd w:id="22"/>
      <w:bookmarkEnd w:id="23"/>
    </w:p>
    <w:p>
      <w:pPr>
        <w:pageBreakBefore w:val="0"/>
        <w:widowControl w:val="0"/>
        <w:kinsoku/>
        <w:wordWrap/>
        <w:overflowPunct/>
        <w:topLinePunct w:val="0"/>
        <w:autoSpaceDE/>
        <w:autoSpaceDN/>
        <w:bidi w:val="0"/>
        <w:adjustRightInd/>
        <w:snapToGrid/>
        <w:spacing w:line="600" w:lineRule="exact"/>
        <w:ind w:left="0" w:right="0"/>
        <w:textAlignment w:val="auto"/>
        <w:rPr>
          <w:color w:val="auto"/>
          <w:highlight w:val="none"/>
        </w:rPr>
      </w:pPr>
    </w:p>
    <w:p>
      <w:pPr>
        <w:pStyle w:val="2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outlineLvl w:val="1"/>
        <w:rPr>
          <w:rStyle w:val="19"/>
          <w:rFonts w:ascii="黑体" w:eastAsia="黑体"/>
          <w:b w:val="0"/>
          <w:color w:val="auto"/>
          <w:highlight w:val="none"/>
        </w:rPr>
      </w:pPr>
      <w:bookmarkStart w:id="24" w:name="_Toc15377205"/>
      <w:bookmarkStart w:id="25" w:name="_Toc15396603"/>
      <w:r>
        <w:rPr>
          <w:rFonts w:hint="eastAsia" w:ascii="黑体" w:eastAsia="黑体"/>
          <w:color w:val="auto"/>
          <w:sz w:val="32"/>
          <w:szCs w:val="32"/>
          <w:highlight w:val="none"/>
          <w:lang w:eastAsia="zh-CN"/>
        </w:rPr>
        <w:t>一、</w:t>
      </w:r>
      <w:r>
        <w:rPr>
          <w:rFonts w:hint="eastAsia" w:ascii="黑体" w:eastAsia="黑体"/>
          <w:color w:val="auto"/>
          <w:sz w:val="32"/>
          <w:szCs w:val="32"/>
          <w:highlight w:val="none"/>
        </w:rPr>
        <w:t>收</w:t>
      </w:r>
      <w:r>
        <w:rPr>
          <w:rStyle w:val="19"/>
          <w:rFonts w:hint="eastAsia" w:ascii="黑体" w:eastAsia="黑体"/>
          <w:b w:val="0"/>
          <w:color w:val="auto"/>
          <w:highlight w:val="none"/>
        </w:rPr>
        <w:t>入支出决算总体情况说明</w:t>
      </w:r>
      <w:bookmarkEnd w:id="24"/>
      <w:bookmarkEnd w:id="25"/>
    </w:p>
    <w:p>
      <w:pPr>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年度收、支总计</w:t>
      </w:r>
      <w:r>
        <w:rPr>
          <w:rFonts w:hint="eastAsia" w:ascii="仿宋_GB2312" w:eastAsia="仿宋_GB2312" w:cs="仿宋_GB2312"/>
          <w:color w:val="auto"/>
          <w:sz w:val="32"/>
          <w:szCs w:val="32"/>
          <w:highlight w:val="none"/>
          <w:lang w:val="en-US" w:eastAsia="zh-CN"/>
        </w:rPr>
        <w:t>7891.57</w:t>
      </w:r>
      <w:r>
        <w:rPr>
          <w:rFonts w:hint="eastAsia" w:ascii="仿宋_GB2312" w:eastAsia="仿宋_GB2312" w:cs="仿宋_GB2312"/>
          <w:color w:val="auto"/>
          <w:sz w:val="32"/>
          <w:szCs w:val="32"/>
          <w:highlight w:val="none"/>
        </w:rPr>
        <w:t>万元。与20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年相比，收、支总计</w:t>
      </w:r>
      <w:r>
        <w:rPr>
          <w:rFonts w:hint="eastAsia" w:ascii="仿宋_GB2312" w:eastAsia="仿宋_GB2312" w:cs="仿宋_GB2312"/>
          <w:color w:val="auto"/>
          <w:sz w:val="32"/>
          <w:szCs w:val="32"/>
          <w:highlight w:val="none"/>
          <w:lang w:val="en-US" w:eastAsia="zh-CN"/>
        </w:rPr>
        <w:t>8853.74万元</w:t>
      </w:r>
      <w:r>
        <w:rPr>
          <w:rFonts w:hint="eastAsia" w:ascii="仿宋_GB2312" w:eastAsia="仿宋_GB2312" w:cs="仿宋_GB2312"/>
          <w:color w:val="auto"/>
          <w:sz w:val="32"/>
          <w:szCs w:val="32"/>
          <w:highlight w:val="none"/>
        </w:rPr>
        <w:t>各减少</w:t>
      </w:r>
      <w:r>
        <w:rPr>
          <w:rFonts w:hint="eastAsia" w:ascii="仿宋_GB2312" w:eastAsia="仿宋_GB2312" w:cs="仿宋_GB2312"/>
          <w:color w:val="auto"/>
          <w:sz w:val="32"/>
          <w:szCs w:val="32"/>
          <w:highlight w:val="none"/>
          <w:lang w:val="en-US" w:eastAsia="zh-CN"/>
        </w:rPr>
        <w:t>962.17</w:t>
      </w:r>
      <w:r>
        <w:rPr>
          <w:rFonts w:hint="eastAsia" w:ascii="仿宋_GB2312" w:eastAsia="仿宋_GB2312" w:cs="仿宋_GB2312"/>
          <w:color w:val="auto"/>
          <w:sz w:val="32"/>
          <w:szCs w:val="32"/>
          <w:highlight w:val="none"/>
        </w:rPr>
        <w:t>万元，下降</w:t>
      </w:r>
      <w:r>
        <w:rPr>
          <w:rFonts w:hint="eastAsia" w:ascii="仿宋_GB2312" w:eastAsia="仿宋_GB2312" w:cs="仿宋_GB2312"/>
          <w:color w:val="auto"/>
          <w:sz w:val="32"/>
          <w:szCs w:val="32"/>
          <w:highlight w:val="none"/>
          <w:lang w:val="en-US" w:eastAsia="zh-CN"/>
        </w:rPr>
        <w:t>10.87</w:t>
      </w:r>
      <w:r>
        <w:rPr>
          <w:rFonts w:hint="eastAsia" w:ascii="仿宋_GB2312" w:eastAsia="仿宋_GB2312" w:cs="仿宋_GB2312"/>
          <w:color w:val="auto"/>
          <w:sz w:val="32"/>
          <w:szCs w:val="32"/>
          <w:highlight w:val="none"/>
        </w:rPr>
        <w:t>%。主要变动原因是</w:t>
      </w:r>
      <w:r>
        <w:rPr>
          <w:rFonts w:hint="eastAsia" w:ascii="仿宋_GB2312" w:eastAsia="仿宋_GB2312" w:cs="仿宋_GB2312"/>
          <w:color w:val="auto"/>
          <w:sz w:val="32"/>
          <w:szCs w:val="32"/>
          <w:highlight w:val="none"/>
          <w:lang w:eastAsia="zh-CN"/>
        </w:rPr>
        <w:t>社保接续工作养老保险资金减少。</w:t>
      </w:r>
    </w:p>
    <w:p>
      <w:pPr>
        <w:keepNext w:val="0"/>
        <w:keepLines w:val="0"/>
        <w:widowControl/>
        <w:suppressLineNumbers w:val="0"/>
        <w:jc w:val="left"/>
        <w:rPr>
          <w:rFonts w:hint="eastAsia" w:ascii="仿宋_GB2312" w:eastAsia="仿宋_GB2312" w:cs="仿宋_GB2312"/>
          <w:color w:val="auto"/>
          <w:sz w:val="32"/>
          <w:szCs w:val="32"/>
          <w:highlight w:val="none"/>
        </w:rPr>
      </w:pPr>
      <w:r>
        <w:rPr>
          <w:rFonts w:ascii="宋体" w:eastAsia="宋体" w:cs="宋体"/>
          <w:kern w:val="0"/>
          <w:sz w:val="24"/>
          <w:szCs w:val="24"/>
          <w:lang w:val="en-US" w:eastAsia="zh-CN"/>
        </w:rPr>
        <w:drawing>
          <wp:anchor distT="0" distB="0" distL="114300" distR="114300" simplePos="0" relativeHeight="251659264" behindDoc="0" locked="0" layoutInCell="1" allowOverlap="1">
            <wp:simplePos x="0" y="0"/>
            <wp:positionH relativeFrom="column">
              <wp:posOffset>669925</wp:posOffset>
            </wp:positionH>
            <wp:positionV relativeFrom="paragraph">
              <wp:posOffset>68580</wp:posOffset>
            </wp:positionV>
            <wp:extent cx="3983355" cy="2388870"/>
            <wp:effectExtent l="0" t="0" r="0" b="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3983355" cy="2388870"/>
                    </a:xfrm>
                    <a:prstGeom prst="rect">
                      <a:avLst/>
                    </a:prstGeom>
                    <a:noFill/>
                    <a:ln w="9525" cap="flat" cmpd="sng">
                      <a:noFill/>
                      <a:prstDash val="solid"/>
                      <a:round/>
                    </a:ln>
                  </pic:spPr>
                </pic:pic>
              </a:graphicData>
            </a:graphic>
          </wp:anchor>
        </w:drawing>
      </w:r>
      <w:r>
        <w:rPr>
          <w:rFonts w:hint="eastAsia" w:ascii="宋体" w:cs="宋体"/>
          <w:kern w:val="0"/>
          <w:sz w:val="24"/>
          <w:szCs w:val="24"/>
          <w:lang w:val="en-US" w:eastAsia="zh-CN"/>
        </w:rPr>
        <w:t xml:space="preserve">      </w:t>
      </w:r>
      <w:r>
        <w:rPr>
          <w:rFonts w:hint="eastAsia" w:ascii="仿宋_GB2312" w:eastAsia="仿宋_GB2312" w:cs="仿宋_GB2312"/>
          <w:color w:val="auto"/>
          <w:sz w:val="32"/>
          <w:szCs w:val="32"/>
          <w:highlight w:val="none"/>
        </w:rPr>
        <w:t>（图1：收、支决算总计变动情况图）（柱状图）</w:t>
      </w:r>
    </w:p>
    <w:p>
      <w:pPr>
        <w:pStyle w:val="25"/>
        <w:spacing w:line="600" w:lineRule="exact"/>
        <w:ind w:left="640"/>
        <w:outlineLvl w:val="1"/>
        <w:rPr>
          <w:rStyle w:val="19"/>
          <w:rFonts w:ascii="黑体" w:eastAsia="黑体"/>
          <w:b w:val="0"/>
          <w:color w:val="auto"/>
          <w:highlight w:val="none"/>
        </w:rPr>
      </w:pPr>
      <w:bookmarkStart w:id="26" w:name="_Toc15377206"/>
      <w:bookmarkStart w:id="27" w:name="_Toc15396604"/>
      <w:r>
        <w:rPr>
          <w:rFonts w:hint="eastAsia" w:ascii="黑体" w:eastAsia="黑体"/>
          <w:color w:val="auto"/>
          <w:sz w:val="32"/>
          <w:szCs w:val="32"/>
          <w:highlight w:val="none"/>
          <w:lang w:eastAsia="zh-CN"/>
        </w:rPr>
        <w:t>二、</w:t>
      </w:r>
      <w:r>
        <w:rPr>
          <w:rFonts w:hint="eastAsia" w:ascii="黑体" w:eastAsia="黑体"/>
          <w:color w:val="auto"/>
          <w:sz w:val="32"/>
          <w:szCs w:val="32"/>
          <w:highlight w:val="none"/>
        </w:rPr>
        <w:t>收</w:t>
      </w:r>
      <w:r>
        <w:rPr>
          <w:rStyle w:val="19"/>
          <w:rFonts w:hint="eastAsia" w:ascii="黑体" w:eastAsia="黑体"/>
          <w:b w:val="0"/>
          <w:color w:val="auto"/>
          <w:highlight w:val="none"/>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年本年收入合计</w:t>
      </w:r>
      <w:r>
        <w:rPr>
          <w:rFonts w:hint="eastAsia" w:ascii="仿宋_GB2312" w:eastAsia="仿宋_GB2312" w:cs="仿宋_GB2312"/>
          <w:color w:val="auto"/>
          <w:sz w:val="32"/>
          <w:szCs w:val="32"/>
          <w:highlight w:val="none"/>
          <w:lang w:val="en-US" w:eastAsia="zh-CN"/>
        </w:rPr>
        <w:t>5929.44</w:t>
      </w:r>
      <w:r>
        <w:rPr>
          <w:rFonts w:hint="eastAsia" w:ascii="仿宋_GB2312" w:eastAsia="仿宋_GB2312" w:cs="仿宋_GB2312"/>
          <w:color w:val="auto"/>
          <w:sz w:val="32"/>
          <w:szCs w:val="32"/>
          <w:highlight w:val="none"/>
        </w:rPr>
        <w:t>万元，其中：一般公共预算财政拨款收入</w:t>
      </w:r>
      <w:r>
        <w:rPr>
          <w:rFonts w:hint="eastAsia" w:ascii="仿宋_GB2312" w:eastAsia="仿宋_GB2312" w:cs="仿宋_GB2312"/>
          <w:color w:val="auto"/>
          <w:sz w:val="32"/>
          <w:szCs w:val="32"/>
          <w:highlight w:val="none"/>
          <w:lang w:val="en-US" w:eastAsia="zh-CN"/>
        </w:rPr>
        <w:t>5371.36</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90.59</w:t>
      </w:r>
      <w:r>
        <w:rPr>
          <w:rFonts w:hint="eastAsia" w:ascii="仿宋_GB2312" w:eastAsia="仿宋_GB2312" w:cs="仿宋_GB2312"/>
          <w:color w:val="auto"/>
          <w:sz w:val="32"/>
          <w:szCs w:val="32"/>
          <w:highlight w:val="none"/>
        </w:rPr>
        <w:t>%；政府性基金预算财政拨款收入</w:t>
      </w:r>
      <w:r>
        <w:rPr>
          <w:rFonts w:hint="eastAsia" w:ascii="仿宋_GB2312" w:eastAsia="仿宋_GB2312" w:cs="仿宋_GB2312"/>
          <w:color w:val="auto"/>
          <w:sz w:val="32"/>
          <w:szCs w:val="32"/>
          <w:highlight w:val="none"/>
          <w:lang w:val="en-US" w:eastAsia="zh-CN"/>
        </w:rPr>
        <w:t>420.00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7.08</w:t>
      </w:r>
      <w:r>
        <w:rPr>
          <w:rFonts w:hint="eastAsia" w:ascii="仿宋_GB2312" w:eastAsia="仿宋_GB2312" w:cs="仿宋_GB2312"/>
          <w:color w:val="auto"/>
          <w:sz w:val="32"/>
          <w:szCs w:val="32"/>
          <w:highlight w:val="none"/>
        </w:rPr>
        <w:t>%；其他收入</w:t>
      </w:r>
      <w:r>
        <w:rPr>
          <w:rFonts w:hint="eastAsia" w:ascii="仿宋_GB2312" w:eastAsia="仿宋_GB2312" w:cs="仿宋_GB2312"/>
          <w:color w:val="auto"/>
          <w:sz w:val="32"/>
          <w:szCs w:val="32"/>
          <w:highlight w:val="none"/>
          <w:lang w:val="en-US" w:eastAsia="zh-CN"/>
        </w:rPr>
        <w:t>138.08</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2.33</w:t>
      </w:r>
      <w:r>
        <w:rPr>
          <w:rFonts w:hint="eastAsia" w:ascii="仿宋_GB2312" w:eastAsia="仿宋_GB2312" w:cs="仿宋_GB2312"/>
          <w:color w:val="auto"/>
          <w:sz w:val="32"/>
          <w:szCs w:val="32"/>
          <w:highlight w:val="none"/>
        </w:rPr>
        <w:t>%。</w:t>
      </w:r>
    </w:p>
    <w:p>
      <w:pPr>
        <w:keepNext w:val="0"/>
        <w:keepLines w:val="0"/>
        <w:widowControl/>
        <w:suppressLineNumbers w:val="0"/>
        <w:jc w:val="left"/>
        <w:rPr>
          <w:rFonts w:ascii="仿宋_GB2312" w:eastAsia="仿宋_GB2312"/>
          <w:color w:val="auto"/>
          <w:sz w:val="32"/>
          <w:szCs w:val="32"/>
          <w:highlight w:val="none"/>
        </w:rPr>
      </w:pPr>
      <w:r>
        <w:rPr>
          <w:rFonts w:ascii="宋体" w:eastAsia="宋体" w:cs="宋体"/>
          <w:kern w:val="0"/>
          <w:sz w:val="24"/>
          <w:szCs w:val="24"/>
          <w:lang w:val="en-US" w:eastAsia="zh-CN"/>
        </w:rPr>
        <w:drawing>
          <wp:anchor distT="0" distB="0" distL="114300" distR="114300" simplePos="0" relativeHeight="251659264" behindDoc="0" locked="0" layoutInCell="1" allowOverlap="1">
            <wp:simplePos x="0" y="0"/>
            <wp:positionH relativeFrom="column">
              <wp:posOffset>845820</wp:posOffset>
            </wp:positionH>
            <wp:positionV relativeFrom="paragraph">
              <wp:posOffset>22860</wp:posOffset>
            </wp:positionV>
            <wp:extent cx="3990340" cy="2368550"/>
            <wp:effectExtent l="0" t="0" r="0" b="0"/>
            <wp:wrapTopAndBottom/>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2"/>
                    <a:stretch>
                      <a:fillRect/>
                    </a:stretch>
                  </pic:blipFill>
                  <pic:spPr>
                    <a:xfrm>
                      <a:off x="0" y="0"/>
                      <a:ext cx="3990340" cy="2368550"/>
                    </a:xfrm>
                    <a:prstGeom prst="rect">
                      <a:avLst/>
                    </a:prstGeom>
                    <a:noFill/>
                    <a:ln w="9525" cap="flat" cmpd="sng">
                      <a:noFill/>
                      <a:prstDash val="solid"/>
                      <a:round/>
                    </a:ln>
                  </pic:spPr>
                </pic:pic>
              </a:graphicData>
            </a:graphic>
          </wp:anchor>
        </w:drawing>
      </w:r>
      <w:r>
        <w:rPr>
          <w:rFonts w:hint="eastAsia" w:ascii="宋体" w:eastAsia="宋体" w:cs="宋体"/>
          <w:kern w:val="0"/>
          <w:sz w:val="24"/>
          <w:szCs w:val="24"/>
          <w:lang w:val="en-US" w:eastAsia="zh-CN"/>
        </w:rPr>
        <w:t xml:space="preserve">             </w:t>
      </w:r>
      <w:r>
        <w:rPr>
          <w:rFonts w:hint="eastAsia" w:ascii="仿宋_GB2312" w:eastAsia="仿宋_GB2312" w:cs="仿宋_GB2312"/>
          <w:color w:val="auto"/>
          <w:sz w:val="32"/>
          <w:szCs w:val="32"/>
          <w:highlight w:val="none"/>
        </w:rPr>
        <w:t>（图2：收入决算结构图）（饼状图）</w:t>
      </w:r>
    </w:p>
    <w:p>
      <w:pPr>
        <w:pStyle w:val="25"/>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黑体" w:eastAsia="黑体"/>
          <w:color w:val="auto"/>
          <w:sz w:val="32"/>
          <w:szCs w:val="32"/>
          <w:highlight w:val="none"/>
          <w:lang w:eastAsia="zh-CN"/>
        </w:rPr>
      </w:pPr>
      <w:bookmarkStart w:id="28" w:name="_Toc15377207"/>
      <w:bookmarkStart w:id="29" w:name="_Toc15396605"/>
    </w:p>
    <w:p>
      <w:pPr>
        <w:pStyle w:val="25"/>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Style w:val="19"/>
          <w:rFonts w:ascii="黑体" w:eastAsia="黑体"/>
          <w:b w:val="0"/>
          <w:color w:val="auto"/>
          <w:highlight w:val="none"/>
        </w:rPr>
      </w:pPr>
      <w:r>
        <w:rPr>
          <w:rFonts w:hint="eastAsia" w:ascii="黑体" w:eastAsia="黑体"/>
          <w:color w:val="auto"/>
          <w:sz w:val="32"/>
          <w:szCs w:val="32"/>
          <w:highlight w:val="none"/>
          <w:lang w:eastAsia="zh-CN"/>
        </w:rPr>
        <w:t>三、</w:t>
      </w:r>
      <w:r>
        <w:rPr>
          <w:rFonts w:hint="eastAsia" w:ascii="黑体" w:eastAsia="黑体"/>
          <w:color w:val="auto"/>
          <w:sz w:val="32"/>
          <w:szCs w:val="32"/>
          <w:highlight w:val="none"/>
        </w:rPr>
        <w:t>支</w:t>
      </w:r>
      <w:r>
        <w:rPr>
          <w:rStyle w:val="19"/>
          <w:rFonts w:hint="eastAsia" w:ascii="黑体" w:eastAsia="黑体"/>
          <w:b w:val="0"/>
          <w:color w:val="auto"/>
          <w:highlight w:val="none"/>
        </w:rPr>
        <w:t>出决算情况说明</w:t>
      </w:r>
      <w:bookmarkEnd w:id="28"/>
      <w:bookmarkEnd w:id="29"/>
    </w:p>
    <w:p>
      <w:pPr>
        <w:spacing w:line="600" w:lineRule="exact"/>
        <w:ind w:firstLine="640" w:firstLineChars="200"/>
        <w:outlineLvl w:val="1"/>
        <w:rPr>
          <w:rFonts w:hint="eastAsia" w:ascii="仿宋_GB2312" w:eastAsia="仿宋_GB2312" w:cs="仿宋_GB2312"/>
          <w:color w:val="auto"/>
          <w:sz w:val="32"/>
          <w:szCs w:val="32"/>
          <w:highlight w:val="none"/>
          <w:shd w:val="pct10" w:color="auto" w:fill="FFFFFF"/>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年本年支出合计</w:t>
      </w:r>
      <w:r>
        <w:rPr>
          <w:rFonts w:hint="eastAsia" w:ascii="仿宋_GB2312" w:eastAsia="仿宋_GB2312" w:cs="仿宋_GB2312"/>
          <w:color w:val="auto"/>
          <w:sz w:val="32"/>
          <w:szCs w:val="32"/>
          <w:highlight w:val="none"/>
          <w:lang w:val="en-US" w:eastAsia="zh-CN"/>
        </w:rPr>
        <w:t>6001.84</w:t>
      </w:r>
      <w:r>
        <w:rPr>
          <w:rFonts w:hint="eastAsia" w:ascii="仿宋_GB2312" w:eastAsia="仿宋_GB2312" w:cs="仿宋_GB2312"/>
          <w:color w:val="auto"/>
          <w:sz w:val="32"/>
          <w:szCs w:val="32"/>
          <w:highlight w:val="none"/>
        </w:rPr>
        <w:t>万元，其中：基本支出</w:t>
      </w:r>
      <w:r>
        <w:rPr>
          <w:rFonts w:hint="eastAsia" w:ascii="仿宋_GB2312" w:eastAsia="仿宋_GB2312" w:cs="仿宋_GB2312"/>
          <w:color w:val="auto"/>
          <w:sz w:val="32"/>
          <w:szCs w:val="32"/>
          <w:highlight w:val="none"/>
          <w:lang w:val="en-US" w:eastAsia="zh-CN"/>
        </w:rPr>
        <w:t>1635.78</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27.25</w:t>
      </w:r>
      <w:r>
        <w:rPr>
          <w:rFonts w:hint="eastAsia" w:ascii="仿宋_GB2312" w:eastAsia="仿宋_GB2312" w:cs="仿宋_GB2312"/>
          <w:color w:val="auto"/>
          <w:sz w:val="32"/>
          <w:szCs w:val="32"/>
          <w:highlight w:val="none"/>
        </w:rPr>
        <w:t>%；项目支出</w:t>
      </w:r>
      <w:r>
        <w:rPr>
          <w:rFonts w:hint="eastAsia" w:ascii="仿宋_GB2312" w:eastAsia="仿宋_GB2312" w:cs="仿宋_GB2312"/>
          <w:color w:val="auto"/>
          <w:sz w:val="32"/>
          <w:szCs w:val="32"/>
          <w:highlight w:val="none"/>
          <w:lang w:val="en-US" w:eastAsia="zh-CN"/>
        </w:rPr>
        <w:t>4366.05</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72.75</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p>
    <w:p>
      <w:pPr>
        <w:keepNext w:val="0"/>
        <w:keepLines w:val="0"/>
        <w:widowControl/>
        <w:suppressLineNumbers w:val="0"/>
        <w:jc w:val="left"/>
        <w:rPr>
          <w:rFonts w:hint="eastAsia" w:ascii="仿宋_GB2312" w:eastAsia="仿宋_GB2312" w:cs="仿宋_GB2312"/>
          <w:color w:val="auto"/>
          <w:sz w:val="32"/>
          <w:szCs w:val="32"/>
          <w:highlight w:val="none"/>
        </w:rPr>
      </w:pPr>
      <w:r>
        <w:rPr>
          <w:rFonts w:ascii="宋体" w:eastAsia="宋体" w:cs="宋体"/>
          <w:kern w:val="0"/>
          <w:sz w:val="24"/>
          <w:szCs w:val="24"/>
          <w:lang w:val="en-US" w:eastAsia="zh-CN"/>
        </w:rPr>
        <w:drawing>
          <wp:anchor distT="0" distB="0" distL="114300" distR="114300" simplePos="0" relativeHeight="251659264" behindDoc="0" locked="0" layoutInCell="1" allowOverlap="1">
            <wp:simplePos x="0" y="0"/>
            <wp:positionH relativeFrom="column">
              <wp:posOffset>655320</wp:posOffset>
            </wp:positionH>
            <wp:positionV relativeFrom="paragraph">
              <wp:posOffset>60960</wp:posOffset>
            </wp:positionV>
            <wp:extent cx="3916045" cy="2346325"/>
            <wp:effectExtent l="0" t="0" r="0" b="0"/>
            <wp:wrapTopAndBottom/>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13"/>
                    <a:stretch>
                      <a:fillRect/>
                    </a:stretch>
                  </pic:blipFill>
                  <pic:spPr>
                    <a:xfrm>
                      <a:off x="0" y="0"/>
                      <a:ext cx="3916045" cy="2346325"/>
                    </a:xfrm>
                    <a:prstGeom prst="rect">
                      <a:avLst/>
                    </a:prstGeom>
                    <a:noFill/>
                    <a:ln w="9525" cap="flat" cmpd="sng">
                      <a:noFill/>
                      <a:prstDash val="solid"/>
                      <a:round/>
                    </a:ln>
                  </pic:spPr>
                </pic:pic>
              </a:graphicData>
            </a:graphic>
          </wp:anchor>
        </w:drawing>
      </w:r>
      <w:r>
        <w:rPr>
          <w:rFonts w:hint="eastAsia" w:ascii="宋体" w:eastAsia="宋体" w:cs="宋体"/>
          <w:kern w:val="0"/>
          <w:sz w:val="24"/>
          <w:szCs w:val="24"/>
          <w:lang w:val="en-US" w:eastAsia="zh-CN"/>
        </w:rPr>
        <w:t xml:space="preserve">           </w:t>
      </w:r>
      <w:r>
        <w:rPr>
          <w:rFonts w:hint="eastAsia" w:ascii="仿宋_GB2312" w:eastAsia="仿宋_GB2312" w:cs="仿宋_GB2312"/>
          <w:color w:val="auto"/>
          <w:sz w:val="32"/>
          <w:szCs w:val="32"/>
          <w:highlight w:val="none"/>
        </w:rPr>
        <w:t>（图3：支出决算结构图）（饼状图）</w:t>
      </w:r>
    </w:p>
    <w:p>
      <w:pPr>
        <w:spacing w:line="600" w:lineRule="exact"/>
        <w:ind w:firstLine="640" w:firstLineChars="200"/>
        <w:outlineLvl w:val="1"/>
        <w:rPr>
          <w:rStyle w:val="19"/>
          <w:rFonts w:ascii="黑体" w:eastAsia="黑体"/>
          <w:b w:val="0"/>
          <w:color w:val="auto"/>
          <w:highlight w:val="none"/>
        </w:rPr>
      </w:pPr>
      <w:bookmarkStart w:id="30" w:name="_Toc15396606"/>
      <w:bookmarkStart w:id="31" w:name="_Toc15377208"/>
      <w:r>
        <w:rPr>
          <w:rFonts w:hint="eastAsia" w:ascii="黑体" w:eastAsia="黑体"/>
          <w:color w:val="auto"/>
          <w:sz w:val="32"/>
          <w:szCs w:val="32"/>
          <w:highlight w:val="none"/>
        </w:rPr>
        <w:t>四、财</w:t>
      </w:r>
      <w:r>
        <w:rPr>
          <w:rStyle w:val="19"/>
          <w:rFonts w:hint="eastAsia" w:ascii="黑体" w:eastAsia="黑体"/>
          <w:b w:val="0"/>
          <w:color w:val="auto"/>
          <w:highlight w:val="none"/>
        </w:rPr>
        <w:t>政拨款收入支出决算总体情况说明</w:t>
      </w:r>
      <w:bookmarkEnd w:id="30"/>
      <w:bookmarkEnd w:id="31"/>
    </w:p>
    <w:p>
      <w:pPr>
        <w:spacing w:line="600" w:lineRule="exact"/>
        <w:ind w:firstLine="64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rPr>
        <w:t>20</w:t>
      </w:r>
      <w:r>
        <w:rPr>
          <w:rFonts w:hint="eastAsia" w:ascii="仿宋_GB2312" w:eastAsia="仿宋_GB2312" w:cs="仿宋_GB2312"/>
          <w:b w:val="0"/>
          <w:bCs w:val="0"/>
          <w:color w:val="auto"/>
          <w:sz w:val="32"/>
          <w:szCs w:val="32"/>
          <w:highlight w:val="none"/>
          <w:lang w:val="en-US" w:eastAsia="zh-CN"/>
        </w:rPr>
        <w:t>21</w:t>
      </w:r>
      <w:r>
        <w:rPr>
          <w:rFonts w:hint="eastAsia" w:ascii="仿宋_GB2312" w:eastAsia="仿宋_GB2312" w:cs="仿宋_GB2312"/>
          <w:b w:val="0"/>
          <w:bCs w:val="0"/>
          <w:color w:val="auto"/>
          <w:sz w:val="32"/>
          <w:szCs w:val="32"/>
          <w:highlight w:val="none"/>
        </w:rPr>
        <w:t>年财政拨款收、支总计</w:t>
      </w:r>
      <w:r>
        <w:rPr>
          <w:rFonts w:hint="eastAsia" w:ascii="仿宋_GB2312" w:eastAsia="仿宋_GB2312" w:cs="仿宋_GB2312"/>
          <w:b w:val="0"/>
          <w:bCs w:val="0"/>
          <w:color w:val="auto"/>
          <w:sz w:val="32"/>
          <w:szCs w:val="32"/>
          <w:highlight w:val="none"/>
          <w:lang w:val="en-US" w:eastAsia="zh-CN"/>
        </w:rPr>
        <w:t>7592.07</w:t>
      </w:r>
      <w:r>
        <w:rPr>
          <w:rFonts w:hint="eastAsia" w:ascii="仿宋_GB2312" w:eastAsia="仿宋_GB2312" w:cs="仿宋_GB2312"/>
          <w:b w:val="0"/>
          <w:bCs w:val="0"/>
          <w:color w:val="auto"/>
          <w:sz w:val="32"/>
          <w:szCs w:val="32"/>
          <w:highlight w:val="none"/>
        </w:rPr>
        <w:t>万元。与20</w:t>
      </w:r>
      <w:r>
        <w:rPr>
          <w:rFonts w:hint="eastAsia" w:ascii="仿宋_GB2312" w:eastAsia="仿宋_GB2312" w:cs="仿宋_GB2312"/>
          <w:b w:val="0"/>
          <w:bCs w:val="0"/>
          <w:color w:val="auto"/>
          <w:sz w:val="32"/>
          <w:szCs w:val="32"/>
          <w:highlight w:val="none"/>
          <w:lang w:val="en-US" w:eastAsia="zh-CN"/>
        </w:rPr>
        <w:t>20</w:t>
      </w:r>
      <w:r>
        <w:rPr>
          <w:rFonts w:hint="eastAsia" w:ascii="仿宋_GB2312" w:eastAsia="仿宋_GB2312" w:cs="仿宋_GB2312"/>
          <w:b w:val="0"/>
          <w:bCs w:val="0"/>
          <w:color w:val="auto"/>
          <w:sz w:val="32"/>
          <w:szCs w:val="32"/>
          <w:highlight w:val="none"/>
        </w:rPr>
        <w:t>年相比，财政拨款收、支总计</w:t>
      </w:r>
      <w:r>
        <w:rPr>
          <w:rFonts w:hint="eastAsia" w:ascii="仿宋_GB2312" w:eastAsia="仿宋_GB2312" w:cs="仿宋_GB2312"/>
          <w:b w:val="0"/>
          <w:bCs w:val="0"/>
          <w:color w:val="auto"/>
          <w:sz w:val="32"/>
          <w:szCs w:val="32"/>
          <w:highlight w:val="none"/>
          <w:lang w:val="en-US" w:eastAsia="zh-CN"/>
        </w:rPr>
        <w:t>7932.93万元</w:t>
      </w:r>
      <w:r>
        <w:rPr>
          <w:rFonts w:hint="eastAsia" w:ascii="仿宋_GB2312" w:eastAsia="仿宋_GB2312" w:cs="仿宋_GB2312"/>
          <w:b w:val="0"/>
          <w:bCs w:val="0"/>
          <w:color w:val="auto"/>
          <w:sz w:val="32"/>
          <w:szCs w:val="32"/>
          <w:highlight w:val="none"/>
        </w:rPr>
        <w:t>减少</w:t>
      </w:r>
      <w:r>
        <w:rPr>
          <w:rFonts w:hint="eastAsia" w:ascii="仿宋_GB2312" w:eastAsia="仿宋_GB2312" w:cs="仿宋_GB2312"/>
          <w:b w:val="0"/>
          <w:bCs w:val="0"/>
          <w:color w:val="auto"/>
          <w:sz w:val="32"/>
          <w:szCs w:val="32"/>
          <w:highlight w:val="none"/>
          <w:lang w:val="en-US" w:eastAsia="zh-CN"/>
        </w:rPr>
        <w:t>340.86</w:t>
      </w:r>
      <w:r>
        <w:rPr>
          <w:rFonts w:hint="eastAsia" w:ascii="仿宋_GB2312" w:eastAsia="仿宋_GB2312" w:cs="仿宋_GB2312"/>
          <w:b w:val="0"/>
          <w:bCs w:val="0"/>
          <w:color w:val="auto"/>
          <w:sz w:val="32"/>
          <w:szCs w:val="32"/>
          <w:highlight w:val="none"/>
        </w:rPr>
        <w:t>万元，下降</w:t>
      </w:r>
      <w:r>
        <w:rPr>
          <w:rFonts w:hint="eastAsia" w:ascii="仿宋_GB2312" w:eastAsia="仿宋_GB2312" w:cs="仿宋_GB2312"/>
          <w:b w:val="0"/>
          <w:bCs w:val="0"/>
          <w:color w:val="auto"/>
          <w:sz w:val="32"/>
          <w:szCs w:val="32"/>
          <w:highlight w:val="none"/>
          <w:lang w:val="en-US" w:eastAsia="zh-CN"/>
        </w:rPr>
        <w:t>4.30</w:t>
      </w:r>
      <w:r>
        <w:rPr>
          <w:rFonts w:hint="eastAsia" w:ascii="仿宋_GB2312" w:eastAsia="仿宋_GB2312" w:cs="仿宋_GB2312"/>
          <w:b w:val="0"/>
          <w:bCs w:val="0"/>
          <w:color w:val="auto"/>
          <w:sz w:val="32"/>
          <w:szCs w:val="32"/>
          <w:highlight w:val="none"/>
        </w:rPr>
        <w:t>%。主要变动原因是</w:t>
      </w:r>
      <w:r>
        <w:rPr>
          <w:rFonts w:hint="eastAsia" w:ascii="仿宋_GB2312" w:eastAsia="仿宋_GB2312" w:cs="仿宋_GB2312"/>
          <w:b w:val="0"/>
          <w:bCs w:val="0"/>
          <w:color w:val="auto"/>
          <w:sz w:val="32"/>
          <w:szCs w:val="32"/>
          <w:highlight w:val="none"/>
          <w:lang w:eastAsia="zh-CN"/>
        </w:rPr>
        <w:t>政府性基金预算增加，社保接续工作养老保险资金减少。</w:t>
      </w:r>
    </w:p>
    <w:p>
      <w:pPr>
        <w:keepNext w:val="0"/>
        <w:keepLines w:val="0"/>
        <w:widowControl/>
        <w:suppressLineNumbers w:val="0"/>
        <w:jc w:val="left"/>
        <w:rPr>
          <w:rFonts w:hint="eastAsia" w:ascii="仿宋_GB2312" w:eastAsia="仿宋_GB2312" w:cs="仿宋_GB2312"/>
          <w:b/>
          <w:color w:val="auto"/>
          <w:sz w:val="32"/>
          <w:szCs w:val="32"/>
          <w:highlight w:val="none"/>
        </w:rPr>
      </w:pPr>
      <w:r>
        <w:rPr>
          <w:rFonts w:hint="eastAsia" w:ascii="仿宋_GB2312" w:eastAsia="仿宋_GB2312" w:cs="仿宋_GB2312"/>
          <w:kern w:val="0"/>
          <w:sz w:val="32"/>
          <w:szCs w:val="32"/>
          <w:lang w:val="en-US" w:eastAsia="zh-CN"/>
        </w:rPr>
        <w:drawing>
          <wp:anchor distT="0" distB="0" distL="114300" distR="114300" simplePos="0" relativeHeight="251659264" behindDoc="0" locked="0" layoutInCell="1" allowOverlap="1">
            <wp:simplePos x="0" y="0"/>
            <wp:positionH relativeFrom="column">
              <wp:posOffset>701040</wp:posOffset>
            </wp:positionH>
            <wp:positionV relativeFrom="paragraph">
              <wp:posOffset>76200</wp:posOffset>
            </wp:positionV>
            <wp:extent cx="3774440" cy="1743710"/>
            <wp:effectExtent l="0" t="0" r="0" b="0"/>
            <wp:wrapTopAndBottom/>
            <wp:docPr id="10"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6"/>
                    <pic:cNvPicPr>
                      <a:picLocks noChangeAspect="1"/>
                    </pic:cNvPicPr>
                  </pic:nvPicPr>
                  <pic:blipFill>
                    <a:blip r:embed="rId14"/>
                    <a:stretch>
                      <a:fillRect/>
                    </a:stretch>
                  </pic:blipFill>
                  <pic:spPr>
                    <a:xfrm>
                      <a:off x="0" y="0"/>
                      <a:ext cx="3774440" cy="1743710"/>
                    </a:xfrm>
                    <a:prstGeom prst="rect">
                      <a:avLst/>
                    </a:prstGeom>
                    <a:noFill/>
                    <a:ln w="9525" cap="flat" cmpd="sng">
                      <a:noFill/>
                      <a:prstDash val="solid"/>
                      <a:round/>
                    </a:ln>
                  </pic:spPr>
                </pic:pic>
              </a:graphicData>
            </a:graphic>
          </wp:anchor>
        </w:drawing>
      </w:r>
      <w:r>
        <w:rPr>
          <w:rFonts w:hint="eastAsia" w:ascii="仿宋_GB2312" w:eastAsia="仿宋_GB2312" w:cs="仿宋_GB2312"/>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黑体" w:eastAsia="黑体"/>
          <w:b w:val="0"/>
          <w:color w:val="auto"/>
          <w:highlight w:val="none"/>
        </w:rPr>
      </w:pPr>
      <w:bookmarkStart w:id="32" w:name="_Toc15396607"/>
      <w:bookmarkStart w:id="33" w:name="_Toc15377209"/>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19"/>
          <w:rFonts w:hint="eastAsia" w:ascii="黑体" w:eastAsia="黑体"/>
          <w:b w:val="0"/>
          <w:color w:val="auto"/>
          <w:highlight w:val="none"/>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eastAsia="仿宋"/>
          <w:b/>
          <w:color w:val="auto"/>
          <w:sz w:val="32"/>
          <w:szCs w:val="32"/>
          <w:highlight w:val="none"/>
        </w:rPr>
      </w:pPr>
      <w:bookmarkStart w:id="34" w:name="_Toc15377210"/>
      <w:r>
        <w:rPr>
          <w:rFonts w:hint="eastAsia" w:ascii="仿宋" w:eastAsia="仿宋"/>
          <w:b/>
          <w:color w:val="auto"/>
          <w:sz w:val="32"/>
          <w:szCs w:val="32"/>
          <w:highlight w:val="none"/>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年一般公共预算财政拨款支出</w:t>
      </w:r>
      <w:r>
        <w:rPr>
          <w:rFonts w:hint="eastAsia" w:ascii="仿宋_GB2312" w:eastAsia="仿宋_GB2312" w:cs="仿宋_GB2312"/>
          <w:color w:val="auto"/>
          <w:sz w:val="32"/>
          <w:szCs w:val="32"/>
          <w:highlight w:val="none"/>
          <w:lang w:val="en-US" w:eastAsia="zh-CN"/>
        </w:rPr>
        <w:t>5424.74</w:t>
      </w:r>
      <w:r>
        <w:rPr>
          <w:rFonts w:hint="eastAsia" w:ascii="仿宋_GB2312" w:eastAsia="仿宋_GB2312" w:cs="仿宋_GB2312"/>
          <w:color w:val="auto"/>
          <w:sz w:val="32"/>
          <w:szCs w:val="32"/>
          <w:highlight w:val="none"/>
        </w:rPr>
        <w:t>万元，占本年支出合计的</w:t>
      </w:r>
      <w:r>
        <w:rPr>
          <w:rFonts w:hint="eastAsia" w:ascii="仿宋_GB2312" w:eastAsia="仿宋_GB2312" w:cs="仿宋_GB2312"/>
          <w:color w:val="auto"/>
          <w:sz w:val="32"/>
          <w:szCs w:val="32"/>
          <w:highlight w:val="none"/>
          <w:lang w:val="en-US" w:eastAsia="zh-CN"/>
        </w:rPr>
        <w:t>90.38%</w:t>
      </w:r>
      <w:r>
        <w:rPr>
          <w:rFonts w:hint="eastAsia" w:ascii="仿宋_GB2312" w:eastAsia="仿宋_GB2312" w:cs="仿宋_GB2312"/>
          <w:color w:val="auto"/>
          <w:sz w:val="32"/>
          <w:szCs w:val="32"/>
          <w:highlight w:val="none"/>
        </w:rPr>
        <w:t>。与20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年相比，一般公共预算财政拨款</w:t>
      </w:r>
      <w:r>
        <w:rPr>
          <w:rFonts w:hint="eastAsia" w:ascii="仿宋_GB2312" w:eastAsia="仿宋_GB2312" w:cs="仿宋_GB2312"/>
          <w:color w:val="auto"/>
          <w:sz w:val="32"/>
          <w:szCs w:val="32"/>
          <w:highlight w:val="none"/>
          <w:lang w:eastAsia="zh-CN"/>
        </w:rPr>
        <w:t>支出</w:t>
      </w:r>
      <w:r>
        <w:rPr>
          <w:rFonts w:hint="eastAsia" w:ascii="仿宋_GB2312" w:eastAsia="仿宋_GB2312" w:cs="仿宋_GB2312"/>
          <w:color w:val="auto"/>
          <w:sz w:val="32"/>
          <w:szCs w:val="32"/>
          <w:highlight w:val="none"/>
          <w:lang w:val="en-US" w:eastAsia="zh-CN"/>
        </w:rPr>
        <w:t>6128.76万元</w:t>
      </w:r>
      <w:r>
        <w:rPr>
          <w:rFonts w:hint="eastAsia" w:ascii="仿宋_GB2312" w:eastAsia="仿宋_GB2312" w:cs="仿宋_GB2312"/>
          <w:color w:val="auto"/>
          <w:sz w:val="32"/>
          <w:szCs w:val="32"/>
          <w:highlight w:val="none"/>
        </w:rPr>
        <w:t>减少</w:t>
      </w:r>
      <w:r>
        <w:rPr>
          <w:rFonts w:hint="eastAsia" w:ascii="仿宋_GB2312" w:eastAsia="仿宋_GB2312" w:cs="仿宋_GB2312"/>
          <w:color w:val="auto"/>
          <w:sz w:val="32"/>
          <w:szCs w:val="32"/>
          <w:highlight w:val="none"/>
          <w:lang w:val="en-US" w:eastAsia="zh-CN"/>
        </w:rPr>
        <w:t>704.00</w:t>
      </w:r>
      <w:r>
        <w:rPr>
          <w:rFonts w:hint="eastAsia" w:ascii="仿宋_GB2312" w:eastAsia="仿宋_GB2312" w:cs="仿宋_GB2312"/>
          <w:color w:val="auto"/>
          <w:sz w:val="32"/>
          <w:szCs w:val="32"/>
          <w:highlight w:val="none"/>
        </w:rPr>
        <w:t>万元，下降</w:t>
      </w:r>
      <w:r>
        <w:rPr>
          <w:rFonts w:hint="eastAsia" w:ascii="仿宋_GB2312" w:eastAsia="仿宋_GB2312" w:cs="仿宋_GB2312"/>
          <w:color w:val="auto"/>
          <w:sz w:val="32"/>
          <w:szCs w:val="32"/>
          <w:highlight w:val="none"/>
          <w:lang w:val="en-US" w:eastAsia="zh-CN"/>
        </w:rPr>
        <w:t>11.49</w:t>
      </w:r>
      <w:r>
        <w:rPr>
          <w:rFonts w:hint="eastAsia" w:ascii="仿宋_GB2312" w:eastAsia="仿宋_GB2312" w:cs="仿宋_GB2312"/>
          <w:color w:val="auto"/>
          <w:sz w:val="32"/>
          <w:szCs w:val="32"/>
          <w:highlight w:val="none"/>
        </w:rPr>
        <w:t>%。主要变动原因是</w:t>
      </w:r>
      <w:r>
        <w:rPr>
          <w:rFonts w:hint="eastAsia" w:ascii="仿宋_GB2312" w:eastAsia="仿宋_GB2312" w:cs="仿宋_GB2312"/>
          <w:color w:val="auto"/>
          <w:sz w:val="32"/>
          <w:szCs w:val="32"/>
          <w:highlight w:val="none"/>
          <w:lang w:eastAsia="zh-CN"/>
        </w:rPr>
        <w:t>社保接续工作养老保险资金减少。</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eastAsia="仿宋_GB2312" w:cs="仿宋_GB2312"/>
          <w:color w:val="auto"/>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仿宋" w:eastAsia="仿宋"/>
          <w:b/>
          <w:color w:val="auto"/>
          <w:sz w:val="32"/>
          <w:szCs w:val="32"/>
          <w:highlight w:val="none"/>
        </w:rPr>
      </w:pPr>
      <w:r>
        <w:rPr>
          <w:rFonts w:hint="eastAsia" w:ascii="仿宋_GB2312" w:eastAsia="仿宋_GB2312" w:cs="仿宋_GB2312"/>
          <w:kern w:val="0"/>
          <w:sz w:val="32"/>
          <w:szCs w:val="32"/>
          <w:lang w:val="en-US" w:eastAsia="zh-CN"/>
        </w:rPr>
        <w:drawing>
          <wp:anchor distT="0" distB="0" distL="114300" distR="114300" simplePos="0" relativeHeight="251659264" behindDoc="0" locked="0" layoutInCell="1" allowOverlap="1">
            <wp:simplePos x="0" y="0"/>
            <wp:positionH relativeFrom="column">
              <wp:posOffset>731520</wp:posOffset>
            </wp:positionH>
            <wp:positionV relativeFrom="paragraph">
              <wp:posOffset>68580</wp:posOffset>
            </wp:positionV>
            <wp:extent cx="4164330" cy="2402840"/>
            <wp:effectExtent l="0" t="0" r="0" b="0"/>
            <wp:wrapTopAndBottom/>
            <wp:docPr id="1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56"/>
                    <pic:cNvPicPr>
                      <a:picLocks noChangeAspect="1"/>
                    </pic:cNvPicPr>
                  </pic:nvPicPr>
                  <pic:blipFill>
                    <a:blip r:embed="rId15"/>
                    <a:stretch>
                      <a:fillRect/>
                    </a:stretch>
                  </pic:blipFill>
                  <pic:spPr>
                    <a:xfrm>
                      <a:off x="0" y="0"/>
                      <a:ext cx="4164330" cy="2402840"/>
                    </a:xfrm>
                    <a:prstGeom prst="rect">
                      <a:avLst/>
                    </a:prstGeom>
                    <a:noFill/>
                    <a:ln w="9525" cap="flat" cmpd="sng">
                      <a:noFill/>
                      <a:prstDash val="solid"/>
                      <a:round/>
                    </a:ln>
                  </pic:spPr>
                </pic:pic>
              </a:graphicData>
            </a:graphic>
          </wp:anchor>
        </w:drawing>
      </w:r>
      <w:r>
        <w:rPr>
          <w:rFonts w:hint="eastAsia" w:ascii="仿宋_GB2312" w:eastAsia="仿宋_GB2312" w:cs="仿宋_GB2312"/>
          <w:color w:val="auto"/>
          <w:sz w:val="32"/>
          <w:szCs w:val="32"/>
          <w:highlight w:val="none"/>
        </w:rPr>
        <w:t>（图5：一般公共预算财政拨款支出决算变动情况）（柱状图）</w:t>
      </w:r>
      <w:bookmarkStart w:id="35" w:name="_Toc15377211"/>
      <w:r>
        <w:rPr>
          <w:rFonts w:hint="eastAsia" w:ascii="仿宋" w:eastAsia="仿宋"/>
          <w:b/>
          <w:color w:val="auto"/>
          <w:sz w:val="32"/>
          <w:szCs w:val="32"/>
          <w:highlight w:val="none"/>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eastAsia="仿宋"/>
          <w:color w:val="auto"/>
          <w:sz w:val="32"/>
          <w:szCs w:val="32"/>
          <w:highlight w:val="none"/>
        </w:rPr>
      </w:pPr>
      <w:r>
        <w:rPr>
          <w:rFonts w:ascii="仿宋" w:eastAsia="仿宋"/>
          <w:b w:val="0"/>
          <w:bCs w:val="0"/>
          <w:color w:val="auto"/>
          <w:sz w:val="32"/>
          <w:szCs w:val="32"/>
          <w:highlight w:val="none"/>
        </w:rPr>
        <w:t>20</w:t>
      </w:r>
      <w:r>
        <w:rPr>
          <w:rFonts w:hint="eastAsia" w:ascii="仿宋" w:eastAsia="仿宋"/>
          <w:b w:val="0"/>
          <w:bCs w:val="0"/>
          <w:color w:val="auto"/>
          <w:sz w:val="32"/>
          <w:szCs w:val="32"/>
          <w:highlight w:val="none"/>
          <w:lang w:val="en-US" w:eastAsia="zh-CN"/>
        </w:rPr>
        <w:t>21</w:t>
      </w:r>
      <w:r>
        <w:rPr>
          <w:rFonts w:hint="eastAsia" w:ascii="仿宋" w:eastAsia="仿宋"/>
          <w:b w:val="0"/>
          <w:bCs w:val="0"/>
          <w:color w:val="auto"/>
          <w:sz w:val="32"/>
          <w:szCs w:val="32"/>
          <w:highlight w:val="none"/>
        </w:rPr>
        <w:t>年一般公共预算财政拨款支出</w:t>
      </w:r>
      <w:r>
        <w:rPr>
          <w:rFonts w:hint="eastAsia" w:ascii="仿宋" w:eastAsia="仿宋"/>
          <w:b w:val="0"/>
          <w:bCs w:val="0"/>
          <w:color w:val="auto"/>
          <w:sz w:val="32"/>
          <w:szCs w:val="32"/>
          <w:highlight w:val="none"/>
          <w:lang w:val="en-US" w:eastAsia="zh-CN"/>
        </w:rPr>
        <w:t>5424.74</w:t>
      </w:r>
      <w:r>
        <w:rPr>
          <w:rFonts w:hint="eastAsia" w:ascii="仿宋" w:eastAsia="仿宋"/>
          <w:b w:val="0"/>
          <w:bCs w:val="0"/>
          <w:color w:val="auto"/>
          <w:sz w:val="32"/>
          <w:szCs w:val="32"/>
          <w:highlight w:val="none"/>
        </w:rPr>
        <w:t>万元，主要用于以下方面</w:t>
      </w:r>
      <w:r>
        <w:rPr>
          <w:rFonts w:ascii="仿宋" w:eastAsia="仿宋"/>
          <w:b w:val="0"/>
          <w:bCs w:val="0"/>
          <w:color w:val="auto"/>
          <w:sz w:val="32"/>
          <w:szCs w:val="32"/>
          <w:highlight w:val="none"/>
        </w:rPr>
        <w:t>:</w:t>
      </w:r>
      <w:r>
        <w:rPr>
          <w:rFonts w:hint="eastAsia" w:ascii="仿宋" w:eastAsia="仿宋"/>
          <w:b w:val="0"/>
          <w:bCs w:val="0"/>
          <w:color w:val="auto"/>
          <w:sz w:val="32"/>
          <w:szCs w:val="32"/>
          <w:highlight w:val="none"/>
        </w:rPr>
        <w:t>社会保障和就业（类）支出</w:t>
      </w:r>
      <w:r>
        <w:rPr>
          <w:rFonts w:hint="eastAsia" w:ascii="仿宋" w:eastAsia="仿宋"/>
          <w:b w:val="0"/>
          <w:bCs w:val="0"/>
          <w:color w:val="auto"/>
          <w:sz w:val="32"/>
          <w:szCs w:val="32"/>
          <w:highlight w:val="none"/>
          <w:lang w:val="en-US" w:eastAsia="zh-CN"/>
        </w:rPr>
        <w:t>5143.90</w:t>
      </w:r>
      <w:r>
        <w:rPr>
          <w:rFonts w:hint="eastAsia" w:ascii="仿宋" w:eastAsia="仿宋"/>
          <w:b w:val="0"/>
          <w:bCs w:val="0"/>
          <w:color w:val="auto"/>
          <w:sz w:val="32"/>
          <w:szCs w:val="32"/>
          <w:highlight w:val="none"/>
        </w:rPr>
        <w:t>万元，占</w:t>
      </w:r>
      <w:r>
        <w:rPr>
          <w:rFonts w:hint="eastAsia" w:ascii="仿宋" w:eastAsia="仿宋"/>
          <w:b w:val="0"/>
          <w:bCs w:val="0"/>
          <w:color w:val="auto"/>
          <w:sz w:val="32"/>
          <w:szCs w:val="32"/>
          <w:highlight w:val="none"/>
          <w:lang w:val="en-US" w:eastAsia="zh-CN"/>
        </w:rPr>
        <w:t>94.82</w:t>
      </w:r>
      <w:r>
        <w:rPr>
          <w:rFonts w:ascii="仿宋" w:eastAsia="仿宋"/>
          <w:b w:val="0"/>
          <w:bCs w:val="0"/>
          <w:color w:val="auto"/>
          <w:sz w:val="32"/>
          <w:szCs w:val="32"/>
          <w:highlight w:val="none"/>
        </w:rPr>
        <w:t>%</w:t>
      </w:r>
      <w:r>
        <w:rPr>
          <w:rFonts w:hint="eastAsia" w:ascii="仿宋" w:eastAsia="仿宋"/>
          <w:b w:val="0"/>
          <w:bCs w:val="0"/>
          <w:color w:val="auto"/>
          <w:sz w:val="32"/>
          <w:szCs w:val="32"/>
          <w:highlight w:val="none"/>
        </w:rPr>
        <w:t>；卫生健康支出</w:t>
      </w:r>
      <w:r>
        <w:rPr>
          <w:rFonts w:hint="eastAsia" w:ascii="仿宋" w:eastAsia="仿宋"/>
          <w:b w:val="0"/>
          <w:bCs w:val="0"/>
          <w:color w:val="auto"/>
          <w:sz w:val="32"/>
          <w:szCs w:val="32"/>
          <w:highlight w:val="none"/>
          <w:lang w:val="en-US" w:eastAsia="zh-CN"/>
        </w:rPr>
        <w:t>150.19</w:t>
      </w:r>
      <w:r>
        <w:rPr>
          <w:rFonts w:hint="eastAsia" w:ascii="仿宋" w:eastAsia="仿宋"/>
          <w:b w:val="0"/>
          <w:bCs w:val="0"/>
          <w:color w:val="auto"/>
          <w:sz w:val="32"/>
          <w:szCs w:val="32"/>
          <w:highlight w:val="none"/>
        </w:rPr>
        <w:t>万元，占</w:t>
      </w:r>
      <w:r>
        <w:rPr>
          <w:rFonts w:hint="eastAsia" w:ascii="仿宋" w:eastAsia="仿宋"/>
          <w:b w:val="0"/>
          <w:bCs w:val="0"/>
          <w:color w:val="auto"/>
          <w:sz w:val="32"/>
          <w:szCs w:val="32"/>
          <w:highlight w:val="none"/>
          <w:lang w:val="en-US" w:eastAsia="zh-CN"/>
        </w:rPr>
        <w:t>2.77</w:t>
      </w:r>
      <w:r>
        <w:rPr>
          <w:rFonts w:ascii="仿宋" w:eastAsia="仿宋"/>
          <w:b w:val="0"/>
          <w:bCs w:val="0"/>
          <w:color w:val="auto"/>
          <w:sz w:val="32"/>
          <w:szCs w:val="32"/>
          <w:highlight w:val="none"/>
        </w:rPr>
        <w:t>%</w:t>
      </w:r>
      <w:r>
        <w:rPr>
          <w:rFonts w:hint="eastAsia" w:ascii="仿宋" w:eastAsia="仿宋"/>
          <w:b w:val="0"/>
          <w:bCs w:val="0"/>
          <w:color w:val="auto"/>
          <w:sz w:val="32"/>
          <w:szCs w:val="32"/>
          <w:highlight w:val="none"/>
        </w:rPr>
        <w:t>；住房保障支出</w:t>
      </w:r>
      <w:r>
        <w:rPr>
          <w:rFonts w:hint="eastAsia" w:ascii="仿宋" w:eastAsia="仿宋"/>
          <w:b w:val="0"/>
          <w:bCs w:val="0"/>
          <w:color w:val="auto"/>
          <w:sz w:val="32"/>
          <w:szCs w:val="32"/>
          <w:highlight w:val="none"/>
          <w:lang w:val="en-US" w:eastAsia="zh-CN"/>
        </w:rPr>
        <w:t>130.65</w:t>
      </w:r>
      <w:r>
        <w:rPr>
          <w:rFonts w:hint="eastAsia" w:ascii="仿宋" w:eastAsia="仿宋"/>
          <w:b w:val="0"/>
          <w:bCs w:val="0"/>
          <w:color w:val="auto"/>
          <w:sz w:val="32"/>
          <w:szCs w:val="32"/>
          <w:highlight w:val="none"/>
        </w:rPr>
        <w:t>万</w:t>
      </w:r>
      <w:r>
        <w:rPr>
          <w:rFonts w:hint="eastAsia" w:ascii="仿宋" w:eastAsia="仿宋"/>
          <w:color w:val="auto"/>
          <w:sz w:val="32"/>
          <w:szCs w:val="32"/>
          <w:highlight w:val="none"/>
        </w:rPr>
        <w:t>元，占</w:t>
      </w:r>
      <w:r>
        <w:rPr>
          <w:rFonts w:hint="eastAsia" w:ascii="仿宋" w:eastAsia="仿宋"/>
          <w:color w:val="auto"/>
          <w:sz w:val="32"/>
          <w:szCs w:val="32"/>
          <w:highlight w:val="none"/>
          <w:lang w:val="en-US" w:eastAsia="zh-CN"/>
        </w:rPr>
        <w:t>2.41</w:t>
      </w:r>
      <w:r>
        <w:rPr>
          <w:rFonts w:ascii="仿宋" w:eastAsia="仿宋"/>
          <w:color w:val="auto"/>
          <w:sz w:val="32"/>
          <w:szCs w:val="32"/>
          <w:highlight w:val="none"/>
        </w:rPr>
        <w:t>%</w:t>
      </w:r>
      <w:r>
        <w:rPr>
          <w:rFonts w:hint="eastAsia" w:ascii="仿宋" w:eastAsia="仿宋"/>
          <w:color w:val="auto"/>
          <w:sz w:val="32"/>
          <w:szCs w:val="32"/>
          <w:highlight w:val="none"/>
        </w:rPr>
        <w:t>；</w:t>
      </w:r>
    </w:p>
    <w:p>
      <w:pPr>
        <w:keepNext w:val="0"/>
        <w:keepLines w:val="0"/>
        <w:widowControl/>
        <w:suppressLineNumbers w:val="0"/>
        <w:jc w:val="center"/>
        <w:rPr>
          <w:rFonts w:hint="eastAsia" w:ascii="仿宋" w:eastAsia="仿宋"/>
          <w:color w:val="auto"/>
          <w:sz w:val="32"/>
          <w:szCs w:val="32"/>
          <w:highlight w:val="none"/>
        </w:rPr>
      </w:pPr>
      <w:r>
        <w:rPr>
          <w:rFonts w:ascii="宋体" w:eastAsia="宋体" w:cs="宋体"/>
          <w:kern w:val="0"/>
          <w:sz w:val="24"/>
          <w:szCs w:val="24"/>
          <w:lang w:val="en-US" w:eastAsia="zh-CN"/>
        </w:rPr>
        <w:drawing>
          <wp:inline distT="0" distB="0" distL="114300" distR="114300">
            <wp:extent cx="3442970" cy="2079625"/>
            <wp:effectExtent l="0" t="0" r="21" b="31"/>
            <wp:docPr id="1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IMG_256"/>
                    <pic:cNvPicPr>
                      <a:picLocks noChangeAspect="1"/>
                    </pic:cNvPicPr>
                  </pic:nvPicPr>
                  <pic:blipFill>
                    <a:blip r:embed="rId16"/>
                    <a:stretch>
                      <a:fillRect/>
                    </a:stretch>
                  </pic:blipFill>
                  <pic:spPr>
                    <a:xfrm>
                      <a:off x="0" y="0"/>
                      <a:ext cx="3442970" cy="2079625"/>
                    </a:xfrm>
                    <a:prstGeom prst="rect">
                      <a:avLst/>
                    </a:prstGeom>
                    <a:noFill/>
                    <a:ln w="9525" cap="flat" cmpd="sng">
                      <a:noFill/>
                      <a:prstDash val="solid"/>
                      <a:round/>
                    </a:ln>
                  </pic:spPr>
                </pic:pic>
              </a:graphicData>
            </a:graphic>
          </wp:inline>
        </w:drawing>
      </w:r>
    </w:p>
    <w:p>
      <w:pPr>
        <w:spacing w:line="600" w:lineRule="exact"/>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rPr>
        <w:t>（图6：一般公共预算财政拨款支出决算结构）（饼状图）</w:t>
      </w:r>
    </w:p>
    <w:p>
      <w:pPr>
        <w:spacing w:line="600" w:lineRule="exact"/>
        <w:outlineLvl w:val="2"/>
        <w:rPr>
          <w:rFonts w:hint="eastAsia" w:ascii="楷体_GB2312" w:eastAsia="楷体_GB2312" w:cs="楷体_GB2312"/>
          <w:b w:val="0"/>
          <w:bCs w:val="0"/>
          <w:color w:val="auto"/>
          <w:sz w:val="32"/>
          <w:szCs w:val="32"/>
          <w:highlight w:val="none"/>
        </w:rPr>
      </w:pPr>
      <w:bookmarkStart w:id="36" w:name="_Toc15377212"/>
      <w:r>
        <w:rPr>
          <w:rFonts w:hint="eastAsia" w:ascii="楷体_GB2312" w:eastAsia="楷体_GB2312" w:cs="楷体_GB2312"/>
          <w:b w:val="0"/>
          <w:bCs w:val="0"/>
          <w:color w:val="auto"/>
          <w:sz w:val="32"/>
          <w:szCs w:val="32"/>
          <w:highlight w:val="none"/>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6"/>
          <w:rFonts w:hint="eastAsia" w:ascii="仿宋_GB2312" w:eastAsia="仿宋_GB2312" w:cs="仿宋_GB2312"/>
          <w:b w:val="0"/>
          <w:bCs w:val="0"/>
          <w:color w:val="auto"/>
          <w:sz w:val="32"/>
          <w:szCs w:val="32"/>
          <w:highlight w:val="none"/>
        </w:rPr>
      </w:pPr>
      <w:bookmarkStart w:id="37" w:name="_Toc15377213"/>
      <w:bookmarkStart w:id="38" w:name="_Toc15377444"/>
      <w:bookmarkStart w:id="39" w:name="_Toc15378460"/>
      <w:r>
        <w:rPr>
          <w:rFonts w:hint="eastAsia" w:ascii="仿宋_GB2312" w:eastAsia="仿宋_GB2312" w:cs="仿宋_GB2312"/>
          <w:b w:val="0"/>
          <w:bCs w:val="0"/>
          <w:color w:val="auto"/>
          <w:sz w:val="32"/>
          <w:szCs w:val="32"/>
          <w:highlight w:val="none"/>
        </w:rPr>
        <w:t>20</w:t>
      </w:r>
      <w:r>
        <w:rPr>
          <w:rFonts w:hint="eastAsia" w:ascii="仿宋_GB2312" w:eastAsia="仿宋_GB2312" w:cs="仿宋_GB2312"/>
          <w:b w:val="0"/>
          <w:bCs w:val="0"/>
          <w:color w:val="auto"/>
          <w:sz w:val="32"/>
          <w:szCs w:val="32"/>
          <w:highlight w:val="none"/>
          <w:lang w:val="en-US" w:eastAsia="zh-CN"/>
        </w:rPr>
        <w:t>21</w:t>
      </w:r>
      <w:r>
        <w:rPr>
          <w:rFonts w:hint="eastAsia" w:ascii="仿宋_GB2312" w:eastAsia="仿宋_GB2312" w:cs="仿宋_GB2312"/>
          <w:b w:val="0"/>
          <w:bCs w:val="0"/>
          <w:color w:val="auto"/>
          <w:sz w:val="32"/>
          <w:szCs w:val="32"/>
          <w:highlight w:val="none"/>
        </w:rPr>
        <w:t>年</w:t>
      </w:r>
      <w:r>
        <w:rPr>
          <w:rFonts w:hint="eastAsia" w:ascii="仿宋_GB2312" w:eastAsia="仿宋_GB2312" w:cs="仿宋_GB2312"/>
          <w:b w:val="0"/>
          <w:bCs w:val="0"/>
          <w:color w:val="auto"/>
          <w:sz w:val="32"/>
          <w:szCs w:val="32"/>
          <w:highlight w:val="none"/>
          <w:lang w:eastAsia="zh-CN"/>
        </w:rPr>
        <w:t>一</w:t>
      </w:r>
      <w:r>
        <w:rPr>
          <w:rFonts w:hint="eastAsia" w:ascii="仿宋_GB2312" w:eastAsia="仿宋_GB2312" w:cs="仿宋_GB2312"/>
          <w:b w:val="0"/>
          <w:bCs w:val="0"/>
          <w:color w:val="auto"/>
          <w:sz w:val="32"/>
          <w:szCs w:val="32"/>
          <w:highlight w:val="none"/>
        </w:rPr>
        <w:t>般公共预算支出决算数为</w:t>
      </w:r>
      <w:r>
        <w:rPr>
          <w:rFonts w:hint="eastAsia" w:ascii="仿宋_GB2312" w:eastAsia="仿宋_GB2312" w:cs="仿宋_GB2312"/>
          <w:b w:val="0"/>
          <w:bCs w:val="0"/>
          <w:color w:val="auto"/>
          <w:sz w:val="32"/>
          <w:szCs w:val="32"/>
          <w:highlight w:val="none"/>
          <w:lang w:val="en-US" w:eastAsia="zh-CN"/>
        </w:rPr>
        <w:t>5424.74万元</w:t>
      </w:r>
      <w:r>
        <w:rPr>
          <w:rFonts w:hint="eastAsia" w:ascii="仿宋_GB2312" w:eastAsia="仿宋_GB2312" w:cs="仿宋_GB2312"/>
          <w:b w:val="0"/>
          <w:bCs w:val="0"/>
          <w:color w:val="auto"/>
          <w:sz w:val="32"/>
          <w:szCs w:val="32"/>
          <w:highlight w:val="none"/>
        </w:rPr>
        <w:t>，</w:t>
      </w:r>
      <w:r>
        <w:rPr>
          <w:rStyle w:val="16"/>
          <w:rFonts w:hint="eastAsia" w:ascii="仿宋_GB2312" w:eastAsia="仿宋_GB2312" w:cs="仿宋_GB2312"/>
          <w:b w:val="0"/>
          <w:bCs w:val="0"/>
          <w:color w:val="auto"/>
          <w:sz w:val="32"/>
          <w:szCs w:val="32"/>
          <w:highlight w:val="none"/>
        </w:rPr>
        <w:t>完成预算</w:t>
      </w:r>
      <w:r>
        <w:rPr>
          <w:rStyle w:val="16"/>
          <w:rFonts w:hint="eastAsia" w:ascii="仿宋_GB2312" w:eastAsia="仿宋_GB2312" w:cs="仿宋_GB2312"/>
          <w:b w:val="0"/>
          <w:bCs w:val="0"/>
          <w:color w:val="auto"/>
          <w:sz w:val="32"/>
          <w:szCs w:val="32"/>
          <w:highlight w:val="none"/>
          <w:lang w:val="en-US" w:eastAsia="zh-CN"/>
        </w:rPr>
        <w:t>75.64</w:t>
      </w:r>
      <w:r>
        <w:rPr>
          <w:rStyle w:val="16"/>
          <w:rFonts w:hint="eastAsia" w:ascii="仿宋_GB2312" w:eastAsia="仿宋_GB2312" w:cs="仿宋_GB2312"/>
          <w:b w:val="0"/>
          <w:bCs w:val="0"/>
          <w:color w:val="auto"/>
          <w:sz w:val="32"/>
          <w:szCs w:val="32"/>
          <w:highlight w:val="none"/>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w:t>
      </w:r>
      <w:r>
        <w:rPr>
          <w:rFonts w:hint="eastAsia" w:ascii="仿宋_GB2312" w:eastAsia="仿宋_GB2312" w:cs="仿宋_GB2312"/>
          <w:b w:val="0"/>
          <w:bCs w:val="0"/>
          <w:color w:val="000000"/>
          <w:sz w:val="32"/>
          <w:szCs w:val="32"/>
        </w:rPr>
        <w:t>.社会保障和就业（类）行政事业单位养老支出（款）机关事业单位基本养老保险缴费支出（项）:支出决算为</w:t>
      </w:r>
      <w:r>
        <w:rPr>
          <w:rFonts w:hint="eastAsia" w:ascii="仿宋_GB2312" w:eastAsia="仿宋_GB2312" w:cs="仿宋_GB2312"/>
          <w:b w:val="0"/>
          <w:bCs w:val="0"/>
          <w:color w:val="000000"/>
          <w:sz w:val="32"/>
          <w:szCs w:val="32"/>
          <w:lang w:val="en-US" w:eastAsia="zh-CN"/>
        </w:rPr>
        <w:t>100.42</w:t>
      </w:r>
      <w:r>
        <w:rPr>
          <w:rFonts w:hint="eastAsia" w:ascii="仿宋_GB2312" w:eastAsia="仿宋_GB2312" w:cs="仿宋_GB2312"/>
          <w:b w:val="0"/>
          <w:bCs w:val="0"/>
          <w:color w:val="000000"/>
          <w:sz w:val="32"/>
          <w:szCs w:val="32"/>
        </w:rPr>
        <w:t>万元，完成预算100%，决算与预算持平。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2.社会保障和就业（类）行政事业单位养老支出（款）机关事业单位职业年金缴费支出（项）</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6.75</w:t>
      </w:r>
      <w:r>
        <w:rPr>
          <w:rFonts w:hint="eastAsia" w:ascii="仿宋_GB2312" w:eastAsia="仿宋_GB2312" w:cs="仿宋_GB2312"/>
          <w:b w:val="0"/>
          <w:bCs w:val="0"/>
          <w:color w:val="000000"/>
          <w:sz w:val="32"/>
          <w:szCs w:val="32"/>
        </w:rPr>
        <w:t>万元，完成预算100%，决算与预算持平。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3.社会保障和就业（类）抚恤（款）死亡抚恤（项）: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101.13</w:t>
      </w:r>
      <w:r>
        <w:rPr>
          <w:rFonts w:hint="eastAsia" w:ascii="仿宋_GB2312" w:eastAsia="仿宋_GB2312" w:cs="仿宋_GB2312"/>
          <w:b w:val="0"/>
          <w:bCs w:val="0"/>
          <w:color w:val="000000"/>
          <w:sz w:val="32"/>
          <w:szCs w:val="32"/>
        </w:rPr>
        <w:t>万元，完成预算100%，决算与预算持平。</w:t>
      </w:r>
      <w:r>
        <w:rPr>
          <w:rFonts w:hint="eastAsia" w:ascii="仿宋_GB2312" w:eastAsia="仿宋_GB2312" w:cs="仿宋_GB2312"/>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4.社会保障和就业（类）抚恤（款）优抚事业单位支出（项）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821.75</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84.88</w:t>
      </w:r>
      <w:r>
        <w:rPr>
          <w:rFonts w:hint="eastAsia" w:ascii="仿宋_GB2312" w:eastAsia="仿宋_GB2312" w:cs="仿宋_GB2312"/>
          <w:b w:val="0"/>
          <w:bCs w:val="0"/>
          <w:color w:val="000000"/>
          <w:sz w:val="32"/>
          <w:szCs w:val="32"/>
        </w:rPr>
        <w:t>%，决算数小于预算数，主要原因是</w:t>
      </w:r>
      <w:r>
        <w:rPr>
          <w:rFonts w:hint="eastAsia" w:ascii="仿宋_GB2312" w:eastAsia="仿宋_GB2312" w:cs="仿宋_GB2312"/>
          <w:b w:val="0"/>
          <w:bCs w:val="0"/>
          <w:color w:val="000000"/>
          <w:sz w:val="32"/>
          <w:szCs w:val="32"/>
          <w:lang w:val="en-US" w:eastAsia="zh-CN"/>
        </w:rPr>
        <w:t>部分</w:t>
      </w:r>
      <w:r>
        <w:rPr>
          <w:rFonts w:hint="eastAsia" w:ascii="仿宋_GB2312" w:eastAsia="仿宋_GB2312" w:cs="仿宋_GB2312"/>
          <w:b w:val="0"/>
          <w:bCs w:val="0"/>
          <w:color w:val="000000"/>
          <w:sz w:val="32"/>
          <w:szCs w:val="32"/>
          <w:lang w:val="en-US"/>
        </w:rPr>
        <w:t>项目资金待支付</w:t>
      </w:r>
      <w:r>
        <w:rPr>
          <w:rFonts w:hint="eastAsia" w:ascii="仿宋_GB2312" w:eastAsia="仿宋_GB2312" w:cs="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b w:val="0"/>
          <w:bCs w:val="0"/>
          <w:color w:val="000000"/>
          <w:sz w:val="32"/>
          <w:szCs w:val="32"/>
          <w:lang w:val="en-US" w:eastAsia="zh-CN"/>
        </w:rPr>
        <w:t>5.社会保障和就业（类）抚恤（款）其他优抚支出（项）:</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22.83</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 xml:space="preserve"> 95.80</w:t>
      </w:r>
      <w:r>
        <w:rPr>
          <w:rFonts w:hint="eastAsia" w:ascii="仿宋_GB2312" w:eastAsia="仿宋_GB2312" w:cs="仿宋_GB2312"/>
          <w:color w:val="000000"/>
          <w:sz w:val="32"/>
          <w:szCs w:val="32"/>
        </w:rPr>
        <w:t>%，预决算基本持平。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6.社会保障和就业（类）退役安置（款）军队移交政府的离退休人员安置（项）: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1504.73</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53.66</w:t>
      </w:r>
      <w:r>
        <w:rPr>
          <w:rFonts w:hint="eastAsia" w:ascii="仿宋_GB2312" w:eastAsia="仿宋_GB2312" w:cs="仿宋_GB2312"/>
          <w:b w:val="0"/>
          <w:bCs w:val="0"/>
          <w:color w:val="000000"/>
          <w:sz w:val="32"/>
          <w:szCs w:val="32"/>
        </w:rPr>
        <w:t>%，决算数</w:t>
      </w:r>
      <w:r>
        <w:rPr>
          <w:rFonts w:hint="eastAsia" w:ascii="仿宋_GB2312" w:eastAsia="仿宋_GB2312" w:cs="仿宋_GB2312"/>
          <w:b w:val="0"/>
          <w:bCs w:val="0"/>
          <w:color w:val="000000"/>
          <w:sz w:val="32"/>
          <w:szCs w:val="32"/>
          <w:lang w:eastAsia="zh-CN"/>
        </w:rPr>
        <w:t>小于</w:t>
      </w:r>
      <w:r>
        <w:rPr>
          <w:rFonts w:hint="eastAsia" w:ascii="仿宋_GB2312" w:eastAsia="仿宋_GB2312" w:cs="仿宋_GB2312"/>
          <w:b w:val="0"/>
          <w:bCs w:val="0"/>
          <w:color w:val="000000"/>
          <w:sz w:val="32"/>
          <w:szCs w:val="32"/>
        </w:rPr>
        <w:t>预算数</w:t>
      </w:r>
      <w:r>
        <w:rPr>
          <w:rFonts w:hint="eastAsia" w:ascii="仿宋_GB2312" w:eastAsia="仿宋_GB2312" w:cs="仿宋_GB2312"/>
          <w:b w:val="0"/>
          <w:bCs w:val="0"/>
          <w:color w:val="000000"/>
          <w:sz w:val="32"/>
          <w:szCs w:val="32"/>
          <w:lang w:eastAsia="zh-CN"/>
        </w:rPr>
        <w:t>，主要原因是</w:t>
      </w:r>
      <w:r>
        <w:rPr>
          <w:rFonts w:hint="eastAsia" w:ascii="仿宋_GB2312" w:eastAsia="仿宋_GB2312" w:cs="仿宋_GB2312"/>
          <w:b w:val="0"/>
          <w:bCs w:val="0"/>
          <w:color w:val="000000"/>
          <w:sz w:val="32"/>
          <w:szCs w:val="32"/>
          <w:lang w:val="en-US"/>
        </w:rPr>
        <w:t>此笔预算资金中</w:t>
      </w:r>
      <w:r>
        <w:rPr>
          <w:rFonts w:hint="eastAsia" w:ascii="仿宋_GB2312" w:eastAsia="仿宋_GB2312" w:cs="仿宋_GB2312"/>
          <w:b w:val="0"/>
          <w:bCs w:val="0"/>
          <w:color w:val="000000"/>
          <w:sz w:val="32"/>
          <w:szCs w:val="32"/>
          <w:lang w:eastAsia="zh-CN"/>
        </w:rPr>
        <w:t>含有部分预拨的次年的军休经费</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7.社会保障和就业（类）退役安置（款）军队移交政府离退休干部管理机构（项）: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280.88</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 xml:space="preserve"> 95.78</w:t>
      </w:r>
      <w:r>
        <w:rPr>
          <w:rFonts w:hint="eastAsia" w:ascii="仿宋_GB2312" w:eastAsia="仿宋_GB2312" w:cs="仿宋_GB2312"/>
          <w:b w:val="0"/>
          <w:bCs w:val="0"/>
          <w:color w:val="000000"/>
          <w:sz w:val="32"/>
          <w:szCs w:val="32"/>
        </w:rPr>
        <w:t>%，决算与预算</w:t>
      </w:r>
      <w:r>
        <w:rPr>
          <w:rFonts w:hint="eastAsia" w:ascii="仿宋_GB2312" w:eastAsia="仿宋_GB2312" w:cs="仿宋_GB2312"/>
          <w:b w:val="0"/>
          <w:bCs w:val="0"/>
          <w:color w:val="000000"/>
          <w:sz w:val="32"/>
          <w:szCs w:val="32"/>
          <w:lang w:eastAsia="zh-CN"/>
        </w:rPr>
        <w:t>基本</w:t>
      </w:r>
      <w:r>
        <w:rPr>
          <w:rFonts w:hint="eastAsia" w:ascii="仿宋_GB2312" w:eastAsia="仿宋_GB2312" w:cs="仿宋_GB2312"/>
          <w:b w:val="0"/>
          <w:bCs w:val="0"/>
          <w:color w:val="000000"/>
          <w:sz w:val="32"/>
          <w:szCs w:val="32"/>
        </w:rPr>
        <w:t>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8.社会保障和就业（类）退役安置（款）军队转业干部安置（项）：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59.42</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36.74</w:t>
      </w:r>
      <w:r>
        <w:rPr>
          <w:rFonts w:hint="eastAsia" w:ascii="仿宋_GB2312" w:eastAsia="仿宋_GB2312" w:cs="仿宋_GB2312"/>
          <w:b w:val="0"/>
          <w:bCs w:val="0"/>
          <w:color w:val="000000"/>
          <w:sz w:val="32"/>
          <w:szCs w:val="32"/>
        </w:rPr>
        <w:t>%，决算数小于预算数，主要原因是</w:t>
      </w:r>
      <w:r>
        <w:rPr>
          <w:rFonts w:hint="eastAsia" w:ascii="仿宋_GB2312" w:eastAsia="仿宋_GB2312" w:cs="仿宋_GB2312"/>
          <w:b w:val="0"/>
          <w:bCs w:val="0"/>
          <w:color w:val="000000"/>
          <w:sz w:val="32"/>
          <w:szCs w:val="32"/>
          <w:lang w:eastAsia="zh-CN"/>
        </w:rPr>
        <w:t>军转干部行政经费未支付完结</w:t>
      </w:r>
      <w:r>
        <w:rPr>
          <w:rFonts w:hint="eastAsia" w:ascii="仿宋_GB2312" w:eastAsia="仿宋_GB2312" w:cs="仿宋_GB2312"/>
          <w:b w:val="0"/>
          <w:bCs w:val="0"/>
          <w:color w:val="000000"/>
          <w:sz w:val="32"/>
          <w:szCs w:val="32"/>
        </w:rPr>
        <w:t>，资金</w:t>
      </w:r>
      <w:r>
        <w:rPr>
          <w:rFonts w:hint="eastAsia" w:ascii="仿宋_GB2312" w:eastAsia="仿宋_GB2312" w:cs="仿宋_GB2312"/>
          <w:b w:val="0"/>
          <w:bCs w:val="0"/>
          <w:color w:val="000000"/>
          <w:sz w:val="32"/>
          <w:szCs w:val="32"/>
          <w:lang w:val="en-US"/>
        </w:rPr>
        <w:t>待</w:t>
      </w:r>
      <w:r>
        <w:rPr>
          <w:rFonts w:hint="eastAsia" w:ascii="仿宋_GB2312" w:eastAsia="仿宋_GB2312" w:cs="仿宋_GB2312"/>
          <w:b w:val="0"/>
          <w:bCs w:val="0"/>
          <w:color w:val="000000"/>
          <w:sz w:val="32"/>
          <w:szCs w:val="32"/>
        </w:rPr>
        <w:t>支付。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9.社会保障和就业（类）退役安置（款）其他退役安置支出（项）：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3.78</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100</w:t>
      </w:r>
      <w:r>
        <w:rPr>
          <w:rFonts w:hint="eastAsia" w:ascii="仿宋_GB2312" w:eastAsia="仿宋_GB2312" w:cs="仿宋_GB2312"/>
          <w:b w:val="0"/>
          <w:bCs w:val="0"/>
          <w:color w:val="000000"/>
          <w:sz w:val="32"/>
          <w:szCs w:val="32"/>
        </w:rPr>
        <w:t>%，决算与预算持平。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10.社会保障和就业（类）退役军人管理事务（款）行政运行（项）：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277.27</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100</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11.社会保障和就业（类）退役军人管理事务（款）拥军优属（项）：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0.65</w:t>
      </w:r>
      <w:r>
        <w:rPr>
          <w:rFonts w:hint="eastAsia" w:ascii="仿宋_GB2312" w:eastAsia="仿宋_GB2312" w:cs="仿宋_GB2312"/>
          <w:b w:val="0"/>
          <w:bCs w:val="0"/>
          <w:color w:val="000000"/>
          <w:sz w:val="32"/>
          <w:szCs w:val="32"/>
        </w:rPr>
        <w:t>万元，完成预算100%，决算与预算持平。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sz w:val="32"/>
          <w:szCs w:val="32"/>
          <w:lang w:val="en-US" w:eastAsia="zh-CN"/>
        </w:rPr>
        <w:t>12.社会保障和就业（类）退役军人管理事务（款）部队供应（项）：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288.25</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89.77</w:t>
      </w:r>
      <w:r>
        <w:rPr>
          <w:rFonts w:hint="eastAsia" w:ascii="仿宋_GB2312" w:eastAsia="仿宋_GB2312" w:cs="仿宋_GB2312"/>
          <w:b w:val="0"/>
          <w:bCs w:val="0"/>
          <w:color w:val="000000"/>
          <w:sz w:val="32"/>
          <w:szCs w:val="32"/>
        </w:rPr>
        <w:t>%，决算数小于预算数</w:t>
      </w:r>
      <w:r>
        <w:rPr>
          <w:rFonts w:hint="eastAsia" w:ascii="仿宋_GB2312" w:eastAsia="仿宋_GB2312" w:cs="仿宋_GB2312"/>
          <w:b w:val="0"/>
          <w:bCs w:val="0"/>
          <w:color w:val="000000"/>
          <w:sz w:val="32"/>
          <w:szCs w:val="32"/>
          <w:lang w:eastAsia="zh-CN"/>
        </w:rPr>
        <w:t>的原因是，</w:t>
      </w:r>
      <w:r>
        <w:rPr>
          <w:rFonts w:hint="eastAsia" w:ascii="仿宋_GB2312" w:eastAsia="仿宋_GB2312" w:cs="仿宋_GB2312"/>
          <w:b w:val="0"/>
          <w:bCs w:val="0"/>
          <w:color w:val="000000"/>
          <w:sz w:val="32"/>
          <w:szCs w:val="32"/>
        </w:rPr>
        <w:t>主要原因是</w:t>
      </w:r>
      <w:r>
        <w:rPr>
          <w:rFonts w:hint="eastAsia" w:ascii="仿宋_GB2312" w:eastAsia="仿宋_GB2312" w:cs="仿宋_GB2312"/>
          <w:b w:val="0"/>
          <w:bCs w:val="0"/>
          <w:color w:val="000000"/>
          <w:sz w:val="32"/>
          <w:szCs w:val="32"/>
          <w:lang w:eastAsia="zh-CN"/>
        </w:rPr>
        <w:t>部分支出金额</w:t>
      </w:r>
      <w:r>
        <w:rPr>
          <w:rFonts w:hint="eastAsia" w:ascii="仿宋_GB2312" w:eastAsia="仿宋_GB2312" w:cs="仿宋_GB2312"/>
          <w:b w:val="0"/>
          <w:bCs w:val="0"/>
          <w:color w:val="000000"/>
          <w:sz w:val="30"/>
          <w:szCs w:val="30"/>
          <w:lang w:val="en-US"/>
        </w:rPr>
        <w:t>计划</w:t>
      </w:r>
      <w:r>
        <w:rPr>
          <w:rFonts w:hint="eastAsia" w:ascii="仿宋_GB2312" w:eastAsia="仿宋_GB2312" w:cs="仿宋_GB2312"/>
          <w:b w:val="0"/>
          <w:bCs w:val="0"/>
          <w:color w:val="000000"/>
          <w:sz w:val="32"/>
          <w:szCs w:val="32"/>
          <w:lang w:eastAsia="zh-CN"/>
        </w:rPr>
        <w:t>在</w:t>
      </w:r>
      <w:r>
        <w:rPr>
          <w:rFonts w:hint="eastAsia" w:ascii="仿宋_GB2312" w:eastAsia="仿宋_GB2312" w:cs="仿宋_GB2312"/>
          <w:b w:val="0"/>
          <w:bCs w:val="0"/>
          <w:color w:val="000000"/>
          <w:sz w:val="32"/>
          <w:szCs w:val="32"/>
          <w:lang w:val="en-US" w:eastAsia="zh-CN"/>
        </w:rPr>
        <w:t>2022年完成</w:t>
      </w:r>
      <w:r>
        <w:rPr>
          <w:rFonts w:hint="eastAsia" w:ascii="仿宋_GB2312" w:eastAsia="仿宋_GB2312" w:cs="仿宋_GB2312"/>
          <w:b w:val="0"/>
          <w:bCs w:val="0"/>
          <w:color w:val="000000"/>
          <w:sz w:val="32"/>
          <w:szCs w:val="32"/>
          <w:lang w:eastAsia="zh-CN"/>
        </w:rPr>
        <w:t>支付。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13.社会保障和就业（类）退役军人管理事务（款）事业运行（项）：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183.15</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100</w:t>
      </w:r>
      <w:r>
        <w:rPr>
          <w:rFonts w:hint="eastAsia" w:ascii="仿宋_GB2312" w:eastAsia="仿宋_GB2312" w:cs="仿宋_GB2312"/>
          <w:b w:val="0"/>
          <w:bCs w:val="0"/>
          <w:color w:val="000000"/>
          <w:sz w:val="32"/>
          <w:szCs w:val="32"/>
        </w:rPr>
        <w:t>%，决算与预算持平。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14.社会保障和就业（类）退役军人管理事务（款）其他退役军人事务管理支出（项）：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1476.75</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94.43</w:t>
      </w:r>
      <w:r>
        <w:rPr>
          <w:rFonts w:hint="eastAsia" w:ascii="仿宋_GB2312" w:eastAsia="仿宋_GB2312" w:cs="仿宋_GB2312"/>
          <w:b w:val="0"/>
          <w:bCs w:val="0"/>
          <w:color w:val="000000"/>
          <w:sz w:val="32"/>
          <w:szCs w:val="32"/>
        </w:rPr>
        <w:t>%，决算数小于预算数，主要原因是社保接续</w:t>
      </w:r>
      <w:r>
        <w:rPr>
          <w:rFonts w:hint="eastAsia" w:ascii="仿宋_GB2312" w:eastAsia="仿宋_GB2312" w:cs="仿宋_GB2312"/>
          <w:b w:val="0"/>
          <w:bCs w:val="0"/>
          <w:color w:val="000000"/>
          <w:sz w:val="32"/>
          <w:szCs w:val="32"/>
          <w:lang w:eastAsia="zh-CN"/>
        </w:rPr>
        <w:t>工作基本完结部分工作经费结余及受疫情影响部分安置</w:t>
      </w:r>
      <w:r>
        <w:rPr>
          <w:rFonts w:hint="eastAsia" w:ascii="仿宋_GB2312" w:eastAsia="仿宋_GB2312" w:cs="仿宋_GB2312"/>
          <w:b w:val="0"/>
          <w:bCs w:val="0"/>
          <w:color w:val="000000"/>
          <w:sz w:val="32"/>
          <w:szCs w:val="32"/>
          <w:lang w:val="en-US" w:eastAsia="zh-CN"/>
        </w:rPr>
        <w:t>就业</w:t>
      </w:r>
      <w:r>
        <w:rPr>
          <w:rFonts w:hint="eastAsia" w:ascii="仿宋_GB2312" w:eastAsia="仿宋_GB2312" w:cs="仿宋_GB2312"/>
          <w:b w:val="0"/>
          <w:bCs w:val="0"/>
          <w:color w:val="000000"/>
          <w:sz w:val="32"/>
          <w:szCs w:val="32"/>
          <w:lang w:eastAsia="zh-CN"/>
        </w:rPr>
        <w:t>创业工作无法开展导致</w:t>
      </w:r>
      <w:r>
        <w:rPr>
          <w:rFonts w:hint="eastAsia" w:ascii="仿宋_GB2312" w:eastAsia="仿宋_GB2312" w:cs="仿宋_GB2312"/>
          <w:b w:val="0"/>
          <w:bCs w:val="0"/>
          <w:color w:val="000000"/>
          <w:sz w:val="32"/>
          <w:szCs w:val="32"/>
        </w:rPr>
        <w:t>项目工作未完结无法支付的资金。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15.社会保障和就业（类）其他社会保障和就业支出（款）其他社会保障和就业支出（项）：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16.15</w:t>
      </w:r>
      <w:r>
        <w:rPr>
          <w:rFonts w:hint="eastAsia" w:ascii="仿宋_GB2312" w:eastAsia="仿宋_GB2312" w:cs="仿宋_GB2312"/>
          <w:b w:val="0"/>
          <w:bCs w:val="0"/>
          <w:color w:val="000000"/>
          <w:sz w:val="32"/>
          <w:szCs w:val="32"/>
        </w:rPr>
        <w:t>万元，完成预算</w:t>
      </w:r>
      <w:r>
        <w:rPr>
          <w:rFonts w:hint="eastAsia" w:ascii="仿宋_GB2312" w:eastAsia="仿宋_GB2312" w:cs="仿宋_GB2312"/>
          <w:b w:val="0"/>
          <w:bCs w:val="0"/>
          <w:color w:val="000000"/>
          <w:sz w:val="32"/>
          <w:szCs w:val="32"/>
          <w:lang w:val="en-US" w:eastAsia="zh-CN"/>
        </w:rPr>
        <w:t>100</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16.卫生健康（类）行政事业单位医疗（款）行政单位医疗（项）: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10.09</w:t>
      </w:r>
      <w:r>
        <w:rPr>
          <w:rFonts w:hint="eastAsia" w:ascii="仿宋_GB2312" w:eastAsia="仿宋_GB2312" w:cs="仿宋_GB2312"/>
          <w:b w:val="0"/>
          <w:bCs w:val="0"/>
          <w:color w:val="000000"/>
          <w:sz w:val="32"/>
          <w:szCs w:val="32"/>
        </w:rPr>
        <w:t>万元，完成预算100%，决算与预算持平。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17.卫生健康（类）行政事业单位医疗（款）事业单位医疗（项）: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40.10</w:t>
      </w:r>
      <w:r>
        <w:rPr>
          <w:rFonts w:hint="eastAsia" w:ascii="仿宋_GB2312" w:eastAsia="仿宋_GB2312" w:cs="仿宋_GB2312"/>
          <w:b w:val="0"/>
          <w:bCs w:val="0"/>
          <w:color w:val="000000"/>
          <w:sz w:val="32"/>
          <w:szCs w:val="32"/>
        </w:rPr>
        <w:t>万元，完成预算100%，决算与预算持平。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18.卫生健康（类）优抚对象医疗（款）优抚对象医疗补助（项）:</w:t>
      </w:r>
      <w:r>
        <w:rPr>
          <w:rFonts w:hint="eastAsia" w:ascii="仿宋_GB2312" w:eastAsia="仿宋_GB2312" w:cs="仿宋_GB2312"/>
          <w:b w:val="0"/>
          <w:bCs w:val="0"/>
          <w:color w:val="000000"/>
          <w:sz w:val="32"/>
          <w:szCs w:val="32"/>
        </w:rPr>
        <w:t>支出决算为100万元，完成预算100%，决算与预算持平。</w:t>
      </w:r>
    </w:p>
    <w:p>
      <w:pPr>
        <w:spacing w:line="600" w:lineRule="exact"/>
        <w:ind w:firstLine="640" w:firstLineChars="200"/>
        <w:outlineLvl w:val="2"/>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sz w:val="32"/>
          <w:szCs w:val="32"/>
          <w:lang w:val="en-US" w:eastAsia="zh-CN"/>
        </w:rPr>
        <w:t>19.住房保障支出（类）住房改革支出（款）住房公积金（项）: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114.65</w:t>
      </w:r>
      <w:r>
        <w:rPr>
          <w:rFonts w:hint="eastAsia" w:ascii="仿宋_GB2312" w:eastAsia="仿宋_GB2312" w:cs="仿宋_GB2312"/>
          <w:b w:val="0"/>
          <w:bCs w:val="0"/>
          <w:color w:val="000000"/>
          <w:sz w:val="32"/>
          <w:szCs w:val="32"/>
        </w:rPr>
        <w:t>万元，完成预算100%，决算数与预算持平</w:t>
      </w:r>
      <w:r>
        <w:rPr>
          <w:rFonts w:hint="eastAsia" w:ascii="仿宋_GB2312" w:eastAsia="仿宋_GB2312" w:cs="仿宋_GB2312"/>
          <w:b w:val="0"/>
          <w:bCs w:val="0"/>
          <w:color w:val="000000"/>
          <w:sz w:val="32"/>
          <w:szCs w:val="32"/>
          <w:lang w:eastAsia="zh-CN"/>
        </w:rPr>
        <w:t>。</w:t>
      </w:r>
    </w:p>
    <w:p>
      <w:pPr>
        <w:spacing w:line="600" w:lineRule="exact"/>
        <w:ind w:firstLine="640" w:firstLineChars="200"/>
        <w:outlineLvl w:val="2"/>
        <w:rPr>
          <w:rFonts w:hint="eastAsia" w:ascii="仿宋" w:hAnsi="仿宋" w:eastAsia="仿宋_GB2312"/>
          <w:b w:val="0"/>
          <w:bCs w:val="0"/>
          <w:color w:val="auto"/>
          <w:sz w:val="32"/>
          <w:szCs w:val="32"/>
          <w:highlight w:val="none"/>
          <w:lang w:eastAsia="zh-CN"/>
        </w:rPr>
      </w:pPr>
      <w:r>
        <w:rPr>
          <w:rFonts w:hint="eastAsia" w:ascii="仿宋_GB2312" w:eastAsia="仿宋_GB2312" w:cs="仿宋_GB2312"/>
          <w:b w:val="0"/>
          <w:bCs w:val="0"/>
          <w:color w:val="000000"/>
          <w:sz w:val="32"/>
          <w:szCs w:val="32"/>
          <w:lang w:val="en-US" w:eastAsia="zh-CN"/>
        </w:rPr>
        <w:t>20.住房保障支出（类）住房改革支出（款）购房补贴（项）:</w:t>
      </w:r>
      <w:r>
        <w:rPr>
          <w:rFonts w:hint="eastAsia" w:ascii="仿宋_GB2312" w:eastAsia="仿宋_GB2312" w:cs="仿宋_GB2312"/>
          <w:b w:val="0"/>
          <w:bCs w:val="0"/>
          <w:color w:val="000000"/>
          <w:sz w:val="32"/>
          <w:szCs w:val="32"/>
        </w:rPr>
        <w:t>支出决算为</w:t>
      </w:r>
      <w:r>
        <w:rPr>
          <w:rFonts w:hint="eastAsia" w:ascii="仿宋_GB2312" w:eastAsia="仿宋_GB2312" w:cs="仿宋_GB2312"/>
          <w:b w:val="0"/>
          <w:bCs w:val="0"/>
          <w:color w:val="000000"/>
          <w:sz w:val="32"/>
          <w:szCs w:val="32"/>
          <w:lang w:val="en-US" w:eastAsia="zh-CN"/>
        </w:rPr>
        <w:t>16</w:t>
      </w:r>
      <w:r>
        <w:rPr>
          <w:rFonts w:hint="eastAsia" w:ascii="仿宋_GB2312" w:eastAsia="仿宋_GB2312" w:cs="仿宋_GB2312"/>
          <w:b w:val="0"/>
          <w:bCs w:val="0"/>
          <w:color w:val="000000"/>
          <w:sz w:val="32"/>
          <w:szCs w:val="32"/>
        </w:rPr>
        <w:t>万元，完成预算100%，决算数与预算持平</w:t>
      </w:r>
      <w:r>
        <w:rPr>
          <w:rFonts w:hint="eastAsia" w:ascii="仿宋_GB2312" w:eastAsia="仿宋_GB2312" w:cs="仿宋_GB2312"/>
          <w:b w:val="0"/>
          <w:bCs w:val="0"/>
          <w:color w:val="000000"/>
          <w:sz w:val="32"/>
          <w:szCs w:val="32"/>
          <w:lang w:eastAsia="zh-CN"/>
        </w:rPr>
        <w:t>。</w:t>
      </w:r>
    </w:p>
    <w:p>
      <w:pPr>
        <w:tabs>
          <w:tab w:val="right" w:pos="8306"/>
        </w:tabs>
        <w:spacing w:line="600" w:lineRule="exact"/>
        <w:ind w:firstLine="640" w:firstLineChars="200"/>
        <w:outlineLvl w:val="1"/>
        <w:rPr>
          <w:rStyle w:val="19"/>
          <w:color w:val="auto"/>
          <w:highlight w:val="none"/>
        </w:rPr>
      </w:pPr>
      <w:bookmarkStart w:id="40" w:name="_Toc15396608"/>
      <w:bookmarkStart w:id="4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19"/>
          <w:rFonts w:hint="eastAsia" w:ascii="黑体" w:eastAsia="黑体"/>
          <w:b w:val="0"/>
          <w:color w:val="auto"/>
          <w:highlight w:val="none"/>
        </w:rPr>
        <w:t>般公共预算财政拨款基本支出决算情况说明</w:t>
      </w:r>
      <w:bookmarkEnd w:id="40"/>
      <w:bookmarkEnd w:id="41"/>
      <w:r>
        <w:rPr>
          <w:rStyle w:val="19"/>
          <w:rFonts w:asci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年一般公共预算财政拨款基本支出</w:t>
      </w:r>
      <w:r>
        <w:rPr>
          <w:rFonts w:hint="eastAsia" w:ascii="仿宋_GB2312" w:eastAsia="仿宋_GB2312" w:cs="仿宋_GB2312"/>
          <w:color w:val="auto"/>
          <w:sz w:val="32"/>
          <w:szCs w:val="32"/>
          <w:highlight w:val="none"/>
          <w:lang w:val="en-US" w:eastAsia="zh-CN"/>
        </w:rPr>
        <w:t>1628.85</w:t>
      </w:r>
      <w:r>
        <w:rPr>
          <w:rFonts w:hint="eastAsia" w:asci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人员经费</w:t>
      </w:r>
      <w:r>
        <w:rPr>
          <w:rFonts w:hint="eastAsia" w:ascii="仿宋_GB2312" w:eastAsia="仿宋_GB2312" w:cs="仿宋_GB2312"/>
          <w:color w:val="auto"/>
          <w:sz w:val="32"/>
          <w:szCs w:val="32"/>
          <w:highlight w:val="none"/>
          <w:lang w:val="en-US" w:eastAsia="zh-CN"/>
        </w:rPr>
        <w:t>1396.37</w:t>
      </w:r>
      <w:r>
        <w:rPr>
          <w:rFonts w:hint="eastAsia" w:ascii="仿宋_GB2312" w:eastAsia="仿宋_GB2312" w:cs="仿宋_GB2312"/>
          <w:color w:val="auto"/>
          <w:sz w:val="32"/>
          <w:szCs w:val="32"/>
          <w:highlight w:val="none"/>
        </w:rPr>
        <w:t>万元，主要包括：基本工资、津贴补贴、奖金、伙食补助费、绩效工资、机关事业单位基本养老保险缴费、职业年金缴费、</w:t>
      </w:r>
      <w:r>
        <w:rPr>
          <w:rFonts w:hint="eastAsia" w:ascii="仿宋_GB2312" w:eastAsia="仿宋_GB2312" w:cs="仿宋_GB2312"/>
          <w:color w:val="auto"/>
          <w:sz w:val="32"/>
          <w:szCs w:val="32"/>
          <w:highlight w:val="none"/>
          <w:lang w:eastAsia="zh-CN"/>
        </w:rPr>
        <w:t>职工基本医疗保险、</w:t>
      </w:r>
      <w:r>
        <w:rPr>
          <w:rFonts w:hint="eastAsia" w:ascii="仿宋_GB2312" w:eastAsia="仿宋_GB2312" w:cs="仿宋_GB2312"/>
          <w:color w:val="auto"/>
          <w:sz w:val="32"/>
          <w:szCs w:val="32"/>
          <w:highlight w:val="none"/>
        </w:rPr>
        <w:t>其他社会保障缴费、其他工资福利支出、住房公积金等。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公用经费</w:t>
      </w:r>
      <w:r>
        <w:rPr>
          <w:rFonts w:hint="eastAsia" w:ascii="仿宋_GB2312" w:eastAsia="仿宋_GB2312" w:cs="仿宋_GB2312"/>
          <w:color w:val="auto"/>
          <w:sz w:val="32"/>
          <w:szCs w:val="32"/>
          <w:highlight w:val="none"/>
          <w:lang w:val="en-US" w:eastAsia="zh-CN"/>
        </w:rPr>
        <w:t>232.18</w:t>
      </w:r>
      <w:r>
        <w:rPr>
          <w:rFonts w:hint="eastAsia" w:ascii="仿宋_GB2312" w:eastAsia="仿宋_GB2312" w:cs="仿宋_GB2312"/>
          <w:color w:val="auto"/>
          <w:sz w:val="32"/>
          <w:szCs w:val="32"/>
          <w:highlight w:val="none"/>
        </w:rPr>
        <w:t>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等。</w:t>
      </w:r>
    </w:p>
    <w:p>
      <w:pPr>
        <w:spacing w:line="600" w:lineRule="exact"/>
        <w:ind w:firstLine="640"/>
        <w:outlineLvl w:val="1"/>
        <w:rPr>
          <w:rStyle w:val="19"/>
          <w:rFonts w:asci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19"/>
          <w:rFonts w:hint="eastAsia" w:ascii="黑体" w:eastAsia="黑体"/>
          <w:color w:val="auto"/>
          <w:highlight w:val="none"/>
        </w:rPr>
        <w:t>“</w:t>
      </w:r>
      <w:r>
        <w:rPr>
          <w:rStyle w:val="19"/>
          <w:rFonts w:hint="eastAsia" w:ascii="黑体" w:eastAsia="黑体"/>
          <w:b w:val="0"/>
          <w:color w:val="auto"/>
          <w:highlight w:val="none"/>
        </w:rPr>
        <w:t>三公”经费财政拨款支出决算情况说明</w:t>
      </w:r>
      <w:bookmarkEnd w:id="42"/>
      <w:bookmarkEnd w:id="43"/>
    </w:p>
    <w:p>
      <w:pPr>
        <w:spacing w:line="600" w:lineRule="exact"/>
        <w:ind w:firstLine="640"/>
        <w:outlineLvl w:val="2"/>
        <w:rPr>
          <w:rFonts w:hint="eastAsia" w:ascii="楷体_GB2312" w:eastAsia="楷体_GB2312" w:cs="楷体_GB2312"/>
          <w:b w:val="0"/>
          <w:bCs/>
          <w:color w:val="auto"/>
          <w:sz w:val="32"/>
          <w:szCs w:val="32"/>
          <w:highlight w:val="none"/>
        </w:rPr>
      </w:pPr>
      <w:bookmarkStart w:id="44" w:name="_Toc15377216"/>
      <w:r>
        <w:rPr>
          <w:rFonts w:hint="eastAsia" w:ascii="楷体_GB2312" w:eastAsia="楷体_GB2312" w:cs="楷体_GB2312"/>
          <w:b w:val="0"/>
          <w:bCs/>
          <w:color w:val="auto"/>
          <w:sz w:val="32"/>
          <w:szCs w:val="32"/>
          <w:highlight w:val="none"/>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年“三公”经费财政拨款支出决算为</w:t>
      </w:r>
      <w:r>
        <w:rPr>
          <w:rFonts w:hint="eastAsia" w:ascii="仿宋_GB2312" w:eastAsia="仿宋_GB2312" w:cs="仿宋_GB2312"/>
          <w:color w:val="auto"/>
          <w:sz w:val="32"/>
          <w:szCs w:val="32"/>
          <w:highlight w:val="none"/>
          <w:lang w:val="en-US" w:eastAsia="zh-CN"/>
        </w:rPr>
        <w:t>14.04</w:t>
      </w:r>
      <w:r>
        <w:rPr>
          <w:rFonts w:hint="eastAsia" w:ascii="仿宋_GB2312" w:eastAsia="仿宋_GB2312" w:cs="仿宋_GB2312"/>
          <w:color w:val="auto"/>
          <w:sz w:val="32"/>
          <w:szCs w:val="32"/>
          <w:highlight w:val="none"/>
        </w:rPr>
        <w:t>万元，完成预算</w:t>
      </w:r>
      <w:r>
        <w:rPr>
          <w:rFonts w:hint="eastAsia" w:ascii="仿宋_GB2312" w:eastAsia="仿宋_GB2312" w:cs="仿宋_GB2312"/>
          <w:color w:val="auto"/>
          <w:sz w:val="32"/>
          <w:szCs w:val="32"/>
          <w:highlight w:val="none"/>
          <w:lang w:val="en-US" w:eastAsia="zh-CN"/>
        </w:rPr>
        <w:t>72.71</w:t>
      </w:r>
      <w:r>
        <w:rPr>
          <w:rFonts w:hint="eastAsia" w:ascii="仿宋_GB2312" w:eastAsia="仿宋_GB2312" w:cs="仿宋_GB2312"/>
          <w:color w:val="auto"/>
          <w:sz w:val="32"/>
          <w:szCs w:val="32"/>
          <w:highlight w:val="none"/>
        </w:rPr>
        <w:t>%，决算数小于预算数的主要原因</w:t>
      </w:r>
      <w:r>
        <w:rPr>
          <w:rFonts w:hint="eastAsia" w:ascii="仿宋_GB2312" w:eastAsia="仿宋_GB2312" w:cs="仿宋_GB2312"/>
          <w:color w:val="auto"/>
          <w:sz w:val="32"/>
          <w:szCs w:val="32"/>
          <w:highlight w:val="none"/>
          <w:lang w:eastAsia="zh-CN"/>
        </w:rPr>
        <w:t>是</w:t>
      </w:r>
      <w:r>
        <w:rPr>
          <w:rFonts w:hint="eastAsia" w:ascii="仿宋_GB2312" w:eastAsia="仿宋_GB2312" w:cs="仿宋_GB2312"/>
          <w:sz w:val="32"/>
          <w:szCs w:val="32"/>
        </w:rPr>
        <w:t>转变作风、厉行节约、过紧日子“十三条措施”有关要求，严格控制接待标准，压缩接待规模，通过继续加强公务用车日常管理，降低车辆各类消耗所致</w:t>
      </w:r>
      <w:r>
        <w:rPr>
          <w:rFonts w:hint="eastAsia" w:ascii="仿宋_GB2312" w:eastAsia="仿宋_GB2312" w:cs="仿宋_GB2312"/>
          <w:color w:val="000000"/>
          <w:sz w:val="32"/>
          <w:szCs w:val="32"/>
          <w:lang w:eastAsia="zh-CN"/>
        </w:rPr>
        <w:t>。</w:t>
      </w:r>
    </w:p>
    <w:p>
      <w:pPr>
        <w:spacing w:line="600" w:lineRule="exact"/>
        <w:ind w:firstLine="640"/>
        <w:outlineLvl w:val="2"/>
        <w:rPr>
          <w:rFonts w:hint="eastAsia" w:ascii="楷体_GB2312" w:eastAsia="楷体_GB2312" w:cs="楷体_GB2312"/>
          <w:b w:val="0"/>
          <w:bCs/>
          <w:color w:val="auto"/>
          <w:sz w:val="32"/>
          <w:szCs w:val="32"/>
          <w:highlight w:val="none"/>
        </w:rPr>
      </w:pPr>
      <w:bookmarkStart w:id="45" w:name="_Toc15377217"/>
      <w:r>
        <w:rPr>
          <w:rFonts w:hint="eastAsia" w:ascii="楷体_GB2312" w:eastAsia="楷体_GB2312" w:cs="楷体_GB2312"/>
          <w:b w:val="0"/>
          <w:bCs/>
          <w:color w:val="auto"/>
          <w:sz w:val="32"/>
          <w:szCs w:val="32"/>
          <w:highlight w:val="none"/>
        </w:rPr>
        <w:t>（二）“三公”经费财政拨款支出决算具体情况说明</w:t>
      </w:r>
      <w:bookmarkEnd w:id="45"/>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年“三公”经费财政拨款支出决算中，因公出国（境）费支出决算</w:t>
      </w:r>
      <w:r>
        <w:rPr>
          <w:rFonts w:hint="eastAsia" w:ascii="仿宋_GB2312" w:eastAsia="仿宋_GB2312" w:cs="仿宋_GB2312"/>
          <w:color w:val="auto"/>
          <w:sz w:val="32"/>
          <w:szCs w:val="32"/>
          <w:highlight w:val="none"/>
          <w:lang w:val="en-US" w:eastAsia="zh-CN"/>
        </w:rPr>
        <w:t xml:space="preserve"> 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%；公务用车购置及运行维护费支出决算</w:t>
      </w:r>
      <w:r>
        <w:rPr>
          <w:rFonts w:hint="eastAsia" w:ascii="仿宋_GB2312" w:eastAsia="仿宋_GB2312" w:cs="仿宋_GB2312"/>
          <w:color w:val="auto"/>
          <w:sz w:val="32"/>
          <w:szCs w:val="32"/>
          <w:highlight w:val="none"/>
          <w:lang w:val="en-US" w:eastAsia="zh-CN"/>
        </w:rPr>
        <w:t>12.37</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88.11</w:t>
      </w:r>
      <w:r>
        <w:rPr>
          <w:rFonts w:hint="eastAsia" w:ascii="仿宋_GB2312" w:eastAsia="仿宋_GB2312" w:cs="仿宋_GB2312"/>
          <w:color w:val="auto"/>
          <w:sz w:val="32"/>
          <w:szCs w:val="32"/>
          <w:highlight w:val="none"/>
        </w:rPr>
        <w:t>%；公务接待费支出决算</w:t>
      </w:r>
      <w:r>
        <w:rPr>
          <w:rFonts w:hint="eastAsia" w:ascii="仿宋_GB2312" w:eastAsia="仿宋_GB2312" w:cs="仿宋_GB2312"/>
          <w:color w:val="auto"/>
          <w:sz w:val="32"/>
          <w:szCs w:val="32"/>
          <w:highlight w:val="none"/>
          <w:lang w:val="en-US" w:eastAsia="zh-CN"/>
        </w:rPr>
        <w:t>1.67</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11.89</w:t>
      </w:r>
      <w:r>
        <w:rPr>
          <w:rFonts w:hint="eastAsia" w:ascii="仿宋_GB2312" w:eastAsia="仿宋_GB2312" w:cs="仿宋_GB2312"/>
          <w:color w:val="auto"/>
          <w:sz w:val="32"/>
          <w:szCs w:val="32"/>
          <w:highlight w:val="none"/>
        </w:rPr>
        <w:t>%。具体情况如下：</w:t>
      </w:r>
    </w:p>
    <w:p>
      <w:pPr>
        <w:keepNext w:val="0"/>
        <w:keepLines w:val="0"/>
        <w:widowControl/>
        <w:suppressLineNumbers w:val="0"/>
        <w:jc w:val="center"/>
      </w:pPr>
      <w:r>
        <w:rPr>
          <w:rFonts w:ascii="宋体" w:eastAsia="宋体" w:cs="宋体"/>
          <w:kern w:val="0"/>
          <w:sz w:val="24"/>
          <w:szCs w:val="24"/>
          <w:lang w:val="en-US" w:eastAsia="zh-CN"/>
        </w:rPr>
        <w:drawing>
          <wp:inline distT="0" distB="0" distL="114300" distR="114300">
            <wp:extent cx="4051300" cy="2545080"/>
            <wp:effectExtent l="0" t="0" r="1" b="39"/>
            <wp:docPr id="1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IMG_256"/>
                    <pic:cNvPicPr>
                      <a:picLocks noChangeAspect="1"/>
                    </pic:cNvPicPr>
                  </pic:nvPicPr>
                  <pic:blipFill>
                    <a:blip r:embed="rId17"/>
                    <a:stretch>
                      <a:fillRect/>
                    </a:stretch>
                  </pic:blipFill>
                  <pic:spPr>
                    <a:xfrm>
                      <a:off x="0" y="0"/>
                      <a:ext cx="4051300" cy="2545080"/>
                    </a:xfrm>
                    <a:prstGeom prst="rect">
                      <a:avLst/>
                    </a:prstGeom>
                    <a:noFill/>
                    <a:ln w="9525" cap="flat" cmpd="sng">
                      <a:noFill/>
                      <a:prstDash val="solid"/>
                      <a:round/>
                    </a:ln>
                  </pic:spPr>
                </pic:pic>
              </a:graphicData>
            </a:graphic>
          </wp:inline>
        </w:drawing>
      </w:r>
    </w:p>
    <w:p>
      <w:pPr>
        <w:spacing w:line="600" w:lineRule="exact"/>
        <w:ind w:firstLine="960" w:firstLineChars="30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auto"/>
          <w:sz w:val="32"/>
          <w:szCs w:val="32"/>
          <w:highlight w:val="none"/>
        </w:rPr>
        <w:t>1.因公出国（境）经费支出</w:t>
      </w:r>
      <w:r>
        <w:rPr>
          <w:rFonts w:hint="eastAsia" w:ascii="仿宋_GB2312" w:eastAsia="仿宋_GB2312" w:cs="仿宋_GB2312"/>
          <w:b w:val="0"/>
          <w:bCs w:val="0"/>
          <w:color w:val="auto"/>
          <w:sz w:val="32"/>
          <w:szCs w:val="32"/>
          <w:highlight w:val="none"/>
          <w:lang w:val="en-US" w:eastAsia="zh-CN"/>
        </w:rPr>
        <w:t>0</w:t>
      </w:r>
      <w:r>
        <w:rPr>
          <w:rFonts w:hint="eastAsia" w:ascii="仿宋_GB2312" w:eastAsia="仿宋_GB2312" w:cs="仿宋_GB2312"/>
          <w:b w:val="0"/>
          <w:bCs w:val="0"/>
          <w:color w:val="auto"/>
          <w:sz w:val="32"/>
          <w:szCs w:val="32"/>
          <w:highlight w:val="none"/>
        </w:rPr>
        <w:t>万元，</w:t>
      </w:r>
      <w:r>
        <w:rPr>
          <w:rStyle w:val="16"/>
          <w:rFonts w:hint="eastAsia" w:ascii="仿宋_GB2312" w:eastAsia="仿宋_GB2312" w:cs="仿宋_GB2312"/>
          <w:b w:val="0"/>
          <w:bCs w:val="0"/>
          <w:color w:val="auto"/>
          <w:sz w:val="32"/>
          <w:szCs w:val="32"/>
          <w:highlight w:val="none"/>
          <w:lang w:eastAsia="zh-CN"/>
        </w:rPr>
        <w:t>年初未安排预算，</w:t>
      </w:r>
      <w:r>
        <w:rPr>
          <w:rFonts w:hint="eastAsia" w:ascii="仿宋_GB2312" w:eastAsia="仿宋_GB2312" w:cs="仿宋_GB2312"/>
          <w:b w:val="0"/>
          <w:bCs w:val="0"/>
          <w:color w:val="000000"/>
          <w:sz w:val="32"/>
          <w:szCs w:val="32"/>
        </w:rPr>
        <w:t>因公出国出境</w:t>
      </w:r>
      <w:r>
        <w:rPr>
          <w:rFonts w:hint="eastAsia" w:ascii="仿宋_GB2312" w:eastAsia="仿宋_GB2312" w:cs="仿宋_GB2312"/>
          <w:b w:val="0"/>
          <w:bCs w:val="0"/>
          <w:color w:val="000000"/>
          <w:sz w:val="32"/>
          <w:szCs w:val="32"/>
          <w:lang w:eastAsia="zh-CN"/>
        </w:rPr>
        <w:t>支出决算数较</w:t>
      </w:r>
      <w:r>
        <w:rPr>
          <w:rFonts w:hint="eastAsia" w:ascii="仿宋_GB2312" w:eastAsia="仿宋_GB2312" w:cs="仿宋_GB2312"/>
          <w:b w:val="0"/>
          <w:bCs w:val="0"/>
          <w:color w:val="000000"/>
          <w:sz w:val="32"/>
          <w:szCs w:val="32"/>
          <w:lang w:val="en-US" w:eastAsia="zh-CN"/>
        </w:rPr>
        <w:t>2020年</w:t>
      </w:r>
      <w:r>
        <w:rPr>
          <w:rFonts w:hint="eastAsia" w:ascii="仿宋_GB2312" w:eastAsia="仿宋_GB2312" w:cs="仿宋_GB2312"/>
          <w:b w:val="0"/>
          <w:bCs w:val="0"/>
          <w:color w:val="000000"/>
          <w:sz w:val="32"/>
          <w:szCs w:val="32"/>
        </w:rPr>
        <w:t>无变化</w:t>
      </w:r>
      <w:r>
        <w:rPr>
          <w:rFonts w:hint="eastAsia" w:asci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auto"/>
          <w:sz w:val="32"/>
          <w:szCs w:val="32"/>
          <w:highlight w:val="none"/>
        </w:rPr>
        <w:t>2.公务用车购置及运行维护费支出</w:t>
      </w:r>
      <w:r>
        <w:rPr>
          <w:rFonts w:hint="eastAsia" w:ascii="仿宋_GB2312" w:eastAsia="仿宋_GB2312" w:cs="仿宋_GB2312"/>
          <w:b w:val="0"/>
          <w:bCs w:val="0"/>
          <w:color w:val="auto"/>
          <w:sz w:val="32"/>
          <w:szCs w:val="32"/>
          <w:highlight w:val="none"/>
          <w:lang w:val="en-US" w:eastAsia="zh-CN"/>
        </w:rPr>
        <w:t>12.37</w:t>
      </w:r>
      <w:r>
        <w:rPr>
          <w:rFonts w:hint="eastAsia" w:ascii="仿宋_GB2312" w:eastAsia="仿宋_GB2312" w:cs="仿宋_GB2312"/>
          <w:b w:val="0"/>
          <w:bCs w:val="0"/>
          <w:color w:val="auto"/>
          <w:sz w:val="32"/>
          <w:szCs w:val="32"/>
          <w:highlight w:val="none"/>
        </w:rPr>
        <w:t>万元,</w:t>
      </w:r>
      <w:r>
        <w:rPr>
          <w:rStyle w:val="16"/>
          <w:rFonts w:hint="eastAsia" w:ascii="仿宋_GB2312" w:eastAsia="仿宋_GB2312" w:cs="仿宋_GB2312"/>
          <w:b w:val="0"/>
          <w:bCs w:val="0"/>
          <w:color w:val="auto"/>
          <w:sz w:val="32"/>
          <w:szCs w:val="32"/>
          <w:highlight w:val="none"/>
        </w:rPr>
        <w:t>完成预算</w:t>
      </w:r>
      <w:r>
        <w:rPr>
          <w:rStyle w:val="16"/>
          <w:rFonts w:hint="eastAsia" w:ascii="仿宋_GB2312" w:eastAsia="仿宋_GB2312" w:cs="仿宋_GB2312"/>
          <w:b w:val="0"/>
          <w:bCs w:val="0"/>
          <w:color w:val="auto"/>
          <w:sz w:val="32"/>
          <w:szCs w:val="32"/>
          <w:highlight w:val="none"/>
          <w:lang w:val="en-US" w:eastAsia="zh-CN"/>
        </w:rPr>
        <w:t>83.24</w:t>
      </w:r>
      <w:r>
        <w:rPr>
          <w:rStyle w:val="16"/>
          <w:rFonts w:hint="eastAsia" w:ascii="仿宋_GB2312" w:eastAsia="仿宋_GB2312" w:cs="仿宋_GB2312"/>
          <w:b w:val="0"/>
          <w:bCs w:val="0"/>
          <w:color w:val="auto"/>
          <w:sz w:val="32"/>
          <w:szCs w:val="32"/>
          <w:highlight w:val="none"/>
        </w:rPr>
        <w:t>%。</w:t>
      </w:r>
      <w:r>
        <w:rPr>
          <w:rFonts w:hint="eastAsia" w:ascii="仿宋_GB2312" w:eastAsia="仿宋_GB2312" w:cs="仿宋_GB2312"/>
          <w:b w:val="0"/>
          <w:bCs w:val="0"/>
          <w:color w:val="auto"/>
          <w:sz w:val="32"/>
          <w:szCs w:val="32"/>
          <w:highlight w:val="none"/>
        </w:rPr>
        <w:t>公务用车购置及运行维护费支出决算比20</w:t>
      </w:r>
      <w:r>
        <w:rPr>
          <w:rFonts w:hint="eastAsia" w:ascii="仿宋_GB2312" w:eastAsia="仿宋_GB2312" w:cs="仿宋_GB2312"/>
          <w:b w:val="0"/>
          <w:bCs w:val="0"/>
          <w:color w:val="auto"/>
          <w:sz w:val="32"/>
          <w:szCs w:val="32"/>
          <w:highlight w:val="none"/>
          <w:lang w:val="en-US" w:eastAsia="zh-CN"/>
        </w:rPr>
        <w:t>20</w:t>
      </w:r>
      <w:r>
        <w:rPr>
          <w:rFonts w:hint="eastAsia" w:ascii="仿宋_GB2312" w:eastAsia="仿宋_GB2312" w:cs="仿宋_GB2312"/>
          <w:b w:val="0"/>
          <w:bCs w:val="0"/>
          <w:color w:val="auto"/>
          <w:sz w:val="32"/>
          <w:szCs w:val="32"/>
          <w:highlight w:val="none"/>
        </w:rPr>
        <w:t>年减少</w:t>
      </w:r>
      <w:r>
        <w:rPr>
          <w:rFonts w:hint="eastAsia" w:ascii="仿宋_GB2312" w:eastAsia="仿宋_GB2312" w:cs="仿宋_GB2312"/>
          <w:b w:val="0"/>
          <w:bCs w:val="0"/>
          <w:color w:val="auto"/>
          <w:sz w:val="32"/>
          <w:szCs w:val="32"/>
          <w:highlight w:val="none"/>
          <w:lang w:val="en-US" w:eastAsia="zh-CN"/>
        </w:rPr>
        <w:t>2.71</w:t>
      </w:r>
      <w:r>
        <w:rPr>
          <w:rFonts w:hint="eastAsia" w:ascii="仿宋_GB2312" w:eastAsia="仿宋_GB2312" w:cs="仿宋_GB2312"/>
          <w:b w:val="0"/>
          <w:bCs w:val="0"/>
          <w:color w:val="auto"/>
          <w:sz w:val="32"/>
          <w:szCs w:val="32"/>
          <w:highlight w:val="none"/>
        </w:rPr>
        <w:t>万元，下降</w:t>
      </w:r>
      <w:r>
        <w:rPr>
          <w:rFonts w:hint="eastAsia" w:ascii="仿宋_GB2312" w:eastAsia="仿宋_GB2312" w:cs="仿宋_GB2312"/>
          <w:b w:val="0"/>
          <w:bCs w:val="0"/>
          <w:color w:val="auto"/>
          <w:sz w:val="32"/>
          <w:szCs w:val="32"/>
          <w:highlight w:val="none"/>
          <w:lang w:val="en-US" w:eastAsia="zh-CN"/>
        </w:rPr>
        <w:t>17.97</w:t>
      </w:r>
      <w:r>
        <w:rPr>
          <w:rFonts w:hint="eastAsia" w:ascii="仿宋_GB2312" w:eastAsia="仿宋_GB2312" w:cs="仿宋_GB2312"/>
          <w:b w:val="0"/>
          <w:bCs w:val="0"/>
          <w:color w:val="auto"/>
          <w:sz w:val="32"/>
          <w:szCs w:val="32"/>
          <w:highlight w:val="none"/>
        </w:rPr>
        <w:t>%。</w:t>
      </w:r>
      <w:r>
        <w:rPr>
          <w:rFonts w:hint="eastAsia" w:ascii="仿宋_GB2312" w:eastAsia="仿宋_GB2312" w:cs="仿宋_GB2312"/>
          <w:b w:val="0"/>
          <w:bCs w:val="0"/>
          <w:color w:val="000000"/>
          <w:sz w:val="32"/>
          <w:szCs w:val="32"/>
        </w:rPr>
        <w:t>主要原因是</w:t>
      </w:r>
      <w:r>
        <w:rPr>
          <w:rFonts w:hint="eastAsia" w:ascii="仿宋_GB2312" w:eastAsia="仿宋_GB2312" w:cs="仿宋_GB2312"/>
          <w:b w:val="0"/>
          <w:bCs w:val="0"/>
          <w:sz w:val="32"/>
          <w:szCs w:val="32"/>
        </w:rPr>
        <w:t>继续落实转变作风、厉行节约、过紧日子“十三条措施”有关要求，加强公务用车日常管理，降低车辆各类消耗所致</w:t>
      </w:r>
      <w:r>
        <w:rPr>
          <w:rFonts w:hint="eastAsia" w:ascii="仿宋_GB2312" w:eastAsia="仿宋_GB2312" w:cs="仿宋_GB2312"/>
          <w:b w:val="0"/>
          <w:bCs w:val="0"/>
          <w:color w:val="000000"/>
          <w:sz w:val="32"/>
          <w:szCs w:val="32"/>
        </w:rPr>
        <w:t>。</w:t>
      </w:r>
    </w:p>
    <w:p>
      <w:pPr>
        <w:spacing w:line="600" w:lineRule="exact"/>
        <w:ind w:firstLine="640" w:firstLineChars="200"/>
        <w:rPr>
          <w:rFonts w:ascii="仿宋_GB2312" w:eastAsia="仿宋_GB2312" w:cs="仿宋_GB2312"/>
          <w:b w:val="0"/>
          <w:bCs w:val="0"/>
          <w:color w:val="FF0000"/>
          <w:sz w:val="32"/>
          <w:szCs w:val="32"/>
          <w:lang w:val="en-US" w:eastAsia="zh-CN"/>
        </w:rPr>
      </w:pPr>
      <w:r>
        <w:rPr>
          <w:rFonts w:hint="eastAsia" w:ascii="仿宋_GB2312" w:eastAsia="仿宋_GB2312" w:cs="仿宋_GB2312"/>
          <w:b w:val="0"/>
          <w:bCs w:val="0"/>
          <w:color w:val="auto"/>
          <w:sz w:val="32"/>
          <w:szCs w:val="32"/>
          <w:highlight w:val="none"/>
        </w:rPr>
        <w:t>其中：公务用车购置支出</w:t>
      </w:r>
      <w:r>
        <w:rPr>
          <w:rFonts w:hint="eastAsia" w:ascii="仿宋_GB2312" w:eastAsia="仿宋_GB2312" w:cs="仿宋_GB2312"/>
          <w:b w:val="0"/>
          <w:bCs w:val="0"/>
          <w:color w:val="auto"/>
          <w:sz w:val="32"/>
          <w:szCs w:val="32"/>
          <w:highlight w:val="none"/>
          <w:lang w:val="en-US" w:eastAsia="zh-CN"/>
        </w:rPr>
        <w:t>0</w:t>
      </w:r>
      <w:r>
        <w:rPr>
          <w:rFonts w:hint="eastAsia" w:ascii="仿宋_GB2312" w:eastAsia="仿宋_GB2312" w:cs="仿宋_GB2312"/>
          <w:b w:val="0"/>
          <w:bCs w:val="0"/>
          <w:color w:val="auto"/>
          <w:sz w:val="32"/>
          <w:szCs w:val="32"/>
          <w:highlight w:val="none"/>
        </w:rPr>
        <w:t>万元。</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w:t>
      </w:r>
      <w:r>
        <w:rPr>
          <w:rFonts w:hint="eastAsia" w:ascii="仿宋_GB2312" w:eastAsia="仿宋_GB2312" w:cs="仿宋_GB2312"/>
          <w:b w:val="0"/>
          <w:bCs w:val="0"/>
          <w:color w:val="auto"/>
          <w:sz w:val="32"/>
          <w:szCs w:val="32"/>
        </w:rPr>
        <w:t>广元市退役军人事务</w:t>
      </w:r>
      <w:r>
        <w:rPr>
          <w:rFonts w:hint="eastAsia" w:ascii="仿宋_GB2312" w:eastAsia="仿宋_GB2312" w:cs="仿宋_GB2312"/>
          <w:b w:val="0"/>
          <w:bCs w:val="0"/>
          <w:color w:val="auto"/>
          <w:sz w:val="32"/>
          <w:szCs w:val="32"/>
          <w:lang w:eastAsia="zh-CN"/>
        </w:rPr>
        <w:t>局各直属单位</w:t>
      </w:r>
      <w:r>
        <w:rPr>
          <w:rFonts w:hint="eastAsia" w:ascii="仿宋_GB2312" w:eastAsia="仿宋_GB2312" w:cs="仿宋_GB2312"/>
          <w:b w:val="0"/>
          <w:bCs w:val="0"/>
          <w:color w:val="auto"/>
          <w:sz w:val="32"/>
          <w:szCs w:val="32"/>
        </w:rPr>
        <w:t>共有车辆8辆，其中：</w:t>
      </w:r>
      <w:r>
        <w:rPr>
          <w:rFonts w:hint="eastAsia" w:ascii="仿宋_GB2312" w:eastAsia="仿宋_GB2312" w:cs="仿宋_GB2312"/>
          <w:b w:val="0"/>
          <w:bCs w:val="0"/>
          <w:color w:val="auto"/>
          <w:sz w:val="32"/>
          <w:szCs w:val="32"/>
          <w:highlight w:val="none"/>
        </w:rPr>
        <w:t>应急保障用车</w:t>
      </w:r>
      <w:r>
        <w:rPr>
          <w:rFonts w:hint="eastAsia" w:ascii="仿宋_GB2312" w:eastAsia="仿宋_GB2312" w:cs="仿宋_GB2312"/>
          <w:b w:val="0"/>
          <w:bCs w:val="0"/>
          <w:color w:val="auto"/>
          <w:sz w:val="32"/>
          <w:szCs w:val="32"/>
          <w:highlight w:val="none"/>
          <w:lang w:val="en-US" w:eastAsia="zh-CN"/>
        </w:rPr>
        <w:t>1</w:t>
      </w:r>
      <w:r>
        <w:rPr>
          <w:rFonts w:hint="eastAsia" w:ascii="仿宋_GB2312" w:eastAsia="仿宋_GB2312" w:cs="仿宋_GB2312"/>
          <w:b w:val="0"/>
          <w:bCs w:val="0"/>
          <w:color w:val="auto"/>
          <w:sz w:val="32"/>
          <w:szCs w:val="32"/>
          <w:highlight w:val="none"/>
        </w:rPr>
        <w:t>辆、</w:t>
      </w:r>
      <w:r>
        <w:rPr>
          <w:rFonts w:hint="eastAsia" w:ascii="仿宋_GB2312" w:eastAsia="仿宋_GB2312" w:cs="仿宋_GB2312"/>
          <w:b w:val="0"/>
          <w:bCs w:val="0"/>
          <w:color w:val="000000"/>
          <w:sz w:val="32"/>
          <w:szCs w:val="32"/>
        </w:rPr>
        <w:t>特种专业技术用车</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辆、其他用车4辆。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auto"/>
          <w:sz w:val="32"/>
          <w:szCs w:val="32"/>
          <w:highlight w:val="none"/>
        </w:rPr>
        <w:t>公务用车运行维护费支出</w:t>
      </w:r>
      <w:r>
        <w:rPr>
          <w:rFonts w:hint="eastAsia" w:ascii="仿宋_GB2312" w:eastAsia="仿宋_GB2312" w:cs="仿宋_GB2312"/>
          <w:b w:val="0"/>
          <w:bCs w:val="0"/>
          <w:color w:val="auto"/>
          <w:sz w:val="32"/>
          <w:szCs w:val="32"/>
          <w:highlight w:val="none"/>
          <w:lang w:val="en-US" w:eastAsia="zh-CN"/>
        </w:rPr>
        <w:t>12.37</w:t>
      </w:r>
      <w:r>
        <w:rPr>
          <w:rFonts w:hint="eastAsia" w:ascii="仿宋_GB2312" w:eastAsia="仿宋_GB2312" w:cs="仿宋_GB2312"/>
          <w:b w:val="0"/>
          <w:bCs w:val="0"/>
          <w:color w:val="auto"/>
          <w:sz w:val="32"/>
          <w:szCs w:val="32"/>
          <w:highlight w:val="none"/>
        </w:rPr>
        <w:t>万元。</w:t>
      </w:r>
      <w:r>
        <w:rPr>
          <w:rFonts w:hint="eastAsia" w:ascii="仿宋_GB2312" w:eastAsia="仿宋_GB2312" w:cs="仿宋_GB2312"/>
          <w:b w:val="0"/>
          <w:bCs w:val="0"/>
          <w:color w:val="auto"/>
          <w:sz w:val="32"/>
          <w:szCs w:val="32"/>
          <w:highlight w:val="none"/>
          <w:lang w:eastAsia="zh-CN"/>
        </w:rPr>
        <w:t>主要用于</w:t>
      </w:r>
      <w:r>
        <w:rPr>
          <w:rFonts w:hint="eastAsia" w:ascii="仿宋_GB2312" w:eastAsia="仿宋_GB2312" w:cs="仿宋_GB2312"/>
          <w:b w:val="0"/>
          <w:bCs w:val="0"/>
          <w:color w:val="000000"/>
          <w:sz w:val="32"/>
          <w:szCs w:val="32"/>
        </w:rPr>
        <w:t>常态化联系退役军人、调研褒扬纪念设施、就业创业培训指导、外出辅助检查、祭扫军人公墓、军休干部、供养人员及军供服务等所需的公务用车燃料费、维修费、过路过桥费、保险费等支出。</w:t>
      </w:r>
    </w:p>
    <w:p>
      <w:pPr>
        <w:spacing w:line="600" w:lineRule="exact"/>
        <w:ind w:firstLine="640"/>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rPr>
        <w:t>3.公务接待费支出</w:t>
      </w:r>
      <w:r>
        <w:rPr>
          <w:rFonts w:hint="eastAsia" w:ascii="仿宋_GB2312" w:eastAsia="仿宋_GB2312" w:cs="仿宋_GB2312"/>
          <w:b w:val="0"/>
          <w:bCs w:val="0"/>
          <w:color w:val="auto"/>
          <w:sz w:val="32"/>
          <w:szCs w:val="32"/>
          <w:highlight w:val="none"/>
          <w:lang w:val="en-US" w:eastAsia="zh-CN"/>
        </w:rPr>
        <w:t>1.67</w:t>
      </w:r>
      <w:r>
        <w:rPr>
          <w:rFonts w:hint="eastAsia" w:ascii="仿宋_GB2312" w:eastAsia="仿宋_GB2312" w:cs="仿宋_GB2312"/>
          <w:b w:val="0"/>
          <w:bCs w:val="0"/>
          <w:color w:val="auto"/>
          <w:sz w:val="32"/>
          <w:szCs w:val="32"/>
          <w:highlight w:val="none"/>
        </w:rPr>
        <w:t>万元，</w:t>
      </w:r>
      <w:r>
        <w:rPr>
          <w:rStyle w:val="16"/>
          <w:rFonts w:hint="eastAsia" w:ascii="仿宋_GB2312" w:eastAsia="仿宋_GB2312" w:cs="仿宋_GB2312"/>
          <w:b w:val="0"/>
          <w:bCs w:val="0"/>
          <w:color w:val="auto"/>
          <w:sz w:val="32"/>
          <w:szCs w:val="32"/>
          <w:highlight w:val="none"/>
        </w:rPr>
        <w:t>完成预算</w:t>
      </w:r>
      <w:r>
        <w:rPr>
          <w:rStyle w:val="16"/>
          <w:rFonts w:hint="eastAsia" w:ascii="仿宋_GB2312" w:eastAsia="仿宋_GB2312" w:cs="仿宋_GB2312"/>
          <w:b w:val="0"/>
          <w:bCs w:val="0"/>
          <w:color w:val="auto"/>
          <w:sz w:val="32"/>
          <w:szCs w:val="32"/>
          <w:highlight w:val="none"/>
          <w:lang w:val="en-US" w:eastAsia="zh-CN"/>
        </w:rPr>
        <w:t>37.53</w:t>
      </w:r>
      <w:r>
        <w:rPr>
          <w:rStyle w:val="16"/>
          <w:rFonts w:hint="eastAsia" w:ascii="仿宋_GB2312" w:eastAsia="仿宋_GB2312" w:cs="仿宋_GB2312"/>
          <w:b w:val="0"/>
          <w:bCs w:val="0"/>
          <w:color w:val="auto"/>
          <w:sz w:val="32"/>
          <w:szCs w:val="32"/>
          <w:highlight w:val="none"/>
        </w:rPr>
        <w:t>%。</w:t>
      </w:r>
      <w:r>
        <w:rPr>
          <w:rFonts w:hint="eastAsia" w:ascii="仿宋_GB2312" w:eastAsia="仿宋_GB2312" w:cs="仿宋_GB2312"/>
          <w:b w:val="0"/>
          <w:bCs w:val="0"/>
          <w:color w:val="auto"/>
          <w:sz w:val="32"/>
          <w:szCs w:val="32"/>
          <w:highlight w:val="none"/>
        </w:rPr>
        <w:t>公务接待费支出决算比20</w:t>
      </w:r>
      <w:r>
        <w:rPr>
          <w:rFonts w:hint="eastAsia" w:ascii="仿宋_GB2312" w:eastAsia="仿宋_GB2312" w:cs="仿宋_GB2312"/>
          <w:b w:val="0"/>
          <w:bCs w:val="0"/>
          <w:color w:val="auto"/>
          <w:sz w:val="32"/>
          <w:szCs w:val="32"/>
          <w:highlight w:val="none"/>
          <w:lang w:val="en-US" w:eastAsia="zh-CN"/>
        </w:rPr>
        <w:t>20</w:t>
      </w:r>
      <w:r>
        <w:rPr>
          <w:rFonts w:hint="eastAsia" w:ascii="仿宋_GB2312" w:eastAsia="仿宋_GB2312" w:cs="仿宋_GB2312"/>
          <w:b w:val="0"/>
          <w:bCs w:val="0"/>
          <w:color w:val="auto"/>
          <w:sz w:val="32"/>
          <w:szCs w:val="32"/>
          <w:highlight w:val="none"/>
        </w:rPr>
        <w:t>年减少</w:t>
      </w:r>
      <w:r>
        <w:rPr>
          <w:rFonts w:hint="eastAsia" w:ascii="仿宋_GB2312" w:eastAsia="仿宋_GB2312" w:cs="仿宋_GB2312"/>
          <w:b w:val="0"/>
          <w:bCs w:val="0"/>
          <w:color w:val="auto"/>
          <w:sz w:val="32"/>
          <w:szCs w:val="32"/>
          <w:highlight w:val="none"/>
          <w:lang w:val="en-US" w:eastAsia="zh-CN"/>
        </w:rPr>
        <w:t>0.02</w:t>
      </w:r>
      <w:r>
        <w:rPr>
          <w:rFonts w:hint="eastAsia" w:ascii="仿宋_GB2312" w:eastAsia="仿宋_GB2312" w:cs="仿宋_GB2312"/>
          <w:b w:val="0"/>
          <w:bCs w:val="0"/>
          <w:color w:val="auto"/>
          <w:sz w:val="32"/>
          <w:szCs w:val="32"/>
          <w:highlight w:val="none"/>
        </w:rPr>
        <w:t>万元，下降</w:t>
      </w:r>
      <w:r>
        <w:rPr>
          <w:rFonts w:hint="eastAsia" w:ascii="仿宋_GB2312" w:eastAsia="仿宋_GB2312" w:cs="仿宋_GB2312"/>
          <w:b w:val="0"/>
          <w:bCs w:val="0"/>
          <w:color w:val="auto"/>
          <w:sz w:val="32"/>
          <w:szCs w:val="32"/>
          <w:highlight w:val="none"/>
          <w:lang w:val="en-US" w:eastAsia="zh-CN"/>
        </w:rPr>
        <w:t>1.18</w:t>
      </w:r>
      <w:r>
        <w:rPr>
          <w:rFonts w:hint="eastAsia" w:ascii="仿宋_GB2312" w:eastAsia="仿宋_GB2312" w:cs="仿宋_GB2312"/>
          <w:b w:val="0"/>
          <w:bCs w:val="0"/>
          <w:color w:val="auto"/>
          <w:sz w:val="32"/>
          <w:szCs w:val="32"/>
          <w:highlight w:val="none"/>
        </w:rPr>
        <w:t>%。</w:t>
      </w:r>
      <w:r>
        <w:rPr>
          <w:rFonts w:hint="eastAsia" w:ascii="仿宋_GB2312" w:eastAsia="仿宋_GB2312" w:cs="仿宋_GB2312"/>
          <w:b w:val="0"/>
          <w:bCs w:val="0"/>
          <w:color w:val="auto"/>
          <w:sz w:val="32"/>
          <w:szCs w:val="32"/>
          <w:highlight w:val="none"/>
          <w:lang w:eastAsia="zh-CN"/>
        </w:rPr>
        <w:t>主要原因是</w:t>
      </w:r>
      <w:r>
        <w:rPr>
          <w:rFonts w:hint="eastAsia" w:ascii="仿宋_GB2312" w:eastAsia="仿宋_GB2312" w:cs="仿宋_GB2312"/>
          <w:b w:val="0"/>
          <w:bCs w:val="0"/>
          <w:color w:val="000000"/>
          <w:sz w:val="32"/>
          <w:szCs w:val="32"/>
        </w:rPr>
        <w:t>疫情减少了出行</w:t>
      </w:r>
      <w:r>
        <w:rPr>
          <w:rFonts w:hint="eastAsia" w:ascii="仿宋_GB2312" w:eastAsia="仿宋_GB2312" w:cs="仿宋_GB2312"/>
          <w:b w:val="0"/>
          <w:bCs w:val="0"/>
          <w:color w:val="000000"/>
          <w:sz w:val="32"/>
          <w:szCs w:val="32"/>
          <w:lang w:eastAsia="zh-CN"/>
        </w:rPr>
        <w:t>考察</w:t>
      </w:r>
      <w:r>
        <w:rPr>
          <w:rFonts w:hint="eastAsia" w:ascii="仿宋_GB2312" w:eastAsia="仿宋_GB2312" w:cs="仿宋_GB2312"/>
          <w:b w:val="0"/>
          <w:bCs w:val="0"/>
          <w:color w:val="000000"/>
          <w:sz w:val="32"/>
          <w:szCs w:val="32"/>
        </w:rPr>
        <w:t>及调研次数，倡导厉行节约，精简开支，规范公务接待，严格控制公务接待标准和陪餐人数</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auto"/>
          <w:sz w:val="32"/>
          <w:szCs w:val="32"/>
          <w:highlight w:val="none"/>
        </w:rPr>
        <w:t>其中：</w:t>
      </w:r>
    </w:p>
    <w:p>
      <w:pPr>
        <w:spacing w:line="600" w:lineRule="exact"/>
        <w:ind w:firstLine="640"/>
        <w:rPr>
          <w:rFonts w:hint="eastAsia" w:ascii="仿宋_GB2312" w:eastAsia="仿宋_GB2312" w:cs="仿宋_GB2312"/>
          <w:b w:val="0"/>
          <w:bCs w:val="0"/>
          <w:sz w:val="32"/>
          <w:szCs w:val="32"/>
        </w:rPr>
      </w:pPr>
      <w:r>
        <w:rPr>
          <w:rFonts w:hint="eastAsia" w:ascii="仿宋_GB2312" w:eastAsia="仿宋_GB2312" w:cs="仿宋_GB2312"/>
          <w:b w:val="0"/>
          <w:bCs w:val="0"/>
          <w:color w:val="auto"/>
          <w:sz w:val="32"/>
          <w:szCs w:val="32"/>
          <w:highlight w:val="none"/>
        </w:rPr>
        <w:t>国内公务接待支出</w:t>
      </w:r>
      <w:r>
        <w:rPr>
          <w:rFonts w:hint="eastAsia" w:ascii="仿宋_GB2312" w:eastAsia="仿宋_GB2312" w:cs="仿宋_GB2312"/>
          <w:b w:val="0"/>
          <w:bCs w:val="0"/>
          <w:color w:val="auto"/>
          <w:sz w:val="32"/>
          <w:szCs w:val="32"/>
          <w:highlight w:val="none"/>
          <w:lang w:val="en-US" w:eastAsia="zh-CN"/>
        </w:rPr>
        <w:t>1.67</w:t>
      </w:r>
      <w:r>
        <w:rPr>
          <w:rFonts w:hint="eastAsia" w:ascii="仿宋_GB2312" w:eastAsia="仿宋_GB2312" w:cs="仿宋_GB2312"/>
          <w:b w:val="0"/>
          <w:bCs w:val="0"/>
          <w:color w:val="auto"/>
          <w:sz w:val="32"/>
          <w:szCs w:val="32"/>
          <w:highlight w:val="none"/>
        </w:rPr>
        <w:t>万元，</w:t>
      </w:r>
      <w:r>
        <w:rPr>
          <w:rFonts w:hint="eastAsia" w:ascii="仿宋_GB2312" w:eastAsia="仿宋_GB2312" w:cs="仿宋_GB2312"/>
          <w:b w:val="0"/>
          <w:bCs w:val="0"/>
          <w:color w:val="auto"/>
          <w:sz w:val="32"/>
          <w:szCs w:val="32"/>
          <w:highlight w:val="none"/>
          <w:lang w:eastAsia="zh-CN"/>
        </w:rPr>
        <w:t>主要用于</w:t>
      </w:r>
      <w:r>
        <w:rPr>
          <w:rFonts w:hint="eastAsia" w:ascii="仿宋_GB2312" w:eastAsia="仿宋_GB2312" w:cs="仿宋_GB2312"/>
          <w:b w:val="0"/>
          <w:bCs w:val="0"/>
          <w:color w:val="000000"/>
          <w:sz w:val="32"/>
          <w:szCs w:val="32"/>
        </w:rPr>
        <w:t>执行公务、开展业务活动开支的餐费。具体内容包括：省内外系统来访考察接待餐费。</w:t>
      </w:r>
      <w:r>
        <w:rPr>
          <w:rFonts w:hint="eastAsia" w:ascii="仿宋_GB2312" w:eastAsia="仿宋_GB2312" w:cs="仿宋_GB2312"/>
          <w:b w:val="0"/>
          <w:bCs w:val="0"/>
          <w:color w:val="auto"/>
          <w:sz w:val="32"/>
          <w:szCs w:val="32"/>
          <w:highlight w:val="none"/>
        </w:rPr>
        <w:t>国内公务接待</w:t>
      </w:r>
      <w:r>
        <w:rPr>
          <w:rFonts w:hint="eastAsia" w:ascii="仿宋_GB2312" w:eastAsia="仿宋_GB2312" w:cs="仿宋_GB2312"/>
          <w:b w:val="0"/>
          <w:bCs w:val="0"/>
          <w:color w:val="auto"/>
          <w:sz w:val="32"/>
          <w:szCs w:val="32"/>
          <w:highlight w:val="none"/>
          <w:lang w:val="en-US" w:eastAsia="zh-CN"/>
        </w:rPr>
        <w:t>23</w:t>
      </w:r>
      <w:r>
        <w:rPr>
          <w:rFonts w:hint="eastAsia" w:ascii="仿宋_GB2312" w:eastAsia="仿宋_GB2312" w:cs="仿宋_GB2312"/>
          <w:b w:val="0"/>
          <w:bCs w:val="0"/>
          <w:color w:val="auto"/>
          <w:sz w:val="32"/>
          <w:szCs w:val="32"/>
          <w:highlight w:val="none"/>
        </w:rPr>
        <w:t>批次，</w:t>
      </w:r>
      <w:r>
        <w:rPr>
          <w:rFonts w:hint="eastAsia" w:ascii="仿宋_GB2312" w:eastAsia="仿宋_GB2312" w:cs="仿宋_GB2312"/>
          <w:b w:val="0"/>
          <w:bCs w:val="0"/>
          <w:color w:val="auto"/>
          <w:sz w:val="32"/>
          <w:szCs w:val="32"/>
          <w:highlight w:val="none"/>
          <w:lang w:val="en-US" w:eastAsia="zh-CN"/>
        </w:rPr>
        <w:t>167</w:t>
      </w:r>
      <w:r>
        <w:rPr>
          <w:rFonts w:hint="eastAsia" w:ascii="仿宋_GB2312" w:eastAsia="仿宋_GB2312" w:cs="仿宋_GB2312"/>
          <w:b w:val="0"/>
          <w:bCs w:val="0"/>
          <w:color w:val="auto"/>
          <w:sz w:val="32"/>
          <w:szCs w:val="32"/>
          <w:highlight w:val="none"/>
        </w:rPr>
        <w:t>人次（不包括陪同人员），共计支出</w:t>
      </w:r>
      <w:r>
        <w:rPr>
          <w:rFonts w:hint="eastAsia" w:ascii="仿宋_GB2312" w:eastAsia="仿宋_GB2312" w:cs="仿宋_GB2312"/>
          <w:b w:val="0"/>
          <w:bCs w:val="0"/>
          <w:color w:val="auto"/>
          <w:sz w:val="32"/>
          <w:szCs w:val="32"/>
          <w:highlight w:val="none"/>
          <w:lang w:val="en-US" w:eastAsia="zh-CN"/>
        </w:rPr>
        <w:t>1.67</w:t>
      </w:r>
      <w:r>
        <w:rPr>
          <w:rFonts w:hint="eastAsia" w:ascii="仿宋_GB2312" w:eastAsia="仿宋_GB2312" w:cs="仿宋_GB2312"/>
          <w:b w:val="0"/>
          <w:bCs w:val="0"/>
          <w:color w:val="auto"/>
          <w:sz w:val="32"/>
          <w:szCs w:val="32"/>
          <w:highlight w:val="none"/>
        </w:rPr>
        <w:t>万元，</w:t>
      </w:r>
      <w:r>
        <w:rPr>
          <w:rFonts w:hint="eastAsia" w:ascii="仿宋_GB2312" w:eastAsia="仿宋_GB2312" w:cs="仿宋_GB2312"/>
          <w:b w:val="0"/>
          <w:bCs w:val="0"/>
          <w:color w:val="000000"/>
          <w:sz w:val="32"/>
          <w:szCs w:val="32"/>
        </w:rPr>
        <w:t>具体内容包括：退役军人事务部调研、省退役军人事务厅、退役军人事务局</w:t>
      </w:r>
      <w:r>
        <w:rPr>
          <w:rFonts w:hint="eastAsia" w:ascii="仿宋_GB2312" w:eastAsia="仿宋_GB2312" w:cs="仿宋_GB2312"/>
          <w:b w:val="0"/>
          <w:bCs w:val="0"/>
          <w:color w:val="000000"/>
          <w:sz w:val="32"/>
          <w:szCs w:val="32"/>
          <w:lang w:eastAsia="zh-CN"/>
        </w:rPr>
        <w:t>、其他</w:t>
      </w:r>
      <w:r>
        <w:rPr>
          <w:rFonts w:hint="eastAsia" w:ascii="仿宋_GB2312" w:eastAsia="仿宋_GB2312" w:cs="仿宋_GB2312"/>
          <w:b w:val="0"/>
          <w:bCs w:val="0"/>
          <w:color w:val="000000"/>
          <w:sz w:val="32"/>
          <w:szCs w:val="32"/>
        </w:rPr>
        <w:t>市州退役军人服务中心、</w:t>
      </w:r>
      <w:r>
        <w:rPr>
          <w:rFonts w:hint="eastAsia" w:ascii="仿宋_GB2312" w:eastAsia="仿宋_GB2312" w:cs="仿宋_GB2312"/>
          <w:b w:val="0"/>
          <w:bCs w:val="0"/>
          <w:color w:val="000000"/>
          <w:sz w:val="32"/>
          <w:szCs w:val="32"/>
          <w:lang w:eastAsia="zh-CN"/>
        </w:rPr>
        <w:t>其他</w:t>
      </w:r>
      <w:r>
        <w:rPr>
          <w:rFonts w:hint="eastAsia" w:ascii="仿宋_GB2312" w:eastAsia="仿宋_GB2312" w:cs="仿宋_GB2312"/>
          <w:b w:val="0"/>
          <w:bCs w:val="0"/>
          <w:color w:val="000000"/>
          <w:sz w:val="32"/>
          <w:szCs w:val="32"/>
        </w:rPr>
        <w:t>市州光荣院等</w:t>
      </w:r>
      <w:r>
        <w:rPr>
          <w:rFonts w:hint="eastAsia" w:ascii="仿宋_GB2312" w:eastAsia="仿宋_GB2312" w:cs="仿宋_GB2312"/>
          <w:b w:val="0"/>
          <w:bCs w:val="0"/>
          <w:color w:val="000000"/>
          <w:sz w:val="32"/>
          <w:szCs w:val="32"/>
          <w:lang w:eastAsia="zh-CN"/>
        </w:rPr>
        <w:t>来我市进行</w:t>
      </w:r>
      <w:r>
        <w:rPr>
          <w:rFonts w:hint="eastAsia" w:ascii="仿宋_GB2312" w:eastAsia="仿宋_GB2312" w:cs="仿宋_GB2312"/>
          <w:b w:val="0"/>
          <w:bCs w:val="0"/>
          <w:color w:val="000000"/>
          <w:sz w:val="32"/>
          <w:szCs w:val="32"/>
        </w:rPr>
        <w:t>业务交流、学习</w:t>
      </w:r>
      <w:r>
        <w:rPr>
          <w:rFonts w:hint="eastAsia" w:ascii="仿宋_GB2312" w:eastAsia="仿宋_GB2312" w:cs="仿宋_GB2312"/>
          <w:b w:val="0"/>
          <w:bCs w:val="0"/>
          <w:color w:val="000000"/>
          <w:sz w:val="32"/>
          <w:szCs w:val="32"/>
          <w:lang w:eastAsia="zh-CN"/>
        </w:rPr>
        <w:t>等</w:t>
      </w:r>
      <w:r>
        <w:rPr>
          <w:rFonts w:hint="eastAsia" w:ascii="仿宋_GB2312" w:eastAsia="仿宋_GB2312" w:cs="仿宋_GB2312"/>
          <w:b w:val="0"/>
          <w:bCs w:val="0"/>
          <w:sz w:val="32"/>
          <w:szCs w:val="32"/>
        </w:rPr>
        <w:t>所发生的接待支出。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cs="仿宋_GB2312"/>
          <w:b w:val="0"/>
          <w:bCs w:val="0"/>
          <w:color w:val="auto"/>
          <w:sz w:val="32"/>
          <w:szCs w:val="32"/>
          <w:highlight w:val="none"/>
          <w:lang w:eastAsia="zh-CN"/>
        </w:rPr>
      </w:pPr>
      <w:r>
        <w:rPr>
          <w:rFonts w:hint="eastAsia" w:ascii="仿宋_GB2312" w:eastAsia="仿宋_GB2312" w:cs="仿宋_GB2312"/>
          <w:b w:val="0"/>
          <w:bCs w:val="0"/>
          <w:color w:val="auto"/>
          <w:sz w:val="32"/>
          <w:szCs w:val="32"/>
          <w:highlight w:val="none"/>
        </w:rPr>
        <w:t>外事接待支出</w:t>
      </w:r>
      <w:r>
        <w:rPr>
          <w:rFonts w:hint="eastAsia" w:ascii="仿宋_GB2312" w:eastAsia="仿宋_GB2312" w:cs="仿宋_GB2312"/>
          <w:b w:val="0"/>
          <w:bCs w:val="0"/>
          <w:color w:val="auto"/>
          <w:sz w:val="32"/>
          <w:szCs w:val="32"/>
          <w:highlight w:val="none"/>
          <w:lang w:val="en-US" w:eastAsia="zh-CN"/>
        </w:rPr>
        <w:t>0</w:t>
      </w:r>
      <w:r>
        <w:rPr>
          <w:rFonts w:hint="eastAsia" w:ascii="仿宋_GB2312" w:eastAsia="仿宋_GB2312" w:cs="仿宋_GB2312"/>
          <w:b w:val="0"/>
          <w:bCs w:val="0"/>
          <w:color w:val="auto"/>
          <w:sz w:val="32"/>
          <w:szCs w:val="32"/>
          <w:highlight w:val="none"/>
        </w:rPr>
        <w:t>万元，</w:t>
      </w:r>
      <w:r>
        <w:rPr>
          <w:rFonts w:hint="eastAsia" w:ascii="仿宋_GB2312" w:eastAsia="仿宋_GB2312" w:cs="仿宋_GB2312"/>
          <w:b w:val="0"/>
          <w:bCs w:val="0"/>
          <w:color w:val="000000"/>
          <w:sz w:val="32"/>
          <w:szCs w:val="32"/>
        </w:rPr>
        <w:t>全年未发生外事接待支出</w:t>
      </w:r>
      <w:r>
        <w:rPr>
          <w:rFonts w:hint="eastAsia" w:asci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19"/>
          <w:rFonts w:asci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19"/>
          <w:rFonts w:hint="eastAsia" w:ascii="黑体" w:eastAsia="黑体"/>
          <w:b w:val="0"/>
          <w:color w:val="auto"/>
          <w:highlight w:val="none"/>
        </w:rPr>
        <w:t>政府性基金预算支出决算情况说明</w:t>
      </w:r>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eastAsia="zh-CN"/>
        </w:rPr>
        <w:t>广元市退役军人事务局安排</w:t>
      </w:r>
      <w:r>
        <w:rPr>
          <w:rFonts w:hint="eastAsia" w:ascii="仿宋_GB2312" w:eastAsia="仿宋_GB2312" w:cs="仿宋_GB2312"/>
          <w:color w:val="auto"/>
          <w:sz w:val="32"/>
          <w:szCs w:val="32"/>
          <w:highlight w:val="none"/>
        </w:rPr>
        <w:t>政府性基金预算</w:t>
      </w:r>
      <w:r>
        <w:rPr>
          <w:rFonts w:hint="eastAsia" w:ascii="仿宋_GB2312" w:eastAsia="仿宋_GB2312" w:cs="仿宋_GB2312"/>
          <w:color w:val="auto"/>
          <w:sz w:val="32"/>
          <w:szCs w:val="32"/>
          <w:highlight w:val="none"/>
          <w:lang w:eastAsia="zh-CN"/>
        </w:rPr>
        <w:t>财政</w:t>
      </w:r>
      <w:r>
        <w:rPr>
          <w:rFonts w:hint="eastAsia" w:ascii="仿宋_GB2312" w:eastAsia="仿宋_GB2312" w:cs="仿宋_GB2312"/>
          <w:color w:val="auto"/>
          <w:sz w:val="32"/>
          <w:szCs w:val="32"/>
          <w:highlight w:val="none"/>
        </w:rPr>
        <w:t>拨款支出</w:t>
      </w:r>
      <w:r>
        <w:rPr>
          <w:rFonts w:hint="eastAsia" w:ascii="仿宋_GB2312" w:eastAsia="仿宋_GB2312" w:cs="仿宋_GB2312"/>
          <w:color w:val="auto"/>
          <w:sz w:val="32"/>
          <w:szCs w:val="32"/>
          <w:highlight w:val="none"/>
          <w:lang w:val="en-US" w:eastAsia="zh-CN"/>
        </w:rPr>
        <w:t>419.89</w:t>
      </w:r>
      <w:r>
        <w:rPr>
          <w:rFonts w:hint="eastAsia" w:ascii="仿宋_GB2312" w:eastAsia="仿宋_GB2312" w:cs="仿宋_GB2312"/>
          <w:color w:val="auto"/>
          <w:sz w:val="32"/>
          <w:szCs w:val="32"/>
          <w:highlight w:val="none"/>
        </w:rPr>
        <w:t>万元。</w:t>
      </w:r>
      <w:r>
        <w:rPr>
          <w:rFonts w:hint="eastAsia" w:ascii="仿宋_GB2312" w:eastAsia="仿宋_GB2312" w:cs="仿宋_GB2312"/>
          <w:color w:val="000000"/>
          <w:sz w:val="32"/>
          <w:szCs w:val="32"/>
        </w:rPr>
        <w:t>未在政府性基金预算拨款安排“三公经费”支出。</w:t>
      </w:r>
    </w:p>
    <w:p>
      <w:pPr>
        <w:numPr>
          <w:ilvl w:val="0"/>
          <w:numId w:val="1"/>
        </w:numPr>
        <w:spacing w:line="600" w:lineRule="exact"/>
        <w:ind w:left="0" w:firstLine="640"/>
        <w:outlineLvl w:val="1"/>
        <w:rPr>
          <w:rStyle w:val="19"/>
          <w:rFonts w:ascii="黑体" w:eastAsia="黑体"/>
          <w:b w:val="0"/>
          <w:color w:val="auto"/>
          <w:highlight w:val="none"/>
        </w:rPr>
      </w:pPr>
      <w:bookmarkStart w:id="48" w:name="_Toc15396611"/>
      <w:bookmarkStart w:id="49" w:name="_Toc15377219"/>
      <w:r>
        <w:rPr>
          <w:rStyle w:val="19"/>
          <w:rFonts w:hint="eastAsia" w:ascii="黑体" w:eastAsia="黑体"/>
          <w:b w:val="0"/>
          <w:color w:val="auto"/>
          <w:highlight w:val="none"/>
        </w:rPr>
        <w:t>国有资本经营预算支出决算情况说明</w:t>
      </w:r>
      <w:bookmarkEnd w:id="48"/>
      <w:bookmarkEnd w:id="49"/>
    </w:p>
    <w:p>
      <w:pPr>
        <w:spacing w:line="600" w:lineRule="exact"/>
        <w:ind w:firstLine="640"/>
        <w:rPr>
          <w:rFonts w:hint="eastAsia"/>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96612"/>
      <w:bookmarkStart w:id="51" w:name="_Toc15377221"/>
    </w:p>
    <w:p>
      <w:pPr>
        <w:numPr>
          <w:ilvl w:val="0"/>
          <w:numId w:val="1"/>
        </w:numPr>
        <w:spacing w:line="600" w:lineRule="exact"/>
        <w:ind w:left="0" w:firstLine="640"/>
        <w:outlineLvl w:val="1"/>
        <w:rPr>
          <w:rStyle w:val="19"/>
          <w:rFonts w:hint="eastAsia" w:ascii="黑体" w:eastAsia="黑体"/>
          <w:b w:val="0"/>
          <w:color w:val="auto"/>
          <w:highlight w:val="none"/>
        </w:rPr>
      </w:pPr>
      <w:r>
        <w:rPr>
          <w:rStyle w:val="19"/>
          <w:rFonts w:hint="eastAsia" w:ascii="黑体" w:eastAsia="黑体"/>
          <w:b w:val="0"/>
          <w:color w:val="auto"/>
          <w:highlight w:val="none"/>
          <w:lang w:val="en-US" w:eastAsia="zh-CN"/>
        </w:rPr>
        <w:t>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仿宋_GB2312" w:eastAsia="仿宋_GB2312" w:cs="仿宋_GB2312"/>
          <w:sz w:val="32"/>
          <w:szCs w:val="32"/>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2021年度</w:t>
      </w:r>
      <w:r>
        <w:rPr>
          <w:rFonts w:hint="eastAsia" w:ascii="仿宋_GB2312" w:eastAsia="仿宋_GB2312" w:cs="仿宋_GB2312"/>
          <w:color w:val="auto"/>
          <w:sz w:val="32"/>
          <w:szCs w:val="32"/>
          <w:highlight w:val="none"/>
        </w:rPr>
        <w:t>预算编制阶段，按政策要求组织对</w:t>
      </w:r>
      <w:r>
        <w:rPr>
          <w:rFonts w:hint="eastAsia" w:ascii="仿宋_GB2312" w:eastAsia="仿宋_GB2312" w:cs="仿宋_GB2312"/>
          <w:color w:val="auto"/>
          <w:sz w:val="32"/>
          <w:szCs w:val="32"/>
          <w:highlight w:val="none"/>
          <w:lang w:eastAsia="zh-CN"/>
        </w:rPr>
        <w:t>供养老人经费等</w:t>
      </w:r>
      <w:r>
        <w:rPr>
          <w:rFonts w:hint="eastAsia" w:ascii="仿宋_GB2312" w:eastAsia="仿宋_GB2312" w:cs="仿宋_GB2312"/>
          <w:color w:val="auto"/>
          <w:sz w:val="32"/>
          <w:szCs w:val="32"/>
          <w:highlight w:val="none"/>
          <w:lang w:val="en-US" w:eastAsia="zh-CN"/>
        </w:rPr>
        <w:t>1个项目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000000"/>
          <w:sz w:val="32"/>
          <w:szCs w:val="32"/>
        </w:rPr>
        <w:t>军人信息化建设及运行维护费、宣传费、部分退役士兵社保接续工作经费、安置工作经费、双拥双创</w:t>
      </w:r>
      <w:r>
        <w:rPr>
          <w:rFonts w:hint="eastAsia" w:ascii="仿宋_GB2312" w:eastAsia="仿宋_GB2312" w:cs="仿宋_GB2312"/>
          <w:color w:val="000000"/>
          <w:sz w:val="32"/>
          <w:szCs w:val="32"/>
          <w:lang w:eastAsia="zh-CN"/>
        </w:rPr>
        <w:t>及褒扬工作</w:t>
      </w:r>
      <w:r>
        <w:rPr>
          <w:rFonts w:hint="eastAsia" w:ascii="仿宋_GB2312" w:eastAsia="仿宋_GB2312" w:cs="仿宋_GB2312"/>
          <w:color w:val="auto"/>
          <w:sz w:val="32"/>
          <w:szCs w:val="32"/>
          <w:highlight w:val="none"/>
        </w:rPr>
        <w:t>项目</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000000"/>
          <w:sz w:val="32"/>
          <w:szCs w:val="32"/>
        </w:rPr>
        <w:t>荣誉军人休养中心补助经费、帮扶工作</w:t>
      </w:r>
      <w:r>
        <w:rPr>
          <w:rFonts w:hint="eastAsia" w:ascii="仿宋_GB2312" w:eastAsia="仿宋_GB2312" w:cs="仿宋_GB2312"/>
          <w:color w:val="auto"/>
          <w:sz w:val="32"/>
          <w:szCs w:val="32"/>
          <w:highlight w:val="none"/>
          <w:lang w:val="en-US" w:eastAsia="zh-CN"/>
        </w:rPr>
        <w:t>35</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35</w:t>
      </w:r>
      <w:r>
        <w:rPr>
          <w:rFonts w:hint="eastAsia" w:ascii="仿宋_GB2312" w:eastAsia="仿宋_GB2312" w:cs="仿宋_GB2312"/>
          <w:color w:val="auto"/>
          <w:sz w:val="32"/>
          <w:szCs w:val="32"/>
          <w:highlight w:val="none"/>
        </w:rPr>
        <w:t>个项目开展绩效监控，年终执行完毕后，对</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个项目开展了绩效自评</w:t>
      </w:r>
      <w:r>
        <w:rPr>
          <w:rFonts w:hint="eastAsia" w:ascii="仿宋_GB2312" w:eastAsia="仿宋_GB2312" w:cs="仿宋_GB2312"/>
          <w:color w:val="auto"/>
          <w:sz w:val="32"/>
          <w:szCs w:val="32"/>
          <w:highlight w:val="none"/>
          <w:lang w:eastAsia="zh-CN"/>
        </w:rPr>
        <w:t>。同时，</w:t>
      </w:r>
      <w:r>
        <w:rPr>
          <w:rFonts w:hint="eastAsia" w:ascii="仿宋_GB2312" w:eastAsia="仿宋_GB2312" w:cs="仿宋_GB2312"/>
          <w:color w:val="auto"/>
          <w:sz w:val="32"/>
          <w:szCs w:val="32"/>
          <w:highlight w:val="none"/>
        </w:rPr>
        <w:t>本部门对20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年部门整体开展绩效自评，《202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eastAsia="zh-CN"/>
        </w:rPr>
        <w:t>广元市退役军人事务局</w:t>
      </w:r>
      <w:r>
        <w:rPr>
          <w:rFonts w:hint="eastAsia" w:ascii="仿宋_GB2312" w:eastAsia="仿宋_GB2312" w:cs="仿宋_GB2312"/>
          <w:color w:val="auto"/>
          <w:sz w:val="32"/>
          <w:szCs w:val="32"/>
          <w:highlight w:val="none"/>
        </w:rPr>
        <w:t>部门整体绩效评价报告》见附件（</w:t>
      </w:r>
      <w:r>
        <w:rPr>
          <w:rFonts w:hint="eastAsia" w:ascii="仿宋_GB2312" w:eastAsia="仿宋_GB2312" w:cs="仿宋_GB2312"/>
          <w:color w:val="auto"/>
          <w:sz w:val="32"/>
          <w:szCs w:val="32"/>
          <w:highlight w:val="none"/>
          <w:lang w:eastAsia="zh-CN"/>
        </w:rPr>
        <w:t>第四部分</w:t>
      </w:r>
      <w:r>
        <w:rPr>
          <w:rFonts w:hint="eastAsia" w:ascii="仿宋_GB2312" w:eastAsia="仿宋_GB2312" w:cs="仿宋_GB2312"/>
          <w:color w:val="auto"/>
          <w:sz w:val="32"/>
          <w:szCs w:val="32"/>
          <w:highlight w:val="none"/>
        </w:rPr>
        <w:t>）。</w:t>
      </w:r>
    </w:p>
    <w:p>
      <w:pPr>
        <w:numPr>
          <w:ilvl w:val="0"/>
          <w:numId w:val="1"/>
        </w:numPr>
        <w:spacing w:line="600" w:lineRule="exact"/>
        <w:ind w:left="0" w:firstLine="640"/>
        <w:outlineLvl w:val="1"/>
        <w:rPr>
          <w:rStyle w:val="19"/>
          <w:rFonts w:hint="eastAsia" w:ascii="黑体" w:eastAsia="黑体"/>
          <w:b w:val="0"/>
          <w:color w:val="auto"/>
          <w:highlight w:val="none"/>
        </w:rPr>
      </w:pPr>
      <w:r>
        <w:rPr>
          <w:rStyle w:val="19"/>
          <w:rFonts w:hint="eastAsia" w:ascii="黑体" w:eastAsia="黑体"/>
          <w:b w:val="0"/>
          <w:color w:val="auto"/>
          <w:highlight w:val="none"/>
        </w:rPr>
        <w:t>其他重要事项的情况说明</w:t>
      </w:r>
      <w:bookmarkEnd w:id="50"/>
      <w:bookmarkEnd w:id="51"/>
    </w:p>
    <w:p>
      <w:pPr>
        <w:spacing w:line="600" w:lineRule="exact"/>
        <w:ind w:firstLine="640" w:firstLineChars="200"/>
        <w:outlineLvl w:val="2"/>
        <w:rPr>
          <w:rFonts w:hint="eastAsia" w:ascii="楷体_GB2312" w:eastAsia="楷体_GB2312" w:cs="楷体_GB2312"/>
          <w:b w:val="0"/>
          <w:bCs/>
          <w:color w:val="auto"/>
          <w:sz w:val="32"/>
          <w:szCs w:val="32"/>
          <w:highlight w:val="none"/>
        </w:rPr>
      </w:pPr>
      <w:bookmarkStart w:id="52" w:name="_Toc15377222"/>
      <w:r>
        <w:rPr>
          <w:rFonts w:hint="eastAsia" w:ascii="楷体_GB2312" w:eastAsia="楷体_GB2312" w:cs="楷体_GB2312"/>
          <w:b w:val="0"/>
          <w:bCs/>
          <w:color w:val="auto"/>
          <w:sz w:val="32"/>
          <w:szCs w:val="32"/>
          <w:highlight w:val="none"/>
        </w:rPr>
        <w:t>（一）机关运行经费支出情况</w:t>
      </w:r>
      <w:bookmarkEnd w:id="5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广元市退役军人事务局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78.90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25.17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46.84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 w:eastAsia="仿宋"/>
          <w:color w:val="000000"/>
          <w:sz w:val="32"/>
          <w:szCs w:val="32"/>
        </w:rPr>
        <w:t>在编人员与</w:t>
      </w:r>
      <w:r>
        <w:rPr>
          <w:rFonts w:hint="eastAsia" w:ascii="仿宋" w:eastAsia="仿宋"/>
          <w:color w:val="000000"/>
          <w:sz w:val="32"/>
          <w:szCs w:val="32"/>
          <w:lang w:val="en-US" w:eastAsia="zh-CN"/>
        </w:rPr>
        <w:t>2020</w:t>
      </w:r>
      <w:r>
        <w:rPr>
          <w:rFonts w:hint="eastAsia" w:ascii="仿宋" w:eastAsia="仿宋"/>
          <w:color w:val="000000"/>
          <w:sz w:val="32"/>
          <w:szCs w:val="32"/>
        </w:rPr>
        <w:t>年相比有所</w:t>
      </w:r>
      <w:r>
        <w:rPr>
          <w:rFonts w:hint="eastAsia" w:ascii="仿宋" w:eastAsia="仿宋"/>
          <w:color w:val="000000"/>
          <w:sz w:val="32"/>
          <w:szCs w:val="32"/>
          <w:lang w:eastAsia="zh-CN"/>
        </w:rPr>
        <w:t>增加。</w:t>
      </w:r>
    </w:p>
    <w:p>
      <w:pPr>
        <w:autoSpaceDE w:val="0"/>
        <w:autoSpaceDN w:val="0"/>
        <w:adjustRightInd w:val="0"/>
        <w:spacing w:line="600" w:lineRule="exact"/>
        <w:ind w:firstLine="640" w:firstLineChars="200"/>
        <w:jc w:val="left"/>
        <w:outlineLvl w:val="2"/>
        <w:rPr>
          <w:rFonts w:hint="eastAsia" w:ascii="楷体_GB2312" w:eastAsia="楷体_GB2312" w:cs="楷体_GB2312"/>
          <w:b w:val="0"/>
          <w:bCs/>
          <w:color w:val="auto"/>
          <w:sz w:val="32"/>
          <w:szCs w:val="32"/>
          <w:highlight w:val="none"/>
        </w:rPr>
      </w:pPr>
      <w:bookmarkStart w:id="53" w:name="_Toc15377223"/>
      <w:r>
        <w:rPr>
          <w:rFonts w:hint="eastAsia" w:ascii="楷体_GB2312" w:eastAsia="楷体_GB2312" w:cs="楷体_GB2312"/>
          <w:b w:val="0"/>
          <w:bCs/>
          <w:color w:val="auto"/>
          <w:sz w:val="32"/>
          <w:szCs w:val="32"/>
          <w:highlight w:val="none"/>
        </w:rPr>
        <w:t>（二）政府采购支出情况</w:t>
      </w:r>
      <w:bookmarkEnd w:id="53"/>
    </w:p>
    <w:p>
      <w:pPr>
        <w:spacing w:line="600" w:lineRule="exact"/>
        <w:ind w:firstLine="640" w:firstLineChars="200"/>
        <w:rPr>
          <w:rFonts w:hint="eastAsia" w:ascii="仿宋_GB2312" w:eastAsia="仿宋_GB2312" w:cs="仿宋_GB2312"/>
          <w:b/>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eastAsia="zh-CN"/>
        </w:rPr>
        <w:t>广元市退役军人事务局</w:t>
      </w:r>
      <w:r>
        <w:rPr>
          <w:rFonts w:hint="eastAsia" w:ascii="仿宋_GB2312" w:eastAsia="仿宋_GB2312" w:cs="仿宋_GB2312"/>
          <w:color w:val="auto"/>
          <w:sz w:val="32"/>
          <w:szCs w:val="32"/>
          <w:highlight w:val="none"/>
        </w:rPr>
        <w:t>政府采购支出总额</w:t>
      </w:r>
      <w:r>
        <w:rPr>
          <w:rFonts w:hint="eastAsia" w:ascii="仿宋_GB2312" w:eastAsia="仿宋_GB2312" w:cs="仿宋_GB2312"/>
          <w:color w:val="auto"/>
          <w:sz w:val="32"/>
          <w:szCs w:val="32"/>
          <w:highlight w:val="none"/>
          <w:lang w:val="en-US" w:eastAsia="zh-CN"/>
        </w:rPr>
        <w:t>587.73</w:t>
      </w:r>
      <w:r>
        <w:rPr>
          <w:rFonts w:hint="eastAsia" w:ascii="仿宋_GB2312" w:eastAsia="仿宋_GB2312" w:cs="仿宋_GB2312"/>
          <w:color w:val="auto"/>
          <w:sz w:val="32"/>
          <w:szCs w:val="32"/>
          <w:highlight w:val="none"/>
        </w:rPr>
        <w:t>万元，其中：政府采购货物支出</w:t>
      </w:r>
      <w:r>
        <w:rPr>
          <w:rFonts w:hint="eastAsia" w:ascii="仿宋_GB2312" w:eastAsia="仿宋_GB2312" w:cs="仿宋_GB2312"/>
          <w:color w:val="auto"/>
          <w:sz w:val="32"/>
          <w:szCs w:val="32"/>
          <w:highlight w:val="none"/>
          <w:lang w:val="en-US" w:eastAsia="zh-CN"/>
        </w:rPr>
        <w:t>11.63</w:t>
      </w:r>
      <w:r>
        <w:rPr>
          <w:rFonts w:hint="eastAsia" w:ascii="仿宋_GB2312" w:eastAsia="仿宋_GB2312" w:cs="仿宋_GB2312"/>
          <w:color w:val="auto"/>
          <w:sz w:val="32"/>
          <w:szCs w:val="32"/>
          <w:highlight w:val="none"/>
        </w:rPr>
        <w:t>万元、政府采购</w:t>
      </w:r>
      <w:r>
        <w:rPr>
          <w:rFonts w:hint="eastAsia" w:ascii="仿宋_GB2312" w:eastAsia="仿宋_GB2312" w:cs="仿宋_GB2312"/>
          <w:color w:val="auto"/>
          <w:sz w:val="32"/>
          <w:szCs w:val="32"/>
          <w:highlight w:val="none"/>
          <w:lang w:eastAsia="zh-CN"/>
        </w:rPr>
        <w:t>工程</w:t>
      </w:r>
      <w:r>
        <w:rPr>
          <w:rFonts w:hint="eastAsia" w:ascii="仿宋_GB2312" w:eastAsia="仿宋_GB2312" w:cs="仿宋_GB2312"/>
          <w:color w:val="auto"/>
          <w:sz w:val="32"/>
          <w:szCs w:val="32"/>
          <w:highlight w:val="none"/>
        </w:rPr>
        <w:t>支出</w:t>
      </w:r>
      <w:r>
        <w:rPr>
          <w:rFonts w:hint="eastAsia" w:ascii="仿宋_GB2312" w:eastAsia="仿宋_GB2312" w:cs="仿宋_GB2312"/>
          <w:color w:val="auto"/>
          <w:sz w:val="32"/>
          <w:szCs w:val="32"/>
          <w:highlight w:val="none"/>
          <w:lang w:val="en-US" w:eastAsia="zh-CN"/>
        </w:rPr>
        <w:t>576.10</w:t>
      </w:r>
      <w:r>
        <w:rPr>
          <w:rFonts w:hint="eastAsia" w:ascii="仿宋_GB2312" w:eastAsia="仿宋_GB2312" w:cs="仿宋_GB2312"/>
          <w:color w:val="auto"/>
          <w:sz w:val="32"/>
          <w:szCs w:val="32"/>
          <w:highlight w:val="none"/>
        </w:rPr>
        <w:t>万元。</w:t>
      </w:r>
      <w:r>
        <w:rPr>
          <w:rFonts w:hint="eastAsia" w:ascii="仿宋_GB2312" w:eastAsia="仿宋_GB2312" w:cs="仿宋_GB2312"/>
          <w:color w:val="auto"/>
          <w:sz w:val="32"/>
          <w:szCs w:val="32"/>
          <w:highlight w:val="none"/>
          <w:lang w:eastAsia="zh-CN"/>
        </w:rPr>
        <w:t>主要用于</w:t>
      </w:r>
      <w:r>
        <w:rPr>
          <w:rFonts w:hint="eastAsia" w:ascii="仿宋_GB2312" w:eastAsia="仿宋_GB2312" w:cs="仿宋_GB2312"/>
          <w:color w:val="000000"/>
          <w:sz w:val="32"/>
          <w:szCs w:val="32"/>
        </w:rPr>
        <w:t>购置办公设备、办公家具、办公楼的维修改造等</w:t>
      </w:r>
      <w:r>
        <w:rPr>
          <w:rFonts w:hint="eastAsia" w:ascii="仿宋_GB2312" w:eastAsia="仿宋_GB2312" w:cs="仿宋_GB2312"/>
          <w:color w:val="auto"/>
          <w:sz w:val="32"/>
          <w:szCs w:val="32"/>
          <w:highlight w:val="none"/>
        </w:rPr>
        <w:t>（具体工作）。授予中小企业合同金额</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万元，占政府采购支出总额的</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%，其中：授予小微企业合同金额</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万元，占政府采购支出总额的</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w:t>
      </w:r>
    </w:p>
    <w:p>
      <w:pPr>
        <w:autoSpaceDE w:val="0"/>
        <w:autoSpaceDN w:val="0"/>
        <w:adjustRightInd w:val="0"/>
        <w:spacing w:line="600" w:lineRule="exact"/>
        <w:ind w:firstLine="640" w:firstLineChars="200"/>
        <w:jc w:val="left"/>
        <w:outlineLvl w:val="2"/>
        <w:rPr>
          <w:rFonts w:hint="eastAsia" w:ascii="楷体_GB2312" w:eastAsia="楷体_GB2312" w:cs="楷体_GB2312"/>
          <w:b w:val="0"/>
          <w:bCs/>
          <w:color w:val="auto"/>
          <w:sz w:val="32"/>
          <w:szCs w:val="32"/>
          <w:highlight w:val="none"/>
        </w:rPr>
      </w:pPr>
      <w:bookmarkStart w:id="54" w:name="_Toc15377224"/>
      <w:r>
        <w:rPr>
          <w:rFonts w:hint="eastAsia" w:ascii="楷体_GB2312" w:eastAsia="楷体_GB2312" w:cs="楷体_GB2312"/>
          <w:b w:val="0"/>
          <w:bCs/>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rPr>
        <w:t>截至20</w:t>
      </w:r>
      <w:r>
        <w:rPr>
          <w:rFonts w:hint="eastAsia" w:ascii="仿宋_GB2312" w:eastAsia="仿宋_GB2312" w:cs="仿宋_GB2312"/>
          <w:b w:val="0"/>
          <w:bCs w:val="0"/>
          <w:color w:val="auto"/>
          <w:sz w:val="32"/>
          <w:szCs w:val="32"/>
          <w:highlight w:val="none"/>
          <w:lang w:val="en-US" w:eastAsia="zh-CN"/>
        </w:rPr>
        <w:t>21</w:t>
      </w:r>
      <w:r>
        <w:rPr>
          <w:rFonts w:hint="eastAsia" w:ascii="仿宋_GB2312" w:eastAsia="仿宋_GB2312" w:cs="仿宋_GB2312"/>
          <w:b w:val="0"/>
          <w:bCs w:val="0"/>
          <w:color w:val="auto"/>
          <w:sz w:val="32"/>
          <w:szCs w:val="32"/>
          <w:highlight w:val="none"/>
        </w:rPr>
        <w:t>年12月31日，</w:t>
      </w:r>
      <w:r>
        <w:rPr>
          <w:rFonts w:hint="eastAsia" w:ascii="仿宋_GB2312" w:eastAsia="仿宋_GB2312" w:cs="仿宋_GB2312"/>
          <w:b w:val="0"/>
          <w:bCs w:val="0"/>
          <w:color w:val="000000"/>
          <w:sz w:val="32"/>
          <w:szCs w:val="32"/>
        </w:rPr>
        <w:t>广元市退役军人事务</w:t>
      </w:r>
      <w:r>
        <w:rPr>
          <w:rFonts w:hint="eastAsia" w:ascii="仿宋_GB2312" w:eastAsia="仿宋_GB2312" w:cs="仿宋_GB2312"/>
          <w:b w:val="0"/>
          <w:bCs w:val="0"/>
          <w:color w:val="000000"/>
          <w:sz w:val="32"/>
          <w:szCs w:val="32"/>
          <w:lang w:eastAsia="zh-CN"/>
        </w:rPr>
        <w:t>局各直属单位</w:t>
      </w:r>
      <w:r>
        <w:rPr>
          <w:rFonts w:hint="eastAsia" w:ascii="仿宋_GB2312" w:eastAsia="仿宋_GB2312" w:cs="仿宋_GB2312"/>
          <w:b w:val="0"/>
          <w:bCs w:val="0"/>
          <w:color w:val="000000"/>
          <w:sz w:val="32"/>
          <w:szCs w:val="32"/>
        </w:rPr>
        <w:t>共有车辆8辆，其中：</w:t>
      </w:r>
      <w:r>
        <w:rPr>
          <w:rFonts w:hint="eastAsia" w:ascii="仿宋_GB2312" w:eastAsia="仿宋_GB2312" w:cs="仿宋_GB2312"/>
          <w:b w:val="0"/>
          <w:bCs w:val="0"/>
          <w:color w:val="auto"/>
          <w:sz w:val="32"/>
          <w:szCs w:val="32"/>
          <w:highlight w:val="none"/>
        </w:rPr>
        <w:t>应急保障用车</w:t>
      </w:r>
      <w:r>
        <w:rPr>
          <w:rFonts w:hint="eastAsia" w:ascii="仿宋_GB2312" w:eastAsia="仿宋_GB2312" w:cs="仿宋_GB2312"/>
          <w:b w:val="0"/>
          <w:bCs w:val="0"/>
          <w:color w:val="auto"/>
          <w:sz w:val="32"/>
          <w:szCs w:val="32"/>
          <w:highlight w:val="none"/>
          <w:lang w:val="en-US" w:eastAsia="zh-CN"/>
        </w:rPr>
        <w:t>1</w:t>
      </w:r>
      <w:r>
        <w:rPr>
          <w:rFonts w:hint="eastAsia" w:ascii="仿宋_GB2312" w:eastAsia="仿宋_GB2312" w:cs="仿宋_GB2312"/>
          <w:b w:val="0"/>
          <w:bCs w:val="0"/>
          <w:color w:val="auto"/>
          <w:sz w:val="32"/>
          <w:szCs w:val="32"/>
          <w:highlight w:val="none"/>
        </w:rPr>
        <w:t>辆、</w:t>
      </w:r>
      <w:r>
        <w:rPr>
          <w:rFonts w:hint="eastAsia" w:ascii="仿宋_GB2312" w:eastAsia="仿宋_GB2312" w:cs="仿宋_GB2312"/>
          <w:b w:val="0"/>
          <w:bCs w:val="0"/>
          <w:color w:val="000000"/>
          <w:sz w:val="32"/>
          <w:szCs w:val="32"/>
        </w:rPr>
        <w:t>特种专业技术用车</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辆、其他用车4辆。其他用车主要是用于军休干部、供养人员及军供服务等</w:t>
      </w:r>
      <w:r>
        <w:rPr>
          <w:rFonts w:hint="eastAsia" w:ascii="仿宋_GB2312" w:eastAsia="仿宋_GB2312" w:cs="仿宋_GB2312"/>
          <w:b w:val="0"/>
          <w:bCs w:val="0"/>
          <w:color w:val="000000"/>
          <w:sz w:val="32"/>
          <w:szCs w:val="32"/>
          <w:lang w:eastAsia="zh-CN"/>
        </w:rPr>
        <w:t>工作。</w:t>
      </w:r>
      <w:r>
        <w:rPr>
          <w:rFonts w:hint="eastAsia" w:ascii="仿宋_GB2312" w:eastAsia="仿宋_GB2312" w:cs="仿宋_GB2312"/>
          <w:b w:val="0"/>
          <w:bCs w:val="0"/>
          <w:color w:val="auto"/>
          <w:sz w:val="32"/>
          <w:szCs w:val="32"/>
          <w:highlight w:val="none"/>
        </w:rPr>
        <w:t>单价50万元以上通用设备</w:t>
      </w:r>
      <w:r>
        <w:rPr>
          <w:rFonts w:hint="eastAsia" w:ascii="仿宋_GB2312" w:eastAsia="仿宋_GB2312" w:cs="仿宋_GB2312"/>
          <w:b w:val="0"/>
          <w:bCs w:val="0"/>
          <w:color w:val="auto"/>
          <w:sz w:val="32"/>
          <w:szCs w:val="32"/>
          <w:highlight w:val="none"/>
          <w:lang w:val="en-US" w:eastAsia="zh-CN"/>
        </w:rPr>
        <w:t>1</w:t>
      </w:r>
      <w:r>
        <w:rPr>
          <w:rFonts w:hint="eastAsia" w:ascii="仿宋_GB2312" w:eastAsia="仿宋_GB2312" w:cs="仿宋_GB2312"/>
          <w:b w:val="0"/>
          <w:bCs w:val="0"/>
          <w:color w:val="auto"/>
          <w:sz w:val="32"/>
          <w:szCs w:val="32"/>
          <w:highlight w:val="none"/>
        </w:rPr>
        <w:t>台（套），单价100万元以上专用设备</w:t>
      </w:r>
      <w:r>
        <w:rPr>
          <w:rFonts w:hint="eastAsia" w:ascii="仿宋_GB2312" w:eastAsia="仿宋_GB2312" w:cs="仿宋_GB2312"/>
          <w:b w:val="0"/>
          <w:bCs w:val="0"/>
          <w:color w:val="auto"/>
          <w:sz w:val="32"/>
          <w:szCs w:val="32"/>
          <w:highlight w:val="none"/>
          <w:lang w:val="en-US" w:eastAsia="zh-CN"/>
        </w:rPr>
        <w:t>0</w:t>
      </w:r>
      <w:r>
        <w:rPr>
          <w:rFonts w:hint="eastAsia" w:ascii="仿宋_GB2312" w:eastAsia="仿宋_GB2312" w:cs="仿宋_GB2312"/>
          <w:b w:val="0"/>
          <w:bCs w:val="0"/>
          <w:color w:val="auto"/>
          <w:sz w:val="32"/>
          <w:szCs w:val="32"/>
          <w:highlight w:val="none"/>
        </w:rPr>
        <w:t>台（套）。</w:t>
      </w:r>
    </w:p>
    <w:p>
      <w:pPr>
        <w:pStyle w:val="2"/>
        <w:rPr>
          <w:rFonts w:hint="eastAsia"/>
        </w:rPr>
      </w:pP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1601" w:firstLineChars="500"/>
        <w:jc w:val="both"/>
        <w:textAlignment w:val="auto"/>
        <w:outlineLvl w:val="0"/>
        <w:rPr>
          <w:rFonts w:hint="eastAsia" w:ascii="方正小标宋简体" w:hAnsi="Times New Roman" w:eastAsia="方正小标宋简体" w:cs="方正小标宋简体"/>
          <w:b w:val="0"/>
          <w:bCs/>
          <w:color w:val="auto"/>
          <w:kern w:val="44"/>
          <w:sz w:val="44"/>
          <w:szCs w:val="44"/>
          <w:highlight w:val="none"/>
          <w:lang w:val="en-US" w:eastAsia="zh-CN" w:bidi="ar-SA"/>
        </w:rPr>
      </w:pPr>
      <w:bookmarkStart w:id="55" w:name="_Toc15396613"/>
      <w:bookmarkStart w:id="56" w:name="_Toc15377225"/>
      <w:r>
        <w:rPr>
          <w:rFonts w:hint="eastAsia" w:ascii="仿宋_GB2312" w:eastAsia="仿宋_GB2312"/>
          <w:b/>
          <w:color w:val="auto"/>
          <w:sz w:val="32"/>
          <w:szCs w:val="32"/>
          <w:highlight w:val="none"/>
          <w:lang w:val="en-US" w:eastAsia="zh-CN"/>
        </w:rPr>
        <w:t xml:space="preserve">    </w:t>
      </w:r>
      <w:r>
        <w:rPr>
          <w:rFonts w:hint="eastAsia" w:ascii="方正小标宋简体" w:hAnsi="Times New Roman" w:eastAsia="方正小标宋简体" w:cs="方正小标宋简体"/>
          <w:b w:val="0"/>
          <w:bCs/>
          <w:color w:val="auto"/>
          <w:kern w:val="44"/>
          <w:sz w:val="44"/>
          <w:szCs w:val="44"/>
          <w:highlight w:val="none"/>
          <w:lang w:val="en-US" w:eastAsia="zh-CN" w:bidi="ar-SA"/>
        </w:rPr>
        <w:t>第三部分</w:t>
      </w:r>
      <w:r>
        <w:rPr>
          <w:rFonts w:hint="eastAsia" w:ascii="方正小标宋简体" w:eastAsia="方正小标宋简体" w:cs="方正小标宋简体"/>
          <w:b w:val="0"/>
          <w:bCs/>
          <w:color w:val="auto"/>
          <w:kern w:val="44"/>
          <w:sz w:val="44"/>
          <w:szCs w:val="44"/>
          <w:highlight w:val="none"/>
          <w:lang w:val="en-US" w:eastAsia="zh-CN" w:bidi="ar-SA"/>
        </w:rPr>
        <w:t xml:space="preserve"> </w:t>
      </w:r>
      <w:r>
        <w:rPr>
          <w:rFonts w:hint="eastAsia" w:ascii="方正小标宋简体" w:hAnsi="Times New Roman" w:eastAsia="方正小标宋简体" w:cs="方正小标宋简体"/>
          <w:b w:val="0"/>
          <w:bCs/>
          <w:color w:val="auto"/>
          <w:kern w:val="44"/>
          <w:sz w:val="44"/>
          <w:szCs w:val="44"/>
          <w:highlight w:val="none"/>
          <w:lang w:val="en-US" w:eastAsia="zh-CN" w:bidi="ar-SA"/>
        </w:rPr>
        <w:t>名词解释</w:t>
      </w:r>
      <w:bookmarkEnd w:id="55"/>
      <w:bookmarkEnd w:id="5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640" w:firstLineChars="200"/>
        <w:textAlignment w:val="auto"/>
        <w:rPr>
          <w:rFonts w:hint="eastAsia" w:ascii="仿宋_GB2312" w:eastAsia="仿宋_GB2312" w:cs="仿宋_GB2312"/>
          <w:i w:val="0"/>
          <w:caps w:val="0"/>
          <w:smallCaps w:val="0"/>
          <w:color w:val="000000"/>
          <w:spacing w:val="0"/>
          <w:sz w:val="32"/>
          <w:szCs w:val="32"/>
        </w:rPr>
      </w:pPr>
      <w:r>
        <w:rPr>
          <w:rFonts w:hint="eastAsia" w:ascii="仿宋_GB2312" w:eastAsia="仿宋_GB2312" w:cs="仿宋_GB2312"/>
          <w:i w:val="0"/>
          <w:caps w:val="0"/>
          <w:smallCaps w:val="0"/>
          <w:color w:val="000000"/>
          <w:spacing w:val="0"/>
          <w:sz w:val="32"/>
          <w:szCs w:val="32"/>
          <w:shd w:val="clear" w:color="auto" w:fill="FFFFFF"/>
        </w:rPr>
        <w:t>1.财政拨款收入：指单位从同级财政部门取得的财政预算资金。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w:t>
      </w:r>
      <w:r>
        <w:rPr>
          <w:rFonts w:hint="eastAsia" w:ascii="仿宋_GB2312" w:eastAsia="仿宋_GB2312" w:cs="仿宋_GB2312"/>
          <w:i w:val="0"/>
          <w:caps w:val="0"/>
          <w:smallCaps w:val="0"/>
          <w:color w:val="000000"/>
          <w:spacing w:val="0"/>
          <w:sz w:val="32"/>
          <w:szCs w:val="32"/>
          <w:shd w:val="clear" w:color="auto" w:fill="FFFFFF"/>
        </w:rPr>
        <w:t>.其他收入：指单位取得的除上述收入以外的各项收入。主要是现金盘盈收入、按照规定纳入单位预算管理的科技成果转化收入、行政单位收回已核销的其他应收款、无法偿付的应付及预收款项、置换换出资产评估增值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textAlignment w:val="auto"/>
        <w:rPr>
          <w:rFonts w:hint="eastAsia" w:ascii="仿宋_GB2312" w:eastAsia="仿宋_GB2312" w:cs="仿宋_GB2312"/>
          <w:i w:val="0"/>
          <w:caps w:val="0"/>
          <w:smallCaps w:val="0"/>
          <w:color w:val="000000"/>
          <w:spacing w:val="0"/>
          <w:sz w:val="32"/>
          <w:szCs w:val="32"/>
          <w:shd w:val="clear" w:color="auto" w:fill="FFFFFF"/>
        </w:rPr>
      </w:pPr>
      <w:r>
        <w:rPr>
          <w:rFonts w:hint="eastAsia" w:ascii="仿宋_GB2312" w:eastAsia="仿宋_GB2312" w:cs="仿宋_GB2312"/>
          <w:i w:val="0"/>
          <w:caps w:val="0"/>
          <w:smallCaps w:val="0"/>
          <w:color w:val="000000"/>
          <w:spacing w:val="0"/>
          <w:sz w:val="32"/>
          <w:szCs w:val="32"/>
          <w:shd w:val="clear" w:color="auto" w:fill="FFFFFF"/>
          <w:lang w:val="en-US" w:eastAsia="zh-CN"/>
        </w:rPr>
        <w:t>3</w:t>
      </w:r>
      <w:r>
        <w:rPr>
          <w:rFonts w:hint="eastAsia" w:ascii="仿宋_GB2312" w:eastAsia="仿宋_GB2312" w:cs="仿宋_GB2312"/>
          <w:i w:val="0"/>
          <w:caps w:val="0"/>
          <w:smallCaps w:val="0"/>
          <w:color w:val="000000"/>
          <w:spacing w:val="0"/>
          <w:sz w:val="32"/>
          <w:szCs w:val="32"/>
          <w:shd w:val="clear" w:color="auto" w:fill="FFFFFF"/>
        </w:rPr>
        <w:t>.年初结转和结余：指以前年度尚未完成、结转到本年按有关规定继续使用的资金。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4</w:t>
      </w:r>
      <w:r>
        <w:rPr>
          <w:rFonts w:hint="eastAsia" w:ascii="仿宋_GB2312" w:eastAsia="仿宋_GB2312" w:cs="仿宋_GB2312"/>
          <w:i w:val="0"/>
          <w:caps w:val="0"/>
          <w:smallCaps w:val="0"/>
          <w:color w:val="000000"/>
          <w:spacing w:val="0"/>
          <w:sz w:val="32"/>
          <w:szCs w:val="32"/>
          <w:shd w:val="clear" w:color="auto" w:fill="FFFFFF"/>
        </w:rPr>
        <w:t>.年末结转和结余：指单位按有关规定结转到下年或以后年度继续使用的资金。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333333"/>
          <w:spacing w:val="0"/>
          <w:sz w:val="32"/>
          <w:szCs w:val="32"/>
          <w:shd w:val="clear" w:color="auto" w:fill="FFFFFF"/>
          <w:lang w:val="en-US" w:eastAsia="zh-CN"/>
        </w:rPr>
        <w:t>5</w:t>
      </w:r>
      <w:r>
        <w:rPr>
          <w:rFonts w:hint="eastAsia" w:ascii="仿宋_GB2312" w:eastAsia="仿宋_GB2312" w:cs="仿宋_GB2312"/>
          <w:i w:val="0"/>
          <w:caps w:val="0"/>
          <w:smallCaps w:val="0"/>
          <w:color w:val="333333"/>
          <w:spacing w:val="0"/>
          <w:sz w:val="32"/>
          <w:szCs w:val="32"/>
          <w:shd w:val="clear" w:color="auto" w:fill="FFFFFF"/>
        </w:rPr>
        <w:t>.</w:t>
      </w:r>
      <w:r>
        <w:rPr>
          <w:rFonts w:hint="eastAsia" w:ascii="仿宋_GB2312" w:eastAsia="仿宋_GB2312" w:cs="仿宋_GB2312"/>
          <w:i w:val="0"/>
          <w:caps w:val="0"/>
          <w:smallCaps w:val="0"/>
          <w:color w:val="000000"/>
          <w:spacing w:val="0"/>
          <w:sz w:val="32"/>
          <w:szCs w:val="32"/>
          <w:shd w:val="clear" w:color="auto" w:fill="FFFFFF"/>
        </w:rPr>
        <w:t>一般公共服务（类）其他一般公共服务支出（款）其他一般公共服务支出（项）：指一般公共服务未包括的一般公共服务支出。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6</w:t>
      </w:r>
      <w:r>
        <w:rPr>
          <w:rFonts w:hint="eastAsia" w:ascii="仿宋_GB2312" w:eastAsia="仿宋_GB2312" w:cs="仿宋_GB2312"/>
          <w:i w:val="0"/>
          <w:caps w:val="0"/>
          <w:smallCaps w:val="0"/>
          <w:color w:val="000000"/>
          <w:spacing w:val="0"/>
          <w:sz w:val="32"/>
          <w:szCs w:val="32"/>
          <w:shd w:val="clear" w:color="auto" w:fill="FFFFFF"/>
        </w:rPr>
        <w:t>.教育（类）进修及培训（款）培训支出（项）：指各部门安排的用于培训的支出。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7</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.社会保障和就业（类）行政事业单位离退休（款）行政单位离退休（项）：指行政单位（包括实行公务员管理的事业单位）开支的离退休经费。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8</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.社会保障和就业（类）行政事业单位离退休（款）事业单位离退休（项）：指事业单位开支的离退休经费。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9</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.社会保障和就业（类）行政事业单位离退休（款）机关事业单位基本养老保险缴费支出（项）：指机关事业单位实施养老制度由单位缴纳的基本养老保险费支出。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10</w:t>
      </w:r>
      <w:r>
        <w:rPr>
          <w:rFonts w:hint="eastAsia" w:ascii="仿宋_GB2312" w:eastAsia="仿宋_GB2312" w:cs="仿宋_GB2312"/>
          <w:i w:val="0"/>
          <w:caps w:val="0"/>
          <w:smallCaps w:val="0"/>
          <w:color w:val="000000"/>
          <w:spacing w:val="0"/>
          <w:sz w:val="32"/>
          <w:szCs w:val="32"/>
          <w:shd w:val="clear" w:color="auto" w:fill="FFFFFF"/>
        </w:rPr>
        <w:t>.社会保障和就业（类）行政事业单位离退休（款）机关事业单位职业年金缴费支出（项）：指机关事业单位实施养老保险制度由单位实际缴纳的职业年金支出。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11</w:t>
      </w:r>
      <w:r>
        <w:rPr>
          <w:rFonts w:hint="eastAsia" w:ascii="仿宋_GB2312" w:eastAsia="仿宋_GB2312" w:cs="仿宋_GB2312"/>
          <w:i w:val="0"/>
          <w:caps w:val="0"/>
          <w:smallCaps w:val="0"/>
          <w:color w:val="000000"/>
          <w:spacing w:val="0"/>
          <w:sz w:val="32"/>
          <w:szCs w:val="32"/>
          <w:shd w:val="clear" w:color="auto" w:fill="FFFFFF"/>
        </w:rPr>
        <w:t>.社会保障和就业（类）就业补助（款）其他就业补助支出（项）：指除上述科目以外按规定确定的其他用于促进就业的补助支出。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12</w:t>
      </w:r>
      <w:r>
        <w:rPr>
          <w:rFonts w:hint="eastAsia" w:ascii="仿宋_GB2312" w:eastAsia="仿宋_GB2312" w:cs="仿宋_GB2312"/>
          <w:i w:val="0"/>
          <w:caps w:val="0"/>
          <w:smallCaps w:val="0"/>
          <w:color w:val="000000"/>
          <w:spacing w:val="0"/>
          <w:sz w:val="32"/>
          <w:szCs w:val="32"/>
          <w:shd w:val="clear" w:color="auto" w:fill="FFFFFF"/>
        </w:rPr>
        <w:t>.社会保障和就业（类）抚恤（款）死亡抚恤（项）：指按规定用于烈士和牺牲、病故人员家属的一次性和定期抚恤金以及丧葬补助费。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13</w:t>
      </w:r>
      <w:r>
        <w:rPr>
          <w:rFonts w:hint="eastAsia" w:ascii="仿宋_GB2312" w:eastAsia="仿宋_GB2312" w:cs="仿宋_GB2312"/>
          <w:i w:val="0"/>
          <w:caps w:val="0"/>
          <w:smallCaps w:val="0"/>
          <w:color w:val="000000"/>
          <w:spacing w:val="0"/>
          <w:sz w:val="32"/>
          <w:szCs w:val="32"/>
          <w:shd w:val="clear" w:color="auto" w:fill="FFFFFF"/>
        </w:rPr>
        <w:t>.社会保障和就业（类）抚恤（款）伤残抚恤（项）：指按规定用于伤残人员的抚恤金和按规定开支的各种伤残补助费。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14</w:t>
      </w:r>
      <w:r>
        <w:rPr>
          <w:rFonts w:hint="eastAsia" w:ascii="仿宋_GB2312" w:eastAsia="仿宋_GB2312" w:cs="仿宋_GB2312"/>
          <w:i w:val="0"/>
          <w:caps w:val="0"/>
          <w:smallCaps w:val="0"/>
          <w:color w:val="000000"/>
          <w:spacing w:val="0"/>
          <w:sz w:val="32"/>
          <w:szCs w:val="32"/>
          <w:shd w:val="clear" w:color="auto" w:fill="FFFFFF"/>
        </w:rPr>
        <w:t>.社会保障和就业（类）抚恤（款）优抚事业单位支出（项）：指退役军人事务部门管理的优抚事业单位支出，对集体优抚事业单位的补助，对烈士纪念设施的维修改造和管理保护支出，以及军供站设施维修改造和设备更新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15</w:t>
      </w:r>
      <w:r>
        <w:rPr>
          <w:rFonts w:hint="eastAsia" w:ascii="仿宋_GB2312" w:eastAsia="仿宋_GB2312" w:cs="仿宋_GB2312"/>
          <w:i w:val="0"/>
          <w:caps w:val="0"/>
          <w:smallCaps w:val="0"/>
          <w:color w:val="000000"/>
          <w:spacing w:val="0"/>
          <w:sz w:val="32"/>
          <w:szCs w:val="32"/>
          <w:shd w:val="clear" w:color="auto" w:fill="FFFFFF"/>
        </w:rPr>
        <w:t>.社会保障和就业（类）抚恤（款）其他优抚支出（项）：指其他用于优抚方面的支出。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16</w:t>
      </w:r>
      <w:r>
        <w:rPr>
          <w:rFonts w:hint="eastAsia" w:ascii="仿宋_GB2312" w:eastAsia="仿宋_GB2312" w:cs="仿宋_GB2312"/>
          <w:i w:val="0"/>
          <w:caps w:val="0"/>
          <w:smallCaps w:val="0"/>
          <w:color w:val="000000"/>
          <w:spacing w:val="0"/>
          <w:sz w:val="32"/>
          <w:szCs w:val="32"/>
          <w:shd w:val="clear" w:color="auto" w:fill="FFFFFF"/>
        </w:rPr>
        <w:t>.社会保障和就业（类）退役安置（款）军队移交政府的离退休人员安置（项）：指移交政府的军队离退休人员安置支出。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17</w:t>
      </w:r>
      <w:r>
        <w:rPr>
          <w:rFonts w:hint="eastAsia" w:ascii="仿宋_GB2312" w:eastAsia="仿宋_GB2312" w:cs="仿宋_GB2312"/>
          <w:i w:val="0"/>
          <w:caps w:val="0"/>
          <w:smallCaps w:val="0"/>
          <w:color w:val="000000"/>
          <w:spacing w:val="0"/>
          <w:sz w:val="32"/>
          <w:szCs w:val="32"/>
          <w:shd w:val="clear" w:color="auto" w:fill="FFFFFF"/>
        </w:rPr>
        <w:t>.社会保障和就业（类）退役安置（款）军队移交政府离退休干部管理机构（项）：指退役军人事务部门管理的军队移交政府安置的离退休干部管理机构列入事业编制的人员经费、公用经费以及管理机构用房建设经费等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18</w:t>
      </w:r>
      <w:r>
        <w:rPr>
          <w:rFonts w:hint="eastAsia" w:ascii="仿宋_GB2312" w:eastAsia="仿宋_GB2312" w:cs="仿宋_GB2312"/>
          <w:i w:val="0"/>
          <w:caps w:val="0"/>
          <w:smallCaps w:val="0"/>
          <w:color w:val="000000"/>
          <w:spacing w:val="0"/>
          <w:sz w:val="32"/>
          <w:szCs w:val="32"/>
          <w:shd w:val="clear" w:color="auto" w:fill="FFFFFF"/>
        </w:rPr>
        <w:t>.社会保障和就业（类）退役安置（款）其他退役安置支出（项）：指除上述项目以外其他用于退役安置方面的支出。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19</w:t>
      </w:r>
      <w:r>
        <w:rPr>
          <w:rFonts w:hint="eastAsia" w:ascii="仿宋_GB2312" w:eastAsia="仿宋_GB2312" w:cs="仿宋_GB2312"/>
          <w:i w:val="0"/>
          <w:caps w:val="0"/>
          <w:smallCaps w:val="0"/>
          <w:color w:val="000000"/>
          <w:spacing w:val="0"/>
          <w:sz w:val="32"/>
          <w:szCs w:val="32"/>
          <w:shd w:val="clear" w:color="auto" w:fill="FFFFFF"/>
        </w:rPr>
        <w:t>.社会保障和就业（类）退役军人管理事务（款）行政运行（项）：指行政单位（包括实行公务员管理的事业单位）的基本支出。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20</w:t>
      </w:r>
      <w:r>
        <w:rPr>
          <w:rFonts w:hint="eastAsia" w:ascii="仿宋_GB2312" w:eastAsia="仿宋_GB2312" w:cs="仿宋_GB2312"/>
          <w:i w:val="0"/>
          <w:caps w:val="0"/>
          <w:smallCaps w:val="0"/>
          <w:color w:val="000000"/>
          <w:spacing w:val="0"/>
          <w:sz w:val="32"/>
          <w:szCs w:val="32"/>
          <w:shd w:val="clear" w:color="auto" w:fill="FFFFFF"/>
        </w:rPr>
        <w:t>.社会保障和就业（类）退役军人管理事务（款）一般行政管理事务（项）：指行政单位（包括实行公务员管理的事业单位）的单独设置项级科目的其他项目支出。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21</w:t>
      </w:r>
      <w:r>
        <w:rPr>
          <w:rFonts w:hint="eastAsia" w:ascii="仿宋_GB2312" w:eastAsia="仿宋_GB2312" w:cs="仿宋_GB2312"/>
          <w:i w:val="0"/>
          <w:caps w:val="0"/>
          <w:smallCaps w:val="0"/>
          <w:color w:val="000000"/>
          <w:spacing w:val="0"/>
          <w:sz w:val="32"/>
          <w:szCs w:val="32"/>
          <w:shd w:val="clear" w:color="auto" w:fill="FFFFFF"/>
        </w:rPr>
        <w:t>.社会保障和就业（类）退役军人管理事务（款）拥军优属（项）：指开展拥军优属活动的支出。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22</w:t>
      </w:r>
      <w:r>
        <w:rPr>
          <w:rFonts w:hint="eastAsia" w:ascii="仿宋_GB2312" w:eastAsia="仿宋_GB2312" w:cs="仿宋_GB2312"/>
          <w:i w:val="0"/>
          <w:caps w:val="0"/>
          <w:smallCaps w:val="0"/>
          <w:color w:val="000000"/>
          <w:spacing w:val="0"/>
          <w:sz w:val="32"/>
          <w:szCs w:val="32"/>
          <w:shd w:val="clear" w:color="auto" w:fill="FFFFFF"/>
        </w:rPr>
        <w:t>.社会保障和就业（类）退役军人管理事务（款）事业运行（项）：指事业单位的基本支出，不包括行政单位（包括实行公务员管理的事业单位）后勤服务中心、医疗室等附属事业单位。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23</w:t>
      </w:r>
      <w:r>
        <w:rPr>
          <w:rFonts w:hint="eastAsia" w:ascii="仿宋_GB2312" w:eastAsia="仿宋_GB2312" w:cs="仿宋_GB2312"/>
          <w:i w:val="0"/>
          <w:caps w:val="0"/>
          <w:smallCaps w:val="0"/>
          <w:color w:val="000000"/>
          <w:spacing w:val="0"/>
          <w:sz w:val="32"/>
          <w:szCs w:val="32"/>
          <w:shd w:val="clear" w:color="auto" w:fill="FFFFFF"/>
        </w:rPr>
        <w:t>.社会保障和就业（类）退役军人管理事务（款）其他退役军人事务管理支出（项）：指其他用于退役军人事务管理方面的支出。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24</w:t>
      </w:r>
      <w:r>
        <w:rPr>
          <w:rFonts w:hint="eastAsia" w:ascii="仿宋_GB2312" w:eastAsia="仿宋_GB2312" w:cs="仿宋_GB2312"/>
          <w:i w:val="0"/>
          <w:caps w:val="0"/>
          <w:smallCaps w:val="0"/>
          <w:color w:val="000000"/>
          <w:spacing w:val="0"/>
          <w:sz w:val="32"/>
          <w:szCs w:val="32"/>
          <w:shd w:val="clear" w:color="auto" w:fill="FFFFFF"/>
        </w:rPr>
        <w:t>.社会保障和就业（类）其他社会保障和就业支出（款）其他社会保障和就业支出（项）：指其他用于社会保障和就业方面的支出。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25</w:t>
      </w:r>
      <w:r>
        <w:rPr>
          <w:rFonts w:hint="eastAsia" w:ascii="仿宋_GB2312" w:eastAsia="仿宋_GB2312" w:cs="仿宋_GB2312"/>
          <w:i w:val="0"/>
          <w:caps w:val="0"/>
          <w:smallCaps w:val="0"/>
          <w:color w:val="000000"/>
          <w:spacing w:val="0"/>
          <w:sz w:val="32"/>
          <w:szCs w:val="32"/>
          <w:shd w:val="clear" w:color="auto" w:fill="FFFFFF"/>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26</w:t>
      </w:r>
      <w:r>
        <w:rPr>
          <w:rFonts w:hint="eastAsia" w:ascii="仿宋_GB2312" w:eastAsia="仿宋_GB2312" w:cs="仿宋_GB2312"/>
          <w:i w:val="0"/>
          <w:caps w:val="0"/>
          <w:smallCaps w:val="0"/>
          <w:color w:val="000000"/>
          <w:spacing w:val="0"/>
          <w:sz w:val="32"/>
          <w:szCs w:val="32"/>
          <w:shd w:val="clear" w:color="auto" w:fill="FFFFFF"/>
        </w:rPr>
        <w:t>.卫生健康（类）行政事业单位医疗（款）事业单位医疗（项）：指财政部门安排的事业单位基本医疗保险缴费经费，未参加医疗保险的事业单位的公费医疗经费，按国家规定享受离休人员待遇的医疗经费。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27</w:t>
      </w:r>
      <w:r>
        <w:rPr>
          <w:rFonts w:hint="eastAsia" w:ascii="仿宋_GB2312" w:eastAsia="仿宋_GB2312" w:cs="仿宋_GB2312"/>
          <w:i w:val="0"/>
          <w:caps w:val="0"/>
          <w:smallCaps w:val="0"/>
          <w:color w:val="000000"/>
          <w:spacing w:val="0"/>
          <w:sz w:val="32"/>
          <w:szCs w:val="32"/>
          <w:shd w:val="clear" w:color="auto" w:fill="FFFFFF"/>
        </w:rPr>
        <w:t>.卫生健康（类）行政事业单位医疗（款）公务员医疗补助（项）：指财政部门安排的公务员医疗补助经费。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28</w:t>
      </w:r>
      <w:r>
        <w:rPr>
          <w:rFonts w:hint="eastAsia" w:ascii="仿宋_GB2312" w:eastAsia="仿宋_GB2312" w:cs="仿宋_GB2312"/>
          <w:i w:val="0"/>
          <w:caps w:val="0"/>
          <w:smallCaps w:val="0"/>
          <w:color w:val="000000"/>
          <w:spacing w:val="0"/>
          <w:sz w:val="32"/>
          <w:szCs w:val="32"/>
          <w:shd w:val="clear" w:color="auto" w:fill="FFFFFF"/>
        </w:rPr>
        <w:t>.卫生健康（类）优抚对象医疗（款）优抚对象医疗补助（项）：指按规定补助优抚对象的医疗经费。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29</w:t>
      </w:r>
      <w:r>
        <w:rPr>
          <w:rFonts w:hint="eastAsia" w:ascii="仿宋_GB2312" w:eastAsia="仿宋_GB2312" w:cs="仿宋_GB2312"/>
          <w:i w:val="0"/>
          <w:caps w:val="0"/>
          <w:smallCaps w:val="0"/>
          <w:color w:val="000000"/>
          <w:spacing w:val="0"/>
          <w:sz w:val="32"/>
          <w:szCs w:val="32"/>
          <w:shd w:val="clear" w:color="auto" w:fill="FFFFFF"/>
        </w:rPr>
        <w:t>.住房保障（类）住房改革支出（款）住房公积金（项）： 指行政事业单位按人力资源和社会保障部、财政部规定的基本工资和津贴补贴以及规定比例为职工缴纳的住房公积金。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30</w:t>
      </w:r>
      <w:r>
        <w:rPr>
          <w:rFonts w:hint="eastAsia" w:ascii="仿宋_GB2312" w:eastAsia="仿宋_GB2312" w:cs="仿宋_GB2312"/>
          <w:i w:val="0"/>
          <w:caps w:val="0"/>
          <w:smallCaps w:val="0"/>
          <w:color w:val="000000"/>
          <w:spacing w:val="0"/>
          <w:sz w:val="32"/>
          <w:szCs w:val="32"/>
          <w:shd w:val="clear" w:color="auto" w:fill="FFFFFF"/>
        </w:rPr>
        <w:t>.住房保障（类）住房改革支出（款）购房补贴（项）：指按房改政策规定，行政事业单位向符合条件职工（含离退休人员）、军队（含武警）向转役复员离退休人员发放的用于购买住房的补贴。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31</w:t>
      </w:r>
      <w:r>
        <w:rPr>
          <w:rFonts w:hint="eastAsia" w:ascii="仿宋_GB2312" w:eastAsia="仿宋_GB2312" w:cs="仿宋_GB2312"/>
          <w:i w:val="0"/>
          <w:caps w:val="0"/>
          <w:smallCaps w:val="0"/>
          <w:color w:val="000000"/>
          <w:spacing w:val="0"/>
          <w:sz w:val="32"/>
          <w:szCs w:val="32"/>
          <w:shd w:val="clear" w:color="auto" w:fill="FFFFFF"/>
        </w:rPr>
        <w:t>.基本支出：指为保障机构正常运转、完成日常工作任务而发生的人员支出和公用支出。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仿宋_GB2312" w:eastAsia="仿宋_GB2312" w:cs="仿宋_GB2312"/>
          <w:i w:val="0"/>
          <w:caps w:val="0"/>
          <w:smallCaps w:val="0"/>
          <w:color w:val="333333"/>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32</w:t>
      </w:r>
      <w:r>
        <w:rPr>
          <w:rFonts w:hint="eastAsia" w:ascii="仿宋_GB2312" w:eastAsia="仿宋_GB2312" w:cs="仿宋_GB2312"/>
          <w:i w:val="0"/>
          <w:caps w:val="0"/>
          <w:smallCaps w:val="0"/>
          <w:color w:val="000000"/>
          <w:spacing w:val="0"/>
          <w:sz w:val="32"/>
          <w:szCs w:val="32"/>
          <w:shd w:val="clear" w:color="auto" w:fill="FFFFFF"/>
        </w:rPr>
        <w:t>.项目支出：指在基本支出之外为完成特定行政任务和事业发展目标所发生的支出。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33</w:t>
      </w:r>
      <w:r>
        <w:rPr>
          <w:rFonts w:hint="eastAsia" w:ascii="仿宋_GB2312" w:eastAsia="仿宋_GB2312" w:cs="仿宋_GB2312"/>
          <w:i w:val="0"/>
          <w:caps w:val="0"/>
          <w:smallCaps w:val="0"/>
          <w:color w:val="000000"/>
          <w:spacing w:val="0"/>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left="0" w:right="0" w:firstLine="640" w:firstLineChars="200"/>
        <w:textAlignment w:val="auto"/>
        <w:rPr>
          <w:rFonts w:hint="eastAsia" w:ascii="仿宋_GB2312" w:eastAsia="仿宋_GB2312" w:cs="仿宋_GB2312"/>
          <w:i w:val="0"/>
          <w:caps w:val="0"/>
          <w:smallCaps w:val="0"/>
          <w:color w:val="000000"/>
          <w:spacing w:val="0"/>
          <w:sz w:val="32"/>
          <w:szCs w:val="32"/>
        </w:rPr>
      </w:pPr>
      <w:r>
        <w:rPr>
          <w:rFonts w:hint="eastAsia" w:ascii="仿宋_GB2312" w:eastAsia="仿宋_GB2312" w:cs="仿宋_GB2312"/>
          <w:i w:val="0"/>
          <w:caps w:val="0"/>
          <w:smallCaps w:val="0"/>
          <w:color w:val="000000"/>
          <w:spacing w:val="0"/>
          <w:sz w:val="32"/>
          <w:szCs w:val="32"/>
          <w:shd w:val="clear" w:color="auto" w:fill="FFFFFF"/>
          <w:lang w:val="en-US" w:eastAsia="zh-CN"/>
        </w:rPr>
        <w:t>34</w:t>
      </w:r>
      <w:r>
        <w:rPr>
          <w:rFonts w:hint="eastAsia" w:ascii="仿宋_GB2312" w:eastAsia="仿宋_GB2312" w:cs="仿宋_GB2312"/>
          <w:i w:val="0"/>
          <w:caps w:val="0"/>
          <w:smallCaps w:val="0"/>
          <w:color w:val="000000"/>
          <w:spacing w:val="0"/>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jc w:val="left"/>
      </w:pP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both"/>
        <w:outlineLvl w:val="0"/>
        <w:rPr>
          <w:rFonts w:hint="eastAsia" w:ascii="黑体" w:eastAsia="黑体"/>
          <w:color w:val="auto"/>
          <w:sz w:val="44"/>
          <w:szCs w:val="44"/>
          <w:highlight w:val="none"/>
        </w:rPr>
      </w:pPr>
      <w:bookmarkStart w:id="57" w:name="_Toc15396614"/>
      <w:bookmarkStart w:id="58" w:name="_Toc15377226"/>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r>
        <w:rPr>
          <w:rFonts w:hint="eastAsia" w:ascii="黑体" w:eastAsia="黑体" w:cs="黑体"/>
          <w:color w:val="auto"/>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outlineLvl w:val="0"/>
        <w:rPr>
          <w:rStyle w:val="18"/>
          <w:rFonts w:hint="eastAsia" w:ascii="方正小标宋简体" w:eastAsia="方正小标宋简体" w:cs="方正小标宋简体"/>
          <w:b w:val="0"/>
          <w:color w:val="auto"/>
          <w:highlight w:val="none"/>
          <w:lang w:eastAsia="zh-CN"/>
        </w:rPr>
      </w:pPr>
      <w:r>
        <w:rPr>
          <w:rFonts w:hint="eastAsia" w:ascii="方正小标宋简体" w:eastAsia="方正小标宋简体" w:cs="方正小标宋简体"/>
          <w:color w:val="auto"/>
          <w:sz w:val="44"/>
          <w:szCs w:val="44"/>
          <w:highlight w:val="none"/>
        </w:rPr>
        <w:t>第</w:t>
      </w:r>
      <w:r>
        <w:rPr>
          <w:rStyle w:val="18"/>
          <w:rFonts w:hint="eastAsia" w:ascii="方正小标宋简体" w:eastAsia="方正小标宋简体" w:cs="方正小标宋简体"/>
          <w:b w:val="0"/>
          <w:color w:val="auto"/>
          <w:highlight w:val="none"/>
        </w:rPr>
        <w:t>四部分 附</w:t>
      </w:r>
      <w:r>
        <w:rPr>
          <w:rStyle w:val="18"/>
          <w:rFonts w:hint="eastAsia" w:ascii="方正小标宋简体" w:eastAsia="方正小标宋简体" w:cs="方正小标宋简体"/>
          <w:b w:val="0"/>
          <w:color w:val="auto"/>
          <w:highlight w:val="none"/>
          <w:lang w:val="en-US"/>
        </w:rPr>
        <w:t xml:space="preserve">  </w:t>
      </w:r>
      <w:r>
        <w:rPr>
          <w:rStyle w:val="18"/>
          <w:rFonts w:hint="eastAsia" w:ascii="方正小标宋简体" w:eastAsia="方正小标宋简体" w:cs="方正小标宋简体"/>
          <w:b w:val="0"/>
          <w:color w:val="auto"/>
          <w:highlight w:val="none"/>
        </w:rPr>
        <w:t>件</w:t>
      </w:r>
      <w:bookmarkEnd w:id="57"/>
    </w:p>
    <w:p>
      <w:pPr>
        <w:keepNext w:val="0"/>
        <w:keepLines w:val="0"/>
        <w:pageBreakBefore w:val="0"/>
        <w:widowControl w:val="0"/>
        <w:kinsoku/>
        <w:wordWrap/>
        <w:overflowPunct/>
        <w:topLinePunct w:val="0"/>
        <w:autoSpaceDE/>
        <w:autoSpaceDN/>
        <w:bidi w:val="0"/>
        <w:spacing w:line="572" w:lineRule="exact"/>
        <w:jc w:val="center"/>
        <w:textAlignment w:val="auto"/>
        <w:rPr>
          <w:rFonts w:hint="eastAsia" w:ascii="方正小标宋简体" w:eastAsia="方正小标宋简体"/>
          <w:color w:val="auto"/>
          <w:kern w:val="0"/>
          <w:sz w:val="40"/>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auto"/>
          <w:kern w:val="0"/>
          <w:sz w:val="44"/>
          <w:szCs w:val="44"/>
          <w:highlight w:val="none"/>
        </w:rPr>
      </w:pPr>
      <w:r>
        <w:rPr>
          <w:rFonts w:hint="eastAsia" w:ascii="方正小标宋简体" w:eastAsia="方正小标宋简体"/>
          <w:color w:val="auto"/>
          <w:kern w:val="0"/>
          <w:sz w:val="44"/>
          <w:szCs w:val="44"/>
          <w:highlight w:val="none"/>
        </w:rPr>
        <w:t>202</w:t>
      </w:r>
      <w:r>
        <w:rPr>
          <w:rFonts w:hint="eastAsia" w:ascii="方正小标宋简体" w:eastAsia="方正小标宋简体"/>
          <w:color w:val="auto"/>
          <w:kern w:val="0"/>
          <w:sz w:val="44"/>
          <w:szCs w:val="44"/>
          <w:highlight w:val="none"/>
          <w:lang w:val="en-US" w:eastAsia="zh-CN"/>
        </w:rPr>
        <w:t>1</w:t>
      </w:r>
      <w:r>
        <w:rPr>
          <w:rFonts w:hint="eastAsia" w:ascii="方正小标宋简体" w:eastAsia="方正小标宋简体"/>
          <w:color w:val="auto"/>
          <w:kern w:val="0"/>
          <w:sz w:val="44"/>
          <w:szCs w:val="44"/>
          <w:highlight w:val="none"/>
        </w:rPr>
        <w:t>年</w:t>
      </w:r>
      <w:r>
        <w:rPr>
          <w:rFonts w:ascii="方正小标宋简体" w:eastAsia="方正小标宋简体"/>
          <w:color w:val="auto"/>
          <w:kern w:val="0"/>
          <w:sz w:val="44"/>
          <w:szCs w:val="44"/>
          <w:highlight w:val="none"/>
        </w:rPr>
        <w:t>广元市退役军人事务局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kern w:val="0"/>
          <w:sz w:val="44"/>
          <w:szCs w:val="44"/>
        </w:rPr>
      </w:pPr>
      <w:r>
        <w:rPr>
          <w:rFonts w:hint="eastAsia" w:ascii="方正小标宋简体" w:eastAsia="方正小标宋简体"/>
          <w:color w:val="auto"/>
          <w:kern w:val="0"/>
          <w:sz w:val="44"/>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eastAsia="黑体" w:cs="黑体"/>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rPr>
        <w:t>一、</w:t>
      </w:r>
      <w:r>
        <w:rPr>
          <w:rFonts w:hint="eastAsia" w:ascii="黑体" w:eastAsia="黑体" w:cs="黑体"/>
          <w:color w:val="000000"/>
          <w:kern w:val="0"/>
          <w:sz w:val="32"/>
          <w:szCs w:val="32"/>
          <w:shd w:val="clear" w:color="auto" w:fill="FFFFFF"/>
          <w:lang w:val="zh-CN"/>
        </w:rPr>
        <w:t>部门（单位）概况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both"/>
        <w:textAlignment w:val="auto"/>
        <w:rPr>
          <w:rFonts w:hint="eastAsia" w:ascii="楷体_GB2312" w:eastAsia="楷体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lang w:val="zh-CN"/>
        </w:rPr>
        <w:t>（一）机构组成。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市退役军人事务局部门包括</w:t>
      </w:r>
      <w:r>
        <w:rPr>
          <w:rFonts w:hint="eastAsia" w:ascii="仿宋_GB2312" w:eastAsia="仿宋_GB2312" w:cs="仿宋_GB2312"/>
          <w:spacing w:val="-4"/>
          <w:sz w:val="32"/>
          <w:szCs w:val="32"/>
        </w:rPr>
        <w:t>行政单位</w:t>
      </w:r>
      <w:r>
        <w:rPr>
          <w:rFonts w:hint="eastAsia" w:ascii="仿宋_GB2312" w:eastAsia="仿宋_GB2312" w:cs="仿宋_GB2312"/>
          <w:spacing w:val="-4"/>
          <w:sz w:val="32"/>
          <w:szCs w:val="32"/>
          <w:lang w:val="en-US" w:eastAsia="zh-CN"/>
        </w:rPr>
        <w:t>1</w:t>
      </w:r>
      <w:r>
        <w:rPr>
          <w:rFonts w:hint="eastAsia" w:ascii="仿宋_GB2312" w:eastAsia="仿宋_GB2312" w:cs="仿宋_GB2312"/>
          <w:spacing w:val="-4"/>
          <w:sz w:val="32"/>
          <w:szCs w:val="32"/>
          <w:lang w:eastAsia="zh-CN"/>
        </w:rPr>
        <w:t>个和</w:t>
      </w:r>
      <w:r>
        <w:rPr>
          <w:rFonts w:hint="eastAsia" w:ascii="仿宋_GB2312" w:eastAsia="仿宋_GB2312" w:cs="仿宋_GB2312"/>
          <w:spacing w:val="-4"/>
          <w:sz w:val="32"/>
          <w:szCs w:val="32"/>
        </w:rPr>
        <w:t>二级预算单位5个，</w:t>
      </w:r>
      <w:r>
        <w:rPr>
          <w:rFonts w:hint="eastAsia" w:ascii="仿宋_GB2312" w:eastAsia="仿宋_GB2312" w:cs="仿宋_GB2312"/>
          <w:i w:val="0"/>
          <w:caps w:val="0"/>
          <w:smallCaps w:val="0"/>
          <w:color w:val="000000"/>
          <w:spacing w:val="0"/>
          <w:kern w:val="0"/>
          <w:sz w:val="32"/>
          <w:szCs w:val="32"/>
          <w:shd w:val="clear" w:color="auto" w:fill="FFFFFF"/>
          <w:lang w:val="en-US" w:eastAsia="zh-CN"/>
        </w:rPr>
        <w:t>二级预算单位包括：市光荣院、广元军供站、市军休所、市退役军人服务中心、市烈士陵园管理所。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both"/>
        <w:textAlignment w:val="auto"/>
        <w:rPr>
          <w:rFonts w:hint="eastAsia" w:ascii="楷体_GB2312" w:eastAsia="楷体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lang w:val="zh-CN"/>
        </w:rPr>
        <w:t>（二）机构职能。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市退役军人事务局负责全市退役军人拥军优属、就业创业、移交安置、优待抚恤、就业创业、服务保障等事务工作，维护军人军属合法权益。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both"/>
        <w:textAlignment w:val="auto"/>
        <w:rPr>
          <w:rFonts w:hint="eastAsia" w:ascii="楷体_GB2312" w:eastAsia="楷体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lang w:val="zh-CN"/>
        </w:rPr>
        <w:t>（三）人员概况。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市退役军人事务局属财政一级预算单位，下属二级预算单位5个。市退役军人事务局系统总编制99名，其中行政编制13名，其他事业编制84名，工勤编制2名。在职人员总数87人，其中行政人员13人，其他事业人员72人，工勤人员2人；退休人员38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both"/>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楷体_GB2312" w:eastAsia="楷体_GB2312" w:cs="楷体_GB2312"/>
          <w:color w:val="000000"/>
          <w:kern w:val="0"/>
          <w:sz w:val="32"/>
          <w:szCs w:val="32"/>
          <w:shd w:val="clear" w:color="auto" w:fill="FFFFFF"/>
          <w:lang w:val="zh-CN"/>
        </w:rPr>
        <w:t>（一）部门财政资金收入情况。</w:t>
      </w:r>
      <w:r>
        <w:rPr>
          <w:rFonts w:hint="eastAsia" w:ascii="仿宋_GB2312" w:eastAsia="仿宋_GB2312" w:cs="仿宋_GB2312"/>
          <w:i w:val="0"/>
          <w:caps w:val="0"/>
          <w:smallCaps w:val="0"/>
          <w:color w:val="000000"/>
          <w:spacing w:val="0"/>
          <w:kern w:val="0"/>
          <w:sz w:val="32"/>
          <w:szCs w:val="32"/>
          <w:shd w:val="clear" w:color="auto" w:fill="FFFFFF"/>
          <w:lang w:val="en-US" w:eastAsia="zh-CN"/>
        </w:rPr>
        <w:t>市退役军人事务局全年财政收入7891.57万元(财政一般公共预算财政拨款5371.36万元，政府性基金预算财政拨款420.00万元，其他收入138.08万元,年初财政拨款结转和结余1962.14万元)。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（二）部门财政资金支出情况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2021年一般公共预算财政拨款支出5424.74元，主要用于以下方面:社会保障和就业支出5143.90万元；卫生健康支出150.19万元；住房保障支出130.65万元。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三、</w:t>
      </w:r>
      <w:r>
        <w:rPr>
          <w:rFonts w:hint="eastAsia" w:ascii="黑体" w:eastAsia="黑体" w:cs="黑体"/>
          <w:color w:val="000000"/>
          <w:kern w:val="0"/>
          <w:sz w:val="32"/>
          <w:szCs w:val="32"/>
          <w:u w:val="none"/>
          <w:shd w:val="clear" w:color="auto" w:fill="FFFFFF"/>
        </w:rPr>
        <w:t>部门整体预算绩效管理情况</w:t>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（一）部门预算项目绩效管理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1、目标管理。绩效目标编制要素完整，绩效指标细化量化并纳入部门党组(委)会集体决策范围；以项目完成为核心，严格控制项目完成情况与预期绩效目标偏离度。基本支出按人员编制和定额标准，项目支出按照本单位职能职责和根据上级业务主管部门、市委市政府下达的工作目标任务进行编制，做到了资料完整、依据充分；全面实施预算项目绩效管理，规范项目预算编制，严格预算项目审查，完善项目资金测算及立项依据、实施周期、年度预算等绩效目标。严格落实项目支出绩效管理责任，对可量化支出的项目，核定统一支出标准，以基础支撑作为扩大“因素法”编审范围，并按照财政部门批复下达预算绩效目标，明确预算执行主体，确保绩效目标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2.动态调整。严格支出控制，在预算执行过程中严格按照预算批复执行，年初制定资金使用计划，强化预算执行的刚性约束，不随意改变财政预算资金使用范围；及时开展部门绩效运行监控，严控预算执行进度和经费支出，无执行过程中调整预算项目等行为，提高资金使用效益。定期对支出指标进行汇总分析，建立起经费管理内部监测机制，对偏离绩效目标、预期无效项目及时提出纠正或调整意见要求。牢固树立“讲绩效、重绩效、用绩效”的绩效管理理念，进一步增强支出责任和效率意识，全面加强预算管理、优化资源配置，提高财政资金使用绩效和科学化精细化管理水平，提升政府执行力和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176" w:leftChars="84" w:right="0" w:firstLine="640" w:firstLineChars="200"/>
        <w:jc w:val="both"/>
        <w:textAlignment w:val="auto"/>
        <w:rPr>
          <w:rFonts w:hint="eastAsia" w:ascii="仿宋_GB2312" w:eastAsia="仿宋_GB2312" w:cs="仿宋_GB2312"/>
          <w:i w:val="0"/>
          <w:caps w:val="0"/>
          <w:smallCaps w:val="0"/>
          <w:color w:val="000000"/>
          <w:spacing w:val="0"/>
          <w:kern w:val="0"/>
          <w:sz w:val="32"/>
          <w:szCs w:val="32"/>
          <w:shd w:val="clear" w:color="auto" w:fill="FFFFFF"/>
          <w:lang w:val="en-US" w:eastAsia="zh-CN"/>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3.完成效率。严格执行预算，执行中不调整项目，年度预算执行收支平衡。所有收支均通过财政大平台实行动态监控，资金管理较规范，财政国库动态监控预警无违规支付行为。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（二）专项预算项目绩效管理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i w:val="0"/>
          <w:caps w:val="0"/>
          <w:smallCaps w:val="0"/>
          <w:color w:val="000000"/>
          <w:spacing w:val="0"/>
          <w:kern w:val="0"/>
          <w:sz w:val="32"/>
          <w:szCs w:val="32"/>
          <w:shd w:val="clear" w:color="auto" w:fill="FFFFFF"/>
          <w:lang w:val="en-US" w:eastAsia="zh-CN"/>
        </w:rPr>
        <w:t>按照专项预算项目自评工作要求对本部门管理的专项预算项已进行自评。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cs="楷体_GB2312"/>
          <w:sz w:val="32"/>
          <w:szCs w:val="32"/>
          <w:lang w:eastAsia="zh-CN"/>
        </w:rPr>
      </w:pPr>
      <w:r>
        <w:rPr>
          <w:rFonts w:hint="eastAsia" w:ascii="楷体_GB2312" w:eastAsia="楷体_GB2312" w:cs="楷体_GB2312"/>
          <w:sz w:val="32"/>
          <w:szCs w:val="32"/>
        </w:rPr>
        <w:t>（三）结果应用</w:t>
      </w:r>
      <w:r>
        <w:rPr>
          <w:rFonts w:hint="eastAsia" w:ascii="楷体_GB2312" w:eastAsia="楷体_GB2312" w:cs="楷体_GB2312"/>
          <w:sz w:val="32"/>
          <w:szCs w:val="32"/>
          <w:lang w:eastAsia="zh-CN"/>
        </w:rPr>
        <w:t>情况</w:t>
      </w:r>
    </w:p>
    <w:p>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i w:val="0"/>
          <w:caps w:val="0"/>
          <w:smallCaps w:val="0"/>
          <w:color w:val="000000"/>
          <w:spacing w:val="0"/>
          <w:kern w:val="0"/>
          <w:sz w:val="32"/>
          <w:szCs w:val="32"/>
          <w:shd w:val="clear" w:color="auto" w:fill="FFFFFF"/>
          <w:lang w:val="en-US" w:eastAsia="zh-CN" w:bidi="ar-SA"/>
        </w:rPr>
        <w:t>1.内部应用。一是按照2021年项目预算执行情况对2022年预算项目的资金规模、支出方向进行调整；二是根据绩效目标审核结果，对绩效目标、项目内容等进行优化调整，深入开展财政支出绩效评价，对人员、公用和项目资金开展绩效自评和专项检查，通过自评发现的问题不断建立健全绩效管理工作机制，明</w:t>
      </w:r>
      <w:r>
        <w:rPr>
          <w:rFonts w:hint="eastAsia" w:ascii="仿宋_GB2312" w:eastAsia="仿宋_GB2312" w:cs="仿宋_GB2312"/>
          <w:sz w:val="32"/>
          <w:szCs w:val="32"/>
        </w:rPr>
        <w:t>确责任分工，提高了部门绩效管理工作水平；三是通过绩效监控进行政策优化、改进管理、预算调整、结余处理，并将评价结果作为次年政策优化、改进管理、预算调整。</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2.信息公开</w:t>
      </w:r>
      <w:r>
        <w:rPr>
          <w:rFonts w:hint="eastAsia" w:ascii="仿宋_GB2312" w:eastAsia="仿宋_GB2312" w:cs="仿宋_GB2312"/>
          <w:sz w:val="32"/>
          <w:szCs w:val="32"/>
          <w:lang w:eastAsia="zh-CN"/>
        </w:rPr>
        <w:t>。</w:t>
      </w:r>
      <w:r>
        <w:rPr>
          <w:rFonts w:hint="eastAsia" w:ascii="仿宋_GB2312" w:eastAsia="仿宋_GB2312" w:cs="仿宋_GB2312"/>
          <w:sz w:val="32"/>
          <w:szCs w:val="32"/>
        </w:rPr>
        <w:t>2021年3月，在部门网站上公布2021年</w:t>
      </w:r>
      <w:r>
        <w:rPr>
          <w:rFonts w:hint="eastAsia" w:ascii="仿宋_GB2312" w:eastAsia="仿宋_GB2312" w:cs="仿宋_GB2312"/>
          <w:sz w:val="32"/>
          <w:szCs w:val="32"/>
          <w:lang w:eastAsia="zh-CN"/>
        </w:rPr>
        <w:t>退役军人事务局</w:t>
      </w:r>
      <w:r>
        <w:rPr>
          <w:rFonts w:hint="eastAsia" w:ascii="仿宋_GB2312" w:eastAsia="仿宋_GB2312" w:cs="仿宋_GB2312"/>
          <w:sz w:val="32"/>
          <w:szCs w:val="32"/>
        </w:rPr>
        <w:t>绩效目标批复表，有效树立“花钱求效”的理念，进一步强化支出责任意识，同时提高预算绩效信息的透明度和社会监督度。</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3.整改反馈</w:t>
      </w:r>
      <w:r>
        <w:rPr>
          <w:rFonts w:hint="eastAsia" w:ascii="仿宋_GB2312" w:eastAsia="仿宋_GB2312" w:cs="仿宋_GB2312"/>
          <w:sz w:val="32"/>
          <w:szCs w:val="32"/>
          <w:lang w:eastAsia="zh-CN"/>
        </w:rPr>
        <w:t>。</w:t>
      </w:r>
      <w:r>
        <w:rPr>
          <w:rFonts w:hint="eastAsia" w:ascii="仿宋_GB2312" w:eastAsia="仿宋_GB2312" w:cs="仿宋_GB2312"/>
          <w:sz w:val="32"/>
          <w:szCs w:val="32"/>
        </w:rPr>
        <w:t>严格跟进资金执行进度，根据执行要求，每季度汇总数据后，提醒各项目、</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及用款科室，督促各科室提高谋划意识，确保资金支付时点，同时通过细化经济科目，保障资金使用的合法合规，并及时向财政部门反馈结果应用情况。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rPr>
        <w:t>（四）自评质量</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2021年按照年度工作要求，部门基本达到预期绩效目标，部门整体支出自评程度准确度较高。</w:t>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黑体" w:eastAsia="黑体" w:cs="黑体"/>
          <w:sz w:val="32"/>
          <w:szCs w:val="32"/>
        </w:rPr>
      </w:pPr>
      <w:r>
        <w:rPr>
          <w:rFonts w:hint="eastAsia" w:ascii="黑体" w:eastAsia="黑体" w:cs="黑体"/>
          <w:sz w:val="32"/>
          <w:szCs w:val="32"/>
          <w:lang w:eastAsia="zh-CN"/>
        </w:rPr>
        <w:t>四、</w:t>
      </w:r>
      <w:r>
        <w:rPr>
          <w:rFonts w:hint="eastAsia" w:ascii="黑体" w:eastAsia="黑体" w:cs="黑体"/>
          <w:sz w:val="32"/>
          <w:szCs w:val="32"/>
        </w:rPr>
        <w:t>评价</w:t>
      </w:r>
      <w:r>
        <w:rPr>
          <w:rFonts w:hint="eastAsia" w:ascii="黑体" w:eastAsia="黑体" w:cs="黑体"/>
          <w:sz w:val="32"/>
          <w:szCs w:val="32"/>
          <w:lang w:eastAsia="zh-CN"/>
        </w:rPr>
        <w:t>结论</w:t>
      </w:r>
      <w:r>
        <w:rPr>
          <w:rFonts w:hint="eastAsia" w:ascii="黑体" w:eastAsia="黑体" w:cs="黑体"/>
          <w:sz w:val="32"/>
          <w:szCs w:val="32"/>
        </w:rPr>
        <w:t>及建议</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（一）评价结论</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2021年共评价3个一级指标，8个二级指标，评价得分</w:t>
      </w:r>
      <w:r>
        <w:rPr>
          <w:rFonts w:hint="eastAsia" w:ascii="仿宋_GB2312" w:eastAsia="仿宋_GB2312" w:cs="仿宋_GB2312"/>
          <w:sz w:val="32"/>
          <w:szCs w:val="32"/>
          <w:lang w:val="en-US" w:eastAsia="zh-CN"/>
        </w:rPr>
        <w:t>94.25分</w:t>
      </w:r>
      <w:r>
        <w:rPr>
          <w:rFonts w:hint="eastAsia" w:asci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（二）存在问题</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一是</w:t>
      </w:r>
      <w:r>
        <w:rPr>
          <w:rFonts w:hint="eastAsia" w:ascii="仿宋_GB2312" w:eastAsia="仿宋_GB2312" w:cs="仿宋_GB2312"/>
          <w:sz w:val="32"/>
          <w:szCs w:val="32"/>
        </w:rPr>
        <w:t>项目绩效评价方面，个别项目绩效评价编制有漏项情况</w:t>
      </w:r>
      <w:r>
        <w:rPr>
          <w:rFonts w:hint="eastAsia" w:ascii="仿宋_GB2312" w:eastAsia="仿宋_GB2312" w:cs="仿宋_GB2312"/>
          <w:sz w:val="32"/>
          <w:szCs w:val="32"/>
          <w:lang w:eastAsia="zh-CN"/>
        </w:rPr>
        <w:t>。二是</w:t>
      </w:r>
      <w:r>
        <w:rPr>
          <w:rFonts w:hint="eastAsia" w:ascii="仿宋_GB2312" w:eastAsia="仿宋_GB2312" w:cs="仿宋_GB2312"/>
          <w:sz w:val="32"/>
          <w:szCs w:val="32"/>
        </w:rPr>
        <w:t>绩效评估结果应用范围较小，指导预期绩效目标编制力度不够强。</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（三）改进建议</w:t>
      </w: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是进一步加强预算绩效管理工作，科学编制项目资金预算，研究制定更加具体的预算绩效管理工作计划，规范、细化各类专项资金绩效评价，定期做好支出财务分析，及时对预算执行情况进行通报和预警。二是进一步严格执行预算绩效管理，加强项目实施进度的跟踪，开展项目绩效评价，加强对绩效管理工作的跟踪督查，做到绩效管理有依据、有奖惩，实现绩效管理规范化、常态化，确保项目绩效目标的完成。三是进一步加强从事绩效管理工作人员的理论知识水平和业务能力，提升项目资金绩效管理能力和水平。</w:t>
      </w:r>
    </w:p>
    <w:p>
      <w:pPr>
        <w:pStyle w:val="2"/>
        <w:rPr>
          <w:rFonts w:hint="eastAsia" w:ascii="仿宋_GB2312" w:eastAsia="仿宋_GB2312" w:cs="仿宋_GB2312"/>
          <w:sz w:val="32"/>
          <w:szCs w:val="32"/>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cs="宋体"/>
          <w:color w:val="auto"/>
          <w:kern w:val="0"/>
          <w:sz w:val="32"/>
          <w:szCs w:val="32"/>
          <w:highlight w:val="none"/>
          <w:shd w:val="clear" w:color="auto" w:fill="FFFFFF"/>
          <w:lang w:val="zh-CN"/>
        </w:rPr>
      </w:pPr>
    </w:p>
    <w:p>
      <w:pPr>
        <w:pStyle w:val="2"/>
        <w:rPr>
          <w:rFonts w:hint="eastAsia" w:ascii="黑体" w:eastAsia="黑体" w:cs="黑体"/>
          <w:color w:val="auto"/>
          <w:sz w:val="32"/>
          <w:szCs w:val="32"/>
          <w:highlight w:val="none"/>
          <w:lang w:val="zh-CN"/>
        </w:rPr>
      </w:pPr>
      <w:r>
        <w:rPr>
          <w:rFonts w:hint="eastAsia" w:asci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rPr>
        <w:t>2021年</w:t>
      </w:r>
      <w:r>
        <w:rPr>
          <w:rFonts w:hint="eastAsia" w:ascii="方正小标宋简体" w:eastAsia="方正小标宋简体" w:cs="方正小标宋简体"/>
          <w:b w:val="0"/>
          <w:bCs/>
          <w:sz w:val="44"/>
          <w:szCs w:val="44"/>
          <w:lang w:eastAsia="zh-CN"/>
        </w:rPr>
        <w:t>专项预算项目</w:t>
      </w:r>
      <w:r>
        <w:rPr>
          <w:rFonts w:hint="eastAsia" w:ascii="方正小标宋简体" w:eastAsia="方正小标宋简体" w:cs="方正小标宋简体"/>
          <w:b w:val="0"/>
          <w:bCs/>
          <w:sz w:val="44"/>
          <w:szCs w:val="44"/>
        </w:rPr>
        <w:t>支出绩效自评报告</w:t>
      </w: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方正小标宋简体" w:eastAsia="方正小标宋简体" w:cs="方正小标宋简体"/>
          <w:b w:val="0"/>
          <w:bCs/>
          <w:sz w:val="44"/>
          <w:szCs w:val="44"/>
          <w:lang w:eastAsia="zh-CN"/>
        </w:rPr>
      </w:pPr>
      <w:r>
        <w:rPr>
          <w:rFonts w:hint="eastAsia" w:ascii="方正小标宋简体" w:eastAsia="方正小标宋简体" w:cs="方正小标宋简体"/>
          <w:b w:val="0"/>
          <w:bCs/>
          <w:sz w:val="44"/>
          <w:szCs w:val="44"/>
          <w:lang w:eastAsia="zh-CN"/>
        </w:rPr>
        <w:t>（广元市退役军人服务中心</w:t>
      </w:r>
      <w:r>
        <w:rPr>
          <w:rFonts w:hint="eastAsia" w:ascii="方正小标宋简体" w:eastAsia="方正小标宋简体" w:cs="方正小标宋简体"/>
          <w:b w:val="0"/>
          <w:bCs/>
          <w:sz w:val="44"/>
          <w:szCs w:val="44"/>
        </w:rPr>
        <w:t>信息化建设项目</w:t>
      </w:r>
      <w:r>
        <w:rPr>
          <w:rFonts w:hint="eastAsia" w:ascii="方正小标宋简体" w:eastAsia="方正小标宋简体" w:cs="方正小标宋简体"/>
          <w:b w:val="0"/>
          <w:bCs/>
          <w:sz w:val="44"/>
          <w:szCs w:val="44"/>
          <w:lang w:eastAsia="zh-CN"/>
        </w:rPr>
        <w:t>）</w:t>
      </w:r>
    </w:p>
    <w:p>
      <w:pPr>
        <w:autoSpaceDE w:val="0"/>
        <w:adjustRightInd w:val="0"/>
        <w:snapToGrid w:val="0"/>
        <w:spacing w:line="600" w:lineRule="exact"/>
        <w:ind w:firstLine="720"/>
        <w:rPr>
          <w:rFonts w:hint="eastAsia" w:ascii="仿宋" w:eastAsia="仿宋"/>
          <w:b/>
          <w:bCs/>
          <w:sz w:val="32"/>
          <w:szCs w:val="32"/>
        </w:rPr>
      </w:pPr>
    </w:p>
    <w:p>
      <w:pPr>
        <w:autoSpaceDE w:val="0"/>
        <w:adjustRightInd w:val="0"/>
        <w:snapToGrid w:val="0"/>
        <w:spacing w:line="600" w:lineRule="exact"/>
        <w:ind w:firstLine="720"/>
        <w:rPr>
          <w:rFonts w:hint="eastAsia" w:ascii="黑体" w:eastAsia="黑体" w:cs="黑体"/>
          <w:b w:val="0"/>
          <w:bCs w:val="0"/>
          <w:sz w:val="32"/>
          <w:szCs w:val="32"/>
        </w:rPr>
      </w:pPr>
      <w:r>
        <w:rPr>
          <w:rFonts w:hint="eastAsia" w:ascii="黑体" w:eastAsia="黑体" w:cs="黑体"/>
          <w:b w:val="0"/>
          <w:bCs w:val="0"/>
          <w:sz w:val="32"/>
          <w:szCs w:val="32"/>
        </w:rPr>
        <w:t>一、项目概况</w:t>
      </w:r>
    </w:p>
    <w:p>
      <w:pPr>
        <w:autoSpaceDE w:val="0"/>
        <w:adjustRightInd w:val="0"/>
        <w:snapToGrid w:val="0"/>
        <w:spacing w:line="600" w:lineRule="exact"/>
        <w:ind w:firstLine="720"/>
        <w:rPr>
          <w:rFonts w:hint="eastAsia" w:ascii="仿宋_GB2312" w:eastAsia="仿宋_GB2312" w:cs="仿宋_GB2312"/>
          <w:b/>
          <w:sz w:val="32"/>
          <w:szCs w:val="32"/>
        </w:rPr>
      </w:pPr>
      <w:r>
        <w:rPr>
          <w:rFonts w:hint="eastAsia" w:ascii="仿宋_GB2312" w:eastAsia="仿宋_GB2312" w:cs="仿宋_GB2312"/>
          <w:b/>
          <w:sz w:val="32"/>
          <w:szCs w:val="32"/>
        </w:rPr>
        <w:t>（一）项目基本情况。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1．说明项目主管部门（单位）在该项目管理中的职能。</w:t>
      </w:r>
    </w:p>
    <w:p>
      <w:pPr>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市服务中心负责退役军人相关数据管理系统建设、安全管理、运行维护及信息数据采集、数据管理分析等。</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2．项目立项、资金申报的依据。</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根据川委办〔2019〕30号文件《关于加快推进退役军人服务保障体系建设的实施意见（试行）》的通知为依据。</w:t>
      </w:r>
    </w:p>
    <w:p>
      <w:pPr>
        <w:keepNext w:val="0"/>
        <w:keepLines w:val="0"/>
        <w:pageBreakBefore w:val="0"/>
        <w:widowControl w:val="0"/>
        <w:numPr>
          <w:ilvl w:val="0"/>
          <w:numId w:val="2"/>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资金管理办法制定情况，资金支持具体项目的条件、范围与支持方式概况。</w:t>
      </w:r>
    </w:p>
    <w:p>
      <w:pPr>
        <w:pStyle w:val="29"/>
        <w:keepNext w:val="0"/>
        <w:keepLines w:val="0"/>
        <w:pageBreakBefore w:val="0"/>
        <w:widowControl w:val="0"/>
        <w:kinsoku/>
        <w:wordWrap/>
        <w:overflowPunct/>
        <w:topLinePunct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制定了《财务管理制度》，结合实际情况开展项目实施。</w:t>
      </w:r>
    </w:p>
    <w:p>
      <w:pPr>
        <w:keepNext w:val="0"/>
        <w:keepLines w:val="0"/>
        <w:pageBreakBefore w:val="0"/>
        <w:widowControl w:val="0"/>
        <w:numPr>
          <w:ilvl w:val="0"/>
          <w:numId w:val="2"/>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资金分配的原则及考虑因素。</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资金分配遵循“政策协调、资金聚焦、推进统筹、效益最大”的原则。</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（二）项目绩效目标。</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1．项目主要内容。</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退役军人综合信息服务平台硬件开发维护，局网站、微信公众号运维费</w:t>
      </w:r>
    </w:p>
    <w:p>
      <w:pPr>
        <w:keepNext w:val="0"/>
        <w:keepLines w:val="0"/>
        <w:pageBreakBefore w:val="0"/>
        <w:widowControl w:val="0"/>
        <w:numPr>
          <w:ilvl w:val="0"/>
          <w:numId w:val="3"/>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项目应实现的具体绩效目标，包括目标的量化、细化情况以及项目实施进度计划等。</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为完成年度工作目标任务，按照预算审核、绩效监督、绩效评价、结果应用的方式和程序组织实施。</w:t>
      </w:r>
    </w:p>
    <w:p>
      <w:pPr>
        <w:keepNext w:val="0"/>
        <w:keepLines w:val="0"/>
        <w:pageBreakBefore w:val="0"/>
        <w:widowControl w:val="0"/>
        <w:numPr>
          <w:ilvl w:val="0"/>
          <w:numId w:val="3"/>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分析评价申报内容是否与实际相符，申报目标是否合理可行。</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项目严格按照规定使用，完成了预期目标，申报内容与实际相符，申报目标合理可行。</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（三）项目自评步骤及方法。</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说明项目绩效自评采用的组织实施步骤及方法。</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（一）项目资金申报及批复情况。</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使用预算资金符合国家财经法规和财务管理制度规定以及市财政局资金管理办法的规定；资金的拨付有完整的审批过程和手续；符合部门预算批复的用途；资金使用无截留、挤占、挪用、虚列支出等情况。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rPr>
        <w:t>（二）资金计划、到位及使用情况。</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1．资金计划。</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本单位结合实际情况，认真规划和申报项目预算，</w:t>
      </w:r>
      <w:r>
        <w:rPr>
          <w:rFonts w:hint="eastAsia" w:ascii="仿宋_GB2312" w:eastAsia="仿宋_GB2312" w:cs="仿宋_GB2312"/>
          <w:color w:val="000000"/>
          <w:sz w:val="32"/>
          <w:szCs w:val="32"/>
          <w:lang w:eastAsia="zh-CN"/>
        </w:rPr>
        <w:t>信息化建设项目资金为</w:t>
      </w:r>
      <w:r>
        <w:rPr>
          <w:rFonts w:hint="eastAsia" w:ascii="仿宋_GB2312" w:eastAsia="仿宋_GB2312" w:cs="仿宋_GB2312"/>
          <w:color w:val="000000"/>
          <w:sz w:val="32"/>
          <w:szCs w:val="32"/>
          <w:lang w:val="en-US" w:eastAsia="zh-CN"/>
        </w:rPr>
        <w:t>25万元，</w:t>
      </w:r>
      <w:r>
        <w:rPr>
          <w:rFonts w:hint="eastAsia" w:ascii="仿宋_GB2312" w:eastAsia="仿宋_GB2312" w:cs="仿宋_GB2312"/>
          <w:color w:val="000000"/>
          <w:sz w:val="32"/>
          <w:szCs w:val="32"/>
        </w:rPr>
        <w:t>均为2021年财政预算。</w:t>
      </w:r>
    </w:p>
    <w:p>
      <w:pPr>
        <w:pStyle w:val="20"/>
        <w:keepNext w:val="0"/>
        <w:keepLines w:val="0"/>
        <w:pageBreakBefore w:val="0"/>
        <w:widowControl w:val="0"/>
        <w:numPr>
          <w:ilvl w:val="0"/>
          <w:numId w:val="4"/>
        </w:numPr>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资金到位。</w:t>
      </w:r>
    </w:p>
    <w:p>
      <w:pPr>
        <w:pStyle w:val="20"/>
        <w:keepNext w:val="0"/>
        <w:keepLines w:val="0"/>
        <w:pageBreakBefore w:val="0"/>
        <w:widowControl w:val="0"/>
        <w:numPr>
          <w:ilvl w:val="0"/>
          <w:numId w:val="4"/>
        </w:numPr>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2021年度，该项目资金已全部下达，并按计划及时组织实施。</w:t>
      </w:r>
    </w:p>
    <w:p>
      <w:pPr>
        <w:pStyle w:val="20"/>
        <w:keepNext w:val="0"/>
        <w:keepLines w:val="0"/>
        <w:pageBreakBefore w:val="0"/>
        <w:widowControl w:val="0"/>
        <w:numPr>
          <w:ilvl w:val="0"/>
          <w:numId w:val="4"/>
        </w:numPr>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资金使用。</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（三）项目财务管理情况。</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该项目实施严格按照财务管理制度执行，及时财务记账，会计核算符合财务规章制度。</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widowControl w:val="0"/>
        <w:numPr>
          <w:ilvl w:val="0"/>
          <w:numId w:val="5"/>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项目组织架构及实施流程。</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在项目实施时，项目资金管理严格按制度执行，严格审批程序，确定上报项目。</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（二）项目管理情况。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该项目</w:t>
      </w:r>
      <w:r>
        <w:rPr>
          <w:rFonts w:hint="eastAsia" w:ascii="仿宋_GB2312" w:eastAsia="仿宋_GB2312" w:cs="仿宋_GB2312"/>
          <w:sz w:val="32"/>
          <w:szCs w:val="32"/>
          <w:lang w:eastAsia="zh-CN"/>
        </w:rPr>
        <w:t>严格</w:t>
      </w:r>
      <w:r>
        <w:rPr>
          <w:rFonts w:hint="eastAsia" w:ascii="仿宋_GB2312" w:eastAsia="仿宋_GB2312" w:cs="仿宋_GB2312"/>
          <w:sz w:val="32"/>
          <w:szCs w:val="32"/>
        </w:rPr>
        <w:t>执行</w:t>
      </w:r>
      <w:r>
        <w:rPr>
          <w:rFonts w:hint="eastAsia" w:ascii="仿宋_GB2312" w:eastAsia="仿宋_GB2312" w:cs="仿宋_GB2312"/>
          <w:sz w:val="32"/>
          <w:szCs w:val="32"/>
          <w:lang w:eastAsia="zh-CN"/>
        </w:rPr>
        <w:t>相关法律法规及项目管理制度</w:t>
      </w:r>
      <w:r>
        <w:rPr>
          <w:rFonts w:hint="eastAsia" w:ascii="仿宋_GB2312" w:eastAsia="仿宋_GB2312" w:cs="仿宋_GB2312"/>
          <w:sz w:val="32"/>
          <w:szCs w:val="32"/>
        </w:rPr>
        <w:t>。</w:t>
      </w:r>
    </w:p>
    <w:p>
      <w:pPr>
        <w:keepNext w:val="0"/>
        <w:keepLines w:val="0"/>
        <w:pageBreakBefore w:val="0"/>
        <w:widowControl w:val="0"/>
        <w:numPr>
          <w:ilvl w:val="0"/>
          <w:numId w:val="5"/>
        </w:numPr>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项目监管情况。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加强资金监管，规范监管程序，确保资金使用规范。</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四、项目绩效情况</w:t>
      </w:r>
      <w:r>
        <w:rPr>
          <w:rFonts w:hint="eastAsia" w:ascii="黑体" w:eastAsia="黑体" w:cs="黑体"/>
          <w:b w:val="0"/>
          <w:bCs w:val="0"/>
          <w:sz w:val="32"/>
          <w:szCs w:val="32"/>
        </w:rPr>
        <w:tab/>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（一）项目完成情况。</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项目按照预期目标圆满完成工作任务。</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（二）项目效益情况。</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为全市退役军人提供方便快捷服务，提升退役军人事务部门形象。</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（一）评价结论。</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（二）存在的问题。</w:t>
      </w:r>
    </w:p>
    <w:p>
      <w:pPr>
        <w:pStyle w:val="20"/>
        <w:keepNext w:val="0"/>
        <w:keepLines w:val="0"/>
        <w:pageBreakBefore w:val="0"/>
        <w:widowControl w:val="0"/>
        <w:kinsoku/>
        <w:wordWrap/>
        <w:overflowPunct/>
        <w:topLinePunct w:val="0"/>
        <w:autoSpaceDE w:val="0"/>
        <w:autoSpaceDN w:val="0"/>
        <w:bidi w:val="0"/>
        <w:spacing w:line="560" w:lineRule="exact"/>
        <w:ind w:left="0"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项目绩效目标进一步明确和量化。</w:t>
      </w:r>
    </w:p>
    <w:p>
      <w:pPr>
        <w:keepNext w:val="0"/>
        <w:keepLines w:val="0"/>
        <w:pageBreakBefore w:val="0"/>
        <w:widowControl w:val="0"/>
        <w:kinsoku/>
        <w:wordWrap/>
        <w:overflowPunct/>
        <w:topLinePunct w:val="0"/>
        <w:autoSpaceDE w:val="0"/>
        <w:bidi w:val="0"/>
        <w:adjustRightInd w:val="0"/>
        <w:snapToGrid w:val="0"/>
        <w:spacing w:line="560" w:lineRule="exact"/>
        <w:ind w:left="0" w:firstLine="640" w:firstLineChars="200"/>
        <w:textAlignment w:val="auto"/>
        <w:rPr>
          <w:rFonts w:hint="eastAsia" w:ascii="仿宋_GB2312" w:eastAsia="仿宋_GB2312" w:cs="仿宋_GB2312"/>
          <w:b/>
          <w:sz w:val="32"/>
          <w:szCs w:val="32"/>
        </w:rPr>
      </w:pPr>
      <w:r>
        <w:rPr>
          <w:rFonts w:hint="eastAsia" w:ascii="仿宋_GB2312" w:eastAsia="仿宋_GB2312" w:cs="仿宋_GB2312"/>
          <w:b/>
          <w:sz w:val="32"/>
          <w:szCs w:val="32"/>
        </w:rPr>
        <w:t>（三）相关建议。</w:t>
      </w:r>
    </w:p>
    <w:p>
      <w:pPr>
        <w:keepNext w:val="0"/>
        <w:keepLines w:val="0"/>
        <w:pageBreakBefore w:val="0"/>
        <w:widowControl w:val="0"/>
        <w:kinsoku/>
        <w:wordWrap/>
        <w:overflowPunct/>
        <w:topLinePunct w:val="0"/>
        <w:autoSpaceDE w:val="0"/>
        <w:bidi w:val="0"/>
        <w:spacing w:line="560" w:lineRule="exact"/>
        <w:ind w:left="0" w:firstLine="640" w:firstLineChars="200"/>
        <w:jc w:val="left"/>
        <w:textAlignment w:val="auto"/>
        <w:outlineLvl w:val="0"/>
        <w:rPr>
          <w:rFonts w:hint="eastAsia" w:ascii="仿宋_GB2312" w:eastAsia="仿宋_GB2312" w:cs="仿宋_GB2312"/>
          <w:sz w:val="32"/>
          <w:szCs w:val="32"/>
        </w:rPr>
      </w:pPr>
      <w:r>
        <w:rPr>
          <w:rFonts w:hint="eastAsia" w:ascii="仿宋_GB2312" w:eastAsia="仿宋_GB2312" w:cs="仿宋_GB2312"/>
          <w:sz w:val="32"/>
          <w:szCs w:val="32"/>
        </w:rPr>
        <w:t>无</w:t>
      </w:r>
    </w:p>
    <w:p>
      <w:pPr>
        <w:autoSpaceDE w:val="0"/>
        <w:spacing w:line="572" w:lineRule="exact"/>
        <w:jc w:val="left"/>
        <w:outlineLvl w:val="0"/>
        <w:rPr>
          <w:rFonts w:hint="eastAsia" w:ascii="仿宋" w:eastAsia="仿宋" w:cs="仿宋_GB2312"/>
          <w:sz w:val="30"/>
          <w:szCs w:val="30"/>
        </w:rPr>
      </w:pPr>
      <w:r>
        <w:rPr>
          <w:rFonts w:hint="eastAsia" w:ascii="仿宋" w:eastAsia="仿宋" w:cs="仿宋_GB2312"/>
          <w:sz w:val="30"/>
          <w:szCs w:val="30"/>
        </w:rPr>
        <w:t xml:space="preserve"> </w:t>
      </w:r>
    </w:p>
    <w:p>
      <w:pPr>
        <w:autoSpaceDE w:val="0"/>
        <w:spacing w:line="572" w:lineRule="exact"/>
        <w:jc w:val="left"/>
        <w:outlineLvl w:val="0"/>
        <w:rPr>
          <w:rFonts w:hint="eastAsia" w:ascii="仿宋" w:eastAsia="仿宋" w:cs="仿宋_GB2312"/>
          <w:sz w:val="32"/>
          <w:szCs w:val="32"/>
        </w:rPr>
      </w:pPr>
      <w:r>
        <w:rPr>
          <w:rFonts w:hint="eastAsia" w:ascii="仿宋" w:eastAsia="仿宋" w:cs="仿宋_GB2312"/>
          <w:sz w:val="32"/>
          <w:szCs w:val="32"/>
        </w:rPr>
        <w:t xml:space="preserve"> </w:t>
      </w:r>
    </w:p>
    <w:p>
      <w:pPr>
        <w:autoSpaceDE w:val="0"/>
        <w:spacing w:line="572" w:lineRule="exact"/>
        <w:jc w:val="left"/>
        <w:outlineLvl w:val="0"/>
        <w:rPr>
          <w:rFonts w:hint="eastAsia" w:ascii="黑体" w:eastAsia="黑体" w:cs="黑体"/>
          <w:sz w:val="32"/>
          <w:szCs w:val="32"/>
        </w:rPr>
      </w:pPr>
      <w:r>
        <w:rPr>
          <w:rFonts w:hint="eastAsia" w:ascii="黑体" w:eastAsia="黑体" w:cs="黑体"/>
          <w:sz w:val="32"/>
          <w:szCs w:val="32"/>
        </w:rPr>
        <w:t>附表</w:t>
      </w:r>
    </w:p>
    <w:tbl>
      <w:tblPr>
        <w:tblStyle w:val="14"/>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1721"/>
        <w:gridCol w:w="1482"/>
        <w:gridCol w:w="1617"/>
        <w:gridCol w:w="1097"/>
        <w:gridCol w:w="240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575" w:type="dxa"/>
            <w:gridSpan w:val="6"/>
            <w:tcBorders>
              <w:top w:val="nil"/>
              <w:left w:val="nil"/>
              <w:bottom w:val="nil"/>
              <w:right w:val="nil"/>
            </w:tcBorders>
            <w:noWrap/>
            <w:vAlign w:val="center"/>
          </w:tcPr>
          <w:p>
            <w:pPr>
              <w:widowControl/>
              <w:jc w:val="center"/>
              <w:textAlignment w:val="center"/>
              <w:rPr>
                <w:rFonts w:hint="eastAsia" w:ascii="仿宋" w:eastAsia="仿宋"/>
                <w:b/>
                <w:sz w:val="32"/>
                <w:szCs w:val="32"/>
              </w:rPr>
            </w:pPr>
            <w:r>
              <w:rPr>
                <w:rFonts w:hint="eastAsia" w:ascii="仿宋" w:eastAsia="仿宋"/>
                <w:b/>
                <w:sz w:val="32"/>
                <w:szCs w:val="32"/>
              </w:rPr>
              <w:t>2021年部门预算项目绩效目标自评</w:t>
            </w:r>
          </w:p>
          <w:p>
            <w:pPr>
              <w:widowControl/>
              <w:jc w:val="center"/>
              <w:textAlignment w:val="center"/>
              <w:rPr>
                <w:rFonts w:ascii="仿宋" w:eastAsia="仿宋"/>
                <w:b/>
                <w:sz w:val="32"/>
                <w:szCs w:val="32"/>
              </w:rPr>
            </w:pPr>
            <w:r>
              <w:rPr>
                <w:rFonts w:hint="eastAsia" w:ascii="仿宋" w:eastAsia="仿宋"/>
                <w:b/>
                <w:sz w:val="32"/>
                <w:szCs w:val="32"/>
              </w:rPr>
              <w:t>（</w:t>
            </w:r>
            <w:r>
              <w:rPr>
                <w:rFonts w:hint="eastAsia" w:ascii="仿宋" w:eastAsia="仿宋"/>
                <w:b/>
                <w:sz w:val="32"/>
                <w:szCs w:val="32"/>
                <w:lang w:eastAsia="zh-CN"/>
              </w:rPr>
              <w:t>广元市退役军人服务中心</w:t>
            </w:r>
            <w:r>
              <w:rPr>
                <w:rFonts w:hint="eastAsia" w:ascii="仿宋" w:eastAsia="仿宋"/>
                <w:b/>
                <w:sz w:val="32"/>
                <w:szCs w:val="32"/>
              </w:rPr>
              <w:t>信息化建设项目）</w:t>
            </w:r>
          </w:p>
        </w:tc>
        <w:tc>
          <w:tcPr>
            <w:tcW w:w="236" w:type="dxa"/>
            <w:tcBorders>
              <w:top w:val="nil"/>
              <w:left w:val="nil"/>
              <w:bottom w:val="nil"/>
              <w:right w:val="nil"/>
            </w:tcBorders>
            <w:noWrap/>
            <w:vAlign w:val="center"/>
          </w:tcPr>
          <w:p>
            <w:pPr>
              <w:widowControl/>
              <w:jc w:val="center"/>
              <w:textAlignment w:val="center"/>
              <w:rPr>
                <w:rFonts w:ascii="仿宋" w:eastAsia="仿宋"/>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jc w:val="center"/>
        </w:trPr>
        <w:tc>
          <w:tcPr>
            <w:tcW w:w="2970" w:type="dxa"/>
            <w:gridSpan w:val="2"/>
            <w:tcBorders>
              <w:top w:val="single" w:color="000000" w:sz="4" w:space="0"/>
              <w:left w:val="single" w:color="000000" w:sz="4" w:space="0"/>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主管部门及代码</w:t>
            </w:r>
          </w:p>
        </w:tc>
        <w:tc>
          <w:tcPr>
            <w:tcW w:w="3099" w:type="dxa"/>
            <w:gridSpan w:val="2"/>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广元市退役军人事务局（643</w:t>
            </w:r>
            <w:r>
              <w:rPr>
                <w:rFonts w:ascii="仿宋" w:eastAsia="仿宋"/>
                <w:sz w:val="24"/>
                <w:szCs w:val="24"/>
              </w:rPr>
              <w:t>001</w:t>
            </w:r>
            <w:r>
              <w:rPr>
                <w:rFonts w:hint="eastAsia" w:ascii="仿宋" w:eastAsia="仿宋"/>
                <w:sz w:val="24"/>
                <w:szCs w:val="24"/>
              </w:rPr>
              <w:t>）</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实施单位</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广元市退役军人服务中心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jc w:val="center"/>
        </w:trPr>
        <w:tc>
          <w:tcPr>
            <w:tcW w:w="2970" w:type="dxa"/>
            <w:gridSpan w:val="2"/>
            <w:vMerge w:val="restart"/>
            <w:tcBorders>
              <w:top w:val="nil"/>
              <w:left w:val="single" w:color="000000" w:sz="4" w:space="0"/>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项目预算</w:t>
            </w:r>
          </w:p>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执行情况</w:t>
            </w:r>
          </w:p>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（万元）</w:t>
            </w: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预算数：</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15</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执行数：</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jc w:val="center"/>
        </w:trPr>
        <w:tc>
          <w:tcPr>
            <w:tcW w:w="2970" w:type="dxa"/>
            <w:gridSpan w:val="2"/>
            <w:vMerge w:val="continue"/>
            <w:tcBorders>
              <w:top w:val="nil"/>
              <w:left w:val="single" w:color="000000" w:sz="4" w:space="0"/>
              <w:bottom w:val="single" w:color="000000" w:sz="4" w:space="0"/>
              <w:right w:val="single" w:color="000000" w:sz="4" w:space="0"/>
            </w:tcBorders>
            <w:noWrap/>
            <w:vAlign w:val="center"/>
          </w:tcP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其中：</w:t>
            </w:r>
          </w:p>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财政拨款</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15</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其中：</w:t>
            </w:r>
          </w:p>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财政拨款</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81" w:hRule="atLeast"/>
          <w:jc w:val="center"/>
        </w:trPr>
        <w:tc>
          <w:tcPr>
            <w:tcW w:w="2970" w:type="dxa"/>
            <w:gridSpan w:val="2"/>
            <w:vMerge w:val="continue"/>
            <w:tcBorders>
              <w:top w:val="nil"/>
              <w:left w:val="single" w:color="000000" w:sz="4" w:space="0"/>
              <w:bottom w:val="single" w:color="000000" w:sz="4" w:space="0"/>
              <w:right w:val="single" w:color="000000" w:sz="4" w:space="0"/>
            </w:tcBorders>
            <w:noWrap/>
            <w:vAlign w:val="center"/>
          </w:tcP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其他资金</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其他资金</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jc w:val="center"/>
        </w:trPr>
        <w:tc>
          <w:tcPr>
            <w:tcW w:w="1249" w:type="dxa"/>
            <w:vMerge w:val="restart"/>
            <w:tcBorders>
              <w:top w:val="nil"/>
              <w:left w:val="single" w:color="000000" w:sz="4" w:space="0"/>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年度总体目标完成情况</w:t>
            </w:r>
          </w:p>
        </w:tc>
        <w:tc>
          <w:tcPr>
            <w:tcW w:w="4820" w:type="dxa"/>
            <w:gridSpan w:val="3"/>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预期目标</w:t>
            </w:r>
          </w:p>
        </w:tc>
        <w:tc>
          <w:tcPr>
            <w:tcW w:w="3506" w:type="dxa"/>
            <w:gridSpan w:val="2"/>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sz w:val="24"/>
                <w:szCs w:val="24"/>
              </w:rPr>
            </w:pPr>
            <w:r>
              <w:rPr>
                <w:rFonts w:hint="eastAsia" w:ascii="仿宋" w:eastAsia="仿宋"/>
                <w:kern w:val="0"/>
                <w:sz w:val="24"/>
                <w:szCs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874" w:hRule="atLeast"/>
          <w:jc w:val="center"/>
        </w:trPr>
        <w:tc>
          <w:tcPr>
            <w:tcW w:w="1249" w:type="dxa"/>
            <w:vMerge w:val="continue"/>
            <w:tcBorders>
              <w:top w:val="nil"/>
              <w:left w:val="single" w:color="000000" w:sz="4" w:space="0"/>
              <w:bottom w:val="single" w:color="000000" w:sz="4" w:space="0"/>
              <w:right w:val="single" w:color="000000" w:sz="4" w:space="0"/>
            </w:tcBorders>
            <w:noWrap/>
            <w:vAlign w:val="center"/>
          </w:tcPr>
          <w:p/>
        </w:tc>
        <w:tc>
          <w:tcPr>
            <w:tcW w:w="4820" w:type="dxa"/>
            <w:gridSpan w:val="3"/>
            <w:tcBorders>
              <w:top w:val="single" w:color="000000" w:sz="4" w:space="0"/>
              <w:left w:val="nil"/>
              <w:bottom w:val="single" w:color="000000" w:sz="4" w:space="0"/>
              <w:right w:val="single" w:color="000000" w:sz="4" w:space="0"/>
            </w:tcBorders>
            <w:noWrap/>
          </w:tcPr>
          <w:p>
            <w:pPr>
              <w:widowControl/>
              <w:autoSpaceDE w:val="0"/>
              <w:spacing w:line="320" w:lineRule="exact"/>
              <w:jc w:val="center"/>
              <w:textAlignment w:val="center"/>
              <w:rPr>
                <w:rFonts w:ascii="仿宋" w:eastAsia="仿宋"/>
                <w:kern w:val="0"/>
                <w:sz w:val="24"/>
                <w:szCs w:val="24"/>
              </w:rPr>
            </w:pPr>
          </w:p>
          <w:p>
            <w:pPr>
              <w:widowControl/>
              <w:autoSpaceDE w:val="0"/>
              <w:spacing w:line="320" w:lineRule="exact"/>
              <w:jc w:val="center"/>
              <w:textAlignment w:val="center"/>
              <w:rPr>
                <w:rFonts w:hint="eastAsia" w:ascii="仿宋" w:eastAsia="仿宋"/>
                <w:kern w:val="0"/>
                <w:sz w:val="24"/>
                <w:szCs w:val="24"/>
              </w:rPr>
            </w:pPr>
          </w:p>
          <w:p>
            <w:pPr>
              <w:widowControl/>
              <w:autoSpaceDE w:val="0"/>
              <w:spacing w:line="320" w:lineRule="exact"/>
              <w:jc w:val="left"/>
              <w:textAlignment w:val="center"/>
              <w:rPr>
                <w:rFonts w:hint="eastAsia" w:ascii="仿宋" w:eastAsia="仿宋"/>
                <w:kern w:val="0"/>
                <w:sz w:val="24"/>
                <w:szCs w:val="24"/>
              </w:rPr>
            </w:pPr>
            <w:r>
              <w:rPr>
                <w:rFonts w:hint="eastAsia" w:ascii="仿宋" w:eastAsia="仿宋"/>
                <w:kern w:val="0"/>
                <w:sz w:val="24"/>
                <w:szCs w:val="24"/>
              </w:rPr>
              <w:t>加快我市退役军人信息化建设工作，用现代化、智能化、数字化手段为全市11万广大退役军人和其他优抚对象提供优质、便捷、高效的服务。</w:t>
            </w:r>
          </w:p>
          <w:p>
            <w:pPr>
              <w:widowControl/>
              <w:autoSpaceDE w:val="0"/>
              <w:spacing w:line="320" w:lineRule="exact"/>
              <w:jc w:val="center"/>
              <w:textAlignment w:val="center"/>
              <w:rPr>
                <w:rFonts w:ascii="仿宋" w:eastAsia="仿宋"/>
                <w:kern w:val="0"/>
                <w:sz w:val="24"/>
                <w:szCs w:val="24"/>
              </w:rPr>
            </w:pPr>
          </w:p>
        </w:tc>
        <w:tc>
          <w:tcPr>
            <w:tcW w:w="3506" w:type="dxa"/>
            <w:gridSpan w:val="2"/>
            <w:tcBorders>
              <w:top w:val="single" w:color="000000" w:sz="4" w:space="0"/>
              <w:left w:val="nil"/>
              <w:bottom w:val="single" w:color="000000" w:sz="4" w:space="0"/>
              <w:right w:val="single" w:color="000000" w:sz="4" w:space="0"/>
            </w:tcBorders>
            <w:noWrap/>
          </w:tcPr>
          <w:p>
            <w:pPr>
              <w:widowControl/>
              <w:autoSpaceDE w:val="0"/>
              <w:spacing w:line="320" w:lineRule="exact"/>
              <w:jc w:val="left"/>
              <w:textAlignment w:val="center"/>
              <w:rPr>
                <w:rFonts w:ascii="仿宋" w:eastAsia="仿宋"/>
                <w:kern w:val="0"/>
                <w:sz w:val="24"/>
                <w:szCs w:val="24"/>
              </w:rPr>
            </w:pPr>
          </w:p>
          <w:p>
            <w:pPr>
              <w:widowControl/>
              <w:autoSpaceDE w:val="0"/>
              <w:spacing w:line="320" w:lineRule="exact"/>
              <w:jc w:val="left"/>
              <w:textAlignment w:val="center"/>
              <w:rPr>
                <w:rFonts w:hint="eastAsia" w:ascii="仿宋" w:eastAsia="仿宋"/>
                <w:kern w:val="0"/>
                <w:sz w:val="24"/>
                <w:szCs w:val="24"/>
              </w:rPr>
            </w:pPr>
            <w:r>
              <w:rPr>
                <w:rFonts w:hint="eastAsia" w:ascii="仿宋" w:eastAsia="仿宋"/>
                <w:kern w:val="0"/>
                <w:sz w:val="24"/>
                <w:szCs w:val="24"/>
              </w:rPr>
              <w:t>加快我市退役军人信息化建设工作，用现代化、智能化、数字化手段为全市11万广大退役军人和其他优抚对象提供优质、便捷、高效的服务。</w:t>
            </w:r>
          </w:p>
          <w:p>
            <w:pPr>
              <w:widowControl/>
              <w:autoSpaceDE w:val="0"/>
              <w:spacing w:line="320" w:lineRule="exact"/>
              <w:jc w:val="left"/>
              <w:textAlignment w:val="center"/>
              <w:rPr>
                <w:rFonts w:asci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3" w:hRule="atLeast"/>
          <w:jc w:val="center"/>
        </w:trPr>
        <w:tc>
          <w:tcPr>
            <w:tcW w:w="1249" w:type="dxa"/>
            <w:vMerge w:val="restart"/>
            <w:tcBorders>
              <w:top w:val="nil"/>
              <w:left w:val="single" w:color="000000" w:sz="4" w:space="0"/>
              <w:bottom w:val="nil"/>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年度绩效指标完成情况</w:t>
            </w:r>
          </w:p>
        </w:tc>
        <w:tc>
          <w:tcPr>
            <w:tcW w:w="1721"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一级</w:t>
            </w:r>
          </w:p>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指标</w:t>
            </w: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二级</w:t>
            </w:r>
          </w:p>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三级</w:t>
            </w:r>
          </w:p>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指标</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预期指标值</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jc w:val="center"/>
        </w:trPr>
        <w:tc>
          <w:tcPr>
            <w:tcW w:w="1249" w:type="dxa"/>
            <w:vMerge w:val="continue"/>
            <w:tcBorders>
              <w:top w:val="nil"/>
              <w:left w:val="single" w:color="000000" w:sz="4" w:space="0"/>
              <w:bottom w:val="nil"/>
              <w:right w:val="single" w:color="000000" w:sz="4" w:space="0"/>
            </w:tcBorders>
            <w:noWrap/>
            <w:vAlign w:val="center"/>
          </w:tcPr>
          <w:p/>
        </w:tc>
        <w:tc>
          <w:tcPr>
            <w:tcW w:w="1721" w:type="dxa"/>
            <w:vMerge w:val="restart"/>
            <w:tcBorders>
              <w:top w:val="nil"/>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lang w:eastAsia="zh-CN"/>
              </w:rPr>
            </w:pPr>
            <w:r>
              <w:rPr>
                <w:rFonts w:hint="eastAsia" w:ascii="仿宋" w:eastAsia="仿宋"/>
                <w:kern w:val="0"/>
                <w:sz w:val="24"/>
                <w:szCs w:val="24"/>
                <w:lang w:eastAsia="zh-CN"/>
              </w:rPr>
              <w:t>产出指标</w:t>
            </w: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数量指标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退役军人综合信息服务平台硬件，局网站、微信公众号运维费</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lang w:eastAsia="zh-CN"/>
              </w:rPr>
            </w:pPr>
            <w:r>
              <w:rPr>
                <w:rFonts w:hint="eastAsia" w:ascii="仿宋" w:eastAsia="仿宋"/>
                <w:kern w:val="0"/>
                <w:sz w:val="24"/>
                <w:szCs w:val="24"/>
              </w:rPr>
              <w:t>100%</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58" w:hRule="atLeast"/>
          <w:jc w:val="center"/>
        </w:trPr>
        <w:tc>
          <w:tcPr>
            <w:tcW w:w="1249" w:type="dxa"/>
            <w:vMerge w:val="continue"/>
            <w:tcBorders>
              <w:top w:val="nil"/>
              <w:left w:val="single" w:color="000000" w:sz="4" w:space="0"/>
              <w:bottom w:val="nil"/>
              <w:right w:val="single" w:color="000000" w:sz="4" w:space="0"/>
            </w:tcBorders>
            <w:noWrap/>
            <w:vAlign w:val="center"/>
          </w:tcPr>
          <w:p/>
        </w:tc>
        <w:tc>
          <w:tcPr>
            <w:tcW w:w="1721" w:type="dxa"/>
            <w:vMerge w:val="continue"/>
            <w:tcBorders>
              <w:top w:val="nil"/>
              <w:left w:val="nil"/>
              <w:bottom w:val="single" w:color="000000" w:sz="4" w:space="0"/>
              <w:right w:val="single" w:color="000000" w:sz="4" w:space="0"/>
            </w:tcBorders>
            <w:noWrap/>
            <w:vAlign w:val="center"/>
          </w:tcP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时效指标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12个月</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100%</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80" w:hRule="atLeast"/>
          <w:jc w:val="center"/>
        </w:trPr>
        <w:tc>
          <w:tcPr>
            <w:tcW w:w="1249" w:type="dxa"/>
            <w:vMerge w:val="continue"/>
            <w:tcBorders>
              <w:top w:val="nil"/>
              <w:left w:val="single" w:color="000000" w:sz="4" w:space="0"/>
              <w:bottom w:val="nil"/>
              <w:right w:val="single" w:color="000000" w:sz="4" w:space="0"/>
            </w:tcBorders>
            <w:noWrap/>
            <w:vAlign w:val="center"/>
          </w:tcPr>
          <w:p/>
        </w:tc>
        <w:tc>
          <w:tcPr>
            <w:tcW w:w="1721" w:type="dxa"/>
            <w:vMerge w:val="continue"/>
            <w:tcBorders>
              <w:top w:val="nil"/>
              <w:left w:val="nil"/>
              <w:bottom w:val="single" w:color="000000" w:sz="4" w:space="0"/>
              <w:right w:val="single" w:color="000000" w:sz="4" w:space="0"/>
            </w:tcBorders>
            <w:noWrap/>
            <w:vAlign w:val="center"/>
          </w:tcP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lang w:eastAsia="zh-CN"/>
              </w:rPr>
            </w:pPr>
            <w:r>
              <w:rPr>
                <w:rFonts w:hint="eastAsia" w:ascii="仿宋" w:eastAsia="仿宋"/>
                <w:kern w:val="0"/>
                <w:sz w:val="24"/>
                <w:szCs w:val="24"/>
                <w:lang w:eastAsia="zh-CN"/>
              </w:rPr>
              <w:t>质量指标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lang w:eastAsia="zh-CN"/>
              </w:rPr>
            </w:pPr>
            <w:r>
              <w:rPr>
                <w:rFonts w:hint="eastAsia" w:ascii="仿宋" w:eastAsia="仿宋"/>
                <w:kern w:val="0"/>
                <w:sz w:val="24"/>
                <w:szCs w:val="24"/>
                <w:lang w:eastAsia="zh-CN"/>
              </w:rPr>
              <w:t>提升工作效率</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lang w:val="en-US" w:eastAsia="zh-CN"/>
              </w:rPr>
              <w:t>95</w:t>
            </w:r>
            <w:r>
              <w:rPr>
                <w:rFonts w:hint="eastAsia" w:ascii="仿宋" w:eastAsia="仿宋"/>
                <w:kern w:val="0"/>
                <w:sz w:val="24"/>
                <w:szCs w:val="24"/>
              </w:rPr>
              <w:t>%</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0" w:hRule="atLeast"/>
          <w:jc w:val="center"/>
        </w:trPr>
        <w:tc>
          <w:tcPr>
            <w:tcW w:w="1249" w:type="dxa"/>
            <w:vMerge w:val="continue"/>
            <w:tcBorders>
              <w:top w:val="nil"/>
              <w:left w:val="single" w:color="000000" w:sz="4" w:space="0"/>
              <w:bottom w:val="nil"/>
              <w:right w:val="single" w:color="000000" w:sz="4" w:space="0"/>
            </w:tcBorders>
            <w:noWrap/>
            <w:vAlign w:val="center"/>
          </w:tcPr>
          <w:p/>
        </w:tc>
        <w:tc>
          <w:tcPr>
            <w:tcW w:w="1721"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sz w:val="28"/>
                <w:szCs w:val="28"/>
                <w:lang w:eastAsia="zh-CN"/>
              </w:rPr>
            </w:pPr>
            <w:r>
              <w:rPr>
                <w:rFonts w:hint="eastAsia" w:ascii="仿宋" w:eastAsia="仿宋"/>
                <w:kern w:val="0"/>
                <w:sz w:val="24"/>
                <w:szCs w:val="24"/>
                <w:lang w:eastAsia="zh-CN"/>
              </w:rPr>
              <w:t>效益指标</w:t>
            </w: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社会效益  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为全市退役军人提供便捷服务</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95%</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已按预期完成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15" w:hRule="atLeast"/>
          <w:jc w:val="center"/>
        </w:trPr>
        <w:tc>
          <w:tcPr>
            <w:tcW w:w="1249" w:type="dxa"/>
            <w:tcBorders>
              <w:top w:val="nil"/>
              <w:left w:val="single" w:color="000000" w:sz="4" w:space="0"/>
              <w:bottom w:val="nil"/>
              <w:right w:val="single" w:color="000000" w:sz="4" w:space="0"/>
            </w:tcBorders>
            <w:noWrap/>
            <w:vAlign w:val="center"/>
          </w:tcPr>
          <w:p/>
        </w:tc>
        <w:tc>
          <w:tcPr>
            <w:tcW w:w="1721"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满意</w:t>
            </w:r>
          </w:p>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度指标</w:t>
            </w:r>
          </w:p>
        </w:tc>
        <w:tc>
          <w:tcPr>
            <w:tcW w:w="1482"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ascii="仿宋" w:eastAsia="仿宋"/>
                <w:kern w:val="0"/>
                <w:sz w:val="24"/>
                <w:szCs w:val="24"/>
              </w:rPr>
            </w:pPr>
            <w:r>
              <w:rPr>
                <w:rFonts w:hint="eastAsia" w:ascii="仿宋" w:eastAsia="仿宋"/>
                <w:kern w:val="0"/>
                <w:sz w:val="24"/>
                <w:szCs w:val="24"/>
              </w:rPr>
              <w:t>满意度</w:t>
            </w:r>
          </w:p>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指标</w:t>
            </w:r>
          </w:p>
        </w:tc>
        <w:tc>
          <w:tcPr>
            <w:tcW w:w="161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服务对象满意度</w:t>
            </w:r>
          </w:p>
        </w:tc>
        <w:tc>
          <w:tcPr>
            <w:tcW w:w="1097"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95%</w:t>
            </w:r>
          </w:p>
        </w:tc>
        <w:tc>
          <w:tcPr>
            <w:tcW w:w="2409" w:type="dxa"/>
            <w:tcBorders>
              <w:top w:val="single" w:color="000000" w:sz="4" w:space="0"/>
              <w:left w:val="nil"/>
              <w:bottom w:val="single" w:color="000000" w:sz="4" w:space="0"/>
              <w:right w:val="single" w:color="000000" w:sz="4" w:space="0"/>
            </w:tcBorders>
            <w:noWrap/>
            <w:vAlign w:val="center"/>
          </w:tcPr>
          <w:p>
            <w:pPr>
              <w:widowControl/>
              <w:autoSpaceDE w:val="0"/>
              <w:spacing w:line="320" w:lineRule="exact"/>
              <w:jc w:val="center"/>
              <w:textAlignment w:val="center"/>
              <w:rPr>
                <w:rFonts w:hint="eastAsia" w:ascii="仿宋" w:eastAsia="仿宋"/>
                <w:kern w:val="0"/>
                <w:sz w:val="24"/>
                <w:szCs w:val="24"/>
              </w:rPr>
            </w:pPr>
            <w:r>
              <w:rPr>
                <w:rFonts w:hint="eastAsia" w:ascii="仿宋" w:eastAsia="仿宋"/>
                <w:kern w:val="0"/>
                <w:sz w:val="24"/>
                <w:szCs w:val="24"/>
              </w:rPr>
              <w:t>已按预期完成</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Times New Roman"/>
          <w:color w:val="000000"/>
          <w:kern w:val="0"/>
          <w:sz w:val="44"/>
          <w:szCs w:val="44"/>
          <w:lang w:val="en-US" w:eastAsia="zh-CN"/>
        </w:rPr>
      </w:pPr>
      <w:r>
        <w:rPr>
          <w:rFonts w:hint="eastAsia" w:ascii="方正小标宋简体" w:eastAsia="方正小标宋简体" w:cs="Times New Roman"/>
          <w:color w:val="000000"/>
          <w:kern w:val="0"/>
          <w:sz w:val="44"/>
          <w:szCs w:val="44"/>
          <w:lang w:val="en-US" w:eastAsia="zh-CN"/>
        </w:rPr>
        <w:t>2021年专项预算项目支出绩效自评报告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auto"/>
          <w:kern w:val="2"/>
          <w:sz w:val="36"/>
          <w:szCs w:val="36"/>
          <w:highlight w:val="none"/>
          <w:lang w:val="zh-CN" w:eastAsia="zh-CN" w:bidi="ar-SA"/>
        </w:rPr>
      </w:pPr>
      <w:r>
        <w:rPr>
          <w:rFonts w:hint="eastAsia" w:ascii="方正小标宋简体" w:eastAsia="方正小标宋简体" w:cs="Times New Roman"/>
          <w:color w:val="000000"/>
          <w:kern w:val="0"/>
          <w:sz w:val="44"/>
          <w:szCs w:val="44"/>
          <w:lang w:val="en-US" w:eastAsia="zh-CN"/>
        </w:rPr>
        <w:t>（广元市光荣院供</w:t>
      </w:r>
      <w:r>
        <w:rPr>
          <w:rFonts w:hint="eastAsia" w:ascii="方正小标宋简体" w:eastAsia="方正小标宋简体"/>
          <w:color w:val="000000"/>
          <w:kern w:val="0"/>
          <w:sz w:val="44"/>
          <w:szCs w:val="44"/>
          <w:lang w:val="en-US" w:eastAsia="zh-CN"/>
        </w:rPr>
        <w:t>养楼电梯运行维护费</w:t>
      </w:r>
      <w:r>
        <w:rPr>
          <w:rFonts w:hint="eastAsia" w:ascii="方正小标宋简体" w:eastAsia="方正小标宋简体" w:cs="方正小标宋简体"/>
          <w:color w:val="auto"/>
          <w:kern w:val="2"/>
          <w:sz w:val="44"/>
          <w:szCs w:val="44"/>
          <w:highlight w:val="none"/>
          <w:lang w:val="zh-CN" w:eastAsia="zh-CN" w:bidi="ar-SA"/>
        </w:rPr>
        <w:t>项目</w:t>
      </w:r>
      <w:r>
        <w:rPr>
          <w:rFonts w:hint="eastAsia" w:ascii="方正小标宋简体" w:eastAsia="方正小标宋简体" w:cs="Times New Roman"/>
          <w:color w:val="000000"/>
          <w:kern w:val="0"/>
          <w:sz w:val="44"/>
          <w:szCs w:val="44"/>
          <w:lang w:val="en-US" w:eastAsia="zh-CN"/>
        </w:rPr>
        <w:t>）</w:t>
      </w:r>
    </w:p>
    <w:p>
      <w:pPr>
        <w:spacing w:line="600" w:lineRule="exact"/>
        <w:ind w:firstLine="640" w:firstLineChars="200"/>
        <w:rPr>
          <w:rFonts w:hint="eastAsia" w:ascii="仿宋" w:eastAsia="仿宋"/>
          <w:b/>
          <w:bCs/>
          <w:color w:val="auto"/>
          <w:sz w:val="32"/>
          <w:szCs w:val="32"/>
          <w:highlight w:val="none"/>
          <w:lang w:val="zh-CN" w:eastAsia="zh-CN"/>
        </w:rPr>
      </w:pPr>
    </w:p>
    <w:p>
      <w:pPr>
        <w:spacing w:line="600" w:lineRule="exact"/>
        <w:ind w:firstLine="640" w:firstLineChars="200"/>
        <w:rPr>
          <w:rFonts w:hint="eastAsia" w:ascii="黑体" w:eastAsia="黑体" w:cs="黑体"/>
          <w:b w:val="0"/>
          <w:bCs w:val="0"/>
          <w:color w:val="auto"/>
          <w:sz w:val="32"/>
          <w:szCs w:val="32"/>
          <w:highlight w:val="none"/>
          <w:lang w:val="zh-CN" w:eastAsia="zh-CN"/>
        </w:rPr>
      </w:pPr>
      <w:r>
        <w:rPr>
          <w:rFonts w:hint="eastAsia" w:ascii="黑体" w:eastAsia="黑体" w:cs="黑体"/>
          <w:b w:val="0"/>
          <w:bCs w:val="0"/>
          <w:color w:val="auto"/>
          <w:sz w:val="32"/>
          <w:szCs w:val="32"/>
          <w:highlight w:val="none"/>
          <w:lang w:val="zh-CN"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主要承担全市重点优抚对象短（中、长）期集中供养服务和红色文化等传承教育。</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zh-CN" w:eastAsia="zh-CN"/>
        </w:rPr>
        <w:t>项目立项、资金申报的依据。</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项目申报主要依据中华人民共和国退役军人事务部颁布的《光荣院管理办法》，其中规定“光荣院应当为服务对象提供适合老年人、残疾人居住需求的生活设施”等相关服务要求。</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1．项目主要内容。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通过项目经费实施，确保供养楼电梯正常运行，落实好重点孤老优抚对象生活保障。</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zh-CN" w:eastAsia="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为完成年度工作目标任务，按照预算审核、绩效监督、绩效评价、结果应用的方式和程序组织实施。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lang w:val="zh-CN" w:eastAsia="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项目严格按照规定使用，完成了预期目标，申报内容与实际相符，申报目标合理可行。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spacing w:line="600" w:lineRule="exact"/>
        <w:ind w:firstLine="640"/>
        <w:rPr>
          <w:rFonts w:hint="eastAsia" w:ascii="黑体" w:eastAsia="黑体" w:cs="黑体"/>
          <w:b w:val="0"/>
          <w:bCs w:val="0"/>
          <w:color w:val="auto"/>
          <w:sz w:val="32"/>
          <w:szCs w:val="32"/>
          <w:highlight w:val="none"/>
          <w:lang w:val="en-US" w:eastAsia="zh-CN"/>
        </w:rPr>
      </w:pPr>
      <w:r>
        <w:rPr>
          <w:rFonts w:hint="eastAsia" w:ascii="黑体" w:eastAsia="黑体" w:cs="黑体"/>
          <w:b w:val="0"/>
          <w:bCs w:val="0"/>
          <w:color w:val="auto"/>
          <w:sz w:val="32"/>
          <w:szCs w:val="32"/>
          <w:highlight w:val="none"/>
          <w:lang w:val="en-US"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使用预算资金符合国家财经法规和财务管理制度规定以及市财政局资金管理办法的规定；资金的拨付有完整的审批过程和手续；预算调整履行了规定程序；符合部门预算批复的用途；资金使用无截留、挤占、挪用、虚列支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1．资金计划。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本单位结合实际情况，认真规划和申报项目预算。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zh-CN" w:eastAsia="zh-CN"/>
        </w:rPr>
        <w:t>资金到位。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2021年度，项目资金已全部下达，按计划及时认真实施。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lang w:val="zh-CN" w:eastAsia="zh-CN"/>
        </w:rPr>
        <w:t>资金使用。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rPr>
        <w:t>该项目实际支出与预算批复相符，符合国家财经法律及财务管理制度。项目资金使用合规，无挤占、挪用及截留，严格遵守财务相关要求。</w:t>
      </w:r>
    </w:p>
    <w:p>
      <w:pPr>
        <w:spacing w:line="600" w:lineRule="exact"/>
        <w:ind w:firstLine="640"/>
        <w:rPr>
          <w:rFonts w:hint="eastAsia" w:ascii="黑体" w:eastAsia="黑体" w:cs="黑体"/>
          <w:b w:val="0"/>
          <w:bCs w:val="0"/>
          <w:color w:val="auto"/>
          <w:sz w:val="32"/>
          <w:szCs w:val="32"/>
          <w:highlight w:val="none"/>
          <w:lang w:val="en-US" w:eastAsia="zh-CN"/>
        </w:rPr>
      </w:pPr>
      <w:r>
        <w:rPr>
          <w:rFonts w:hint="eastAsia" w:ascii="黑体" w:eastAsia="黑体" w:cs="黑体"/>
          <w:b w:val="0"/>
          <w:bCs w:val="0"/>
          <w:color w:val="auto"/>
          <w:sz w:val="32"/>
          <w:szCs w:val="32"/>
          <w:highlight w:val="none"/>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spacing w:line="600" w:lineRule="exact"/>
        <w:ind w:firstLine="640"/>
        <w:rPr>
          <w:rFonts w:hint="eastAsia" w:ascii="黑体" w:eastAsia="黑体" w:cs="黑体"/>
          <w:b w:val="0"/>
          <w:bCs w:val="0"/>
          <w:color w:val="auto"/>
          <w:sz w:val="32"/>
          <w:szCs w:val="32"/>
          <w:highlight w:val="none"/>
          <w:lang w:val="zh-CN" w:eastAsia="zh-CN"/>
        </w:rPr>
      </w:pPr>
      <w:r>
        <w:rPr>
          <w:rFonts w:hint="eastAsia" w:ascii="黑体" w:eastAsia="黑体" w:cs="黑体"/>
          <w:b w:val="0"/>
          <w:bCs w:val="0"/>
          <w:color w:val="auto"/>
          <w:sz w:val="32"/>
          <w:szCs w:val="32"/>
          <w:highlight w:val="none"/>
          <w:lang w:val="en-US" w:eastAsia="zh-CN"/>
        </w:rPr>
        <w:t>四、项目绩效情况</w:t>
      </w:r>
      <w:r>
        <w:rPr>
          <w:rFonts w:hint="eastAsia" w:ascii="黑体" w:eastAsia="黑体" w:cs="黑体"/>
          <w:b w:val="0"/>
          <w:bCs w:val="0"/>
          <w:color w:val="auto"/>
          <w:sz w:val="32"/>
          <w:szCs w:val="32"/>
          <w:highlight w:val="none"/>
          <w:lang w:val="zh-CN"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b/>
          <w:bCs/>
          <w:color w:val="auto"/>
          <w:sz w:val="32"/>
          <w:szCs w:val="32"/>
          <w:highlight w:val="none"/>
          <w:lang w:val="zh-CN" w:eastAsia="zh-CN"/>
        </w:rPr>
      </w:pPr>
      <w:r>
        <w:rPr>
          <w:rFonts w:hint="eastAsia" w:ascii="仿宋" w:eastAsia="仿宋"/>
          <w:b/>
          <w:bCs/>
          <w:color w:val="auto"/>
          <w:sz w:val="32"/>
          <w:szCs w:val="32"/>
          <w:highlight w:val="none"/>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olor w:val="auto"/>
          <w:sz w:val="32"/>
          <w:szCs w:val="32"/>
          <w:highlight w:val="none"/>
          <w:lang w:val="zh-CN" w:eastAsia="zh-CN"/>
        </w:rPr>
      </w:pPr>
      <w:r>
        <w:rPr>
          <w:rFonts w:hint="eastAsia" w:ascii="仿宋" w:eastAsia="仿宋"/>
          <w:color w:val="auto"/>
          <w:sz w:val="32"/>
          <w:szCs w:val="32"/>
          <w:highlight w:val="none"/>
          <w:lang w:val="zh-CN" w:eastAsia="zh-CN"/>
        </w:rPr>
        <w:t>项目按照预期目标圆满完成工作任务。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b/>
          <w:bCs/>
          <w:color w:val="auto"/>
          <w:sz w:val="32"/>
          <w:szCs w:val="32"/>
          <w:highlight w:val="none"/>
          <w:lang w:val="zh-CN" w:eastAsia="zh-CN"/>
        </w:rPr>
      </w:pPr>
      <w:r>
        <w:rPr>
          <w:rFonts w:hint="eastAsia" w:ascii="仿宋" w:eastAsia="仿宋"/>
          <w:b/>
          <w:bCs/>
          <w:color w:val="auto"/>
          <w:sz w:val="32"/>
          <w:szCs w:val="32"/>
          <w:highlight w:val="none"/>
          <w:lang w:val="zh-CN" w:eastAsia="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olor w:val="auto"/>
          <w:sz w:val="32"/>
          <w:szCs w:val="32"/>
          <w:highlight w:val="none"/>
          <w:lang w:val="en-US" w:eastAsia="zh-CN"/>
        </w:rPr>
      </w:pPr>
      <w:r>
        <w:rPr>
          <w:rFonts w:hint="eastAsia" w:ascii="仿宋" w:eastAsia="仿宋"/>
          <w:color w:val="auto"/>
          <w:sz w:val="32"/>
          <w:szCs w:val="32"/>
          <w:highlight w:val="none"/>
          <w:lang w:val="en-US" w:eastAsia="zh-CN"/>
        </w:rPr>
        <w:t>通过项目实施，主要对双拥工作起到促进作用。</w:t>
      </w:r>
    </w:p>
    <w:p>
      <w:pPr>
        <w:spacing w:line="600" w:lineRule="exact"/>
        <w:ind w:firstLine="640"/>
        <w:rPr>
          <w:rFonts w:hint="eastAsia" w:ascii="黑体" w:eastAsia="黑体" w:cs="黑体"/>
          <w:b w:val="0"/>
          <w:bCs w:val="0"/>
          <w:color w:val="auto"/>
          <w:sz w:val="32"/>
          <w:szCs w:val="32"/>
          <w:highlight w:val="none"/>
          <w:lang w:val="en-US" w:eastAsia="zh-CN"/>
        </w:rPr>
      </w:pPr>
      <w:r>
        <w:rPr>
          <w:rFonts w:hint="eastAsia" w:ascii="黑体" w:eastAsia="黑体" w:cs="黑体"/>
          <w:b w:val="0"/>
          <w:bCs w:val="0"/>
          <w:color w:val="auto"/>
          <w:sz w:val="32"/>
          <w:szCs w:val="32"/>
          <w:highlight w:val="none"/>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项目绩效目标进一步明确和量化。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color w:val="auto"/>
          <w:sz w:val="32"/>
          <w:szCs w:val="32"/>
          <w:highlight w:val="none"/>
          <w:lang w:val="zh-CN" w:eastAsia="zh-CN"/>
        </w:rPr>
      </w:pPr>
      <w:r>
        <w:rPr>
          <w:rFonts w:hint="eastAsia" w:ascii="仿宋_GB2312" w:eastAsia="仿宋_GB2312" w:cs="仿宋_GB2312"/>
          <w:b/>
          <w:bCs/>
          <w:color w:val="auto"/>
          <w:sz w:val="32"/>
          <w:szCs w:val="32"/>
          <w:highlight w:val="none"/>
          <w:lang w:val="zh-CN" w:eastAsia="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val="zh-CN" w:eastAsia="zh-CN"/>
        </w:rPr>
      </w:pPr>
      <w:r>
        <w:rPr>
          <w:rFonts w:hint="eastAsia" w:ascii="仿宋_GB2312" w:eastAsia="仿宋_GB2312" w:cs="仿宋_GB2312"/>
          <w:color w:val="auto"/>
          <w:sz w:val="32"/>
          <w:szCs w:val="32"/>
          <w:highlight w:val="none"/>
          <w:lang w:val="zh-CN" w:eastAsia="zh-CN"/>
        </w:rPr>
        <w:t>总结项目资金使用和管理经验，进一步加强和规范项目经费管理，充分发挥项目资金使用效益。</w:t>
      </w:r>
      <w:r>
        <w:rPr>
          <w:rFonts w:hint="eastAsia" w:ascii="仿宋_GB2312" w:eastAsia="仿宋_GB2312" w:cs="仿宋_GB2312"/>
          <w:color w:val="auto"/>
          <w:sz w:val="32"/>
          <w:szCs w:val="32"/>
          <w:highlight w:val="none"/>
          <w:lang w:val="zh-CN" w:eastAsia="zh-CN"/>
        </w:rPr>
        <w:tab/>
      </w:r>
    </w:p>
    <w:tbl>
      <w:tblPr>
        <w:tblStyle w:val="14"/>
        <w:tblpPr w:leftFromText="180" w:rightFromText="180" w:vertAnchor="text" w:horzAnchor="page" w:tblpX="1016" w:tblpY="1119"/>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eastAsia="宋体" w:cs="宋体"/>
                <w:b/>
                <w:i w:val="0"/>
                <w:color w:val="auto"/>
                <w:sz w:val="32"/>
                <w:szCs w:val="32"/>
                <w:highlight w:val="none"/>
                <w:u w:val="none"/>
                <w:lang w:val="en-US" w:eastAsia="zh-CN"/>
              </w:rPr>
            </w:pPr>
            <w:r>
              <w:rPr>
                <w:rFonts w:hint="eastAsia" w:ascii="宋体" w:eastAsia="宋体" w:cs="宋体"/>
                <w:b/>
                <w:i w:val="0"/>
                <w:color w:val="auto"/>
                <w:sz w:val="32"/>
                <w:szCs w:val="32"/>
                <w:highlight w:val="none"/>
                <w:u w:val="none"/>
                <w:lang w:val="en-US" w:eastAsia="zh-CN"/>
              </w:rPr>
              <w:t>2021年部门预算项目绩效目标自评</w:t>
            </w:r>
          </w:p>
          <w:p>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eastAsia="宋体" w:cs="宋体"/>
                <w:b/>
                <w:i w:val="0"/>
                <w:color w:val="auto"/>
                <w:sz w:val="32"/>
                <w:szCs w:val="32"/>
                <w:u w:val="none"/>
              </w:rPr>
            </w:pPr>
            <w:r>
              <w:rPr>
                <w:rFonts w:hint="eastAsia" w:ascii="方正小标宋简体" w:eastAsia="方正小标宋简体" w:cs="Times New Roman"/>
                <w:color w:val="000000"/>
                <w:kern w:val="0"/>
                <w:sz w:val="28"/>
                <w:szCs w:val="28"/>
                <w:lang w:val="en-US" w:eastAsia="zh-CN"/>
              </w:rPr>
              <w:t>（广元市光荣院供</w:t>
            </w:r>
            <w:r>
              <w:rPr>
                <w:rFonts w:hint="eastAsia" w:ascii="方正小标宋简体" w:eastAsia="方正小标宋简体"/>
                <w:color w:val="000000"/>
                <w:kern w:val="0"/>
                <w:sz w:val="28"/>
                <w:szCs w:val="28"/>
                <w:lang w:val="en-US" w:eastAsia="zh-CN"/>
              </w:rPr>
              <w:t>养楼电梯运行维护费</w:t>
            </w:r>
            <w:r>
              <w:rPr>
                <w:rFonts w:hint="eastAsia" w:ascii="方正小标宋简体" w:eastAsia="方正小标宋简体" w:cs="方正小标宋简体"/>
                <w:color w:val="auto"/>
                <w:kern w:val="2"/>
                <w:sz w:val="28"/>
                <w:szCs w:val="28"/>
                <w:highlight w:val="none"/>
                <w:lang w:val="zh-CN" w:eastAsia="zh-CN" w:bidi="ar-SA"/>
              </w:rPr>
              <w:t>项目</w:t>
            </w:r>
            <w:r>
              <w:rPr>
                <w:rFonts w:hint="eastAsia" w:ascii="方正小标宋简体" w:eastAsia="方正小标宋简体" w:cs="Times New Roman"/>
                <w:color w:val="000000"/>
                <w:kern w:val="0"/>
                <w:sz w:val="28"/>
                <w:szCs w:val="28"/>
                <w:lang w:val="en-US" w:eastAsia="zh-CN"/>
              </w:rPr>
              <w:t>）</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广元市退役军人事务局643001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广元市光荣院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项目预算</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执行情况</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val="en-US" w:eastAsia="zh-CN"/>
              </w:rPr>
              <w:t>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val="en-US" w:eastAsia="zh-CN"/>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其他资金</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其他资金</w:t>
            </w:r>
          </w:p>
        </w:tc>
        <w:tc>
          <w:tcPr>
            <w:tcW w:w="2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完成情况</w:t>
            </w: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预期目标</w:t>
            </w: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4"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rPr>
              <w:t>落实好重点孤老优抚对象生活保障。</w:t>
            </w: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val="en-US" w:eastAsia="zh-CN"/>
              </w:rPr>
              <w:t>圆满完成各项工作任务。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年度绩效指标完成情况</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预期指标值</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数量指标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经费使用率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val="en-US" w:eastAsia="zh-CN"/>
              </w:rPr>
            </w:pPr>
            <w:r>
              <w:rPr>
                <w:rFonts w:hint="eastAsia" w:ascii="仿宋_GB2312" w:eastAsia="仿宋_GB2312" w:cs="仿宋_GB2312"/>
                <w:color w:val="000000"/>
                <w:sz w:val="18"/>
                <w:szCs w:val="18"/>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vMerge w:val="continue"/>
            <w:tcBorders>
              <w:left w:val="single" w:color="auto" w:sz="4" w:space="0"/>
              <w:right w:val="single" w:color="auto" w:sz="4" w:space="0"/>
            </w:tcBorders>
            <w:shd w:val="clear" w:color="auto" w:fill="auto"/>
            <w:vAlign w:val="bottom"/>
          </w:tc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质量指标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资金保障率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7"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vMerge w:val="continue"/>
            <w:tcBorders>
              <w:left w:val="single" w:color="auto" w:sz="4" w:space="0"/>
              <w:right w:val="single" w:color="auto" w:sz="4" w:space="0"/>
            </w:tcBorders>
            <w:shd w:val="clear" w:color="auto" w:fill="auto"/>
            <w:vAlign w:val="bottom"/>
          </w:tc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时效指标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完成时间</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val="en-US" w:eastAsia="zh-CN"/>
              </w:rPr>
              <w:t>2021年 完成</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val="en-US" w:eastAsia="zh-CN"/>
              </w:rPr>
              <w:t>2021年完成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vMerge w:val="continue"/>
            <w:tcBorders>
              <w:left w:val="single" w:color="auto" w:sz="4" w:space="0"/>
              <w:bottom w:val="single" w:color="auto" w:sz="4" w:space="0"/>
              <w:right w:val="single" w:color="auto" w:sz="4" w:space="0"/>
            </w:tcBorders>
            <w:shd w:val="clear" w:color="auto" w:fill="auto"/>
            <w:vAlign w:val="bottom"/>
          </w:tc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成本指标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2万元</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lang w:eastAsia="zh-CN"/>
              </w:rPr>
            </w:pPr>
            <w:r>
              <w:rPr>
                <w:rFonts w:hint="eastAsia"/>
                <w:sz w:val="18"/>
                <w:szCs w:val="18"/>
                <w:lang w:eastAsia="zh-CN"/>
              </w:rPr>
              <w:t>效益指标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社会效益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对双拥工作的促进作用</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使集中供养老人生活水平不断提高</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使集中供养老人生活水平不断提高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4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满意</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度指标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eastAsia="zh-CN"/>
              </w:rPr>
              <w:t>优抚对象满意度</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val="en-US" w:eastAsia="zh-CN"/>
              </w:rPr>
              <w:t>95%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sz w:val="18"/>
                <w:szCs w:val="18"/>
                <w:lang w:val="en-US" w:eastAsia="zh-CN"/>
              </w:rPr>
              <w:t>95%</w:t>
            </w:r>
          </w:p>
        </w:tc>
      </w:tr>
    </w:tbl>
    <w:p>
      <w:pPr>
        <w:spacing w:line="600" w:lineRule="exact"/>
        <w:jc w:val="center"/>
        <w:outlineLvl w:val="0"/>
        <w:rPr>
          <w:rFonts w:hint="eastAsia" w:ascii="仿宋" w:eastAsia="仿宋"/>
          <w:sz w:val="44"/>
          <w:szCs w:val="44"/>
        </w:rPr>
      </w:pPr>
    </w:p>
    <w:p>
      <w:pPr>
        <w:spacing w:line="600" w:lineRule="exact"/>
        <w:jc w:val="center"/>
        <w:rPr>
          <w:rFonts w:hint="eastAsia" w:ascii="方正小标宋简体" w:eastAsia="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Times New Roman"/>
          <w:color w:val="000000"/>
          <w:kern w:val="0"/>
          <w:sz w:val="44"/>
          <w:szCs w:val="44"/>
          <w:lang w:val="en-US" w:eastAsia="zh-CN"/>
        </w:rPr>
      </w:pPr>
      <w:r>
        <w:rPr>
          <w:rFonts w:hint="eastAsia" w:ascii="方正小标宋简体" w:eastAsia="方正小标宋简体" w:cs="Times New Roman"/>
          <w:color w:val="000000"/>
          <w:kern w:val="0"/>
          <w:sz w:val="44"/>
          <w:szCs w:val="44"/>
          <w:lang w:val="en-US" w:eastAsia="zh-CN"/>
        </w:rPr>
        <w:t>2021年专项预算项目支出绩效自评报告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Times New Roman"/>
          <w:color w:val="000000"/>
          <w:kern w:val="0"/>
          <w:sz w:val="36"/>
          <w:szCs w:val="36"/>
          <w:lang w:val="en-US" w:eastAsia="zh-CN"/>
        </w:rPr>
      </w:pPr>
      <w:r>
        <w:rPr>
          <w:rFonts w:hint="eastAsia" w:ascii="方正小标宋简体" w:eastAsia="方正小标宋简体" w:cs="Times New Roman"/>
          <w:color w:val="000000"/>
          <w:kern w:val="0"/>
          <w:sz w:val="36"/>
          <w:szCs w:val="36"/>
          <w:lang w:val="en-US" w:eastAsia="zh-CN"/>
        </w:rPr>
        <w:t>（广元市军队离退休干部休养所乡村振兴工作</w:t>
      </w:r>
      <w:r>
        <w:rPr>
          <w:rFonts w:hint="eastAsia" w:ascii="方正小标宋简体" w:eastAsia="方正小标宋简体" w:cs="Times New Roman"/>
          <w:color w:val="000000"/>
          <w:kern w:val="0"/>
          <w:sz w:val="36"/>
          <w:szCs w:val="36"/>
          <w:lang w:val="zh-CN" w:eastAsia="zh-CN"/>
        </w:rPr>
        <w:t>项目</w:t>
      </w:r>
      <w:r>
        <w:rPr>
          <w:rFonts w:hint="eastAsia" w:ascii="方正小标宋简体" w:eastAsia="方正小标宋简体" w:cs="Times New Roman"/>
          <w:color w:val="000000"/>
          <w:kern w:val="0"/>
          <w:sz w:val="36"/>
          <w:szCs w:val="36"/>
          <w:lang w:val="en-US" w:eastAsia="zh-CN"/>
        </w:rPr>
        <w:t>）</w:t>
      </w:r>
    </w:p>
    <w:p>
      <w:pPr>
        <w:pStyle w:val="20"/>
        <w:rPr>
          <w:rFonts w:hint="eastAsia"/>
          <w:lang w:val="zh-CN"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30" w:lineRule="exact"/>
        <w:ind w:left="0"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项目说明：乡村振兴工作经费</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按照市委市府及相关乡村振兴工作安排，我所牵头广元市军供站联合组建派驻苍溪县龙山镇金桥村驻村工作队，为全面落实巩固拓展脱贫攻坚成果等各项乡村振兴工作任务。</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项目立项、资金申报依据：我所联系乡村振兴以来工作经费。</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资金管理办法制定情况，资金支持具体项目的条件、范围与支持方式概况</w:t>
      </w:r>
      <w:r>
        <w:rPr>
          <w:rFonts w:hint="eastAsia" w:ascii="仿宋_GB2312" w:eastAsia="仿宋_GB2312" w:cs="仿宋_GB2312"/>
          <w:sz w:val="32"/>
          <w:szCs w:val="32"/>
          <w:lang w:eastAsia="zh-CN"/>
        </w:rPr>
        <w:t>:我所制定了《财务管理制度》做到专款专用。</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项目主要内容：</w:t>
      </w:r>
      <w:r>
        <w:rPr>
          <w:rFonts w:hint="eastAsia" w:ascii="仿宋_GB2312" w:eastAsia="仿宋_GB2312" w:cs="仿宋_GB2312"/>
          <w:i w:val="0"/>
          <w:color w:val="000000"/>
          <w:kern w:val="0"/>
          <w:sz w:val="32"/>
          <w:szCs w:val="32"/>
          <w:u w:val="none"/>
          <w:lang w:val="en-US" w:eastAsia="zh-CN"/>
        </w:rPr>
        <w:t>通过基础设施改造，种养殖业技术培训，经济扶持等多方面帮扶，提高贫困户经济收入，通过落实各项扶贫政策与措施</w:t>
      </w:r>
      <w:r>
        <w:rPr>
          <w:rFonts w:hint="eastAsia" w:ascii="仿宋_GB2312" w:eastAsia="仿宋_GB2312" w:cs="仿宋_GB2312"/>
          <w:b w:val="0"/>
          <w:bCs w:val="0"/>
          <w:i w:val="0"/>
          <w:color w:val="000000"/>
          <w:kern w:val="0"/>
          <w:sz w:val="32"/>
          <w:szCs w:val="32"/>
          <w:u w:val="none"/>
          <w:lang w:val="en-US" w:eastAsia="zh-CN"/>
        </w:rPr>
        <w:t>，</w:t>
      </w:r>
      <w:r>
        <w:rPr>
          <w:rFonts w:hint="eastAsia" w:ascii="仿宋_GB2312" w:eastAsia="仿宋_GB2312" w:cs="仿宋_GB2312"/>
          <w:b w:val="0"/>
          <w:bCs w:val="0"/>
          <w:color w:val="000000"/>
          <w:kern w:val="0"/>
          <w:sz w:val="32"/>
          <w:szCs w:val="32"/>
        </w:rPr>
        <w:t>巩固脱贫攻坚成效，防止返贫动态监测和帮扶集中排查。</w:t>
      </w:r>
      <w:r>
        <w:rPr>
          <w:rFonts w:hint="eastAsia" w:ascii="仿宋_GB2312" w:eastAsia="仿宋_GB2312" w:cs="仿宋_GB2312"/>
          <w:sz w:val="32"/>
          <w:szCs w:val="32"/>
          <w:lang w:val="en-US" w:eastAsia="zh-CN"/>
        </w:rPr>
        <w:t>项目应实现的具体绩效目标：包括目标的量化，细化情况及项目实施进度计划等。完成开展乡村振兴驻村工作，一是与村“两委”班子接洽配合；二是到岗履职，全面摸排，定期开展防止返贫动态监测和帮扶集中排查。</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分析评价申报内容是否与实际相符，申报目标是否合理。申报内容与工作相符，目标合理可行。</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说明项目绩效自评采用的组织实施步骤及方法，自评工作领导小组，认真全面的进行绩效评价工作，建立健全财务管理制度和内控约束机制，依法有效地合用财政资金，提高财政资金使用效率，合理分配人、财、物，完成部门脱贫工作目标，实现较高的工作效率和水平。</w:t>
      </w:r>
    </w:p>
    <w:p>
      <w:pPr>
        <w:keepNext w:val="0"/>
        <w:keepLines w:val="0"/>
        <w:pageBreakBefore w:val="0"/>
        <w:widowControl w:val="0"/>
        <w:numPr>
          <w:ilvl w:val="0"/>
          <w:numId w:val="6"/>
        </w:numPr>
        <w:kinsoku/>
        <w:wordWrap/>
        <w:overflowPunct/>
        <w:topLinePunct w:val="0"/>
        <w:autoSpaceDE/>
        <w:autoSpaceDN/>
        <w:bidi w:val="0"/>
        <w:adjustRightInd/>
        <w:snapToGrid/>
        <w:spacing w:line="530" w:lineRule="exact"/>
        <w:ind w:left="0"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项目资金申报及批复情况</w:t>
      </w:r>
    </w:p>
    <w:p>
      <w:pPr>
        <w:keepNext w:val="0"/>
        <w:keepLines w:val="0"/>
        <w:pageBreakBefore w:val="0"/>
        <w:widowControl w:val="0"/>
        <w:numPr>
          <w:ilvl w:val="0"/>
          <w:numId w:val="7"/>
        </w:numPr>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项目资金申报、批复及预算调整等程序的相关情况</w:t>
      </w:r>
    </w:p>
    <w:p>
      <w:pPr>
        <w:keepNext w:val="0"/>
        <w:keepLines w:val="0"/>
        <w:pageBreakBefore w:val="0"/>
        <w:widowControl w:val="0"/>
        <w:tabs>
          <w:tab w:val="left" w:pos="0"/>
        </w:tabs>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w:t>
      </w:r>
      <w:r>
        <w:rPr>
          <w:rFonts w:hint="eastAsia" w:ascii="仿宋_GB2312" w:eastAsia="仿宋_GB2312" w:cs="仿宋_GB2312"/>
          <w:sz w:val="32"/>
          <w:szCs w:val="32"/>
          <w:lang w:eastAsia="zh-CN"/>
        </w:rPr>
        <w:t>1</w:t>
      </w:r>
      <w:r>
        <w:rPr>
          <w:rFonts w:hint="eastAsia" w:ascii="仿宋_GB2312" w:eastAsia="仿宋_GB2312" w:cs="仿宋_GB2312"/>
          <w:sz w:val="32"/>
          <w:szCs w:val="32"/>
          <w:lang w:val="en-US" w:eastAsia="zh-CN"/>
        </w:rPr>
        <w:t>年申报乡村振兴项目资金</w:t>
      </w:r>
      <w:r>
        <w:rPr>
          <w:rFonts w:hint="eastAsia" w:ascii="仿宋_GB2312" w:eastAsia="仿宋_GB2312" w:cs="仿宋_GB2312"/>
          <w:sz w:val="32"/>
          <w:szCs w:val="32"/>
          <w:lang w:eastAsia="zh-CN"/>
        </w:rPr>
        <w:t>0.75</w:t>
      </w:r>
      <w:r>
        <w:rPr>
          <w:rFonts w:hint="eastAsia" w:ascii="仿宋_GB2312" w:eastAsia="仿宋_GB2312" w:cs="仿宋_GB2312"/>
          <w:sz w:val="32"/>
          <w:szCs w:val="32"/>
          <w:lang w:val="en-US" w:eastAsia="zh-CN"/>
        </w:rPr>
        <w:t>万元，批复资金</w:t>
      </w:r>
      <w:r>
        <w:rPr>
          <w:rFonts w:hint="eastAsia" w:ascii="仿宋_GB2312" w:eastAsia="仿宋_GB2312" w:cs="仿宋_GB2312"/>
          <w:sz w:val="32"/>
          <w:szCs w:val="32"/>
          <w:lang w:eastAsia="zh-CN"/>
        </w:rPr>
        <w:t>0.75</w:t>
      </w:r>
      <w:r>
        <w:rPr>
          <w:rFonts w:hint="eastAsia" w:ascii="仿宋_GB2312" w:eastAsia="仿宋_GB2312" w:cs="仿宋_GB2312"/>
          <w:sz w:val="32"/>
          <w:szCs w:val="32"/>
          <w:lang w:val="en-US" w:eastAsia="zh-CN"/>
        </w:rPr>
        <w:t>万元。</w:t>
      </w:r>
    </w:p>
    <w:p>
      <w:pPr>
        <w:keepNext w:val="0"/>
        <w:keepLines w:val="0"/>
        <w:pageBreakBefore w:val="0"/>
        <w:widowControl w:val="0"/>
        <w:numPr>
          <w:ilvl w:val="0"/>
          <w:numId w:val="7"/>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资金计划、到位及使用情况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w:t>
      </w:r>
      <w:r>
        <w:rPr>
          <w:rFonts w:hint="eastAsia" w:ascii="仿宋_GB2312" w:eastAsia="仿宋_GB2312" w:cs="仿宋_GB2312"/>
          <w:sz w:val="32"/>
          <w:szCs w:val="32"/>
          <w:lang w:eastAsia="zh-CN"/>
        </w:rPr>
        <w:t>1</w:t>
      </w:r>
      <w:r>
        <w:rPr>
          <w:rFonts w:hint="eastAsia" w:ascii="仿宋_GB2312" w:eastAsia="仿宋_GB2312" w:cs="仿宋_GB2312"/>
          <w:sz w:val="32"/>
          <w:szCs w:val="32"/>
          <w:lang w:val="en-US" w:eastAsia="zh-CN"/>
        </w:rPr>
        <w:t>年乡村振兴工作项目资金计划</w:t>
      </w:r>
      <w:r>
        <w:rPr>
          <w:rFonts w:hint="eastAsia" w:ascii="仿宋_GB2312" w:eastAsia="仿宋_GB2312" w:cs="仿宋_GB2312"/>
          <w:sz w:val="32"/>
          <w:szCs w:val="32"/>
          <w:lang w:eastAsia="zh-CN"/>
        </w:rPr>
        <w:t>0.75</w:t>
      </w:r>
      <w:r>
        <w:rPr>
          <w:rFonts w:hint="eastAsia" w:ascii="仿宋_GB2312" w:eastAsia="仿宋_GB2312" w:cs="仿宋_GB2312"/>
          <w:sz w:val="32"/>
          <w:szCs w:val="32"/>
          <w:lang w:val="en-US" w:eastAsia="zh-CN"/>
        </w:rPr>
        <w:t>万元，到位</w:t>
      </w:r>
      <w:r>
        <w:rPr>
          <w:rFonts w:hint="eastAsia" w:ascii="仿宋_GB2312" w:eastAsia="仿宋_GB2312" w:cs="仿宋_GB2312"/>
          <w:sz w:val="32"/>
          <w:szCs w:val="32"/>
          <w:lang w:eastAsia="zh-CN"/>
        </w:rPr>
        <w:t>0.75</w:t>
      </w:r>
      <w:r>
        <w:rPr>
          <w:rFonts w:hint="eastAsia" w:ascii="仿宋_GB2312" w:eastAsia="仿宋_GB2312" w:cs="仿宋_GB2312"/>
          <w:sz w:val="32"/>
          <w:szCs w:val="32"/>
          <w:lang w:val="en-US" w:eastAsia="zh-CN"/>
        </w:rPr>
        <w:t>万元，主要用于乡村振兴办公费，工作人员交通等工作经费开支。</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项目财务管理情况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本单位制定了《财务管理制度》财务处理及时，会计核算规范。</w:t>
      </w:r>
    </w:p>
    <w:p>
      <w:pPr>
        <w:keepNext w:val="0"/>
        <w:keepLines w:val="0"/>
        <w:pageBreakBefore w:val="0"/>
        <w:widowControl w:val="0"/>
        <w:numPr>
          <w:ilvl w:val="0"/>
          <w:numId w:val="6"/>
        </w:numPr>
        <w:kinsoku/>
        <w:wordWrap/>
        <w:overflowPunct/>
        <w:topLinePunct w:val="0"/>
        <w:autoSpaceDE/>
        <w:autoSpaceDN/>
        <w:bidi w:val="0"/>
        <w:adjustRightInd/>
        <w:snapToGrid/>
        <w:spacing w:line="530" w:lineRule="exact"/>
        <w:ind w:left="0"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项目实施及管理情况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结合项目组织实施管理办法，重点围绕以下内容进行分析评价，并对自评中发现的问题分析说明。</w:t>
      </w:r>
    </w:p>
    <w:p>
      <w:pPr>
        <w:keepNext w:val="0"/>
        <w:keepLines w:val="0"/>
        <w:pageBreakBefore w:val="0"/>
        <w:widowControl w:val="0"/>
        <w:numPr>
          <w:ilvl w:val="0"/>
          <w:numId w:val="8"/>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项目管理情况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根据《财务管理制度》严格审核票据，降低工作成本。</w:t>
      </w:r>
    </w:p>
    <w:p>
      <w:pPr>
        <w:keepNext w:val="0"/>
        <w:keepLines w:val="0"/>
        <w:pageBreakBefore w:val="0"/>
        <w:widowControl w:val="0"/>
        <w:numPr>
          <w:ilvl w:val="0"/>
          <w:numId w:val="8"/>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明确具体责任人，对工作开展情况进行严格监管，有效降低运行成本。</w:t>
      </w:r>
    </w:p>
    <w:p>
      <w:pPr>
        <w:keepNext w:val="0"/>
        <w:keepLines w:val="0"/>
        <w:pageBreakBefore w:val="0"/>
        <w:widowControl w:val="0"/>
        <w:numPr>
          <w:ilvl w:val="0"/>
          <w:numId w:val="6"/>
        </w:numPr>
        <w:kinsoku/>
        <w:wordWrap/>
        <w:overflowPunct/>
        <w:topLinePunct w:val="0"/>
        <w:autoSpaceDE/>
        <w:autoSpaceDN/>
        <w:bidi w:val="0"/>
        <w:adjustRightInd/>
        <w:snapToGrid/>
        <w:spacing w:line="530" w:lineRule="exact"/>
        <w:ind w:left="0"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项目绩效情况</w:t>
      </w:r>
    </w:p>
    <w:p>
      <w:pPr>
        <w:keepNext w:val="0"/>
        <w:keepLines w:val="0"/>
        <w:pageBreakBefore w:val="0"/>
        <w:widowControl w:val="0"/>
        <w:numPr>
          <w:ilvl w:val="0"/>
          <w:numId w:val="9"/>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项目完成情况</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按照相关要求完成乡村振兴年度目标工作。一是立即行动有效衔接乡村振兴，到岗履职，全面摸排，做好脱贫攻坚档案交接，查漏补缺，归档入库；二是定期开展防止返贫动态监测和帮扶集中排查；三是高度重视谋划推进乡村振兴；四是勇于担当，发挥党员先锋模范，常态化疫情防控，宣传防疫知识，协助做好群众疫苗接种；协助做好防汛减灾，认真清理排水通道和土地滑坡，保障村道畅通，妥善安置受灾群众。</w:t>
      </w:r>
    </w:p>
    <w:p>
      <w:pPr>
        <w:keepNext w:val="0"/>
        <w:keepLines w:val="0"/>
        <w:pageBreakBefore w:val="0"/>
        <w:widowControl w:val="0"/>
        <w:numPr>
          <w:ilvl w:val="0"/>
          <w:numId w:val="9"/>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i w:val="0"/>
          <w:color w:val="000000"/>
          <w:kern w:val="0"/>
          <w:sz w:val="32"/>
          <w:szCs w:val="32"/>
          <w:u w:val="none"/>
          <w:lang w:val="en-US" w:eastAsia="zh-CN"/>
        </w:rPr>
      </w:pPr>
      <w:r>
        <w:rPr>
          <w:rFonts w:hint="eastAsia" w:ascii="楷体_GB2312" w:eastAsia="楷体_GB2312" w:cs="楷体_GB2312"/>
          <w:i w:val="0"/>
          <w:color w:val="000000"/>
          <w:kern w:val="0"/>
          <w:sz w:val="32"/>
          <w:szCs w:val="32"/>
          <w:u w:val="none"/>
          <w:lang w:val="en-US" w:eastAsia="zh-CN"/>
        </w:rPr>
        <w:t>项目效益指标</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i w:val="0"/>
          <w:color w:val="000000"/>
          <w:kern w:val="0"/>
          <w:sz w:val="32"/>
          <w:szCs w:val="32"/>
          <w:u w:val="none"/>
          <w:lang w:val="en-US" w:eastAsia="zh-CN"/>
        </w:rPr>
      </w:pPr>
      <w:r>
        <w:rPr>
          <w:rFonts w:hint="eastAsia" w:ascii="仿宋_GB2312" w:eastAsia="仿宋_GB2312" w:cs="仿宋_GB2312"/>
          <w:i w:val="0"/>
          <w:color w:val="000000"/>
          <w:kern w:val="0"/>
          <w:sz w:val="32"/>
          <w:szCs w:val="32"/>
          <w:u w:val="none"/>
          <w:lang w:val="en-US" w:eastAsia="zh-CN"/>
        </w:rPr>
        <w:t>经济效益：提高贫困户收入，确保贫困户年人均4200元。</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i w:val="0"/>
          <w:color w:val="000000"/>
          <w:kern w:val="0"/>
          <w:sz w:val="32"/>
          <w:szCs w:val="32"/>
          <w:u w:val="none"/>
          <w:lang w:val="en-US" w:eastAsia="zh-CN"/>
        </w:rPr>
      </w:pPr>
      <w:r>
        <w:rPr>
          <w:rFonts w:hint="eastAsia" w:ascii="仿宋_GB2312" w:eastAsia="仿宋_GB2312" w:cs="仿宋_GB2312"/>
          <w:i w:val="0"/>
          <w:color w:val="000000"/>
          <w:kern w:val="0"/>
          <w:sz w:val="32"/>
          <w:szCs w:val="32"/>
          <w:u w:val="none"/>
          <w:lang w:val="en-US" w:eastAsia="zh-CN"/>
        </w:rPr>
        <w:t>社会效益：维护社会稳定，巩固脱贫攻坚成果。</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i w:val="0"/>
          <w:color w:val="auto"/>
          <w:sz w:val="32"/>
          <w:szCs w:val="32"/>
          <w:u w:val="none"/>
          <w:lang w:eastAsia="zh-CN"/>
        </w:rPr>
      </w:pPr>
      <w:r>
        <w:rPr>
          <w:rFonts w:hint="eastAsia" w:ascii="仿宋_GB2312" w:eastAsia="仿宋_GB2312" w:cs="仿宋_GB2312"/>
          <w:i w:val="0"/>
          <w:color w:val="000000"/>
          <w:kern w:val="0"/>
          <w:sz w:val="32"/>
          <w:szCs w:val="32"/>
          <w:u w:val="none"/>
          <w:lang w:val="en-US" w:eastAsia="zh-CN"/>
        </w:rPr>
        <w:t>数量指标：帮扶一个村</w:t>
      </w:r>
      <w:r>
        <w:rPr>
          <w:rFonts w:hint="eastAsia" w:ascii="仿宋_GB2312" w:eastAsia="仿宋_GB2312" w:cs="仿宋_GB2312"/>
          <w:i w:val="0"/>
          <w:color w:val="auto"/>
          <w:sz w:val="32"/>
          <w:szCs w:val="32"/>
          <w:u w:val="none"/>
        </w:rPr>
        <w:t>7个村小组632户2252人，脱贫97户320人，享受低保213人</w:t>
      </w:r>
      <w:r>
        <w:rPr>
          <w:rFonts w:hint="eastAsia" w:ascii="仿宋_GB2312" w:eastAsia="仿宋_GB2312" w:cs="仿宋_GB2312"/>
          <w:i w:val="0"/>
          <w:color w:val="auto"/>
          <w:sz w:val="32"/>
          <w:szCs w:val="32"/>
          <w:u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i w:val="0"/>
          <w:color w:val="000000"/>
          <w:kern w:val="0"/>
          <w:sz w:val="32"/>
          <w:szCs w:val="32"/>
          <w:u w:val="none"/>
          <w:lang w:val="en-US" w:eastAsia="zh-CN"/>
        </w:rPr>
        <w:t>满意度：社会及帮扶村满意度达到95%以上</w:t>
      </w:r>
    </w:p>
    <w:p>
      <w:pPr>
        <w:keepNext w:val="0"/>
        <w:keepLines w:val="0"/>
        <w:pageBreakBefore w:val="0"/>
        <w:widowControl w:val="0"/>
        <w:numPr>
          <w:ilvl w:val="0"/>
          <w:numId w:val="6"/>
        </w:numPr>
        <w:kinsoku/>
        <w:wordWrap/>
        <w:overflowPunct/>
        <w:topLinePunct w:val="0"/>
        <w:autoSpaceDE/>
        <w:autoSpaceDN/>
        <w:bidi w:val="0"/>
        <w:adjustRightInd/>
        <w:snapToGrid/>
        <w:spacing w:line="530" w:lineRule="exact"/>
        <w:ind w:left="0" w:firstLine="640" w:firstLineChars="200"/>
        <w:textAlignment w:val="auto"/>
        <w:rPr>
          <w:rFonts w:hint="eastAsia" w:ascii="黑体" w:eastAsia="黑体" w:cs="黑体"/>
          <w:i w:val="0"/>
          <w:color w:val="000000"/>
          <w:kern w:val="0"/>
          <w:sz w:val="32"/>
          <w:szCs w:val="32"/>
          <w:u w:val="none"/>
          <w:lang w:val="en-US" w:eastAsia="zh-CN"/>
        </w:rPr>
      </w:pPr>
      <w:r>
        <w:rPr>
          <w:rFonts w:hint="eastAsia" w:ascii="黑体" w:eastAsia="黑体" w:cs="黑体"/>
          <w:i w:val="0"/>
          <w:color w:val="000000"/>
          <w:kern w:val="0"/>
          <w:sz w:val="32"/>
          <w:szCs w:val="32"/>
          <w:u w:val="none"/>
          <w:lang w:val="en-US" w:eastAsia="zh-CN"/>
        </w:rPr>
        <w:t>评价结论及建议</w:t>
      </w:r>
    </w:p>
    <w:p>
      <w:pPr>
        <w:keepNext w:val="0"/>
        <w:keepLines w:val="0"/>
        <w:pageBreakBefore w:val="0"/>
        <w:widowControl w:val="0"/>
        <w:numPr>
          <w:ilvl w:val="0"/>
          <w:numId w:val="10"/>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i w:val="0"/>
          <w:color w:val="000000"/>
          <w:kern w:val="0"/>
          <w:sz w:val="32"/>
          <w:szCs w:val="32"/>
          <w:u w:val="none"/>
          <w:lang w:val="en-US" w:eastAsia="zh-CN"/>
        </w:rPr>
      </w:pPr>
      <w:r>
        <w:rPr>
          <w:rFonts w:hint="eastAsia" w:ascii="楷体_GB2312" w:eastAsia="楷体_GB2312" w:cs="楷体_GB2312"/>
          <w:i w:val="0"/>
          <w:color w:val="000000"/>
          <w:kern w:val="0"/>
          <w:sz w:val="32"/>
          <w:szCs w:val="32"/>
          <w:u w:val="none"/>
          <w:lang w:val="en-US" w:eastAsia="zh-CN"/>
        </w:rPr>
        <w:t>评价结论</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eastAsia="仿宋_GB2312" w:cs="仿宋_GB2312"/>
          <w:i w:val="0"/>
          <w:color w:val="000000"/>
          <w:kern w:val="0"/>
          <w:sz w:val="32"/>
          <w:szCs w:val="32"/>
          <w:u w:val="none"/>
          <w:lang w:val="en-US" w:eastAsia="zh-CN"/>
        </w:rPr>
      </w:pPr>
      <w:r>
        <w:rPr>
          <w:rFonts w:hint="eastAsia" w:ascii="仿宋_GB2312" w:eastAsia="仿宋_GB2312" w:cs="仿宋_GB2312"/>
          <w:i w:val="0"/>
          <w:color w:val="000000"/>
          <w:kern w:val="0"/>
          <w:sz w:val="32"/>
          <w:szCs w:val="32"/>
          <w:u w:val="none"/>
          <w:lang w:val="en-US" w:eastAsia="zh-CN"/>
        </w:rPr>
        <w:t>通过项目实施，加大帮扶力度，确保乡村振兴工作目标任务按要求完成。</w:t>
      </w:r>
    </w:p>
    <w:p>
      <w:pPr>
        <w:keepNext w:val="0"/>
        <w:keepLines w:val="0"/>
        <w:pageBreakBefore w:val="0"/>
        <w:widowControl w:val="0"/>
        <w:numPr>
          <w:ilvl w:val="0"/>
          <w:numId w:val="10"/>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i w:val="0"/>
          <w:color w:val="000000"/>
          <w:kern w:val="0"/>
          <w:sz w:val="32"/>
          <w:szCs w:val="32"/>
          <w:u w:val="none"/>
          <w:lang w:val="en-US" w:eastAsia="zh-CN"/>
        </w:rPr>
      </w:pPr>
      <w:r>
        <w:rPr>
          <w:rFonts w:hint="eastAsia" w:ascii="楷体_GB2312" w:eastAsia="楷体_GB2312" w:cs="楷体_GB2312"/>
          <w:i w:val="0"/>
          <w:color w:val="000000"/>
          <w:kern w:val="0"/>
          <w:sz w:val="32"/>
          <w:szCs w:val="32"/>
          <w:u w:val="none"/>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i w:val="0"/>
          <w:color w:val="000000"/>
          <w:kern w:val="0"/>
          <w:sz w:val="32"/>
          <w:szCs w:val="32"/>
          <w:u w:val="none"/>
          <w:lang w:val="en-US" w:eastAsia="zh-CN"/>
        </w:rPr>
      </w:pPr>
      <w:r>
        <w:rPr>
          <w:rFonts w:hint="eastAsia" w:ascii="仿宋_GB2312" w:eastAsia="仿宋_GB2312" w:cs="仿宋_GB2312"/>
          <w:i w:val="0"/>
          <w:color w:val="000000"/>
          <w:kern w:val="0"/>
          <w:sz w:val="32"/>
          <w:szCs w:val="32"/>
          <w:u w:val="none"/>
          <w:lang w:val="en-US" w:eastAsia="zh-CN"/>
        </w:rPr>
        <w:t>帮扶任务重，我单位工作人员较少，在确保军休人员两个待遇落实的情况下又要抽了出两名工作人员进行乡村振兴工作，还要抽出多名职工参加火车站疫情值守及网格化扫值守，人员调配上存在困难。</w:t>
      </w:r>
    </w:p>
    <w:p>
      <w:pPr>
        <w:keepNext w:val="0"/>
        <w:keepLines w:val="0"/>
        <w:pageBreakBefore w:val="0"/>
        <w:widowControl w:val="0"/>
        <w:numPr>
          <w:ilvl w:val="0"/>
          <w:numId w:val="10"/>
        </w:numPr>
        <w:kinsoku/>
        <w:wordWrap/>
        <w:overflowPunct/>
        <w:topLinePunct w:val="0"/>
        <w:autoSpaceDE/>
        <w:autoSpaceDN/>
        <w:bidi w:val="0"/>
        <w:adjustRightInd/>
        <w:snapToGrid/>
        <w:spacing w:line="530" w:lineRule="exact"/>
        <w:ind w:left="0" w:firstLine="640" w:firstLineChars="200"/>
        <w:textAlignment w:val="auto"/>
        <w:rPr>
          <w:rFonts w:hint="eastAsia" w:ascii="楷体_GB2312" w:eastAsia="楷体_GB2312" w:cs="楷体_GB2312"/>
          <w:i w:val="0"/>
          <w:color w:val="000000"/>
          <w:kern w:val="0"/>
          <w:sz w:val="32"/>
          <w:szCs w:val="32"/>
          <w:u w:val="none"/>
          <w:lang w:val="en-US" w:eastAsia="zh-CN"/>
        </w:rPr>
      </w:pPr>
      <w:r>
        <w:rPr>
          <w:rFonts w:hint="eastAsia" w:ascii="楷体_GB2312" w:eastAsia="楷体_GB2312" w:cs="楷体_GB2312"/>
          <w:i w:val="0"/>
          <w:color w:val="000000"/>
          <w:kern w:val="0"/>
          <w:sz w:val="32"/>
          <w:szCs w:val="32"/>
          <w:u w:val="none"/>
          <w:lang w:val="en-US" w:eastAsia="zh-CN"/>
        </w:rPr>
        <w:t>相关建议</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eastAsia="仿宋_GB2312" w:cs="仿宋_GB2312"/>
          <w:i w:val="0"/>
          <w:color w:val="000000"/>
          <w:kern w:val="0"/>
          <w:sz w:val="32"/>
          <w:szCs w:val="32"/>
          <w:u w:val="none"/>
          <w:lang w:val="en-US" w:eastAsia="zh-CN"/>
        </w:rPr>
      </w:pPr>
      <w:r>
        <w:rPr>
          <w:rFonts w:hint="eastAsia" w:ascii="仿宋_GB2312" w:eastAsia="仿宋_GB2312" w:cs="仿宋_GB2312"/>
          <w:i w:val="0"/>
          <w:color w:val="000000"/>
          <w:kern w:val="0"/>
          <w:sz w:val="32"/>
          <w:szCs w:val="32"/>
          <w:u w:val="none"/>
          <w:lang w:val="en-US" w:eastAsia="zh-CN"/>
        </w:rPr>
        <w:t>争取财政支持，增加工作经费。</w:t>
      </w:r>
    </w:p>
    <w:tbl>
      <w:tblPr>
        <w:tblStyle w:val="14"/>
        <w:tblpPr w:leftFromText="180" w:rightFromText="180" w:vertAnchor="text" w:horzAnchor="page" w:tblpX="1300" w:tblpY="269"/>
        <w:tblOverlap w:val="never"/>
        <w:tblW w:w="9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5"/>
        <w:gridCol w:w="894"/>
        <w:gridCol w:w="988"/>
        <w:gridCol w:w="1551"/>
        <w:gridCol w:w="2153"/>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45"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方正小标宋简体" w:eastAsia="方正小标宋简体" w:cs="方正小标宋简体"/>
                <w:b w:val="0"/>
                <w:bCs/>
                <w:i w:val="0"/>
                <w:color w:val="auto"/>
                <w:sz w:val="36"/>
                <w:szCs w:val="36"/>
                <w:highlight w:val="none"/>
                <w:u w:val="none"/>
                <w:lang w:val="en-US" w:eastAsia="zh-CN"/>
              </w:rPr>
            </w:pPr>
            <w:r>
              <w:rPr>
                <w:rFonts w:hint="eastAsia" w:ascii="方正小标宋简体" w:eastAsia="方正小标宋简体" w:cs="方正小标宋简体"/>
                <w:b w:val="0"/>
                <w:bCs/>
                <w:i w:val="0"/>
                <w:color w:val="auto"/>
                <w:sz w:val="36"/>
                <w:szCs w:val="36"/>
                <w:highlight w:val="none"/>
                <w:u w:val="none"/>
                <w:lang w:val="en-US" w:eastAsia="zh-CN"/>
              </w:rPr>
              <w:t>2021年部门预算项目绩效目标自评</w:t>
            </w:r>
          </w:p>
          <w:p>
            <w:pPr>
              <w:keepNext w:val="0"/>
              <w:keepLines w:val="0"/>
              <w:widowControl/>
              <w:suppressLineNumbers w:val="0"/>
              <w:spacing w:beforeAutospacing="0"/>
              <w:jc w:val="center"/>
              <w:textAlignment w:val="center"/>
              <w:rPr>
                <w:rFonts w:ascii="宋体" w:eastAsia="宋体" w:cs="宋体"/>
                <w:b/>
                <w:i w:val="0"/>
                <w:color w:val="auto"/>
                <w:sz w:val="32"/>
                <w:szCs w:val="32"/>
                <w:u w:val="none"/>
                <w:lang w:val="en-US"/>
              </w:rPr>
            </w:pPr>
            <w:r>
              <w:rPr>
                <w:rFonts w:hint="eastAsia" w:ascii="楷体_GB2312" w:eastAsia="楷体_GB2312" w:cs="楷体_GB2312"/>
                <w:sz w:val="28"/>
                <w:szCs w:val="28"/>
                <w:lang w:val="en-US" w:eastAsia="zh-CN"/>
              </w:rPr>
              <w:t>(广元市军队离退休干部休养所乡村振兴工作项目)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主管部门及代码</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广元市退役军人事务局643001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实施单位</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广元市军队离退休干部休养所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项目预算</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执行情况</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（万元）</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 xml:space="preserve"> 预算数：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0.75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 xml:space="preserve"> 执行数：</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2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财政拨款</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0.75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财政拨款</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2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其他资金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其他资金</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完成情况</w:t>
            </w: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预期目标</w:t>
            </w:r>
          </w:p>
        </w:tc>
        <w:tc>
          <w:tcPr>
            <w:tcW w:w="4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巩固脱贫攻坚成果，全面推进乡村振兴工作</w:t>
            </w:r>
          </w:p>
        </w:tc>
        <w:tc>
          <w:tcPr>
            <w:tcW w:w="4416"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巩固脱贫攻坚成果，全面推进乡村振兴工作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年度绩效指标完成情况</w:t>
            </w:r>
          </w:p>
        </w:tc>
        <w:tc>
          <w:tcPr>
            <w:tcW w:w="8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预期指标值</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1个村7个村小组632户2252人，脱贫97户320人，享受低保213人</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1个村7个村小组632户2252人，脱贫97户320人，享受低保213人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巩固脱贫攻坚成果，防止返贫</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eastAsia="zh-CN"/>
              </w:rPr>
              <w:t>巩固脱贫攻坚成果，防止返贫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时效指标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2021年12月31日止</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val="en-US" w:eastAsia="zh-CN"/>
              </w:rPr>
              <w:t>2021年12月31日止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0.75万元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val="en-US" w:eastAsia="zh-CN"/>
              </w:rPr>
              <w:t>0.75万元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效益</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经济效益  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eastAsia="zh-CN"/>
              </w:rPr>
              <w:t>巩固脱贫攻坚成果，防止返贫</w:t>
            </w:r>
            <w:r>
              <w:rPr>
                <w:rFonts w:hint="eastAsia" w:ascii="仿宋_GB2312" w:eastAsia="仿宋_GB2312" w:cs="仿宋_GB2312"/>
                <w:color w:val="000000"/>
                <w:kern w:val="0"/>
                <w:sz w:val="18"/>
                <w:szCs w:val="18"/>
              </w:rPr>
              <w:t>完成贫困户收入超过4200元/人/年</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eastAsia="zh-CN"/>
              </w:rPr>
              <w:t>巩固脱贫攻坚成果，防止返贫</w:t>
            </w:r>
            <w:r>
              <w:rPr>
                <w:rFonts w:hint="eastAsia" w:ascii="仿宋_GB2312" w:eastAsia="仿宋_GB2312" w:cs="仿宋_GB2312"/>
                <w:color w:val="000000"/>
                <w:kern w:val="0"/>
                <w:sz w:val="18"/>
                <w:szCs w:val="18"/>
              </w:rPr>
              <w:t>完成贫困户收入超过4200元/人/年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社会效益  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kern w:val="0"/>
                <w:sz w:val="18"/>
                <w:szCs w:val="18"/>
              </w:rPr>
              <w:t>维护社会稳定度</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eastAsia="zh-CN"/>
              </w:rPr>
              <w:t>巩固脱贫攻坚成效，防止返贫动态监测和帮扶集中排查。</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lang w:eastAsia="zh-CN"/>
              </w:rPr>
              <w:t>巩固脱贫攻坚成效，防止返贫动态监测和帮扶集中排查。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生态效益指标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可持续影响 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满意</w:t>
            </w:r>
            <w:r>
              <w:rPr>
                <w:rFonts w:hint="eastAsia" w:ascii="仿宋_GB2312" w:eastAsia="仿宋_GB2312" w:cs="仿宋_GB2312"/>
                <w:i w:val="0"/>
                <w:color w:val="auto"/>
                <w:kern w:val="0"/>
                <w:sz w:val="18"/>
                <w:szCs w:val="18"/>
                <w:u w:val="none"/>
                <w:lang w:val="en-US" w:eastAsia="zh-CN"/>
              </w:rPr>
              <w:br w:type="textWrapping"/>
            </w:r>
            <w:r>
              <w:rPr>
                <w:rFonts w:hint="eastAsia" w:ascii="仿宋_GB2312" w:eastAsia="仿宋_GB2312" w:cs="仿宋_GB2312"/>
                <w:i w:val="0"/>
                <w:color w:val="auto"/>
                <w:kern w:val="0"/>
                <w:sz w:val="18"/>
                <w:szCs w:val="18"/>
                <w:u w:val="none"/>
                <w:lang w:val="en-US" w:eastAsia="zh-CN"/>
              </w:rPr>
              <w:t>度指标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18"/>
                <w:szCs w:val="18"/>
                <w:u w:val="none"/>
                <w:lang w:val="en-US" w:eastAsia="zh-CN"/>
              </w:rPr>
            </w:pPr>
            <w:r>
              <w:rPr>
                <w:rFonts w:hint="eastAsia" w:ascii="仿宋_GB2312" w:eastAsia="仿宋_GB2312" w:cs="仿宋_GB2312"/>
                <w:i w:val="0"/>
                <w:color w:val="auto"/>
                <w:kern w:val="0"/>
                <w:sz w:val="18"/>
                <w:szCs w:val="1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rPr>
              <w:t>乡村振兴帮扶村</w:t>
            </w:r>
            <w:r>
              <w:rPr>
                <w:rFonts w:hint="eastAsia" w:ascii="仿宋_GB2312" w:eastAsia="仿宋_GB2312" w:cs="仿宋_GB2312"/>
                <w:i w:val="0"/>
                <w:color w:val="auto"/>
                <w:sz w:val="18"/>
                <w:szCs w:val="18"/>
                <w:u w:val="none"/>
                <w:lang w:eastAsia="zh-CN"/>
              </w:rPr>
              <w:t>及村民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kern w:val="0"/>
                <w:sz w:val="18"/>
                <w:szCs w:val="18"/>
              </w:rPr>
              <w:t>100%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color w:val="000000"/>
                <w:kern w:val="0"/>
                <w:sz w:val="18"/>
                <w:szCs w:val="18"/>
              </w:rPr>
              <w:t>100%</w:t>
            </w:r>
          </w:p>
        </w:tc>
      </w:tr>
    </w:tbl>
    <w:p>
      <w:pPr>
        <w:autoSpaceDE w:val="0"/>
        <w:spacing w:line="600" w:lineRule="exact"/>
        <w:jc w:val="center"/>
        <w:rPr>
          <w:rFonts w:hint="eastAsia" w:ascii="仿宋" w:eastAsia="仿宋"/>
          <w:sz w:val="40"/>
          <w:szCs w:val="40"/>
        </w:rPr>
      </w:pPr>
      <w:r>
        <w:rPr>
          <w:rFonts w:ascii="仿宋" w:eastAsia="仿宋"/>
          <w:sz w:val="40"/>
          <w:szCs w:val="40"/>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sz w:val="44"/>
          <w:szCs w:val="44"/>
          <w:lang w:val="zh-CN"/>
        </w:rPr>
      </w:pPr>
      <w:r>
        <w:rPr>
          <w:rFonts w:hint="eastAsia" w:ascii="方正小标宋简体" w:eastAsia="方正小标宋简体" w:cs="方正小标宋简体"/>
          <w:sz w:val="44"/>
          <w:szCs w:val="44"/>
        </w:rPr>
        <w:t>2021年</w:t>
      </w:r>
      <w:r>
        <w:rPr>
          <w:rFonts w:hint="eastAsia" w:ascii="方正小标宋简体" w:eastAsia="方正小标宋简体" w:cs="方正小标宋简体"/>
          <w:sz w:val="44"/>
          <w:szCs w:val="44"/>
          <w:lang w:val="zh-CN"/>
        </w:rPr>
        <w:t>专项预算项目支出绩效自评报告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sz w:val="30"/>
          <w:szCs w:val="30"/>
        </w:rPr>
      </w:pPr>
      <w:r>
        <w:rPr>
          <w:rFonts w:hint="eastAsia" w:ascii="楷体_GB2312" w:eastAsia="楷体_GB2312"/>
          <w:sz w:val="30"/>
          <w:szCs w:val="30"/>
        </w:rPr>
        <w:t>（</w:t>
      </w:r>
      <w:r>
        <w:rPr>
          <w:rFonts w:hint="eastAsia" w:ascii="楷体_GB2312" w:eastAsia="楷体_GB2312"/>
          <w:kern w:val="0"/>
          <w:sz w:val="30"/>
          <w:szCs w:val="30"/>
        </w:rPr>
        <w:t>广元市烈士陵园陈列馆综合楼展陈项目（陈列馆）</w:t>
      </w:r>
      <w:r>
        <w:rPr>
          <w:rFonts w:hint="eastAsia" w:ascii="楷体_GB2312" w:eastAsia="楷体_GB2312"/>
          <w:sz w:val="30"/>
          <w:szCs w:val="30"/>
        </w:rPr>
        <w:t>）</w:t>
      </w:r>
    </w:p>
    <w:p>
      <w:pPr>
        <w:adjustRightInd w:val="0"/>
        <w:snapToGrid w:val="0"/>
        <w:spacing w:line="600" w:lineRule="exact"/>
        <w:ind w:firstLine="720"/>
        <w:rPr>
          <w:rFonts w:hint="eastAsia" w:ascii="黑体" w:eastAsia="黑体"/>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（一）项目基本情况。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说明项目主管部门（单位）在该项目管理中的职能。</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szCs w:val="32"/>
          <w:lang w:val="zh-CN"/>
        </w:rPr>
      </w:pPr>
      <w:r>
        <w:rPr>
          <w:rFonts w:hint="eastAsia" w:ascii="仿宋_GB2312" w:eastAsia="仿宋_GB2312"/>
          <w:szCs w:val="32"/>
          <w:lang w:val="zh-CN"/>
        </w:rPr>
        <w:t>项目主管单位：广元市烈士陵园管理所。</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szCs w:val="32"/>
          <w:lang w:val="zh-CN"/>
        </w:rPr>
      </w:pPr>
      <w:r>
        <w:rPr>
          <w:rFonts w:hint="eastAsia" w:ascii="仿宋_GB2312" w:eastAsia="仿宋_GB2312"/>
          <w:szCs w:val="32"/>
          <w:lang w:val="zh-CN"/>
        </w:rPr>
        <w:t>职能：牵头实施项目、编制实施方案等。</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cs="仿宋_GB2312"/>
          <w:sz w:val="32"/>
          <w:szCs w:val="32"/>
          <w:lang w:val="zh-CN"/>
        </w:rPr>
      </w:pPr>
      <w:r>
        <w:rPr>
          <w:rFonts w:hint="eastAsia" w:ascii="仿宋_GB2312" w:eastAsia="仿宋_GB2312" w:cs="仿宋_GB2312"/>
          <w:sz w:val="32"/>
          <w:szCs w:val="32"/>
        </w:rPr>
        <w:t>2.</w:t>
      </w:r>
      <w:r>
        <w:rPr>
          <w:rFonts w:hint="eastAsia" w:ascii="仿宋_GB2312" w:eastAsia="仿宋_GB2312" w:cs="仿宋_GB2312"/>
          <w:sz w:val="32"/>
          <w:szCs w:val="32"/>
          <w:lang w:val="zh-CN"/>
        </w:rPr>
        <w:t>项目立项、资金申报的依据。</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cs="仿宋_GB2312"/>
          <w:lang w:val="zh-CN"/>
        </w:rPr>
      </w:pPr>
      <w:r>
        <w:rPr>
          <w:rFonts w:hint="eastAsia" w:ascii="仿宋_GB2312" w:eastAsia="仿宋_GB2312" w:cs="仿宋_GB2312"/>
          <w:lang w:val="zh-CN"/>
        </w:rPr>
        <w:t>该项目</w:t>
      </w:r>
      <w:r>
        <w:rPr>
          <w:rFonts w:hint="eastAsia" w:ascii="仿宋_GB2312" w:eastAsia="仿宋_GB2312" w:cs="仿宋_GB2312"/>
          <w:szCs w:val="32"/>
        </w:rPr>
        <w:t>作为2021年全省30件民生实事（对21处烈士纪念设施进行修缮改造），下达</w:t>
      </w:r>
      <w:r>
        <w:rPr>
          <w:rFonts w:hint="eastAsia" w:ascii="仿宋_GB2312" w:eastAsia="仿宋_GB2312" w:cs="仿宋_GB2312"/>
          <w:lang w:val="zh-CN"/>
        </w:rPr>
        <w:t>省级财政优抚安置事业单位补助资金和市级资金专项用于陈列馆展陈布展，经市财政局批复同意设立。</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cs="仿宋_GB2312"/>
          <w:sz w:val="32"/>
          <w:szCs w:val="32"/>
          <w:lang w:val="zh-CN"/>
        </w:rPr>
      </w:pPr>
      <w:r>
        <w:rPr>
          <w:rFonts w:hint="eastAsia" w:ascii="仿宋_GB2312" w:eastAsia="仿宋_GB2312" w:cs="仿宋_GB2312"/>
          <w:sz w:val="32"/>
          <w:szCs w:val="32"/>
        </w:rPr>
        <w:t>3.</w:t>
      </w:r>
      <w:r>
        <w:rPr>
          <w:rFonts w:hint="eastAsia" w:ascii="仿宋_GB2312" w:eastAsia="仿宋_GB2312" w:cs="仿宋_GB2312"/>
          <w:sz w:val="32"/>
          <w:szCs w:val="32"/>
          <w:lang w:val="zh-CN"/>
        </w:rPr>
        <w:t>资金管理办法制定情况，资金支持具体项目的条件、范围与支持方式概况。</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cs="仿宋_GB2312"/>
          <w:lang w:val="zh-CN"/>
        </w:rPr>
      </w:pPr>
      <w:r>
        <w:rPr>
          <w:rFonts w:hint="eastAsia" w:ascii="仿宋_GB2312" w:eastAsia="仿宋_GB2312" w:cs="仿宋_GB2312"/>
          <w:lang w:val="zh-CN"/>
        </w:rPr>
        <w:t>资金按市烈士陵园管理所财务管理办法进行管理，该笔资金专项用于市烈士陵园陈列馆布展，通过政府采购进行项目实施，按照合同约定进行资金拨付。</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cs="仿宋_GB2312"/>
          <w:sz w:val="32"/>
          <w:szCs w:val="32"/>
          <w:lang w:val="zh-CN"/>
        </w:rPr>
      </w:pPr>
      <w:r>
        <w:rPr>
          <w:rFonts w:hint="eastAsia" w:ascii="仿宋_GB2312" w:eastAsia="仿宋_GB2312" w:cs="仿宋_GB2312"/>
          <w:sz w:val="32"/>
          <w:szCs w:val="32"/>
        </w:rPr>
        <w:t>4.</w:t>
      </w:r>
      <w:r>
        <w:rPr>
          <w:rFonts w:hint="eastAsia" w:ascii="仿宋_GB2312" w:eastAsia="仿宋_GB2312" w:cs="仿宋_GB2312"/>
          <w:sz w:val="32"/>
          <w:szCs w:val="32"/>
          <w:lang w:val="zh-CN"/>
        </w:rPr>
        <w:t>资金分配的原则及考虑因素。</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cs="仿宋_GB2312"/>
          <w:lang w:val="zh-CN"/>
        </w:rPr>
      </w:pPr>
      <w:r>
        <w:rPr>
          <w:rFonts w:hint="eastAsia" w:ascii="仿宋_GB2312" w:eastAsia="仿宋_GB2312" w:cs="仿宋_GB2312"/>
          <w:lang w:val="zh-CN"/>
        </w:rPr>
        <w:t>科学合理安排资金预算支出，实现资金落到实处，强化执</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cs="仿宋_GB2312"/>
          <w:lang w:val="zh-CN"/>
        </w:rPr>
      </w:pPr>
      <w:r>
        <w:rPr>
          <w:rFonts w:hint="eastAsia" w:ascii="仿宋_GB2312" w:eastAsia="仿宋_GB2312" w:cs="仿宋_GB2312"/>
          <w:lang w:val="zh-CN"/>
        </w:rPr>
        <w:t>行过程监督，成本严格控制在预算范围内，专项用于市烈士陵园陈列馆布展。</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（二）项目绩效目标。</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1．项目主要内容。</w:t>
      </w:r>
    </w:p>
    <w:p>
      <w:pPr>
        <w:keepNext w:val="0"/>
        <w:keepLines w:val="0"/>
        <w:pageBreakBefore w:val="0"/>
        <w:widowControl w:val="0"/>
        <w:kinsoku/>
        <w:wordWrap/>
        <w:overflowPunct/>
        <w:topLinePunct w:val="0"/>
        <w:autoSpaceDE/>
        <w:autoSpaceDN w:val="0"/>
        <w:bidi w:val="0"/>
        <w:adjustRightInd w:val="0"/>
        <w:snapToGrid w:val="0"/>
        <w:spacing w:line="560" w:lineRule="exact"/>
        <w:ind w:left="0" w:firstLine="640" w:firstLineChars="200"/>
        <w:textAlignment w:val="auto"/>
        <w:rPr>
          <w:lang w:val="zh-CN"/>
        </w:rPr>
      </w:pPr>
      <w:r>
        <w:rPr>
          <w:rFonts w:hint="eastAsia" w:ascii="仿宋_GB2312" w:eastAsia="仿宋_GB2312"/>
          <w:sz w:val="32"/>
          <w:szCs w:val="32"/>
        </w:rPr>
        <w:t>完成市烈士陵园陈列馆展陈布展工作。</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rPr>
        <w:t>2.</w:t>
      </w:r>
      <w:r>
        <w:rPr>
          <w:rFonts w:hint="eastAsia" w:ascii="仿宋_GB2312" w:eastAsia="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val="0"/>
        <w:bidi w:val="0"/>
        <w:adjustRightInd w:val="0"/>
        <w:snapToGrid w:val="0"/>
        <w:spacing w:line="560" w:lineRule="exact"/>
        <w:ind w:left="0" w:firstLine="640" w:firstLineChars="200"/>
        <w:textAlignment w:val="auto"/>
        <w:rPr>
          <w:rFonts w:eastAsia="方正仿宋简体"/>
        </w:rPr>
      </w:pPr>
      <w:r>
        <w:rPr>
          <w:rFonts w:hint="eastAsia" w:ascii="仿宋_GB2312" w:eastAsia="仿宋_GB2312"/>
          <w:sz w:val="32"/>
          <w:szCs w:val="32"/>
        </w:rPr>
        <w:t>全面完成陈列馆展陈布展。</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rPr>
        <w:t>3.</w:t>
      </w:r>
      <w:r>
        <w:rPr>
          <w:rFonts w:hint="eastAsia" w:ascii="仿宋_GB2312" w:eastAsia="仿宋_GB2312"/>
          <w:sz w:val="32"/>
          <w:szCs w:val="32"/>
          <w:lang w:val="zh-CN"/>
        </w:rPr>
        <w:t>分析评价申报内容是否与实际相符，申报目标是否合理可行。</w:t>
      </w:r>
    </w:p>
    <w:p>
      <w:pPr>
        <w:keepNext w:val="0"/>
        <w:keepLines w:val="0"/>
        <w:pageBreakBefore w:val="0"/>
        <w:widowControl w:val="0"/>
        <w:kinsoku/>
        <w:wordWrap/>
        <w:overflowPunct/>
        <w:topLinePunct w:val="0"/>
        <w:autoSpaceDE/>
        <w:autoSpaceDN w:val="0"/>
        <w:bidi w:val="0"/>
        <w:adjustRightInd w:val="0"/>
        <w:snapToGrid w:val="0"/>
        <w:spacing w:line="560" w:lineRule="exact"/>
        <w:ind w:left="0" w:firstLine="640" w:firstLineChars="200"/>
        <w:textAlignment w:val="auto"/>
        <w:rPr>
          <w:lang w:val="zh-CN"/>
        </w:rPr>
      </w:pPr>
      <w:r>
        <w:rPr>
          <w:rFonts w:hint="eastAsia" w:ascii="仿宋_GB2312" w:eastAsia="仿宋_GB2312"/>
          <w:sz w:val="32"/>
          <w:szCs w:val="32"/>
        </w:rPr>
        <w:t>申报内容与工作相符，目标合理可行。</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（三）项目自评步骤及方法。</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项目由财务人员草拟自评报告，分别报单位分管领导、主要领导审阅后报送。</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黑体" w:eastAsia="黑体"/>
          <w:sz w:val="32"/>
          <w:szCs w:val="32"/>
        </w:rPr>
      </w:pPr>
      <w:r>
        <w:rPr>
          <w:rFonts w:hint="eastAsia" w:ascii="黑体" w:eastAsia="黑体"/>
          <w:sz w:val="32"/>
          <w:szCs w:val="32"/>
        </w:rPr>
        <w:t>二、项目资金申报及使用情况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sz w:val="32"/>
          <w:szCs w:val="32"/>
          <w:lang w:val="zh-CN"/>
        </w:rPr>
      </w:pPr>
      <w:r>
        <w:rPr>
          <w:rFonts w:hint="eastAsia" w:ascii="楷体_GB2312" w:eastAsia="楷体_GB2312"/>
          <w:b w:val="0"/>
          <w:bCs/>
          <w:sz w:val="32"/>
          <w:szCs w:val="32"/>
          <w:lang w:val="zh-CN"/>
        </w:rPr>
        <w:t>（一）项目资金申报及批复情况。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hAnsi="仿宋_GB2312"/>
        </w:rPr>
      </w:pPr>
      <w:r>
        <w:rPr>
          <w:rFonts w:hint="eastAsia" w:ascii="仿宋_GB2312" w:eastAsia="仿宋_GB2312"/>
          <w:sz w:val="32"/>
          <w:szCs w:val="32"/>
        </w:rPr>
        <w:t>该项目2021年预算690.36万元，其中省级财政优抚安置事业单位补助资金270万为政府性基金预算资金，市级财政预算430.36万，经市财政局批复同意设立。</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b w:val="0"/>
          <w:bCs/>
          <w:sz w:val="32"/>
          <w:szCs w:val="32"/>
          <w:lang w:val="zh-CN"/>
        </w:rPr>
      </w:pPr>
      <w:r>
        <w:rPr>
          <w:rFonts w:hint="eastAsia" w:ascii="楷体_GB2312" w:eastAsia="楷体_GB2312"/>
          <w:b w:val="0"/>
          <w:bCs/>
          <w:sz w:val="32"/>
          <w:szCs w:val="32"/>
          <w:lang w:val="zh-CN"/>
        </w:rPr>
        <w:t>（二）资金计划、到位及使用情况。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楷体_GB2312" w:eastAsia="楷体_GB2312"/>
          <w:sz w:val="32"/>
          <w:szCs w:val="32"/>
          <w:lang w:val="zh-CN"/>
        </w:rPr>
        <w:t>1．资金计划。</w:t>
      </w:r>
      <w:r>
        <w:rPr>
          <w:rFonts w:hint="eastAsia" w:ascii="仿宋_GB2312" w:eastAsia="仿宋_GB2312"/>
          <w:sz w:val="32"/>
          <w:szCs w:val="32"/>
        </w:rPr>
        <w:t>该项目预算690.36万元，其中省级财政优抚安置事业单位补助资金270万为政府性基金预算资金，市级财政预算430.36万，全部到位。</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楷体_GB2312" w:eastAsia="楷体_GB2312"/>
          <w:sz w:val="32"/>
          <w:szCs w:val="32"/>
          <w:lang w:val="zh-CN"/>
        </w:rPr>
        <w:t>2．资金到位。</w:t>
      </w:r>
      <w:r>
        <w:rPr>
          <w:rFonts w:hint="eastAsia" w:ascii="仿宋_GB2312" w:eastAsia="仿宋_GB2312"/>
          <w:sz w:val="32"/>
          <w:szCs w:val="32"/>
          <w:lang w:val="zh-CN"/>
        </w:rPr>
        <w:t>全部资金均到位，到位率100%，到位及时。</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hAnsi="仿宋_GB2312"/>
        </w:rPr>
      </w:pPr>
      <w:r>
        <w:rPr>
          <w:rFonts w:hint="eastAsia" w:ascii="楷体_GB2312" w:eastAsia="楷体_GB2312"/>
          <w:sz w:val="32"/>
          <w:szCs w:val="32"/>
          <w:lang w:val="zh-CN"/>
        </w:rPr>
        <w:t>3．资金使用。</w:t>
      </w:r>
      <w:r>
        <w:rPr>
          <w:rFonts w:hint="eastAsia" w:ascii="仿宋_GB2312" w:eastAsia="仿宋_GB2312"/>
          <w:sz w:val="32"/>
          <w:szCs w:val="32"/>
        </w:rPr>
        <w:t>该项目资金实际支出576.1万元，严格按合同约定进度进行支付，严格执行上级关于资金使用管理办法的要求，按照工作需要，对所支付资金按单位资金管理相关程序拨付，切实做到资金专款专用、严格规范、安全高效。</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（三）项目财务管理情况。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hAnsi="仿宋_GB2312"/>
        </w:rPr>
      </w:pPr>
      <w:r>
        <w:rPr>
          <w:rFonts w:hint="eastAsia" w:ascii="仿宋_GB2312" w:eastAsia="仿宋_GB2312"/>
          <w:sz w:val="32"/>
          <w:szCs w:val="32"/>
        </w:rPr>
        <w:t>项目资金严格按照单位财务管理制度及相关财经记录执行。坚持先做事、后报账，保证资金专款专用，有效防止截留、挤占和挪用等现象。财务资料完整，对资金的支出严格把关，对不符合程序的及时纠正，对不符合规定的票据拒绝报销，严格执行不同支出额度的审批程序。</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黑体" w:eastAsia="黑体"/>
          <w:sz w:val="32"/>
          <w:szCs w:val="32"/>
        </w:rPr>
      </w:pPr>
      <w:r>
        <w:rPr>
          <w:rFonts w:hint="eastAsia" w:ascii="黑体" w:eastAsia="黑体"/>
          <w:sz w:val="32"/>
          <w:szCs w:val="32"/>
        </w:rPr>
        <w:t>三、项目实施及管理情况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结合项目组织实施管理办法，重点围绕以下内容进行分析评价，并对自评中发现的问题分析说明。</w:t>
      </w:r>
    </w:p>
    <w:p>
      <w:pPr>
        <w:pStyle w:val="25"/>
        <w:keepNext w:val="0"/>
        <w:keepLines w:val="0"/>
        <w:pageBreakBefore w:val="0"/>
        <w:widowControl w:val="0"/>
        <w:numPr>
          <w:ilvl w:val="0"/>
          <w:numId w:val="11"/>
        </w:numPr>
        <w:kinsoku/>
        <w:wordWrap/>
        <w:overflowPunct/>
        <w:topLinePunct w:val="0"/>
        <w:autoSpaceDE/>
        <w:bidi w:val="0"/>
        <w:adjustRightInd w:val="0"/>
        <w:snapToGrid w:val="0"/>
        <w:spacing w:line="560" w:lineRule="exact"/>
        <w:ind w:left="0" w:firstLine="640" w:firstLineChars="200"/>
        <w:textAlignment w:val="auto"/>
        <w:rPr>
          <w:rFonts w:hint="eastAsia" w:ascii="楷体_GB2312" w:eastAsia="楷体_GB2312"/>
          <w:b w:val="0"/>
          <w:bCs/>
          <w:sz w:val="32"/>
          <w:szCs w:val="32"/>
          <w:lang w:val="zh-CN"/>
        </w:rPr>
      </w:pPr>
      <w:r>
        <w:rPr>
          <w:rFonts w:hint="eastAsia" w:ascii="楷体_GB2312" w:eastAsia="楷体_GB2312"/>
          <w:b w:val="0"/>
          <w:bCs/>
          <w:sz w:val="32"/>
          <w:szCs w:val="32"/>
          <w:lang w:val="zh-CN"/>
        </w:rPr>
        <w:t>项目组织架构及实施流程。</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hint="eastAsia" w:ascii="仿宋_GB2312" w:eastAsia="仿宋_GB2312"/>
          <w:szCs w:val="32"/>
          <w:lang w:val="zh-CN"/>
        </w:rPr>
      </w:pPr>
      <w:r>
        <w:rPr>
          <w:rFonts w:hint="eastAsia" w:ascii="仿宋_GB2312" w:eastAsia="仿宋_GB2312"/>
          <w:szCs w:val="32"/>
          <w:lang w:val="zh-CN"/>
        </w:rPr>
        <w:t>1.项目</w:t>
      </w:r>
      <w:r>
        <w:rPr>
          <w:rFonts w:ascii="仿宋_GB2312" w:eastAsia="仿宋_GB2312"/>
          <w:szCs w:val="32"/>
          <w:lang w:val="zh-CN"/>
        </w:rPr>
        <w:t>经办人根据项目申报和经费下达情况进行项目建设方案编制</w:t>
      </w:r>
      <w:r>
        <w:rPr>
          <w:rFonts w:hint="eastAsia" w:ascii="仿宋_GB2312" w:eastAsia="仿宋_GB2312"/>
          <w:szCs w:val="32"/>
          <w:lang w:val="zh-CN"/>
        </w:rPr>
        <w:t>。</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hint="eastAsia" w:ascii="仿宋_GB2312" w:eastAsia="仿宋_GB2312"/>
          <w:szCs w:val="32"/>
          <w:lang w:val="zh-CN"/>
        </w:rPr>
      </w:pPr>
      <w:r>
        <w:rPr>
          <w:rFonts w:hint="eastAsia" w:ascii="仿宋_GB2312" w:eastAsia="仿宋_GB2312"/>
          <w:szCs w:val="32"/>
          <w:lang w:val="zh-CN"/>
        </w:rPr>
        <w:t>2.编制政府采购需求论证，进行公开招标，签订合同。</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hint="eastAsia" w:ascii="仿宋_GB2312" w:eastAsia="仿宋_GB2312"/>
          <w:szCs w:val="32"/>
          <w:lang w:val="zh-CN"/>
        </w:rPr>
      </w:pPr>
      <w:r>
        <w:rPr>
          <w:rFonts w:hint="eastAsia" w:ascii="仿宋_GB2312" w:eastAsia="仿宋_GB2312"/>
          <w:szCs w:val="32"/>
          <w:lang w:val="zh-CN"/>
        </w:rPr>
        <w:t>3.中标企业按合同提供服务。</w:t>
      </w:r>
    </w:p>
    <w:p>
      <w:pPr>
        <w:pStyle w:val="20"/>
        <w:keepNext w:val="0"/>
        <w:keepLines w:val="0"/>
        <w:pageBreakBefore w:val="0"/>
        <w:widowControl w:val="0"/>
        <w:kinsoku/>
        <w:wordWrap/>
        <w:overflowPunct/>
        <w:topLinePunct w:val="0"/>
        <w:autoSpaceDE/>
        <w:bidi w:val="0"/>
        <w:spacing w:line="560" w:lineRule="exact"/>
        <w:ind w:left="0" w:firstLine="640" w:firstLineChars="200"/>
        <w:textAlignment w:val="auto"/>
        <w:rPr>
          <w:rFonts w:ascii="仿宋_GB2312" w:eastAsia="仿宋_GB2312"/>
          <w:szCs w:val="32"/>
          <w:lang w:val="zh-CN"/>
        </w:rPr>
      </w:pPr>
      <w:r>
        <w:rPr>
          <w:rFonts w:hint="eastAsia" w:ascii="仿宋_GB2312" w:eastAsia="仿宋_GB2312"/>
          <w:szCs w:val="32"/>
          <w:lang w:val="zh-CN"/>
        </w:rPr>
        <w:t>4.根据合同约定按进度拨付资金。</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楷体_GB2312" w:eastAsia="楷体_GB2312"/>
          <w:b w:val="0"/>
          <w:bCs/>
          <w:sz w:val="32"/>
          <w:szCs w:val="32"/>
          <w:lang w:val="zh-CN"/>
        </w:rPr>
        <w:t>（二）项目管理情况。</w:t>
      </w:r>
      <w:r>
        <w:rPr>
          <w:rFonts w:hint="eastAsia" w:ascii="仿宋_GB2312" w:eastAsia="仿宋_GB2312"/>
          <w:sz w:val="32"/>
          <w:szCs w:val="32"/>
        </w:rPr>
        <w:t>按要求进行政府采购，通过公开招标方式进行采购，按照规定公示，项目实施完毕后进行验收。</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楷体_GB2312" w:eastAsia="楷体_GB2312"/>
          <w:b w:val="0"/>
          <w:bCs/>
          <w:sz w:val="32"/>
          <w:szCs w:val="32"/>
          <w:lang w:val="zh-CN"/>
        </w:rPr>
        <w:t>（三）项目监管情况。</w:t>
      </w:r>
      <w:r>
        <w:rPr>
          <w:rFonts w:hint="eastAsia" w:ascii="仿宋_GB2312" w:eastAsia="仿宋_GB2312"/>
          <w:sz w:val="32"/>
          <w:szCs w:val="32"/>
          <w:lang w:val="zh-CN"/>
        </w:rPr>
        <w:t>按要求专款专用。</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（一）项目完成情况。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sz w:val="32"/>
          <w:szCs w:val="32"/>
          <w:lang w:val="zh-CN"/>
        </w:rPr>
      </w:pPr>
      <w:r>
        <w:rPr>
          <w:rFonts w:hint="eastAsia" w:ascii="仿宋_GB2312" w:eastAsia="仿宋_GB2312"/>
          <w:sz w:val="32"/>
          <w:szCs w:val="32"/>
        </w:rPr>
        <w:t>完成烈士陵园陈列馆展陈布展，资金支付按合同约定进度执行，</w:t>
      </w:r>
      <w:r>
        <w:rPr>
          <w:rFonts w:hint="eastAsia" w:ascii="仿宋_GB2312" w:eastAsia="仿宋_GB2312"/>
          <w:sz w:val="32"/>
          <w:szCs w:val="32"/>
          <w:lang w:val="zh-CN"/>
        </w:rPr>
        <w:t>结余资金待项目审计完成后拨付。</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（二）项目效益情况。</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hAnsi="仿宋_GB2312"/>
        </w:rPr>
      </w:pPr>
      <w:r>
        <w:rPr>
          <w:rFonts w:hint="eastAsia" w:ascii="仿宋_GB2312" w:eastAsia="仿宋_GB2312"/>
          <w:sz w:val="32"/>
          <w:szCs w:val="32"/>
        </w:rPr>
        <w:t>通过展陈布展，烈士陵园纪念设施条件不断完善，能在宣传红色文化和英烈事迹方面更好地发挥作用，更好地进行爱国主义教育，传承英烈精神。</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黑体" w:eastAsia="黑体"/>
          <w:sz w:val="32"/>
          <w:szCs w:val="32"/>
        </w:rPr>
      </w:pPr>
      <w:r>
        <w:rPr>
          <w:rFonts w:hint="eastAsia" w:ascii="黑体" w:eastAsia="黑体"/>
          <w:sz w:val="32"/>
          <w:szCs w:val="32"/>
        </w:rPr>
        <w:t>五、评价结论及建议</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（一）评价结论。</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bdr w:val="single" w:color="auto" w:sz="4" w:space="0"/>
          <w:lang w:val="zh-CN"/>
        </w:rPr>
      </w:pPr>
      <w:r>
        <w:rPr>
          <w:rFonts w:hint="eastAsia" w:ascii="仿宋_GB2312" w:eastAsia="仿宋_GB2312"/>
          <w:sz w:val="32"/>
          <w:szCs w:val="32"/>
          <w:lang w:val="zh-CN"/>
        </w:rPr>
        <w:t>按照要求专款专用，管理符合相关制度，运行项目实施达到预期社会效益，受益群众满意度较好，及时报账，不挪作他用，账务处理及时。</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（二）存在的问题。</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仿宋_GB2312" w:eastAsia="仿宋_GB2312"/>
          <w:sz w:val="32"/>
          <w:szCs w:val="32"/>
          <w:lang w:val="zh-CN"/>
        </w:rPr>
      </w:pPr>
      <w:r>
        <w:rPr>
          <w:rFonts w:hint="eastAsia" w:ascii="仿宋_GB2312" w:eastAsia="仿宋_GB2312"/>
          <w:sz w:val="32"/>
          <w:szCs w:val="32"/>
        </w:rPr>
        <w:t>因单位人手少，且工程项目方面业务不熟悉，导致项目实施进度慢，资金执行缓慢。</w:t>
      </w:r>
    </w:p>
    <w:p>
      <w:pPr>
        <w:keepNext w:val="0"/>
        <w:keepLines w:val="0"/>
        <w:pageBreakBefore w:val="0"/>
        <w:widowControl w:val="0"/>
        <w:kinsoku/>
        <w:wordWrap/>
        <w:overflowPunct/>
        <w:topLinePunct w:val="0"/>
        <w:autoSpaceDE/>
        <w:bidi w:val="0"/>
        <w:adjustRightInd w:val="0"/>
        <w:snapToGrid w:val="0"/>
        <w:spacing w:line="560" w:lineRule="exact"/>
        <w:ind w:left="0" w:firstLine="640" w:firstLineChars="200"/>
        <w:textAlignment w:val="auto"/>
        <w:rPr>
          <w:rFonts w:ascii="楷体_GB2312" w:eastAsia="楷体_GB2312"/>
          <w:b w:val="0"/>
          <w:bCs/>
          <w:sz w:val="32"/>
          <w:szCs w:val="32"/>
          <w:lang w:val="zh-CN"/>
        </w:rPr>
      </w:pPr>
      <w:r>
        <w:rPr>
          <w:rFonts w:hint="eastAsia" w:ascii="楷体_GB2312" w:eastAsia="楷体_GB2312"/>
          <w:b w:val="0"/>
          <w:bCs/>
          <w:sz w:val="32"/>
          <w:szCs w:val="32"/>
          <w:lang w:val="zh-CN"/>
        </w:rPr>
        <w:t>（三）相关建议。</w:t>
      </w:r>
    </w:p>
    <w:p>
      <w:pPr>
        <w:keepNext w:val="0"/>
        <w:keepLines w:val="0"/>
        <w:pageBreakBefore w:val="0"/>
        <w:widowControl w:val="0"/>
        <w:pBdr>
          <w:top w:val="single" w:color="FFFFFF" w:sz="4" w:space="1"/>
          <w:left w:val="single" w:color="FFFFFF" w:sz="4" w:space="4"/>
          <w:bottom w:val="single" w:color="FFFFFF" w:sz="4" w:space="1"/>
          <w:right w:val="single" w:color="FFFFFF" w:sz="4" w:space="4"/>
        </w:pBdr>
        <w:kinsoku/>
        <w:wordWrap/>
        <w:overflowPunct/>
        <w:topLinePunct w:val="0"/>
        <w:autoSpaceDE/>
        <w:bidi w:val="0"/>
        <w:spacing w:line="56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总结项目资金使用和管理经验，进一步加强和规范项目经费管理，充分发挥项目资金使用效益。</w:t>
      </w:r>
    </w:p>
    <w:p>
      <w:pPr>
        <w:pStyle w:val="20"/>
      </w:pPr>
    </w:p>
    <w:p>
      <w:pPr>
        <w:pStyle w:val="20"/>
      </w:pPr>
    </w:p>
    <w:p>
      <w:pPr>
        <w:pStyle w:val="20"/>
      </w:pPr>
    </w:p>
    <w:tbl>
      <w:tblPr>
        <w:tblStyle w:val="14"/>
        <w:tblW w:w="9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3"/>
        <w:gridCol w:w="1185"/>
        <w:gridCol w:w="1290"/>
        <w:gridCol w:w="1800"/>
        <w:gridCol w:w="1232"/>
        <w:gridCol w:w="240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09"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简体" w:eastAsia="方正小标宋简体" w:cs="方正小标宋简体"/>
                <w:b w:val="0"/>
                <w:bCs/>
                <w:sz w:val="36"/>
                <w:szCs w:val="36"/>
              </w:rPr>
            </w:pPr>
            <w:r>
              <w:rPr>
                <w:rFonts w:hint="eastAsia" w:ascii="方正小标宋简体" w:eastAsia="方正小标宋简体" w:cs="方正小标宋简体"/>
                <w:b w:val="0"/>
                <w:bCs/>
                <w:sz w:val="36"/>
                <w:szCs w:val="36"/>
              </w:rPr>
              <w:t>2021年部门预算项目绩效目标自评</w:t>
            </w:r>
          </w:p>
          <w:p>
            <w:pPr>
              <w:pStyle w:val="20"/>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rPr>
                <w:rFonts w:ascii="楷体" w:eastAsia="楷体"/>
              </w:rPr>
            </w:pPr>
            <w:r>
              <w:rPr>
                <w:rFonts w:hint="eastAsia" w:ascii="楷体_GB2312" w:eastAsia="楷体_GB2312" w:cs="楷体_GB2312"/>
                <w:sz w:val="30"/>
                <w:szCs w:val="30"/>
              </w:rPr>
              <w:t>（广元市烈士陵园陈列馆综合楼展陈项目（陈列馆）</w:t>
            </w:r>
          </w:p>
        </w:tc>
        <w:tc>
          <w:tcPr>
            <w:tcW w:w="236" w:type="dxa"/>
            <w:tcBorders>
              <w:top w:val="nil"/>
              <w:left w:val="nil"/>
              <w:bottom w:val="nil"/>
              <w:right w:val="nil"/>
            </w:tcBorders>
            <w:shd w:val="clear" w:color="auto" w:fill="auto"/>
            <w:vAlign w:val="center"/>
          </w:tcPr>
          <w:p>
            <w:pPr>
              <w:widowControl/>
              <w:jc w:val="center"/>
              <w:textAlignment w:val="center"/>
              <w:rPr>
                <w:rFonts w:ascii="宋体" w:cs="宋体"/>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主管部门及代码</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textAlignment w:val="center"/>
              <w:rPr>
                <w:rFonts w:hint="eastAsia" w:ascii="仿宋_GB2312" w:eastAsia="仿宋_GB2312" w:cs="仿宋_GB2312"/>
                <w:sz w:val="18"/>
                <w:szCs w:val="18"/>
              </w:rPr>
            </w:pPr>
            <w:r>
              <w:rPr>
                <w:rFonts w:hint="eastAsia" w:ascii="仿宋_GB2312" w:eastAsia="仿宋_GB2312" w:cs="仿宋_GB2312"/>
                <w:sz w:val="18"/>
                <w:szCs w:val="18"/>
              </w:rPr>
              <w:t xml:space="preserve">广元市退役军人事务局643001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sz w:val="18"/>
                <w:szCs w:val="18"/>
              </w:rPr>
              <w:t>广元市烈士陵园管理所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项目预算</w:t>
            </w:r>
            <w:r>
              <w:rPr>
                <w:rFonts w:hint="eastAsia" w:ascii="仿宋_GB2312" w:eastAsia="仿宋_GB2312" w:cs="仿宋_GB2312"/>
                <w:kern w:val="0"/>
                <w:sz w:val="18"/>
                <w:szCs w:val="18"/>
              </w:rPr>
              <w:br w:type="textWrapping"/>
            </w:r>
            <w:r>
              <w:rPr>
                <w:rFonts w:hint="eastAsia" w:ascii="仿宋_GB2312" w:eastAsia="仿宋_GB2312" w:cs="仿宋_GB2312"/>
                <w:kern w:val="0"/>
                <w:sz w:val="18"/>
                <w:szCs w:val="18"/>
              </w:rPr>
              <w:t>执行情况</w:t>
            </w:r>
            <w:r>
              <w:rPr>
                <w:rFonts w:hint="eastAsia" w:ascii="仿宋_GB2312" w:eastAsia="仿宋_GB2312" w:cs="仿宋_GB2312"/>
                <w:kern w:val="0"/>
                <w:sz w:val="18"/>
                <w:szCs w:val="18"/>
              </w:rPr>
              <w:br w:type="textWrapping"/>
            </w:r>
            <w:r>
              <w:rPr>
                <w:rFonts w:hint="eastAsia" w:ascii="仿宋_GB2312" w:eastAsia="仿宋_GB2312" w:cs="仿宋_GB2312"/>
                <w:kern w:val="0"/>
                <w:sz w:val="18"/>
                <w:szCs w:val="18"/>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 xml:space="preserve"> 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sz w:val="18"/>
                <w:szCs w:val="18"/>
              </w:rPr>
              <w:t>690.36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right"/>
              <w:textAlignment w:val="center"/>
              <w:rPr>
                <w:rFonts w:hint="eastAsia" w:ascii="仿宋_GB2312" w:eastAsia="仿宋_GB2312" w:cs="仿宋_GB2312"/>
                <w:sz w:val="18"/>
                <w:szCs w:val="18"/>
              </w:rPr>
            </w:pPr>
            <w:r>
              <w:rPr>
                <w:rFonts w:hint="eastAsia" w:ascii="仿宋_GB2312" w:eastAsia="仿宋_GB2312" w:cs="仿宋_GB2312"/>
                <w:sz w:val="18"/>
                <w:szCs w:val="18"/>
              </w:rPr>
              <w:t>576.1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2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其中：</w:t>
            </w:r>
          </w:p>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财政拨款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sz w:val="18"/>
                <w:szCs w:val="18"/>
              </w:rPr>
              <w:t>690.36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其中：</w:t>
            </w:r>
          </w:p>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textAlignment w:val="center"/>
              <w:rPr>
                <w:rFonts w:hint="eastAsia" w:ascii="仿宋_GB2312" w:eastAsia="仿宋_GB2312" w:cs="仿宋_GB2312"/>
                <w:sz w:val="18"/>
                <w:szCs w:val="18"/>
              </w:rPr>
            </w:pPr>
            <w:r>
              <w:rPr>
                <w:rFonts w:hint="eastAsia" w:ascii="仿宋_GB2312" w:eastAsia="仿宋_GB2312" w:cs="仿宋_GB2312"/>
                <w:sz w:val="18"/>
                <w:szCs w:val="18"/>
              </w:rPr>
              <w:t>576.1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其他资金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年度总体目标</w:t>
            </w:r>
          </w:p>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完成情况</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预期目标</w:t>
            </w:r>
          </w:p>
        </w:tc>
        <w:tc>
          <w:tcPr>
            <w:tcW w:w="3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center"/>
              <w:textAlignment w:val="center"/>
              <w:rPr>
                <w:rFonts w:hint="eastAsia" w:ascii="仿宋_GB2312" w:eastAsia="仿宋_GB2312" w:cs="仿宋_GB2312"/>
                <w:sz w:val="18"/>
                <w:szCs w:val="18"/>
              </w:rPr>
            </w:pPr>
            <w:r>
              <w:rPr>
                <w:rFonts w:hint="eastAsia" w:ascii="仿宋_GB2312" w:eastAsia="仿宋_GB2312" w:cs="仿宋_GB2312"/>
                <w:kern w:val="0"/>
                <w:sz w:val="18"/>
                <w:szCs w:val="18"/>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32"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32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完成市烈士陵园陈列馆展陈布展。</w:t>
            </w:r>
          </w:p>
        </w:tc>
        <w:tc>
          <w:tcPr>
            <w:tcW w:w="3641"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N/>
              <w:bidi w:val="0"/>
              <w:adjustRightInd/>
              <w:snapToGrid/>
              <w:spacing w:line="32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完成市烈士陵园陈列馆展陈布展。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68" w:hRule="atLeast"/>
        </w:trPr>
        <w:tc>
          <w:tcPr>
            <w:tcW w:w="169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年度绩效指标完成情况</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三级指标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完成指标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展陈布展服务</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1批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1批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项目按期完成度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完成时间</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2021年12月31日前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成本指标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展陈布展服务</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690.36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576.1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效益指标</w:t>
            </w:r>
          </w:p>
        </w:tc>
        <w:tc>
          <w:tcPr>
            <w:tcW w:w="12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社会效益  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对烈士陵园烈士纪念设施条件的促进作用</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通过展陈布展，烈士陵园纪念设施条件不断完善，更好的发挥作用。</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通过展陈布展，烈士陵园纪念设施条件不断完善，更好的发挥作用。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对传承英烈精神的促进作用</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通过展陈布展，宣传红色文化和英烈事迹，更好地进行爱国主义教育，传承英烈精神。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通过展陈布展，宣传红色文化和英烈事迹，更好地进行爱国主义教育，传承英烈精神。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693" w:type="dxa"/>
            <w:vMerge w:val="continue"/>
            <w:tcBorders>
              <w:top w:val="nil"/>
              <w:left w:val="single" w:color="000000" w:sz="4" w:space="0"/>
              <w:bottom w:val="nil"/>
              <w:right w:val="single" w:color="000000" w:sz="4" w:space="0"/>
            </w:tcBorders>
            <w:shd w:val="clear" w:color="auto" w:fill="auto"/>
            <w:vAlign w:val="center"/>
          </w:tcPr>
          <w:p/>
        </w:tc>
        <w:tc>
          <w:tcPr>
            <w:tcW w:w="11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满意度指标</w:t>
            </w:r>
          </w:p>
        </w:tc>
        <w:tc>
          <w:tcPr>
            <w:tcW w:w="12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满意度</w:t>
            </w:r>
          </w:p>
          <w:p>
            <w:pPr>
              <w:keepNext w:val="0"/>
              <w:keepLines w:val="0"/>
              <w:pageBreakBefore w:val="0"/>
              <w:widowControl/>
              <w:kinsoku/>
              <w:wordWrap/>
              <w:overflowPunct/>
              <w:topLinePunct w:val="0"/>
              <w:autoSpaceDN/>
              <w:bidi w:val="0"/>
              <w:adjustRightInd/>
              <w:snapToGrid/>
              <w:spacing w:line="320" w:lineRule="exact"/>
              <w:jc w:val="both"/>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群众对烈士陵园工作满意度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p>
        </w:tc>
        <w:tc>
          <w:tcPr>
            <w:tcW w:w="1185" w:type="dxa"/>
            <w:vMerge w:val="continue"/>
            <w:tcBorders>
              <w:top w:val="nil"/>
              <w:left w:val="single" w:color="000000" w:sz="4" w:space="0"/>
              <w:bottom w:val="single" w:color="000000" w:sz="4" w:space="0"/>
              <w:right w:val="single" w:color="000000" w:sz="4" w:space="0"/>
            </w:tcBorders>
            <w:shd w:val="clear" w:color="auto" w:fill="auto"/>
            <w:vAlign w:val="bottom"/>
          </w:tcPr>
          <w:p/>
        </w:tc>
        <w:tc>
          <w:tcPr>
            <w:tcW w:w="1290" w:type="dxa"/>
            <w:vMerge w:val="continue"/>
            <w:tcBorders>
              <w:top w:val="nil"/>
              <w:left w:val="single" w:color="000000" w:sz="4" w:space="0"/>
              <w:bottom w:val="single" w:color="000000" w:sz="4" w:space="0"/>
              <w:right w:val="single" w:color="000000" w:sz="4" w:space="0"/>
            </w:tcBorders>
            <w:shd w:val="clear" w:color="auto" w:fill="auto"/>
            <w:vAlign w:val="bottom"/>
          </w:tc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来烈士陵园祭扫、参观群众满意度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N/>
              <w:bidi w:val="0"/>
              <w:adjustRightInd/>
              <w:snapToGrid/>
              <w:spacing w:line="320" w:lineRule="exact"/>
              <w:jc w:val="left"/>
              <w:textAlignment w:val="center"/>
              <w:rPr>
                <w:rFonts w:hint="eastAsia" w:ascii="仿宋_GB2312" w:eastAsia="仿宋_GB2312" w:cs="仿宋_GB2312"/>
                <w:kern w:val="0"/>
                <w:sz w:val="18"/>
                <w:szCs w:val="18"/>
              </w:rPr>
            </w:pPr>
            <w:r>
              <w:rPr>
                <w:rFonts w:hint="eastAsia" w:ascii="仿宋_GB2312" w:eastAsia="仿宋_GB2312" w:cs="仿宋_GB2312"/>
                <w:kern w:val="0"/>
                <w:sz w:val="18"/>
                <w:szCs w:val="18"/>
              </w:rPr>
              <w:t>≥98%</w:t>
            </w:r>
          </w:p>
        </w:tc>
      </w:tr>
    </w:tbl>
    <w:p>
      <w:pPr>
        <w:keepNext w:val="0"/>
        <w:keepLines w:val="0"/>
        <w:pageBreakBefore w:val="0"/>
        <w:widowControl w:val="0"/>
        <w:kinsoku/>
        <w:wordWrap/>
        <w:overflowPunct/>
        <w:topLinePunct w:val="0"/>
        <w:autoSpaceDE w:val="0"/>
        <w:autoSpaceDN/>
        <w:bidi w:val="0"/>
        <w:adjustRightInd/>
        <w:snapToGrid/>
        <w:spacing w:line="320" w:lineRule="exact"/>
        <w:ind w:firstLine="0"/>
        <w:jc w:val="center"/>
        <w:textAlignment w:val="auto"/>
        <w:rPr>
          <w:rFonts w:hint="eastAsia" w:ascii="仿宋_GB2312" w:eastAsia="仿宋_GB2312" w:cs="仿宋_GB2312"/>
          <w:sz w:val="18"/>
          <w:szCs w:val="18"/>
        </w:rPr>
      </w:pPr>
    </w:p>
    <w:p>
      <w:pPr>
        <w:spacing w:line="600" w:lineRule="exact"/>
        <w:jc w:val="center"/>
        <w:rPr>
          <w:rFonts w:hint="eastAsia" w:ascii="方正小标宋简体" w:eastAsia="方正小标宋简体" w:cs="方正小标宋简体"/>
          <w:sz w:val="40"/>
          <w:szCs w:val="40"/>
        </w:rPr>
      </w:pPr>
    </w:p>
    <w:p>
      <w:pPr>
        <w:spacing w:line="60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rPr>
        <w:t>2021年</w:t>
      </w:r>
      <w:r>
        <w:rPr>
          <w:rFonts w:hint="eastAsia" w:ascii="方正小标宋简体" w:eastAsia="方正小标宋简体" w:cs="方正小标宋简体"/>
          <w:sz w:val="44"/>
          <w:szCs w:val="44"/>
          <w:lang w:val="zh-CN"/>
        </w:rPr>
        <w:t>专项预算项目支出绩效自评报告</w:t>
      </w:r>
    </w:p>
    <w:p>
      <w:pPr>
        <w:spacing w:line="560" w:lineRule="exact"/>
        <w:jc w:val="center"/>
        <w:rPr>
          <w:rFonts w:hint="eastAsia" w:ascii="楷体_GB2312" w:eastAsia="楷体_GB2312"/>
          <w:sz w:val="30"/>
          <w:szCs w:val="30"/>
        </w:rPr>
      </w:pPr>
      <w:r>
        <w:rPr>
          <w:rFonts w:hint="eastAsia" w:ascii="楷体_GB2312" w:eastAsia="楷体_GB2312"/>
          <w:sz w:val="30"/>
          <w:szCs w:val="30"/>
        </w:rPr>
        <w:t>（广元市退役军人事务局双拥双创工作经费项目</w:t>
      </w:r>
      <w:r>
        <w:rPr>
          <w:rFonts w:ascii="楷体_GB2312" w:eastAsia="楷体_GB2312"/>
          <w:sz w:val="30"/>
          <w:szCs w:val="30"/>
        </w:rPr>
        <w:t>）</w:t>
      </w:r>
    </w:p>
    <w:p>
      <w:pPr>
        <w:pStyle w:val="20"/>
        <w:keepNext w:val="0"/>
        <w:keepLines w:val="0"/>
        <w:pageBreakBefore w:val="0"/>
        <w:widowControl w:val="0"/>
        <w:bidi w:val="0"/>
        <w:spacing w:line="560" w:lineRule="exact"/>
        <w:ind w:firstLine="640" w:firstLineChars="200"/>
      </w:pP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一、项目概况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（一）项目基本情况。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1．项目主管部门（单位）在该项目管理中的职能。按照职能职责，广元市退役军人事务局双拥科根据全国双拥工作领导小组、四川省双拥工作领导小组关于做好双拥工作的要求，报请市政府拨付双拥工作经费。</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2．项目立项、资金申报的依据。《退役军人保障法》、《全国双拥模范城（县）考评自查表》。</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3．资金管理办法制定情况，资金支持具体项目的条件、范围与支持方式概况。资金用于开展双拥工作，主要用于全面开展双拥工作，营造全市良好双拥氛围。</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4．资金分配的原则及考虑因素。根据工作任务，依据创建需要提出资金使用方案，并按程序报批。</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（二）项目绩效目标。</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1．项目主要内容。通过开展多种形式的拥军优属拥政爱民宣传，在全社会积极营造拥军爱军氛围，提高军人军属和退役军人及优抚对象获得感和幸福感，为争创第12届“全国双拥模范城”打好基础。</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应实现的具体绩效目标，包括目标的量化、细化情况以及项目实施进度计划等。通过召开春节慰问会、双拥领导小组会等会议，完成在八一等重要节日开展双拥宣传；积极开展迎接退役老兵“光荣返乡”活动，对困难军人家庭开展慰问。进一步保障社会稳定，促进军队稳定，促进双拥工作，提升社会群众关于双拥工作的知晓率，社会群众和服务对象满意度大于95%。</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3．分析评价申报内容是否与实际相符，申报目标是否合理可行。资金申报内容同实际相符，申报目标合理可行。</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（三）项目自评步骤及方法。</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项目绩效自评采用的组织实施步骤及方法。由项目责任科室双拥科向财务室报送自评材料。</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（一）项目资金申报及批复情况。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项目资金申报、批复及预算调整等程序的相关情况。在年初预算编制时，根据每4年开展一次全国双拥模范城创建工作要求及我市已连续创建并荣获6届“全国双拥模范城”荣誉称号，2021年初下达工作经费10万元。</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（二）资金计划、到位及使用情况。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1．资金计划。2021年，收到市财政预算10万元。</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2．资金到位。收到市财政资金后，均在规定时限内完成资金使用分配，资金到位率100%。</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3．资金使用。严格执行上级关于资金使用管理办法的要求，按照工作需要，对所支付资金净党组会议研究后按程序拨付，切实做到补助资金专款专用、严格规范、安全高效。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（三）项目财务管理情况。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按照财务管理制度要求，结合我局实际，制定了专项资金管理办法，实施过程中均严格执行财务管理制度，资金发放后及时进行账务处理，会计核算规范。</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（一）项目组织架构及实施流程。</w:t>
      </w:r>
      <w:r>
        <w:rPr>
          <w:rFonts w:hint="eastAsia" w:ascii="仿宋_GB2312" w:eastAsia="仿宋_GB2312" w:cs="仿宋_GB2312"/>
          <w:b w:val="0"/>
          <w:bCs w:val="0"/>
          <w:sz w:val="32"/>
          <w:szCs w:val="32"/>
          <w:lang w:val="en-US" w:eastAsia="zh-CN"/>
        </w:rPr>
        <w:t>专项资金按照“分级负责、科学合理、专款专用、强化监督”原则实施管理。专项资金预算安排由广元市退役军人事务局根据全国双拥工作领导小组、四川省双拥工作领导小组关于做好双拥工作的要求，报请市政府拨付双拥工作经费。</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（二）项目管理情况。</w:t>
      </w:r>
      <w:r>
        <w:rPr>
          <w:rFonts w:hint="eastAsia" w:ascii="仿宋_GB2312" w:eastAsia="仿宋_GB2312" w:cs="仿宋_GB2312"/>
          <w:b w:val="0"/>
          <w:bCs w:val="0"/>
          <w:sz w:val="32"/>
          <w:szCs w:val="32"/>
          <w:lang w:val="en-US" w:eastAsia="zh-CN"/>
        </w:rPr>
        <w:t>严格执行上级关于资金使用管理办法的要求，按照工作需要，对所支付资金经党组会议研究后按程序拨付，切实做到补助资金专款专用、严格规范、安全高效。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（三）项目监管情况。</w:t>
      </w:r>
      <w:r>
        <w:rPr>
          <w:rFonts w:hint="eastAsia" w:ascii="仿宋_GB2312" w:eastAsia="仿宋_GB2312" w:cs="仿宋_GB2312"/>
          <w:b w:val="0"/>
          <w:bCs w:val="0"/>
          <w:sz w:val="32"/>
          <w:szCs w:val="32"/>
          <w:lang w:val="en-US" w:eastAsia="zh-CN"/>
        </w:rPr>
        <w:t>专项资金按规定编制绩效目标。市退役军人事务局双拥科根据工作要求提出资金使用建议方案，市财政下达专项资金后，按规定填报绩效目标表，并将其作为绩效监控和绩效评价的依据。年度执行中，市退役军人事务局、市财政局对绩效目标实现情况进行监控，确保绩效目标如期实现。年度执行结束后，由市退役军人事务局双拥科开展绩效自评报市财政局。评价内容包括预算执行、合规安全、使用绩效等。绩效评价结果将作为完善政策、安排预算、改进管理的参考和重要依据。</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四、项目绩效情况</w:t>
      </w:r>
      <w:r>
        <w:rPr>
          <w:rFonts w:hint="eastAsia" w:ascii="黑体" w:eastAsia="黑体" w:cs="黑体"/>
          <w:b w:val="0"/>
          <w:bCs w:val="0"/>
          <w:sz w:val="32"/>
          <w:szCs w:val="32"/>
        </w:rPr>
        <w:tab/>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（一）项目完成情况。</w:t>
      </w:r>
      <w:r>
        <w:rPr>
          <w:rFonts w:hint="eastAsia" w:ascii="仿宋_GB2312" w:eastAsia="仿宋_GB2312" w:cs="仿宋_GB2312"/>
          <w:b w:val="0"/>
          <w:bCs w:val="0"/>
          <w:sz w:val="32"/>
          <w:szCs w:val="32"/>
          <w:lang w:val="en-US" w:eastAsia="zh-CN"/>
        </w:rPr>
        <w:t>2021年，通过下拨双拥工作经费，完成召开春节慰问会、双拥领导小组会；完成在八一等重要节日开展双拥宣传；对困难现役军人家庭开展慰问，确保双拥工作正常进行，提升了社会群众的知晓度，社会群众和服务对象总体满意度较高。</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（二）项目效益情况。</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rPr>
        <w:t>效益指标完成情况分析。</w:t>
      </w:r>
      <w:r>
        <w:rPr>
          <w:rFonts w:hint="eastAsia" w:ascii="仿宋_GB2312" w:eastAsia="仿宋_GB2312" w:cs="仿宋_GB2312"/>
          <w:b w:val="0"/>
          <w:bCs w:val="0"/>
          <w:sz w:val="32"/>
          <w:szCs w:val="32"/>
          <w:lang w:val="en-US" w:eastAsia="zh-CN"/>
        </w:rPr>
        <w:t>双拥双创工作经费社会效益、可持续效益显著提高和改善，提高社会群众关于双拥工作的知晓率，使得现役部队感受到了地方对其不遗余力的支持，以及驻广部队对广元人民的深情厚谊，有利于在全市服务与国防和军队建设，有利于形成关心国防、尊崇军人的社会风尚。</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rPr>
        <w:t>满意度指标完成情况分析。</w:t>
      </w:r>
      <w:r>
        <w:rPr>
          <w:rFonts w:hint="eastAsia" w:ascii="仿宋_GB2312" w:eastAsia="仿宋_GB2312" w:cs="仿宋_GB2312"/>
          <w:b w:val="0"/>
          <w:bCs w:val="0"/>
          <w:sz w:val="32"/>
          <w:szCs w:val="32"/>
          <w:lang w:val="en-US" w:eastAsia="zh-CN"/>
        </w:rPr>
        <w:t>社会群众和服务对象满意度较高，达到98%。</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（一）评价结论。</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从评价情况来看，项目严格按照资金管理办法进行使用，做好绩效监控，确保绩效目标实现。通过项目实施，有效提高社会群众关于双拥工作的知晓率，支持国防和军队建设、促进社会和谐稳定，在全社会积极营造拥军、爱军氛围。</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（二）存在的问题。</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随着全社会对双拥工作的重视程度不断加强，“全国双拥模范城”名额的不断缩减，我市由于驻军较少，常住人口流失严重，对创建新一届“全国双拥模范城”的难度正在不断加大。</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（三）相关建议。</w:t>
      </w:r>
    </w:p>
    <w:p>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从长远来看，双拥工作是一项长期的工作，我市作为川陕革命老区，红色资源非常丰富，未成功创建新一届“全国双拥模范城”，需要全市各级各部门通力合作，打造双拥亮点，创新工作，进一步提升广元的双拥竞争力。</w:t>
      </w:r>
    </w:p>
    <w:p>
      <w:pPr>
        <w:pStyle w:val="11"/>
        <w:rPr>
          <w:rFonts w:hint="eastAsia"/>
          <w:lang w:val="en-US" w:eastAsia="zh-CN"/>
        </w:rPr>
      </w:pPr>
    </w:p>
    <w:p>
      <w:pPr>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ind w:left="0" w:firstLine="0" w:firstLineChars="0"/>
        <w:rPr>
          <w:rFonts w:hint="eastAsia"/>
          <w:lang w:val="en-US" w:eastAsia="zh-CN"/>
        </w:rPr>
      </w:pPr>
    </w:p>
    <w:p>
      <w:pPr>
        <w:pStyle w:val="20"/>
        <w:ind w:left="0" w:firstLine="0" w:firstLineChars="0"/>
        <w:rPr>
          <w:rFonts w:hint="eastAsia"/>
          <w:lang w:val="en-US" w:eastAsia="zh-CN"/>
        </w:rPr>
      </w:pPr>
    </w:p>
    <w:tbl>
      <w:tblPr>
        <w:tblStyle w:val="14"/>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7"/>
        <w:gridCol w:w="1142"/>
        <w:gridCol w:w="1537"/>
        <w:gridCol w:w="1500"/>
        <w:gridCol w:w="1484"/>
        <w:gridCol w:w="1936"/>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6" w:type="dxa"/>
            <w:gridSpan w:val="6"/>
            <w:tcBorders>
              <w:top w:val="nil"/>
              <w:left w:val="nil"/>
              <w:bottom w:val="nil"/>
              <w:right w:val="nil"/>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楷体_GB2312" w:eastAsia="楷体_GB2312" w:cs="楷体_GB2312"/>
                <w:b w:val="0"/>
                <w:bCs/>
                <w:color w:val="auto"/>
                <w:sz w:val="30"/>
                <w:szCs w:val="30"/>
                <w:u w:val="none"/>
                <w:lang w:val="en-US" w:eastAsia="zh-CN" w:bidi="ar-SA"/>
              </w:rPr>
            </w:pPr>
            <w:r>
              <w:rPr>
                <w:rFonts w:hint="eastAsia" w:ascii="方正小标宋简体" w:eastAsia="方正小标宋简体" w:cs="方正小标宋简体"/>
                <w:b w:val="0"/>
                <w:bCs/>
                <w:color w:val="auto"/>
                <w:sz w:val="36"/>
                <w:szCs w:val="36"/>
                <w:u w:val="none"/>
                <w:lang w:val="en-US" w:eastAsia="zh-CN" w:bidi="ar-SA"/>
              </w:rPr>
              <w:t>2021年部门预算项目绩效目标自评</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eastAsia="宋体" w:cs="宋体"/>
                <w:b/>
                <w:color w:val="auto"/>
                <w:sz w:val="32"/>
                <w:szCs w:val="32"/>
                <w:u w:val="none"/>
                <w:lang w:bidi="ar-SA"/>
              </w:rPr>
            </w:pPr>
            <w:r>
              <w:rPr>
                <w:rFonts w:ascii="宋体" w:eastAsia="宋体" w:cs="宋体"/>
                <w:b/>
                <w:color w:val="auto"/>
                <w:sz w:val="32"/>
                <w:szCs w:val="32"/>
                <w:u w:val="none"/>
                <w:lang w:val="en-US" w:eastAsia="zh-CN" w:bidi="ar-SA"/>
              </w:rPr>
              <w:t>（双拥</w:t>
            </w:r>
            <w:r>
              <w:rPr>
                <w:rFonts w:hint="eastAsia" w:ascii="宋体" w:cs="宋体"/>
                <w:b/>
                <w:color w:val="auto"/>
                <w:sz w:val="32"/>
                <w:szCs w:val="32"/>
                <w:u w:val="none"/>
                <w:lang w:val="en-US" w:eastAsia="zh-CN" w:bidi="ar-SA"/>
              </w:rPr>
              <w:t>双创</w:t>
            </w:r>
            <w:r>
              <w:rPr>
                <w:rFonts w:ascii="宋体" w:eastAsia="宋体" w:cs="宋体"/>
                <w:b/>
                <w:color w:val="auto"/>
                <w:sz w:val="32"/>
                <w:szCs w:val="32"/>
                <w:u w:val="none"/>
                <w:lang w:val="en-US" w:eastAsia="zh-CN" w:bidi="ar-SA"/>
              </w:rPr>
              <w:t>工作经费）</w:t>
            </w:r>
          </w:p>
        </w:tc>
        <w:tc>
          <w:tcPr>
            <w:tcW w:w="234" w:type="dxa"/>
            <w:tcBorders>
              <w:top w:val="nil"/>
              <w:left w:val="nil"/>
              <w:bottom w:val="nil"/>
              <w:right w:val="nil"/>
              <w:tl2br w:val="nil"/>
              <w:tr2bl w:val="nil"/>
            </w:tcBorders>
            <w:vAlign w:val="center"/>
          </w:tcPr>
          <w:p>
            <w:pPr>
              <w:keepNext w:val="0"/>
              <w:keepLines w:val="0"/>
              <w:widowControl/>
              <w:suppressLineNumbers w:val="0"/>
              <w:jc w:val="center"/>
              <w:textAlignment w:val="center"/>
              <w:rPr>
                <w:rFonts w:hint="eastAsia" w:ascii="宋体" w:eastAsia="宋体" w:cs="宋体"/>
                <w:b/>
                <w:color w:val="auto"/>
                <w:kern w:val="0"/>
                <w:sz w:val="32"/>
                <w:szCs w:val="3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311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主管部门及代码</w:t>
            </w:r>
          </w:p>
        </w:tc>
        <w:tc>
          <w:tcPr>
            <w:tcW w:w="303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val="en-US" w:eastAsia="zh-CN" w:bidi="ar-SA"/>
              </w:rPr>
            </w:pPr>
            <w:r>
              <w:rPr>
                <w:rFonts w:hint="eastAsia" w:ascii="仿宋_GB2312" w:eastAsia="仿宋_GB2312" w:cs="仿宋_GB2312"/>
                <w:color w:val="auto"/>
                <w:sz w:val="18"/>
                <w:szCs w:val="18"/>
                <w:u w:val="none"/>
                <w:lang w:val="en-US" w:eastAsia="zh-CN" w:bidi="ar-SA"/>
              </w:rPr>
              <w:t>广元市退役军人事务局643001</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实施单位</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val="en-US" w:eastAsia="zh-CN" w:bidi="ar-SA"/>
              </w:rPr>
            </w:pPr>
            <w:r>
              <w:rPr>
                <w:rFonts w:hint="eastAsia" w:ascii="仿宋_GB2312" w:eastAsia="仿宋_GB2312" w:cs="仿宋_GB2312"/>
                <w:color w:val="auto"/>
                <w:sz w:val="18"/>
                <w:szCs w:val="18"/>
                <w:u w:val="none"/>
                <w:lang w:val="en-US" w:eastAsia="zh-CN"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3119"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项目预算</w:t>
            </w:r>
            <w:r>
              <w:rPr>
                <w:rFonts w:hint="eastAsia" w:ascii="仿宋_GB2312" w:eastAsia="仿宋_GB2312" w:cs="仿宋_GB2312"/>
                <w:color w:val="auto"/>
                <w:kern w:val="0"/>
                <w:sz w:val="18"/>
                <w:szCs w:val="18"/>
                <w:u w:val="none"/>
                <w:lang w:val="en-US" w:eastAsia="zh-CN" w:bidi="ar-SA"/>
              </w:rPr>
              <w:br w:type="textWrapping"/>
            </w:r>
            <w:r>
              <w:rPr>
                <w:rFonts w:hint="eastAsia" w:ascii="仿宋_GB2312" w:eastAsia="仿宋_GB2312" w:cs="仿宋_GB2312"/>
                <w:color w:val="auto"/>
                <w:kern w:val="0"/>
                <w:sz w:val="18"/>
                <w:szCs w:val="18"/>
                <w:u w:val="none"/>
                <w:lang w:val="en-US" w:eastAsia="zh-CN" w:bidi="ar-SA"/>
              </w:rPr>
              <w:t>执行情况</w:t>
            </w:r>
            <w:r>
              <w:rPr>
                <w:rFonts w:hint="eastAsia" w:ascii="仿宋_GB2312" w:eastAsia="仿宋_GB2312" w:cs="仿宋_GB2312"/>
                <w:color w:val="auto"/>
                <w:kern w:val="0"/>
                <w:sz w:val="18"/>
                <w:szCs w:val="18"/>
                <w:u w:val="none"/>
                <w:lang w:val="en-US" w:eastAsia="zh-CN" w:bidi="ar-SA"/>
              </w:rPr>
              <w:br w:type="textWrapping"/>
            </w:r>
            <w:r>
              <w:rPr>
                <w:rFonts w:hint="eastAsia" w:ascii="仿宋_GB2312" w:eastAsia="仿宋_GB2312" w:cs="仿宋_GB2312"/>
                <w:color w:val="auto"/>
                <w:kern w:val="0"/>
                <w:sz w:val="18"/>
                <w:szCs w:val="18"/>
                <w:u w:val="none"/>
                <w:lang w:val="en-US" w:eastAsia="zh-CN" w:bidi="ar-SA"/>
              </w:rPr>
              <w:t>（万元）</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预算数：</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10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执行数：</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3119"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财政拨款</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10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财政拨款</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3119"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其他资金</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其他资金</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sz w:val="18"/>
                <w:szCs w:val="18"/>
                <w:u w:val="none"/>
                <w:lang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年度总体目标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完成情况</w:t>
            </w: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预期目标</w:t>
            </w:r>
          </w:p>
        </w:tc>
        <w:tc>
          <w:tcPr>
            <w:tcW w:w="34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1.组织召开党委议军会议、军政座谈会议、双拥工作领导小组全体会议、“八一”军地座谈会、双拥专题会商等会议，负责参会人员食宿、会议资料印制、展板制作。</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2.印制双拥宣传资料，制作宣传短片，进行氛围打造。</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3.指导全市双拥工作持续开展。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rPr>
            </w:pPr>
            <w:r>
              <w:rPr>
                <w:rFonts w:hint="eastAsia" w:ascii="仿宋_GB2312" w:eastAsia="仿宋_GB2312" w:cs="仿宋_GB2312"/>
                <w:sz w:val="18"/>
                <w:szCs w:val="18"/>
              </w:rPr>
              <w:t>4.解决现役军人及退役军人家庭困难，开展走访慰问及常态化联系。</w:t>
            </w:r>
          </w:p>
        </w:tc>
        <w:tc>
          <w:tcPr>
            <w:tcW w:w="3420" w:type="dxa"/>
            <w:gridSpan w:val="2"/>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color w:val="auto"/>
                <w:sz w:val="18"/>
                <w:szCs w:val="18"/>
                <w:u w:val="none"/>
                <w:lang w:bidi="ar-SA"/>
              </w:rPr>
            </w:pPr>
            <w:r>
              <w:rPr>
                <w:rFonts w:hint="eastAsia" w:ascii="仿宋_GB2312" w:eastAsia="仿宋_GB2312" w:cs="仿宋_GB2312"/>
                <w:sz w:val="18"/>
                <w:szCs w:val="18"/>
                <w:lang w:bidi="ar-SA"/>
              </w:rPr>
              <w:t>完成召开春节慰问会、双拥领导小组会；完成在八一等重要节日开展双拥宣传；对困难现役军人家庭开展慰问。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年度绩效指标完成情况</w:t>
            </w:r>
          </w:p>
        </w:tc>
        <w:tc>
          <w:tcPr>
            <w:tcW w:w="1142" w:type="dxa"/>
            <w:tcBorders>
              <w:top w:val="single" w:color="000000" w:sz="4" w:space="0"/>
              <w:left w:val="nil"/>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一级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指标</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二级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三级</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指标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预期指标值</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指标</w:t>
            </w:r>
          </w:p>
        </w:tc>
        <w:tc>
          <w:tcPr>
            <w:tcW w:w="15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数量指标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做好双拥会议</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召开春节、八一慰问会</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在重要节点开展双拥宣传</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在八一等重要节日开展双拥宣传</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对困难现役军人家庭开展慰问。</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对困难现役军人家庭进行慰问</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质量指标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全面完成各项双拥工作</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按年度目标做好双拥工作</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时效指标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2021年</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全年</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eastAsia="仿宋_GB2312" w:cs="仿宋_GB2312"/>
                <w:sz w:val="18"/>
                <w:szCs w:val="18"/>
                <w:lang w:bidi="ar-SA"/>
              </w:rPr>
            </w:pPr>
            <w:r>
              <w:rPr>
                <w:rFonts w:hint="eastAsia" w:ascii="仿宋_GB2312" w:eastAsia="仿宋_GB2312" w:cs="仿宋_GB2312"/>
                <w:sz w:val="18"/>
                <w:szCs w:val="18"/>
                <w:lang w:bidi="ar-SA"/>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成本指标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10万元</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100%</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效益</w:t>
            </w:r>
            <w:r>
              <w:rPr>
                <w:rFonts w:hint="eastAsia" w:ascii="仿宋_GB2312" w:eastAsia="仿宋_GB2312" w:cs="仿宋_GB2312"/>
                <w:color w:val="auto"/>
                <w:kern w:val="0"/>
                <w:sz w:val="18"/>
                <w:szCs w:val="18"/>
                <w:u w:val="none"/>
                <w:lang w:val="en-US" w:eastAsia="zh-CN" w:bidi="ar-SA"/>
              </w:rPr>
              <w:br w:type="textWrapping"/>
            </w:r>
            <w:r>
              <w:rPr>
                <w:rFonts w:hint="eastAsia" w:ascii="仿宋_GB2312" w:eastAsia="仿宋_GB2312" w:cs="仿宋_GB2312"/>
                <w:color w:val="auto"/>
                <w:kern w:val="0"/>
                <w:sz w:val="18"/>
                <w:szCs w:val="18"/>
                <w:u w:val="none"/>
                <w:lang w:val="en-US" w:eastAsia="zh-CN" w:bidi="ar-SA"/>
              </w:rPr>
              <w:t>指标</w:t>
            </w:r>
          </w:p>
        </w:tc>
        <w:tc>
          <w:tcPr>
            <w:tcW w:w="15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社会效益  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sz w:val="18"/>
                <w:szCs w:val="18"/>
                <w:lang w:val="en-US" w:eastAsia="zh-CN" w:bidi="ar-SA"/>
              </w:rPr>
              <w:t>提高社会群众关于双拥工作的知晓率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≥98%</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color w:val="auto"/>
                <w:kern w:val="0"/>
                <w:sz w:val="18"/>
                <w:szCs w:val="18"/>
                <w:u w:val="none"/>
                <w:lang w:val="en-US" w:eastAsia="zh-CN" w:bidi="ar-SA"/>
              </w:rPr>
            </w:p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val="en-US" w:eastAsia="zh-CN" w:bidi="ar-SA"/>
              </w:rPr>
            </w:pPr>
            <w:r>
              <w:rPr>
                <w:rFonts w:hint="eastAsia" w:ascii="仿宋_GB2312" w:eastAsia="仿宋_GB2312" w:cs="仿宋_GB2312"/>
                <w:sz w:val="18"/>
                <w:szCs w:val="18"/>
                <w:lang w:val="en-US" w:eastAsia="zh-CN" w:bidi="ar-SA"/>
              </w:rPr>
              <w:t>支持国防和军队建设、促进社会和</w:t>
            </w:r>
            <w:r>
              <w:rPr>
                <w:rFonts w:hint="eastAsia" w:ascii="仿宋_GB2312" w:eastAsia="仿宋_GB2312" w:cs="仿宋_GB2312"/>
                <w:sz w:val="18"/>
                <w:szCs w:val="18"/>
                <w:lang w:bidi="ar-SA"/>
              </w:rPr>
              <w:t>谐稳定，在全社会积极营造拥军、爱军氛围</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长期</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93" w:hRule="atLeast"/>
        </w:trPr>
        <w:tc>
          <w:tcPr>
            <w:tcW w:w="1977" w:type="dxa"/>
            <w:vMerge w:val="continue"/>
            <w:tcBorders>
              <w:top w:val="nil"/>
              <w:left w:val="single" w:color="000000" w:sz="4" w:space="0"/>
              <w:bottom w:val="single" w:color="000000" w:sz="4" w:space="0"/>
              <w:right w:val="single" w:color="000000" w:sz="4" w:space="0"/>
              <w:tl2br w:val="nil"/>
              <w:tr2bl w:val="nil"/>
            </w:tcBorders>
            <w:vAlign w:val="center"/>
          </w:tcPr>
          <w:p/>
        </w:tc>
        <w:tc>
          <w:tcPr>
            <w:tcW w:w="114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满意</w:t>
            </w:r>
            <w:r>
              <w:rPr>
                <w:rFonts w:hint="eastAsia" w:ascii="仿宋_GB2312" w:eastAsia="仿宋_GB2312" w:cs="仿宋_GB2312"/>
                <w:color w:val="auto"/>
                <w:kern w:val="0"/>
                <w:sz w:val="18"/>
                <w:szCs w:val="18"/>
                <w:u w:val="none"/>
                <w:lang w:val="en-US" w:eastAsia="zh-CN" w:bidi="ar-SA"/>
              </w:rPr>
              <w:br w:type="textWrapping"/>
            </w:r>
            <w:r>
              <w:rPr>
                <w:rFonts w:hint="eastAsia" w:ascii="仿宋_GB2312" w:eastAsia="仿宋_GB2312" w:cs="仿宋_GB2312"/>
                <w:color w:val="auto"/>
                <w:kern w:val="0"/>
                <w:sz w:val="18"/>
                <w:szCs w:val="18"/>
                <w:u w:val="none"/>
                <w:lang w:val="en-US" w:eastAsia="zh-CN" w:bidi="ar-SA"/>
              </w:rPr>
              <w:t>度指标</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color w:val="auto"/>
                <w:kern w:val="0"/>
                <w:sz w:val="18"/>
                <w:szCs w:val="18"/>
                <w:u w:val="none"/>
                <w:lang w:val="en-US" w:eastAsia="zh-CN" w:bidi="ar-SA"/>
              </w:rPr>
            </w:pPr>
            <w:r>
              <w:rPr>
                <w:rFonts w:hint="eastAsia" w:ascii="仿宋_GB2312" w:eastAsia="仿宋_GB2312" w:cs="仿宋_GB2312"/>
                <w:color w:val="auto"/>
                <w:kern w:val="0"/>
                <w:sz w:val="18"/>
                <w:szCs w:val="18"/>
                <w:u w:val="none"/>
                <w:lang w:val="en-US" w:eastAsia="zh-CN" w:bidi="ar-SA"/>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color w:val="auto"/>
                <w:kern w:val="0"/>
                <w:sz w:val="18"/>
                <w:szCs w:val="18"/>
                <w:u w:val="none"/>
                <w:lang w:val="en-US" w:eastAsia="zh-CN" w:bidi="ar-SA"/>
              </w:rPr>
              <w:t>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color w:val="auto"/>
                <w:sz w:val="18"/>
                <w:szCs w:val="18"/>
                <w:u w:val="none"/>
                <w:lang w:bidi="ar-SA"/>
              </w:rPr>
            </w:pPr>
            <w:r>
              <w:rPr>
                <w:rFonts w:hint="eastAsia" w:ascii="仿宋_GB2312" w:eastAsia="仿宋_GB2312" w:cs="仿宋_GB2312"/>
                <w:sz w:val="18"/>
                <w:szCs w:val="18"/>
                <w:lang w:bidi="ar-SA"/>
              </w:rPr>
              <w:t>社会群体及部队满意</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≥98%</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eastAsia="仿宋_GB2312" w:cs="仿宋_GB2312"/>
                <w:sz w:val="18"/>
                <w:szCs w:val="18"/>
                <w:lang w:bidi="ar-SA"/>
              </w:rPr>
            </w:pPr>
            <w:r>
              <w:rPr>
                <w:rFonts w:hint="eastAsia" w:ascii="仿宋_GB2312" w:eastAsia="仿宋_GB2312" w:cs="仿宋_GB2312"/>
                <w:sz w:val="18"/>
                <w:szCs w:val="18"/>
                <w:lang w:bidi="ar-SA"/>
              </w:rPr>
              <w:t>≥98%</w:t>
            </w:r>
          </w:p>
        </w:tc>
      </w:tr>
    </w:tbl>
    <w:p>
      <w:pPr>
        <w:pStyle w:val="2"/>
        <w:rPr>
          <w:rFonts w:hint="eastAsia"/>
          <w:lang w:val="zh-CN"/>
        </w:rPr>
      </w:pPr>
    </w:p>
    <w:bookmarkEnd w:id="58"/>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jc w:val="center"/>
        <w:textAlignment w:val="auto"/>
        <w:rPr>
          <w:rFonts w:hint="eastAsia" w:ascii="方正小标宋简体" w:eastAsia="方正小标宋简体" w:cs="方正小标宋简体"/>
          <w:b w:val="0"/>
          <w:bCs w:val="0"/>
          <w:color w:val="auto"/>
          <w:sz w:val="44"/>
          <w:szCs w:val="44"/>
          <w:highlight w:val="none"/>
        </w:rPr>
      </w:pPr>
      <w:bookmarkStart w:id="59" w:name="_Toc15396619"/>
      <w:r>
        <w:rPr>
          <w:rFonts w:hint="eastAsia" w:ascii="方正小标宋简体" w:eastAsia="方正小标宋简体" w:cs="方正小标宋简体"/>
          <w:b w:val="0"/>
          <w:bCs w:val="0"/>
          <w:color w:val="auto"/>
          <w:sz w:val="44"/>
          <w:szCs w:val="44"/>
          <w:highlight w:val="none"/>
        </w:rPr>
        <w:t>第五部分 附</w:t>
      </w:r>
      <w:r>
        <w:rPr>
          <w:rFonts w:hint="eastAsia" w:ascii="方正小标宋简体" w:eastAsia="方正小标宋简体" w:cs="方正小标宋简体"/>
          <w:b w:val="0"/>
          <w:bCs w:val="0"/>
          <w:color w:val="auto"/>
          <w:sz w:val="44"/>
          <w:szCs w:val="44"/>
          <w:highlight w:val="none"/>
          <w:lang w:val="en-US" w:eastAsia="zh-CN"/>
        </w:rPr>
        <w:t xml:space="preserve">  </w:t>
      </w:r>
      <w:r>
        <w:rPr>
          <w:rFonts w:hint="eastAsia" w:ascii="方正小标宋简体" w:eastAsia="方正小标宋简体" w:cs="方正小标宋简体"/>
          <w:b w:val="0"/>
          <w:bCs w:val="0"/>
          <w:color w:val="auto"/>
          <w:sz w:val="44"/>
          <w:szCs w:val="44"/>
          <w:highlight w:val="none"/>
        </w:rPr>
        <w:t>表</w:t>
      </w:r>
    </w:p>
    <w:p>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eastAsia="仿宋_GB2312" w:cs="仿宋_GB2312"/>
          <w:color w:val="auto"/>
          <w:sz w:val="30"/>
          <w:szCs w:val="30"/>
          <w:highlight w:val="none"/>
        </w:rPr>
      </w:pP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一、收入支出决算总表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二、收入决算表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三、支出决算表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四、财政拨款收入支出决算总表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五、财政拨款支出决算明细表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六、一般公共预算财政拨款支出决算表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七、一般公共预算财政拨款支出决算明细表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八、一般公共预算财政拨款基本支出决算表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九、一般公共预算财政拨款项目支出决算表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十、一般公共预算财政拨款“三公”经费支出决算表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十一、政府性基金预算财政拨款收入支出决算表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十二、政府性基金预算财政拨款“三公”经费支出决算表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十三、国有资本经营预算</w:t>
      </w:r>
      <w:r>
        <w:rPr>
          <w:rFonts w:hint="eastAsia" w:ascii="仿宋_GB2312" w:eastAsia="仿宋_GB2312" w:cs="仿宋_GB2312"/>
          <w:color w:val="auto"/>
          <w:sz w:val="32"/>
          <w:szCs w:val="32"/>
          <w:highlight w:val="none"/>
          <w:lang w:eastAsia="zh-CN"/>
        </w:rPr>
        <w:t>财政拨款收入</w:t>
      </w:r>
      <w:r>
        <w:rPr>
          <w:rFonts w:hint="eastAsia" w:ascii="仿宋_GB2312" w:eastAsia="仿宋_GB2312" w:cs="仿宋_GB2312"/>
          <w:color w:val="auto"/>
          <w:sz w:val="32"/>
          <w:szCs w:val="32"/>
          <w:highlight w:val="none"/>
        </w:rPr>
        <w:t>支出决算表</w:t>
      </w:r>
    </w:p>
    <w:p>
      <w:pPr>
        <w:pStyle w:val="12"/>
        <w:keepNext w:val="0"/>
        <w:keepLines w:val="0"/>
        <w:pageBreakBefore w:val="0"/>
        <w:widowControl w:val="0"/>
        <w:kinsoku/>
        <w:wordWrap/>
        <w:overflowPunct/>
        <w:topLinePunct w:val="0"/>
        <w:autoSpaceDE/>
        <w:autoSpaceDN/>
        <w:bidi w:val="0"/>
        <w:adjustRightInd w:val="0"/>
        <w:snapToGrid w:val="0"/>
        <w:spacing w:line="700" w:lineRule="exact"/>
        <w:ind w:left="0" w:leftChars="0"/>
        <w:jc w:val="left"/>
        <w:textAlignment w:val="auto"/>
        <w:rPr>
          <w:rFonts w:hint="eastAsia"/>
          <w:lang w:eastAsia="zh-CN"/>
        </w:rPr>
      </w:pPr>
      <w:r>
        <w:rPr>
          <w:rFonts w:hint="eastAsia" w:ascii="仿宋_GB2312" w:eastAsia="仿宋_GB2312" w:cs="仿宋_GB2312"/>
          <w:color w:val="auto"/>
          <w:sz w:val="32"/>
          <w:szCs w:val="32"/>
          <w:highlight w:val="none"/>
          <w:lang w:val="en-US" w:eastAsia="zh-CN"/>
        </w:rPr>
        <w:t>十四、国有资本经营预算财政拨款支出决算表</w:t>
      </w:r>
      <w:bookmarkEnd w:id="59"/>
    </w:p>
    <w:p>
      <w:pPr>
        <w:pStyle w:val="20"/>
        <w:ind w:left="0" w:firstLine="0" w:firstLineChars="0"/>
        <w:jc w:val="both"/>
        <w:rPr>
          <w:rFonts w:hint="eastAsia" w:ascii="仿宋_GB2312" w:eastAsia="仿宋_GB2312" w:cs="仿宋_GB2312"/>
          <w:sz w:val="32"/>
          <w:szCs w:val="32"/>
          <w:lang w:eastAsia="zh-CN"/>
        </w:rPr>
      </w:pPr>
    </w:p>
    <w:p>
      <w:pPr>
        <w:pStyle w:val="20"/>
        <w:ind w:left="0" w:firstLine="0" w:firstLineChars="0"/>
        <w:jc w:val="both"/>
        <w:rPr>
          <w:rFonts w:hint="eastAsia" w:ascii="仿宋_GB2312" w:eastAsia="仿宋_GB2312" w:cs="仿宋_GB2312"/>
          <w:sz w:val="32"/>
          <w:szCs w:val="32"/>
          <w:lang w:eastAsia="zh-CN"/>
        </w:rPr>
      </w:pPr>
    </w:p>
    <w:p>
      <w:pPr>
        <w:pStyle w:val="20"/>
        <w:ind w:left="0" w:firstLine="0" w:firstLineChars="0"/>
        <w:jc w:val="both"/>
        <w:rPr>
          <w:rFonts w:hint="eastAsia" w:ascii="仿宋_GB2312" w:eastAsia="仿宋_GB2312" w:cs="仿宋_GB2312"/>
          <w:sz w:val="32"/>
          <w:szCs w:val="32"/>
          <w:lang w:eastAsia="zh-CN"/>
        </w:rPr>
      </w:pPr>
    </w:p>
    <w:p>
      <w:pPr>
        <w:pStyle w:val="20"/>
        <w:ind w:left="0" w:firstLine="0" w:firstLineChars="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附件：广元市退役军人事务局部门支出决算公开表</w:t>
      </w:r>
    </w:p>
    <w:p>
      <w:pPr>
        <w:pStyle w:val="20"/>
        <w:ind w:left="0" w:firstLine="0" w:firstLineChars="0"/>
        <w:rPr>
          <w:rFonts w:hint="eastAsia" w:ascii="黑体" w:eastAsia="黑体" w:cs="黑体"/>
          <w:lang w:eastAsia="zh-CN"/>
        </w:rPr>
      </w:pPr>
    </w:p>
    <w:p>
      <w:pPr>
        <w:pStyle w:val="20"/>
        <w:ind w:left="0" w:firstLine="0" w:firstLineChars="0"/>
        <w:rPr>
          <w:rFonts w:hint="eastAsia"/>
          <w:lang w:eastAsia="zh-CN"/>
        </w:rPr>
      </w:pPr>
    </w:p>
    <w:p>
      <w:pPr>
        <w:pStyle w:val="20"/>
        <w:ind w:left="0" w:firstLine="0" w:firstLineChars="0"/>
        <w:rPr>
          <w:rFonts w:hint="eastAsia"/>
          <w:lang w:eastAsia="zh-CN"/>
        </w:rPr>
      </w:pPr>
    </w:p>
    <w:p>
      <w:pPr>
        <w:pStyle w:val="20"/>
        <w:ind w:left="0" w:firstLine="0" w:firstLineChars="0"/>
        <w:rPr>
          <w:lang w:val="en-US" w:eastAsia="zh-CN"/>
        </w:rPr>
      </w:pPr>
    </w:p>
    <w:sectPr>
      <w:footerReference r:id="rId9" w:type="first"/>
      <w:footerReference r:id="rId8" w:type="default"/>
      <w:pgSz w:w="11906" w:h="16838"/>
      <w:pgMar w:top="2098" w:right="1474" w:bottom="1984" w:left="1587" w:header="851" w:footer="1559" w:gutter="0"/>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仿宋简体">
    <w:altName w:val="Times New Roman"/>
    <w:panose1 w:val="02010601030101010101"/>
    <w:charset w:val="86"/>
    <w:family w:val="auto"/>
    <w:pitch w:val="default"/>
    <w:sig w:usb0="00000000" w:usb1="00000000" w:usb2="00000000" w:usb3="00000000" w:csb0="00040000" w:csb1="00000000"/>
  </w:font>
  <w:font w:name="方正小标宋简体">
    <w:altName w:val="Times New Roman"/>
    <w:panose1 w:val="02010601030101010101"/>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4EFAD"/>
    <w:multiLevelType w:val="singleLevel"/>
    <w:tmpl w:val="B8F4EFAD"/>
    <w:lvl w:ilvl="0" w:tentative="0">
      <w:start w:val="1"/>
      <w:numFmt w:val="chineseCounting"/>
      <w:suff w:val="nothing"/>
      <w:lvlText w:val="%1、"/>
      <w:lvlJc w:val="left"/>
      <w:pPr>
        <w:ind w:left="0" w:firstLine="0"/>
      </w:pPr>
      <w:rPr>
        <w:rFonts w:hint="eastAsia"/>
      </w:rPr>
    </w:lvl>
  </w:abstractNum>
  <w:abstractNum w:abstractNumId="1">
    <w:nsid w:val="BF6FC109"/>
    <w:multiLevelType w:val="singleLevel"/>
    <w:tmpl w:val="BF6FC109"/>
    <w:lvl w:ilvl="0" w:tentative="0">
      <w:start w:val="1"/>
      <w:numFmt w:val="chineseCounting"/>
      <w:suff w:val="nothing"/>
      <w:lvlText w:val="（%1）"/>
      <w:lvlJc w:val="left"/>
      <w:pPr>
        <w:ind w:left="0" w:firstLine="0"/>
      </w:pPr>
      <w:rPr>
        <w:rFonts w:hint="eastAsia"/>
      </w:r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3">
    <w:nsid w:val="DFBC8597"/>
    <w:multiLevelType w:val="singleLevel"/>
    <w:tmpl w:val="DFBC8597"/>
    <w:lvl w:ilvl="0" w:tentative="0">
      <w:start w:val="1"/>
      <w:numFmt w:val="chineseCounting"/>
      <w:suff w:val="nothing"/>
      <w:lvlText w:val="（%1）"/>
      <w:lvlJc w:val="left"/>
      <w:pPr>
        <w:ind w:left="0" w:firstLine="0"/>
      </w:pPr>
      <w:rPr>
        <w:rFonts w:hint="eastAsia"/>
      </w:rPr>
    </w:lvl>
  </w:abstractNum>
  <w:abstractNum w:abstractNumId="4">
    <w:nsid w:val="DFBF4641"/>
    <w:multiLevelType w:val="singleLevel"/>
    <w:tmpl w:val="DFBF4641"/>
    <w:lvl w:ilvl="0" w:tentative="0">
      <w:start w:val="1"/>
      <w:numFmt w:val="chineseCounting"/>
      <w:suff w:val="nothing"/>
      <w:lvlText w:val="（%1）"/>
      <w:lvlJc w:val="left"/>
      <w:pPr>
        <w:ind w:left="0" w:firstLine="0"/>
      </w:pPr>
      <w:rPr>
        <w:rFonts w:hint="eastAsia"/>
      </w:rPr>
    </w:lvl>
  </w:abstractNum>
  <w:abstractNum w:abstractNumId="5">
    <w:nsid w:val="03E63B0B"/>
    <w:multiLevelType w:val="multilevel"/>
    <w:tmpl w:val="03E63B0B"/>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6">
    <w:nsid w:val="0E53340F"/>
    <w:multiLevelType w:val="multilevel"/>
    <w:tmpl w:val="0E53340F"/>
    <w:lvl w:ilvl="0" w:tentative="0">
      <w:start w:val="3"/>
      <w:numFmt w:val="decimal"/>
      <w:suff w:val="nothing"/>
      <w:lvlText w:val="%1．"/>
      <w:lvlJc w:val="left"/>
      <w:pPr>
        <w:ind w:left="-90" w:firstLine="0"/>
      </w:pPr>
      <w:rPr>
        <w:rFonts w:hint="default" w:ascii="Times New Roman" w:hAnsi="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
    <w:nsid w:val="2445355C"/>
    <w:multiLevelType w:val="multilevel"/>
    <w:tmpl w:val="2445355C"/>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33A62227"/>
    <w:multiLevelType w:val="multilevel"/>
    <w:tmpl w:val="33A62227"/>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3FFA828F"/>
    <w:multiLevelType w:val="singleLevel"/>
    <w:tmpl w:val="3FFA828F"/>
    <w:lvl w:ilvl="0" w:tentative="0">
      <w:start w:val="1"/>
      <w:numFmt w:val="chineseCounting"/>
      <w:suff w:val="nothing"/>
      <w:lvlText w:val="（%1）"/>
      <w:lvlJc w:val="left"/>
      <w:pPr>
        <w:ind w:left="0" w:firstLine="0"/>
      </w:pPr>
      <w:rPr>
        <w:rFonts w:hint="eastAsia"/>
      </w:rPr>
    </w:lvl>
  </w:abstractNum>
  <w:abstractNum w:abstractNumId="10">
    <w:nsid w:val="56D86CD9"/>
    <w:multiLevelType w:val="multilevel"/>
    <w:tmpl w:val="56D86CD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2"/>
  </w:num>
  <w:num w:numId="2">
    <w:abstractNumId w:val="6"/>
    <w:lvlOverride w:ilvl="0">
      <w:startOverride w:val="3"/>
      <w:lvl w:ilvl="0" w:tentative="1">
        <w:start w:val="3"/>
        <w:numFmt w:val="decimal"/>
        <w:suff w:val="nothing"/>
        <w:lvlText w:val="%1．"/>
        <w:lvlJc w:val="left"/>
        <w:pPr>
          <w:ind w:left="-90" w:firstLine="0"/>
        </w:pPr>
        <w:rPr>
          <w:rFonts w:hint="default" w:ascii="Times New Roman" w:hAnsi="Times New Roman" w:cs="Times New Roman"/>
        </w:rPr>
      </w:lvl>
    </w:lvlOverride>
    <w:lvlOverride w:ilvl="1">
      <w:startOverride w:val="1"/>
      <w:lvl w:ilvl="1" w:tentative="1">
        <w:start w:val="1"/>
        <w:numFmt w:val="decimal"/>
        <w:lvlText w:val="%2."/>
        <w:lvlJc w:val="left"/>
        <w:pPr>
          <w:ind w:left="1440" w:hanging="360"/>
        </w:pPr>
      </w:lvl>
    </w:lvlOverride>
    <w:lvlOverride w:ilvl="2">
      <w:startOverride w:val="1"/>
      <w:lvl w:ilvl="2" w:tentative="1">
        <w:start w:val="1"/>
        <w:numFmt w:val="decimal"/>
        <w:lvlText w:val="%3."/>
        <w:lvlJc w:val="left"/>
        <w:pPr>
          <w:ind w:left="2160" w:hanging="36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decimal"/>
        <w:lvlText w:val="%5."/>
        <w:lvlJc w:val="left"/>
        <w:pPr>
          <w:ind w:left="3600" w:hanging="360"/>
        </w:pPr>
      </w:lvl>
    </w:lvlOverride>
    <w:lvlOverride w:ilvl="5">
      <w:startOverride w:val="1"/>
      <w:lvl w:ilvl="5" w:tentative="1">
        <w:start w:val="1"/>
        <w:numFmt w:val="decimal"/>
        <w:lvlText w:val="%6."/>
        <w:lvlJc w:val="left"/>
        <w:pPr>
          <w:ind w:left="4320" w:hanging="36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decimal"/>
        <w:lvlText w:val="%8."/>
        <w:lvlJc w:val="left"/>
        <w:pPr>
          <w:ind w:left="5760" w:hanging="360"/>
        </w:pPr>
      </w:lvl>
    </w:lvlOverride>
    <w:lvlOverride w:ilvl="8">
      <w:startOverride w:val="1"/>
      <w:lvl w:ilvl="8" w:tentative="1">
        <w:start w:val="1"/>
        <w:numFmt w:val="decimal"/>
        <w:lvlText w:val="%9."/>
        <w:lvlJc w:val="left"/>
        <w:pPr>
          <w:ind w:left="6480" w:hanging="360"/>
        </w:pPr>
      </w:lvl>
    </w:lvlOverride>
  </w:num>
  <w:num w:numId="3">
    <w:abstractNumId w:val="7"/>
    <w:lvlOverride w:ilvl="0">
      <w:startOverride w:val="2"/>
      <w:lvl w:ilvl="0" w:tentative="1">
        <w:start w:val="2"/>
        <w:numFmt w:val="decimal"/>
        <w:suff w:val="nothing"/>
        <w:lvlText w:val="%1．"/>
        <w:lvlJc w:val="left"/>
        <w:pPr>
          <w:ind w:left="0" w:firstLine="0"/>
        </w:pPr>
        <w:rPr>
          <w:rFonts w:hint="default" w:ascii="Times New Roman" w:hAnsi="Times New Roman" w:cs="Times New Roman"/>
        </w:rPr>
      </w:lvl>
    </w:lvlOverride>
    <w:lvlOverride w:ilvl="1">
      <w:startOverride w:val="1"/>
      <w:lvl w:ilvl="1" w:tentative="1">
        <w:start w:val="1"/>
        <w:numFmt w:val="decimal"/>
        <w:lvlText w:val="%2."/>
        <w:lvlJc w:val="left"/>
        <w:pPr>
          <w:ind w:left="1440" w:hanging="360"/>
        </w:pPr>
      </w:lvl>
    </w:lvlOverride>
    <w:lvlOverride w:ilvl="2">
      <w:startOverride w:val="1"/>
      <w:lvl w:ilvl="2" w:tentative="1">
        <w:start w:val="1"/>
        <w:numFmt w:val="decimal"/>
        <w:lvlText w:val="%3."/>
        <w:lvlJc w:val="left"/>
        <w:pPr>
          <w:ind w:left="2160" w:hanging="36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decimal"/>
        <w:lvlText w:val="%5."/>
        <w:lvlJc w:val="left"/>
        <w:pPr>
          <w:ind w:left="3600" w:hanging="360"/>
        </w:pPr>
      </w:lvl>
    </w:lvlOverride>
    <w:lvlOverride w:ilvl="5">
      <w:startOverride w:val="1"/>
      <w:lvl w:ilvl="5" w:tentative="1">
        <w:start w:val="1"/>
        <w:numFmt w:val="decimal"/>
        <w:lvlText w:val="%6."/>
        <w:lvlJc w:val="left"/>
        <w:pPr>
          <w:ind w:left="4320" w:hanging="36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decimal"/>
        <w:lvlText w:val="%8."/>
        <w:lvlJc w:val="left"/>
        <w:pPr>
          <w:ind w:left="5760" w:hanging="360"/>
        </w:pPr>
      </w:lvl>
    </w:lvlOverride>
    <w:lvlOverride w:ilvl="8">
      <w:startOverride w:val="1"/>
      <w:lvl w:ilvl="8" w:tentative="1">
        <w:start w:val="1"/>
        <w:numFmt w:val="decimal"/>
        <w:lvlText w:val="%9."/>
        <w:lvlJc w:val="left"/>
        <w:pPr>
          <w:ind w:left="6480" w:hanging="360"/>
        </w:pPr>
      </w:lvl>
    </w:lvlOverride>
  </w:num>
  <w:num w:numId="4">
    <w:abstractNumId w:val="10"/>
    <w:lvlOverride w:ilvl="0">
      <w:startOverride w:val="2"/>
      <w:lvl w:ilvl="0" w:tentative="1">
        <w:start w:val="2"/>
        <w:numFmt w:val="decimal"/>
        <w:suff w:val="nothing"/>
        <w:lvlText w:val="%1．"/>
        <w:lvlJc w:val="left"/>
        <w:pPr>
          <w:ind w:left="0" w:firstLine="0"/>
        </w:pPr>
        <w:rPr>
          <w:rFonts w:hint="default" w:ascii="Times New Roman" w:hAnsi="Times New Roman" w:cs="Times New Roman"/>
        </w:rPr>
      </w:lvl>
    </w:lvlOverride>
    <w:lvlOverride w:ilvl="1">
      <w:startOverride w:val="1"/>
      <w:lvl w:ilvl="1" w:tentative="1">
        <w:start w:val="1"/>
        <w:numFmt w:val="decimal"/>
        <w:lvlText w:val="%2."/>
        <w:lvlJc w:val="left"/>
        <w:pPr>
          <w:ind w:left="1440" w:hanging="360"/>
        </w:pPr>
      </w:lvl>
    </w:lvlOverride>
    <w:lvlOverride w:ilvl="2">
      <w:startOverride w:val="1"/>
      <w:lvl w:ilvl="2" w:tentative="1">
        <w:start w:val="1"/>
        <w:numFmt w:val="decimal"/>
        <w:lvlText w:val="%3."/>
        <w:lvlJc w:val="left"/>
        <w:pPr>
          <w:ind w:left="2160" w:hanging="36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decimal"/>
        <w:lvlText w:val="%5."/>
        <w:lvlJc w:val="left"/>
        <w:pPr>
          <w:ind w:left="3600" w:hanging="360"/>
        </w:pPr>
      </w:lvl>
    </w:lvlOverride>
    <w:lvlOverride w:ilvl="5">
      <w:startOverride w:val="1"/>
      <w:lvl w:ilvl="5" w:tentative="1">
        <w:start w:val="1"/>
        <w:numFmt w:val="decimal"/>
        <w:lvlText w:val="%6."/>
        <w:lvlJc w:val="left"/>
        <w:pPr>
          <w:ind w:left="4320" w:hanging="36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decimal"/>
        <w:lvlText w:val="%8."/>
        <w:lvlJc w:val="left"/>
        <w:pPr>
          <w:ind w:left="5760" w:hanging="360"/>
        </w:pPr>
      </w:lvl>
    </w:lvlOverride>
    <w:lvlOverride w:ilvl="8">
      <w:startOverride w:val="1"/>
      <w:lvl w:ilvl="8" w:tentative="1">
        <w:start w:val="1"/>
        <w:numFmt w:val="decimal"/>
        <w:lvlText w:val="%9."/>
        <w:lvlJc w:val="left"/>
        <w:pPr>
          <w:ind w:left="6480" w:hanging="360"/>
        </w:pPr>
      </w:lvl>
    </w:lvlOverride>
  </w:num>
  <w:num w:numId="5">
    <w:abstractNumId w:val="5"/>
    <w:lvlOverride w:ilvl="0">
      <w:startOverride w:val="1"/>
      <w:lvl w:ilvl="0" w:tentative="1">
        <w:start w:val="1"/>
        <w:numFmt w:val="chineseCounting"/>
        <w:suff w:val="nothing"/>
        <w:lvlText w:val="（%1）"/>
        <w:lvlJc w:val="left"/>
        <w:pPr>
          <w:ind w:left="0" w:firstLine="0"/>
        </w:pPr>
        <w:rPr>
          <w:rFonts w:hint="eastAsia" w:ascii="宋体" w:hAnsi="宋体" w:eastAsia="宋体"/>
        </w:rPr>
      </w:lvl>
    </w:lvlOverride>
    <w:lvlOverride w:ilvl="1">
      <w:startOverride w:val="1"/>
      <w:lvl w:ilvl="1" w:tentative="1">
        <w:start w:val="1"/>
        <w:numFmt w:val="decimal"/>
        <w:lvlText w:val="%2."/>
        <w:lvlJc w:val="left"/>
        <w:pPr>
          <w:ind w:left="1440" w:hanging="360"/>
        </w:pPr>
      </w:lvl>
    </w:lvlOverride>
    <w:lvlOverride w:ilvl="2">
      <w:startOverride w:val="1"/>
      <w:lvl w:ilvl="2" w:tentative="1">
        <w:start w:val="1"/>
        <w:numFmt w:val="decimal"/>
        <w:lvlText w:val="%3."/>
        <w:lvlJc w:val="left"/>
        <w:pPr>
          <w:ind w:left="2160" w:hanging="36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decimal"/>
        <w:lvlText w:val="%5."/>
        <w:lvlJc w:val="left"/>
        <w:pPr>
          <w:ind w:left="3600" w:hanging="360"/>
        </w:pPr>
      </w:lvl>
    </w:lvlOverride>
    <w:lvlOverride w:ilvl="5">
      <w:startOverride w:val="1"/>
      <w:lvl w:ilvl="5" w:tentative="1">
        <w:start w:val="1"/>
        <w:numFmt w:val="decimal"/>
        <w:lvlText w:val="%6."/>
        <w:lvlJc w:val="left"/>
        <w:pPr>
          <w:ind w:left="4320" w:hanging="36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decimal"/>
        <w:lvlText w:val="%8."/>
        <w:lvlJc w:val="left"/>
        <w:pPr>
          <w:ind w:left="5760" w:hanging="360"/>
        </w:pPr>
      </w:lvl>
    </w:lvlOverride>
    <w:lvlOverride w:ilvl="8">
      <w:startOverride w:val="1"/>
      <w:lvl w:ilvl="8" w:tentative="1">
        <w:start w:val="1"/>
        <w:numFmt w:val="decimal"/>
        <w:lvlText w:val="%9."/>
        <w:lvlJc w:val="left"/>
        <w:pPr>
          <w:ind w:left="6480" w:hanging="360"/>
        </w:pPr>
      </w:lvl>
    </w:lvlOverride>
  </w:num>
  <w:num w:numId="6">
    <w:abstractNumId w:val="0"/>
  </w:num>
  <w:num w:numId="7">
    <w:abstractNumId w:val="1"/>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TU4YWI2ZWVkYTY0NTBkMjVlZmNmYzk1ZWQ4OTJlMjEifQ=="/>
  </w:docVars>
  <w:rsids>
    <w:rsidRoot w:val="00000000"/>
    <w:rsid w:val="1DFF9500"/>
    <w:rsid w:val="28C00505"/>
    <w:rsid w:val="4C7E0BD2"/>
    <w:rsid w:val="52BF65AA"/>
    <w:rsid w:val="575A67E2"/>
    <w:rsid w:val="61CB443D"/>
    <w:rsid w:val="6FF9B98C"/>
    <w:rsid w:val="C6731F82"/>
    <w:rsid w:val="EDFE9BBA"/>
    <w:rsid w:val="F7CB5C2B"/>
    <w:rsid w:val="F9E7F687"/>
    <w:rsid w:val="FEB9A55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able of figures"/>
    <w:basedOn w:val="1"/>
    <w:next w:val="1"/>
    <w:qFormat/>
    <w:uiPriority w:val="0"/>
    <w:pPr>
      <w:ind w:left="400" w:leftChars="200" w:hanging="200" w:hangingChars="200"/>
    </w:pPr>
  </w:style>
  <w:style w:type="paragraph" w:styleId="12">
    <w:name w:val="toc 2"/>
    <w:basedOn w:val="1"/>
    <w:next w:val="1"/>
    <w:qFormat/>
    <w:uiPriority w:val="0"/>
    <w:pPr>
      <w:tabs>
        <w:tab w:val="right" w:leader="dot" w:pos="8296"/>
      </w:tabs>
      <w:ind w:left="200" w:leftChars="200"/>
    </w:pPr>
  </w:style>
  <w:style w:type="paragraph" w:styleId="13">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heading 1 Char"/>
    <w:basedOn w:val="15"/>
    <w:link w:val="3"/>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5"/>
    <w:link w:val="4"/>
    <w:qFormat/>
    <w:uiPriority w:val="0"/>
    <w:rPr>
      <w:rFonts w:ascii="Cambria" w:hAnsi="Cambria" w:eastAsia="宋体" w:cs="Times New Roman"/>
      <w:b/>
      <w:bCs/>
      <w:kern w:val="2"/>
      <w:sz w:val="32"/>
      <w:szCs w:val="32"/>
      <w:lang w:val="en-US" w:eastAsia="zh-CN" w:bidi="ar-SA"/>
    </w:rPr>
  </w:style>
  <w:style w:type="paragraph" w:customStyle="1" w:styleId="20">
    <w:name w:val="常用样式（方正仿宋简）"/>
    <w:basedOn w:val="1"/>
    <w:qFormat/>
    <w:uiPriority w:val="0"/>
    <w:pPr>
      <w:spacing w:line="560" w:lineRule="exact"/>
      <w:ind w:firstLine="200" w:firstLineChars="200"/>
    </w:pPr>
    <w:rPr>
      <w:rFonts w:eastAsia="方正仿宋简体"/>
      <w:sz w:val="32"/>
    </w:rPr>
  </w:style>
  <w:style w:type="character" w:customStyle="1" w:styleId="21">
    <w:name w:val="Header Char"/>
    <w:basedOn w:val="15"/>
    <w:qFormat/>
    <w:uiPriority w:val="0"/>
    <w:rPr>
      <w:rFonts w:ascii="Times New Roman" w:hAnsi="Times New Roman"/>
      <w:sz w:val="18"/>
      <w:szCs w:val="18"/>
    </w:rPr>
  </w:style>
  <w:style w:type="character" w:customStyle="1" w:styleId="22">
    <w:name w:val="Footer Char"/>
    <w:basedOn w:val="15"/>
    <w:qFormat/>
    <w:uiPriority w:val="0"/>
    <w:rPr>
      <w:rFonts w:ascii="Times New Roman" w:hAnsi="Times New Roman"/>
      <w:sz w:val="18"/>
      <w:szCs w:val="18"/>
    </w:rPr>
  </w:style>
  <w:style w:type="character" w:customStyle="1" w:styleId="23">
    <w:name w:val="Body Text Char"/>
    <w:basedOn w:val="15"/>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BodyText"/>
    <w:basedOn w:val="1"/>
    <w:qFormat/>
    <w:uiPriority w:val="0"/>
    <w:pPr>
      <w:spacing w:after="120"/>
    </w:pPr>
  </w:style>
  <w:style w:type="paragraph" w:customStyle="1" w:styleId="29">
    <w:name w:val="Body text|1"/>
    <w:basedOn w:val="1"/>
    <w:qFormat/>
    <w:uiPriority w:val="0"/>
    <w:pPr>
      <w:spacing w:line="430" w:lineRule="auto"/>
      <w:ind w:firstLine="400"/>
    </w:pPr>
    <w:rPr>
      <w:rFonts w:ascii="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52</Pages>
  <Words>20209</Words>
  <Characters>21846</Characters>
  <Lines>1446</Lines>
  <Paragraphs>777</Paragraphs>
  <TotalTime>11</TotalTime>
  <ScaleCrop>false</ScaleCrop>
  <LinksUpToDate>false</LinksUpToDate>
  <CharactersWithSpaces>21944</CharactersWithSpaces>
  <Application>WPS Office WWO_wpscloud_20230627224307-608e93d780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2022-08-11T09:11:00Z</cp:lastPrinted>
  <dcterms:modified xsi:type="dcterms:W3CDTF">2023-07-16T15:11:37Z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5F000924353D1722245692641E476151</vt:lpwstr>
  </property>
</Properties>
</file>