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78441"/>
      <w:bookmarkStart w:id="3" w:name="_Toc15377193"/>
      <w:bookmarkStart w:id="4" w:name="_Toc15396597"/>
      <w:bookmarkStart w:id="5"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96476"/>
      <w:bookmarkStart w:id="7" w:name="_Toc15396598"/>
      <w:bookmarkStart w:id="8" w:name="_Toc15377426"/>
      <w:bookmarkStart w:id="9" w:name="_Toc15377194"/>
      <w:bookmarkStart w:id="10" w:name="_Toc15378442"/>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城市照明事务中心</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10</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1"/>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color w:val="auto"/>
          <w:sz w:val="24"/>
          <w:highlight w:val="none"/>
          <w:lang w:val="en-US" w:eastAsia="zh-CN"/>
        </w:rPr>
        <w:t>................................................................................4</w:t>
      </w:r>
    </w:p>
    <w:p>
      <w:pPr>
        <w:pStyle w:val="11"/>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color w:val="auto"/>
          <w:sz w:val="24"/>
          <w:highlight w:val="none"/>
          <w:lang w:val="en-US" w:eastAsia="zh-CN"/>
        </w:rPr>
        <w:t>...................................................4</w:t>
      </w: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一、收入支出决算总体情况说明</w:t>
      </w:r>
      <w:r>
        <w:rPr>
          <w:rFonts w:hint="eastAsia"/>
          <w:color w:val="auto"/>
          <w:sz w:val="24"/>
          <w:highlight w:val="none"/>
          <w:lang w:val="en-US" w:eastAsia="zh-CN"/>
        </w:rPr>
        <w:t>................................................6</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二、收入决算情况说明</w:t>
      </w:r>
      <w:r>
        <w:rPr>
          <w:rFonts w:hint="eastAsia"/>
          <w:color w:val="auto"/>
          <w:sz w:val="24"/>
          <w:highlight w:val="none"/>
          <w:lang w:val="en-US" w:eastAsia="zh-CN"/>
        </w:rPr>
        <w:t>................................................................7</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r>
        <w:rPr>
          <w:rFonts w:hint="eastAsia"/>
          <w:color w:val="auto"/>
          <w:sz w:val="24"/>
          <w:highlight w:val="none"/>
          <w:lang w:val="en-US" w:eastAsia="zh-CN"/>
        </w:rPr>
        <w:t>................................................................7</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val="en-US" w:eastAsia="zh-CN"/>
        </w:rPr>
        <w:t>................................8</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val="en-US" w:eastAsia="zh-CN"/>
        </w:rPr>
        <w:t>........................8</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val="en-US" w:eastAsia="zh-CN"/>
        </w:rPr>
        <w:t>..............11</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......................11</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val="en-US" w:eastAsia="zh-CN"/>
        </w:rPr>
        <w:t>..................................13</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val="en-US" w:eastAsia="zh-CN"/>
        </w:rPr>
        <w:t>..............................13</w:t>
      </w:r>
    </w:p>
    <w:p>
      <w:pPr>
        <w:pStyle w:val="11"/>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w:t>
      </w:r>
      <w:r>
        <w:rPr>
          <w:rFonts w:hint="eastAsia"/>
          <w:color w:val="auto"/>
          <w:sz w:val="24"/>
          <w:highlight w:val="none"/>
          <w:lang w:val="en-US" w:eastAsia="zh-CN"/>
        </w:rPr>
        <w:t>..............................................................13</w:t>
      </w:r>
    </w:p>
    <w:p>
      <w:pPr>
        <w:pStyle w:val="11"/>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color w:val="auto"/>
          <w:sz w:val="24"/>
          <w:highlight w:val="none"/>
          <w:lang w:val="en-US" w:eastAsia="zh-CN"/>
        </w:rPr>
        <w:t>..............................................14</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pageBreakBefore w:val="0"/>
        <w:widowControl w:val="0"/>
        <w:numPr>
          <w:ilvl w:val="0"/>
          <w:numId w:val="1"/>
        </w:numPr>
        <w:kinsoku/>
        <w:wordWrap/>
        <w:overflowPunct/>
        <w:topLinePunct w:val="0"/>
        <w:bidi w:val="0"/>
        <w:snapToGrid/>
        <w:spacing w:line="560" w:lineRule="exact"/>
        <w:textAlignment w:val="auto"/>
        <w:rPr>
          <w:rStyle w:val="25"/>
          <w:rFonts w:hint="eastAsia" w:ascii="黑体" w:hAnsi="黑体" w:eastAsia="黑体"/>
          <w:b w:val="0"/>
          <w:bCs w:val="0"/>
          <w:color w:val="auto"/>
          <w:highlight w:val="none"/>
          <w:lang w:eastAsia="zh-CN"/>
        </w:rPr>
      </w:pPr>
      <w:bookmarkStart w:id="14" w:name="_Toc15396600"/>
      <w:bookmarkStart w:id="15" w:name="_Toc15377197"/>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p>
    <w:p>
      <w:pPr>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2"/>
        <w:rPr>
          <w:rFonts w:hint="eastAsia"/>
        </w:rPr>
      </w:pPr>
      <w:r>
        <w:rPr>
          <w:rFonts w:hint="eastAsia" w:ascii="仿宋_GB2312" w:hAnsi="仿宋_GB2312" w:eastAsia="仿宋_GB2312" w:cs="仿宋_GB2312"/>
          <w:color w:val="000000"/>
          <w:sz w:val="32"/>
          <w:szCs w:val="32"/>
        </w:rPr>
        <w:t>负责市城区城市道路照明设施设备、公共景观照明工程的日常管理、维修维护；负责城市道路照明设施、公共景观照明设施设备意外损失赔偿、现场处置以及恢复工作；拟定城市照明的环保与节能措施、方案；负责城市照明节能可行性研究及绿色照明新材料、新技术使用等；参与新建市政道路照明设施设计审查、施工过程质量监管和竣工交验工作。</w:t>
      </w:r>
    </w:p>
    <w:p>
      <w:pPr>
        <w:pStyle w:val="4"/>
        <w:pageBreakBefore w:val="0"/>
        <w:widowControl w:val="0"/>
        <w:numPr>
          <w:ilvl w:val="0"/>
          <w:numId w:val="0"/>
        </w:numPr>
        <w:kinsoku/>
        <w:wordWrap/>
        <w:overflowPunct/>
        <w:topLinePunct w:val="0"/>
        <w:bidi w:val="0"/>
        <w:snapToGrid/>
        <w:spacing w:line="560" w:lineRule="exact"/>
        <w:textAlignment w:val="auto"/>
        <w:rPr>
          <w:rFonts w:hint="eastAsia" w:ascii="黑体" w:hAnsi="黑体" w:eastAsia="黑体"/>
          <w:b w:val="0"/>
          <w:color w:val="auto"/>
          <w:highlight w:val="none"/>
          <w:lang w:eastAsia="zh-CN"/>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pStyle w:val="4"/>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（一）加强日常巡查维修维护工作。全年出动巡查维修维护人员9300余人次，车辆3600余台次，维修照明设施3500余盏次，更换电缆5500余米，确保亮灯率达到98%以上。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（二）加强新建照明工程验收工作。完成对利州西路一标段、新民街、商业街3条新建道路照明设施的建设监督和竣工移交工作。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（三）加强“已建未亮”项目整改工作。督促梧桐路、万缘21号路、环城南路等17条道路照明设施“已建未亮”进行整改。目前已整改亮灯道路16条，剩余1条道路照明设施正在整改中。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（四）大力开展废旧照明设施清理工作。拆除公园、广场废旧灯杆52柱，恢复19柱；清理灯杆小广告、私拉乱接2700余处。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（五）积极推进照明设施灾后恢复工作。完成开元大桥、老鹰嘴大桥、老城南北街等灾后照明设施改造恢复139套。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（六）积极践行为民办实事活动。为陵宝一线、陵宝二线道路安装太阳能路灯106盏，切实解决周边群众夜间出行难问题。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（七）加强被撞照明设施追偿恢复工作。全年被撞灯杆34柱，追偿资金40.7万元。目前已纳入政府采购，预计明年6月全部安装完毕。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（八）大力开展节约用电工作。科学合理调整城区亮灯方式，关闭辅助性和装饰性照明，保障功能性照明，根据光照强度自动启闭，有效降低运行成本。全年节约电费支出约12%。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扎实做好生产安全工作。一是坚持每周一召开安全生产例会，传达学习相关文件精神、观看警示教育片、邀请专家专题讲座。二是加强安全隐患排查整改，每天安全巡查2次，及时消除安全隐患。今年对受大风天气影响的800余柱灯杆进行了加固。三是加强汛期对低洼地带、人员密集区的照明设施进行专项检查整改，严防雨天漏电伤人事故发生。四是加强照明设施窨井盖安全整改工作，共排查电缆窨井盖210余座，发现安全隐患11处，更换损坏窨井盖20处。五是加强外接用电安全管理，组织专项安全检查3次，发出整改通知4份。全年未发生安全事故。</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6"/>
      <w:bookmarkEnd w:id="17"/>
    </w:p>
    <w:p>
      <w:pPr>
        <w:rPr>
          <w:color w:val="auto"/>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2527.64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54.03</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2.09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。主要变动原因是年初结转和结余</w:t>
      </w:r>
      <w:r>
        <w:rPr>
          <w:rFonts w:hint="eastAsia" w:ascii="仿宋_GB2312" w:hAnsi="仿宋_GB2312" w:eastAsia="仿宋_GB2312" w:cs="仿宋_GB2312"/>
          <w:color w:val="000000"/>
          <w:sz w:val="32"/>
          <w:szCs w:val="32"/>
          <w:lang w:eastAsia="zh-CN"/>
        </w:rPr>
        <w:t>减少。</w:t>
      </w:r>
    </w:p>
    <w:p>
      <w:pPr>
        <w:pStyle w:val="2"/>
        <w:rPr>
          <w:rFonts w:hint="eastAsia" w:ascii="仿宋_GB2312" w:hAnsi="仿宋_GB2312" w:eastAsia="仿宋_GB2312" w:cs="仿宋_GB2312"/>
          <w:color w:val="000000"/>
          <w:sz w:val="32"/>
          <w:szCs w:val="32"/>
          <w:lang w:eastAsia="zh-CN"/>
        </w:rPr>
      </w:pPr>
    </w:p>
    <w:p>
      <w:pPr>
        <w:pStyle w:val="2"/>
        <w:jc w:val="center"/>
        <w:rPr>
          <w:rFonts w:hint="eastAsia" w:ascii="仿宋_GB2312" w:hAnsi="仿宋_GB2312" w:eastAsia="仿宋_GB2312" w:cs="仿宋_GB2312"/>
          <w:color w:val="000000"/>
          <w:sz w:val="32"/>
          <w:szCs w:val="32"/>
          <w:lang w:eastAsia="zh-CN"/>
        </w:rPr>
      </w:pPr>
      <w:r>
        <w:drawing>
          <wp:inline distT="0" distB="0" distL="114300" distR="114300">
            <wp:extent cx="3993515" cy="2554605"/>
            <wp:effectExtent l="4445" t="4445" r="21590" b="1270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spacing w:line="600" w:lineRule="exact"/>
        <w:ind w:firstLine="640" w:firstLineChars="200"/>
        <w:jc w:val="left"/>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1988.92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1527.4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76.79</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461.39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23.2</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hint="eastAsia"/>
        </w:rPr>
      </w:pPr>
    </w:p>
    <w:p>
      <w:pPr>
        <w:pStyle w:val="2"/>
        <w:jc w:val="center"/>
        <w:rPr>
          <w:rFonts w:hint="eastAsia"/>
        </w:rPr>
      </w:pPr>
      <w:r>
        <w:drawing>
          <wp:inline distT="0" distB="0" distL="114300" distR="114300">
            <wp:extent cx="3392805" cy="2573020"/>
            <wp:effectExtent l="4445" t="4445" r="12700" b="13335"/>
            <wp:docPr id="2" name="图表 1" descr="7b0a202020202263686172745265734964223a20223837333737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rPr>
          <w:rFonts w:hint="default" w:ascii="仿宋" w:hAnsi="仿宋" w:eastAsia="仿宋"/>
          <w:color w:val="auto"/>
          <w:sz w:val="32"/>
          <w:szCs w:val="32"/>
          <w:highlight w:val="none"/>
          <w:lang w:val="en-US" w:eastAsia="zh-CN"/>
        </w:rPr>
      </w:pP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spacing w:line="600" w:lineRule="exact"/>
        <w:ind w:firstLine="640" w:firstLineChars="200"/>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2140.35</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331.96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15.51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1808.39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84.49</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pStyle w:val="2"/>
        <w:jc w:val="center"/>
        <w:rPr>
          <w:rFonts w:hint="eastAsia"/>
        </w:rPr>
      </w:pPr>
      <w:r>
        <w:drawing>
          <wp:inline distT="0" distB="0" distL="114300" distR="114300">
            <wp:extent cx="3486785" cy="2479040"/>
            <wp:effectExtent l="4445" t="4445" r="13970" b="12065"/>
            <wp:docPr id="3" name="图表 1" descr="7b0a202020202263686172745265734964223a20223837333737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spacing w:line="600" w:lineRule="exact"/>
        <w:ind w:firstLine="640"/>
        <w:rPr>
          <w:rFonts w:ascii="仿宋" w:hAnsi="仿宋" w:eastAsia="仿宋"/>
          <w:color w:val="auto"/>
          <w:sz w:val="32"/>
          <w:szCs w:val="32"/>
          <w:highlight w:val="none"/>
          <w:shd w:val="pct10" w:color="auto" w:fill="FFFFFF"/>
        </w:rPr>
      </w:pP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2126.37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428.86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25.26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政府性基金收入支出增加。</w:t>
      </w:r>
    </w:p>
    <w:p>
      <w:pPr>
        <w:pStyle w:val="2"/>
        <w:jc w:val="center"/>
      </w:pPr>
      <w:r>
        <w:drawing>
          <wp:inline distT="0" distB="0" distL="114300" distR="114300">
            <wp:extent cx="4067810" cy="2880360"/>
            <wp:effectExtent l="4445" t="4445" r="23495" b="10795"/>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rPr>
          <w:rFonts w:ascii="仿宋" w:hAnsi="仿宋" w:eastAsia="仿宋"/>
          <w:color w:val="auto"/>
          <w:sz w:val="32"/>
          <w:szCs w:val="32"/>
          <w:highlight w:val="none"/>
        </w:rPr>
      </w:pPr>
    </w:p>
    <w:p>
      <w:pPr>
        <w:spacing w:line="600" w:lineRule="exact"/>
        <w:ind w:firstLine="960" w:firstLineChars="3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6"/>
      <w:bookmarkEnd w:id="27"/>
    </w:p>
    <w:p>
      <w:pPr>
        <w:spacing w:line="600" w:lineRule="exact"/>
        <w:ind w:firstLine="640"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1636.61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85.92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65.67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4.18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政府性基金支出增加。</w:t>
      </w:r>
    </w:p>
    <w:p>
      <w:pPr>
        <w:pStyle w:val="2"/>
        <w:jc w:val="center"/>
      </w:pPr>
      <w:r>
        <w:drawing>
          <wp:inline distT="0" distB="0" distL="114300" distR="114300">
            <wp:extent cx="3768725" cy="2787650"/>
            <wp:effectExtent l="4445" t="4445" r="17780" b="825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pStyle w:val="2"/>
      </w:pPr>
    </w:p>
    <w:p>
      <w:pPr>
        <w:spacing w:line="600" w:lineRule="exact"/>
        <w:ind w:firstLine="640"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1636.61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lang w:eastAsia="zh-CN"/>
        </w:rPr>
        <w:t>城乡社区支出（类）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1480.1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90.43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eastAsia="zh-CN"/>
        </w:rPr>
        <w:t>灾害防治及应急管理（类）支出</w:t>
      </w:r>
      <w:r>
        <w:rPr>
          <w:rFonts w:hint="eastAsia" w:ascii="仿宋" w:hAnsi="仿宋" w:eastAsia="仿宋"/>
          <w:color w:val="auto"/>
          <w:sz w:val="32"/>
          <w:szCs w:val="32"/>
          <w:highlight w:val="none"/>
          <w:lang w:val="en-US" w:eastAsia="zh-CN"/>
        </w:rPr>
        <w:t>101.69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6.21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20.95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10.48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0.64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23.39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1.42%</w:t>
      </w:r>
      <w:r>
        <w:rPr>
          <w:rFonts w:hint="eastAsia" w:ascii="仿宋" w:hAnsi="仿宋" w:eastAsia="仿宋"/>
          <w:color w:val="auto"/>
          <w:sz w:val="32"/>
          <w:szCs w:val="32"/>
          <w:highlight w:val="none"/>
        </w:rPr>
        <w:t>。</w:t>
      </w:r>
    </w:p>
    <w:p>
      <w:pPr>
        <w:pStyle w:val="2"/>
        <w:jc w:val="center"/>
        <w:rPr>
          <w:rFonts w:hint="eastAsia"/>
        </w:rPr>
      </w:pPr>
      <w:r>
        <w:drawing>
          <wp:inline distT="0" distB="0" distL="114300" distR="114300">
            <wp:extent cx="4316730" cy="2818130"/>
            <wp:effectExtent l="4445" t="4445" r="22225" b="15875"/>
            <wp:docPr id="5" name="图表 1" descr="7b0a202020202263686172745265734964223a20223837333737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rPr>
          <w:rFonts w:ascii="仿宋" w:hAnsi="仿宋" w:eastAsia="仿宋"/>
          <w:color w:val="auto"/>
          <w:sz w:val="32"/>
          <w:szCs w:val="32"/>
          <w:highlight w:val="none"/>
        </w:rPr>
      </w:pPr>
    </w:p>
    <w:p>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r>
        <w:rPr>
          <w:rFonts w:hint="eastAsia" w:ascii="仿宋" w:hAnsi="仿宋" w:eastAsia="仿宋"/>
          <w:color w:val="auto"/>
          <w:sz w:val="32"/>
          <w:szCs w:val="32"/>
          <w:highlight w:val="none"/>
          <w:lang w:eastAsia="zh-CN"/>
        </w:rPr>
        <w:t>图</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0" w:firstLineChars="200"/>
        <w:outlineLvl w:val="2"/>
        <w:rPr>
          <w:rFonts w:ascii="仿宋" w:hAnsi="仿宋" w:eastAsia="仿宋"/>
          <w:color w:val="auto"/>
          <w:sz w:val="32"/>
          <w:szCs w:val="32"/>
          <w:highlight w:val="none"/>
        </w:rPr>
      </w:pPr>
      <w:bookmarkStart w:id="31" w:name="_Toc15377213"/>
      <w:bookmarkStart w:id="32" w:name="_Toc15378460"/>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1636.61</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98.29</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1"/>
      <w:bookmarkEnd w:id="32"/>
      <w:bookmarkEnd w:id="33"/>
    </w:p>
    <w:p>
      <w:pPr>
        <w:spacing w:line="600" w:lineRule="exact"/>
        <w:ind w:firstLine="640"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1</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灾害防治及应急管理支出</w:t>
      </w:r>
      <w:r>
        <w:rPr>
          <w:rStyle w:val="14"/>
          <w:rFonts w:hint="eastAsia" w:ascii="仿宋" w:hAnsi="仿宋" w:eastAsia="仿宋"/>
          <w:bCs/>
          <w:color w:val="auto"/>
          <w:sz w:val="32"/>
          <w:szCs w:val="32"/>
          <w:highlight w:val="none"/>
        </w:rPr>
        <w:t>（类）自然灾害救灾及恢复重建支出（款</w:t>
      </w:r>
      <w:r>
        <w:rPr>
          <w:rStyle w:val="14"/>
          <w:rFonts w:hint="eastAsia" w:ascii="仿宋" w:hAnsi="仿宋" w:eastAsia="仿宋"/>
          <w:bCs/>
          <w:color w:val="auto"/>
          <w:sz w:val="32"/>
          <w:szCs w:val="32"/>
          <w:highlight w:val="none"/>
          <w:lang w:eastAsia="zh-CN"/>
        </w:rPr>
        <w:t>）</w:t>
      </w:r>
      <w:r>
        <w:rPr>
          <w:rStyle w:val="14"/>
          <w:rFonts w:hint="eastAsia" w:ascii="仿宋" w:hAnsi="仿宋" w:eastAsia="仿宋"/>
          <w:bCs/>
          <w:color w:val="auto"/>
          <w:sz w:val="32"/>
          <w:szCs w:val="32"/>
          <w:highlight w:val="none"/>
        </w:rPr>
        <w:t>自然灾害灾后重建补助（项）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101.69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86.18</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，决算数小于预算数的主要原因是</w:t>
      </w:r>
      <w:r>
        <w:rPr>
          <w:rStyle w:val="14"/>
          <w:rFonts w:hint="eastAsia" w:ascii="仿宋" w:hAnsi="仿宋" w:eastAsia="仿宋"/>
          <w:b w:val="0"/>
          <w:bCs w:val="0"/>
          <w:color w:val="auto"/>
          <w:sz w:val="32"/>
          <w:szCs w:val="32"/>
          <w:highlight w:val="none"/>
        </w:rPr>
        <w:t>自然灾害灾后重建补助</w:t>
      </w:r>
      <w:r>
        <w:rPr>
          <w:rStyle w:val="14"/>
          <w:rFonts w:hint="eastAsia" w:ascii="仿宋" w:hAnsi="仿宋" w:eastAsia="仿宋"/>
          <w:b w:val="0"/>
          <w:bCs w:val="0"/>
          <w:color w:val="auto"/>
          <w:sz w:val="32"/>
          <w:szCs w:val="32"/>
          <w:highlight w:val="none"/>
          <w:lang w:eastAsia="zh-CN"/>
        </w:rPr>
        <w:t>存在结余</w:t>
      </w:r>
      <w:r>
        <w:rPr>
          <w:rStyle w:val="14"/>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2</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住房保障支出</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住房改革支出</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住房公积金</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23.39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3</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城乡社区支出</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城乡社区公共设施</w:t>
      </w:r>
      <w:r>
        <w:rPr>
          <w:rStyle w:val="14"/>
          <w:rFonts w:hint="eastAsia" w:ascii="仿宋" w:hAnsi="仿宋" w:eastAsia="仿宋"/>
          <w:bCs/>
          <w:color w:val="auto"/>
          <w:sz w:val="32"/>
          <w:szCs w:val="32"/>
          <w:highlight w:val="none"/>
        </w:rPr>
        <w:t>（款）其他城乡社区公共设施支出（项）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1480.1</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99.19</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，决算数小于预算数的主要原因是其他城乡社区公共设施支出</w:t>
      </w:r>
      <w:r>
        <w:rPr>
          <w:rStyle w:val="14"/>
          <w:rFonts w:hint="eastAsia" w:ascii="仿宋" w:hAnsi="仿宋" w:eastAsia="仿宋"/>
          <w:b w:val="0"/>
          <w:bCs/>
          <w:color w:val="auto"/>
          <w:sz w:val="32"/>
          <w:szCs w:val="32"/>
          <w:highlight w:val="none"/>
          <w:lang w:eastAsia="zh-CN"/>
        </w:rPr>
        <w:t>项目电费及维护费存在少量结转</w:t>
      </w:r>
      <w:r>
        <w:rPr>
          <w:rStyle w:val="14"/>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4</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行政事业单位养老支出</w:t>
      </w:r>
      <w:r>
        <w:rPr>
          <w:rStyle w:val="14"/>
          <w:rFonts w:hint="eastAsia" w:ascii="仿宋" w:hAnsi="仿宋" w:eastAsia="仿宋"/>
          <w:bCs/>
          <w:color w:val="auto"/>
          <w:sz w:val="32"/>
          <w:szCs w:val="32"/>
          <w:highlight w:val="none"/>
        </w:rPr>
        <w:t>（款）  机关事业单位基本养老保险缴费支出（项）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20.95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5</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行政事业单位医疗支出</w:t>
      </w:r>
      <w:r>
        <w:rPr>
          <w:rStyle w:val="14"/>
          <w:rFonts w:hint="eastAsia" w:ascii="仿宋" w:hAnsi="仿宋" w:eastAsia="仿宋"/>
          <w:bCs/>
          <w:color w:val="auto"/>
          <w:sz w:val="32"/>
          <w:szCs w:val="32"/>
          <w:highlight w:val="none"/>
        </w:rPr>
        <w:t>（款）事业单位医疗</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10.48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4"/>
      <w:bookmarkEnd w:id="35"/>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331.83</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262.96</w:t>
      </w:r>
      <w:r>
        <w:rPr>
          <w:rFonts w:hint="eastAsia" w:ascii="仿宋" w:hAnsi="仿宋" w:eastAsia="仿宋"/>
          <w:color w:val="auto"/>
          <w:sz w:val="32"/>
          <w:szCs w:val="32"/>
          <w:highlight w:val="none"/>
        </w:rPr>
        <w:t>万元，主要包括：基本工资、津贴补贴、绩效工资、机关事业单位基本养老保险缴费、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其他社会保障缴费、其他工资福利支出、住房公积金、</w:t>
      </w:r>
      <w:r>
        <w:rPr>
          <w:rFonts w:hint="eastAsia" w:ascii="仿宋" w:hAnsi="仿宋" w:eastAsia="仿宋"/>
          <w:color w:val="auto"/>
          <w:sz w:val="32"/>
          <w:szCs w:val="32"/>
          <w:highlight w:val="none"/>
          <w:lang w:eastAsia="zh-CN"/>
        </w:rPr>
        <w:t>生活补助</w:t>
      </w:r>
      <w:r>
        <w:rPr>
          <w:rFonts w:hint="eastAsia" w:ascii="仿宋" w:hAnsi="仿宋" w:eastAsia="仿宋"/>
          <w:color w:val="auto"/>
          <w:sz w:val="32"/>
          <w:szCs w:val="32"/>
          <w:highlight w:val="none"/>
        </w:rPr>
        <w:t>。</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68.87</w:t>
      </w:r>
      <w:r>
        <w:rPr>
          <w:rFonts w:hint="eastAsia" w:ascii="仿宋" w:hAnsi="仿宋" w:eastAsia="仿宋"/>
          <w:color w:val="auto"/>
          <w:sz w:val="32"/>
          <w:szCs w:val="32"/>
          <w:highlight w:val="none"/>
        </w:rPr>
        <w:t>万元，主要包括：办公费、印刷费、咨询费、水费、邮电费、物业管理费、差旅费、会议费、培训费、工会经费、福利费、公务用车运行维护费、其他商品和服务支出、办公设备购置。</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1.72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68.77</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，决算数小于预算数（或与预算数持平）的主要原因是</w:t>
      </w:r>
      <w:r>
        <w:rPr>
          <w:rFonts w:hint="eastAsia" w:ascii="仿宋" w:hAnsi="仿宋" w:eastAsia="仿宋"/>
          <w:color w:val="auto"/>
          <w:sz w:val="32"/>
          <w:szCs w:val="32"/>
          <w:highlight w:val="none"/>
          <w:lang w:eastAsia="zh-CN"/>
        </w:rPr>
        <w:t>公务用车维修费用减少</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pPr>
      <w:bookmarkStart w:id="67" w:name="_GoBack"/>
      <w:r>
        <w:drawing>
          <wp:inline distT="0" distB="0" distL="114300" distR="114300">
            <wp:extent cx="3166110" cy="2666365"/>
            <wp:effectExtent l="4445" t="4445" r="10795" b="15240"/>
            <wp:docPr id="8" name="图表 1" descr="7b0a202020202263686172745265734964223a20223837333737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67"/>
    </w:p>
    <w:p>
      <w:pPr>
        <w:spacing w:line="600" w:lineRule="exact"/>
        <w:ind w:firstLine="1609" w:firstLineChars="503"/>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hint="eastAsia" w:ascii="仿宋_GB2312" w:hAnsi="仿宋_GB2312" w:eastAsia="仿宋_GB2312" w:cs="仿宋_GB2312"/>
          <w:b w:val="0"/>
          <w:bCs/>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s="仿宋_GB2312"/>
          <w:b w:val="0"/>
          <w:bCs/>
          <w:color w:val="auto"/>
          <w:sz w:val="32"/>
          <w:szCs w:val="32"/>
          <w:highlight w:val="none"/>
          <w:lang w:val="en-US" w:eastAsia="zh-CN"/>
        </w:rPr>
        <w:t>年初未安排预算，较2020年无变化</w:t>
      </w:r>
      <w:r>
        <w:rPr>
          <w:rFonts w:hint="eastAsia" w:ascii="仿宋_GB2312" w:hAnsi="仿宋_GB2312" w:eastAsia="仿宋_GB2312" w:cs="仿宋_GB2312"/>
          <w:b w:val="0"/>
          <w:bCs/>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1.72</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68.77</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0.08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4.44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公务用车维修费用减少</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w:t>
      </w:r>
      <w:r>
        <w:rPr>
          <w:rFonts w:hint="eastAsia" w:ascii="仿宋_GB2312" w:eastAsia="仿宋_GB2312"/>
          <w:color w:val="auto"/>
          <w:sz w:val="32"/>
          <w:szCs w:val="32"/>
          <w:highlight w:val="none"/>
          <w:lang w:eastAsia="zh-CN"/>
        </w:rPr>
        <w:t>未</w:t>
      </w:r>
      <w:r>
        <w:rPr>
          <w:rFonts w:hint="eastAsia" w:ascii="仿宋_GB2312" w:eastAsia="仿宋_GB2312"/>
          <w:color w:val="auto"/>
          <w:sz w:val="32"/>
          <w:szCs w:val="32"/>
          <w:highlight w:val="none"/>
        </w:rPr>
        <w:t>更新购置公务用车。截至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1.72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现场抢险、紧急检查</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firstLineChars="200"/>
        <w:rPr>
          <w:rFonts w:ascii="黑体" w:eastAsia="黑体"/>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lang w:eastAsia="zh-CN"/>
        </w:rPr>
        <w:t>未安排预算</w:t>
      </w:r>
      <w:r>
        <w:rPr>
          <w:rFonts w:hint="eastAsia" w:ascii="仿宋_GB2312" w:hAnsi="仿宋_GB2312" w:eastAsia="仿宋_GB2312" w:cs="仿宋_GB2312"/>
          <w:b w:val="0"/>
          <w:bCs/>
          <w:color w:val="auto"/>
          <w:sz w:val="32"/>
          <w:szCs w:val="32"/>
          <w:highlight w:val="none"/>
          <w:lang w:val="en-US" w:eastAsia="zh-CN"/>
        </w:rPr>
        <w:t>较2020年无变化。</w:t>
      </w:r>
      <w:bookmarkStart w:id="40" w:name="_Toc15396610"/>
      <w:bookmarkStart w:id="41" w:name="_Toc15377218"/>
    </w:p>
    <w:p>
      <w:pPr>
        <w:spacing w:line="600" w:lineRule="exact"/>
        <w:ind w:firstLine="640"/>
        <w:outlineLvl w:val="1"/>
        <w:rPr>
          <w:rStyle w:val="25"/>
          <w:rFonts w:ascii="黑体" w:hAnsi="黑体" w:eastAsia="黑体"/>
          <w:color w:val="auto"/>
          <w:highlight w:val="none"/>
        </w:rPr>
      </w:pPr>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461.39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包含城乡社区公共设施公共设施支出</w:t>
      </w:r>
      <w:r>
        <w:rPr>
          <w:rFonts w:hint="eastAsia" w:ascii="仿宋_GB2312" w:eastAsia="仿宋_GB2312"/>
          <w:color w:val="auto"/>
          <w:sz w:val="32"/>
          <w:szCs w:val="32"/>
          <w:highlight w:val="none"/>
          <w:lang w:val="en-US" w:eastAsia="zh-CN"/>
        </w:rPr>
        <w:t>341.7万元和城市环境卫生支出119.69万元。</w:t>
      </w:r>
    </w:p>
    <w:p>
      <w:pPr>
        <w:autoSpaceDE w:val="0"/>
        <w:autoSpaceDN w:val="0"/>
        <w:adjustRightInd w:val="0"/>
        <w:spacing w:line="600" w:lineRule="exact"/>
        <w:ind w:firstLine="640" w:firstLineChars="200"/>
        <w:jc w:val="left"/>
        <w:outlineLvl w:val="2"/>
        <w:rPr>
          <w:rFonts w:ascii="仿宋_GB2312" w:eastAsia="仿宋_GB2312"/>
          <w:color w:val="auto"/>
          <w:sz w:val="32"/>
          <w:szCs w:val="32"/>
          <w:highlight w:val="none"/>
        </w:rPr>
      </w:pPr>
      <w:r>
        <w:rPr>
          <w:rFonts w:hint="eastAsia" w:ascii="仿宋_GB2312" w:hAnsi="仿宋_GB2312" w:eastAsia="仿宋_GB2312" w:cs="仿宋_GB2312"/>
          <w:color w:val="000000"/>
          <w:kern w:val="0"/>
          <w:sz w:val="32"/>
          <w:szCs w:val="32"/>
          <w:shd w:val="clear" w:color="auto" w:fill="FFFFFF"/>
          <w:lang w:bidi="ar"/>
        </w:rPr>
        <w:t>202</w:t>
      </w:r>
      <w:r>
        <w:rPr>
          <w:rFonts w:hint="eastAsia" w:ascii="仿宋_GB2312" w:hAnsi="仿宋_GB2312" w:eastAsia="仿宋_GB2312" w:cs="仿宋_GB2312"/>
          <w:color w:val="000000"/>
          <w:kern w:val="0"/>
          <w:sz w:val="32"/>
          <w:szCs w:val="32"/>
          <w:shd w:val="clear" w:color="auto" w:fill="FFFFFF"/>
          <w:lang w:val="en-US" w:eastAsia="zh-CN" w:bidi="ar"/>
        </w:rPr>
        <w:t>1</w:t>
      </w:r>
      <w:r>
        <w:rPr>
          <w:rFonts w:hint="eastAsia" w:ascii="仿宋_GB2312" w:hAnsi="仿宋_GB2312" w:eastAsia="仿宋_GB2312" w:cs="仿宋_GB2312"/>
          <w:color w:val="000000"/>
          <w:kern w:val="0"/>
          <w:sz w:val="32"/>
          <w:szCs w:val="32"/>
          <w:shd w:val="clear" w:color="auto" w:fill="FFFFFF"/>
          <w:lang w:bidi="ar"/>
        </w:rPr>
        <w:t>年本单位未在政府性基金预算拨款安排“三公经费”支出</w:t>
      </w:r>
      <w:r>
        <w:rPr>
          <w:rFonts w:hint="eastAsia" w:ascii="仿宋_GB2312" w:hAnsi="仿宋_GB2312" w:eastAsia="仿宋_GB2312" w:cs="仿宋_GB2312"/>
          <w:color w:val="000000"/>
          <w:kern w:val="0"/>
          <w:sz w:val="32"/>
          <w:szCs w:val="32"/>
          <w:shd w:val="clear" w:color="auto" w:fill="FFFFFF"/>
          <w:lang w:eastAsia="zh-CN" w:bidi="ar"/>
        </w:rPr>
        <w:t>。</w:t>
      </w:r>
    </w:p>
    <w:p>
      <w:pPr>
        <w:numPr>
          <w:ilvl w:val="0"/>
          <w:numId w:val="3"/>
        </w:numPr>
        <w:spacing w:line="600" w:lineRule="exact"/>
        <w:ind w:firstLine="640"/>
        <w:outlineLvl w:val="1"/>
        <w:rPr>
          <w:rStyle w:val="25"/>
          <w:rFonts w:ascii="黑体" w:hAnsi="黑体" w:eastAsia="黑体"/>
          <w:b w:val="0"/>
          <w:color w:val="auto"/>
          <w:highlight w:val="none"/>
        </w:rPr>
      </w:pPr>
      <w:bookmarkStart w:id="42" w:name="_Toc15377219"/>
      <w:bookmarkStart w:id="43" w:name="_Toc15396611"/>
      <w:r>
        <w:rPr>
          <w:rStyle w:val="25"/>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25"/>
          <w:rFonts w:hint="eastAsia" w:ascii="黑体" w:hAnsi="黑体" w:eastAsia="黑体"/>
          <w:b w:val="0"/>
          <w:color w:val="auto"/>
          <w:highlight w:val="none"/>
        </w:rPr>
      </w:pPr>
      <w:bookmarkStart w:id="44" w:name="_Toc15377221"/>
      <w:bookmarkStart w:id="45" w:name="_Toc15396612"/>
      <w:r>
        <w:rPr>
          <w:rStyle w:val="25"/>
          <w:rFonts w:hint="eastAsia" w:ascii="黑体" w:hAnsi="黑体" w:eastAsia="黑体"/>
          <w:b w:val="0"/>
          <w:color w:val="auto"/>
          <w:highlight w:val="none"/>
          <w:lang w:val="en-US" w:eastAsia="zh-CN"/>
        </w:rPr>
        <w:t>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城市照明电费及维护费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5个项目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pStyle w:val="6"/>
        <w:rPr>
          <w:rFonts w:hint="eastAsia"/>
        </w:rPr>
      </w:pPr>
    </w:p>
    <w:p>
      <w:pPr>
        <w:numPr>
          <w:ilvl w:val="0"/>
          <w:numId w:val="3"/>
        </w:numPr>
        <w:spacing w:line="600" w:lineRule="exact"/>
        <w:ind w:firstLine="640"/>
        <w:outlineLvl w:val="1"/>
        <w:rPr>
          <w:rStyle w:val="25"/>
          <w:rFonts w:hint="eastAsia" w:ascii="黑体" w:hAnsi="黑体" w:eastAsia="黑体"/>
          <w:b w:val="0"/>
          <w:color w:val="auto"/>
          <w:highlight w:val="none"/>
        </w:rPr>
      </w:pPr>
      <w:r>
        <w:rPr>
          <w:rStyle w:val="25"/>
          <w:rFonts w:hint="eastAsia" w:ascii="黑体" w:hAnsi="黑体" w:eastAsia="黑体"/>
          <w:b w:val="0"/>
          <w:color w:val="auto"/>
          <w:highlight w:val="none"/>
        </w:rPr>
        <w:t>其他重要事项的情况说明</w:t>
      </w:r>
      <w:bookmarkEnd w:id="44"/>
      <w:bookmarkEnd w:id="45"/>
    </w:p>
    <w:p>
      <w:pPr>
        <w:spacing w:line="600" w:lineRule="exact"/>
        <w:ind w:firstLine="640"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 w:hAnsi="仿宋" w:eastAsia="仿宋" w:cs="仿宋"/>
          <w:b w:val="0"/>
          <w:bCs/>
          <w:i w:val="0"/>
          <w:iCs w:val="0"/>
          <w:caps w:val="0"/>
          <w:color w:val="000000"/>
          <w:spacing w:val="0"/>
          <w:sz w:val="32"/>
          <w:szCs w:val="32"/>
          <w:highlight w:val="none"/>
          <w:lang w:val="en-US" w:eastAsia="zh-CN"/>
        </w:rPr>
      </w:pPr>
      <w:r>
        <w:rPr>
          <w:rFonts w:hint="eastAsia" w:ascii="仿宋" w:hAnsi="仿宋" w:eastAsia="仿宋" w:cs="仿宋"/>
          <w:b w:val="0"/>
          <w:bCs/>
          <w:color w:val="auto"/>
          <w:sz w:val="32"/>
          <w:szCs w:val="32"/>
          <w:highlight w:val="none"/>
          <w:lang w:val="en-US" w:eastAsia="zh-CN"/>
        </w:rPr>
        <w:t>2021年</w:t>
      </w:r>
      <w:r>
        <w:rPr>
          <w:rFonts w:hint="eastAsia" w:ascii="仿宋" w:hAnsi="仿宋" w:eastAsia="仿宋" w:cs="仿宋"/>
          <w:b w:val="0"/>
          <w:bCs/>
          <w:i w:val="0"/>
          <w:iCs w:val="0"/>
          <w:caps w:val="0"/>
          <w:color w:val="000000"/>
          <w:spacing w:val="0"/>
          <w:sz w:val="32"/>
          <w:szCs w:val="32"/>
          <w:highlight w:val="none"/>
        </w:rPr>
        <w:t>未发生机关运行经费支出</w:t>
      </w:r>
      <w:r>
        <w:rPr>
          <w:rFonts w:hint="eastAsia" w:ascii="仿宋" w:hAnsi="仿宋" w:eastAsia="仿宋" w:cs="仿宋"/>
          <w:b w:val="0"/>
          <w:bCs/>
          <w:i w:val="0"/>
          <w:iCs w:val="0"/>
          <w:caps w:val="0"/>
          <w:color w:val="000000"/>
          <w:spacing w:val="0"/>
          <w:sz w:val="32"/>
          <w:szCs w:val="32"/>
          <w:highlight w:val="none"/>
          <w:lang w:eastAsia="zh-CN"/>
        </w:rPr>
        <w:t>，</w:t>
      </w:r>
      <w:r>
        <w:rPr>
          <w:rFonts w:hint="eastAsia" w:ascii="仿宋" w:hAnsi="仿宋" w:eastAsia="仿宋" w:cs="仿宋"/>
          <w:b w:val="0"/>
          <w:bCs/>
          <w:i w:val="0"/>
          <w:iCs w:val="0"/>
          <w:caps w:val="0"/>
          <w:color w:val="000000"/>
          <w:spacing w:val="0"/>
          <w:sz w:val="32"/>
          <w:szCs w:val="32"/>
          <w:highlight w:val="none"/>
          <w:lang w:val="en-US" w:eastAsia="zh-CN"/>
        </w:rPr>
        <w:t>与2020年决算数持平。</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广元市城市照明事务中心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123.96</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123.96</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城市照明设施维修材料</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广元市城市照明事务中心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照明设施日常巡逻维护的高空作业车、抢险皮卡等运维车辆。</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Style w:val="6"/>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英航存款利息收入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hint="eastAsia" w:ascii="仿宋_GB2312" w:eastAsia="仿宋_GB2312" w:cs="仿宋_GB2312"/>
          <w:color w:val="000000"/>
          <w:sz w:val="32"/>
          <w:szCs w:val="32"/>
          <w:lang w:val="en-US" w:eastAsia="zh-CN"/>
        </w:rPr>
        <w:t>6</w:t>
      </w:r>
      <w:r>
        <w:rPr>
          <w:rFonts w:ascii="仿宋_GB2312" w:eastAsia="仿宋_GB2312" w:cs="仿宋_GB2312"/>
          <w:color w:val="000000"/>
          <w:sz w:val="32"/>
          <w:szCs w:val="32"/>
        </w:rPr>
        <w:t>.</w:t>
      </w:r>
      <w:r>
        <w:rPr>
          <w:rStyle w:val="14"/>
          <w:rFonts w:hint="eastAsia" w:ascii="仿宋_GB2312" w:eastAsia="仿宋_GB2312" w:cs="仿宋_GB2312"/>
          <w:b w:val="0"/>
          <w:bCs w:val="0"/>
          <w:color w:val="000000"/>
          <w:sz w:val="32"/>
          <w:szCs w:val="32"/>
        </w:rPr>
        <w:t>社会保障和就业（类）行政事业单位离退休（款）机关事业单位基本养老保险缴费支出（项）</w:t>
      </w:r>
      <w:r>
        <w:rPr>
          <w:rFonts w:hint="eastAsia" w:ascii="仿宋_GB2312" w:eastAsia="仿宋_GB2312" w:cs="仿宋_GB2312"/>
          <w:color w:val="000000"/>
          <w:sz w:val="32"/>
          <w:szCs w:val="32"/>
        </w:rPr>
        <w:t>：指反映机关事业单位实施养老保险制度由单位缴纳的基本养老保险支出。</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hint="eastAsia" w:ascii="仿宋_GB2312" w:eastAsia="仿宋_GB2312" w:cs="仿宋_GB2312"/>
          <w:color w:val="000000"/>
          <w:sz w:val="32"/>
          <w:szCs w:val="32"/>
          <w:lang w:val="en-US" w:eastAsia="zh-CN"/>
        </w:rPr>
        <w:t>7</w:t>
      </w:r>
      <w:r>
        <w:rPr>
          <w:rFonts w:ascii="仿宋_GB2312" w:eastAsia="仿宋_GB2312" w:cs="仿宋_GB2312"/>
          <w:color w:val="000000"/>
          <w:sz w:val="32"/>
          <w:szCs w:val="32"/>
        </w:rPr>
        <w:t>.</w:t>
      </w:r>
      <w:r>
        <w:rPr>
          <w:rFonts w:hint="eastAsia" w:ascii="仿宋_GB2312" w:eastAsia="仿宋_GB2312"/>
          <w:color w:val="000000"/>
          <w:sz w:val="32"/>
          <w:szCs w:val="32"/>
        </w:rPr>
        <w:t>医疗卫生与计划生育</w:t>
      </w:r>
      <w:r>
        <w:rPr>
          <w:rStyle w:val="14"/>
          <w:rFonts w:hint="eastAsia" w:ascii="仿宋_GB2312" w:eastAsia="仿宋_GB2312" w:cs="仿宋_GB2312"/>
          <w:b w:val="0"/>
          <w:bCs w:val="0"/>
          <w:color w:val="000000"/>
          <w:sz w:val="32"/>
          <w:szCs w:val="32"/>
        </w:rPr>
        <w:t>（类）行政事业单位医疗（款）事业单位医疗（项）</w:t>
      </w:r>
      <w:r>
        <w:rPr>
          <w:rFonts w:hint="eastAsia" w:ascii="仿宋_GB2312" w:eastAsia="仿宋_GB2312" w:cs="仿宋_GB2312"/>
          <w:color w:val="000000"/>
          <w:sz w:val="32"/>
          <w:szCs w:val="32"/>
        </w:rPr>
        <w:t>：指反映财政部门集中安排的事业单位基本医疗保险缴费经费，未参加医疗保险的事业单位的公费医疗经费，按国家规定享受离休人员待遇的医疗经费。</w:t>
      </w:r>
    </w:p>
    <w:p>
      <w:pPr>
        <w:keepNext w:val="0"/>
        <w:keepLines w:val="0"/>
        <w:pageBreakBefore w:val="0"/>
        <w:kinsoku/>
        <w:wordWrap/>
        <w:overflowPunct/>
        <w:topLinePunct w:val="0"/>
        <w:bidi w:val="0"/>
        <w:spacing w:line="576" w:lineRule="exact"/>
        <w:ind w:firstLine="640" w:firstLineChars="200"/>
        <w:textAlignment w:val="auto"/>
        <w:rPr>
          <w:rStyle w:val="14"/>
          <w:rFonts w:hint="eastAsia" w:ascii="仿宋_GB2312" w:hAnsi="仿宋_GB2312" w:eastAsia="仿宋_GB2312" w:cs="仿宋_GB2312"/>
          <w:b w:val="0"/>
          <w:bCs w:val="0"/>
          <w:sz w:val="32"/>
          <w:szCs w:val="32"/>
          <w:lang w:val="en-US" w:eastAsia="zh-CN"/>
        </w:rPr>
      </w:pPr>
      <w:r>
        <w:rPr>
          <w:rStyle w:val="14"/>
          <w:rFonts w:hint="eastAsia" w:ascii="仿宋_GB2312" w:eastAsia="仿宋_GB2312" w:cs="仿宋_GB2312"/>
          <w:b w:val="0"/>
          <w:bCs w:val="0"/>
          <w:sz w:val="32"/>
          <w:szCs w:val="32"/>
          <w:lang w:val="en-US" w:eastAsia="zh-CN"/>
        </w:rPr>
        <w:t>8.</w:t>
      </w:r>
      <w:r>
        <w:rPr>
          <w:rFonts w:hint="eastAsia" w:ascii="仿宋_GB2312" w:hAnsi="仿宋_GB2312" w:eastAsia="仿宋_GB2312" w:cs="仿宋_GB2312"/>
          <w:i w:val="0"/>
          <w:iCs w:val="0"/>
          <w:caps w:val="0"/>
          <w:color w:val="000000"/>
          <w:spacing w:val="0"/>
          <w:sz w:val="32"/>
          <w:szCs w:val="32"/>
          <w:shd w:val="clear" w:fill="FFFFFF"/>
        </w:rPr>
        <w:t>城乡社区支出（类）城乡社区公共设施（款）其他城乡社区公共设施支出（项），指其他用于城乡社区公共设施方面的支出</w:t>
      </w:r>
      <w:r>
        <w:rPr>
          <w:rFonts w:hint="eastAsia" w:ascii="仿宋_GB2312" w:hAnsi="仿宋_GB2312" w:eastAsia="仿宋_GB2312" w:cs="仿宋_GB2312"/>
          <w:i w:val="0"/>
          <w:iCs w:val="0"/>
          <w:caps w:val="0"/>
          <w:color w:val="000000"/>
          <w:spacing w:val="0"/>
          <w:sz w:val="32"/>
          <w:szCs w:val="32"/>
          <w:shd w:val="clear" w:fill="FFFFFF"/>
          <w:lang w:eastAsia="zh-CN"/>
        </w:rPr>
        <w:t>。</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Style w:val="14"/>
          <w:rFonts w:hint="eastAsia" w:ascii="仿宋_GB2312" w:eastAsia="仿宋_GB2312" w:cs="仿宋_GB2312"/>
          <w:b w:val="0"/>
          <w:bCs w:val="0"/>
          <w:sz w:val="32"/>
          <w:szCs w:val="32"/>
          <w:lang w:val="en-US" w:eastAsia="zh-CN"/>
        </w:rPr>
        <w:t>9.</w:t>
      </w:r>
      <w:r>
        <w:rPr>
          <w:rStyle w:val="14"/>
          <w:rFonts w:hint="eastAsia" w:ascii="仿宋_GB2312" w:eastAsia="仿宋_GB2312" w:cs="仿宋_GB2312"/>
          <w:b w:val="0"/>
          <w:bCs w:val="0"/>
          <w:sz w:val="32"/>
          <w:szCs w:val="32"/>
        </w:rPr>
        <w:t>住房保障</w:t>
      </w:r>
      <w:r>
        <w:rPr>
          <w:rStyle w:val="14"/>
          <w:rFonts w:hint="eastAsia" w:ascii="仿宋_GB2312" w:eastAsia="仿宋_GB2312" w:cs="仿宋_GB2312"/>
          <w:b w:val="0"/>
          <w:bCs w:val="0"/>
          <w:color w:val="000000"/>
          <w:sz w:val="32"/>
          <w:szCs w:val="32"/>
        </w:rPr>
        <w:t>（类）住房改革支出（款）住房公积金（项）</w:t>
      </w:r>
      <w:r>
        <w:rPr>
          <w:rFonts w:hint="eastAsia" w:ascii="仿宋_GB2312" w:eastAsia="仿宋_GB2312" w:cs="仿宋_GB2312"/>
          <w:color w:val="000000"/>
          <w:sz w:val="32"/>
          <w:szCs w:val="32"/>
        </w:rPr>
        <w:t>：指反映行政事业单位按人力资源和社会保障部、财政部规定的基本工资和津贴补贴以及规定比例为职工缴纳住房公积金。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52"/>
    </w:p>
    <w:p>
      <w:pPr>
        <w:pStyle w:val="6"/>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pStyle w:val="30"/>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rPr>
      </w:pPr>
      <w:r>
        <w:rPr>
          <w:rFonts w:hint="eastAsia" w:ascii="方正小标宋简体" w:hAnsi="方正小标宋简体" w:eastAsia="方正小标宋简体" w:cs="方正小标宋简体"/>
          <w:b w:val="0"/>
          <w:bCs w:val="0"/>
          <w:color w:val="auto"/>
          <w:kern w:val="2"/>
          <w:sz w:val="40"/>
          <w:szCs w:val="40"/>
          <w:lang w:val="en-US" w:eastAsia="zh-CN"/>
        </w:rPr>
        <w:t>陵宝一线</w:t>
      </w:r>
    </w:p>
    <w:p>
      <w:pPr>
        <w:pStyle w:val="30"/>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2022年</w:t>
      </w:r>
      <w:r>
        <w:rPr>
          <w:rFonts w:hint="eastAsia" w:ascii="方正小标宋简体" w:hAnsi="方正小标宋简体" w:eastAsia="方正小标宋简体" w:cs="方正小标宋简体"/>
          <w:b w:val="0"/>
          <w:bCs w:val="0"/>
          <w:color w:val="auto"/>
          <w:kern w:val="2"/>
          <w:sz w:val="44"/>
          <w:szCs w:val="44"/>
          <w:lang w:eastAsia="zh-CN"/>
        </w:rPr>
        <w:t>专项预算项目支出</w:t>
      </w:r>
      <w:r>
        <w:rPr>
          <w:rFonts w:hint="eastAsia" w:ascii="方正小标宋简体" w:hAnsi="方正小标宋简体" w:eastAsia="方正小标宋简体" w:cs="方正小标宋简体"/>
          <w:b w:val="0"/>
          <w:bCs w:val="0"/>
          <w:color w:val="auto"/>
          <w:kern w:val="2"/>
          <w:sz w:val="44"/>
          <w:szCs w:val="44"/>
        </w:rPr>
        <w:t>绩效自评报告</w:t>
      </w:r>
    </w:p>
    <w:p>
      <w:pPr>
        <w:pStyle w:val="30"/>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楷体_GB2312" w:hAnsi="楷体_GB2312" w:eastAsia="楷体_GB2312" w:cs="楷体_GB2312"/>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lang w:val="zh-CN"/>
        </w:rPr>
      </w:pPr>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w:t>
      </w:r>
      <w:r>
        <w:rPr>
          <w:rFonts w:hint="eastAsia" w:ascii="仿宋_GB2312" w:hAnsi="仿宋_GB2312" w:eastAsia="仿宋_GB2312" w:cs="仿宋_GB2312"/>
          <w:b w:val="0"/>
          <w:bCs w:val="0"/>
          <w:sz w:val="32"/>
          <w:szCs w:val="32"/>
          <w:lang w:val="en-US" w:eastAsia="zh-CN"/>
        </w:rPr>
        <w:t>该项目为</w:t>
      </w:r>
      <w:r>
        <w:rPr>
          <w:rFonts w:hint="eastAsia" w:ascii="仿宋_GB2312" w:hAnsi="仿宋_GB2312" w:eastAsia="仿宋_GB2312" w:cs="仿宋_GB2312"/>
          <w:b w:val="0"/>
          <w:bCs w:val="0"/>
          <w:sz w:val="32"/>
          <w:szCs w:val="32"/>
          <w:lang w:val="zh-CN"/>
        </w:rPr>
        <w:t>广元市城市照明事务中心</w:t>
      </w:r>
      <w:r>
        <w:rPr>
          <w:rFonts w:hint="eastAsia" w:ascii="仿宋_GB2312" w:hAnsi="仿宋_GB2312" w:eastAsia="仿宋_GB2312" w:cs="仿宋_GB2312"/>
          <w:b w:val="0"/>
          <w:bCs w:val="0"/>
          <w:sz w:val="32"/>
          <w:szCs w:val="32"/>
          <w:lang w:val="en-US" w:eastAsia="zh-CN"/>
        </w:rPr>
        <w:t>2021年年中追加预算项目，由该单位根据其实际工作需要编制项目预算，</w:t>
      </w:r>
      <w:r>
        <w:rPr>
          <w:rFonts w:hint="eastAsia" w:ascii="仿宋_GB2312" w:hAnsi="仿宋_GB2312" w:eastAsia="仿宋_GB2312" w:cs="仿宋_GB2312"/>
          <w:b w:val="0"/>
          <w:bCs w:val="0"/>
          <w:sz w:val="32"/>
          <w:szCs w:val="32"/>
          <w:lang w:val="zh-CN"/>
        </w:rPr>
        <w:t>由广元市城市照明事务中心具体实施，广元市住房和城乡建设局作为主管部门，对该项目前期申报、后期实施过程具有指导及监督作用。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．该项目资金用于支持</w:t>
      </w:r>
      <w:r>
        <w:rPr>
          <w:rFonts w:hint="eastAsia" w:ascii="仿宋_GB2312" w:hAnsi="仿宋_GB2312" w:eastAsia="仿宋_GB2312" w:cs="仿宋_GB2312"/>
          <w:sz w:val="32"/>
          <w:szCs w:val="32"/>
        </w:rPr>
        <w:t>陵宝一线（滴水岩至川陕甘农产品交易中心段）安装照明设施有关事宜</w:t>
      </w:r>
      <w:r>
        <w:rPr>
          <w:rFonts w:hint="eastAsia" w:ascii="仿宋_GB2312" w:hAnsi="仿宋_GB2312" w:eastAsia="仿宋_GB2312" w:cs="仿宋_GB2312"/>
          <w:b w:val="0"/>
          <w:bCs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．资金分配的原则及考虑因素。该项目资金按合同约定按进度支付。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rPr>
        <w:t>1．项目主要内容。</w:t>
      </w:r>
      <w:r>
        <w:rPr>
          <w:rFonts w:hint="eastAsia" w:ascii="仿宋_GB2312" w:hAnsi="仿宋_GB2312" w:eastAsia="仿宋_GB2312" w:cs="仿宋_GB2312"/>
          <w:sz w:val="32"/>
          <w:szCs w:val="32"/>
        </w:rPr>
        <w:t>根据市人民政府《二季度民营企业困难问题会商会议纪要》（广府阅〔2021〕17号）“关于广元市川陕甘农产品贸易商会反应延伸安装照明路灯问题”精神，</w:t>
      </w:r>
      <w:r>
        <w:rPr>
          <w:rFonts w:hint="eastAsia" w:ascii="仿宋_GB2312" w:hAnsi="仿宋_GB2312" w:eastAsia="仿宋_GB2312" w:cs="仿宋_GB2312"/>
          <w:sz w:val="32"/>
          <w:szCs w:val="32"/>
          <w:lang w:eastAsia="zh-CN"/>
        </w:rPr>
        <w:t>市照明事务中心将在</w:t>
      </w:r>
      <w:r>
        <w:rPr>
          <w:rFonts w:hint="eastAsia" w:ascii="仿宋_GB2312" w:hAnsi="仿宋_GB2312" w:eastAsia="仿宋_GB2312" w:cs="仿宋_GB2312"/>
          <w:sz w:val="32"/>
          <w:szCs w:val="32"/>
        </w:rPr>
        <w:t>陵宝一线（滴水岩至川陕甘农产品交易中心段）安装照明设施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2．项目应实现的具体绩效目标，包括目标的量化、细化情况以及项目实施进度计划等。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zh-CN"/>
        </w:rPr>
        <w:t>）数量指标：安装太阳能路灯</w:t>
      </w:r>
      <w:r>
        <w:rPr>
          <w:rFonts w:hint="eastAsia" w:ascii="仿宋_GB2312" w:hAnsi="仿宋_GB2312" w:eastAsia="仿宋_GB2312" w:cs="仿宋_GB2312"/>
          <w:b w:val="0"/>
          <w:bCs w:val="0"/>
          <w:sz w:val="32"/>
          <w:szCs w:val="32"/>
          <w:lang w:val="en-US" w:eastAsia="zh-CN"/>
        </w:rPr>
        <w:t>100套</w:t>
      </w:r>
      <w:r>
        <w:rPr>
          <w:rFonts w:hint="eastAsia" w:ascii="仿宋_GB2312" w:hAnsi="仿宋_GB2312" w:eastAsia="仿宋_GB2312" w:cs="仿宋_GB2312"/>
          <w:b w:val="0"/>
          <w:bCs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）质量指标：保障照明设施亮灯率、完好率95%。</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）时效指标：</w:t>
      </w:r>
      <w:r>
        <w:rPr>
          <w:rFonts w:hint="eastAsia" w:ascii="仿宋_GB2312" w:hAnsi="仿宋_GB2312" w:eastAsia="仿宋_GB2312" w:cs="仿宋_GB2312"/>
          <w:b w:val="0"/>
          <w:bCs w:val="0"/>
          <w:sz w:val="32"/>
          <w:szCs w:val="32"/>
          <w:lang w:val="en-US" w:eastAsia="zh-CN"/>
        </w:rPr>
        <w:t>2021年12月31日前。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（4）成本指标：49.7万元。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3．改项目申报内容与实际相符，申报目标合理可行。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lang w:val="zh-CN" w:eastAsia="zh-CN"/>
        </w:rPr>
        <w:t>主管部门成立绩效评价小组,按照项目年初绩效目标申报表一一对照完成情况，以及《2022年市级专项预算项目支出绩效评价指标体系》进行自评。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该项目于</w:t>
      </w:r>
      <w:r>
        <w:rPr>
          <w:rFonts w:hint="eastAsia" w:ascii="仿宋_GB2312" w:hAnsi="仿宋_GB2312" w:eastAsia="仿宋_GB2312" w:cs="仿宋_GB2312"/>
          <w:b w:val="0"/>
          <w:bCs w:val="0"/>
          <w:sz w:val="32"/>
          <w:szCs w:val="32"/>
          <w:lang w:val="en-US" w:eastAsia="zh-CN"/>
        </w:rPr>
        <w:t>2021年年中下达。</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sz w:val="32"/>
          <w:szCs w:val="32"/>
          <w:lang w:val="zh-CN"/>
        </w:rPr>
      </w:pPr>
      <w:r>
        <w:rPr>
          <w:rFonts w:hint="eastAsia" w:ascii="楷体_GB2312" w:hAnsi="宋体" w:eastAsia="楷体_GB2312"/>
          <w:b w:val="0"/>
          <w:bCs w:val="0"/>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1．资金计划。</w:t>
      </w:r>
      <w:r>
        <w:rPr>
          <w:rFonts w:hint="eastAsia" w:ascii="仿宋_GB2312" w:hAnsi="仿宋_GB2312" w:eastAsia="仿宋_GB2312" w:cs="仿宋_GB2312"/>
          <w:b w:val="0"/>
          <w:bCs w:val="0"/>
          <w:sz w:val="32"/>
          <w:szCs w:val="32"/>
          <w:lang w:val="zh-CN"/>
        </w:rPr>
        <w:t>该项目资金由市级财政部门全额保障。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zh-CN"/>
        </w:rPr>
        <w:t>2．资金到位。</w:t>
      </w:r>
      <w:r>
        <w:rPr>
          <w:rFonts w:hint="eastAsia" w:ascii="仿宋_GB2312" w:hAnsi="仿宋_GB2312" w:eastAsia="仿宋_GB2312" w:cs="仿宋_GB2312"/>
          <w:b w:val="0"/>
          <w:bCs w:val="0"/>
          <w:sz w:val="32"/>
          <w:szCs w:val="32"/>
          <w:lang w:val="zh-CN"/>
        </w:rPr>
        <w:t>汇总统计截止评价时点该项目资金已到位</w:t>
      </w:r>
      <w:r>
        <w:rPr>
          <w:rFonts w:hint="eastAsia" w:ascii="仿宋_GB2312" w:hAnsi="仿宋_GB2312" w:eastAsia="仿宋_GB2312" w:cs="仿宋_GB2312"/>
          <w:b w:val="0"/>
          <w:bCs w:val="0"/>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zh-CN"/>
        </w:rPr>
        <w:t>3．资金使用。</w:t>
      </w:r>
      <w:r>
        <w:rPr>
          <w:rFonts w:hint="eastAsia" w:ascii="仿宋_GB2312" w:hAnsi="仿宋_GB2312" w:eastAsia="仿宋_GB2312" w:cs="仿宋_GB2312"/>
          <w:b w:val="0"/>
          <w:bCs w:val="0"/>
          <w:sz w:val="32"/>
          <w:szCs w:val="32"/>
          <w:lang w:val="zh-CN"/>
        </w:rPr>
        <w:t>汇总统计截止评价时点该项目资金已使用</w:t>
      </w:r>
      <w:r>
        <w:rPr>
          <w:rFonts w:hint="eastAsia" w:ascii="仿宋_GB2312" w:hAnsi="仿宋_GB2312" w:eastAsia="仿宋_GB2312" w:cs="仿宋_GB2312"/>
          <w:b w:val="0"/>
          <w:bCs w:val="0"/>
          <w:sz w:val="32"/>
          <w:szCs w:val="32"/>
          <w:lang w:val="en-US" w:eastAsia="zh-CN"/>
        </w:rPr>
        <w:t>41.72%。</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项目实施单位市照明事务中心财务管理制度健全，严格执行财务管理制度，账务处理及时，会计核算规范。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sz w:val="32"/>
          <w:szCs w:val="32"/>
          <w:lang w:val="zh-CN"/>
        </w:rPr>
      </w:pPr>
      <w:r>
        <w:rPr>
          <w:rFonts w:hint="eastAsia" w:ascii="黑体" w:hAnsi="宋体" w:eastAsia="黑体"/>
          <w:b w:val="0"/>
          <w:bCs w:val="0"/>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楷体_GB2312" w:hAnsi="宋体" w:eastAsia="楷体_GB2312"/>
          <w:b w:val="0"/>
          <w:bCs w:val="0"/>
          <w:sz w:val="32"/>
          <w:szCs w:val="32"/>
          <w:lang w:val="zh-CN"/>
        </w:rPr>
        <w:t>（一）项目组织架构及实施流程</w:t>
      </w:r>
      <w:r>
        <w:rPr>
          <w:rFonts w:hint="eastAsia" w:ascii="仿宋_GB2312" w:hAnsi="仿宋_GB2312" w:eastAsia="仿宋_GB2312" w:cs="仿宋_GB2312"/>
          <w:b w:val="0"/>
          <w:bCs w:val="0"/>
          <w:sz w:val="32"/>
          <w:szCs w:val="32"/>
          <w:lang w:val="zh-CN"/>
        </w:rPr>
        <w:t>。该项目由市照明事务中心组织实施，通过与第三方签订合同，按时按项目进度支付资金。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宋体" w:eastAsia="楷体_GB2312"/>
          <w:b w:val="0"/>
          <w:bCs w:val="0"/>
          <w:sz w:val="32"/>
          <w:szCs w:val="32"/>
          <w:lang w:val="zh-CN"/>
        </w:rPr>
        <w:t>（二）项目管理情况。</w:t>
      </w:r>
      <w:r>
        <w:rPr>
          <w:rFonts w:hint="eastAsia" w:ascii="仿宋_GB2312" w:hAnsi="仿宋_GB2312" w:eastAsia="仿宋_GB2312" w:cs="仿宋_GB2312"/>
          <w:b w:val="0"/>
          <w:bCs w:val="0"/>
          <w:sz w:val="32"/>
          <w:szCs w:val="32"/>
          <w:lang w:val="zh-CN"/>
        </w:rPr>
        <w:t>该项目内容为照明设施安装费用，市照明事务中心安工程进度支付项目资金。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楷体_GB2312" w:hAnsi="宋体" w:eastAsia="楷体_GB2312"/>
          <w:b w:val="0"/>
          <w:bCs w:val="0"/>
          <w:sz w:val="32"/>
          <w:szCs w:val="32"/>
          <w:lang w:val="zh-CN"/>
        </w:rPr>
        <w:t>（三）项目监管情况。</w:t>
      </w:r>
      <w:r>
        <w:rPr>
          <w:rFonts w:hint="eastAsia" w:ascii="仿宋_GB2312" w:hAnsi="仿宋_GB2312" w:eastAsia="仿宋_GB2312" w:cs="仿宋_GB2312"/>
          <w:b w:val="0"/>
          <w:bCs w:val="0"/>
          <w:sz w:val="32"/>
          <w:szCs w:val="32"/>
          <w:lang w:val="zh-CN"/>
        </w:rPr>
        <w:t>该项目要求实施部门定期报送项目资金使用进度，不定时报送绩效管理情况。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sz w:val="32"/>
          <w:szCs w:val="32"/>
          <w:lang w:val="zh-CN"/>
        </w:rPr>
      </w:pPr>
      <w:r>
        <w:rPr>
          <w:rFonts w:hint="eastAsia" w:ascii="黑体" w:hAnsi="宋体" w:eastAsia="黑体"/>
          <w:b w:val="0"/>
          <w:bCs w:val="0"/>
          <w:sz w:val="32"/>
          <w:szCs w:val="32"/>
        </w:rPr>
        <w:t>四、项目绩效情况</w:t>
      </w:r>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汇总统计截止评价时点该项目已完成</w:t>
      </w:r>
      <w:r>
        <w:rPr>
          <w:rFonts w:hint="eastAsia" w:ascii="仿宋_GB2312" w:hAnsi="仿宋_GB2312" w:eastAsia="仿宋_GB2312" w:cs="仿宋_GB2312"/>
          <w:b w:val="0"/>
          <w:bCs w:val="0"/>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（1）社会效益指标：体现女皇文化、三国文化，提升我市夜间经济，方便市民夜间安全出行。方便</w:t>
      </w:r>
      <w:r>
        <w:rPr>
          <w:rFonts w:hint="eastAsia" w:ascii="仿宋_GB2312" w:hAnsi="仿宋_GB2312" w:eastAsia="仿宋_GB2312" w:cs="仿宋_GB2312"/>
          <w:sz w:val="32"/>
          <w:szCs w:val="32"/>
        </w:rPr>
        <w:t>川陕甘农产品交易中心</w:t>
      </w:r>
      <w:r>
        <w:rPr>
          <w:rFonts w:hint="eastAsia" w:ascii="仿宋_GB2312" w:hAnsi="仿宋_GB2312" w:eastAsia="仿宋_GB2312" w:cs="仿宋_GB2312"/>
          <w:sz w:val="32"/>
          <w:szCs w:val="32"/>
          <w:lang w:eastAsia="zh-CN"/>
        </w:rPr>
        <w:t>运行及周边市民出行。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（2）满意度指标：市民满意度95%以上。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1"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zh-CN"/>
        </w:rPr>
        <w:t>该项目较好的完成了绩效目标。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1"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存在年初预算金额与实际支出略有差异的问题。</w:t>
      </w:r>
      <w:r>
        <w:rPr>
          <w:rFonts w:hint="eastAsia" w:ascii="仿宋_GB2312" w:hAnsi="仿宋_GB2312" w:eastAsia="仿宋_GB2312" w:cs="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1"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（三）相关建议。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建议通过预算编制培训，提高预算人员的专业水平，培养预算编织人员的责任，确保预算的准确性。</w:t>
      </w:r>
    </w:p>
    <w:p>
      <w:pPr>
        <w:pStyle w:val="2"/>
        <w:rPr>
          <w:rFonts w:hint="eastAsia" w:ascii="仿宋_GB2312" w:hAnsi="仿宋_GB2312" w:eastAsia="仿宋_GB2312" w:cs="仿宋_GB2312"/>
          <w:b w:val="0"/>
          <w:bCs w:val="0"/>
          <w:sz w:val="32"/>
          <w:szCs w:val="32"/>
          <w:lang w:eastAsia="zh-CN"/>
        </w:rPr>
      </w:pPr>
    </w:p>
    <w:p>
      <w:pPr>
        <w:pStyle w:val="2"/>
        <w:rPr>
          <w:rFonts w:hint="eastAsia" w:ascii="仿宋_GB2312" w:hAnsi="仿宋_GB2312" w:eastAsia="仿宋_GB2312" w:cs="仿宋_GB2312"/>
          <w:b w:val="0"/>
          <w:bCs w:val="0"/>
          <w:sz w:val="32"/>
          <w:szCs w:val="32"/>
          <w:lang w:eastAsia="zh-CN"/>
        </w:rPr>
      </w:pPr>
    </w:p>
    <w:p>
      <w:pPr>
        <w:pStyle w:val="2"/>
        <w:rPr>
          <w:rFonts w:hint="eastAsia" w:ascii="仿宋_GB2312" w:hAnsi="仿宋_GB2312" w:eastAsia="仿宋_GB2312" w:cs="仿宋_GB2312"/>
          <w:b w:val="0"/>
          <w:bCs w:val="0"/>
          <w:sz w:val="32"/>
          <w:szCs w:val="32"/>
          <w:lang w:eastAsia="zh-CN"/>
        </w:rPr>
      </w:pPr>
    </w:p>
    <w:p>
      <w:pPr>
        <w:pStyle w:val="30"/>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照明维护材料采购</w:t>
      </w:r>
    </w:p>
    <w:p>
      <w:pPr>
        <w:pStyle w:val="30"/>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2022年</w:t>
      </w:r>
      <w:r>
        <w:rPr>
          <w:rFonts w:hint="eastAsia" w:ascii="方正小标宋简体" w:hAnsi="方正小标宋简体" w:eastAsia="方正小标宋简体" w:cs="方正小标宋简体"/>
          <w:b w:val="0"/>
          <w:bCs w:val="0"/>
          <w:color w:val="auto"/>
          <w:kern w:val="2"/>
          <w:sz w:val="44"/>
          <w:szCs w:val="44"/>
          <w:lang w:eastAsia="zh-CN"/>
        </w:rPr>
        <w:t>专项预算项目支出</w:t>
      </w:r>
      <w:r>
        <w:rPr>
          <w:rFonts w:hint="eastAsia" w:ascii="方正小标宋简体" w:hAnsi="方正小标宋简体" w:eastAsia="方正小标宋简体" w:cs="方正小标宋简体"/>
          <w:b w:val="0"/>
          <w:bCs w:val="0"/>
          <w:color w:val="auto"/>
          <w:kern w:val="2"/>
          <w:sz w:val="44"/>
          <w:szCs w:val="44"/>
        </w:rPr>
        <w:t>绩效自评报告</w:t>
      </w:r>
    </w:p>
    <w:p>
      <w:pPr>
        <w:pStyle w:val="30"/>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楷体_GB2312" w:hAnsi="楷体_GB2312" w:eastAsia="楷体_GB2312" w:cs="楷体_GB2312"/>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b w:val="0"/>
          <w:bCs w:val="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b w:val="0"/>
          <w:bCs w:val="0"/>
          <w:sz w:val="32"/>
          <w:szCs w:val="32"/>
          <w:lang w:val="zh-CN"/>
        </w:rPr>
      </w:pPr>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w:t>
      </w:r>
      <w:r>
        <w:rPr>
          <w:rFonts w:hint="eastAsia" w:ascii="仿宋_GB2312" w:hAnsi="仿宋_GB2312" w:eastAsia="仿宋_GB2312" w:cs="仿宋_GB2312"/>
          <w:b w:val="0"/>
          <w:bCs w:val="0"/>
          <w:sz w:val="32"/>
          <w:szCs w:val="32"/>
          <w:lang w:val="en-US" w:eastAsia="zh-CN"/>
        </w:rPr>
        <w:t>该项目为</w:t>
      </w:r>
      <w:r>
        <w:rPr>
          <w:rFonts w:hint="eastAsia" w:ascii="仿宋_GB2312" w:hAnsi="仿宋_GB2312" w:eastAsia="仿宋_GB2312" w:cs="仿宋_GB2312"/>
          <w:b w:val="0"/>
          <w:bCs w:val="0"/>
          <w:sz w:val="32"/>
          <w:szCs w:val="32"/>
          <w:lang w:val="zh-CN"/>
        </w:rPr>
        <w:t>广元市城市照明事务中心</w:t>
      </w:r>
      <w:r>
        <w:rPr>
          <w:rFonts w:hint="eastAsia" w:ascii="仿宋_GB2312" w:hAnsi="仿宋_GB2312" w:eastAsia="仿宋_GB2312" w:cs="仿宋_GB2312"/>
          <w:b w:val="0"/>
          <w:bCs w:val="0"/>
          <w:sz w:val="32"/>
          <w:szCs w:val="32"/>
          <w:lang w:val="en-US" w:eastAsia="zh-CN"/>
        </w:rPr>
        <w:t>2021年年中追加预算项目，由该单位根据其实际工作需要编制项目预算，</w:t>
      </w:r>
      <w:r>
        <w:rPr>
          <w:rFonts w:hint="eastAsia" w:ascii="仿宋_GB2312" w:hAnsi="仿宋_GB2312" w:eastAsia="仿宋_GB2312" w:cs="仿宋_GB2312"/>
          <w:b w:val="0"/>
          <w:bCs w:val="0"/>
          <w:sz w:val="32"/>
          <w:szCs w:val="32"/>
          <w:lang w:val="zh-CN"/>
        </w:rPr>
        <w:t>由广元市城市照明事务中心具体实施，广元市住房和城乡建设局作为主管部门，对该项目前期申报、后期实施过程具有指导及监督作用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．该项目资金用于支付</w:t>
      </w:r>
      <w:r>
        <w:rPr>
          <w:rFonts w:hint="eastAsia" w:ascii="仿宋_GB2312" w:hAnsi="仿宋_GB2312" w:eastAsia="仿宋_GB2312" w:cs="仿宋_GB2312"/>
          <w:b w:val="0"/>
          <w:bCs w:val="0"/>
          <w:sz w:val="32"/>
          <w:szCs w:val="32"/>
          <w:lang w:val="en-US" w:eastAsia="zh-CN"/>
        </w:rPr>
        <w:t>2020及2021年度照明维护设施采购材料料款。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．资金分配的原则及考虑因素。该项目资金按合同约定按进度支付。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rPr>
        <w:t>1．项目主要内容。支付</w:t>
      </w:r>
      <w:r>
        <w:rPr>
          <w:rFonts w:hint="eastAsia" w:ascii="仿宋_GB2312" w:hAnsi="仿宋_GB2312" w:eastAsia="仿宋_GB2312" w:cs="仿宋_GB2312"/>
          <w:b w:val="0"/>
          <w:bCs w:val="0"/>
          <w:sz w:val="32"/>
          <w:szCs w:val="32"/>
          <w:lang w:val="en-US" w:eastAsia="zh-CN"/>
        </w:rPr>
        <w:t>2020年照明材料采购进度款及2021年照明材料款项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2．项目应实现的具体绩效目标，包括目标的量化、细化情况以及项目实施进度计划等。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zh-CN"/>
        </w:rPr>
        <w:t>）质量指标：保障照明设施亮灯率、完好率95%。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）时效指标：</w:t>
      </w:r>
      <w:r>
        <w:rPr>
          <w:rFonts w:hint="eastAsia" w:ascii="仿宋_GB2312" w:hAnsi="仿宋_GB2312" w:eastAsia="仿宋_GB2312" w:cs="仿宋_GB2312"/>
          <w:b w:val="0"/>
          <w:bCs w:val="0"/>
          <w:sz w:val="32"/>
          <w:szCs w:val="32"/>
          <w:lang w:val="en-US" w:eastAsia="zh-CN"/>
        </w:rPr>
        <w:t>2021年12月31日前。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（3）成本指标：150万元。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3．改项目申报内容与实际相符，申报目标合理可行。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lang w:val="zh-CN" w:eastAsia="zh-CN"/>
        </w:rPr>
        <w:t>主管部门成立绩效评价小组,按照项目年初绩效目标申报表一一对照完成情况，以及《2022年市级专项预算项目支出绩效评价指标体系》进行自评。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该项目于</w:t>
      </w:r>
      <w:r>
        <w:rPr>
          <w:rFonts w:hint="eastAsia" w:ascii="仿宋_GB2312" w:hAnsi="仿宋_GB2312" w:eastAsia="仿宋_GB2312" w:cs="仿宋_GB2312"/>
          <w:b w:val="0"/>
          <w:bCs w:val="0"/>
          <w:sz w:val="32"/>
          <w:szCs w:val="32"/>
          <w:lang w:val="en-US" w:eastAsia="zh-CN"/>
        </w:rPr>
        <w:t>2021年年中下达。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b w:val="0"/>
          <w:bCs w:val="0"/>
          <w:sz w:val="32"/>
          <w:szCs w:val="32"/>
          <w:lang w:val="zh-CN"/>
        </w:rPr>
      </w:pPr>
      <w:r>
        <w:rPr>
          <w:rFonts w:hint="eastAsia" w:ascii="楷体_GB2312" w:hAnsi="宋体" w:eastAsia="楷体_GB2312"/>
          <w:b w:val="0"/>
          <w:bCs w:val="0"/>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cs="仿宋_GB2312"/>
          <w:b/>
          <w:bCs/>
          <w:sz w:val="32"/>
          <w:szCs w:val="32"/>
          <w:lang w:val="zh-CN"/>
        </w:rPr>
      </w:pPr>
      <w:r>
        <w:rPr>
          <w:rFonts w:hint="eastAsia" w:ascii="仿宋_GB2312" w:hAnsi="仿宋_GB2312" w:eastAsia="仿宋_GB2312" w:cs="仿宋_GB2312"/>
          <w:b/>
          <w:bCs/>
          <w:sz w:val="32"/>
          <w:szCs w:val="32"/>
          <w:lang w:val="zh-CN"/>
        </w:rPr>
        <w:t>1．资金计划。</w:t>
      </w:r>
      <w:r>
        <w:rPr>
          <w:rFonts w:hint="eastAsia" w:ascii="仿宋_GB2312" w:hAnsi="仿宋_GB2312" w:eastAsia="仿宋_GB2312" w:cs="仿宋_GB2312"/>
          <w:b w:val="0"/>
          <w:bCs w:val="0"/>
          <w:sz w:val="32"/>
          <w:szCs w:val="32"/>
          <w:lang w:val="zh-CN"/>
        </w:rPr>
        <w:t>该项目资金由市级财政部门全额保障。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zh-CN"/>
        </w:rPr>
        <w:t>2．资金到位。</w:t>
      </w:r>
      <w:r>
        <w:rPr>
          <w:rFonts w:hint="eastAsia" w:ascii="仿宋_GB2312" w:hAnsi="仿宋_GB2312" w:eastAsia="仿宋_GB2312" w:cs="仿宋_GB2312"/>
          <w:b w:val="0"/>
          <w:bCs w:val="0"/>
          <w:sz w:val="32"/>
          <w:szCs w:val="32"/>
          <w:lang w:val="zh-CN"/>
        </w:rPr>
        <w:t>汇总统计截止评价时点该项目资金已到位</w:t>
      </w:r>
      <w:r>
        <w:rPr>
          <w:rFonts w:hint="eastAsia" w:ascii="仿宋_GB2312" w:hAnsi="仿宋_GB2312" w:eastAsia="仿宋_GB2312" w:cs="仿宋_GB2312"/>
          <w:b w:val="0"/>
          <w:bCs w:val="0"/>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_GB2312"/>
          <w:b w:val="0"/>
          <w:bCs w:val="0"/>
          <w:sz w:val="32"/>
          <w:szCs w:val="32"/>
          <w:lang w:val="en-US" w:eastAsia="zh-CN"/>
        </w:rPr>
      </w:pPr>
      <w:r>
        <w:rPr>
          <w:rFonts w:hint="eastAsia" w:ascii="仿宋_GB2312" w:hAnsi="仿宋_GB2312" w:eastAsia="仿宋_GB2312" w:cs="仿宋_GB2312"/>
          <w:b/>
          <w:bCs/>
          <w:sz w:val="32"/>
          <w:szCs w:val="32"/>
          <w:lang w:val="zh-CN"/>
        </w:rPr>
        <w:t>3．资金使用。</w:t>
      </w:r>
      <w:r>
        <w:rPr>
          <w:rFonts w:hint="eastAsia" w:ascii="仿宋_GB2312" w:hAnsi="仿宋_GB2312" w:eastAsia="仿宋_GB2312" w:cs="仿宋_GB2312"/>
          <w:b w:val="0"/>
          <w:bCs w:val="0"/>
          <w:sz w:val="32"/>
          <w:szCs w:val="32"/>
          <w:lang w:val="zh-CN"/>
        </w:rPr>
        <w:t>汇总统计截止评价时点该项目资金已使用</w:t>
      </w:r>
      <w:r>
        <w:rPr>
          <w:rFonts w:hint="eastAsia" w:ascii="仿宋_GB2312" w:hAnsi="仿宋_GB2312" w:eastAsia="仿宋_GB2312" w:cs="仿宋_GB2312"/>
          <w:b w:val="0"/>
          <w:bCs w:val="0"/>
          <w:sz w:val="32"/>
          <w:szCs w:val="32"/>
          <w:lang w:val="en-US" w:eastAsia="zh-CN"/>
        </w:rPr>
        <w:t>33.33%。</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项目实施单位市照明事务中心财务管理制度健全，严格执行财务管理制度，账务处理及时，会计核算规范。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b w:val="0"/>
          <w:bCs w:val="0"/>
          <w:sz w:val="32"/>
          <w:szCs w:val="32"/>
          <w:lang w:val="zh-CN"/>
        </w:rPr>
      </w:pPr>
      <w:r>
        <w:rPr>
          <w:rFonts w:hint="eastAsia" w:ascii="黑体" w:hAnsi="宋体" w:eastAsia="黑体"/>
          <w:b w:val="0"/>
          <w:bCs w:val="0"/>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楷体_GB2312" w:hAnsi="宋体" w:eastAsia="楷体_GB2312"/>
          <w:b w:val="0"/>
          <w:bCs w:val="0"/>
          <w:sz w:val="32"/>
          <w:szCs w:val="32"/>
          <w:lang w:val="zh-CN"/>
        </w:rPr>
        <w:t>（一）项目组织架构及实施流程</w:t>
      </w:r>
      <w:r>
        <w:rPr>
          <w:rFonts w:hint="eastAsia" w:ascii="仿宋_GB2312" w:hAnsi="仿宋_GB2312" w:eastAsia="仿宋_GB2312" w:cs="仿宋_GB2312"/>
          <w:b w:val="0"/>
          <w:bCs w:val="0"/>
          <w:sz w:val="32"/>
          <w:szCs w:val="32"/>
          <w:lang w:val="zh-CN"/>
        </w:rPr>
        <w:t>。该项目由市照明事务中心组织实施，通过与第三方签订采购合同，按时按项目进度支付资金。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b w:val="0"/>
          <w:bCs w:val="0"/>
          <w:sz w:val="32"/>
          <w:szCs w:val="32"/>
          <w:lang w:val="en-US" w:eastAsia="zh-CN"/>
        </w:rPr>
      </w:pPr>
      <w:r>
        <w:rPr>
          <w:rFonts w:hint="eastAsia" w:ascii="楷体_GB2312" w:hAnsi="宋体" w:eastAsia="楷体_GB2312"/>
          <w:b w:val="0"/>
          <w:bCs w:val="0"/>
          <w:sz w:val="32"/>
          <w:szCs w:val="32"/>
          <w:lang w:val="zh-CN"/>
        </w:rPr>
        <w:t>（二）项目管理情况。</w:t>
      </w:r>
      <w:r>
        <w:rPr>
          <w:rFonts w:hint="eastAsia" w:ascii="仿宋_GB2312" w:hAnsi="仿宋_GB2312" w:eastAsia="仿宋_GB2312" w:cs="仿宋_GB2312"/>
          <w:b w:val="0"/>
          <w:bCs w:val="0"/>
          <w:sz w:val="32"/>
          <w:szCs w:val="32"/>
          <w:lang w:val="zh-CN"/>
        </w:rPr>
        <w:t>该项目内容为照明维护材料采购费用，市照明事务中心按合同约定支付项目资金。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b w:val="0"/>
          <w:bCs w:val="0"/>
          <w:sz w:val="32"/>
          <w:szCs w:val="32"/>
          <w:lang w:val="zh-CN"/>
        </w:rPr>
      </w:pPr>
      <w:r>
        <w:rPr>
          <w:rFonts w:hint="eastAsia" w:ascii="楷体_GB2312" w:hAnsi="宋体" w:eastAsia="楷体_GB2312"/>
          <w:b w:val="0"/>
          <w:bCs w:val="0"/>
          <w:sz w:val="32"/>
          <w:szCs w:val="32"/>
          <w:lang w:val="zh-CN"/>
        </w:rPr>
        <w:t>（三）项目监管情况。</w:t>
      </w:r>
      <w:r>
        <w:rPr>
          <w:rFonts w:hint="eastAsia" w:ascii="仿宋_GB2312" w:hAnsi="仿宋_GB2312" w:eastAsia="仿宋_GB2312" w:cs="仿宋_GB2312"/>
          <w:b w:val="0"/>
          <w:bCs w:val="0"/>
          <w:sz w:val="32"/>
          <w:szCs w:val="32"/>
          <w:lang w:val="zh-CN"/>
        </w:rPr>
        <w:t>该项目要求实施部门定期报送项目资金使用进度，不定时报送绩效管理情况。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b w:val="0"/>
          <w:bCs w:val="0"/>
          <w:sz w:val="32"/>
          <w:szCs w:val="32"/>
          <w:lang w:val="zh-CN"/>
        </w:rPr>
      </w:pPr>
      <w:r>
        <w:rPr>
          <w:rFonts w:hint="eastAsia" w:ascii="黑体" w:hAnsi="宋体" w:eastAsia="黑体"/>
          <w:b w:val="0"/>
          <w:bCs w:val="0"/>
          <w:sz w:val="32"/>
          <w:szCs w:val="32"/>
        </w:rPr>
        <w:t>四、项目绩效情况</w:t>
      </w:r>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汇总统计截止评价时点该项目已完成</w:t>
      </w:r>
      <w:r>
        <w:rPr>
          <w:rFonts w:hint="eastAsia" w:ascii="仿宋_GB2312" w:hAnsi="仿宋_GB2312" w:eastAsia="仿宋_GB2312" w:cs="仿宋_GB2312"/>
          <w:b w:val="0"/>
          <w:bCs w:val="0"/>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（1）社会效益指标：体现女皇文化、三国文化，提升我市夜间经济，方便市民夜间安全出行。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（2）满意度指标：市民满意度95%以上。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zh-CN"/>
        </w:rPr>
        <w:t>该项目较好的完成了绩效目标。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b w:val="0"/>
          <w:bCs w:val="0"/>
          <w:sz w:val="32"/>
          <w:szCs w:val="32"/>
          <w:lang w:val="zh-CN"/>
        </w:rPr>
      </w:pPr>
      <w:r>
        <w:rPr>
          <w:rFonts w:hint="eastAsia" w:ascii="仿宋_GB2312" w:hAnsi="仿宋_GB2312" w:eastAsia="仿宋_GB2312" w:cs="仿宋_GB2312"/>
          <w:b w:val="0"/>
          <w:bCs w:val="0"/>
          <w:sz w:val="32"/>
          <w:szCs w:val="32"/>
          <w:lang w:val="zh-CN"/>
        </w:rPr>
        <w:t>存在年初预算金额与实际支出略有差异的问题。</w:t>
      </w:r>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（三）相关建议。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建议通过预算编制培训，提高预算人员的专业水平，培养预算编织人员的责任，确保预算的准确性。</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sz w:val="32"/>
          <w:szCs w:val="32"/>
          <w:lang w:eastAsia="zh-CN"/>
        </w:rPr>
      </w:pPr>
    </w:p>
    <w:p>
      <w:pPr>
        <w:pStyle w:val="6"/>
        <w:keepNext w:val="0"/>
        <w:keepLines w:val="0"/>
        <w:pageBreakBefore w:val="0"/>
        <w:widowControl w:val="0"/>
        <w:kinsoku/>
        <w:wordWrap/>
        <w:overflowPunct/>
        <w:topLinePunct w:val="0"/>
        <w:autoSpaceDE/>
        <w:autoSpaceDN/>
        <w:bidi w:val="0"/>
        <w:spacing w:line="560" w:lineRule="exact"/>
        <w:textAlignment w:val="auto"/>
        <w:rPr>
          <w:rFonts w:hint="eastAsia"/>
          <w:color w:val="auto"/>
          <w:highlight w:val="none"/>
          <w:lang w:val="zh-CN"/>
        </w:rPr>
      </w:pPr>
    </w:p>
    <w:p>
      <w:pPr>
        <w:pStyle w:val="6"/>
        <w:keepNext w:val="0"/>
        <w:keepLines w:val="0"/>
        <w:pageBreakBefore w:val="0"/>
        <w:widowControl w:val="0"/>
        <w:kinsoku/>
        <w:wordWrap/>
        <w:overflowPunct/>
        <w:topLinePunct w:val="0"/>
        <w:autoSpaceDE/>
        <w:autoSpaceDN/>
        <w:bidi w:val="0"/>
        <w:spacing w:line="560" w:lineRule="exact"/>
        <w:textAlignment w:val="auto"/>
        <w:rPr>
          <w:rFonts w:hint="eastAsia"/>
          <w:color w:val="auto"/>
          <w:highlight w:val="none"/>
          <w:lang w:val="zh-CN"/>
        </w:rPr>
      </w:pPr>
    </w:p>
    <w:p>
      <w:pPr>
        <w:pStyle w:val="6"/>
        <w:keepNext w:val="0"/>
        <w:keepLines w:val="0"/>
        <w:pageBreakBefore w:val="0"/>
        <w:widowControl w:val="0"/>
        <w:kinsoku/>
        <w:wordWrap/>
        <w:overflowPunct/>
        <w:topLinePunct w:val="0"/>
        <w:autoSpaceDE/>
        <w:autoSpaceDN/>
        <w:bidi w:val="0"/>
        <w:spacing w:line="560" w:lineRule="exact"/>
        <w:textAlignment w:val="auto"/>
        <w:rPr>
          <w:rFonts w:hint="eastAsia"/>
          <w:color w:val="auto"/>
          <w:highlight w:val="none"/>
          <w:lang w:val="zh-CN"/>
        </w:rPr>
      </w:pPr>
    </w:p>
    <w:p>
      <w:pPr>
        <w:pStyle w:val="6"/>
        <w:keepNext w:val="0"/>
        <w:keepLines w:val="0"/>
        <w:pageBreakBefore w:val="0"/>
        <w:widowControl w:val="0"/>
        <w:kinsoku/>
        <w:wordWrap/>
        <w:overflowPunct/>
        <w:topLinePunct w:val="0"/>
        <w:autoSpaceDE/>
        <w:autoSpaceDN/>
        <w:bidi w:val="0"/>
        <w:spacing w:line="560" w:lineRule="exact"/>
        <w:textAlignment w:val="auto"/>
        <w:rPr>
          <w:rFonts w:hint="eastAsia"/>
          <w:color w:val="auto"/>
          <w:highlight w:val="none"/>
          <w:lang w:val="zh-CN"/>
        </w:rPr>
      </w:pPr>
    </w:p>
    <w:p>
      <w:pPr>
        <w:pStyle w:val="6"/>
        <w:keepNext w:val="0"/>
        <w:keepLines w:val="0"/>
        <w:pageBreakBefore w:val="0"/>
        <w:widowControl w:val="0"/>
        <w:kinsoku/>
        <w:wordWrap/>
        <w:overflowPunct/>
        <w:topLinePunct w:val="0"/>
        <w:autoSpaceDE/>
        <w:autoSpaceDN/>
        <w:bidi w:val="0"/>
        <w:spacing w:line="560" w:lineRule="exact"/>
        <w:textAlignment w:val="auto"/>
        <w:rPr>
          <w:rFonts w:hint="eastAsia"/>
          <w:color w:val="auto"/>
          <w:highlight w:val="none"/>
          <w:lang w:val="zh-CN"/>
        </w:rPr>
      </w:pPr>
    </w:p>
    <w:p>
      <w:pPr>
        <w:pStyle w:val="6"/>
        <w:keepNext w:val="0"/>
        <w:keepLines w:val="0"/>
        <w:pageBreakBefore w:val="0"/>
        <w:widowControl w:val="0"/>
        <w:kinsoku/>
        <w:wordWrap/>
        <w:overflowPunct/>
        <w:topLinePunct w:val="0"/>
        <w:autoSpaceDE/>
        <w:autoSpaceDN/>
        <w:bidi w:val="0"/>
        <w:spacing w:line="560" w:lineRule="exact"/>
        <w:textAlignment w:val="auto"/>
        <w:rPr>
          <w:rFonts w:hint="eastAsia"/>
          <w:color w:val="auto"/>
          <w:highlight w:val="none"/>
          <w:lang w:val="zh-CN"/>
        </w:rPr>
      </w:pPr>
    </w:p>
    <w:p>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eastAsia" w:ascii="黑体" w:hAnsi="黑体" w:eastAsia="黑体" w:cs="黑体"/>
          <w:color w:val="auto"/>
          <w:sz w:val="32"/>
          <w:szCs w:val="32"/>
          <w:highlight w:val="none"/>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color w:val="auto"/>
          <w:sz w:val="32"/>
          <w:szCs w:val="32"/>
          <w:highlight w:val="none"/>
        </w:rPr>
      </w:pPr>
    </w:p>
    <w:p>
      <w:pPr>
        <w:pStyle w:val="30"/>
        <w:keepNext w:val="0"/>
        <w:keepLines w:val="0"/>
        <w:pageBreakBefore w:val="0"/>
        <w:widowControl w:val="0"/>
        <w:kinsoku/>
        <w:wordWrap/>
        <w:overflowPunct/>
        <w:topLinePunct w:val="0"/>
        <w:autoSpaceDE/>
        <w:autoSpaceDN/>
        <w:bidi w:val="0"/>
        <w:spacing w:line="560" w:lineRule="exact"/>
        <w:jc w:val="center"/>
        <w:textAlignment w:val="auto"/>
        <w:rPr>
          <w:rFonts w:hint="default"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2021年度照明电费及维护费</w:t>
      </w:r>
    </w:p>
    <w:p>
      <w:pPr>
        <w:pStyle w:val="30"/>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2022年</w:t>
      </w:r>
      <w:r>
        <w:rPr>
          <w:rFonts w:hint="eastAsia" w:ascii="方正小标宋简体" w:hAnsi="方正小标宋简体" w:eastAsia="方正小标宋简体" w:cs="方正小标宋简体"/>
          <w:b w:val="0"/>
          <w:bCs w:val="0"/>
          <w:color w:val="auto"/>
          <w:kern w:val="2"/>
          <w:sz w:val="44"/>
          <w:szCs w:val="44"/>
          <w:lang w:eastAsia="zh-CN"/>
        </w:rPr>
        <w:t>专项预算项目支出</w:t>
      </w:r>
      <w:r>
        <w:rPr>
          <w:rFonts w:hint="eastAsia" w:ascii="方正小标宋简体" w:hAnsi="方正小标宋简体" w:eastAsia="方正小标宋简体" w:cs="方正小标宋简体"/>
          <w:b w:val="0"/>
          <w:bCs w:val="0"/>
          <w:color w:val="auto"/>
          <w:kern w:val="2"/>
          <w:sz w:val="44"/>
          <w:szCs w:val="44"/>
        </w:rPr>
        <w:t>绩效自评报告</w:t>
      </w:r>
    </w:p>
    <w:p>
      <w:pPr>
        <w:pStyle w:val="30"/>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楷体_GB2312" w:hAnsi="楷体_GB2312" w:eastAsia="楷体_GB2312" w:cs="楷体_GB2312"/>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b w:val="0"/>
          <w:bCs w:val="0"/>
          <w:sz w:val="32"/>
          <w:szCs w:val="32"/>
          <w:lang w:val="zh-CN"/>
        </w:rPr>
      </w:pPr>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w:t>
      </w:r>
      <w:r>
        <w:rPr>
          <w:rFonts w:hint="eastAsia" w:ascii="仿宋_GB2312" w:hAnsi="仿宋_GB2312" w:eastAsia="仿宋_GB2312" w:cs="仿宋_GB2312"/>
          <w:b w:val="0"/>
          <w:bCs w:val="0"/>
          <w:sz w:val="32"/>
          <w:szCs w:val="32"/>
          <w:lang w:val="en-US" w:eastAsia="zh-CN"/>
        </w:rPr>
        <w:t>该项目为</w:t>
      </w:r>
      <w:r>
        <w:rPr>
          <w:rFonts w:hint="eastAsia" w:ascii="仿宋_GB2312" w:hAnsi="仿宋_GB2312" w:eastAsia="仿宋_GB2312" w:cs="仿宋_GB2312"/>
          <w:b w:val="0"/>
          <w:bCs w:val="0"/>
          <w:sz w:val="32"/>
          <w:szCs w:val="32"/>
          <w:lang w:val="zh-CN"/>
        </w:rPr>
        <w:t>广元市城市照明事务中心</w:t>
      </w:r>
      <w:r>
        <w:rPr>
          <w:rFonts w:hint="eastAsia" w:ascii="仿宋_GB2312" w:hAnsi="仿宋_GB2312" w:eastAsia="仿宋_GB2312" w:cs="仿宋_GB2312"/>
          <w:b w:val="0"/>
          <w:bCs w:val="0"/>
          <w:sz w:val="32"/>
          <w:szCs w:val="32"/>
          <w:lang w:val="en-US" w:eastAsia="zh-CN"/>
        </w:rPr>
        <w:t>2021年年初预算项目，由该单位根据其实际工作需要编制项目预算，</w:t>
      </w:r>
      <w:r>
        <w:rPr>
          <w:rFonts w:hint="eastAsia" w:ascii="仿宋_GB2312" w:hAnsi="仿宋_GB2312" w:eastAsia="仿宋_GB2312" w:cs="仿宋_GB2312"/>
          <w:b w:val="0"/>
          <w:bCs w:val="0"/>
          <w:sz w:val="32"/>
          <w:szCs w:val="32"/>
          <w:lang w:val="zh-CN"/>
        </w:rPr>
        <w:t>由广元市城市照明事务中心具体实施，广元市住房和城乡建设局作为主管部门，对该项目前期申报、后期实施过程具有指导及监督作用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．该项目资金用于支持广元市城区照明设施运行电费及维护费。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．资金分配的原则及考虑因素。该项目资金中电费使用按合同价格按月支付，维护费按合同约定按进度支付。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1．项目主要内容。 保障城区道路照明、景观照明共计73764盏（其中道路照明8399柱29270盏，楼宇景观灯44516盏），照明变压器141台，道路照明控制箱144台，景观控制箱156台，总计300台；远程控制终端287台（其中道路照明131台，景观156台）,时间控制器14台；电缆总长:414.198千米，加强城市照明设施维修维护，保障城市照明正常运行的费用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2．项目应实现的具体绩效目标，包括目标的量化、细化情况以及项目实施进度计划等。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zh-CN"/>
        </w:rPr>
        <w:t>）数量指标：完成年度维修12172盏、141台高压维护、14台车辆安全运行。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）质量指标：保障城区照明设施亮灯率、完好率95%。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）时效指标：</w:t>
      </w:r>
      <w:r>
        <w:rPr>
          <w:rFonts w:hint="eastAsia" w:ascii="仿宋_GB2312" w:hAnsi="仿宋_GB2312" w:eastAsia="仿宋_GB2312" w:cs="仿宋_GB2312"/>
          <w:b w:val="0"/>
          <w:bCs w:val="0"/>
          <w:sz w:val="32"/>
          <w:szCs w:val="32"/>
          <w:lang w:val="en-US" w:eastAsia="zh-CN"/>
        </w:rPr>
        <w:t>2021年12月31日前。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（4）成本指标：1150万元。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（5）社会效益指标：体现女皇文化、三国文化，提升我市夜间经济，方便市民夜间安全出行。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（6）满意度指标：市民满意度95%以上。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3．改项目申报内容与实际相符，申报目标合理可行。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lang w:val="zh-CN" w:eastAsia="zh-CN"/>
        </w:rPr>
        <w:t>主管部门成立绩效评价小组,按照项目年初绩效目标申报表一一对照完成情况，以及《2022年市级专项预算项目支出绩效评价指标体系》进行自评。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该项目于</w:t>
      </w:r>
      <w:r>
        <w:rPr>
          <w:rFonts w:hint="eastAsia" w:ascii="仿宋_GB2312" w:hAnsi="仿宋_GB2312" w:eastAsia="仿宋_GB2312" w:cs="仿宋_GB2312"/>
          <w:b w:val="0"/>
          <w:bCs w:val="0"/>
          <w:sz w:val="32"/>
          <w:szCs w:val="32"/>
          <w:lang w:val="en-US" w:eastAsia="zh-CN"/>
        </w:rPr>
        <w:t>2021年年初同部门预算同时下达。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b w:val="0"/>
          <w:bCs w:val="0"/>
          <w:sz w:val="32"/>
          <w:szCs w:val="32"/>
          <w:lang w:val="zh-CN"/>
        </w:rPr>
      </w:pPr>
      <w:r>
        <w:rPr>
          <w:rFonts w:hint="eastAsia" w:ascii="楷体_GB2312" w:hAnsi="宋体" w:eastAsia="楷体_GB2312"/>
          <w:b w:val="0"/>
          <w:bCs w:val="0"/>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1．资金计划。</w:t>
      </w:r>
      <w:r>
        <w:rPr>
          <w:rFonts w:hint="eastAsia" w:ascii="仿宋_GB2312" w:hAnsi="仿宋_GB2312" w:eastAsia="仿宋_GB2312" w:cs="仿宋_GB2312"/>
          <w:b w:val="0"/>
          <w:bCs w:val="0"/>
          <w:sz w:val="32"/>
          <w:szCs w:val="32"/>
          <w:lang w:val="zh-CN"/>
        </w:rPr>
        <w:t>该项目资金由市级财政部门全额保障。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zh-CN"/>
        </w:rPr>
        <w:t>2．资金到位。</w:t>
      </w:r>
      <w:r>
        <w:rPr>
          <w:rFonts w:hint="eastAsia" w:ascii="仿宋_GB2312" w:hAnsi="仿宋_GB2312" w:eastAsia="仿宋_GB2312" w:cs="仿宋_GB2312"/>
          <w:b w:val="0"/>
          <w:bCs w:val="0"/>
          <w:sz w:val="32"/>
          <w:szCs w:val="32"/>
          <w:lang w:val="zh-CN"/>
        </w:rPr>
        <w:t>汇总统计截止评价时点该项目资金已到位</w:t>
      </w:r>
      <w:r>
        <w:rPr>
          <w:rFonts w:hint="eastAsia" w:ascii="仿宋_GB2312" w:hAnsi="仿宋_GB2312" w:eastAsia="仿宋_GB2312" w:cs="仿宋_GB2312"/>
          <w:b w:val="0"/>
          <w:bCs w:val="0"/>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zh-CN"/>
        </w:rPr>
        <w:t>3．资金使用。</w:t>
      </w:r>
      <w:r>
        <w:rPr>
          <w:rFonts w:hint="eastAsia" w:ascii="仿宋_GB2312" w:hAnsi="仿宋_GB2312" w:eastAsia="仿宋_GB2312" w:cs="仿宋_GB2312"/>
          <w:b w:val="0"/>
          <w:bCs w:val="0"/>
          <w:sz w:val="32"/>
          <w:szCs w:val="32"/>
          <w:lang w:val="zh-CN"/>
        </w:rPr>
        <w:t>汇总统计截止评价时点该项目资金已使用</w:t>
      </w:r>
      <w:r>
        <w:rPr>
          <w:rFonts w:hint="eastAsia" w:ascii="仿宋_GB2312" w:hAnsi="仿宋_GB2312" w:eastAsia="仿宋_GB2312" w:cs="仿宋_GB2312"/>
          <w:b w:val="0"/>
          <w:bCs w:val="0"/>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项目实施单位市照明事务中心财务管理制度健全，严格执行财务管理制度，账务处理及时，会计核算规范。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b w:val="0"/>
          <w:bCs w:val="0"/>
          <w:sz w:val="32"/>
          <w:szCs w:val="32"/>
          <w:lang w:val="zh-CN"/>
        </w:rPr>
      </w:pPr>
      <w:r>
        <w:rPr>
          <w:rFonts w:hint="eastAsia" w:ascii="黑体" w:hAnsi="宋体" w:eastAsia="黑体"/>
          <w:b w:val="0"/>
          <w:bCs w:val="0"/>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楷体_GB2312" w:hAnsi="宋体" w:eastAsia="楷体_GB2312"/>
          <w:b w:val="0"/>
          <w:bCs w:val="0"/>
          <w:sz w:val="32"/>
          <w:szCs w:val="32"/>
          <w:lang w:val="zh-CN"/>
        </w:rPr>
        <w:t>（一）项目组织架构及实施流程。</w:t>
      </w:r>
      <w:r>
        <w:rPr>
          <w:rFonts w:hint="eastAsia" w:ascii="仿宋_GB2312" w:hAnsi="仿宋_GB2312" w:eastAsia="仿宋_GB2312" w:cs="仿宋_GB2312"/>
          <w:b w:val="0"/>
          <w:bCs w:val="0"/>
          <w:sz w:val="32"/>
          <w:szCs w:val="32"/>
          <w:lang w:val="zh-CN"/>
        </w:rPr>
        <w:t>该项目由市照明事务中心组织实施，通过与第三方签订合同，按时按项目进度支付资金。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楷体_GB2312" w:hAnsi="宋体" w:eastAsia="楷体_GB2312"/>
          <w:b w:val="0"/>
          <w:bCs w:val="0"/>
          <w:sz w:val="32"/>
          <w:szCs w:val="32"/>
          <w:lang w:val="zh-CN"/>
        </w:rPr>
        <w:t>（二）项目管理情况。</w:t>
      </w:r>
      <w:r>
        <w:rPr>
          <w:rFonts w:hint="eastAsia" w:ascii="仿宋_GB2312" w:hAnsi="仿宋_GB2312" w:eastAsia="仿宋_GB2312" w:cs="仿宋_GB2312"/>
          <w:b w:val="0"/>
          <w:bCs w:val="0"/>
          <w:sz w:val="32"/>
          <w:szCs w:val="32"/>
          <w:lang w:val="zh-CN"/>
        </w:rPr>
        <w:t>该项目内容为照明设施电费及维护费用，市照明事务中心按月按合同支付电费，按工程进度、工程量支付维护费。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楷体_GB2312" w:hAnsi="宋体" w:eastAsia="楷体_GB2312"/>
          <w:b w:val="0"/>
          <w:bCs w:val="0"/>
          <w:sz w:val="32"/>
          <w:szCs w:val="32"/>
          <w:lang w:val="zh-CN"/>
        </w:rPr>
        <w:t>（三）项目监管情况。</w:t>
      </w:r>
      <w:r>
        <w:rPr>
          <w:rFonts w:hint="eastAsia" w:ascii="仿宋_GB2312" w:hAnsi="仿宋_GB2312" w:eastAsia="仿宋_GB2312" w:cs="仿宋_GB2312"/>
          <w:b w:val="0"/>
          <w:bCs w:val="0"/>
          <w:sz w:val="32"/>
          <w:szCs w:val="32"/>
          <w:lang w:val="zh-CN"/>
        </w:rPr>
        <w:t>该项目要求实施部门定期报送项目资金使用进度，不定时报送绩效管理情况。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b w:val="0"/>
          <w:bCs w:val="0"/>
          <w:sz w:val="32"/>
          <w:szCs w:val="32"/>
          <w:lang w:val="zh-CN"/>
        </w:rPr>
      </w:pPr>
      <w:r>
        <w:rPr>
          <w:rFonts w:hint="eastAsia" w:ascii="黑体" w:hAnsi="宋体" w:eastAsia="黑体"/>
          <w:b w:val="0"/>
          <w:bCs w:val="0"/>
          <w:sz w:val="32"/>
          <w:szCs w:val="32"/>
        </w:rPr>
        <w:t>四、项目绩效情况</w:t>
      </w:r>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汇总统计截止评价时点该项目已完成</w:t>
      </w:r>
      <w:r>
        <w:rPr>
          <w:rFonts w:hint="eastAsia" w:ascii="仿宋_GB2312" w:hAnsi="仿宋_GB2312" w:eastAsia="仿宋_GB2312" w:cs="仿宋_GB2312"/>
          <w:b w:val="0"/>
          <w:bCs w:val="0"/>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（1）社会效益指标：体现女皇文化、三国文化，提升我市夜间经济，方便市民夜间安全出行。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（2）满意度指标：市民满意度95%以上。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zh-CN"/>
        </w:rPr>
        <w:t>该项目较好的完成了绩效目标。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存在年初预算金额与实际支出略有差异的问题。</w:t>
      </w:r>
      <w:r>
        <w:rPr>
          <w:rFonts w:hint="eastAsia" w:ascii="仿宋_GB2312" w:hAnsi="仿宋_GB2312" w:eastAsia="仿宋_GB2312" w:cs="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（三）相关建议。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建议通过预算编制培训，提高预算人员的专业水平，培养预算编织人员的责任，确保预算的准确性。</w:t>
      </w: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auto"/>
                <w:sz w:val="32"/>
                <w:szCs w:val="32"/>
                <w:highlight w:val="none"/>
                <w:u w:val="none"/>
                <w:lang w:val="en-US" w:eastAsia="zh-CN"/>
              </w:rPr>
              <w:t>2021年部门预算</w:t>
            </w:r>
            <w:r>
              <w:rPr>
                <w:rFonts w:hint="eastAsia" w:ascii="宋体" w:hAnsi="宋体" w:cs="宋体"/>
                <w:b/>
                <w:i w:val="0"/>
                <w:color w:val="auto"/>
                <w:sz w:val="32"/>
                <w:szCs w:val="32"/>
                <w:highlight w:val="none"/>
                <w:u w:val="none"/>
                <w:lang w:val="en-US" w:eastAsia="zh-CN"/>
              </w:rPr>
              <w:t>城市照明电费及维护费</w:t>
            </w:r>
            <w:r>
              <w:rPr>
                <w:rFonts w:hint="eastAsia" w:ascii="宋体" w:hAnsi="宋体" w:eastAsia="宋体" w:cs="宋体"/>
                <w:b/>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338901</w:t>
            </w:r>
            <w:r>
              <w:rPr>
                <w:rFonts w:hint="eastAsia" w:ascii="宋体" w:hAnsi="宋体" w:eastAsia="宋体" w:cs="宋体"/>
                <w:b w:val="0"/>
                <w:bCs w:val="0"/>
                <w:sz w:val="24"/>
                <w:szCs w:val="24"/>
                <w:lang w:val="zh-CN"/>
              </w:rPr>
              <w:t>广元市城市照明事务中心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b w:val="0"/>
                <w:bCs w:val="0"/>
                <w:sz w:val="24"/>
                <w:szCs w:val="24"/>
                <w:lang w:val="zh-CN"/>
              </w:rPr>
              <w:t>广元市城市照明事务中心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仿宋_GB2312" w:hAnsi="仿宋_GB2312" w:eastAsia="仿宋_GB2312" w:cs="仿宋_GB2312"/>
                <w:b w:val="0"/>
                <w:bCs w:val="0"/>
                <w:sz w:val="32"/>
                <w:szCs w:val="32"/>
                <w:lang w:val="zh-CN"/>
              </w:rPr>
              <w:t xml:space="preserve"> </w:t>
            </w:r>
            <w:r>
              <w:rPr>
                <w:rFonts w:hint="eastAsia" w:ascii="宋体" w:hAnsi="宋体" w:eastAsia="宋体" w:cs="宋体"/>
                <w:b w:val="0"/>
                <w:bCs w:val="0"/>
                <w:sz w:val="24"/>
                <w:szCs w:val="24"/>
                <w:lang w:val="zh-CN"/>
              </w:rPr>
              <w:t>保障城区道路照明、景观照明共计73764盏照明电费及维护。</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b w:val="0"/>
                <w:bCs w:val="0"/>
                <w:sz w:val="24"/>
                <w:szCs w:val="24"/>
                <w:lang w:val="zh-CN"/>
              </w:rPr>
              <w:t>保障城区道路照明、景观照明共计73764盏照明电费及维护。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设施数量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73764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73764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亮灯率、完好率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电费及维护费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1050万元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效益</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sz w:val="24"/>
                <w:szCs w:val="24"/>
                <w:lang w:val="en-US" w:eastAsia="zh-CN"/>
              </w:rPr>
              <w:t>体现女皇文化、三国文化，提升我市夜间经济，方便市民夜间安全出行。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sz w:val="24"/>
                <w:szCs w:val="24"/>
                <w:lang w:val="en-US" w:eastAsia="zh-CN"/>
              </w:rPr>
              <w:t>体现女皇文化、三国文化，提升我市夜间经济，方便市民夜间安全出行。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sz w:val="24"/>
                <w:szCs w:val="24"/>
                <w:lang w:val="en-US" w:eastAsia="zh-CN"/>
              </w:rPr>
              <w:t>体现女皇文化、三国文化，提升我市夜间经济，方便市民夜间安全出行。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满意</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市民满意度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w:t>
            </w:r>
            <w:r>
              <w:rPr>
                <w:rFonts w:hint="eastAsia" w:ascii="仿宋_GB2312" w:hAnsi="仿宋_GB2312" w:eastAsia="仿宋_GB2312" w:cs="仿宋_GB2312"/>
                <w:i w:val="0"/>
                <w:color w:val="auto"/>
                <w:sz w:val="24"/>
                <w:szCs w:val="24"/>
                <w:u w:val="none"/>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eastAsia="zh-CN"/>
              </w:rPr>
              <w:t>≥</w:t>
            </w:r>
            <w:r>
              <w:rPr>
                <w:rFonts w:hint="eastAsia" w:ascii="仿宋_GB2312" w:hAnsi="仿宋_GB2312" w:eastAsia="仿宋_GB2312" w:cs="仿宋_GB2312"/>
                <w:i w:val="0"/>
                <w:color w:val="auto"/>
                <w:sz w:val="24"/>
                <w:szCs w:val="24"/>
                <w:u w:val="none"/>
                <w:lang w:val="en-US" w:eastAsia="zh-CN"/>
              </w:rPr>
              <w:t>95%</w:t>
            </w:r>
          </w:p>
        </w:tc>
      </w:tr>
    </w:tbl>
    <w:p>
      <w:pPr>
        <w:spacing w:line="600" w:lineRule="exact"/>
        <w:jc w:val="center"/>
        <w:outlineLvl w:val="0"/>
        <w:rPr>
          <w:rFonts w:hint="eastAsia" w:ascii="黑体" w:hAnsi="黑体" w:eastAsia="黑体"/>
          <w:color w:val="auto"/>
          <w:sz w:val="44"/>
          <w:szCs w:val="44"/>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bCs w:val="0"/>
                <w:i w:val="0"/>
                <w:color w:val="auto"/>
                <w:sz w:val="32"/>
                <w:szCs w:val="32"/>
                <w:highlight w:val="none"/>
                <w:u w:val="none"/>
                <w:lang w:val="en-US" w:eastAsia="zh-CN"/>
              </w:rPr>
              <w:t>2021年部门预算</w:t>
            </w:r>
            <w:r>
              <w:rPr>
                <w:rFonts w:hint="eastAsia" w:ascii="宋体" w:hAnsi="宋体" w:cs="宋体"/>
                <w:b/>
                <w:bCs w:val="0"/>
                <w:i w:val="0"/>
                <w:color w:val="auto"/>
                <w:sz w:val="32"/>
                <w:szCs w:val="32"/>
                <w:highlight w:val="none"/>
                <w:u w:val="none"/>
                <w:lang w:val="en-US" w:eastAsia="zh-CN"/>
              </w:rPr>
              <w:t>照明材料采购</w:t>
            </w:r>
            <w:r>
              <w:rPr>
                <w:rFonts w:hint="eastAsia" w:ascii="宋体" w:hAnsi="宋体" w:eastAsia="宋体" w:cs="宋体"/>
                <w:b/>
                <w:bCs w:val="0"/>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338901</w:t>
            </w:r>
            <w:r>
              <w:rPr>
                <w:rFonts w:hint="eastAsia" w:ascii="宋体" w:hAnsi="宋体" w:eastAsia="宋体" w:cs="宋体"/>
                <w:b w:val="0"/>
                <w:bCs w:val="0"/>
                <w:sz w:val="24"/>
                <w:szCs w:val="24"/>
                <w:lang w:val="zh-CN"/>
              </w:rPr>
              <w:t>广元市城市照明事务中心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b w:val="0"/>
                <w:bCs w:val="0"/>
                <w:sz w:val="24"/>
                <w:szCs w:val="24"/>
                <w:lang w:val="zh-CN"/>
              </w:rPr>
              <w:t>广元市城市照明事务中心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b w:val="0"/>
                <w:bCs w:val="0"/>
                <w:sz w:val="24"/>
                <w:szCs w:val="24"/>
                <w:lang w:val="zh-CN"/>
              </w:rPr>
              <w:t xml:space="preserve"> 支付</w:t>
            </w:r>
            <w:r>
              <w:rPr>
                <w:rFonts w:hint="eastAsia" w:ascii="宋体" w:hAnsi="宋体" w:eastAsia="宋体" w:cs="宋体"/>
                <w:b w:val="0"/>
                <w:bCs w:val="0"/>
                <w:sz w:val="24"/>
                <w:szCs w:val="24"/>
                <w:lang w:val="en-US" w:eastAsia="zh-CN"/>
              </w:rPr>
              <w:t>2020及2021年度照明维护设施采购材料料款</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b w:val="0"/>
                <w:bCs w:val="0"/>
                <w:sz w:val="24"/>
                <w:szCs w:val="24"/>
                <w:lang w:val="zh-CN"/>
              </w:rPr>
              <w:t>支付</w:t>
            </w:r>
            <w:r>
              <w:rPr>
                <w:rFonts w:hint="eastAsia" w:ascii="宋体" w:hAnsi="宋体" w:eastAsia="宋体" w:cs="宋体"/>
                <w:b w:val="0"/>
                <w:bCs w:val="0"/>
                <w:sz w:val="24"/>
                <w:szCs w:val="24"/>
                <w:lang w:val="en-US" w:eastAsia="zh-CN"/>
              </w:rPr>
              <w:t>2020及2021年度照明维护设施采购材料料款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u w:val="none"/>
                <w:lang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亮灯率、完好率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材料成本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150万元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效益</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sz w:val="24"/>
                <w:szCs w:val="24"/>
                <w:lang w:val="en-US" w:eastAsia="zh-CN"/>
              </w:rPr>
              <w:t>体现女皇文化、三国文化，提升我市夜间经济，方便市民夜间安全出行。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sz w:val="24"/>
                <w:szCs w:val="24"/>
                <w:lang w:val="en-US" w:eastAsia="zh-CN"/>
              </w:rPr>
              <w:t>体现女皇文化、三国文化，提升我市夜间经济，方便市民夜间安全出行。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sz w:val="24"/>
                <w:szCs w:val="24"/>
                <w:lang w:val="en-US" w:eastAsia="zh-CN"/>
              </w:rPr>
              <w:t>体现女皇文化、三国文化，提升我市夜间经济，方便市民夜间安全出行。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满意</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市民满意度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w:t>
            </w:r>
            <w:r>
              <w:rPr>
                <w:rFonts w:hint="eastAsia" w:ascii="仿宋_GB2312" w:hAnsi="仿宋_GB2312" w:eastAsia="仿宋_GB2312" w:cs="仿宋_GB2312"/>
                <w:i w:val="0"/>
                <w:color w:val="auto"/>
                <w:sz w:val="24"/>
                <w:szCs w:val="24"/>
                <w:u w:val="none"/>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eastAsia="zh-CN"/>
              </w:rPr>
              <w:t>≥</w:t>
            </w:r>
            <w:r>
              <w:rPr>
                <w:rFonts w:hint="eastAsia" w:ascii="仿宋_GB2312" w:hAnsi="仿宋_GB2312" w:eastAsia="仿宋_GB2312" w:cs="仿宋_GB2312"/>
                <w:i w:val="0"/>
                <w:color w:val="auto"/>
                <w:sz w:val="24"/>
                <w:szCs w:val="24"/>
                <w:u w:val="none"/>
                <w:lang w:val="en-US" w:eastAsia="zh-CN"/>
              </w:rPr>
              <w:t>95%</w:t>
            </w: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highlight w:val="yellow"/>
          <w:shd w:val="clear" w:color="auto" w:fill="FFFFFF"/>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w:t>
            </w:r>
            <w:r>
              <w:rPr>
                <w:rFonts w:hint="eastAsia" w:ascii="宋体" w:hAnsi="宋体" w:eastAsia="宋体" w:cs="宋体"/>
                <w:b/>
                <w:bCs/>
                <w:sz w:val="32"/>
                <w:szCs w:val="32"/>
                <w:highlight w:val="none"/>
              </w:rPr>
              <w:t>陵宝一线（滴水岩至川陕甘农产品交易中心段）安装照明设施</w:t>
            </w:r>
            <w:r>
              <w:rPr>
                <w:rFonts w:hint="eastAsia" w:ascii="宋体" w:hAnsi="宋体" w:eastAsia="宋体" w:cs="宋体"/>
                <w:b/>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11"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338901</w:t>
            </w:r>
            <w:r>
              <w:rPr>
                <w:rFonts w:hint="eastAsia" w:ascii="宋体" w:hAnsi="宋体" w:eastAsia="宋体" w:cs="宋体"/>
                <w:b w:val="0"/>
                <w:bCs w:val="0"/>
                <w:sz w:val="24"/>
                <w:szCs w:val="24"/>
                <w:lang w:val="zh-CN"/>
              </w:rPr>
              <w:t>广元市城市照明事务中心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b w:val="0"/>
                <w:bCs w:val="0"/>
                <w:sz w:val="24"/>
                <w:szCs w:val="24"/>
                <w:lang w:val="zh-CN"/>
              </w:rPr>
              <w:t>广元市城市照明事务中心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49.7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49.7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b w:val="0"/>
                <w:bCs w:val="0"/>
                <w:sz w:val="24"/>
                <w:szCs w:val="24"/>
                <w:lang w:val="zh-CN"/>
              </w:rPr>
              <w:t xml:space="preserve"> </w:t>
            </w:r>
            <w:r>
              <w:rPr>
                <w:rFonts w:hint="eastAsia" w:ascii="宋体" w:hAnsi="宋体" w:eastAsia="宋体" w:cs="宋体"/>
                <w:sz w:val="24"/>
                <w:szCs w:val="24"/>
                <w:lang w:eastAsia="zh-CN"/>
              </w:rPr>
              <w:t>在</w:t>
            </w:r>
            <w:r>
              <w:rPr>
                <w:rFonts w:hint="eastAsia" w:ascii="宋体" w:hAnsi="宋体" w:eastAsia="宋体" w:cs="宋体"/>
                <w:sz w:val="24"/>
                <w:szCs w:val="24"/>
              </w:rPr>
              <w:t>陵宝一线（滴水岩至川陕甘农产品交易中心段）安装照明设施</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sz w:val="24"/>
                <w:szCs w:val="24"/>
                <w:lang w:eastAsia="zh-CN"/>
              </w:rPr>
              <w:t>在</w:t>
            </w:r>
            <w:r>
              <w:rPr>
                <w:rFonts w:hint="eastAsia" w:ascii="宋体" w:hAnsi="宋体" w:eastAsia="宋体" w:cs="宋体"/>
                <w:sz w:val="24"/>
                <w:szCs w:val="24"/>
              </w:rPr>
              <w:t>陵宝一线（滴水岩至川陕甘农产品交易中心段）安装照明设施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太阳能路灯数量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亮灯率、完好率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安装成本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20.7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效益</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sz w:val="24"/>
                <w:szCs w:val="24"/>
                <w:lang w:val="en-US" w:eastAsia="zh-CN"/>
              </w:rPr>
              <w:t>体现女皇文化、三国文化，提升我市夜间经济，方便市民夜间安全出行。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sz w:val="24"/>
                <w:szCs w:val="24"/>
                <w:lang w:val="en-US" w:eastAsia="zh-CN"/>
              </w:rPr>
              <w:t>体现女皇文化、三国文化，提升我市夜间经济，方便市民夜间安全出行。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sz w:val="24"/>
                <w:szCs w:val="24"/>
                <w:lang w:val="en-US" w:eastAsia="zh-CN"/>
              </w:rPr>
              <w:t>体现女皇文化、三国文化，提升我市夜间经济，方便市民夜间安全出行。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满意</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市民满意度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w:t>
            </w:r>
            <w:r>
              <w:rPr>
                <w:rFonts w:hint="eastAsia" w:ascii="仿宋_GB2312" w:hAnsi="仿宋_GB2312" w:eastAsia="仿宋_GB2312" w:cs="仿宋_GB2312"/>
                <w:i w:val="0"/>
                <w:color w:val="auto"/>
                <w:sz w:val="24"/>
                <w:szCs w:val="24"/>
                <w:u w:val="none"/>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eastAsia="zh-CN"/>
              </w:rPr>
              <w:t>≥</w:t>
            </w:r>
            <w:r>
              <w:rPr>
                <w:rFonts w:hint="eastAsia" w:ascii="仿宋_GB2312" w:hAnsi="仿宋_GB2312" w:eastAsia="仿宋_GB2312" w:cs="仿宋_GB2312"/>
                <w:i w:val="0"/>
                <w:color w:val="auto"/>
                <w:sz w:val="24"/>
                <w:szCs w:val="24"/>
                <w:u w:val="none"/>
                <w:lang w:val="en-US" w:eastAsia="zh-CN"/>
              </w:rPr>
              <w:t>95%</w:t>
            </w: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highlight w:val="yellow"/>
          <w:shd w:val="clear" w:color="auto" w:fill="FFFFFF"/>
          <w:lang w:val="en-US" w:eastAsia="zh-CN"/>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51"/>
      <w:bookmarkEnd w:id="53"/>
      <w:bookmarkStart w:id="54" w:name="_Toc15396619"/>
    </w:p>
    <w:p>
      <w:pPr>
        <w:pStyle w:val="4"/>
        <w:rPr>
          <w:rFonts w:hint="eastAsia" w:ascii="仿宋" w:hAnsi="仿宋" w:eastAsia="仿宋"/>
          <w:b w:val="0"/>
          <w:color w:val="auto"/>
          <w:highlight w:val="none"/>
        </w:rPr>
      </w:pPr>
    </w:p>
    <w:p>
      <w:pPr>
        <w:pStyle w:val="4"/>
        <w:rPr>
          <w:rFonts w:hint="eastAsia" w:ascii="仿宋" w:hAnsi="仿宋" w:eastAsia="仿宋"/>
          <w:b w:val="0"/>
          <w:color w:val="auto"/>
          <w:highlight w:val="none"/>
        </w:rPr>
      </w:pPr>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57"/>
    </w:p>
    <w:p>
      <w:pPr>
        <w:pStyle w:val="4"/>
        <w:rPr>
          <w:rStyle w:val="25"/>
          <w:rFonts w:ascii="仿宋" w:hAnsi="仿宋" w:eastAsia="仿宋"/>
          <w:b w:val="0"/>
          <w:bCs w:val="0"/>
          <w:color w:val="auto"/>
          <w:highlight w:val="none"/>
        </w:rPr>
      </w:pPr>
      <w:bookmarkStart w:id="58"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65"/>
    </w:p>
    <w:p>
      <w:pPr>
        <w:pStyle w:val="4"/>
        <w:rPr>
          <w:rStyle w:val="25"/>
          <w:rFonts w:hint="eastAsia" w:ascii="仿宋" w:hAnsi="仿宋" w:eastAsia="仿宋"/>
          <w:b w:val="0"/>
          <w:bCs w:val="0"/>
          <w:color w:val="auto"/>
          <w:highlight w:val="none"/>
        </w:rPr>
      </w:pPr>
      <w:bookmarkStart w:id="66"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5"/>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Times New Roman"/>
    <w:panose1 w:val="02010609030101010101"/>
    <w:charset w:val="86"/>
    <w:family w:val="modern"/>
    <w:pitch w:val="default"/>
    <w:sig w:usb0="00000000" w:usb1="00000000" w:usb2="0000000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Times New Roman"/>
    <w:panose1 w:val="02000000000000000000"/>
    <w:charset w:val="86"/>
    <w:family w:val="script"/>
    <w:pitch w:val="default"/>
    <w:sig w:usb0="00000000" w:usb1="00000000" w:usb2="00000012" w:usb3="00000000" w:csb0="00040001" w:csb1="00000000"/>
  </w:font>
  <w:font w:name="楷体_GB2312">
    <w:altName w:val="汉仪楷体KW"/>
    <w:panose1 w:val="02010609030101010101"/>
    <w:charset w:val="86"/>
    <w:family w:val="auto"/>
    <w:pitch w:val="default"/>
    <w:sig w:usb0="00000000" w:usb1="00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FE992"/>
    <w:multiLevelType w:val="singleLevel"/>
    <w:tmpl w:val="96FFE992"/>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TEyMTA4OTM5OTkwODdjMzk3ZjZlZjk1OGViN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7231CF"/>
    <w:rsid w:val="0B8A37D8"/>
    <w:rsid w:val="10C055FF"/>
    <w:rsid w:val="118107EC"/>
    <w:rsid w:val="11DD6519"/>
    <w:rsid w:val="16BB723D"/>
    <w:rsid w:val="16D34916"/>
    <w:rsid w:val="18015F3F"/>
    <w:rsid w:val="1A381B61"/>
    <w:rsid w:val="1BE8440E"/>
    <w:rsid w:val="1D155CEE"/>
    <w:rsid w:val="20F57F95"/>
    <w:rsid w:val="21E14A75"/>
    <w:rsid w:val="240371BF"/>
    <w:rsid w:val="25C741E6"/>
    <w:rsid w:val="27842671"/>
    <w:rsid w:val="29FD04D3"/>
    <w:rsid w:val="2ABE7A3E"/>
    <w:rsid w:val="2EFA178C"/>
    <w:rsid w:val="30B46D73"/>
    <w:rsid w:val="319F7F4E"/>
    <w:rsid w:val="39AE70AB"/>
    <w:rsid w:val="3C0C0783"/>
    <w:rsid w:val="3D462355"/>
    <w:rsid w:val="3DEC622C"/>
    <w:rsid w:val="3F795B0E"/>
    <w:rsid w:val="3F9F3A96"/>
    <w:rsid w:val="40350D30"/>
    <w:rsid w:val="493C27E9"/>
    <w:rsid w:val="496F39ED"/>
    <w:rsid w:val="49FF41D3"/>
    <w:rsid w:val="4A185DC8"/>
    <w:rsid w:val="4BE068DB"/>
    <w:rsid w:val="4BF6002B"/>
    <w:rsid w:val="4CF81BA0"/>
    <w:rsid w:val="4ECE2238"/>
    <w:rsid w:val="507C1E50"/>
    <w:rsid w:val="512953B4"/>
    <w:rsid w:val="51DB4B86"/>
    <w:rsid w:val="551C0A2D"/>
    <w:rsid w:val="55333C3E"/>
    <w:rsid w:val="5AEE56F8"/>
    <w:rsid w:val="621A6DD5"/>
    <w:rsid w:val="64CA39A1"/>
    <w:rsid w:val="66A01F9C"/>
    <w:rsid w:val="66AA3CCC"/>
    <w:rsid w:val="6C355DEB"/>
    <w:rsid w:val="6C4A05C8"/>
    <w:rsid w:val="72734D90"/>
    <w:rsid w:val="76F7CBDB"/>
    <w:rsid w:val="781E7D5E"/>
    <w:rsid w:val="79E7B28D"/>
    <w:rsid w:val="7C775BAB"/>
    <w:rsid w:val="7F9F20EE"/>
    <w:rsid w:val="9E3A10E2"/>
    <w:rsid w:val="AFB55C88"/>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1"/>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7"/>
    <w:semiHidden/>
    <w:unhideWhenUsed/>
    <w:qFormat/>
    <w:uiPriority w:val="99"/>
    <w:rPr>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2"/>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6"/>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8"/>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9292;&#2227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file:///C:\Users\Administrator\Desktop\&#39292;&#2227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3.xml"/><Relationship Id="rId1" Type="http://schemas.openxmlformats.org/officeDocument/2006/relationships/oleObject" Target="file:///C:\Users\Administrator\Desktop\&#39292;&#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9292;&#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9292;&#22270;.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4.xml"/><Relationship Id="rId1" Type="http://schemas.openxmlformats.org/officeDocument/2006/relationships/oleObject" Target="file:///C:\Users\Administrator\Desktop\&#39292;&#22270;.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3929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265138888888889"/>
          <c:y val="0.0347222222222222"/>
        </c:manualLayout>
      </c:layout>
      <c:overlay val="0"/>
      <c:spPr>
        <a:noFill/>
        <a:ln>
          <a:noFill/>
        </a:ln>
        <a:effectLst/>
      </c:spPr>
    </c:title>
    <c:autoTitleDeleted val="0"/>
    <c:plotArea>
      <c:layout>
        <c:manualLayout>
          <c:layoutTarget val="inner"/>
          <c:xMode val="edge"/>
          <c:yMode val="edge"/>
          <c:x val="0.0474444444444444"/>
          <c:y val="0.176388888888889"/>
          <c:w val="0.919916666666667"/>
          <c:h val="0.606342592592593"/>
        </c:manualLayout>
      </c:layout>
      <c:barChart>
        <c:barDir val="col"/>
        <c:grouping val="clustered"/>
        <c:varyColors val="0"/>
        <c:ser>
          <c:idx val="0"/>
          <c:order val="0"/>
          <c:tx>
            <c:strRef>
              <c:f>"年度"</c:f>
              <c:strCache>
                <c:ptCount val="1"/>
                <c:pt idx="0">
                  <c:v>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[饼图.xlsx]照明中心12月工资明细表!$T$12:$T$13</c:f>
              <c:numCache>
                <c:formatCode>General</c:formatCode>
                <c:ptCount val="2"/>
                <c:pt idx="0">
                  <c:v>2020</c:v>
                </c:pt>
                <c:pt idx="1">
                  <c:v>2021</c:v>
                </c:pt>
              </c:numCache>
            </c:numRef>
          </c:cat>
          <c:val>
            <c:numRef>
              <c:f>[饼图.xlsx]照明中心12月工资明细表!$U$12:$U$13</c:f>
              <c:numCache>
                <c:formatCode>General</c:formatCode>
                <c:ptCount val="2"/>
                <c:pt idx="0">
                  <c:v>2581.67</c:v>
                </c:pt>
                <c:pt idx="1">
                  <c:v>2527.64</c:v>
                </c:pt>
              </c:numCache>
            </c:numRef>
          </c:val>
        </c:ser>
        <c:dLbls>
          <c:showLegendKey val="0"/>
          <c:showVal val="1"/>
          <c:showCatName val="0"/>
          <c:showSerName val="0"/>
          <c:showPercent val="0"/>
          <c:showBubbleSize val="0"/>
        </c:dLbls>
        <c:gapWidth val="219"/>
        <c:overlap val="-27"/>
        <c:axId val="249526437"/>
        <c:axId val="473462544"/>
      </c:barChart>
      <c:catAx>
        <c:axId val="2495264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462544"/>
        <c:crosses val="autoZero"/>
        <c:auto val="1"/>
        <c:lblAlgn val="ctr"/>
        <c:lblOffset val="100"/>
        <c:noMultiLvlLbl val="0"/>
      </c:catAx>
      <c:valAx>
        <c:axId val="473462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952643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baseline="0">
                <a:solidFill>
                  <a:schemeClr val="tx1"/>
                </a:solidFill>
                <a:latin typeface="+mn-lt"/>
                <a:ea typeface="+mn-ea"/>
                <a:cs typeface="+mn-cs"/>
              </a:defRPr>
            </a:pPr>
            <a:r>
              <a:rPr>
                <a:solidFill>
                  <a:schemeClr val="tx1"/>
                </a:solidFill>
              </a:rPr>
              <a:t>收入决算结构图</a:t>
            </a:r>
            <a:endParaRPr>
              <a:solidFill>
                <a:schemeClr val="tx1"/>
              </a:solidFill>
            </a:endParaRPr>
          </a:p>
        </c:rich>
      </c:tx>
      <c:layout>
        <c:manualLayout>
          <c:xMode val="edge"/>
          <c:yMode val="edge"/>
          <c:x val="0.342529534398888"/>
          <c:y val="0.024165707710011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hade val="53333"/>
                </a:schemeClr>
              </a:solidFill>
              <a:ln>
                <a:noFill/>
              </a:ln>
              <a:effectLst>
                <a:outerShdw blurRad="254000" sx="102000" sy="102000" algn="ctr" rotWithShape="0">
                  <a:prstClr val="black">
                    <a:alpha val="20000"/>
                  </a:prstClr>
                </a:outerShdw>
              </a:effectLst>
            </c:spPr>
          </c:dPt>
          <c:dPt>
            <c:idx val="1"/>
            <c:bubble3D val="0"/>
            <c:spPr>
              <a:solidFill>
                <a:srgbClr val="5B9BD5"/>
              </a:solidFill>
              <a:ln>
                <a:noFill/>
              </a:ln>
              <a:effectLst>
                <a:outerShdw blurRad="254000" sx="102000" sy="102000" algn="ctr" rotWithShape="0">
                  <a:prstClr val="black">
                    <a:alpha val="20000"/>
                  </a:prstClr>
                </a:outerShdw>
              </a:effectLst>
            </c:spPr>
          </c:dPt>
          <c:dPt>
            <c:idx val="2"/>
            <c:bubble3D val="0"/>
            <c:spPr>
              <a:solidFill>
                <a:srgbClr val="FFC000"/>
              </a:solidFill>
              <a:ln>
                <a:noFill/>
              </a:ln>
              <a:effectLst>
                <a:outerShdw blurRad="254000" sx="102000" sy="102000" algn="ctr" rotWithShape="0">
                  <a:prstClr val="black">
                    <a:alpha val="20000"/>
                  </a:prstClr>
                </a:outerShdw>
              </a:effectLst>
            </c:spPr>
          </c:dPt>
          <c:dLbls>
            <c:delete val="1"/>
          </c:dLbls>
          <c:cat>
            <c:strRef>
              <c:f>[饼图.xlsx]照明中心12月工资明细表!$C$9:$C$11</c:f>
              <c:strCache>
                <c:ptCount val="3"/>
                <c:pt idx="0">
                  <c:v>一般公共预算财政拨款收入</c:v>
                </c:pt>
                <c:pt idx="1">
                  <c:v>政府性基金预算财政拨款收入</c:v>
                </c:pt>
                <c:pt idx="2">
                  <c:v>其他收入</c:v>
                </c:pt>
              </c:strCache>
            </c:strRef>
          </c:cat>
          <c:val>
            <c:numRef>
              <c:f>[饼图.xlsx]照明中心12月工资明细表!$D$9:$D$11</c:f>
              <c:numCache>
                <c:formatCode>General</c:formatCode>
                <c:ptCount val="3"/>
                <c:pt idx="0">
                  <c:v>1527.4</c:v>
                </c:pt>
                <c:pt idx="1">
                  <c:v>461.39</c:v>
                </c:pt>
                <c:pt idx="2">
                  <c:v>0.13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lang="zh-CN">
          <a:solidFill>
            <a:schemeClr val="tx1"/>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baseline="0">
                <a:solidFill>
                  <a:schemeClr val="tx1"/>
                </a:solidFill>
                <a:latin typeface="+mn-lt"/>
                <a:ea typeface="+mn-ea"/>
                <a:cs typeface="+mn-cs"/>
              </a:defRPr>
            </a:pPr>
            <a:r>
              <a:rPr>
                <a:solidFill>
                  <a:schemeClr val="tx1"/>
                </a:solidFill>
              </a:rPr>
              <a:t>支出决算结构图</a:t>
            </a:r>
            <a:endParaRPr>
              <a:solidFill>
                <a:schemeClr val="tx1"/>
              </a:solidFill>
            </a:endParaRPr>
          </a:p>
        </c:rich>
      </c:tx>
      <c:layout>
        <c:manualLayout>
          <c:xMode val="edge"/>
          <c:yMode val="edge"/>
          <c:x val="0.342529534398888"/>
          <c:y val="0.024165707710011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hade val="53333"/>
                </a:schemeClr>
              </a:solidFill>
              <a:ln>
                <a:noFill/>
              </a:ln>
              <a:effectLst>
                <a:outerShdw blurRad="254000" sx="102000" sy="102000" algn="ctr" rotWithShape="0">
                  <a:prstClr val="black">
                    <a:alpha val="20000"/>
                  </a:prstClr>
                </a:outerShdw>
              </a:effectLst>
            </c:spPr>
          </c:dPt>
          <c:dPt>
            <c:idx val="1"/>
            <c:bubble3D val="0"/>
            <c:spPr>
              <a:solidFill>
                <a:srgbClr val="5B9BD5"/>
              </a:solidFill>
              <a:ln>
                <a:noFill/>
              </a:ln>
              <a:effectLst>
                <a:outerShdw blurRad="254000" sx="102000" sy="102000" algn="ctr" rotWithShape="0">
                  <a:prstClr val="black">
                    <a:alpha val="20000"/>
                  </a:prstClr>
                </a:outerShdw>
              </a:effectLst>
            </c:spPr>
          </c:dPt>
          <c:dLbls>
            <c:delete val="1"/>
          </c:dLbls>
          <c:cat>
            <c:strRef>
              <c:f>[饼图.xlsx]照明中心12月工资明细表!$C$9:$C$10</c:f>
              <c:strCache>
                <c:ptCount val="2"/>
                <c:pt idx="0">
                  <c:v>基本支出</c:v>
                </c:pt>
                <c:pt idx="1">
                  <c:v>项目支出</c:v>
                </c:pt>
              </c:strCache>
            </c:strRef>
          </c:cat>
          <c:val>
            <c:numRef>
              <c:f>[饼图.xlsx]照明中心12月工资明细表!$D$9:$D$10</c:f>
              <c:numCache>
                <c:formatCode>General</c:formatCode>
                <c:ptCount val="2"/>
                <c:pt idx="0">
                  <c:v>331.96</c:v>
                </c:pt>
                <c:pt idx="1">
                  <c:v>1808.39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lang="zh-CN">
          <a:solidFill>
            <a:schemeClr val="tx1"/>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210972222222222"/>
          <c:y val="0.03125"/>
        </c:manualLayout>
      </c:layout>
      <c:overlay val="0"/>
      <c:spPr>
        <a:noFill/>
        <a:ln>
          <a:noFill/>
        </a:ln>
        <a:effectLst/>
      </c:spPr>
    </c:title>
    <c:autoTitleDeleted val="0"/>
    <c:plotArea>
      <c:layout>
        <c:manualLayout>
          <c:layoutTarget val="inner"/>
          <c:xMode val="edge"/>
          <c:yMode val="edge"/>
          <c:x val="0.0474444444444444"/>
          <c:y val="0.176388888888889"/>
          <c:w val="0.919916666666667"/>
          <c:h val="0.606342592592593"/>
        </c:manualLayout>
      </c:layout>
      <c:barChart>
        <c:barDir val="col"/>
        <c:grouping val="clustered"/>
        <c:varyColors val="0"/>
        <c:ser>
          <c:idx val="0"/>
          <c:order val="0"/>
          <c:tx>
            <c:strRef>
              <c:f>"年度"</c:f>
              <c:strCache>
                <c:ptCount val="1"/>
                <c:pt idx="0">
                  <c:v>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[饼图.xlsx]照明中心12月工资明细表!$T$12:$T$13</c:f>
              <c:numCache>
                <c:formatCode>General</c:formatCode>
                <c:ptCount val="2"/>
                <c:pt idx="0">
                  <c:v>2020</c:v>
                </c:pt>
                <c:pt idx="1">
                  <c:v>2021</c:v>
                </c:pt>
              </c:numCache>
            </c:numRef>
          </c:cat>
          <c:val>
            <c:numRef>
              <c:f>[饼图.xlsx]照明中心12月工资明细表!$U$12:$U$13</c:f>
              <c:numCache>
                <c:formatCode>General</c:formatCode>
                <c:ptCount val="2"/>
                <c:pt idx="0">
                  <c:v>1697.51</c:v>
                </c:pt>
                <c:pt idx="1">
                  <c:v>2126.37</c:v>
                </c:pt>
              </c:numCache>
            </c:numRef>
          </c:val>
        </c:ser>
        <c:dLbls>
          <c:showLegendKey val="0"/>
          <c:showVal val="1"/>
          <c:showCatName val="0"/>
          <c:showSerName val="0"/>
          <c:showPercent val="0"/>
          <c:showBubbleSize val="0"/>
        </c:dLbls>
        <c:gapWidth val="219"/>
        <c:overlap val="-27"/>
        <c:axId val="249526437"/>
        <c:axId val="473462544"/>
      </c:barChart>
      <c:catAx>
        <c:axId val="2495264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462544"/>
        <c:crosses val="autoZero"/>
        <c:auto val="1"/>
        <c:lblAlgn val="ctr"/>
        <c:lblOffset val="100"/>
        <c:noMultiLvlLbl val="0"/>
      </c:catAx>
      <c:valAx>
        <c:axId val="473462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952643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60972222222222"/>
          <c:y val="0.0347222222222222"/>
        </c:manualLayout>
      </c:layout>
      <c:overlay val="0"/>
      <c:spPr>
        <a:noFill/>
        <a:ln>
          <a:noFill/>
        </a:ln>
        <a:effectLst/>
      </c:spPr>
    </c:title>
    <c:autoTitleDeleted val="0"/>
    <c:plotArea>
      <c:layout>
        <c:manualLayout>
          <c:layoutTarget val="inner"/>
          <c:xMode val="edge"/>
          <c:yMode val="edge"/>
          <c:x val="0.0474444444444444"/>
          <c:y val="0.176388888888889"/>
          <c:w val="0.919916666666667"/>
          <c:h val="0.606342592592593"/>
        </c:manualLayout>
      </c:layout>
      <c:barChart>
        <c:barDir val="col"/>
        <c:grouping val="clustered"/>
        <c:varyColors val="0"/>
        <c:ser>
          <c:idx val="0"/>
          <c:order val="0"/>
          <c:tx>
            <c:strRef>
              <c:f>"年度"</c:f>
              <c:strCache>
                <c:ptCount val="1"/>
                <c:pt idx="0">
                  <c:v>年度</c:v>
                </c:pt>
              </c:strCache>
            </c:strRef>
          </c:tx>
          <c:spPr>
            <a:solidFill>
              <a:schemeClr val="accent1"/>
            </a:solidFill>
            <a:ln>
              <a:noFill/>
            </a:ln>
            <a:effectLst/>
          </c:spPr>
          <c:invertIfNegative val="0"/>
          <c:dLbls>
            <c:delete val="1"/>
          </c:dLbls>
          <c:cat>
            <c:numRef>
              <c:f>[饼图.xlsx]照明中心12月工资明细表!$T$12:$T$13</c:f>
              <c:numCache>
                <c:formatCode>General</c:formatCode>
                <c:ptCount val="2"/>
                <c:pt idx="0">
                  <c:v>2020</c:v>
                </c:pt>
                <c:pt idx="1">
                  <c:v>2021</c:v>
                </c:pt>
              </c:numCache>
            </c:numRef>
          </c:cat>
          <c:val>
            <c:numRef>
              <c:f>[饼图.xlsx]照明中心12月工资明细表!$U$12:$U$13</c:f>
              <c:numCache>
                <c:formatCode>General</c:formatCode>
                <c:ptCount val="2"/>
                <c:pt idx="0">
                  <c:v>1570.94</c:v>
                </c:pt>
                <c:pt idx="1">
                  <c:v>1827.03</c:v>
                </c:pt>
              </c:numCache>
            </c:numRef>
          </c:val>
        </c:ser>
        <c:dLbls>
          <c:showLegendKey val="0"/>
          <c:showVal val="0"/>
          <c:showCatName val="0"/>
          <c:showSerName val="0"/>
          <c:showPercent val="0"/>
          <c:showBubbleSize val="0"/>
        </c:dLbls>
        <c:gapWidth val="219"/>
        <c:overlap val="-27"/>
        <c:axId val="249526437"/>
        <c:axId val="473462544"/>
      </c:barChart>
      <c:catAx>
        <c:axId val="2495264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462544"/>
        <c:crosses val="autoZero"/>
        <c:auto val="1"/>
        <c:lblAlgn val="ctr"/>
        <c:lblOffset val="100"/>
        <c:noMultiLvlLbl val="0"/>
      </c:catAx>
      <c:valAx>
        <c:axId val="473462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952643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baseline="0">
                <a:solidFill>
                  <a:schemeClr val="tx1"/>
                </a:solidFill>
                <a:latin typeface="+mn-lt"/>
                <a:ea typeface="+mn-ea"/>
                <a:cs typeface="+mn-cs"/>
              </a:defRPr>
            </a:pPr>
            <a:r>
              <a:rPr>
                <a:solidFill>
                  <a:schemeClr val="tx1"/>
                </a:solidFill>
              </a:rPr>
              <a:t>一般公共预算财政拨款支出决算结构</a:t>
            </a:r>
            <a:endParaRPr>
              <a:solidFill>
                <a:schemeClr val="tx1"/>
              </a:solidFill>
            </a:endParaRPr>
          </a:p>
        </c:rich>
      </c:tx>
      <c:layout>
        <c:manualLayout>
          <c:xMode val="edge"/>
          <c:yMode val="edge"/>
          <c:x val="0.144475330090341"/>
          <c:y val="0.024165707710011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hade val="53333"/>
                </a:schemeClr>
              </a:solidFill>
              <a:ln>
                <a:noFill/>
              </a:ln>
              <a:effectLst>
                <a:outerShdw blurRad="254000" sx="102000" sy="102000" algn="ctr" rotWithShape="0">
                  <a:prstClr val="black">
                    <a:alpha val="20000"/>
                  </a:prstClr>
                </a:outerShdw>
              </a:effectLst>
            </c:spPr>
          </c:dPt>
          <c:dPt>
            <c:idx val="1"/>
            <c:bubble3D val="0"/>
            <c:spPr>
              <a:solidFill>
                <a:srgbClr val="5B9BD5"/>
              </a:solidFill>
              <a:ln>
                <a:noFill/>
              </a:ln>
              <a:effectLst>
                <a:outerShdw blurRad="254000" sx="102000" sy="102000" algn="ctr" rotWithShape="0">
                  <a:prstClr val="black">
                    <a:alpha val="20000"/>
                  </a:prstClr>
                </a:outerShdw>
              </a:effectLst>
            </c:spPr>
          </c:dPt>
          <c:dPt>
            <c:idx val="2"/>
            <c:bubble3D val="0"/>
            <c:spPr>
              <a:solidFill>
                <a:srgbClr val="FFC000"/>
              </a:solidFill>
              <a:ln>
                <a:noFill/>
              </a:ln>
              <a:effectLst>
                <a:outerShdw blurRad="254000" sx="102000" sy="102000" algn="ctr" rotWithShape="0">
                  <a:prstClr val="black">
                    <a:alpha val="20000"/>
                  </a:prstClr>
                </a:outerShdw>
              </a:effectLst>
            </c:spPr>
          </c:dPt>
          <c:dPt>
            <c:idx val="3"/>
            <c:bubble3D val="0"/>
            <c:spPr>
              <a:solidFill>
                <a:schemeClr val="accent1">
                  <a:tint val="76667"/>
                </a:schemeClr>
              </a:solidFill>
              <a:ln>
                <a:noFill/>
              </a:ln>
              <a:effectLst>
                <a:outerShdw blurRad="254000" sx="102000" sy="102000" algn="ctr" rotWithShape="0">
                  <a:prstClr val="black">
                    <a:alpha val="20000"/>
                  </a:prstClr>
                </a:outerShdw>
              </a:effectLst>
            </c:spPr>
          </c:dPt>
          <c:dPt>
            <c:idx val="4"/>
            <c:bubble3D val="0"/>
            <c:spPr>
              <a:solidFill>
                <a:schemeClr val="accent1">
                  <a:tint val="53333"/>
                </a:schemeClr>
              </a:solidFill>
              <a:ln>
                <a:noFill/>
              </a:ln>
              <a:effectLst>
                <a:outerShdw blurRad="254000" sx="102000" sy="102000" algn="ctr" rotWithShape="0">
                  <a:prstClr val="black">
                    <a:alpha val="20000"/>
                  </a:prstClr>
                </a:outerShdw>
              </a:effectLst>
            </c:spPr>
          </c:dPt>
          <c:dLbls>
            <c:delete val="1"/>
          </c:dLbls>
          <c:cat>
            <c:strRef>
              <c:f>[饼图.xlsx]照明中心12月工资明细表!$C$9:$C$13</c:f>
              <c:strCache>
                <c:ptCount val="5"/>
                <c:pt idx="0">
                  <c:v>城乡社区支出（类）</c:v>
                </c:pt>
                <c:pt idx="1">
                  <c:v>灾害防治及应急管理（类）支出</c:v>
                </c:pt>
                <c:pt idx="2">
                  <c:v>社会保障和就业（类）</c:v>
                </c:pt>
                <c:pt idx="3">
                  <c:v>卫生健康</c:v>
                </c:pt>
                <c:pt idx="4">
                  <c:v>住房保障支出</c:v>
                </c:pt>
              </c:strCache>
            </c:strRef>
          </c:cat>
          <c:val>
            <c:numRef>
              <c:f>[饼图.xlsx]照明中心12月工资明细表!$D$9:$D$13</c:f>
              <c:numCache>
                <c:formatCode>General</c:formatCode>
                <c:ptCount val="5"/>
                <c:pt idx="0">
                  <c:v>1670.53</c:v>
                </c:pt>
                <c:pt idx="1">
                  <c:v>101.69</c:v>
                </c:pt>
                <c:pt idx="2">
                  <c:v>20.95</c:v>
                </c:pt>
                <c:pt idx="3">
                  <c:v>10.48</c:v>
                </c:pt>
                <c:pt idx="4">
                  <c:v>23.39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lang="zh-CN">
          <a:solidFill>
            <a:schemeClr val="tx1"/>
          </a:solidFill>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baseline="0">
                <a:solidFill>
                  <a:schemeClr val="tx1"/>
                </a:solidFill>
                <a:latin typeface="+mn-lt"/>
                <a:ea typeface="+mn-ea"/>
                <a:cs typeface="+mn-cs"/>
              </a:defRPr>
            </a:pPr>
            <a:r>
              <a:rPr>
                <a:solidFill>
                  <a:schemeClr val="tx1"/>
                </a:solidFill>
              </a:rPr>
              <a:t>“三公”经费财政拨款支出结构</a:t>
            </a:r>
            <a:endParaRPr>
              <a:solidFill>
                <a:schemeClr val="tx1"/>
              </a:solidFill>
            </a:endParaRPr>
          </a:p>
        </c:rich>
      </c:tx>
      <c:layout>
        <c:manualLayout>
          <c:xMode val="edge"/>
          <c:yMode val="edge"/>
          <c:x val="0.144475330090341"/>
          <c:y val="0.024165707710011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hade val="53333"/>
                </a:schemeClr>
              </a:solidFill>
              <a:ln>
                <a:noFill/>
              </a:ln>
              <a:effectLst>
                <a:outerShdw blurRad="254000" sx="102000" sy="102000" algn="ctr" rotWithShape="0">
                  <a:prstClr val="black">
                    <a:alpha val="20000"/>
                  </a:prstClr>
                </a:outerShdw>
              </a:effectLst>
            </c:spPr>
          </c:dPt>
          <c:dPt>
            <c:idx val="1"/>
            <c:bubble3D val="0"/>
            <c:spPr>
              <a:solidFill>
                <a:srgbClr val="5B9BD5"/>
              </a:solidFill>
              <a:ln>
                <a:noFill/>
              </a:ln>
              <a:effectLst>
                <a:outerShdw blurRad="254000" sx="102000" sy="102000" algn="ctr" rotWithShape="0">
                  <a:prstClr val="black">
                    <a:alpha val="20000"/>
                  </a:prstClr>
                </a:outerShdw>
              </a:effectLst>
            </c:spPr>
          </c:dPt>
          <c:dPt>
            <c:idx val="2"/>
            <c:bubble3D val="0"/>
            <c:spPr>
              <a:solidFill>
                <a:srgbClr val="FFC000"/>
              </a:solidFill>
              <a:ln>
                <a:noFill/>
              </a:ln>
              <a:effectLst>
                <a:outerShdw blurRad="254000" sx="102000" sy="102000" algn="ctr" rotWithShape="0">
                  <a:prstClr val="black">
                    <a:alpha val="20000"/>
                  </a:prstClr>
                </a:outerShdw>
              </a:effectLst>
            </c:spPr>
          </c:dPt>
          <c:dLbls>
            <c:delete val="1"/>
          </c:dLbls>
          <c:cat>
            <c:strRef>
              <c:f>[饼图.xlsx]照明中心12月工资明细表!$C$9:$C$11</c:f>
              <c:strCache>
                <c:ptCount val="3"/>
                <c:pt idx="0">
                  <c:v>公务用车购置及运行维护费</c:v>
                </c:pt>
                <c:pt idx="1">
                  <c:v>因公出国（境）费</c:v>
                </c:pt>
                <c:pt idx="2">
                  <c:v>公务接待费</c:v>
                </c:pt>
              </c:strCache>
            </c:strRef>
          </c:cat>
          <c:val>
            <c:numRef>
              <c:f>[饼图.xlsx]照明中心12月工资明细表!$D$9:$D$11</c:f>
              <c:numCache>
                <c:formatCode>General</c:formatCode>
                <c:ptCount val="3"/>
                <c:pt idx="0">
                  <c:v>1.72</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lang="zh-CN">
          <a:solidFill>
            <a:schemeClr val="tx1"/>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基本">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基本">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基本">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基本">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Company>四川省财政厅</Company>
  <Pages>31</Pages>
  <Words>9303</Words>
  <Characters>10622</Characters>
  <Lines>61</Lines>
  <Paragraphs>17</Paragraphs>
  <TotalTime>4421</TotalTime>
  <ScaleCrop>false</ScaleCrop>
  <LinksUpToDate>false</LinksUpToDate>
  <CharactersWithSpaces>10678</CharactersWithSpaces>
  <Application>WPS Office WWO_wpscloud_20230627224307-608e93d780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2022-09-26T17:05:00Z</cp:lastPrinted>
  <dcterms:modified xsi:type="dcterms:W3CDTF">2023-07-21T17:25:33Z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DE41709A0F014187A8F5DEA943674DDF_13</vt:lpwstr>
  </property>
</Properties>
</file>