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77425"/>
      <w:bookmarkStart w:id="4" w:name="_Toc15396475"/>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公安局单位决算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公开时间：2022年9月29日</w:t>
      </w:r>
    </w:p>
    <w:p/>
    <w:p>
      <w:pPr>
        <w:pStyle w:val="10"/>
        <w:adjustRightInd w:val="0"/>
        <w:snapToGrid w:val="0"/>
        <w:spacing w:before="0" w:line="440" w:lineRule="exact"/>
        <w:jc w:val="left"/>
        <w:rPr>
          <w:rFonts w:cstheme="minorBidi"/>
          <w:sz w:val="24"/>
          <w:szCs w:val="24"/>
        </w:rPr>
      </w:pPr>
      <w:r>
        <w:rPr>
          <w:rFonts w:hint="eastAsia"/>
          <w:sz w:val="24"/>
        </w:rPr>
        <w:t>第一部分单位概况</w:t>
      </w:r>
      <w:r>
        <w:rPr>
          <w:rFonts w:hint="eastAsia"/>
          <w:sz w:val="18"/>
          <w:szCs w:val="18"/>
        </w:rPr>
        <w:t xml:space="preserve">···································································· </w:t>
      </w:r>
      <w:r>
        <w:rPr>
          <w:rFonts w:hint="eastAsia" w:ascii="Times New Roman" w:hAnsi="Times New Roman" w:eastAsia="宋体"/>
          <w:sz w:val="24"/>
          <w:szCs w:val="24"/>
        </w:rPr>
        <w:t>4</w:t>
      </w:r>
    </w:p>
    <w:p>
      <w:pPr>
        <w:pStyle w:val="11"/>
        <w:adjustRightInd w:val="0"/>
        <w:snapToGrid w:val="0"/>
        <w:spacing w:line="440" w:lineRule="exact"/>
        <w:jc w:val="left"/>
        <w:rPr>
          <w:rFonts w:ascii="仿宋" w:hAnsi="仿宋" w:eastAsia="仿宋"/>
          <w:sz w:val="18"/>
          <w:szCs w:val="18"/>
        </w:rPr>
      </w:pPr>
      <w:r>
        <w:rPr>
          <w:rFonts w:hint="eastAsia"/>
          <w:sz w:val="24"/>
        </w:rPr>
        <w:t>一、职能简介</w:t>
      </w:r>
      <w:r>
        <w:rPr>
          <w:rFonts w:hint="eastAsia" w:ascii="仿宋" w:hAnsi="仿宋" w:eastAsia="仿宋"/>
          <w:sz w:val="18"/>
          <w:szCs w:val="18"/>
        </w:rPr>
        <w:t>······································································</w:t>
      </w:r>
      <w:r>
        <w:rPr>
          <w:rFonts w:hint="eastAsia"/>
          <w:sz w:val="24"/>
        </w:rPr>
        <w:t xml:space="preserve"> 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r>
        <w:rPr>
          <w:rFonts w:hint="eastAsia" w:ascii="仿宋" w:hAnsi="仿宋" w:eastAsia="仿宋"/>
          <w:sz w:val="18"/>
          <w:szCs w:val="18"/>
        </w:rPr>
        <w:t>····················································</w:t>
      </w:r>
      <w:r>
        <w:rPr>
          <w:rFonts w:hint="eastAsia"/>
          <w:sz w:val="24"/>
        </w:rPr>
        <w:t>6</w:t>
      </w:r>
    </w:p>
    <w:p>
      <w:pPr>
        <w:pStyle w:val="10"/>
        <w:adjustRightInd w:val="0"/>
        <w:snapToGrid w:val="0"/>
        <w:spacing w:before="0" w:line="440" w:lineRule="exact"/>
        <w:jc w:val="left"/>
        <w:rPr>
          <w:sz w:val="24"/>
          <w:szCs w:val="24"/>
        </w:rPr>
      </w:pPr>
      <w:r>
        <w:rPr>
          <w:rFonts w:hint="eastAsia"/>
          <w:sz w:val="24"/>
        </w:rPr>
        <w:t>第二部分 2021年度单位决算情况说明</w:t>
      </w:r>
      <w:r>
        <w:rPr>
          <w:rFonts w:hint="eastAsia"/>
          <w:sz w:val="18"/>
          <w:szCs w:val="18"/>
        </w:rPr>
        <w:t>··············································</w:t>
      </w:r>
      <w:r>
        <w:rPr>
          <w:rFonts w:hint="eastAsia" w:ascii="Times New Roman" w:hAnsi="Times New Roman" w:eastAsia="宋体"/>
          <w:sz w:val="24"/>
          <w:szCs w:val="24"/>
        </w:rPr>
        <w:t>7</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ascii="仿宋" w:hAnsi="仿宋" w:eastAsia="仿宋"/>
          <w:sz w:val="18"/>
          <w:szCs w:val="18"/>
        </w:rPr>
        <w:t>··················································</w:t>
      </w:r>
      <w:r>
        <w:rPr>
          <w:rFonts w:hint="eastAsia"/>
          <w:sz w:val="24"/>
        </w:rPr>
        <w:t>7</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ascii="仿宋" w:hAnsi="仿宋" w:eastAsia="仿宋"/>
          <w:sz w:val="18"/>
          <w:szCs w:val="18"/>
        </w:rPr>
        <w:t>····························································</w:t>
      </w:r>
      <w:r>
        <w:rPr>
          <w:rFonts w:hint="eastAsia"/>
          <w:sz w:val="24"/>
        </w:rPr>
        <w:t>7</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ascii="仿宋" w:hAnsi="仿宋" w:eastAsia="仿宋"/>
          <w:sz w:val="18"/>
          <w:szCs w:val="18"/>
        </w:rPr>
        <w:t>····························································</w:t>
      </w:r>
      <w:r>
        <w:rPr>
          <w:rFonts w:hint="eastAsia"/>
          <w:sz w:val="24"/>
        </w:rPr>
        <w:t>8</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ascii="仿宋" w:hAnsi="仿宋" w:eastAsia="仿宋"/>
          <w:sz w:val="18"/>
          <w:szCs w:val="18"/>
        </w:rPr>
        <w:t>·······································</w:t>
      </w:r>
      <w:r>
        <w:rPr>
          <w:rFonts w:hint="eastAsia"/>
          <w:sz w:val="24"/>
        </w:rPr>
        <w:t>8</w:t>
      </w:r>
    </w:p>
    <w:p>
      <w:pPr>
        <w:pStyle w:val="11"/>
        <w:adjustRightInd w:val="0"/>
        <w:snapToGrid w:val="0"/>
        <w:spacing w:line="440" w:lineRule="exact"/>
        <w:jc w:val="left"/>
        <w:rPr>
          <w:rFonts w:ascii="仿宋" w:hAnsi="仿宋" w:eastAsia="仿宋"/>
          <w:sz w:val="18"/>
          <w:szCs w:val="18"/>
        </w:rPr>
      </w:pPr>
      <w:r>
        <w:rPr>
          <w:rFonts w:hint="eastAsia"/>
          <w:sz w:val="24"/>
        </w:rPr>
        <w:t>五、一般公共预算财政拨款支出决算情况说明</w:t>
      </w:r>
      <w:r>
        <w:rPr>
          <w:rFonts w:hint="eastAsia" w:ascii="仿宋" w:hAnsi="仿宋" w:eastAsia="仿宋"/>
          <w:sz w:val="18"/>
          <w:szCs w:val="18"/>
        </w:rPr>
        <w:t>··································</w:t>
      </w:r>
      <w:r>
        <w:rPr>
          <w:rFonts w:hint="eastAsia"/>
          <w:sz w:val="24"/>
        </w:rPr>
        <w:t>9</w:t>
      </w:r>
    </w:p>
    <w:p>
      <w:pPr>
        <w:pStyle w:val="11"/>
        <w:adjustRightInd w:val="0"/>
        <w:snapToGrid w:val="0"/>
        <w:spacing w:line="440" w:lineRule="exact"/>
        <w:jc w:val="left"/>
        <w:rPr>
          <w:rFonts w:ascii="仿宋" w:hAnsi="仿宋"/>
          <w:sz w:val="18"/>
          <w:szCs w:val="18"/>
        </w:rPr>
      </w:pPr>
      <w:r>
        <w:rPr>
          <w:rFonts w:hint="eastAsia"/>
          <w:sz w:val="24"/>
        </w:rPr>
        <w:t>六、一般公共预算财政拨款基本支出决算情况说明</w:t>
      </w:r>
      <w:r>
        <w:rPr>
          <w:rFonts w:hint="eastAsia" w:ascii="仿宋" w:hAnsi="仿宋" w:eastAsia="仿宋"/>
          <w:sz w:val="18"/>
          <w:szCs w:val="18"/>
        </w:rPr>
        <w:t>···························</w:t>
      </w:r>
      <w:r>
        <w:rPr>
          <w:rFonts w:hint="eastAsia"/>
          <w:sz w:val="24"/>
        </w:rPr>
        <w:t>13</w:t>
      </w:r>
    </w:p>
    <w:p>
      <w:pPr>
        <w:pStyle w:val="11"/>
        <w:adjustRightInd w:val="0"/>
        <w:snapToGrid w:val="0"/>
        <w:spacing w:line="440" w:lineRule="exact"/>
        <w:jc w:val="left"/>
        <w:rPr>
          <w:rFonts w:ascii="仿宋" w:hAnsi="仿宋" w:eastAsia="仿宋"/>
          <w:sz w:val="18"/>
          <w:szCs w:val="18"/>
        </w:rPr>
      </w:pPr>
      <w:r>
        <w:rPr>
          <w:rFonts w:hint="eastAsia"/>
          <w:sz w:val="24"/>
        </w:rPr>
        <w:t>七、“三公”经费财政拨款支出决算情况说明</w:t>
      </w:r>
      <w:r>
        <w:rPr>
          <w:rFonts w:hint="eastAsia" w:ascii="仿宋" w:hAnsi="仿宋" w:eastAsia="仿宋"/>
          <w:sz w:val="18"/>
          <w:szCs w:val="18"/>
        </w:rPr>
        <w:t>···································</w:t>
      </w:r>
      <w:r>
        <w:rPr>
          <w:rFonts w:hint="eastAsia"/>
          <w:sz w:val="24"/>
        </w:rPr>
        <w:t>13</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ascii="仿宋" w:hAnsi="仿宋" w:eastAsia="仿宋"/>
          <w:sz w:val="18"/>
          <w:szCs w:val="18"/>
        </w:rPr>
        <w:t>········································</w:t>
      </w:r>
      <w:r>
        <w:rPr>
          <w:rFonts w:hint="eastAsia"/>
          <w:sz w:val="24"/>
        </w:rPr>
        <w:t>15</w:t>
      </w:r>
    </w:p>
    <w:p>
      <w:pPr>
        <w:pStyle w:val="11"/>
        <w:adjustRightInd w:val="0"/>
        <w:snapToGrid w:val="0"/>
        <w:spacing w:line="440" w:lineRule="exact"/>
        <w:jc w:val="left"/>
        <w:rPr>
          <w:sz w:val="24"/>
        </w:rPr>
      </w:pPr>
      <w:r>
        <w:rPr>
          <w:rFonts w:hint="eastAsia"/>
          <w:sz w:val="24"/>
        </w:rPr>
        <w:t>九、国有资本经营预算支出决算情况说明</w:t>
      </w:r>
      <w:r>
        <w:rPr>
          <w:rFonts w:hint="eastAsia" w:ascii="仿宋" w:hAnsi="仿宋" w:eastAsia="仿宋"/>
          <w:sz w:val="18"/>
          <w:szCs w:val="18"/>
        </w:rPr>
        <w:t>······································</w:t>
      </w:r>
      <w:r>
        <w:rPr>
          <w:rFonts w:hint="eastAsia"/>
          <w:sz w:val="24"/>
        </w:rPr>
        <w:t>15</w:t>
      </w:r>
    </w:p>
    <w:p>
      <w:pPr>
        <w:pStyle w:val="11"/>
        <w:adjustRightInd w:val="0"/>
        <w:snapToGrid w:val="0"/>
        <w:spacing w:line="440" w:lineRule="exact"/>
        <w:jc w:val="left"/>
        <w:rPr>
          <w:rFonts w:ascii="仿宋" w:hAnsi="仿宋" w:eastAsia="仿宋"/>
          <w:sz w:val="18"/>
          <w:szCs w:val="18"/>
        </w:rPr>
      </w:pPr>
      <w:r>
        <w:rPr>
          <w:rFonts w:hint="eastAsia"/>
          <w:sz w:val="24"/>
        </w:rPr>
        <w:t>十、</w:t>
      </w:r>
      <w:r>
        <w:rPr>
          <w:rFonts w:hint="eastAsia" w:asciiTheme="minorEastAsia" w:hAnsiTheme="minorEastAsia" w:eastAsiaTheme="minorEastAsia" w:cstheme="minorEastAsia"/>
          <w:sz w:val="24"/>
        </w:rPr>
        <w:t>预算绩效管理情况</w:t>
      </w:r>
      <w:r>
        <w:rPr>
          <w:rFonts w:hint="eastAsia" w:ascii="仿宋" w:hAnsi="仿宋" w:eastAsia="仿宋"/>
          <w:sz w:val="18"/>
          <w:szCs w:val="18"/>
        </w:rPr>
        <w:t>··························································</w:t>
      </w:r>
      <w:r>
        <w:rPr>
          <w:rFonts w:hint="eastAsia"/>
          <w:sz w:val="24"/>
        </w:rPr>
        <w:t>15</w:t>
      </w:r>
    </w:p>
    <w:p>
      <w:pPr>
        <w:pStyle w:val="11"/>
        <w:adjustRightInd w:val="0"/>
        <w:snapToGrid w:val="0"/>
        <w:spacing w:line="440" w:lineRule="exact"/>
        <w:jc w:val="left"/>
        <w:rPr>
          <w:rFonts w:ascii="仿宋" w:hAnsi="仿宋" w:eastAsia="仿宋"/>
          <w:sz w:val="18"/>
          <w:szCs w:val="18"/>
        </w:rPr>
      </w:pPr>
      <w:r>
        <w:rPr>
          <w:rFonts w:hint="eastAsia"/>
          <w:sz w:val="24"/>
        </w:rPr>
        <w:t>十一、其他重要事项的情况说明</w:t>
      </w:r>
      <w:r>
        <w:rPr>
          <w:rFonts w:hint="eastAsia" w:ascii="仿宋" w:hAnsi="仿宋" w:eastAsia="仿宋"/>
          <w:sz w:val="18"/>
          <w:szCs w:val="18"/>
        </w:rPr>
        <w:t>················································</w:t>
      </w:r>
      <w:r>
        <w:rPr>
          <w:rFonts w:hint="eastAsia"/>
          <w:sz w:val="24"/>
        </w:rPr>
        <w:t>16</w:t>
      </w:r>
    </w:p>
    <w:p>
      <w:pPr>
        <w:pStyle w:val="10"/>
        <w:adjustRightInd w:val="0"/>
        <w:snapToGrid w:val="0"/>
        <w:spacing w:before="0" w:line="440" w:lineRule="exact"/>
        <w:jc w:val="left"/>
        <w:rPr>
          <w:rFonts w:cstheme="minorBidi"/>
          <w:sz w:val="24"/>
          <w:szCs w:val="24"/>
        </w:rPr>
      </w:pPr>
      <w:r>
        <w:rPr>
          <w:rFonts w:hint="eastAsia"/>
          <w:sz w:val="24"/>
        </w:rPr>
        <w:t>第三部分名词解释</w:t>
      </w:r>
      <w:r>
        <w:rPr>
          <w:rFonts w:hint="eastAsia"/>
          <w:sz w:val="18"/>
          <w:szCs w:val="18"/>
        </w:rPr>
        <w:t>···································································</w:t>
      </w:r>
      <w:r>
        <w:rPr>
          <w:rFonts w:hint="eastAsia" w:ascii="Times New Roman" w:hAnsi="Times New Roman" w:eastAsia="宋体"/>
          <w:sz w:val="24"/>
          <w:szCs w:val="24"/>
        </w:rPr>
        <w:t>18</w:t>
      </w:r>
    </w:p>
    <w:p>
      <w:pPr>
        <w:pStyle w:val="10"/>
        <w:adjustRightInd w:val="0"/>
        <w:snapToGrid w:val="0"/>
        <w:spacing w:before="0" w:line="440" w:lineRule="exact"/>
        <w:jc w:val="left"/>
        <w:rPr>
          <w:rFonts w:cstheme="minorBidi"/>
          <w:sz w:val="24"/>
          <w:szCs w:val="24"/>
        </w:rPr>
      </w:pPr>
      <w:r>
        <w:rPr>
          <w:rFonts w:hint="eastAsia"/>
          <w:sz w:val="24"/>
        </w:rPr>
        <w:t>第四部分附件</w:t>
      </w:r>
      <w:r>
        <w:rPr>
          <w:rFonts w:hint="eastAsia"/>
          <w:sz w:val="18"/>
          <w:szCs w:val="18"/>
        </w:rPr>
        <w:t>·········································································</w:t>
      </w:r>
      <w:r>
        <w:rPr>
          <w:rFonts w:hint="eastAsia" w:ascii="Times New Roman" w:hAnsi="Times New Roman" w:eastAsia="宋体"/>
          <w:sz w:val="24"/>
          <w:szCs w:val="24"/>
        </w:rPr>
        <w:t>22</w:t>
      </w:r>
    </w:p>
    <w:p>
      <w:pPr>
        <w:pStyle w:val="10"/>
        <w:adjustRightInd w:val="0"/>
        <w:snapToGrid w:val="0"/>
        <w:spacing w:before="0" w:line="440" w:lineRule="exact"/>
        <w:jc w:val="left"/>
        <w:rPr>
          <w:rFonts w:cstheme="minorBidi"/>
          <w:sz w:val="24"/>
          <w:szCs w:val="24"/>
        </w:rPr>
      </w:pPr>
      <w:r>
        <w:rPr>
          <w:rFonts w:hint="eastAsia"/>
          <w:sz w:val="24"/>
        </w:rPr>
        <w:t>第五部分附表</w:t>
      </w:r>
      <w:r>
        <w:rPr>
          <w:rFonts w:hint="eastAsia"/>
          <w:sz w:val="18"/>
          <w:szCs w:val="18"/>
        </w:rPr>
        <w:t>·········································································</w:t>
      </w:r>
      <w:r>
        <w:rPr>
          <w:rFonts w:hint="eastAsia" w:ascii="Times New Roman" w:hAnsi="Times New Roman" w:eastAsia="宋体"/>
          <w:sz w:val="24"/>
          <w:szCs w:val="24"/>
        </w:rPr>
        <w:t>53</w:t>
      </w:r>
    </w:p>
    <w:p>
      <w:pPr>
        <w:pStyle w:val="11"/>
        <w:adjustRightInd w:val="0"/>
        <w:snapToGrid w:val="0"/>
        <w:spacing w:line="440" w:lineRule="exact"/>
        <w:jc w:val="left"/>
        <w:rPr>
          <w:rFonts w:ascii="仿宋" w:hAnsi="仿宋" w:eastAsia="仿宋"/>
          <w:sz w:val="18"/>
          <w:szCs w:val="18"/>
        </w:rPr>
      </w:pPr>
      <w:r>
        <w:rPr>
          <w:rFonts w:hint="eastAsia"/>
          <w:sz w:val="24"/>
        </w:rPr>
        <w:t>一、收入支出决算总表</w:t>
      </w:r>
      <w:r>
        <w:rPr>
          <w:rFonts w:hint="eastAsia" w:ascii="仿宋" w:hAnsi="仿宋" w:eastAsia="仿宋"/>
          <w:sz w:val="18"/>
          <w:szCs w:val="18"/>
        </w:rPr>
        <w:t>··························································</w:t>
      </w:r>
      <w:r>
        <w:rPr>
          <w:rFonts w:hint="eastAsia"/>
          <w:sz w:val="24"/>
        </w:rPr>
        <w:t>53</w:t>
      </w:r>
    </w:p>
    <w:p>
      <w:pPr>
        <w:pStyle w:val="11"/>
        <w:adjustRightInd w:val="0"/>
        <w:snapToGrid w:val="0"/>
        <w:spacing w:line="440" w:lineRule="exact"/>
        <w:jc w:val="left"/>
        <w:rPr>
          <w:rFonts w:ascii="仿宋" w:hAnsi="仿宋" w:eastAsia="仿宋"/>
          <w:sz w:val="18"/>
          <w:szCs w:val="18"/>
        </w:rPr>
      </w:pPr>
      <w:r>
        <w:rPr>
          <w:rFonts w:hint="eastAsia"/>
          <w:sz w:val="24"/>
        </w:rPr>
        <w:t>二、收入决算表</w:t>
      </w:r>
      <w:r>
        <w:rPr>
          <w:rFonts w:hint="eastAsia" w:ascii="仿宋" w:hAnsi="仿宋" w:eastAsia="仿宋"/>
          <w:sz w:val="18"/>
          <w:szCs w:val="18"/>
        </w:rPr>
        <w:t>·································································</w:t>
      </w:r>
      <w:r>
        <w:rPr>
          <w:rFonts w:hint="eastAsia"/>
          <w:sz w:val="24"/>
        </w:rPr>
        <w:t>53</w:t>
      </w:r>
    </w:p>
    <w:p>
      <w:pPr>
        <w:pStyle w:val="11"/>
        <w:adjustRightInd w:val="0"/>
        <w:snapToGrid w:val="0"/>
        <w:spacing w:line="440" w:lineRule="exact"/>
        <w:ind w:left="0" w:leftChars="0" w:firstLine="480" w:firstLineChars="200"/>
        <w:jc w:val="left"/>
        <w:rPr>
          <w:sz w:val="24"/>
        </w:rPr>
      </w:pPr>
      <w:r>
        <w:rPr>
          <w:rFonts w:hint="eastAsia"/>
          <w:sz w:val="24"/>
        </w:rPr>
        <w:t>三、支出决算表</w:t>
      </w:r>
      <w:r>
        <w:rPr>
          <w:rFonts w:hint="eastAsia" w:ascii="仿宋" w:hAnsi="仿宋" w:eastAsia="仿宋"/>
          <w:sz w:val="18"/>
          <w:szCs w:val="18"/>
        </w:rPr>
        <w:t>·································································</w:t>
      </w:r>
      <w:r>
        <w:rPr>
          <w:rFonts w:hint="eastAsia"/>
          <w:sz w:val="24"/>
        </w:rPr>
        <w:t>53</w:t>
      </w:r>
    </w:p>
    <w:p>
      <w:pPr>
        <w:pStyle w:val="10"/>
        <w:adjustRightInd w:val="0"/>
        <w:snapToGrid w:val="0"/>
        <w:spacing w:before="0" w:line="440" w:lineRule="exact"/>
        <w:ind w:firstLine="480" w:firstLineChars="200"/>
        <w:jc w:val="left"/>
        <w:rPr>
          <w:sz w:val="18"/>
          <w:szCs w:val="18"/>
        </w:rPr>
      </w:pPr>
      <w:r>
        <w:rPr>
          <w:rFonts w:hint="eastAsia" w:ascii="Times New Roman" w:hAnsi="Times New Roman" w:eastAsia="宋体"/>
          <w:sz w:val="24"/>
          <w:szCs w:val="24"/>
        </w:rPr>
        <w:t>四、财政拨</w:t>
      </w:r>
      <w:r>
        <w:rPr>
          <w:rFonts w:hint="eastAsia" w:asciiTheme="minorEastAsia" w:hAnsiTheme="minorEastAsia" w:eastAsiaTheme="minorEastAsia" w:cstheme="minorEastAsia"/>
          <w:sz w:val="24"/>
          <w:szCs w:val="24"/>
        </w:rPr>
        <w:t>款收入支出决算总表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五、财政拨款支出决算明细表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六、一般公共预算财政拨款支出决算表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七、一般公共预算财政拨款支出决算明细表</w:t>
      </w:r>
      <w:r>
        <w:rPr>
          <w:rFonts w:hint="eastAsia"/>
          <w:sz w:val="18"/>
          <w:szCs w:val="18"/>
        </w:rPr>
        <w:t>··································</w:t>
      </w:r>
      <w:r>
        <w:rPr>
          <w:rFonts w:hint="eastAsia" w:ascii="Times New Roman" w:hAnsi="Times New Roman" w:eastAsia="宋体"/>
          <w:sz w:val="24"/>
          <w:szCs w:val="24"/>
        </w:rPr>
        <w:t>53</w:t>
      </w:r>
    </w:p>
    <w:p>
      <w:pPr>
        <w:pStyle w:val="11"/>
        <w:adjustRightInd w:val="0"/>
        <w:snapToGrid w:val="0"/>
        <w:spacing w:line="440" w:lineRule="exact"/>
        <w:jc w:val="left"/>
        <w:rPr>
          <w:rFonts w:asciiTheme="minorEastAsia" w:hAnsiTheme="minorEastAsia" w:eastAsiaTheme="minorEastAsia" w:cstheme="minorEastAsia"/>
          <w:sz w:val="24"/>
        </w:rPr>
      </w:pP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八、一般公共预算财政拨款基本支出决算表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九、一般公共预算财政拨款项目支出决算表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十、一般公共预算财政拨款“三公”经费支出决算表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十一、政府性基金预算财政拨款收入支出决算表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firstLine="480" w:firstLineChars="200"/>
        <w:jc w:val="left"/>
        <w:rPr>
          <w:sz w:val="18"/>
          <w:szCs w:val="18"/>
        </w:rPr>
      </w:pPr>
      <w:r>
        <w:rPr>
          <w:rFonts w:hint="eastAsia" w:asciiTheme="minorEastAsia" w:hAnsiTheme="minorEastAsia" w:eastAsiaTheme="minorEastAsia" w:cstheme="minorEastAsia"/>
          <w:sz w:val="24"/>
          <w:szCs w:val="24"/>
        </w:rPr>
        <w:t>十二、政府性基金预算财政拨款“三公”经费支出决算表</w:t>
      </w:r>
      <w:r>
        <w:rPr>
          <w:rFonts w:hint="eastAsia"/>
          <w:sz w:val="18"/>
          <w:szCs w:val="18"/>
        </w:rPr>
        <w:t>·····················</w:t>
      </w:r>
      <w:r>
        <w:rPr>
          <w:rFonts w:hint="eastAsia" w:ascii="Times New Roman" w:hAnsi="Times New Roman" w:eastAsia="宋体"/>
          <w:sz w:val="24"/>
          <w:szCs w:val="24"/>
        </w:rPr>
        <w:t>53</w:t>
      </w:r>
    </w:p>
    <w:p>
      <w:pPr>
        <w:pStyle w:val="10"/>
        <w:adjustRightInd w:val="0"/>
        <w:snapToGrid w:val="0"/>
        <w:spacing w:before="0" w:line="440" w:lineRule="exact"/>
        <w:ind w:left="479" w:leftChars="228"/>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十三、国有资本经营预算财政拨款收入支出决算表</w:t>
      </w:r>
      <w:r>
        <w:rPr>
          <w:rFonts w:hint="eastAsia"/>
          <w:sz w:val="18"/>
          <w:szCs w:val="18"/>
        </w:rPr>
        <w:t>·························</w:t>
      </w:r>
      <w:r>
        <w:rPr>
          <w:rFonts w:hint="eastAsia" w:ascii="Times New Roman" w:hAnsi="Times New Roman" w:eastAsia="宋体"/>
          <w:sz w:val="24"/>
          <w:szCs w:val="24"/>
        </w:rPr>
        <w:t>53</w:t>
      </w:r>
      <w:r>
        <w:rPr>
          <w:rFonts w:hint="eastAsia" w:asciiTheme="minorEastAsia" w:hAnsiTheme="minorEastAsia" w:eastAsiaTheme="minorEastAsia" w:cstheme="minorEastAsia"/>
          <w:sz w:val="24"/>
          <w:szCs w:val="24"/>
        </w:rPr>
        <w:t>十四、国有资本经营预算财政拨款支出决算表</w:t>
      </w:r>
      <w:r>
        <w:rPr>
          <w:rFonts w:hint="eastAsia"/>
          <w:sz w:val="18"/>
          <w:szCs w:val="18"/>
        </w:rPr>
        <w:t>································</w:t>
      </w:r>
      <w:r>
        <w:rPr>
          <w:rFonts w:hint="eastAsia" w:ascii="Times New Roman" w:hAnsi="Times New Roman" w:eastAsia="宋体"/>
          <w:sz w:val="24"/>
          <w:szCs w:val="24"/>
        </w:rPr>
        <w:t>53</w:t>
      </w:r>
    </w:p>
    <w:p>
      <w:pPr>
        <w:pStyle w:val="11"/>
        <w:adjustRightInd w:val="0"/>
        <w:snapToGrid w:val="0"/>
        <w:spacing w:line="440" w:lineRule="exact"/>
        <w:jc w:val="left"/>
        <w:rPr>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16"/>
          <w:rFonts w:ascii="黑体" w:hAnsi="黑体" w:eastAsia="黑体"/>
          <w:b/>
          <w:bCs w:val="0"/>
        </w:rPr>
      </w:pPr>
      <w:r>
        <w:rPr>
          <w:rFonts w:hint="eastAsia" w:ascii="黑体" w:hAnsi="黑体" w:eastAsia="黑体"/>
          <w:b w:val="0"/>
        </w:rPr>
        <w:t>第一部分 单位</w:t>
      </w:r>
      <w:r>
        <w:rPr>
          <w:rStyle w:val="1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17"/>
          <w:rFonts w:ascii="黑体" w:hAnsi="黑体" w:eastAsia="黑体"/>
          <w:b w:val="0"/>
          <w:bCs w:val="0"/>
        </w:rPr>
      </w:pPr>
      <w:bookmarkStart w:id="14" w:name="_Toc15396600"/>
      <w:bookmarkStart w:id="15" w:name="_Toc15377197"/>
      <w:r>
        <w:rPr>
          <w:rStyle w:val="17"/>
          <w:rFonts w:hint="eastAsia" w:ascii="黑体" w:hAnsi="黑体" w:eastAsia="黑体"/>
          <w:b w:val="0"/>
          <w:bCs w:val="0"/>
        </w:rPr>
        <w:t>职能简介</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1.贯彻执行党和国家公安工作的方针、政策和法律、法规、规章；部署、指导、监督、检查全市公安工作；负责本系统、本部门依法行政工作，落实行政执法责任制。</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2.组织、指导、协调全市公安机关应急管理、抢险救援工作和社会公共突发事件的处置工作。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3.组织指导全市公安机关侦查工作，协调或直接侦办全市重大刑事案件、国内危害国家安全的犯罪案件及重大经济犯罪案件。</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4.负责全市治安管理工作并承担相应责任。协调处置全市重大治安案件和群体性事件，指导、监督全市公安机关依法查处破坏社会治安秩序行为，依法开展治安行政管理工作，指导、监督全市公安机关治安保卫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5.负责全市出入境管理有关工作。依法管理国籍，组织、指导全市出境、入境和持普通护照的外国人在广居留、旅行的有关管理工作。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6.负责全市道路交通安全管理工作并承担相应责任。指导、监督全市公安机关维护道路交通安全、交通秩序以及开展机动车辆（不含拖拉机）、驾驶人管理工作。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7.指导、监督全市公安机关对公共信息网络的安全保护工作，负责信息安全等级保护工作的监督、检查、指导。</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8.组织、指导、协调对恐怖活动的情报、防范、侦察和应急处置工作。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9.指导、监督全市公安机关依法承担的执行刑罚和监督、考察工作；指导、监督全市看守所、拘留所、强制隔离戒毒所、收容教育所、安康医院的管理工作，指导、监督、办理收容教养和劳动教养审批工作。管理广元市看守所、广元市拘留所、广元市强制隔离戒毒所。</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10.指导全市公安警卫业务工作，组织实施对有关的党和国家领导人以及重要外宾在广的安全警卫工作并承担相应责任。</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11.组织实施全市公安科学技术工作，组织、指导、规划全市公安机关的指挥系统、信息技术、刑事技术建设。</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12.拟订全市公安机关装备、被装和经费等警务保障计划及管理制度，组织协调全市公安机关重大任务的警务保障工作。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13.组织开展同市外公安机关、港澳台警方及外国内政警察机构的交往与业务合作。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14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15.指导市内森林等专门公安机关的业务工作。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16.承担广元市禁毒委员会的具体工作。</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17.承担市政府公布的有关行政审批事项。</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18.承办市政府和省公安厅交办的其他事项。</w:t>
      </w:r>
    </w:p>
    <w:p>
      <w:pPr>
        <w:pStyle w:val="4"/>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ascii="Times New Roman"/>
          <w:sz w:val="32"/>
          <w:szCs w:val="32"/>
        </w:rPr>
        <w:t>202</w:t>
      </w:r>
      <w:r>
        <w:rPr>
          <w:rFonts w:hint="eastAsia" w:ascii="Times New Roman"/>
          <w:sz w:val="32"/>
          <w:szCs w:val="32"/>
        </w:rPr>
        <w:t>1</w:t>
      </w:r>
      <w:r>
        <w:rPr>
          <w:rFonts w:hint="eastAsia" w:hAnsi="仿宋_GB2312" w:cs="仿宋_GB2312"/>
          <w:sz w:val="32"/>
          <w:szCs w:val="32"/>
        </w:rPr>
        <w:t>年，面对百年未有之大变局、安保维稳之大挑战、教育整顿之大考验，全市公安机关坚定以习近平新时代中国特色社会主义思想为指导，在市委、市政府和省厅党委的坚强领导下，深入贯彻落实党的十九届六中全会、全国全省全市公安工作会议、市第八次党代会精神，紧紧围绕市委“三个一、三个三”兴广战略和市公安局“1335”工作思路，以做好建党100周年安保维稳为主线，以深入开展“护旗”专项行动为抓手，以推进队伍教育整顿为保障，全力以赴战疫情、防风险、保安全、促发展、固根基、铸铁军，全市政治社会大局持续平安稳定，公安工作和队伍建设发展态势持续向好。</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16"/>
          <w:rFonts w:ascii="黑体" w:hAnsi="黑体" w:eastAsia="黑体"/>
          <w:b w:val="0"/>
          <w:bCs/>
        </w:rPr>
      </w:pPr>
      <w:bookmarkStart w:id="16" w:name="_Toc15396602"/>
      <w:bookmarkStart w:id="17" w:name="_Toc15377204"/>
      <w:r>
        <w:rPr>
          <w:rFonts w:hint="eastAsia" w:ascii="黑体" w:hAnsi="黑体" w:eastAsia="黑体"/>
          <w:b w:val="0"/>
        </w:rPr>
        <w:t>第二部分 2021年度</w:t>
      </w:r>
      <w:r>
        <w:rPr>
          <w:rStyle w:val="16"/>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1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1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w:t>
      </w:r>
      <w:r>
        <w:rPr>
          <w:rFonts w:ascii="仿宋" w:hAnsi="仿宋" w:eastAsia="仿宋"/>
          <w:sz w:val="32"/>
          <w:szCs w:val="32"/>
        </w:rPr>
        <w:t>24641.32</w:t>
      </w:r>
      <w:r>
        <w:rPr>
          <w:rFonts w:hint="eastAsia" w:ascii="仿宋" w:hAnsi="仿宋" w:eastAsia="仿宋"/>
          <w:sz w:val="32"/>
          <w:szCs w:val="32"/>
        </w:rPr>
        <w:t>万元。与2020年相比，收、支总计各增加1325.83万元，增长5.69</w:t>
      </w:r>
      <w:r>
        <w:rPr>
          <w:rFonts w:ascii="仿宋" w:hAnsi="仿宋" w:eastAsia="仿宋"/>
          <w:sz w:val="32"/>
          <w:szCs w:val="32"/>
        </w:rPr>
        <w:t>%</w:t>
      </w:r>
      <w:r>
        <w:rPr>
          <w:rFonts w:hint="eastAsia" w:ascii="仿宋" w:hAnsi="仿宋" w:eastAsia="仿宋"/>
          <w:sz w:val="32"/>
          <w:szCs w:val="32"/>
        </w:rPr>
        <w:t>。主要变动原因是主要变动原因是市监管中心及反恐基地建设项目县区分摊资金集中在2021年度上缴。</w:t>
      </w:r>
    </w:p>
    <w:p>
      <w:pPr>
        <w:pStyle w:val="2"/>
        <w:spacing w:before="93"/>
      </w:pPr>
    </w:p>
    <w:p>
      <w:pPr>
        <w:pStyle w:val="2"/>
        <w:spacing w:before="93"/>
        <w:ind w:firstLine="1320" w:firstLineChars="600"/>
        <w:jc w:val="center"/>
      </w:pPr>
      <w:r>
        <w:rPr>
          <w:rFonts w:ascii="宋体" w:hAnsi="宋体" w:cs="宋体"/>
          <w:sz w:val="22"/>
          <w:szCs w:val="22"/>
        </w:rPr>
        <w:object>
          <v:shape id="_x0000_i1025" o:spt="75" type="#_x0000_t75" style="height:209.25pt;width:350.25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2"/>
        </w:numPr>
        <w:spacing w:line="600" w:lineRule="exact"/>
        <w:ind w:firstLineChars="0"/>
        <w:outlineLvl w:val="1"/>
        <w:rPr>
          <w:rStyle w:val="17"/>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1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ascii="仿宋" w:hAnsi="仿宋" w:eastAsia="仿宋"/>
          <w:sz w:val="32"/>
          <w:szCs w:val="32"/>
        </w:rPr>
        <w:t>20140.55</w:t>
      </w:r>
      <w:r>
        <w:rPr>
          <w:rFonts w:hint="eastAsia" w:ascii="仿宋" w:hAnsi="仿宋" w:eastAsia="仿宋"/>
          <w:sz w:val="32"/>
          <w:szCs w:val="32"/>
        </w:rPr>
        <w:t>万元，其中：一般公共预算财政拨款收入</w:t>
      </w:r>
      <w:r>
        <w:rPr>
          <w:rFonts w:ascii="仿宋" w:hAnsi="仿宋" w:eastAsia="仿宋"/>
          <w:sz w:val="32"/>
          <w:szCs w:val="32"/>
        </w:rPr>
        <w:t>18312.7</w:t>
      </w:r>
      <w:r>
        <w:rPr>
          <w:rFonts w:hint="eastAsia" w:ascii="仿宋" w:hAnsi="仿宋" w:eastAsia="仿宋"/>
          <w:sz w:val="32"/>
          <w:szCs w:val="32"/>
        </w:rPr>
        <w:t>万元，占90.92</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sz w:val="32"/>
          <w:szCs w:val="32"/>
        </w:rPr>
        <w:t>1827.85</w:t>
      </w:r>
      <w:r>
        <w:rPr>
          <w:rFonts w:hint="eastAsia" w:ascii="仿宋" w:hAnsi="仿宋" w:eastAsia="仿宋"/>
          <w:sz w:val="32"/>
          <w:szCs w:val="32"/>
        </w:rPr>
        <w:t>万元，占9.08</w:t>
      </w:r>
      <w:r>
        <w:rPr>
          <w:rFonts w:ascii="仿宋" w:hAnsi="仿宋" w:eastAsia="仿宋"/>
          <w:sz w:val="32"/>
          <w:szCs w:val="32"/>
        </w:rPr>
        <w:t>%</w:t>
      </w:r>
      <w:r>
        <w:rPr>
          <w:rFonts w:hint="eastAsia" w:ascii="仿宋" w:hAnsi="仿宋" w:eastAsia="仿宋"/>
          <w:sz w:val="32"/>
          <w:szCs w:val="32"/>
        </w:rPr>
        <w:t>。</w:t>
      </w:r>
    </w:p>
    <w:p>
      <w:pPr>
        <w:pStyle w:val="2"/>
        <w:spacing w:before="93"/>
        <w:ind w:firstLine="960" w:firstLineChars="300"/>
        <w:jc w:val="center"/>
        <w:rPr>
          <w:rFonts w:ascii="仿宋" w:hAnsi="仿宋" w:eastAsia="仿宋"/>
          <w:sz w:val="32"/>
          <w:szCs w:val="32"/>
        </w:rPr>
      </w:pPr>
      <w:r>
        <w:rPr>
          <w:rFonts w:ascii="仿宋" w:hAnsi="仿宋" w:eastAsia="仿宋"/>
          <w:sz w:val="32"/>
          <w:szCs w:val="32"/>
        </w:rPr>
        <w:object>
          <v:shape id="_x0000_i1026" o:spt="75" type="#_x0000_t75" style="height:166.5pt;width:347.25pt;" o:ole="t" filled="f" o:preferrelative="t" stroked="f" coordsize="21600,21600">
            <v:path/>
            <v:fill on="f" focussize="0,0"/>
            <v:stroke on="f" joinstyle="miter"/>
            <v:imagedata r:id="rId9" o:title=""/>
            <o:lock v:ext="edit" aspectratio="t"/>
            <w10:wrap type="none"/>
            <w10:anchorlock/>
          </v:shape>
          <o:OLEObject Type="Embed" ProgID="MSGraph.Chart.8" ShapeID="_x0000_i1026" DrawAspect="Content" ObjectID="_1468075726" r:id="rId8">
            <o:LockedField>false</o:LockedField>
          </o:OLEObject>
        </w:object>
      </w:r>
    </w:p>
    <w:p>
      <w:pPr>
        <w:pStyle w:val="2"/>
        <w:spacing w:before="93"/>
        <w:ind w:firstLine="2400" w:firstLineChars="750"/>
      </w:pPr>
      <w:r>
        <w:rPr>
          <w:rFonts w:hint="eastAsia" w:ascii="仿宋" w:hAnsi="仿宋" w:eastAsia="仿宋"/>
          <w:sz w:val="32"/>
          <w:szCs w:val="32"/>
        </w:rPr>
        <w:t>（图2：收入决算结构图）</w:t>
      </w:r>
    </w:p>
    <w:p>
      <w:pPr>
        <w:pStyle w:val="26"/>
        <w:numPr>
          <w:ilvl w:val="0"/>
          <w:numId w:val="2"/>
        </w:numPr>
        <w:spacing w:line="600" w:lineRule="exact"/>
        <w:ind w:firstLineChars="0"/>
        <w:outlineLvl w:val="1"/>
        <w:rPr>
          <w:rStyle w:val="17"/>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1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18686.16</w:t>
      </w:r>
      <w:r>
        <w:rPr>
          <w:rFonts w:hint="eastAsia" w:ascii="仿宋" w:hAnsi="仿宋" w:eastAsia="仿宋"/>
          <w:sz w:val="32"/>
          <w:szCs w:val="32"/>
        </w:rPr>
        <w:t>万元，其中：基本支出</w:t>
      </w:r>
      <w:r>
        <w:rPr>
          <w:rFonts w:ascii="仿宋" w:hAnsi="仿宋" w:eastAsia="仿宋"/>
          <w:sz w:val="32"/>
          <w:szCs w:val="32"/>
        </w:rPr>
        <w:t>12032.63</w:t>
      </w:r>
      <w:r>
        <w:rPr>
          <w:rFonts w:hint="eastAsia" w:ascii="仿宋" w:hAnsi="仿宋" w:eastAsia="仿宋"/>
          <w:sz w:val="32"/>
          <w:szCs w:val="32"/>
        </w:rPr>
        <w:t>万元，占64.39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sz w:val="32"/>
          <w:szCs w:val="32"/>
        </w:rPr>
        <w:t>6653.53</w:t>
      </w:r>
      <w:r>
        <w:rPr>
          <w:rFonts w:hint="eastAsia" w:ascii="仿宋" w:hAnsi="仿宋" w:eastAsia="仿宋"/>
          <w:sz w:val="32"/>
          <w:szCs w:val="32"/>
        </w:rPr>
        <w:t>万元，占35.61</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p>
    <w:p>
      <w:pPr>
        <w:pStyle w:val="2"/>
        <w:spacing w:before="93"/>
        <w:jc w:val="center"/>
        <w:rPr>
          <w:sz w:val="32"/>
          <w:szCs w:val="32"/>
        </w:rPr>
      </w:pPr>
      <w:r>
        <w:rPr>
          <w:sz w:val="32"/>
          <w:szCs w:val="32"/>
        </w:rPr>
        <w:object>
          <v:shape id="_x0000_i1027" o:spt="75" type="#_x0000_t75" style="height:167.25pt;width:347.25pt;" o:ole="t" filled="f" o:preferrelative="t" stroked="f" coordsize="21600,21600">
            <v:path/>
            <v:fill on="f" focussize="0,0"/>
            <v:stroke on="f" joinstyle="miter"/>
            <v:imagedata r:id="rId11" o:title=""/>
            <o:lock v:ext="edit" aspectratio="t"/>
            <w10:wrap type="none"/>
            <w10:anchorlock/>
          </v:shape>
          <o:OLEObject Type="Embed" ProgID="MSGraph.Chart.8" ShapeID="_x0000_i1027" DrawAspect="Content" ObjectID="_1468075727" r:id="rId10">
            <o:LockedField>false</o:LockedField>
          </o:OLEObject>
        </w:object>
      </w:r>
    </w:p>
    <w:p>
      <w:pPr>
        <w:pStyle w:val="2"/>
        <w:spacing w:before="93"/>
        <w:jc w:val="center"/>
        <w:rPr>
          <w:rFonts w:ascii="仿宋" w:hAnsi="仿宋" w:eastAsia="仿宋"/>
          <w:b/>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1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20901.87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20年相比，财政拨款收、支总计各减少502.02万元，下降2.35</w:t>
      </w:r>
      <w:r>
        <w:rPr>
          <w:rFonts w:ascii="仿宋" w:hAnsi="仿宋" w:eastAsia="仿宋"/>
          <w:sz w:val="32"/>
          <w:szCs w:val="32"/>
        </w:rPr>
        <w:t>%</w:t>
      </w:r>
      <w:r>
        <w:rPr>
          <w:rFonts w:hint="eastAsia" w:ascii="仿宋" w:hAnsi="仿宋" w:eastAsia="仿宋"/>
          <w:sz w:val="32"/>
          <w:szCs w:val="32"/>
        </w:rPr>
        <w:t>。主要变动原因是追加的“四铁”工程建设费590万元和中央转移支付资金698万元，年末下达时间较晚，部分资金结转下年继续使用。</w:t>
      </w:r>
    </w:p>
    <w:p>
      <w:pPr>
        <w:spacing w:line="600" w:lineRule="exact"/>
        <w:ind w:firstLine="640"/>
        <w:rPr>
          <w:rFonts w:ascii="仿宋" w:hAnsi="仿宋" w:eastAsia="仿宋"/>
          <w:b/>
          <w:sz w:val="32"/>
          <w:szCs w:val="32"/>
        </w:rPr>
      </w:pPr>
    </w:p>
    <w:p>
      <w:pPr>
        <w:pStyle w:val="2"/>
        <w:spacing w:before="93"/>
        <w:jc w:val="center"/>
        <w:rPr>
          <w:rFonts w:ascii="仿宋" w:hAnsi="仿宋" w:eastAsia="仿宋"/>
          <w:sz w:val="32"/>
          <w:szCs w:val="32"/>
        </w:rPr>
      </w:pPr>
      <w:r>
        <w:rPr>
          <w:rFonts w:ascii="仿宋" w:hAnsi="仿宋" w:eastAsia="仿宋"/>
          <w:sz w:val="32"/>
          <w:szCs w:val="32"/>
        </w:rPr>
        <w:object>
          <v:shape id="_x0000_i1028" o:spt="75" type="#_x0000_t75" style="height:193.5pt;width:359.25pt;" o:ole="t" filled="f" o:preferrelative="t" stroked="f" coordsize="21600,21600">
            <v:path/>
            <v:fill on="f" focussize="0,0"/>
            <v:stroke on="f" joinstyle="miter"/>
            <v:imagedata r:id="rId13" o:title=""/>
            <o:lock v:ext="edit" aspectratio="t"/>
            <w10:wrap type="none"/>
            <w10:anchorlock/>
          </v:shape>
          <o:OLEObject Type="Embed" ProgID="MSGraph.Chart.8" ShapeID="_x0000_i1028" DrawAspect="Content" ObjectID="_1468075728" r:id="rId12">
            <o:LockedField>false</o:LockedField>
          </o:OLEObject>
        </w:object>
      </w:r>
    </w:p>
    <w:p>
      <w:pPr>
        <w:pStyle w:val="2"/>
        <w:spacing w:before="93"/>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1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18176.6</w:t>
      </w:r>
      <w:r>
        <w:rPr>
          <w:rFonts w:hint="eastAsia" w:ascii="仿宋" w:hAnsi="仿宋" w:eastAsia="仿宋"/>
          <w:sz w:val="32"/>
          <w:szCs w:val="32"/>
        </w:rPr>
        <w:t>万元，占本年支出合计的97.27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20年相比，一般公共预算财政拨款支出减少181.09万元，下降0.99</w:t>
      </w:r>
      <w:r>
        <w:rPr>
          <w:rFonts w:ascii="仿宋" w:hAnsi="仿宋" w:eastAsia="仿宋"/>
          <w:sz w:val="32"/>
          <w:szCs w:val="32"/>
        </w:rPr>
        <w:t>%</w:t>
      </w:r>
      <w:r>
        <w:rPr>
          <w:rFonts w:hint="eastAsia" w:ascii="仿宋" w:hAnsi="仿宋" w:eastAsia="仿宋"/>
          <w:sz w:val="32"/>
          <w:szCs w:val="32"/>
        </w:rPr>
        <w:t>。主要变动原因是追加的“四铁”工程建设费590万元和中央转移支付资金698万元，年末下达时间较晚，相应执行额度减少。</w:t>
      </w:r>
    </w:p>
    <w:p>
      <w:pPr>
        <w:pStyle w:val="2"/>
        <w:spacing w:before="93"/>
        <w:jc w:val="center"/>
        <w:rPr>
          <w:rFonts w:ascii="仿宋" w:hAnsi="仿宋" w:eastAsia="仿宋"/>
          <w:sz w:val="32"/>
          <w:szCs w:val="32"/>
        </w:rPr>
      </w:pPr>
      <w:r>
        <w:rPr>
          <w:rFonts w:ascii="仿宋" w:hAnsi="仿宋" w:eastAsia="仿宋"/>
          <w:sz w:val="32"/>
          <w:szCs w:val="32"/>
        </w:rPr>
        <w:object>
          <v:shape id="_x0000_i1029" o:spt="75" type="#_x0000_t75" style="height:180.75pt;width:312pt;" o:ole="t" filled="f" o:preferrelative="t" stroked="f" coordsize="21600,21600">
            <v:path/>
            <v:fill on="f" focussize="0,0"/>
            <v:stroke on="f" joinstyle="miter"/>
            <v:imagedata r:id="rId15" o:title=""/>
            <o:lock v:ext="edit" aspectratio="t"/>
            <w10:wrap type="none"/>
            <w10:anchorlock/>
          </v:shape>
          <o:OLEObject Type="Embed" ProgID="MSGraph.Chart.8" ShapeID="_x0000_i1029" DrawAspect="Content" ObjectID="_1468075729" r:id="rId14">
            <o:LockedField>false</o:LockedField>
          </o:OLEObject>
        </w:object>
      </w:r>
    </w:p>
    <w:p>
      <w:pPr>
        <w:pStyle w:val="2"/>
        <w:spacing w:before="93"/>
        <w:jc w:val="cente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18176.6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 xml:space="preserve"> 公共安全（类）支出</w:t>
      </w:r>
      <w:r>
        <w:rPr>
          <w:rFonts w:ascii="仿宋" w:hAnsi="仿宋" w:eastAsia="仿宋"/>
          <w:sz w:val="32"/>
          <w:szCs w:val="32"/>
        </w:rPr>
        <w:t>14736.7</w:t>
      </w:r>
      <w:r>
        <w:rPr>
          <w:rFonts w:hint="eastAsia" w:ascii="仿宋" w:hAnsi="仿宋" w:eastAsia="仿宋"/>
          <w:sz w:val="32"/>
          <w:szCs w:val="32"/>
        </w:rPr>
        <w:t>2万元，占81.08</w:t>
      </w:r>
      <w:r>
        <w:rPr>
          <w:rFonts w:ascii="仿宋" w:hAnsi="仿宋" w:eastAsia="仿宋"/>
          <w:sz w:val="32"/>
          <w:szCs w:val="32"/>
        </w:rPr>
        <w:t>%</w:t>
      </w:r>
      <w:r>
        <w:rPr>
          <w:rFonts w:hint="eastAsia" w:ascii="仿宋" w:hAnsi="仿宋" w:eastAsia="仿宋"/>
          <w:sz w:val="32"/>
          <w:szCs w:val="32"/>
        </w:rPr>
        <w:t>；社会保障和就业（类）支出</w:t>
      </w:r>
      <w:r>
        <w:rPr>
          <w:rFonts w:ascii="仿宋" w:hAnsi="仿宋" w:eastAsia="仿宋"/>
          <w:sz w:val="32"/>
          <w:szCs w:val="32"/>
        </w:rPr>
        <w:t>927.7</w:t>
      </w:r>
      <w:r>
        <w:rPr>
          <w:rFonts w:hint="eastAsia" w:ascii="仿宋" w:hAnsi="仿宋" w:eastAsia="仿宋"/>
          <w:sz w:val="32"/>
          <w:szCs w:val="32"/>
        </w:rPr>
        <w:t>3万元，占5.1</w:t>
      </w:r>
      <w:r>
        <w:rPr>
          <w:rFonts w:ascii="仿宋" w:hAnsi="仿宋" w:eastAsia="仿宋"/>
          <w:sz w:val="32"/>
          <w:szCs w:val="32"/>
        </w:rPr>
        <w:t>%</w:t>
      </w:r>
      <w:r>
        <w:rPr>
          <w:rFonts w:hint="eastAsia" w:ascii="仿宋" w:hAnsi="仿宋" w:eastAsia="仿宋"/>
          <w:sz w:val="32"/>
          <w:szCs w:val="32"/>
        </w:rPr>
        <w:t>；卫生健康（类）支出</w:t>
      </w:r>
      <w:r>
        <w:rPr>
          <w:rFonts w:ascii="仿宋" w:hAnsi="仿宋" w:eastAsia="仿宋"/>
          <w:sz w:val="32"/>
          <w:szCs w:val="32"/>
        </w:rPr>
        <w:t>354.74</w:t>
      </w:r>
      <w:r>
        <w:rPr>
          <w:rFonts w:hint="eastAsia" w:ascii="仿宋" w:hAnsi="仿宋" w:eastAsia="仿宋"/>
          <w:sz w:val="32"/>
          <w:szCs w:val="32"/>
        </w:rPr>
        <w:t>万元，占1.95</w:t>
      </w:r>
      <w:r>
        <w:rPr>
          <w:rFonts w:ascii="仿宋" w:hAnsi="仿宋" w:eastAsia="仿宋"/>
          <w:sz w:val="32"/>
          <w:szCs w:val="32"/>
        </w:rPr>
        <w:t>%</w:t>
      </w:r>
      <w:r>
        <w:rPr>
          <w:rFonts w:hint="eastAsia" w:ascii="仿宋" w:hAnsi="仿宋" w:eastAsia="仿宋"/>
          <w:sz w:val="32"/>
          <w:szCs w:val="32"/>
        </w:rPr>
        <w:t>；节能环保（类）支出</w:t>
      </w:r>
      <w:r>
        <w:rPr>
          <w:rFonts w:ascii="仿宋" w:hAnsi="仿宋" w:eastAsia="仿宋"/>
          <w:sz w:val="32"/>
          <w:szCs w:val="32"/>
        </w:rPr>
        <w:t>289.8</w:t>
      </w:r>
      <w:r>
        <w:rPr>
          <w:rFonts w:hint="eastAsia" w:ascii="仿宋" w:hAnsi="仿宋" w:eastAsia="仿宋"/>
          <w:sz w:val="32"/>
          <w:szCs w:val="32"/>
        </w:rPr>
        <w:t>万元，占1.6%；住房保障（类）支出</w:t>
      </w:r>
      <w:r>
        <w:rPr>
          <w:rFonts w:ascii="仿宋" w:hAnsi="仿宋" w:eastAsia="仿宋"/>
          <w:sz w:val="32"/>
          <w:szCs w:val="32"/>
        </w:rPr>
        <w:t>867.59</w:t>
      </w:r>
      <w:r>
        <w:rPr>
          <w:rFonts w:hint="eastAsia" w:ascii="仿宋" w:hAnsi="仿宋" w:eastAsia="仿宋"/>
          <w:sz w:val="32"/>
          <w:szCs w:val="32"/>
        </w:rPr>
        <w:t>万元，占4.77</w:t>
      </w:r>
      <w:r>
        <w:rPr>
          <w:rFonts w:ascii="仿宋" w:hAnsi="仿宋" w:eastAsia="仿宋"/>
          <w:sz w:val="32"/>
          <w:szCs w:val="32"/>
        </w:rPr>
        <w:t>%</w:t>
      </w:r>
      <w:r>
        <w:rPr>
          <w:rFonts w:hint="eastAsia" w:ascii="仿宋" w:hAnsi="仿宋" w:eastAsia="仿宋"/>
          <w:sz w:val="32"/>
          <w:szCs w:val="32"/>
        </w:rPr>
        <w:t>；其他（类）支出1000万元，占5.5</w:t>
      </w:r>
      <w:r>
        <w:rPr>
          <w:rFonts w:ascii="仿宋" w:hAnsi="仿宋" w:eastAsia="仿宋"/>
          <w:sz w:val="32"/>
          <w:szCs w:val="32"/>
        </w:rPr>
        <w:t>%</w:t>
      </w:r>
      <w:r>
        <w:rPr>
          <w:rFonts w:hint="eastAsia" w:ascii="仿宋" w:hAnsi="仿宋" w:eastAsia="仿宋"/>
          <w:sz w:val="32"/>
          <w:szCs w:val="32"/>
        </w:rPr>
        <w:t>。</w:t>
      </w:r>
      <w:bookmarkStart w:id="30" w:name="_Toc15377212"/>
    </w:p>
    <w:p>
      <w:pPr>
        <w:pStyle w:val="2"/>
        <w:spacing w:before="93"/>
        <w:jc w:val="center"/>
        <w:rPr>
          <w:rFonts w:ascii="仿宋" w:hAnsi="仿宋" w:eastAsia="仿宋"/>
          <w:b/>
          <w:sz w:val="32"/>
          <w:szCs w:val="32"/>
        </w:rPr>
      </w:pPr>
      <w:r>
        <w:rPr>
          <w:rFonts w:ascii="仿宋" w:hAnsi="仿宋" w:eastAsia="仿宋"/>
          <w:sz w:val="32"/>
          <w:szCs w:val="32"/>
        </w:rPr>
        <w:object>
          <v:shape id="_x0000_i1030" o:spt="75" type="#_x0000_t75" style="height:240.75pt;width:397.5pt;" o:ole="t" filled="f" o:preferrelative="t" stroked="f" coordsize="21600,21600">
            <v:path/>
            <v:fill on="f" focussize="0,0"/>
            <v:stroke on="f" joinstyle="miter"/>
            <v:imagedata r:id="rId17" o:title=""/>
            <o:lock v:ext="edit" aspectratio="t"/>
            <w10:wrap type="none"/>
            <w10:anchorlock/>
          </v:shape>
          <o:OLEObject Type="Embed" ProgID="MSGraph.Chart.8" ShapeID="_x0000_i1030" DrawAspect="Content" ObjectID="_1468075730" r:id="rId16">
            <o:LockedField>false</o:LockedField>
          </o:OLEObject>
        </w:object>
      </w: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8460"/>
      <w:bookmarkStart w:id="32" w:name="_Toc15377444"/>
      <w:bookmarkStart w:id="33" w:name="_Toc15377213"/>
      <w:r>
        <w:rPr>
          <w:rFonts w:hint="eastAsia" w:ascii="仿宋_GB2312" w:hAnsi="仿宋_GB2312" w:eastAsia="仿宋_GB2312" w:cs="仿宋_GB2312"/>
          <w:bCs/>
          <w:sz w:val="32"/>
          <w:szCs w:val="32"/>
        </w:rPr>
        <w:t>2021年一般公共预算支出决算数为18176.6万元，</w:t>
      </w:r>
      <w:r>
        <w:rPr>
          <w:rStyle w:val="14"/>
          <w:rFonts w:hint="eastAsia" w:ascii="仿宋_GB2312" w:hAnsi="仿宋_GB2312" w:eastAsia="仿宋_GB2312" w:cs="仿宋_GB2312"/>
          <w:b w:val="0"/>
          <w:bCs/>
          <w:sz w:val="32"/>
          <w:szCs w:val="32"/>
        </w:rPr>
        <w:t>完成预算86.96%。其中：</w:t>
      </w:r>
      <w:bookmarkEnd w:id="31"/>
      <w:bookmarkEnd w:id="32"/>
      <w:bookmarkEnd w:id="33"/>
    </w:p>
    <w:p>
      <w:pPr>
        <w:ind w:firstLine="643" w:firstLineChars="200"/>
        <w:rPr>
          <w:rFonts w:ascii="宋体" w:hAnsi="宋体" w:eastAsia="仿宋" w:cs="Arial"/>
          <w:kern w:val="0"/>
          <w:sz w:val="22"/>
          <w:szCs w:val="2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公共安全（类）公安（款）行政运行（项）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9738.66</w:t>
      </w:r>
      <w:r>
        <w:rPr>
          <w:rStyle w:val="14"/>
          <w:rFonts w:hint="eastAsia" w:ascii="仿宋" w:hAnsi="仿宋" w:eastAsia="仿宋"/>
          <w:b w:val="0"/>
          <w:bCs/>
          <w:sz w:val="32"/>
          <w:szCs w:val="32"/>
        </w:rPr>
        <w:t>万元，完成预算99.26%，决算数与预算数基本持平。</w:t>
      </w:r>
    </w:p>
    <w:p>
      <w:pPr>
        <w:rPr>
          <w:rStyle w:val="14"/>
          <w:rFonts w:ascii="仿宋" w:hAnsi="仿宋" w:eastAsia="仿宋"/>
          <w:bCs/>
          <w:sz w:val="32"/>
          <w:szCs w:val="32"/>
        </w:rPr>
      </w:pPr>
      <w:r>
        <w:rPr>
          <w:rStyle w:val="14"/>
          <w:rFonts w:hint="eastAsia" w:ascii="仿宋" w:hAnsi="仿宋" w:eastAsia="仿宋"/>
          <w:bCs/>
          <w:sz w:val="32"/>
          <w:szCs w:val="32"/>
        </w:rPr>
        <w:t xml:space="preserve">    2</w:t>
      </w:r>
      <w:r>
        <w:rPr>
          <w:rStyle w:val="14"/>
          <w:rFonts w:ascii="仿宋" w:hAnsi="仿宋" w:eastAsia="仿宋"/>
          <w:bCs/>
          <w:sz w:val="32"/>
          <w:szCs w:val="32"/>
        </w:rPr>
        <w:t>.</w:t>
      </w:r>
      <w:r>
        <w:rPr>
          <w:rStyle w:val="14"/>
          <w:rFonts w:hint="eastAsia" w:ascii="仿宋" w:hAnsi="仿宋" w:eastAsia="仿宋"/>
          <w:bCs/>
          <w:sz w:val="32"/>
          <w:szCs w:val="32"/>
        </w:rPr>
        <w:t>公共安全（类）公安（款）一般行政管理事务（项）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2495.67</w:t>
      </w:r>
      <w:r>
        <w:rPr>
          <w:rStyle w:val="14"/>
          <w:rFonts w:hint="eastAsia" w:ascii="仿宋" w:hAnsi="仿宋" w:eastAsia="仿宋"/>
          <w:b w:val="0"/>
          <w:bCs/>
          <w:sz w:val="32"/>
          <w:szCs w:val="32"/>
        </w:rPr>
        <w:t xml:space="preserve">万元，完成预算66.16%，决算数小于预算数的主要原因是部分项目尾款跨年度达到条件支付。 </w:t>
      </w:r>
    </w:p>
    <w:p>
      <w:pPr>
        <w:rPr>
          <w:rFonts w:ascii="仿宋" w:hAnsi="仿宋" w:eastAsia="仿宋"/>
          <w:bCs/>
          <w:sz w:val="32"/>
          <w:szCs w:val="32"/>
        </w:rPr>
      </w:pPr>
      <w:r>
        <w:rPr>
          <w:rStyle w:val="14"/>
          <w:rFonts w:hint="eastAsia" w:ascii="仿宋" w:hAnsi="仿宋" w:eastAsia="仿宋"/>
          <w:bCs/>
          <w:sz w:val="32"/>
          <w:szCs w:val="32"/>
        </w:rPr>
        <w:t xml:space="preserve">    3</w:t>
      </w:r>
      <w:r>
        <w:rPr>
          <w:rStyle w:val="14"/>
          <w:rFonts w:ascii="仿宋" w:hAnsi="仿宋" w:eastAsia="仿宋"/>
          <w:bCs/>
          <w:sz w:val="32"/>
          <w:szCs w:val="32"/>
        </w:rPr>
        <w:t>.</w:t>
      </w:r>
      <w:r>
        <w:rPr>
          <w:rStyle w:val="14"/>
          <w:rFonts w:hint="eastAsia" w:ascii="仿宋" w:hAnsi="仿宋" w:eastAsia="仿宋"/>
          <w:bCs/>
          <w:sz w:val="32"/>
          <w:szCs w:val="32"/>
        </w:rPr>
        <w:t>公共安全（类）公安（款）信息化建设（项）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1182.28</w:t>
      </w:r>
      <w:r>
        <w:rPr>
          <w:rStyle w:val="14"/>
          <w:rFonts w:hint="eastAsia" w:ascii="仿宋" w:hAnsi="仿宋" w:eastAsia="仿宋"/>
          <w:b w:val="0"/>
          <w:bCs/>
          <w:sz w:val="32"/>
          <w:szCs w:val="32"/>
        </w:rPr>
        <w:t>万元，完成预算100%。</w:t>
      </w:r>
    </w:p>
    <w:p>
      <w:pPr>
        <w:rPr>
          <w:rFonts w:ascii="宋体" w:hAnsi="宋体" w:cs="Arial"/>
          <w:kern w:val="0"/>
          <w:sz w:val="22"/>
          <w:szCs w:val="22"/>
        </w:rPr>
      </w:pPr>
      <w:r>
        <w:rPr>
          <w:rStyle w:val="14"/>
          <w:rFonts w:hint="eastAsia" w:ascii="仿宋" w:hAnsi="仿宋" w:eastAsia="仿宋"/>
          <w:bCs/>
          <w:sz w:val="32"/>
          <w:szCs w:val="32"/>
        </w:rPr>
        <w:t xml:space="preserve">    4</w:t>
      </w:r>
      <w:r>
        <w:rPr>
          <w:rStyle w:val="14"/>
          <w:rFonts w:ascii="仿宋" w:hAnsi="仿宋" w:eastAsia="仿宋"/>
          <w:bCs/>
          <w:sz w:val="32"/>
          <w:szCs w:val="32"/>
        </w:rPr>
        <w:t>.</w:t>
      </w:r>
      <w:r>
        <w:rPr>
          <w:rStyle w:val="14"/>
          <w:rFonts w:hint="eastAsia" w:ascii="仿宋" w:hAnsi="仿宋" w:eastAsia="仿宋"/>
          <w:bCs/>
          <w:sz w:val="32"/>
          <w:szCs w:val="32"/>
        </w:rPr>
        <w:t>公共安全（类）公安（款）执法办案（项）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1041.60</w:t>
      </w:r>
      <w:r>
        <w:rPr>
          <w:rStyle w:val="14"/>
          <w:rFonts w:hint="eastAsia" w:ascii="仿宋" w:hAnsi="仿宋" w:eastAsia="仿宋"/>
          <w:b w:val="0"/>
          <w:bCs/>
          <w:sz w:val="32"/>
          <w:szCs w:val="32"/>
        </w:rPr>
        <w:t>万元，完成预算100%。</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公共安全（类）公安（款）特别业务（项）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44.51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Cs/>
          <w:sz w:val="32"/>
          <w:szCs w:val="32"/>
        </w:rPr>
      </w:pPr>
      <w:r>
        <w:rPr>
          <w:rStyle w:val="14"/>
          <w:rFonts w:hint="eastAsia" w:ascii="仿宋" w:hAnsi="仿宋" w:eastAsia="仿宋"/>
          <w:bCs/>
          <w:sz w:val="32"/>
          <w:szCs w:val="32"/>
        </w:rPr>
        <w:t>6.公共安全（类）公安（款）</w:t>
      </w:r>
      <w:r>
        <w:rPr>
          <w:rFonts w:hint="eastAsia" w:ascii="仿宋" w:hAnsi="仿宋" w:eastAsia="仿宋"/>
          <w:b/>
          <w:bCs/>
          <w:sz w:val="32"/>
          <w:szCs w:val="32"/>
        </w:rPr>
        <w:t>移民事务</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90.1</w:t>
      </w:r>
      <w:r>
        <w:rPr>
          <w:rStyle w:val="14"/>
          <w:rFonts w:hint="eastAsia" w:ascii="仿宋" w:hAnsi="仿宋" w:eastAsia="仿宋"/>
          <w:b w:val="0"/>
          <w:bCs/>
          <w:sz w:val="32"/>
          <w:szCs w:val="32"/>
        </w:rPr>
        <w:t>0万元，完成预算60.07</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，决算数小于预算数的主要原因是出入境管理支队采购的自动办证专业设备合同约定款项跨年度验收结算。</w:t>
      </w:r>
    </w:p>
    <w:p>
      <w:pPr>
        <w:ind w:firstLine="643" w:firstLineChars="200"/>
        <w:rPr>
          <w:rFonts w:ascii="仿宋" w:hAnsi="仿宋" w:eastAsia="仿宋"/>
          <w:b/>
          <w:sz w:val="32"/>
          <w:szCs w:val="32"/>
        </w:rPr>
      </w:pPr>
      <w:r>
        <w:rPr>
          <w:rFonts w:hint="eastAsia" w:ascii="仿宋" w:hAnsi="仿宋" w:eastAsia="仿宋"/>
          <w:b/>
          <w:sz w:val="32"/>
          <w:szCs w:val="32"/>
        </w:rPr>
        <w:t>7</w:t>
      </w:r>
      <w:r>
        <w:rPr>
          <w:rFonts w:hint="eastAsia" w:ascii="仿宋" w:hAnsi="仿宋" w:eastAsia="仿宋"/>
          <w:sz w:val="32"/>
          <w:szCs w:val="32"/>
        </w:rPr>
        <w:t>.</w:t>
      </w:r>
      <w:r>
        <w:rPr>
          <w:rStyle w:val="14"/>
          <w:rFonts w:hint="eastAsia" w:ascii="仿宋" w:hAnsi="仿宋" w:eastAsia="仿宋"/>
          <w:bCs/>
          <w:sz w:val="32"/>
          <w:szCs w:val="32"/>
        </w:rPr>
        <w:t>公共安全（类）公安（款）事业运行（项）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143.90</w:t>
      </w:r>
      <w:r>
        <w:rPr>
          <w:rStyle w:val="14"/>
          <w:rFonts w:hint="eastAsia" w:ascii="仿宋" w:hAnsi="仿宋" w:eastAsia="仿宋"/>
          <w:b w:val="0"/>
          <w:bCs/>
          <w:sz w:val="32"/>
          <w:szCs w:val="32"/>
        </w:rPr>
        <w:t>万元，完成预算</w:t>
      </w:r>
      <w:r>
        <w:rPr>
          <w:rFonts w:hint="eastAsia" w:ascii="宋体" w:hAnsi="宋体" w:cs="Arial"/>
          <w:kern w:val="0"/>
          <w:sz w:val="32"/>
          <w:szCs w:val="32"/>
        </w:rPr>
        <w:t>100%</w:t>
      </w:r>
      <w:r>
        <w:rPr>
          <w:rStyle w:val="14"/>
          <w:rFonts w:hint="eastAsia"/>
          <w:b w:val="0"/>
          <w:bCs/>
          <w:sz w:val="32"/>
          <w:szCs w:val="32"/>
        </w:rPr>
        <w:t>。</w:t>
      </w:r>
    </w:p>
    <w:p>
      <w:pPr>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8.社会保障和就业（类）人力资源和社会保障管理事务（款）其他人力资源和社会保障管理事务支出（项）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4.00</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9.社会保障和就业（类）行政事业单位养老支出（款）  行政单位离退休（项）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163.52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10.社会保障和就业（类）行政事业单位养老支出（款）机关事业单位基本养老保险缴费支出（项）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695.22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ind w:firstLine="660"/>
        <w:rPr>
          <w:rFonts w:ascii="仿宋" w:hAnsi="仿宋" w:eastAsia="仿宋"/>
          <w:bCs/>
          <w:sz w:val="32"/>
          <w:szCs w:val="32"/>
        </w:rPr>
      </w:pPr>
      <w:r>
        <w:rPr>
          <w:rStyle w:val="14"/>
          <w:rFonts w:hint="eastAsia" w:ascii="仿宋" w:hAnsi="仿宋" w:eastAsia="仿宋"/>
          <w:bCs/>
          <w:sz w:val="32"/>
          <w:szCs w:val="32"/>
        </w:rPr>
        <w:t>11</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19.79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ind w:firstLine="643" w:firstLineChars="200"/>
        <w:rPr>
          <w:rStyle w:val="14"/>
          <w:rFonts w:ascii="仿宋" w:hAnsi="仿宋" w:eastAsia="仿宋"/>
          <w:bCs/>
          <w:sz w:val="32"/>
          <w:szCs w:val="32"/>
        </w:rPr>
      </w:pPr>
      <w:r>
        <w:rPr>
          <w:rStyle w:val="14"/>
          <w:rFonts w:hint="eastAsia" w:ascii="仿宋" w:hAnsi="仿宋" w:eastAsia="仿宋"/>
          <w:bCs/>
          <w:sz w:val="32"/>
          <w:szCs w:val="32"/>
        </w:rPr>
        <w:t>12</w:t>
      </w:r>
      <w:r>
        <w:rPr>
          <w:rStyle w:val="14"/>
          <w:rFonts w:ascii="仿宋" w:hAnsi="仿宋" w:eastAsia="仿宋"/>
          <w:bCs/>
          <w:sz w:val="32"/>
          <w:szCs w:val="32"/>
        </w:rPr>
        <w:t>.</w:t>
      </w:r>
      <w:r>
        <w:rPr>
          <w:rStyle w:val="14"/>
          <w:rFonts w:hint="eastAsia" w:ascii="仿宋" w:hAnsi="仿宋" w:eastAsia="仿宋"/>
          <w:bCs/>
          <w:sz w:val="32"/>
          <w:szCs w:val="32"/>
        </w:rPr>
        <w:t>社会保障和就业（类）抚恤（款）死亡抚恤（项）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45.20</w:t>
      </w:r>
      <w:r>
        <w:rPr>
          <w:rStyle w:val="14"/>
          <w:rFonts w:hint="eastAsia" w:ascii="仿宋" w:hAnsi="仿宋" w:eastAsia="仿宋"/>
          <w:b w:val="0"/>
          <w:bCs/>
          <w:sz w:val="32"/>
          <w:szCs w:val="32"/>
        </w:rPr>
        <w:t>万元，完成预算</w:t>
      </w:r>
      <w:r>
        <w:rPr>
          <w:rFonts w:hint="eastAsia" w:ascii="宋体" w:hAnsi="宋体" w:cs="Arial"/>
          <w:kern w:val="0"/>
          <w:sz w:val="32"/>
          <w:szCs w:val="32"/>
        </w:rPr>
        <w:t>100%</w:t>
      </w:r>
      <w:r>
        <w:rPr>
          <w:rStyle w:val="14"/>
          <w:rFonts w:hint="eastAsia" w:ascii="仿宋" w:hAnsi="仿宋" w:eastAsia="仿宋"/>
          <w:b w:val="0"/>
          <w:bCs/>
          <w:sz w:val="32"/>
          <w:szCs w:val="32"/>
        </w:rPr>
        <w:t>。</w:t>
      </w:r>
    </w:p>
    <w:p>
      <w:pPr>
        <w:ind w:firstLine="660"/>
        <w:rPr>
          <w:rStyle w:val="14"/>
          <w:rFonts w:ascii="仿宋" w:hAnsi="仿宋" w:eastAsia="仿宋"/>
          <w:b w:val="0"/>
          <w:bCs/>
          <w:sz w:val="32"/>
          <w:szCs w:val="32"/>
        </w:rPr>
      </w:pPr>
      <w:r>
        <w:rPr>
          <w:rStyle w:val="14"/>
          <w:rFonts w:hint="eastAsia" w:ascii="仿宋" w:hAnsi="仿宋" w:eastAsia="仿宋"/>
          <w:bCs/>
          <w:sz w:val="32"/>
          <w:szCs w:val="32"/>
        </w:rPr>
        <w:t>13</w:t>
      </w:r>
      <w:r>
        <w:rPr>
          <w:rStyle w:val="14"/>
          <w:rFonts w:ascii="仿宋" w:hAnsi="仿宋" w:eastAsia="仿宋"/>
          <w:bCs/>
          <w:sz w:val="32"/>
          <w:szCs w:val="32"/>
        </w:rPr>
        <w:t>.</w:t>
      </w:r>
      <w:r>
        <w:rPr>
          <w:rStyle w:val="14"/>
          <w:rFonts w:hint="eastAsia" w:ascii="仿宋" w:hAnsi="仿宋" w:eastAsia="仿宋"/>
          <w:bCs/>
          <w:sz w:val="32"/>
          <w:szCs w:val="32"/>
        </w:rPr>
        <w:t>卫生健康支出（类）行政事业单位医疗（款）行政单位医疗（项）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354.74</w:t>
      </w:r>
      <w:r>
        <w:rPr>
          <w:rStyle w:val="14"/>
          <w:rFonts w:hint="eastAsia" w:ascii="仿宋" w:hAnsi="仿宋" w:eastAsia="仿宋"/>
          <w:b w:val="0"/>
          <w:bCs/>
          <w:sz w:val="32"/>
          <w:szCs w:val="32"/>
        </w:rPr>
        <w:t>万元，完成预算</w:t>
      </w:r>
      <w:r>
        <w:rPr>
          <w:rFonts w:hint="eastAsia" w:ascii="宋体" w:hAnsi="宋体" w:cs="Arial"/>
          <w:kern w:val="0"/>
          <w:sz w:val="32"/>
          <w:szCs w:val="32"/>
        </w:rPr>
        <w:t>100%</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14.节能环保支出（类）污染防治（款）</w:t>
      </w:r>
      <w:r>
        <w:rPr>
          <w:rFonts w:hint="eastAsia" w:ascii="仿宋" w:hAnsi="仿宋" w:eastAsia="仿宋"/>
          <w:b/>
          <w:bCs/>
          <w:sz w:val="32"/>
          <w:szCs w:val="32"/>
        </w:rPr>
        <w:t>水体</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289.80</w:t>
      </w:r>
      <w:r>
        <w:rPr>
          <w:rStyle w:val="14"/>
          <w:rFonts w:hint="eastAsia" w:ascii="仿宋" w:hAnsi="仿宋" w:eastAsia="仿宋"/>
          <w:b w:val="0"/>
          <w:bCs/>
          <w:sz w:val="32"/>
          <w:szCs w:val="32"/>
        </w:rPr>
        <w:t>万元，完成预算96.6</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，决算数小于预算数的主要原因是未支出数为采购结余资金。</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15</w:t>
      </w:r>
      <w:r>
        <w:rPr>
          <w:rStyle w:val="14"/>
          <w:rFonts w:ascii="仿宋" w:hAnsi="仿宋" w:eastAsia="仿宋"/>
          <w:bCs/>
          <w:sz w:val="32"/>
          <w:szCs w:val="32"/>
        </w:rPr>
        <w:t>.</w:t>
      </w:r>
      <w:r>
        <w:rPr>
          <w:rStyle w:val="14"/>
          <w:rFonts w:hint="eastAsia" w:ascii="仿宋" w:hAnsi="仿宋" w:eastAsia="仿宋"/>
          <w:bCs/>
          <w:sz w:val="32"/>
          <w:szCs w:val="32"/>
        </w:rPr>
        <w:t>住房保障支出（类）住房改革支出（款）住房公积金（项）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ascii="宋体" w:hAnsi="宋体" w:cs="Arial"/>
          <w:kern w:val="0"/>
          <w:sz w:val="32"/>
          <w:szCs w:val="32"/>
        </w:rPr>
        <w:t>867.59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16.其他支出（类）其他支出（款）其他支出（项）:</w:t>
      </w:r>
      <w:r>
        <w:rPr>
          <w:rStyle w:val="14"/>
          <w:rFonts w:hint="eastAsia" w:ascii="仿宋" w:hAnsi="仿宋" w:eastAsia="仿宋"/>
          <w:b w:val="0"/>
          <w:bCs/>
          <w:sz w:val="32"/>
          <w:szCs w:val="32"/>
        </w:rPr>
        <w:t>支出决算为</w:t>
      </w:r>
      <w:r>
        <w:rPr>
          <w:rFonts w:hint="eastAsia" w:ascii="宋体" w:hAnsi="宋体" w:cs="Arial"/>
          <w:kern w:val="0"/>
          <w:sz w:val="32"/>
          <w:szCs w:val="32"/>
        </w:rPr>
        <w:t>1000</w:t>
      </w:r>
      <w:r>
        <w:rPr>
          <w:rStyle w:val="14"/>
          <w:rFonts w:hint="eastAsia" w:ascii="仿宋" w:hAnsi="仿宋" w:eastAsia="仿宋"/>
          <w:b w:val="0"/>
          <w:bCs/>
          <w:sz w:val="32"/>
          <w:szCs w:val="32"/>
        </w:rPr>
        <w:t>万元，完成预算58.89</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。决算数小于预算数的主要原因是2021年第二批次中央转移支付资金下达较晚的影响，部分采购项目正在履约环节，未达到合同约定的付款条件。</w:t>
      </w:r>
    </w:p>
    <w:p>
      <w:pPr>
        <w:tabs>
          <w:tab w:val="right" w:pos="8306"/>
        </w:tabs>
        <w:spacing w:line="600" w:lineRule="exact"/>
        <w:ind w:firstLine="640"/>
        <w:outlineLvl w:val="1"/>
        <w:rPr>
          <w:rStyle w:val="1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34"/>
      <w:bookmarkEnd w:id="35"/>
      <w:r>
        <w:rPr>
          <w:rStyle w:val="1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12032.63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10393.76</w:t>
      </w:r>
      <w:r>
        <w:rPr>
          <w:rFonts w:hint="eastAsia" w:ascii="仿宋" w:hAnsi="仿宋" w:eastAsia="仿宋"/>
          <w:sz w:val="32"/>
          <w:szCs w:val="32"/>
        </w:rPr>
        <w:t>万元，主要包括：基本工资、津贴补贴、奖金、绩效工资、机关事业单位基本养老保险缴费、职业年金缴费、职工基本医疗保险缴费、其他社会保障缴费、住房公积金、其他工资福利支出、离休费、抚恤金、生活补助、奖励金、其他对个人和家庭的补助支出。</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1638.87</w:t>
      </w:r>
      <w:r>
        <w:rPr>
          <w:rFonts w:hint="eastAsia" w:ascii="仿宋" w:hAnsi="仿宋" w:eastAsia="仿宋"/>
          <w:sz w:val="32"/>
          <w:szCs w:val="32"/>
        </w:rPr>
        <w:t>万元，主要包括：办公费、印刷费、咨询费、手续费、水费、电费、邮电费、物业管理费、差旅费、维修（护）费、租赁费、会议费、培训费、公务接待费、专用材料费、被装购置费、劳务费、委托业务费、工会经费、福利费、公务用车运行维护费、其他交通费、其他商品和服务支出、办公设备购置。</w:t>
      </w:r>
    </w:p>
    <w:p>
      <w:pPr>
        <w:spacing w:line="600" w:lineRule="exact"/>
        <w:ind w:firstLine="640"/>
        <w:outlineLvl w:val="1"/>
        <w:rPr>
          <w:rStyle w:val="17"/>
          <w:rFonts w:ascii="黑体" w:hAnsi="黑体" w:eastAsia="黑体"/>
          <w:b w:val="0"/>
        </w:rPr>
      </w:pPr>
      <w:bookmarkStart w:id="36" w:name="_Toc15377215"/>
      <w:bookmarkStart w:id="37" w:name="_Toc15396609"/>
      <w:r>
        <w:rPr>
          <w:rFonts w:hint="eastAsia" w:ascii="黑体" w:eastAsia="黑体"/>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ascii="仿宋" w:hAnsi="仿宋" w:eastAsia="仿宋"/>
          <w:sz w:val="32"/>
          <w:szCs w:val="32"/>
        </w:rPr>
        <w:t>249.15</w:t>
      </w:r>
      <w:r>
        <w:rPr>
          <w:rFonts w:hint="eastAsia" w:ascii="仿宋" w:hAnsi="仿宋" w:eastAsia="仿宋"/>
          <w:sz w:val="32"/>
          <w:szCs w:val="32"/>
        </w:rPr>
        <w:t>万元，完成预算98.47</w:t>
      </w:r>
      <w:r>
        <w:rPr>
          <w:rFonts w:ascii="仿宋" w:hAnsi="仿宋" w:eastAsia="仿宋"/>
          <w:sz w:val="32"/>
          <w:szCs w:val="32"/>
        </w:rPr>
        <w:t>%</w:t>
      </w:r>
      <w:r>
        <w:rPr>
          <w:rFonts w:hint="eastAsia" w:ascii="仿宋" w:hAnsi="仿宋" w:eastAsia="仿宋"/>
          <w:sz w:val="32"/>
          <w:szCs w:val="32"/>
        </w:rPr>
        <w:t>，决算数小于预算数的主要原因是大力提倡厉行节约，严禁铺张浪费，不断健全内控制度，公务用车运行维护费和公务接待费支出较年初预算大幅下降。</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sz w:val="32"/>
          <w:szCs w:val="32"/>
        </w:rPr>
        <w:t>244.82</w:t>
      </w:r>
      <w:r>
        <w:rPr>
          <w:rFonts w:hint="eastAsia" w:ascii="仿宋" w:hAnsi="仿宋" w:eastAsia="仿宋"/>
          <w:sz w:val="32"/>
          <w:szCs w:val="32"/>
        </w:rPr>
        <w:t>万元，占98.26</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sz w:val="32"/>
          <w:szCs w:val="32"/>
        </w:rPr>
        <w:t>4.33</w:t>
      </w:r>
      <w:r>
        <w:rPr>
          <w:rFonts w:hint="eastAsia" w:ascii="仿宋" w:hAnsi="仿宋" w:eastAsia="仿宋"/>
          <w:sz w:val="32"/>
          <w:szCs w:val="32"/>
        </w:rPr>
        <w:t>万元，占1.74</w:t>
      </w:r>
      <w:r>
        <w:rPr>
          <w:rFonts w:ascii="仿宋" w:hAnsi="仿宋" w:eastAsia="仿宋"/>
          <w:sz w:val="32"/>
          <w:szCs w:val="32"/>
        </w:rPr>
        <w:t>%</w:t>
      </w:r>
      <w:r>
        <w:rPr>
          <w:rFonts w:hint="eastAsia" w:ascii="仿宋" w:hAnsi="仿宋" w:eastAsia="仿宋"/>
          <w:sz w:val="32"/>
          <w:szCs w:val="32"/>
        </w:rPr>
        <w:t>。具体情况如下：</w:t>
      </w:r>
    </w:p>
    <w:p>
      <w:pPr>
        <w:pStyle w:val="2"/>
        <w:spacing w:before="93"/>
        <w:rPr>
          <w:rFonts w:ascii="仿宋" w:hAnsi="仿宋" w:eastAsia="仿宋"/>
          <w:sz w:val="32"/>
          <w:szCs w:val="32"/>
        </w:rPr>
      </w:pPr>
      <w:r>
        <w:rPr>
          <w:rFonts w:ascii="仿宋" w:hAnsi="仿宋" w:eastAsia="仿宋"/>
          <w:sz w:val="32"/>
          <w:szCs w:val="32"/>
        </w:rPr>
        <w:object>
          <v:shape id="_x0000_i1031" o:spt="75" type="#_x0000_t75" style="height:200.25pt;width:379.5pt;" o:ole="t" filled="f" o:preferrelative="t" stroked="f" coordsize="21600,21600">
            <v:path/>
            <v:fill on="f" focussize="0,0"/>
            <v:stroke on="f" joinstyle="miter"/>
            <v:imagedata r:id="rId19" o:title=""/>
            <o:lock v:ext="edit" aspectratio="t"/>
            <w10:wrap type="none"/>
            <w10:anchorlock/>
          </v:shape>
          <o:OLEObject Type="Embed" ProgID="MSGraph.Chart.8" ShapeID="_x0000_i1031" DrawAspect="Content" ObjectID="_1468075731" r:id="rId18">
            <o:LockedField>false</o:LockedField>
          </o:OLEObject>
        </w:object>
      </w:r>
    </w:p>
    <w:p>
      <w:pPr>
        <w:pStyle w:val="2"/>
        <w:spacing w:before="93"/>
        <w:jc w:val="center"/>
      </w:pPr>
      <w:r>
        <w:rPr>
          <w:rFonts w:hint="eastAsia" w:ascii="仿宋" w:hAnsi="仿宋" w:eastAsia="仿宋"/>
          <w:sz w:val="32"/>
          <w:szCs w:val="32"/>
        </w:rPr>
        <w:t>（图7：“三公”经费财政拨款支出结构）</w:t>
      </w:r>
    </w:p>
    <w:p>
      <w:pPr>
        <w:spacing w:line="600" w:lineRule="exact"/>
        <w:ind w:firstLine="640"/>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0万元，年初未安排预算，因公出国（境）支出决算较2020年无变化。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244.82</w:t>
      </w:r>
      <w:r>
        <w:rPr>
          <w:rFonts w:hint="eastAsia" w:ascii="仿宋_GB2312" w:eastAsia="仿宋_GB2312"/>
          <w:sz w:val="32"/>
          <w:szCs w:val="32"/>
        </w:rPr>
        <w:t>万元,</w:t>
      </w:r>
      <w:r>
        <w:rPr>
          <w:rStyle w:val="14"/>
          <w:rFonts w:hint="eastAsia" w:ascii="仿宋" w:hAnsi="仿宋" w:eastAsia="仿宋"/>
          <w:b w:val="0"/>
          <w:bCs/>
          <w:sz w:val="32"/>
          <w:szCs w:val="32"/>
        </w:rPr>
        <w:t>完成预算99.15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20年增加31.38万元，增长14.7</w:t>
      </w:r>
      <w:r>
        <w:rPr>
          <w:rFonts w:ascii="仿宋_GB2312" w:eastAsia="仿宋_GB2312"/>
          <w:sz w:val="32"/>
          <w:szCs w:val="32"/>
        </w:rPr>
        <w:t>%</w:t>
      </w:r>
      <w:r>
        <w:rPr>
          <w:rFonts w:hint="eastAsia" w:ascii="仿宋_GB2312" w:eastAsia="仿宋_GB2312"/>
          <w:sz w:val="32"/>
          <w:szCs w:val="32"/>
        </w:rPr>
        <w:t>。主要原因是2021年</w:t>
      </w:r>
      <w:r>
        <w:rPr>
          <w:rFonts w:hint="eastAsia" w:ascii="仿宋" w:hAnsi="仿宋" w:eastAsia="仿宋"/>
          <w:sz w:val="32"/>
          <w:szCs w:val="32"/>
        </w:rPr>
        <w:t>比2020年多更新购置公务用车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162.45</w:t>
      </w:r>
      <w:r>
        <w:rPr>
          <w:rFonts w:hint="eastAsia" w:ascii="仿宋_GB2312" w:eastAsia="仿宋_GB2312"/>
          <w:sz w:val="32"/>
          <w:szCs w:val="32"/>
        </w:rPr>
        <w:t>万元。全年按规定更新购置公务用车</w:t>
      </w:r>
      <w:r>
        <w:rPr>
          <w:rFonts w:ascii="仿宋_GB2312" w:eastAsia="仿宋_GB2312"/>
          <w:sz w:val="32"/>
          <w:szCs w:val="32"/>
        </w:rPr>
        <w:t>11</w:t>
      </w:r>
      <w:r>
        <w:rPr>
          <w:rFonts w:hint="eastAsia" w:ascii="仿宋_GB2312" w:eastAsia="仿宋_GB2312"/>
          <w:sz w:val="32"/>
          <w:szCs w:val="32"/>
        </w:rPr>
        <w:t>辆，其中：越野车1辆、金额25.93万元，</w:t>
      </w:r>
      <w:r>
        <w:rPr>
          <w:rFonts w:hint="eastAsia" w:ascii="仿宋" w:hAnsi="仿宋" w:eastAsia="仿宋"/>
          <w:sz w:val="32"/>
          <w:szCs w:val="32"/>
        </w:rPr>
        <w:t>其他车型</w:t>
      </w:r>
      <w:r>
        <w:rPr>
          <w:rFonts w:hint="eastAsia" w:ascii="仿宋_GB2312" w:eastAsia="仿宋_GB2312"/>
          <w:sz w:val="32"/>
          <w:szCs w:val="32"/>
        </w:rPr>
        <w:t>10辆、金额136.52万元。主要用于刑警、</w:t>
      </w:r>
      <w:r>
        <w:rPr>
          <w:rFonts w:hint="eastAsia" w:ascii="仿宋" w:hAnsi="仿宋" w:eastAsia="仿宋"/>
          <w:sz w:val="32"/>
          <w:szCs w:val="32"/>
        </w:rPr>
        <w:t>巡警执法办案、街面巡防等工作</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月底，单位共有公务用车153辆，其中：轿车74辆、越野车7辆、载客汽车2辆、其他车型70辆。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82.37</w:t>
      </w:r>
      <w:r>
        <w:rPr>
          <w:rFonts w:hint="eastAsia" w:ascii="仿宋_GB2312" w:eastAsia="仿宋_GB2312"/>
          <w:sz w:val="32"/>
          <w:szCs w:val="32"/>
        </w:rPr>
        <w:t>万元。主要用于执法办案、治安巡逻、抓捕罪犯、跨区域拉动</w:t>
      </w:r>
      <w:r>
        <w:rPr>
          <w:rFonts w:hint="eastAsia" w:ascii="仿宋" w:hAnsi="仿宋" w:eastAsia="仿宋"/>
          <w:sz w:val="32"/>
          <w:szCs w:val="32"/>
        </w:rPr>
        <w:t>等所需的执法执勤</w:t>
      </w:r>
      <w:r>
        <w:rPr>
          <w:rFonts w:hint="eastAsia" w:ascii="仿宋_GB2312" w:eastAsia="仿宋_GB2312"/>
          <w:sz w:val="32"/>
          <w:szCs w:val="32"/>
        </w:rPr>
        <w:t>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4.33</w:t>
      </w:r>
      <w:r>
        <w:rPr>
          <w:rFonts w:hint="eastAsia" w:ascii="仿宋_GB2312" w:eastAsia="仿宋_GB2312"/>
          <w:sz w:val="32"/>
          <w:szCs w:val="32"/>
        </w:rPr>
        <w:t>万元，</w:t>
      </w:r>
      <w:r>
        <w:rPr>
          <w:rStyle w:val="14"/>
          <w:rFonts w:hint="eastAsia" w:ascii="仿宋" w:hAnsi="仿宋" w:eastAsia="仿宋"/>
          <w:b w:val="0"/>
          <w:bCs/>
          <w:sz w:val="32"/>
          <w:szCs w:val="32"/>
        </w:rPr>
        <w:t>完成预算70.98</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20年增加1.16万元，增长36.59</w:t>
      </w:r>
      <w:r>
        <w:rPr>
          <w:rFonts w:ascii="仿宋_GB2312" w:eastAsia="仿宋_GB2312"/>
          <w:sz w:val="32"/>
          <w:szCs w:val="32"/>
        </w:rPr>
        <w:t>%</w:t>
      </w:r>
      <w:r>
        <w:rPr>
          <w:rFonts w:hint="eastAsia" w:ascii="仿宋_GB2312" w:eastAsia="仿宋_GB2312"/>
          <w:sz w:val="32"/>
          <w:szCs w:val="32"/>
        </w:rPr>
        <w:t>。主要原因是相比2020年新冠疫情有所缓解，来广学习、考察、交流逐步趋于正常。其中：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4.33</w:t>
      </w:r>
      <w:r>
        <w:rPr>
          <w:rFonts w:hint="eastAsia" w:ascii="仿宋_GB2312" w:eastAsia="仿宋_GB2312"/>
          <w:sz w:val="32"/>
          <w:szCs w:val="32"/>
        </w:rPr>
        <w:t>万元，主要用于异地公安机关执行公务、开展学习交流的用餐费。国内公务接待55批次，541人次（不包括陪同人员），共计支出4.33万元，具体内容包括：上</w:t>
      </w:r>
      <w:r>
        <w:rPr>
          <w:rFonts w:hint="eastAsia" w:ascii="仿宋_GB2312" w:eastAsia="仿宋_GB2312"/>
          <w:color w:val="000000"/>
          <w:sz w:val="32"/>
          <w:szCs w:val="32"/>
        </w:rPr>
        <w:t>级调研视察2.13万元、其他市州交流考察1.39万元、办案单位接待0.81万元</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40" w:name="_Toc15377218"/>
      <w:bookmarkStart w:id="41" w:name="_Toc15396610"/>
      <w:r>
        <w:rPr>
          <w:rFonts w:hint="eastAsia" w:ascii="仿宋_GB2312" w:eastAsia="仿宋_GB2312"/>
          <w:sz w:val="32"/>
          <w:szCs w:val="32"/>
        </w:rPr>
        <w:t>。</w:t>
      </w:r>
    </w:p>
    <w:p>
      <w:pPr>
        <w:spacing w:line="600" w:lineRule="exact"/>
        <w:ind w:firstLine="640"/>
        <w:outlineLvl w:val="1"/>
        <w:rPr>
          <w:rStyle w:val="17"/>
          <w:rFonts w:ascii="黑体" w:hAnsi="黑体" w:eastAsia="黑体"/>
        </w:rPr>
      </w:pPr>
      <w:r>
        <w:rPr>
          <w:rFonts w:hint="eastAsia" w:ascii="黑体" w:eastAsia="黑体"/>
          <w:sz w:val="32"/>
          <w:szCs w:val="32"/>
        </w:rPr>
        <w:t>八、</w:t>
      </w:r>
      <w:r>
        <w:rPr>
          <w:rStyle w:val="1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3"/>
        </w:numPr>
        <w:spacing w:line="600" w:lineRule="exact"/>
        <w:ind w:firstLine="640"/>
        <w:outlineLvl w:val="1"/>
        <w:rPr>
          <w:rStyle w:val="17"/>
          <w:rFonts w:ascii="黑体" w:hAnsi="黑体" w:eastAsia="黑体"/>
          <w:b w:val="0"/>
        </w:rPr>
      </w:pPr>
      <w:bookmarkStart w:id="42" w:name="_Toc15396611"/>
      <w:bookmarkStart w:id="43" w:name="_Toc15377219"/>
      <w:r>
        <w:rPr>
          <w:rStyle w:val="1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17"/>
          <w:rFonts w:ascii="黑体" w:hAnsi="黑体" w:eastAsia="黑体"/>
          <w:b w:val="0"/>
        </w:rPr>
      </w:pPr>
      <w:bookmarkStart w:id="44" w:name="_Toc15377221"/>
      <w:bookmarkStart w:id="45" w:name="_Toc15396612"/>
      <w:r>
        <w:rPr>
          <w:rStyle w:val="17"/>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 w:hAnsi="仿宋" w:eastAsia="仿宋" w:cs="楷体_GB2312"/>
          <w:bCs/>
          <w:sz w:val="32"/>
          <w:szCs w:val="32"/>
          <w:lang w:val="zh-CN"/>
        </w:rPr>
        <w:t>三网电路租赁服务项目、广元火车站联勤警务站升级改造项目、应急联动指挥系统租赁经费项目、人口信息业务备份资源库（硬件）项目、侦查办案费项目</w:t>
      </w:r>
      <w:r>
        <w:rPr>
          <w:rFonts w:hint="eastAsia" w:ascii="仿宋_GB2312" w:hAnsi="仿宋_GB2312" w:eastAsia="仿宋_GB2312" w:cs="仿宋_GB2312"/>
          <w:sz w:val="32"/>
          <w:szCs w:val="32"/>
        </w:rPr>
        <w:t>等32个项目开展了预算事前绩效评估，对32个项目编制了绩效目标，预算执行过程中，选取32个项目开展绩效监控，年终执行完毕后，对32个项目开展了绩效自评，2021年部门预算项目绩效目标自评表见附件（第四部分）。</w:t>
      </w:r>
    </w:p>
    <w:p>
      <w:pPr>
        <w:numPr>
          <w:ilvl w:val="0"/>
          <w:numId w:val="3"/>
        </w:numPr>
        <w:spacing w:line="600" w:lineRule="exact"/>
        <w:ind w:firstLine="640"/>
        <w:outlineLvl w:val="1"/>
        <w:rPr>
          <w:rStyle w:val="17"/>
          <w:rFonts w:ascii="黑体" w:hAnsi="黑体" w:eastAsia="黑体"/>
          <w:b w:val="0"/>
        </w:rPr>
      </w:pPr>
      <w:r>
        <w:rPr>
          <w:rStyle w:val="1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ind w:firstLine="640" w:firstLineChars="200"/>
        <w:rPr>
          <w:rFonts w:ascii="仿宋_GB2312" w:hAnsi="宋体" w:eastAsia="仿宋_GB2312"/>
          <w:sz w:val="32"/>
          <w:szCs w:val="32"/>
        </w:rPr>
      </w:pPr>
      <w:r>
        <w:rPr>
          <w:rFonts w:ascii="仿宋_GB2312" w:eastAsia="仿宋_GB2312"/>
          <w:sz w:val="32"/>
          <w:szCs w:val="32"/>
        </w:rPr>
        <w:t>20</w:t>
      </w:r>
      <w:r>
        <w:rPr>
          <w:rFonts w:hint="eastAsia" w:ascii="仿宋_GB2312" w:eastAsia="仿宋_GB2312"/>
          <w:sz w:val="32"/>
          <w:szCs w:val="32"/>
        </w:rPr>
        <w:t>21年，广元市公安局单位机关运行经费支出</w:t>
      </w:r>
      <w:r>
        <w:rPr>
          <w:rFonts w:ascii="仿宋_GB2312" w:eastAsia="仿宋_GB2312"/>
          <w:sz w:val="32"/>
          <w:szCs w:val="32"/>
        </w:rPr>
        <w:t>1638.87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20年增加466.06万元，增长39.74</w:t>
      </w:r>
      <w:r>
        <w:rPr>
          <w:rFonts w:ascii="仿宋_GB2312" w:eastAsia="仿宋_GB2312"/>
          <w:sz w:val="32"/>
          <w:szCs w:val="32"/>
        </w:rPr>
        <w:t>%</w:t>
      </w:r>
      <w:r>
        <w:rPr>
          <w:rFonts w:hint="eastAsia" w:ascii="仿宋_GB2312" w:eastAsia="仿宋_GB2312"/>
          <w:sz w:val="32"/>
          <w:szCs w:val="32"/>
        </w:rPr>
        <w:t>。主要原因一是</w:t>
      </w:r>
      <w:r>
        <w:rPr>
          <w:rFonts w:hint="eastAsia" w:ascii="仿宋_GB2312" w:hAnsi="仿宋" w:eastAsia="仿宋_GB2312" w:cs="仿宋_GB2312"/>
          <w:sz w:val="32"/>
          <w:szCs w:val="32"/>
        </w:rPr>
        <w:t>编制人数</w:t>
      </w:r>
      <w:r>
        <w:rPr>
          <w:rFonts w:hint="eastAsia" w:ascii="仿宋_GB2312" w:eastAsia="仿宋_GB2312"/>
          <w:sz w:val="32"/>
          <w:szCs w:val="32"/>
        </w:rPr>
        <w:t>增多，办公、差旅等运行经费增加；二是开展“扫黑除恶”、部厅“护旗”系列等专项行动，</w:t>
      </w:r>
      <w:r>
        <w:rPr>
          <w:rFonts w:hint="eastAsia" w:ascii="仿宋_GB2312" w:hAnsi="宋体" w:eastAsia="仿宋_GB2312"/>
          <w:sz w:val="32"/>
          <w:szCs w:val="32"/>
        </w:rPr>
        <w:t>多人次、多频次异地出差导致差旅费、燃油费增多的同时车辆维护费用陡增；三是新冠肺炎疫情防控工作持续进行，购置了大量防护服、口罩等防疫物资；投入电脑、打印机等办公设备，确保了大数据专班常态化运行；11个“两站一场”监测卡点全年无间断运行，车辆运行维护费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21年，广元市公安局单位政府采购支出总额</w:t>
      </w:r>
      <w:r>
        <w:rPr>
          <w:rFonts w:ascii="仿宋_GB2312" w:eastAsia="仿宋_GB2312"/>
          <w:sz w:val="32"/>
          <w:szCs w:val="32"/>
        </w:rPr>
        <w:t>1029.34</w:t>
      </w:r>
      <w:r>
        <w:rPr>
          <w:rFonts w:hint="eastAsia" w:ascii="仿宋_GB2312" w:eastAsia="仿宋_GB2312"/>
          <w:sz w:val="32"/>
          <w:szCs w:val="32"/>
        </w:rPr>
        <w:t>万元，其中：政府采购货物支出</w:t>
      </w:r>
      <w:r>
        <w:rPr>
          <w:rFonts w:ascii="仿宋_GB2312" w:eastAsia="仿宋_GB2312"/>
          <w:sz w:val="32"/>
          <w:szCs w:val="32"/>
        </w:rPr>
        <w:t>609.01</w:t>
      </w:r>
      <w:r>
        <w:rPr>
          <w:rFonts w:hint="eastAsia" w:ascii="仿宋_GB2312" w:eastAsia="仿宋_GB2312"/>
          <w:sz w:val="32"/>
          <w:szCs w:val="32"/>
        </w:rPr>
        <w:t>万元、政府采购工程支出0万元、政府采购服务支出</w:t>
      </w:r>
      <w:r>
        <w:rPr>
          <w:rFonts w:ascii="仿宋_GB2312" w:eastAsia="仿宋_GB2312"/>
          <w:sz w:val="32"/>
          <w:szCs w:val="32"/>
        </w:rPr>
        <w:t>420.33</w:t>
      </w:r>
      <w:r>
        <w:rPr>
          <w:rFonts w:hint="eastAsia" w:ascii="仿宋_GB2312" w:eastAsia="仿宋_GB2312"/>
          <w:sz w:val="32"/>
          <w:szCs w:val="32"/>
        </w:rPr>
        <w:t>万元。主要用于刑事侦查、禁毒缉毒、网络安全以及物业管理、网络租赁等工作。授予中小企业合同金额</w:t>
      </w:r>
      <w:r>
        <w:rPr>
          <w:rFonts w:ascii="仿宋_GB2312" w:eastAsia="仿宋_GB2312"/>
          <w:sz w:val="32"/>
          <w:szCs w:val="32"/>
        </w:rPr>
        <w:t>913.44</w:t>
      </w:r>
      <w:r>
        <w:rPr>
          <w:rFonts w:hint="eastAsia" w:ascii="仿宋_GB2312" w:eastAsia="仿宋_GB2312"/>
          <w:sz w:val="32"/>
          <w:szCs w:val="32"/>
        </w:rPr>
        <w:t>万元，占政府采购支出总额的88.74</w:t>
      </w:r>
      <w:r>
        <w:rPr>
          <w:rFonts w:ascii="仿宋_GB2312" w:eastAsia="仿宋_GB2312"/>
          <w:sz w:val="32"/>
          <w:szCs w:val="32"/>
        </w:rPr>
        <w:t>%</w:t>
      </w:r>
      <w:r>
        <w:rPr>
          <w:rFonts w:hint="eastAsia" w:ascii="仿宋_GB2312" w:eastAsia="仿宋_GB2312"/>
          <w:sz w:val="32"/>
          <w:szCs w:val="32"/>
        </w:rPr>
        <w:t>，其中：授予小微企业合同金额</w:t>
      </w:r>
      <w:r>
        <w:rPr>
          <w:rFonts w:ascii="仿宋_GB2312" w:eastAsia="仿宋_GB2312"/>
          <w:sz w:val="32"/>
          <w:szCs w:val="32"/>
        </w:rPr>
        <w:t>478.42</w:t>
      </w:r>
      <w:r>
        <w:rPr>
          <w:rFonts w:hint="eastAsia" w:ascii="仿宋_GB2312" w:eastAsia="仿宋_GB2312"/>
          <w:sz w:val="32"/>
          <w:szCs w:val="32"/>
        </w:rPr>
        <w:t>万元，占政府采购支出总额的46.48</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日，广元市公安局单位共有车辆153辆，其中：应急保障用车6辆、执法执勤用车132辆、特种专业技术用车</w:t>
      </w:r>
      <w:r>
        <w:rPr>
          <w:rFonts w:ascii="仿宋_GB2312" w:eastAsia="仿宋_GB2312"/>
          <w:sz w:val="32"/>
          <w:szCs w:val="32"/>
        </w:rPr>
        <w:t>1</w:t>
      </w:r>
      <w:r>
        <w:rPr>
          <w:rFonts w:hint="eastAsia" w:ascii="仿宋_GB2312" w:eastAsia="仿宋_GB2312"/>
          <w:sz w:val="32"/>
          <w:szCs w:val="32"/>
        </w:rPr>
        <w:t>5辆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万元以上通用设备5台（套），单价</w:t>
      </w:r>
      <w:r>
        <w:rPr>
          <w:rFonts w:ascii="仿宋_GB2312" w:eastAsia="仿宋_GB2312"/>
          <w:sz w:val="32"/>
          <w:szCs w:val="32"/>
        </w:rPr>
        <w:t>100</w:t>
      </w:r>
      <w:r>
        <w:rPr>
          <w:rFonts w:hint="eastAsia" w:ascii="仿宋_GB2312" w:eastAsia="仿宋_GB2312"/>
          <w:sz w:val="32"/>
          <w:szCs w:val="32"/>
        </w:rPr>
        <w:t>万元以上专用设备10台（套）。</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1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16"/>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bookmarkStart w:id="51" w:name="_Toc15377226"/>
      <w:r>
        <w:rPr>
          <w:rFonts w:hint="eastAsia" w:ascii="仿宋_GB2312" w:eastAsia="仿宋_GB2312"/>
          <w:color w:val="auto"/>
          <w:sz w:val="32"/>
          <w:szCs w:val="32"/>
        </w:rPr>
        <w:t>1.财政拨款收入：指单位从同级财政部门取得的财政预算资金。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2.其他收入：指单位取得的除上述收入以外的各项收入。主要是上级拨入专项工作经费和利息收入等。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3.年初结转和结余：指以前年度尚未完成、结转到本年按有关规定继续使用的资金。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pStyle w:val="25"/>
        <w:spacing w:line="560" w:lineRule="exact"/>
        <w:ind w:firstLine="640" w:firstLineChars="200"/>
        <w:rPr>
          <w:rFonts w:ascii="仿宋_GB2312" w:eastAsia="仿宋_GB2312"/>
          <w:color w:val="auto"/>
          <w:sz w:val="32"/>
          <w:szCs w:val="32"/>
        </w:rPr>
      </w:pPr>
      <w:r>
        <w:rPr>
          <w:rStyle w:val="14"/>
          <w:rFonts w:hint="eastAsia" w:ascii="仿宋_GB2312" w:eastAsia="仿宋_GB2312"/>
          <w:b w:val="0"/>
          <w:color w:val="auto"/>
          <w:kern w:val="2"/>
          <w:sz w:val="32"/>
          <w:szCs w:val="32"/>
        </w:rPr>
        <w:t>5</w:t>
      </w:r>
      <w:r>
        <w:rPr>
          <w:rStyle w:val="14"/>
          <w:rFonts w:hint="eastAsia"/>
          <w:b w:val="0"/>
          <w:color w:val="auto"/>
          <w:kern w:val="2"/>
          <w:sz w:val="32"/>
          <w:szCs w:val="32"/>
        </w:rPr>
        <w:t>.一般公共服务支出（类）市场监督管理事务（款）其他市场监督管理事务（项）：反映用于除上述项目以外其他市场监督管理事务方面的支出。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6.公共安全支出（类）公安（款）行政运行（项）:反映行政单位（包括实行公务员管理的事业单位）的基本支出。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7.公共安全支出（类）公安（款）一般行政管理事务（项）：反映行政单位（包括实行公务员管理的事业单位）未单独设置项级科目的其他项目支出。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8.公共安全支出（类）公安（款）信息化建设（项）：反映各级公安机关用于非涉密的信息网络建设和运行维护相关支出。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9.公共安全支出（类）公安（款）执法办案（项）：反映公安机关从事行政执法、刑事司法及侦查办案等相关活动的支出。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10.公共安全支出（类）公安（款）特别业务（项）：反映公安机关开展特别业务工作的相关支出。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11.公共安全支出（类）公安（款）移民事务（项）：反映公民出入境管理、外国人管理、边防检查、边境管理的支出。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12.公共安全支出（类）公安（款）事业运行（项）：反映事业单位的基本支出，不包括行政单位（包括实行公务员管理的事业单位）后勤服务中心、医务室等附属事业单位。</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13.公共安全支出（类）强制隔离戒毒（款）信息化建设（项）：反映信息化建设及运行维护等方面的支出。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14.社会保障和就业（类）人力资源和社会保障管理事务（款）其他人力资源和社会保障管理事务支出（项）：反映除上述项目以外其他用于人力资源和社会保障管理事务方面的支出。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15.社会保障和就业（类）行政事业单位养老支出（款）  行政单位离退休（项）：反映行政单位（包括实行公务员管理的事业单位）开支的离退休经费。</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16.社会保障和就业（类）行政事业单位养老支出（款）  机关事业单位基本养老保险缴费支出（项）：反映机关事业单位实施养老保险制度由单位缴纳的基本养老保险费支出。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17.社会保障和就业（类）行政事业单位养老支出（款）  机关事业单位职业年金缴费支出（项）：反映机关事业单位实施养老保险制度由单位实际缴纳的职业年金支出。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18.社会保障和就业（类）抚恤（款）死亡抚恤（项）:反映按规定用于烈士和牺牲、病故人员家属的一次性和定期抚恤金、丧葬补助费以及烈士褒扬金。</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20.节能环保支出（类）污染防治（款）水体（项）：反映政府在排水、污水处理、水污染防治、湖库生态环境保护、水源地保护、国土江河综合整治、河流治理与保护、地下水修复与保护等方面的支出。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21.住房保障支出（类）住房改革支出（款）住房公积金（项）:反映行政事业单位按人力资源和社会保障部、财政部规定的基本工资和津贴补贴以及规定比例为职工缴纳的住房公积金。</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Style w:val="14"/>
          <w:rFonts w:hint="eastAsia" w:hAnsi="仿宋"/>
          <w:b w:val="0"/>
          <w:bCs/>
          <w:sz w:val="32"/>
          <w:szCs w:val="32"/>
        </w:rPr>
        <w:t>其他支出（类）其他支出（款）其他支出（项）</w:t>
      </w:r>
      <w:r>
        <w:rPr>
          <w:rStyle w:val="14"/>
          <w:rFonts w:hAnsi="仿宋"/>
          <w:b w:val="0"/>
          <w:bCs/>
          <w:sz w:val="32"/>
          <w:szCs w:val="32"/>
        </w:rPr>
        <w:t>:</w:t>
      </w:r>
      <w:r>
        <w:rPr>
          <w:rFonts w:hint="eastAsia" w:ascii="仿宋_GB2312" w:eastAsia="仿宋_GB2312"/>
          <w:color w:val="auto"/>
          <w:sz w:val="32"/>
          <w:szCs w:val="32"/>
        </w:rPr>
        <w:t>反映除上述项目以外其他不能划分到具体功能科目中的支出项目。</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23.基本支出：指为保障机构正常运转、完成日常工作任务而发生的人员支出和公用支出。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24.项目支出：指在基本支出之外为完成特定行政任务和事业发展目标所发生的支出。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16"/>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16"/>
          <w:rFonts w:hint="eastAsia" w:ascii="黑体" w:hAnsi="黑体" w:eastAsia="黑体"/>
          <w:b w:val="0"/>
        </w:rPr>
        <w:t>四部分 附件</w:t>
      </w:r>
      <w:bookmarkEnd w:id="52"/>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宋体" w:eastAsia="方正小标宋简体"/>
          <w:color w:val="000000"/>
          <w:kern w:val="0"/>
          <w:sz w:val="44"/>
          <w:szCs w:val="44"/>
        </w:rPr>
      </w:pPr>
      <w:bookmarkStart w:id="53" w:name="_Toc15396618"/>
      <w:r>
        <w:rPr>
          <w:rFonts w:hint="eastAsia" w:ascii="方正小标宋简体" w:hAnsi="宋体" w:eastAsia="方正小标宋简体"/>
          <w:color w:val="000000"/>
          <w:kern w:val="0"/>
          <w:sz w:val="44"/>
          <w:szCs w:val="44"/>
        </w:rPr>
        <w:t>2021年度三网租纤费项目绩效自评报告</w:t>
      </w:r>
    </w:p>
    <w:p>
      <w:pPr>
        <w:spacing w:line="600" w:lineRule="exact"/>
        <w:jc w:val="center"/>
        <w:rPr>
          <w:rFonts w:ascii="方正小标宋简体" w:hAnsi="宋体" w:eastAsia="方正小标宋简体"/>
          <w:color w:val="000000"/>
          <w:kern w:val="0"/>
          <w:sz w:val="44"/>
          <w:szCs w:val="44"/>
        </w:rPr>
      </w:pP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一、项目概况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1.市公安局主要对项目资金执行进度、项目资金使用情况进行监督，对资金的使用及报销进行审核，对项目的建设情况进行检查。</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 为保障市公安局公安专网、视频专网、互联网（包括电子政务内、外网），以及市局机关办公电话、无线上网卡等的通信业务，市公安局申请三网电路租赁服务项目的申报立项。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3.市公安局对项目资金进行管理，严格按照规定的范围支持和审核资金的支付。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4.按照项目的使用范围，坚持实事求是的原则，严格资金使用和分配。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 2015年1月，为保障市公安局公安专网、视频专网、互联网（包括电子政务内、外网），以及市局机关办公电话、无线上网卡等的通信业务，以整体租赁服务方式租用中国电信广元分公司通信电路及设备，经2021年1通过政府单一来源采购，继续由中国电信广元分公司提供运维服务，服务期三年，合同一年一签，项目中标价格为115.9万元/年。</w:t>
      </w:r>
    </w:p>
    <w:p>
      <w:pPr>
        <w:tabs>
          <w:tab w:val="left" w:pos="2765"/>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 提供64条通信电路，46台网络通信设备，以及固话、安保、备件等通信维保服务共15项，相关设备设施已建成并投入正常使用已经有1年多时间。</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 由市公安局采购办组织警保、审计、纪检及项目业务警种责任部门科信办，对照项目立项、采购招标、合同和项目应用情况开展项目自查和效益评估。申报内容与实际相符，申报目标合理可行。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二、</w:t>
      </w:r>
      <w:r>
        <w:rPr>
          <w:rFonts w:hint="eastAsia" w:ascii="黑体" w:hAnsi="宋体" w:eastAsia="黑体"/>
          <w:sz w:val="32"/>
          <w:szCs w:val="32"/>
          <w:lang w:val="zh-CN"/>
        </w:rPr>
        <w:t>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向政府专题申请并同意了该项目立项建设实施。每年向财政申报项目列入年度财政预算115.92万元/年。所申报资金整体用于该项目。符合资金管理办法相关规定。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该项目115.92万元/年已列入每年度财政预算。</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每年资金115.92万元/年已到位，到位率100%。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按合同进行年度支付。资金支付范围、支付标准、支付进度、支付依据等合规合法、与预算相符。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项目业务警种责任部门科信办整体负责项目的建设、应用。采购办组织警保、审计、纪检负责项目的采购招标、合同和效益监督。</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本项目是严格按照相关法律法规及项目管理制度予以推进实施。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市公安局警保、审计、纪检从项目的立项环节开始全程参与并实施对项目的程序监督、效益监督。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完成数量：64条通信电路、46台网络通信设备升级扩容及相应运维服务，366部办公固话、46张上网卡服务，6次应急保障服务。完成质量：</w:t>
      </w:r>
      <w:r>
        <w:rPr>
          <w:rFonts w:hint="eastAsia" w:ascii="仿宋_GB2312" w:eastAsia="仿宋_GB2312"/>
          <w:sz w:val="32"/>
          <w:szCs w:val="32"/>
        </w:rPr>
        <w:t>设备及电路全年运行情况较好，未发生重大安全事故，保障了市公安局</w:t>
      </w:r>
      <w:r>
        <w:rPr>
          <w:rFonts w:hint="eastAsia" w:ascii="仿宋_GB2312" w:hAnsi="宋体" w:eastAsia="仿宋_GB2312"/>
          <w:sz w:val="32"/>
          <w:szCs w:val="32"/>
          <w:lang w:val="zh-CN"/>
        </w:rPr>
        <w:t>公安专网、视频专网、互联网及各业务专网稳定畅通，业务正常开展。时效情况：新合同服务期为3年，在对全市公安业务系统的信息化支撑、安保应急以及服务民生等方面发挥了积极重要的作用。成本情况：为各类公安信息化管理系统提供支撑保障，降低了各类管理成本；降低了公安业务侦查破案成本；降低了公安治安管理、民生服务成本。</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经济效益：节约了自建成本，节约了运行成本，节约了自行运维成本。社会效益：提高了公安科技信息化水平，提升了社会治安管理水平，提升了防范犯罪的能力水平。生态效益：无环境污染，无设备公害，绿色办公。可持续效益：本项目持续发挥作用是长期的，网络通信保障视频监控长期服务公安侦查，网络通信保障交通设施长期服务城市交通管理。服务对象满意度：高效的信息化办公让群众办事只跑一次，提升了群众办事的体验感，提升了政府管理社会服务群众的满意度，提高了民警使用信息化手段的满意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经自评，该项目得分99分。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前端设备开始老旧，面临更新换代的问题。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（三）相关建议</w:t>
      </w:r>
    </w:p>
    <w:p>
      <w:pPr>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本项目总体建设和应用效果很好。后期要更注重设备的更新换代和运维保障工作。</w:t>
      </w:r>
    </w:p>
    <w:p>
      <w:pPr>
        <w:pStyle w:val="2"/>
        <w:spacing w:before="93"/>
        <w:rPr>
          <w:lang w:val="zh-CN"/>
        </w:rPr>
      </w:pPr>
    </w:p>
    <w:tbl>
      <w:tblPr>
        <w:tblStyle w:val="12"/>
        <w:tblW w:w="9776" w:type="dxa"/>
        <w:tblInd w:w="-885" w:type="dxa"/>
        <w:tblLayout w:type="autofit"/>
        <w:tblCellMar>
          <w:top w:w="0" w:type="dxa"/>
          <w:left w:w="108" w:type="dxa"/>
          <w:bottom w:w="0" w:type="dxa"/>
          <w:right w:w="108" w:type="dxa"/>
        </w:tblCellMar>
      </w:tblPr>
      <w:tblGrid>
        <w:gridCol w:w="1135"/>
        <w:gridCol w:w="851"/>
        <w:gridCol w:w="674"/>
        <w:gridCol w:w="2862"/>
        <w:gridCol w:w="1141"/>
        <w:gridCol w:w="851"/>
        <w:gridCol w:w="979"/>
        <w:gridCol w:w="1283"/>
      </w:tblGrid>
      <w:tr>
        <w:tblPrEx>
          <w:tblCellMar>
            <w:top w:w="0" w:type="dxa"/>
            <w:left w:w="108" w:type="dxa"/>
            <w:bottom w:w="0" w:type="dxa"/>
            <w:right w:w="108" w:type="dxa"/>
          </w:tblCellMar>
        </w:tblPrEx>
        <w:trPr>
          <w:trHeight w:val="540" w:hRule="atLeast"/>
        </w:trPr>
        <w:tc>
          <w:tcPr>
            <w:tcW w:w="9776" w:type="dxa"/>
            <w:gridSpan w:val="8"/>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项目支出绩效目标自评表</w:t>
            </w:r>
          </w:p>
        </w:tc>
      </w:tr>
      <w:tr>
        <w:tblPrEx>
          <w:tblCellMar>
            <w:top w:w="0" w:type="dxa"/>
            <w:left w:w="108" w:type="dxa"/>
            <w:bottom w:w="0" w:type="dxa"/>
            <w:right w:w="108" w:type="dxa"/>
          </w:tblCellMar>
        </w:tblPrEx>
        <w:trPr>
          <w:trHeight w:val="285" w:hRule="atLeast"/>
        </w:trPr>
        <w:tc>
          <w:tcPr>
            <w:tcW w:w="9776" w:type="dxa"/>
            <w:gridSpan w:val="8"/>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559" w:hRule="atLeast"/>
        </w:trPr>
        <w:tc>
          <w:tcPr>
            <w:tcW w:w="2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11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三网租纤费</w:t>
            </w:r>
          </w:p>
        </w:tc>
      </w:tr>
      <w:tr>
        <w:tblPrEx>
          <w:tblCellMar>
            <w:top w:w="0" w:type="dxa"/>
            <w:left w:w="108" w:type="dxa"/>
            <w:bottom w:w="0" w:type="dxa"/>
            <w:right w:w="108" w:type="dxa"/>
          </w:tblCellMar>
        </w:tblPrEx>
        <w:trPr>
          <w:trHeight w:val="559" w:hRule="atLeast"/>
        </w:trPr>
        <w:tc>
          <w:tcPr>
            <w:tcW w:w="2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2862"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c>
          <w:tcPr>
            <w:tcW w:w="1992"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实施单位</w:t>
            </w:r>
          </w:p>
        </w:tc>
        <w:tc>
          <w:tcPr>
            <w:tcW w:w="226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r>
      <w:tr>
        <w:tblPrEx>
          <w:tblCellMar>
            <w:top w:w="0" w:type="dxa"/>
            <w:left w:w="108" w:type="dxa"/>
            <w:bottom w:w="0" w:type="dxa"/>
            <w:right w:w="108" w:type="dxa"/>
          </w:tblCellMar>
        </w:tblPrEx>
        <w:trPr>
          <w:trHeight w:val="559"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p>
          <w:p>
            <w:pPr>
              <w:widowControl/>
              <w:jc w:val="center"/>
              <w:rPr>
                <w:rFonts w:ascii="宋体" w:hAnsi="宋体" w:cs="宋体"/>
                <w:kern w:val="0"/>
                <w:sz w:val="24"/>
              </w:rPr>
            </w:pPr>
            <w:r>
              <w:rPr>
                <w:rFonts w:hint="eastAsia" w:ascii="宋体" w:hAnsi="宋体" w:cs="宋体"/>
                <w:kern w:val="0"/>
                <w:sz w:val="24"/>
              </w:rPr>
              <w:t>执行</w:t>
            </w:r>
          </w:p>
          <w:p>
            <w:pPr>
              <w:widowControl/>
              <w:jc w:val="center"/>
              <w:rPr>
                <w:rFonts w:ascii="宋体" w:hAnsi="宋体" w:cs="宋体"/>
                <w:kern w:val="0"/>
                <w:sz w:val="24"/>
              </w:rPr>
            </w:pPr>
            <w:r>
              <w:rPr>
                <w:rFonts w:hint="eastAsia" w:ascii="宋体" w:hAnsi="宋体" w:cs="宋体"/>
                <w:kern w:val="0"/>
                <w:sz w:val="24"/>
              </w:rPr>
              <w:t>情况</w:t>
            </w:r>
          </w:p>
          <w:p>
            <w:pPr>
              <w:widowControl/>
              <w:jc w:val="center"/>
              <w:rPr>
                <w:rFonts w:ascii="宋体" w:hAnsi="宋体" w:cs="宋体"/>
                <w:kern w:val="0"/>
                <w:sz w:val="24"/>
              </w:rPr>
            </w:pPr>
            <w:r>
              <w:rPr>
                <w:rFonts w:hint="eastAsia" w:ascii="宋体" w:hAnsi="宋体" w:cs="宋体"/>
                <w:kern w:val="0"/>
                <w:sz w:val="16"/>
                <w:szCs w:val="16"/>
              </w:rPr>
              <w:t>（万元）</w:t>
            </w:r>
          </w:p>
        </w:tc>
        <w:tc>
          <w:tcPr>
            <w:tcW w:w="15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2862" w:type="dxa"/>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115.92</w:t>
            </w:r>
          </w:p>
        </w:tc>
        <w:tc>
          <w:tcPr>
            <w:tcW w:w="1992"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26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115.9</w:t>
            </w:r>
          </w:p>
        </w:tc>
      </w:tr>
      <w:tr>
        <w:tblPrEx>
          <w:tblCellMar>
            <w:top w:w="0" w:type="dxa"/>
            <w:left w:w="108" w:type="dxa"/>
            <w:bottom w:w="0" w:type="dxa"/>
            <w:right w:w="108" w:type="dxa"/>
          </w:tblCellMar>
        </w:tblPrEx>
        <w:trPr>
          <w:trHeight w:val="55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115.92</w:t>
            </w:r>
          </w:p>
        </w:tc>
        <w:tc>
          <w:tcPr>
            <w:tcW w:w="1992" w:type="dxa"/>
            <w:gridSpan w:val="2"/>
            <w:tcBorders>
              <w:top w:val="nil"/>
              <w:left w:val="nil"/>
              <w:bottom w:val="nil"/>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其中：财政拨款</w:t>
            </w:r>
          </w:p>
        </w:tc>
        <w:tc>
          <w:tcPr>
            <w:tcW w:w="226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115.9</w:t>
            </w:r>
          </w:p>
        </w:tc>
      </w:tr>
      <w:tr>
        <w:tblPrEx>
          <w:tblCellMar>
            <w:top w:w="0" w:type="dxa"/>
            <w:left w:w="108" w:type="dxa"/>
            <w:bottom w:w="0" w:type="dxa"/>
            <w:right w:w="108" w:type="dxa"/>
          </w:tblCellMar>
        </w:tblPrEx>
        <w:trPr>
          <w:trHeight w:val="55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8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992" w:type="dxa"/>
            <w:gridSpan w:val="2"/>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其他资金</w:t>
            </w:r>
          </w:p>
        </w:tc>
        <w:tc>
          <w:tcPr>
            <w:tcW w:w="2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目标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43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254"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1680"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387" w:type="dxa"/>
            <w:gridSpan w:val="3"/>
            <w:tcBorders>
              <w:top w:val="single" w:color="auto" w:sz="4" w:space="0"/>
              <w:left w:val="nil"/>
              <w:bottom w:val="single" w:color="auto" w:sz="4" w:space="0"/>
              <w:right w:val="nil"/>
            </w:tcBorders>
            <w:shd w:val="clear" w:color="auto" w:fill="auto"/>
          </w:tcPr>
          <w:p>
            <w:pPr>
              <w:widowControl/>
              <w:jc w:val="left"/>
              <w:rPr>
                <w:rFonts w:ascii="宋体" w:hAnsi="宋体" w:cs="宋体"/>
                <w:kern w:val="0"/>
                <w:sz w:val="24"/>
              </w:rPr>
            </w:pPr>
            <w:r>
              <w:rPr>
                <w:rFonts w:hint="eastAsia" w:ascii="宋体" w:hAnsi="宋体" w:cs="宋体"/>
                <w:kern w:val="0"/>
                <w:sz w:val="24"/>
              </w:rPr>
              <w:t>乙方依照甲方视频专网建设规模，投资光纤电路及路由、交换等设备，达到方案要求，满足甲方业务需要，整体租赁给甲方使用，租赁费用已包括在甲方支付的通信费用中。</w:t>
            </w:r>
          </w:p>
        </w:tc>
        <w:tc>
          <w:tcPr>
            <w:tcW w:w="4254"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项目已经建设完成投入正常运行。该项目保障了我市公安信息网、互联网、公安视频专网等网络及办公固定电话的正常运行及维护管理。</w:t>
            </w:r>
          </w:p>
        </w:tc>
      </w:tr>
      <w:tr>
        <w:tblPrEx>
          <w:tblCellMar>
            <w:top w:w="0" w:type="dxa"/>
            <w:left w:w="108" w:type="dxa"/>
            <w:bottom w:w="0" w:type="dxa"/>
            <w:right w:w="108" w:type="dxa"/>
          </w:tblCellMar>
        </w:tblPrEx>
        <w:trPr>
          <w:trHeight w:val="960" w:hRule="atLeast"/>
        </w:trPr>
        <w:tc>
          <w:tcPr>
            <w:tcW w:w="113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绩效</w:t>
            </w:r>
          </w:p>
          <w:p>
            <w:pPr>
              <w:widowControl/>
              <w:jc w:val="center"/>
              <w:rPr>
                <w:rFonts w:ascii="宋体" w:hAnsi="宋体" w:cs="宋体"/>
                <w:kern w:val="0"/>
                <w:sz w:val="24"/>
              </w:rPr>
            </w:pPr>
            <w:r>
              <w:rPr>
                <w:rFonts w:hint="eastAsia" w:ascii="宋体" w:hAnsi="宋体" w:cs="宋体"/>
                <w:kern w:val="0"/>
                <w:sz w:val="24"/>
              </w:rPr>
              <w:t>指标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851"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2862"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141"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指标值（包含数字及文字描述）</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未完成原因及改进措施</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67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公安的三网通信链路（条）</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54</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54</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项目年费（每年/万元）</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115.9</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115.9</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其他通信服务内容(项)</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通信畅通运行合格率</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98%</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电话服务到位运行合格率</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98%</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其他通信服务运行合格率</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98%</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服务响应时间</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骨干网4小时内，城区接入网8小时内</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骨干网4小时内，城区接入网8小时内</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话音通信时间</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24小时不间断</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24小时不间断</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网络安全保障时效</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24小时网络不间断</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24小时网络不间断</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语音通信使用成本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60万元</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60万元</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网络数据通信成本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80万元</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80万元</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降低公安业务侦查破案成本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15%</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p>
          <w:p>
            <w:pPr>
              <w:widowControl/>
              <w:jc w:val="center"/>
              <w:rPr>
                <w:rFonts w:ascii="宋体" w:hAnsi="宋体" w:cs="宋体"/>
                <w:kern w:val="0"/>
                <w:sz w:val="24"/>
              </w:rPr>
            </w:pPr>
            <w:r>
              <w:rPr>
                <w:rFonts w:hint="eastAsia" w:ascii="宋体" w:hAnsi="宋体" w:cs="宋体"/>
                <w:kern w:val="0"/>
                <w:sz w:val="24"/>
              </w:rPr>
              <w:t>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节约了通话费成本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节约了运行成本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20万元</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20万元</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节约了自行运维成本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25"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p>
          <w:p>
            <w:pPr>
              <w:widowControl/>
              <w:jc w:val="center"/>
              <w:rPr>
                <w:rFonts w:ascii="宋体" w:hAnsi="宋体" w:cs="宋体"/>
                <w:kern w:val="0"/>
                <w:sz w:val="24"/>
              </w:rPr>
            </w:pPr>
            <w:r>
              <w:rPr>
                <w:rFonts w:hint="eastAsia" w:ascii="宋体" w:hAnsi="宋体" w:cs="宋体"/>
                <w:kern w:val="0"/>
                <w:sz w:val="24"/>
              </w:rPr>
              <w:t>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科技信息化水平</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提高了公安科技信息化水平。</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提高了公安科技信息化水平。</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55"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保障治安防控一体化</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保障公安网运行服务于社会治安综合治理</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保障公安网运行服务于社会治安综合治理</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65"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保障智能交通管理</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建成集成化交通管理模式。</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建成集成化交通管理模式。</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p>
          <w:p>
            <w:pPr>
              <w:widowControl/>
              <w:jc w:val="center"/>
              <w:rPr>
                <w:rFonts w:ascii="宋体" w:hAnsi="宋体" w:cs="宋体"/>
                <w:kern w:val="0"/>
                <w:sz w:val="24"/>
              </w:rPr>
            </w:pPr>
            <w:r>
              <w:rPr>
                <w:rFonts w:hint="eastAsia" w:ascii="宋体" w:hAnsi="宋体" w:cs="宋体"/>
                <w:kern w:val="0"/>
                <w:sz w:val="24"/>
              </w:rPr>
              <w:t>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环境污染</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不产生废水废气等</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不产生废水废气等</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绿色办公</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绿色办公</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绿色办公</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设备公害</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无公害，均为3C产品</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无公害，均为3C产品</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p>
          <w:p>
            <w:pPr>
              <w:widowControl/>
              <w:jc w:val="center"/>
              <w:rPr>
                <w:rFonts w:ascii="宋体" w:hAnsi="宋体" w:cs="宋体"/>
                <w:kern w:val="0"/>
                <w:sz w:val="24"/>
              </w:rPr>
            </w:pPr>
            <w:r>
              <w:rPr>
                <w:rFonts w:hint="eastAsia" w:ascii="宋体" w:hAnsi="宋体" w:cs="宋体"/>
                <w:kern w:val="0"/>
                <w:sz w:val="24"/>
              </w:rPr>
              <w:t>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服务治安管控长期化</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≧10年</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15年</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巡逻防控网格化</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≧10年</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15年</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交通管理集约化</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≧8年</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12年</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65"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p>
          <w:p>
            <w:pPr>
              <w:widowControl/>
              <w:jc w:val="center"/>
              <w:rPr>
                <w:rFonts w:ascii="宋体" w:hAnsi="宋体" w:cs="宋体"/>
                <w:kern w:val="0"/>
                <w:sz w:val="24"/>
              </w:rPr>
            </w:pPr>
            <w:r>
              <w:rPr>
                <w:rFonts w:hint="eastAsia" w:ascii="宋体" w:hAnsi="宋体" w:cs="宋体"/>
                <w:kern w:val="0"/>
                <w:sz w:val="24"/>
              </w:rPr>
              <w:t>指标</w:t>
            </w:r>
          </w:p>
        </w:tc>
        <w:tc>
          <w:tcPr>
            <w:tcW w:w="6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高效的办公能力提升群众办事满意度</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96%</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服务于人民群众办事</w:t>
            </w:r>
          </w:p>
        </w:tc>
        <w:tc>
          <w:tcPr>
            <w:tcW w:w="11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群众办事只跑一次。</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满意</w:t>
            </w:r>
          </w:p>
        </w:tc>
        <w:tc>
          <w:tcPr>
            <w:tcW w:w="12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4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6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民警工作效率满意度</w:t>
            </w:r>
          </w:p>
        </w:tc>
        <w:tc>
          <w:tcPr>
            <w:tcW w:w="11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18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99%</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9776" w:type="dxa"/>
            <w:gridSpan w:val="8"/>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r>
    </w:tbl>
    <w:p>
      <w:pPr>
        <w:spacing w:line="600" w:lineRule="exact"/>
        <w:jc w:val="center"/>
        <w:rPr>
          <w:rFonts w:ascii="黑体" w:hAnsi="宋体" w:eastAsia="黑体"/>
          <w:sz w:val="44"/>
          <w:szCs w:val="44"/>
        </w:rPr>
      </w:pPr>
      <w:r>
        <w:rPr>
          <w:rFonts w:hint="eastAsia" w:ascii="黑体" w:hAnsi="宋体" w:eastAsia="黑体"/>
          <w:sz w:val="44"/>
          <w:szCs w:val="44"/>
        </w:rPr>
        <w:t>2021年度广元火车站联勤警务站升级改造项目绩效自评报告</w:t>
      </w:r>
    </w:p>
    <w:p>
      <w:pPr>
        <w:spacing w:line="600" w:lineRule="exact"/>
        <w:jc w:val="center"/>
        <w:rPr>
          <w:rFonts w:ascii="楷体_GB2312" w:hAnsi="楷体_GB2312" w:eastAsia="楷体_GB2312" w:cs="楷体_GB2312"/>
          <w:sz w:val="32"/>
          <w:szCs w:val="32"/>
          <w:lang w:val="zh-CN"/>
        </w:rPr>
      </w:pP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一、项目概况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1.市公安局主要对项目资金执行进度、项目资金使用情况进行监督，对资金的使用及报销进行审核，对项目的运行情况进行检查。</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2.依据</w:t>
      </w:r>
      <w:r>
        <w:rPr>
          <w:rFonts w:hint="eastAsia" w:ascii="仿宋_GB2312" w:hAnsi="宋体" w:eastAsia="仿宋_GB2312"/>
          <w:color w:val="000000"/>
          <w:sz w:val="32"/>
          <w:szCs w:val="32"/>
          <w:lang w:val="zh-CN"/>
        </w:rPr>
        <w:t>元市市委常委会纪要精神，《关于对广元火车站联勤警务站升级改造的请示》，</w:t>
      </w:r>
      <w:r>
        <w:rPr>
          <w:rFonts w:hint="eastAsia" w:ascii="仿宋_GB2312" w:hAnsi="宋体" w:eastAsia="仿宋_GB2312"/>
          <w:sz w:val="32"/>
          <w:szCs w:val="32"/>
          <w:lang w:val="zh-CN"/>
        </w:rPr>
        <w:t>市公安局申报</w:t>
      </w:r>
      <w:r>
        <w:rPr>
          <w:rFonts w:hint="eastAsia" w:ascii="仿宋_GB2312" w:hAnsi="宋体" w:eastAsia="仿宋_GB2312"/>
          <w:sz w:val="32"/>
          <w:szCs w:val="32"/>
        </w:rPr>
        <w:t>广元火车站联勤警务站升级改造项目。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仿宋_GB2312" w:hAnsi="宋体" w:eastAsia="仿宋_GB2312"/>
          <w:color w:val="000000"/>
          <w:sz w:val="32"/>
          <w:szCs w:val="32"/>
          <w:lang w:val="zh-CN"/>
        </w:rPr>
        <w:t xml:space="preserve"> 《关于对广元火车站联勤警务站升级改造的请示》已于2021年3</w:t>
      </w:r>
      <w:r>
        <w:rPr>
          <w:rFonts w:hint="eastAsia" w:ascii="仿宋_GB2312" w:hAnsi="宋体" w:eastAsia="仿宋_GB2312"/>
          <w:color w:val="000000"/>
          <w:sz w:val="32"/>
          <w:szCs w:val="32"/>
        </w:rPr>
        <w:t>月30日经市政府主要领导批准同意，明确所需资金由市财政局追加解决。</w:t>
      </w:r>
      <w:r>
        <w:rPr>
          <w:rFonts w:hint="eastAsia" w:ascii="仿宋_GB2312" w:hAnsi="宋体" w:eastAsia="仿宋_GB2312"/>
          <w:sz w:val="32"/>
          <w:szCs w:val="32"/>
          <w:lang w:val="zh-CN"/>
        </w:rPr>
        <w:t>市公安局对项目资金进行管理，严格按照规定的范围支持和审核资金的支付。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4.按照项目的使用范围，坚持实事求是的原则，严格资金使用和分配。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1.为更好地展示公安机关形象，最大限度地发挥好联勤警务站功能，对火车站联勤警务站升级改造。</w:t>
      </w:r>
    </w:p>
    <w:p>
      <w:pPr>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2.根据市委文件“要全力推进联勤警务站建设，着力构建治安防控体系”要求，对火车站联勤警务站进行功能用房扩展、功能分区调整、硬件设施配备等项目。</w:t>
      </w:r>
    </w:p>
    <w:p>
      <w:pPr>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color w:val="000000"/>
          <w:sz w:val="32"/>
          <w:szCs w:val="32"/>
        </w:rPr>
        <w:t xml:space="preserve"> 申报内容与实际相符，申报目标合理可行</w:t>
      </w:r>
      <w:r>
        <w:rPr>
          <w:rFonts w:hint="eastAsia" w:ascii="仿宋_GB2312" w:hAnsi="仿宋" w:eastAsia="仿宋_GB2312"/>
          <w:color w:val="000000"/>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napToGrid w:val="0"/>
        <w:spacing w:line="600" w:lineRule="exact"/>
        <w:ind w:firstLine="640" w:firstLineChars="200"/>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根据广元市市委常委会纪要精神，《关于对广元火车站联勤警务站升级改造的请示》已于2021年3</w:t>
      </w:r>
      <w:r>
        <w:rPr>
          <w:rFonts w:hint="eastAsia" w:ascii="仿宋_GB2312" w:hAnsi="宋体" w:eastAsia="仿宋_GB2312"/>
          <w:color w:val="000000"/>
          <w:sz w:val="32"/>
          <w:szCs w:val="32"/>
        </w:rPr>
        <w:t>月30日经市政府主要领导批准同意，明确所需资金由市财政局追加解决。</w:t>
      </w:r>
      <w:r>
        <w:rPr>
          <w:rFonts w:hint="eastAsia" w:ascii="仿宋_GB2312" w:hAnsi="宋体" w:eastAsia="仿宋_GB2312"/>
          <w:color w:val="000000"/>
          <w:sz w:val="32"/>
          <w:szCs w:val="32"/>
          <w:lang w:val="zh-CN"/>
        </w:rPr>
        <w:t>财政批复追加资金</w:t>
      </w:r>
      <w:r>
        <w:rPr>
          <w:rFonts w:hint="eastAsia" w:ascii="仿宋_GB2312" w:hAnsi="仿宋" w:eastAsia="仿宋_GB2312"/>
          <w:color w:val="000000"/>
          <w:sz w:val="32"/>
          <w:szCs w:val="32"/>
        </w:rPr>
        <w:t>40.44万元</w:t>
      </w:r>
      <w:r>
        <w:rPr>
          <w:rFonts w:hint="eastAsia" w:ascii="仿宋_GB2312" w:hAnsi="宋体" w:eastAsia="仿宋_GB2312"/>
          <w:color w:val="000000"/>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pPr>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1．资金计划。该项目</w:t>
      </w:r>
      <w:r>
        <w:rPr>
          <w:rFonts w:hint="eastAsia" w:ascii="仿宋_GB2312" w:hAnsi="宋体" w:eastAsia="仿宋_GB2312"/>
          <w:sz w:val="32"/>
          <w:szCs w:val="32"/>
        </w:rPr>
        <w:t>40.44</w:t>
      </w:r>
      <w:r>
        <w:rPr>
          <w:rFonts w:hint="eastAsia" w:ascii="仿宋_GB2312" w:hAnsi="宋体" w:eastAsia="仿宋_GB2312"/>
          <w:sz w:val="32"/>
          <w:szCs w:val="32"/>
          <w:lang w:val="zh-CN"/>
        </w:rPr>
        <w:t>万元已列入本年度财政预算资金。</w:t>
      </w:r>
    </w:p>
    <w:p>
      <w:pPr>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2．资金到位。</w:t>
      </w:r>
      <w:r>
        <w:rPr>
          <w:rFonts w:hint="eastAsia" w:ascii="仿宋_GB2312" w:hAnsi="宋体" w:eastAsia="仿宋_GB2312"/>
          <w:sz w:val="32"/>
          <w:szCs w:val="32"/>
        </w:rPr>
        <w:t>2021年5月</w:t>
      </w:r>
      <w:r>
        <w:rPr>
          <w:rFonts w:hint="eastAsia" w:ascii="仿宋_GB2312" w:hAnsi="宋体" w:eastAsia="仿宋_GB2312"/>
          <w:sz w:val="32"/>
          <w:szCs w:val="32"/>
          <w:lang w:val="zh-CN"/>
        </w:rPr>
        <w:t>，项目资金</w:t>
      </w:r>
      <w:r>
        <w:rPr>
          <w:rFonts w:hint="eastAsia" w:ascii="仿宋_GB2312" w:hAnsi="宋体" w:eastAsia="仿宋_GB2312"/>
          <w:sz w:val="32"/>
          <w:szCs w:val="32"/>
        </w:rPr>
        <w:t>40.44</w:t>
      </w:r>
      <w:r>
        <w:rPr>
          <w:rFonts w:hint="eastAsia" w:ascii="仿宋_GB2312" w:hAnsi="宋体" w:eastAsia="仿宋_GB2312"/>
          <w:sz w:val="32"/>
          <w:szCs w:val="32"/>
          <w:lang w:val="zh-CN"/>
        </w:rPr>
        <w:t>万元已全部到位，到位率</w:t>
      </w:r>
      <w:r>
        <w:rPr>
          <w:rFonts w:hint="eastAsia" w:ascii="仿宋_GB2312" w:hAnsi="宋体" w:eastAsia="仿宋_GB2312"/>
          <w:sz w:val="32"/>
          <w:szCs w:val="32"/>
        </w:rPr>
        <w:t>100%。</w:t>
      </w:r>
    </w:p>
    <w:p>
      <w:pPr>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zh-CN"/>
        </w:rPr>
        <w:t>．资金使用。12月31日，已按照既定的升级改造项目施工、验收并及时完成支付。资金使用合规合法与预算相符，执行率达到</w:t>
      </w:r>
      <w:r>
        <w:rPr>
          <w:rFonts w:hint="eastAsia" w:ascii="仿宋_GB2312" w:hAnsi="宋体" w:eastAsia="仿宋_GB2312"/>
          <w:sz w:val="32"/>
          <w:szCs w:val="32"/>
        </w:rPr>
        <w:t>90.08%，资金节省率9.92%。</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napToGrid w:val="0"/>
        <w:spacing w:line="600" w:lineRule="exact"/>
        <w:ind w:firstLine="640" w:firstLineChars="200"/>
        <w:rPr>
          <w:rFonts w:ascii="仿宋_GB2312" w:hAnsi="宋体" w:eastAsia="仿宋_GB2312"/>
          <w:color w:val="000000"/>
          <w:sz w:val="32"/>
          <w:szCs w:val="32"/>
          <w:lang w:val="zh-CN"/>
        </w:rPr>
      </w:pPr>
      <w:r>
        <w:rPr>
          <w:rFonts w:hint="eastAsia" w:ascii="仿宋_GB2312" w:hAnsi="宋体" w:eastAsia="仿宋_GB2312"/>
          <w:sz w:val="32"/>
          <w:szCs w:val="32"/>
          <w:lang w:val="zh-CN"/>
        </w:rPr>
        <w:t>项目资金使用由特巡警支队申报，交由警务保障处按照项目资金管理规定审核、分管财务局领导签字后，从专项资金中列支。</w:t>
      </w:r>
      <w:r>
        <w:rPr>
          <w:rFonts w:hint="eastAsia" w:ascii="仿宋_GB2312" w:hAnsi="宋体" w:eastAsia="仿宋_GB2312"/>
          <w:color w:val="000000"/>
          <w:sz w:val="32"/>
          <w:szCs w:val="32"/>
          <w:lang w:val="zh-CN"/>
        </w:rPr>
        <w:t>经自评，市公安局对该项目管理财务制度健全，严格执行财务管理制度，账务处理及时，会计核算规范。</w:t>
      </w: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snapToGrid w:val="0"/>
        <w:spacing w:line="600"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市公安局警务保障处、特巡警支队共同对该项目实施进行管理，严格按照相关法律法规立项项目申请、资金追加、挂网招标、项目实施、项目验收、项目支付。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snapToGrid w:val="0"/>
        <w:spacing w:line="600" w:lineRule="exact"/>
        <w:ind w:firstLine="640" w:firstLineChars="200"/>
        <w:rPr>
          <w:rFonts w:ascii="仿宋_GB2312" w:hAnsi="宋体" w:eastAsia="仿宋_GB2312"/>
          <w:color w:val="000000"/>
          <w:sz w:val="32"/>
          <w:szCs w:val="32"/>
          <w:lang w:val="zh-CN"/>
        </w:rPr>
      </w:pPr>
      <w:r>
        <w:rPr>
          <w:rFonts w:hint="eastAsia" w:ascii="仿宋_GB2312" w:hAnsi="宋体" w:eastAsia="仿宋_GB2312"/>
          <w:sz w:val="32"/>
          <w:szCs w:val="32"/>
          <w:lang w:val="zh-CN"/>
        </w:rPr>
        <w:t>项目资金使用由特巡警支队申报，交由警务保障处按照项目资金管理规定审核、分管财务局领导签字后，从专项资金中列支。</w:t>
      </w:r>
      <w:r>
        <w:rPr>
          <w:rFonts w:hint="eastAsia" w:ascii="仿宋_GB2312" w:hAnsi="宋体" w:eastAsia="仿宋_GB2312"/>
          <w:color w:val="000000"/>
          <w:sz w:val="32"/>
          <w:szCs w:val="32"/>
          <w:lang w:val="zh-CN"/>
        </w:rPr>
        <w:t>经自评，市公安局对该项目管理财务制度健全，严格执行财务管理制度，账务处理及时，会计核算规范。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snapToGrid w:val="0"/>
        <w:spacing w:line="600"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该项目由市公安局警务保障处、特巡警支队共同实施进行管理，该项目全程在公开透明的监督机制下，顺利推进实施。市公安局审计处、市局纪委对项目资金的执行进行监管。</w:t>
      </w: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四、项目绩效情况</w:t>
      </w:r>
      <w:r>
        <w:rPr>
          <w:rFonts w:hint="eastAsia" w:ascii="黑体" w:hAnsi="宋体" w:eastAsia="黑体"/>
          <w:bCs/>
          <w:sz w:val="32"/>
          <w:szCs w:val="32"/>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napToGrid w:val="0"/>
        <w:spacing w:line="600" w:lineRule="exact"/>
        <w:ind w:firstLine="640" w:firstLineChars="200"/>
        <w:rPr>
          <w:rFonts w:ascii="仿宋_GB2312" w:hAnsi="宋体" w:eastAsia="仿宋_GB2312"/>
          <w:b/>
          <w:sz w:val="32"/>
          <w:szCs w:val="32"/>
          <w:lang w:val="zh-CN"/>
        </w:rPr>
      </w:pPr>
      <w:r>
        <w:rPr>
          <w:rFonts w:hint="eastAsia" w:ascii="仿宋_GB2312" w:hAnsi="宋体" w:eastAsia="仿宋_GB2312"/>
          <w:sz w:val="32"/>
          <w:szCs w:val="32"/>
          <w:lang w:val="zh-CN"/>
        </w:rPr>
        <w:t>广元火车站联勤警务站升级改造项目</w:t>
      </w:r>
      <w:r>
        <w:rPr>
          <w:rFonts w:hint="eastAsia" w:ascii="仿宋_GB2312" w:hAnsi="宋体" w:eastAsia="仿宋_GB2312"/>
          <w:color w:val="000000"/>
          <w:sz w:val="32"/>
          <w:szCs w:val="32"/>
          <w:lang w:val="zh-CN"/>
        </w:rPr>
        <w:t>按期按质完成，经相关部门验收合格。更好地</w:t>
      </w:r>
      <w:r>
        <w:rPr>
          <w:rFonts w:hint="eastAsia" w:ascii="仿宋_GB2312" w:hAnsi="宋体" w:eastAsia="仿宋_GB2312"/>
          <w:sz w:val="32"/>
          <w:szCs w:val="32"/>
          <w:lang w:val="zh-CN"/>
        </w:rPr>
        <w:t>展示公安机关形象，最大限度地发挥好联勤警务站功能，</w:t>
      </w:r>
      <w:r>
        <w:rPr>
          <w:rFonts w:hint="eastAsia" w:ascii="仿宋_GB2312" w:hAnsi="宋体" w:eastAsia="仿宋_GB2312"/>
          <w:color w:val="000000"/>
          <w:sz w:val="32"/>
          <w:szCs w:val="32"/>
        </w:rPr>
        <w:t>有效预防和制止违法犯罪，有效提升见警率，站前街面案件呈下降趋势，社会满意度测评全省第一，广元继续入选全国30个最安全城市。</w:t>
      </w:r>
    </w:p>
    <w:p>
      <w:pPr>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napToGrid w:val="0"/>
        <w:spacing w:line="600" w:lineRule="exact"/>
        <w:ind w:firstLine="640" w:firstLineChars="200"/>
        <w:rPr>
          <w:rFonts w:ascii="仿宋_GB2312" w:hAnsi="宋体" w:eastAsia="仿宋_GB2312"/>
          <w:b/>
          <w:sz w:val="32"/>
          <w:szCs w:val="32"/>
          <w:lang w:val="zh-CN"/>
        </w:rPr>
      </w:pPr>
      <w:r>
        <w:rPr>
          <w:rFonts w:hint="eastAsia" w:ascii="仿宋_GB2312" w:hAnsi="宋体" w:eastAsia="仿宋_GB2312"/>
          <w:sz w:val="32"/>
          <w:szCs w:val="32"/>
          <w:lang w:val="zh-CN"/>
        </w:rPr>
        <w:t>火车站联勤</w:t>
      </w:r>
      <w:r>
        <w:rPr>
          <w:rFonts w:hint="eastAsia" w:ascii="仿宋_GB2312" w:hAnsi="宋体" w:eastAsia="仿宋_GB2312"/>
          <w:sz w:val="32"/>
          <w:szCs w:val="32"/>
        </w:rPr>
        <w:t>警务站升级改造一年来，服务过往旅客400余万人，通过智慧警务、天网监控为人民群众挽回经济损失30余万，疫情防控以来，联勤警务站值守在疫情防控一线，没有发生一起危害人民群众生命财产安全的刑事案件，</w:t>
      </w:r>
      <w:r>
        <w:rPr>
          <w:rFonts w:hint="eastAsia" w:ascii="仿宋_GB2312" w:hAnsi="宋体" w:eastAsia="仿宋_GB2312"/>
          <w:color w:val="000000"/>
          <w:sz w:val="32"/>
          <w:szCs w:val="32"/>
        </w:rPr>
        <w:t>有效预防和制止了违法犯罪，有效提升了见警率，站前案件常年呈下降趋势。</w:t>
      </w:r>
      <w:r>
        <w:rPr>
          <w:rFonts w:hint="eastAsia" w:ascii="仿宋_GB2312" w:hAnsi="宋体" w:eastAsia="仿宋_GB2312"/>
          <w:color w:val="000000"/>
          <w:sz w:val="32"/>
          <w:szCs w:val="32"/>
          <w:lang w:val="zh-CN"/>
        </w:rPr>
        <w:t>群众对社会公共安全的满意度</w:t>
      </w:r>
      <w:r>
        <w:rPr>
          <w:rFonts w:hint="eastAsia" w:ascii="仿宋_GB2312" w:hAnsi="宋体" w:eastAsia="仿宋_GB2312"/>
          <w:color w:val="000000"/>
          <w:sz w:val="32"/>
          <w:szCs w:val="32"/>
        </w:rPr>
        <w:t>测评全省第一。</w:t>
      </w: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color w:val="000000"/>
          <w:sz w:val="32"/>
          <w:szCs w:val="32"/>
        </w:rPr>
        <w:t>经自评，该项目得分97分。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便民服务的功能有待进一步加强；智慧警务建设相关功能可以进一步发掘。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napToGrid w:val="0"/>
        <w:spacing w:line="600" w:lineRule="exact"/>
        <w:ind w:firstLine="640" w:firstLineChars="200"/>
        <w:rPr>
          <w:rFonts w:ascii="仿宋_GB2312" w:hAnsi="宋体" w:eastAsia="仿宋_GB2312"/>
          <w:color w:val="000000"/>
          <w:sz w:val="32"/>
          <w:szCs w:val="32"/>
          <w:lang w:val="zh-CN"/>
        </w:rPr>
      </w:pPr>
      <w:r>
        <w:rPr>
          <w:rFonts w:hint="eastAsia" w:ascii="仿宋_GB2312" w:hAnsi="宋体" w:eastAsia="仿宋_GB2312"/>
          <w:sz w:val="32"/>
          <w:szCs w:val="32"/>
        </w:rPr>
        <w:t>1.</w:t>
      </w:r>
      <w:r>
        <w:rPr>
          <w:rFonts w:hint="eastAsia" w:ascii="仿宋_GB2312" w:hAnsi="宋体" w:eastAsia="仿宋_GB2312"/>
          <w:color w:val="000000"/>
          <w:sz w:val="32"/>
          <w:szCs w:val="32"/>
          <w:lang w:val="zh-CN"/>
        </w:rPr>
        <w:t>后期可以在联勤警务站增加相关设备，比如提供临时身份证明打印等。</w:t>
      </w:r>
    </w:p>
    <w:p>
      <w:pPr>
        <w:snapToGrid w:val="0"/>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2.加强智慧警务建设的投入，对比现阶段适时更新专业警用装备，以</w:t>
      </w:r>
      <w:r>
        <w:rPr>
          <w:rFonts w:hint="eastAsia" w:ascii="仿宋_GB2312" w:hAnsi="宋体" w:eastAsia="仿宋_GB2312"/>
          <w:color w:val="000000"/>
          <w:sz w:val="32"/>
          <w:szCs w:val="32"/>
          <w:lang w:eastAsia="zh-CN"/>
        </w:rPr>
        <w:t>更好地服务群众</w:t>
      </w:r>
      <w:r>
        <w:rPr>
          <w:rFonts w:hint="eastAsia" w:ascii="仿宋_GB2312" w:hAnsi="宋体" w:eastAsia="仿宋_GB2312"/>
          <w:color w:val="000000"/>
          <w:sz w:val="32"/>
          <w:szCs w:val="32"/>
        </w:rPr>
        <w:t>。</w:t>
      </w:r>
    </w:p>
    <w:p>
      <w:pPr>
        <w:pStyle w:val="2"/>
        <w:spacing w:before="93"/>
      </w:pPr>
    </w:p>
    <w:tbl>
      <w:tblPr>
        <w:tblStyle w:val="12"/>
        <w:tblW w:w="10491" w:type="dxa"/>
        <w:tblInd w:w="-885" w:type="dxa"/>
        <w:tblLayout w:type="autofit"/>
        <w:tblCellMar>
          <w:top w:w="0" w:type="dxa"/>
          <w:left w:w="108" w:type="dxa"/>
          <w:bottom w:w="0" w:type="dxa"/>
          <w:right w:w="108" w:type="dxa"/>
        </w:tblCellMar>
      </w:tblPr>
      <w:tblGrid>
        <w:gridCol w:w="1419"/>
        <w:gridCol w:w="1417"/>
        <w:gridCol w:w="696"/>
        <w:gridCol w:w="296"/>
        <w:gridCol w:w="1526"/>
        <w:gridCol w:w="2160"/>
        <w:gridCol w:w="1275"/>
        <w:gridCol w:w="1702"/>
      </w:tblGrid>
      <w:tr>
        <w:tblPrEx>
          <w:tblCellMar>
            <w:top w:w="0" w:type="dxa"/>
            <w:left w:w="108" w:type="dxa"/>
            <w:bottom w:w="0" w:type="dxa"/>
            <w:right w:w="108" w:type="dxa"/>
          </w:tblCellMar>
        </w:tblPrEx>
        <w:trPr>
          <w:trHeight w:val="540" w:hRule="atLeast"/>
        </w:trPr>
        <w:tc>
          <w:tcPr>
            <w:tcW w:w="10491" w:type="dxa"/>
            <w:gridSpan w:val="8"/>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项目支出绩效目标自评表</w:t>
            </w:r>
          </w:p>
        </w:tc>
      </w:tr>
      <w:tr>
        <w:tblPrEx>
          <w:tblCellMar>
            <w:top w:w="0" w:type="dxa"/>
            <w:left w:w="108" w:type="dxa"/>
            <w:bottom w:w="0" w:type="dxa"/>
            <w:right w:w="108" w:type="dxa"/>
          </w:tblCellMar>
        </w:tblPrEx>
        <w:trPr>
          <w:trHeight w:val="285" w:hRule="atLeast"/>
        </w:trPr>
        <w:tc>
          <w:tcPr>
            <w:tcW w:w="10491" w:type="dxa"/>
            <w:gridSpan w:val="8"/>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360" w:hRule="atLeast"/>
        </w:trPr>
        <w:tc>
          <w:tcPr>
            <w:tcW w:w="3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95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广元火车站联勤警务站升级改造项目</w:t>
            </w:r>
          </w:p>
        </w:tc>
      </w:tr>
      <w:tr>
        <w:tblPrEx>
          <w:tblCellMar>
            <w:top w:w="0" w:type="dxa"/>
            <w:left w:w="108" w:type="dxa"/>
            <w:bottom w:w="0" w:type="dxa"/>
            <w:right w:w="108" w:type="dxa"/>
          </w:tblCellMar>
        </w:tblPrEx>
        <w:trPr>
          <w:trHeight w:val="360" w:hRule="atLeast"/>
        </w:trPr>
        <w:tc>
          <w:tcPr>
            <w:tcW w:w="3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1822" w:type="dxa"/>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c>
          <w:tcPr>
            <w:tcW w:w="2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297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r>
      <w:tr>
        <w:tblPrEx>
          <w:tblCellMar>
            <w:top w:w="0" w:type="dxa"/>
            <w:left w:w="108" w:type="dxa"/>
            <w:bottom w:w="0" w:type="dxa"/>
            <w:right w:w="108" w:type="dxa"/>
          </w:tblCellMar>
        </w:tblPrEx>
        <w:trPr>
          <w:trHeight w:val="360" w:hRule="atLeast"/>
        </w:trPr>
        <w:tc>
          <w:tcPr>
            <w:tcW w:w="14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p>
          <w:p>
            <w:pPr>
              <w:widowControl/>
              <w:jc w:val="center"/>
              <w:rPr>
                <w:rFonts w:ascii="宋体" w:hAnsi="宋体" w:cs="宋体"/>
                <w:kern w:val="0"/>
                <w:sz w:val="24"/>
              </w:rPr>
            </w:pPr>
            <w:r>
              <w:rPr>
                <w:rFonts w:hint="eastAsia" w:ascii="宋体" w:hAnsi="宋体" w:cs="宋体"/>
                <w:kern w:val="0"/>
                <w:sz w:val="24"/>
              </w:rPr>
              <w:t>执行</w:t>
            </w:r>
          </w:p>
          <w:p>
            <w:pPr>
              <w:widowControl/>
              <w:jc w:val="center"/>
              <w:rPr>
                <w:rFonts w:ascii="宋体" w:hAnsi="宋体" w:cs="宋体"/>
                <w:kern w:val="0"/>
                <w:sz w:val="24"/>
              </w:rPr>
            </w:pPr>
            <w:r>
              <w:rPr>
                <w:rFonts w:hint="eastAsia" w:ascii="宋体" w:hAnsi="宋体" w:cs="宋体"/>
                <w:kern w:val="0"/>
                <w:sz w:val="24"/>
              </w:rPr>
              <w:t>情况</w:t>
            </w:r>
          </w:p>
          <w:p>
            <w:pPr>
              <w:widowControl/>
              <w:jc w:val="center"/>
              <w:rPr>
                <w:rFonts w:ascii="宋体" w:hAnsi="宋体" w:cs="宋体"/>
                <w:kern w:val="0"/>
                <w:sz w:val="24"/>
              </w:rPr>
            </w:pPr>
            <w:r>
              <w:rPr>
                <w:rFonts w:hint="eastAsia" w:ascii="宋体" w:hAnsi="宋体" w:cs="宋体"/>
                <w:kern w:val="0"/>
                <w:sz w:val="16"/>
                <w:szCs w:val="16"/>
              </w:rPr>
              <w:t>（万元）</w:t>
            </w:r>
          </w:p>
        </w:tc>
        <w:tc>
          <w:tcPr>
            <w:tcW w:w="2113"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182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40.44</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97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36.43</w:t>
            </w:r>
          </w:p>
        </w:tc>
      </w:tr>
      <w:tr>
        <w:tblPrEx>
          <w:tblCellMar>
            <w:top w:w="0" w:type="dxa"/>
            <w:left w:w="108" w:type="dxa"/>
            <w:bottom w:w="0" w:type="dxa"/>
            <w:right w:w="108" w:type="dxa"/>
          </w:tblCellMar>
        </w:tblPrEx>
        <w:trPr>
          <w:trHeight w:val="679" w:hRule="atLeast"/>
        </w:trPr>
        <w:tc>
          <w:tcPr>
            <w:tcW w:w="14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3"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82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40.44</w:t>
            </w:r>
          </w:p>
        </w:tc>
        <w:tc>
          <w:tcPr>
            <w:tcW w:w="2160"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36.43</w:t>
            </w:r>
          </w:p>
        </w:tc>
      </w:tr>
      <w:tr>
        <w:tblPrEx>
          <w:tblCellMar>
            <w:top w:w="0" w:type="dxa"/>
            <w:left w:w="108" w:type="dxa"/>
            <w:bottom w:w="0" w:type="dxa"/>
            <w:right w:w="108" w:type="dxa"/>
          </w:tblCellMar>
        </w:tblPrEx>
        <w:trPr>
          <w:trHeight w:val="679" w:hRule="atLeast"/>
        </w:trPr>
        <w:tc>
          <w:tcPr>
            <w:tcW w:w="14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3"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82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160" w:type="dxa"/>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79" w:hRule="atLeast"/>
        </w:trPr>
        <w:tc>
          <w:tcPr>
            <w:tcW w:w="14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目标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39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513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1425" w:hRule="atLeast"/>
        </w:trPr>
        <w:tc>
          <w:tcPr>
            <w:tcW w:w="14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935"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为更好地</w:t>
            </w:r>
            <w:r>
              <w:rPr>
                <w:rFonts w:hint="eastAsia" w:ascii="宋体" w:hAnsi="宋体" w:cs="宋体"/>
                <w:kern w:val="0"/>
                <w:sz w:val="24"/>
              </w:rPr>
              <w:t>展示公安机关形象，最大限度发挥好警务站功能，需对火车站联勤警务站升级改造。</w:t>
            </w:r>
          </w:p>
        </w:tc>
        <w:tc>
          <w:tcPr>
            <w:tcW w:w="5137" w:type="dxa"/>
            <w:gridSpan w:val="3"/>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火车站联勤警务站扩展警务站功能用房，调整警务站功能分区，优化警务站外观设施。</w:t>
            </w:r>
          </w:p>
        </w:tc>
      </w:tr>
      <w:tr>
        <w:tblPrEx>
          <w:tblCellMar>
            <w:top w:w="0" w:type="dxa"/>
            <w:left w:w="108" w:type="dxa"/>
            <w:bottom w:w="0" w:type="dxa"/>
            <w:right w:w="108" w:type="dxa"/>
          </w:tblCellMar>
        </w:tblPrEx>
        <w:trPr>
          <w:trHeight w:val="780" w:hRule="atLeast"/>
        </w:trPr>
        <w:tc>
          <w:tcPr>
            <w:tcW w:w="141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绩效</w:t>
            </w:r>
          </w:p>
          <w:p>
            <w:pPr>
              <w:widowControl/>
              <w:jc w:val="center"/>
              <w:rPr>
                <w:rFonts w:ascii="宋体" w:hAnsi="宋体" w:cs="宋体"/>
                <w:kern w:val="0"/>
                <w:sz w:val="24"/>
              </w:rPr>
            </w:pPr>
            <w:r>
              <w:rPr>
                <w:rFonts w:hint="eastAsia" w:ascii="宋体" w:hAnsi="宋体" w:cs="宋体"/>
                <w:kern w:val="0"/>
                <w:sz w:val="24"/>
              </w:rPr>
              <w:t>指标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141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未完成原因及改进措施</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99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服务过往旅客人数</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100万</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120万</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屯警巡逻人次</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2100人次</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2205人次</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改造升级完成率</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合格率</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购买完成率</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经费支出时效性</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年底前</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12月</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资料上报及时率</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施工时长</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5月底结束</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5月24日完成验收</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改扩建项目经费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35.94万元</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31.93万元</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合同约定需跨年支付</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视频搬迁费用</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4.4万</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4.4万元</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95"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92"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p>
          <w:p>
            <w:pPr>
              <w:widowControl/>
              <w:jc w:val="center"/>
              <w:rPr>
                <w:rFonts w:ascii="宋体" w:hAnsi="宋体" w:cs="宋体"/>
                <w:kern w:val="0"/>
                <w:sz w:val="24"/>
              </w:rPr>
            </w:pPr>
            <w:r>
              <w:rPr>
                <w:rFonts w:hint="eastAsia" w:ascii="宋体" w:hAnsi="宋体" w:cs="宋体"/>
                <w:kern w:val="0"/>
                <w:sz w:val="24"/>
              </w:rPr>
              <w:t>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对单位履职，促进事业发展</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定性</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有效维护了火车站的社会治安秩序</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对公共服务水平的改善</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定性</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服务良好</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p>
          <w:p>
            <w:pPr>
              <w:widowControl/>
              <w:jc w:val="center"/>
              <w:rPr>
                <w:rFonts w:ascii="宋体" w:hAnsi="宋体" w:cs="宋体"/>
                <w:kern w:val="0"/>
                <w:sz w:val="24"/>
              </w:rPr>
            </w:pPr>
            <w:r>
              <w:rPr>
                <w:rFonts w:hint="eastAsia" w:ascii="宋体" w:hAnsi="宋体" w:cs="宋体"/>
                <w:kern w:val="0"/>
                <w:sz w:val="24"/>
              </w:rPr>
              <w:t>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环保节能</w:t>
            </w:r>
          </w:p>
        </w:tc>
        <w:tc>
          <w:tcPr>
            <w:tcW w:w="2160"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长期</w:t>
            </w:r>
          </w:p>
        </w:tc>
        <w:tc>
          <w:tcPr>
            <w:tcW w:w="1275"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长期</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p>
          <w:p>
            <w:pPr>
              <w:widowControl/>
              <w:jc w:val="center"/>
              <w:rPr>
                <w:rFonts w:ascii="宋体" w:hAnsi="宋体" w:cs="宋体"/>
                <w:kern w:val="0"/>
                <w:sz w:val="24"/>
              </w:rPr>
            </w:pPr>
            <w:r>
              <w:rPr>
                <w:rFonts w:hint="eastAsia" w:ascii="宋体" w:hAnsi="宋体" w:cs="宋体"/>
                <w:kern w:val="0"/>
                <w:sz w:val="24"/>
              </w:rPr>
              <w:t>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服务群众能力提升</w:t>
            </w:r>
          </w:p>
        </w:tc>
        <w:tc>
          <w:tcPr>
            <w:tcW w:w="2160"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长期</w:t>
            </w:r>
          </w:p>
        </w:tc>
        <w:tc>
          <w:tcPr>
            <w:tcW w:w="127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长期</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便民服务</w:t>
            </w:r>
          </w:p>
        </w:tc>
        <w:tc>
          <w:tcPr>
            <w:tcW w:w="2160"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长期</w:t>
            </w:r>
          </w:p>
        </w:tc>
        <w:tc>
          <w:tcPr>
            <w:tcW w:w="127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长期</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p>
          <w:p>
            <w:pPr>
              <w:widowControl/>
              <w:jc w:val="center"/>
              <w:rPr>
                <w:rFonts w:ascii="宋体" w:hAnsi="宋体" w:cs="宋体"/>
                <w:kern w:val="0"/>
                <w:sz w:val="24"/>
              </w:rPr>
            </w:pPr>
            <w:r>
              <w:rPr>
                <w:rFonts w:hint="eastAsia" w:ascii="宋体" w:hAnsi="宋体" w:cs="宋体"/>
                <w:kern w:val="0"/>
                <w:sz w:val="24"/>
              </w:rPr>
              <w:t>指标</w:t>
            </w:r>
          </w:p>
        </w:tc>
        <w:tc>
          <w:tcPr>
            <w:tcW w:w="99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民警满意度</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≥98%</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98%</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群众满意度</w:t>
            </w:r>
          </w:p>
        </w:tc>
        <w:tc>
          <w:tcPr>
            <w:tcW w:w="21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≥98%</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98%</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4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1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辅警满意度</w:t>
            </w:r>
          </w:p>
        </w:tc>
        <w:tc>
          <w:tcPr>
            <w:tcW w:w="21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≥98%</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98%</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9" w:hRule="atLeast"/>
        </w:trPr>
        <w:tc>
          <w:tcPr>
            <w:tcW w:w="10491" w:type="dxa"/>
            <w:gridSpan w:val="8"/>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r>
    </w:tbl>
    <w:p>
      <w:pPr>
        <w:pStyle w:val="2"/>
        <w:spacing w:before="93"/>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2021年度应急联动指挥系统租赁经费项目</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绩效自评报告</w:t>
      </w:r>
    </w:p>
    <w:p>
      <w:pPr>
        <w:spacing w:line="600" w:lineRule="exact"/>
        <w:jc w:val="center"/>
        <w:rPr>
          <w:rFonts w:ascii="方正小标宋简体" w:hAnsi="宋体" w:eastAsia="方正小标宋简体"/>
          <w:color w:val="000000"/>
          <w:kern w:val="0"/>
          <w:sz w:val="44"/>
          <w:szCs w:val="44"/>
        </w:rPr>
      </w:pPr>
    </w:p>
    <w:p>
      <w:pPr>
        <w:adjustRightInd w:val="0"/>
        <w:snapToGrid w:val="0"/>
        <w:spacing w:line="600" w:lineRule="exact"/>
        <w:ind w:firstLine="720"/>
        <w:rPr>
          <w:rFonts w:ascii="黑体" w:hAnsi="宋体" w:eastAsia="黑体"/>
          <w:bCs/>
          <w:sz w:val="32"/>
          <w:szCs w:val="32"/>
        </w:rPr>
      </w:pPr>
      <w:r>
        <w:rPr>
          <w:rFonts w:hint="eastAsia" w:ascii="黑体" w:hAnsi="宋体" w:eastAsia="黑体"/>
          <w:bCs/>
          <w:sz w:val="32"/>
          <w:szCs w:val="32"/>
        </w:rPr>
        <w:t>一、项目概况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1.市公安局主要对项目资金执行进度、项目资金使用情况进行监督，对资金的使用及报销进行审核，对项目的运行情况进行检查。</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2.依据市人民政府2008年59次常务会议决议，市公安局申请应急联动指挥系统租赁经费项目的申报，政府同意了该项目立项建设实施。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 采用“企业建设、政府租赁、公安使用”的方式，由中国电信广元分公司整体投资建设并承接相应项目运行维护服务。市公安局对项目资金进行管理，严格按照规定的范围支持和审核资金的支付。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4.按照项目的使用范围，坚持实事求是的原则，严格资金使用和分配。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广元市应急联动指挥系统项目，是根据市人民政府2008年59次常务会议决议，采用“企业建设、政府租赁、公安使用”的方式，由中国电信广元分公司整体投资建设并承接相应项目运行维护服务。从2009年至今，已历经13年（两个5年期及一个3年期），目前是第四个租赁服务期。广元市公安局应急联动指挥系统第四个租赁服务期主要内容包括应急联动指挥中心（公安110指挥中心）环境运维服务、 “铁穹”工程前端感知源系统运维服务、UPS及电力保障系统运维服务、机房租赁服务、已建指挥中心技术环境功能改造升级服务、交警业务边界接入改造服务、应急视频传输系统支撑服务+卫星单兵系统支撑服务、人像识别系统支撑服务+视觉边缘计算节点技术支撑服务、社会数据资源采集整合服务、移动警务通终端使用租赁服务、后备电源改造升级服务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应急联动指挥系统项目目的是为公安机关扁平化指挥体系提供了较好的技术支撑环境和应用环境，有力保障110接处警业务的顺利开展。所建设使用的天网、人脸和卡口系统等前端感知设备，构建和织密了市主城区的智能化防控网，可以实时掌握人、车的轨迹信息。</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 由市公安局采购办组织警保、审计、纪检及项目业务警种责任部门科信办，对照项目立项、采购招标、合同和项目应用情况开展项目自查和效益评估。申报内容与实际相符，申报目标合理可行。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二、</w:t>
      </w:r>
      <w:r>
        <w:rPr>
          <w:rFonts w:hint="eastAsia" w:ascii="黑体" w:hAnsi="宋体" w:eastAsia="黑体"/>
          <w:sz w:val="32"/>
          <w:szCs w:val="32"/>
          <w:lang w:val="zh-CN"/>
        </w:rPr>
        <w:t>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向政府专题申请并同意了该项目立项建设实施。每年向财政申报项目列入年度财政预算</w:t>
      </w:r>
      <w:r>
        <w:rPr>
          <w:rFonts w:hint="eastAsia" w:ascii="仿宋" w:hAnsi="仿宋" w:eastAsia="仿宋"/>
          <w:bCs/>
          <w:sz w:val="32"/>
          <w:szCs w:val="32"/>
        </w:rPr>
        <w:t>358.8万元/年。</w:t>
      </w:r>
      <w:r>
        <w:rPr>
          <w:rFonts w:hint="eastAsia" w:ascii="仿宋_GB2312" w:hAnsi="宋体" w:eastAsia="仿宋_GB2312"/>
          <w:sz w:val="32"/>
          <w:szCs w:val="32"/>
          <w:lang w:val="zh-CN"/>
        </w:rPr>
        <w:t>所申报资金整体用于该项目。符合资金管理办法相关规定。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该项目358.8万元/年已列入每年度财政预算资金。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每年资金358.8万元/年已到位，到位率100%。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lang w:val="zh-CN"/>
        </w:rPr>
        <w:t>按合同进行年度支付。资金支付范围、支付标准、支付进度、支付依据等合规合法与预算相符，实际执行</w:t>
      </w:r>
      <w:r>
        <w:rPr>
          <w:rFonts w:hint="eastAsia" w:ascii="仿宋_GB2312" w:hAnsi="仿宋_GB2312" w:eastAsia="仿宋_GB2312" w:cs="仿宋_GB2312"/>
          <w:kern w:val="0"/>
          <w:sz w:val="32"/>
          <w:szCs w:val="32"/>
        </w:rPr>
        <w:t>350.9637万元，执行率97.82%</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项目业务警种责任部门科信办整体负责项目的建设、应用。采购办组织警保、审计、纪检负责项目的采购招标、合同和效益监督。</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本项目是严格按照相关法律法规及项目管理制度予以推进实施。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市公安局警保、审计、纪检从项目的立项环节开始全程参与并实施对项目的程序监督、效益监督。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rPr>
        <w:t>项目已经建设完成投入正常运行。该项目保障了我市公安信息网、互联网、公安视频专网等网络及办公固定电话的正常运行及维护管理。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应急联动指挥系统项目为公安机关扁平化指挥体系提供了较好的技术支撑环境和应用环境，有力保障了110接处警业务的顺利开展。所建设使用的天网、人脸、卡口系统等前端感知设备，构建和织密了市主城区的智能化防控网，可以适时掌握人、车的轨迹信息，为主城区社会治安防控体系的建设提供了有力技术支撑保障，也为城市智能交通管理提供了技术服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经自评，该项目得分98.5分。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端设备开始老旧，面临更新换代的问题。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（三）相关建议</w:t>
      </w:r>
    </w:p>
    <w:p>
      <w:pPr>
        <w:spacing w:line="600" w:lineRule="exact"/>
        <w:ind w:firstLine="645"/>
        <w:jc w:val="center"/>
        <w:rPr>
          <w:rFonts w:ascii="仿宋_GB2312" w:hAnsi="宋体" w:eastAsia="仿宋_GB2312"/>
          <w:sz w:val="32"/>
          <w:szCs w:val="32"/>
          <w:lang w:val="zh-CN"/>
        </w:rPr>
      </w:pPr>
      <w:r>
        <w:rPr>
          <w:rFonts w:hint="eastAsia" w:ascii="仿宋_GB2312" w:hAnsi="宋体" w:eastAsia="仿宋_GB2312"/>
          <w:sz w:val="32"/>
          <w:szCs w:val="32"/>
          <w:lang w:val="zh-CN"/>
        </w:rPr>
        <w:t>1.及时规划下一周期项目启动工作，杜绝违反相关程序规定问题的发生。2.加强项目日常运维考核，督促成交供应商按合同高质量履行运维服务。3.建好详细资产管理台帐。</w:t>
      </w:r>
    </w:p>
    <w:tbl>
      <w:tblPr>
        <w:tblStyle w:val="12"/>
        <w:tblW w:w="10915" w:type="dxa"/>
        <w:tblInd w:w="-1168" w:type="dxa"/>
        <w:tblLayout w:type="fixed"/>
        <w:tblCellMar>
          <w:top w:w="0" w:type="dxa"/>
          <w:left w:w="108" w:type="dxa"/>
          <w:bottom w:w="0" w:type="dxa"/>
          <w:right w:w="108" w:type="dxa"/>
        </w:tblCellMar>
      </w:tblPr>
      <w:tblGrid>
        <w:gridCol w:w="876"/>
        <w:gridCol w:w="967"/>
        <w:gridCol w:w="1134"/>
        <w:gridCol w:w="1303"/>
        <w:gridCol w:w="682"/>
        <w:gridCol w:w="992"/>
        <w:gridCol w:w="709"/>
        <w:gridCol w:w="1625"/>
        <w:gridCol w:w="236"/>
        <w:gridCol w:w="2391"/>
      </w:tblGrid>
      <w:tr>
        <w:tblPrEx>
          <w:tblCellMar>
            <w:top w:w="0" w:type="dxa"/>
            <w:left w:w="108" w:type="dxa"/>
            <w:bottom w:w="0" w:type="dxa"/>
            <w:right w:w="108" w:type="dxa"/>
          </w:tblCellMar>
        </w:tblPrEx>
        <w:trPr>
          <w:trHeight w:val="540" w:hRule="atLeast"/>
        </w:trPr>
        <w:tc>
          <w:tcPr>
            <w:tcW w:w="10915" w:type="dxa"/>
            <w:gridSpan w:val="10"/>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项目支出绩效目标自评表</w:t>
            </w:r>
          </w:p>
        </w:tc>
      </w:tr>
      <w:tr>
        <w:tblPrEx>
          <w:tblCellMar>
            <w:top w:w="0" w:type="dxa"/>
            <w:left w:w="108" w:type="dxa"/>
            <w:bottom w:w="0" w:type="dxa"/>
            <w:right w:w="108" w:type="dxa"/>
          </w:tblCellMar>
        </w:tblPrEx>
        <w:trPr>
          <w:trHeight w:val="285" w:hRule="atLeast"/>
        </w:trPr>
        <w:tc>
          <w:tcPr>
            <w:tcW w:w="10915" w:type="dxa"/>
            <w:gridSpan w:val="10"/>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559" w:hRule="atLeast"/>
        </w:trPr>
        <w:tc>
          <w:tcPr>
            <w:tcW w:w="42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63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应急联动指挥系统租赁费（单列）</w:t>
            </w:r>
          </w:p>
        </w:tc>
      </w:tr>
      <w:tr>
        <w:tblPrEx>
          <w:tblCellMar>
            <w:top w:w="0" w:type="dxa"/>
            <w:left w:w="108" w:type="dxa"/>
            <w:bottom w:w="0" w:type="dxa"/>
            <w:right w:w="108" w:type="dxa"/>
          </w:tblCellMar>
        </w:tblPrEx>
        <w:trPr>
          <w:trHeight w:val="559" w:hRule="atLeast"/>
        </w:trPr>
        <w:tc>
          <w:tcPr>
            <w:tcW w:w="42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1674"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c>
          <w:tcPr>
            <w:tcW w:w="23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262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r>
      <w:tr>
        <w:tblPrEx>
          <w:tblCellMar>
            <w:top w:w="0" w:type="dxa"/>
            <w:left w:w="108" w:type="dxa"/>
            <w:bottom w:w="0" w:type="dxa"/>
            <w:right w:w="108" w:type="dxa"/>
          </w:tblCellMar>
        </w:tblPrEx>
        <w:trPr>
          <w:trHeight w:val="559"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p>
          <w:p>
            <w:pPr>
              <w:widowControl/>
              <w:jc w:val="center"/>
              <w:rPr>
                <w:rFonts w:ascii="宋体" w:hAnsi="宋体" w:cs="宋体"/>
                <w:kern w:val="0"/>
                <w:sz w:val="24"/>
              </w:rPr>
            </w:pPr>
            <w:r>
              <w:rPr>
                <w:rFonts w:hint="eastAsia" w:ascii="宋体" w:hAnsi="宋体" w:cs="宋体"/>
                <w:kern w:val="0"/>
                <w:sz w:val="24"/>
              </w:rPr>
              <w:t>执行</w:t>
            </w:r>
          </w:p>
          <w:p>
            <w:pPr>
              <w:widowControl/>
              <w:jc w:val="center"/>
              <w:rPr>
                <w:rFonts w:ascii="宋体" w:hAnsi="宋体" w:cs="宋体"/>
                <w:kern w:val="0"/>
                <w:sz w:val="24"/>
              </w:rPr>
            </w:pPr>
            <w:r>
              <w:rPr>
                <w:rFonts w:hint="eastAsia" w:ascii="宋体" w:hAnsi="宋体" w:cs="宋体"/>
                <w:kern w:val="0"/>
                <w:sz w:val="24"/>
              </w:rPr>
              <w:t>情况</w:t>
            </w:r>
          </w:p>
          <w:p>
            <w:pPr>
              <w:widowControl/>
              <w:jc w:val="center"/>
              <w:rPr>
                <w:rFonts w:ascii="宋体" w:hAnsi="宋体" w:cs="宋体"/>
                <w:kern w:val="0"/>
                <w:sz w:val="24"/>
              </w:rPr>
            </w:pPr>
            <w:r>
              <w:rPr>
                <w:rFonts w:hint="eastAsia" w:ascii="宋体" w:hAnsi="宋体" w:cs="宋体"/>
                <w:kern w:val="0"/>
                <w:sz w:val="16"/>
                <w:szCs w:val="16"/>
              </w:rPr>
              <w:t>（万元）</w:t>
            </w:r>
          </w:p>
        </w:tc>
        <w:tc>
          <w:tcPr>
            <w:tcW w:w="340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1674"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358.8</w:t>
            </w:r>
          </w:p>
        </w:tc>
        <w:tc>
          <w:tcPr>
            <w:tcW w:w="2334"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 执行数：</w:t>
            </w:r>
          </w:p>
        </w:tc>
        <w:tc>
          <w:tcPr>
            <w:tcW w:w="262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350.9637</w:t>
            </w:r>
          </w:p>
        </w:tc>
      </w:tr>
      <w:tr>
        <w:tblPrEx>
          <w:tblCellMar>
            <w:top w:w="0" w:type="dxa"/>
            <w:left w:w="108" w:type="dxa"/>
            <w:bottom w:w="0" w:type="dxa"/>
            <w:right w:w="108" w:type="dxa"/>
          </w:tblCellMar>
        </w:tblPrEx>
        <w:trPr>
          <w:trHeight w:val="559"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404"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6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358.8</w:t>
            </w: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其中：财政拨款</w:t>
            </w:r>
          </w:p>
        </w:tc>
        <w:tc>
          <w:tcPr>
            <w:tcW w:w="262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350.9637</w:t>
            </w:r>
          </w:p>
        </w:tc>
      </w:tr>
      <w:tr>
        <w:tblPrEx>
          <w:tblCellMar>
            <w:top w:w="0" w:type="dxa"/>
            <w:left w:w="108" w:type="dxa"/>
            <w:bottom w:w="0" w:type="dxa"/>
            <w:right w:w="108" w:type="dxa"/>
          </w:tblCellMar>
        </w:tblPrEx>
        <w:trPr>
          <w:trHeight w:val="559"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404"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674"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3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其他资金</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目标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507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96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983"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5078" w:type="dxa"/>
            <w:gridSpan w:val="5"/>
            <w:tcBorders>
              <w:top w:val="single" w:color="auto" w:sz="4" w:space="0"/>
              <w:left w:val="nil"/>
              <w:bottom w:val="single" w:color="auto" w:sz="4" w:space="0"/>
              <w:right w:val="nil"/>
            </w:tcBorders>
            <w:shd w:val="clear" w:color="auto" w:fill="auto"/>
          </w:tcPr>
          <w:p>
            <w:pPr>
              <w:widowControl/>
              <w:jc w:val="left"/>
              <w:rPr>
                <w:rFonts w:ascii="宋体" w:hAnsi="宋体" w:cs="宋体"/>
                <w:kern w:val="0"/>
                <w:sz w:val="24"/>
              </w:rPr>
            </w:pPr>
            <w:r>
              <w:rPr>
                <w:rFonts w:hint="eastAsia" w:ascii="宋体" w:hAnsi="宋体" w:cs="宋体"/>
                <w:kern w:val="0"/>
                <w:sz w:val="24"/>
              </w:rPr>
              <w:t>项目内容有应急指挥平台改造、城市电子监控标清点位改造，交通违法抓拍系统改造、动力系统改造等。为保证公安业务的持续使用效果，节约建设成本，避免重复建设和充分利用原建设的成果，必须保证新周期的运维服务采购与原有项目一致性和服务配套，根据《政府采购法》第三十一条第一款，特向我市政府采购管理部门申请该项目采用单一来源方式进行采购。经政府采购管理部门进行了网上公示无异议，批复同意我局采用单一来源方式进行项目采购。该项目采购编号为：5108012019000342。项目服务周期为三年，合同一年一签。广元市公安局应急联动指挥系统运维服务采购项目运行稳定，提高了城市治安综合防控能力，提高了城市智能交通管理水平，提高了公安科技信息化水平。</w:t>
            </w:r>
          </w:p>
        </w:tc>
        <w:tc>
          <w:tcPr>
            <w:tcW w:w="4961"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项目已经建设完成投入正常运行。该项目保障了我市公安信息网、互联网、公安视频专网等网络及办公固定电话的正常运行及维护管理。</w:t>
            </w:r>
          </w:p>
        </w:tc>
      </w:tr>
      <w:tr>
        <w:tblPrEx>
          <w:tblCellMar>
            <w:top w:w="0" w:type="dxa"/>
            <w:left w:w="108" w:type="dxa"/>
            <w:bottom w:w="0" w:type="dxa"/>
            <w:right w:w="108" w:type="dxa"/>
          </w:tblCellMar>
        </w:tblPrEx>
        <w:trPr>
          <w:trHeight w:val="1020" w:hRule="atLeast"/>
        </w:trPr>
        <w:tc>
          <w:tcPr>
            <w:tcW w:w="87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绩效</w:t>
            </w:r>
          </w:p>
          <w:p>
            <w:pPr>
              <w:widowControl/>
              <w:jc w:val="center"/>
              <w:rPr>
                <w:rFonts w:ascii="宋体" w:hAnsi="宋体" w:cs="宋体"/>
                <w:kern w:val="0"/>
                <w:sz w:val="24"/>
              </w:rPr>
            </w:pPr>
            <w:r>
              <w:rPr>
                <w:rFonts w:hint="eastAsia" w:ascii="宋体" w:hAnsi="宋体" w:cs="宋体"/>
                <w:kern w:val="0"/>
                <w:sz w:val="24"/>
              </w:rPr>
              <w:t>指标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9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23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未完成原因及改进措施</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13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运行视频监控数(个)</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运行电警设备数（处）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17</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17</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运行显示屏幕数（块）</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接处警系统运行合格率</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98%</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视频显示系统运行合格率</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98%</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电警平台系统运行合格率</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98%</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设备租赁使用期限</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运行考核时间</w:t>
            </w:r>
          </w:p>
        </w:tc>
        <w:tc>
          <w:tcPr>
            <w:tcW w:w="1701"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每月末</w:t>
            </w:r>
          </w:p>
        </w:tc>
        <w:tc>
          <w:tcPr>
            <w:tcW w:w="186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每月末</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故障排除时间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4小时内</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3小时内</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感知前端设备用电成本</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10万元/年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10万元/年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通讯链路租赁成本</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350万元/年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342.17万元/年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合同招标节约资金</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城市交通管理成本</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100万元/年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100万元/年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p>
          <w:p>
            <w:pPr>
              <w:widowControl/>
              <w:jc w:val="center"/>
              <w:rPr>
                <w:rFonts w:ascii="宋体" w:hAnsi="宋体" w:cs="宋体"/>
                <w:kern w:val="0"/>
                <w:sz w:val="24"/>
              </w:rPr>
            </w:pPr>
            <w:r>
              <w:rPr>
                <w:rFonts w:hint="eastAsia" w:ascii="宋体" w:hAnsi="宋体" w:cs="宋体"/>
                <w:kern w:val="0"/>
                <w:sz w:val="24"/>
              </w:rPr>
              <w:t>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自建成本节约额</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350万元</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350万元</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街面案件群众财产损失额</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﹤300万元</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241万元</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巡防办案经费节支额</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﹤100万元</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85万元</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p>
          <w:p>
            <w:pPr>
              <w:widowControl/>
              <w:jc w:val="center"/>
              <w:rPr>
                <w:rFonts w:ascii="宋体" w:hAnsi="宋体" w:cs="宋体"/>
                <w:kern w:val="0"/>
                <w:sz w:val="24"/>
              </w:rPr>
            </w:pPr>
            <w:r>
              <w:rPr>
                <w:rFonts w:hint="eastAsia" w:ascii="宋体" w:hAnsi="宋体" w:cs="宋体"/>
                <w:kern w:val="0"/>
                <w:sz w:val="24"/>
              </w:rPr>
              <w:t>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治安防控一体化</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实现城区治安防控多维一体化</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实现城区治安防控多维一体化</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智能交通管理</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建成集成化交通管理模式。</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建成集成化交通管理模式。</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最安全城市</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入选“全国最安全城市”之一</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入选“全国最安全城市”之一</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p>
          <w:p>
            <w:pPr>
              <w:widowControl/>
              <w:jc w:val="center"/>
              <w:rPr>
                <w:rFonts w:ascii="宋体" w:hAnsi="宋体" w:cs="宋体"/>
                <w:kern w:val="0"/>
                <w:sz w:val="24"/>
              </w:rPr>
            </w:pPr>
            <w:r>
              <w:rPr>
                <w:rFonts w:hint="eastAsia" w:ascii="宋体" w:hAnsi="宋体" w:cs="宋体"/>
                <w:kern w:val="0"/>
                <w:sz w:val="24"/>
              </w:rPr>
              <w:t>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减少环境污染</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实时监督污染环境违法行为</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实时监督污染环境违法行为</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绿色环保办公</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智能监控管理，减少办案废气等排放。</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智能监控管理，减少办案废气等排放。</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设备公害</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无公害，均为3C产品</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无公害，均为3C产品</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p>
          <w:p>
            <w:pPr>
              <w:widowControl/>
              <w:jc w:val="center"/>
              <w:rPr>
                <w:rFonts w:ascii="宋体" w:hAnsi="宋体" w:cs="宋体"/>
                <w:kern w:val="0"/>
                <w:sz w:val="24"/>
              </w:rPr>
            </w:pPr>
            <w:r>
              <w:rPr>
                <w:rFonts w:hint="eastAsia" w:ascii="宋体" w:hAnsi="宋体" w:cs="宋体"/>
                <w:kern w:val="0"/>
                <w:sz w:val="24"/>
              </w:rPr>
              <w:t>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服务治安管控长期化</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巡逻防控网格化</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交通管理集约化</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≧8年</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≧8年</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p>
          <w:p>
            <w:pPr>
              <w:widowControl/>
              <w:jc w:val="center"/>
              <w:rPr>
                <w:rFonts w:ascii="宋体" w:hAnsi="宋体" w:cs="宋体"/>
                <w:kern w:val="0"/>
                <w:sz w:val="24"/>
              </w:rPr>
            </w:pPr>
            <w:r>
              <w:rPr>
                <w:rFonts w:hint="eastAsia" w:ascii="宋体" w:hAnsi="宋体" w:cs="宋体"/>
                <w:kern w:val="0"/>
                <w:sz w:val="24"/>
              </w:rPr>
              <w:t>指标</w:t>
            </w:r>
          </w:p>
        </w:tc>
        <w:tc>
          <w:tcPr>
            <w:tcW w:w="113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群众对社会公共安全的满意度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98%</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政府管理社会服务群众的满意度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98%</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民警使用信息化手段的满意度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6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宋体" w:hAnsi="宋体" w:cs="宋体"/>
                <w:kern w:val="0"/>
                <w:sz w:val="24"/>
              </w:rPr>
              <w:t>98%</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10915" w:type="dxa"/>
            <w:gridSpan w:val="10"/>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r>
    </w:tbl>
    <w:p>
      <w:pPr>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2021年度人口信息</w:t>
      </w:r>
      <w:r>
        <w:rPr>
          <w:rFonts w:ascii="方正小标宋简体" w:hAnsi="宋体" w:eastAsia="方正小标宋简体"/>
          <w:kern w:val="0"/>
          <w:sz w:val="44"/>
          <w:szCs w:val="44"/>
        </w:rPr>
        <w:t>业务</w:t>
      </w:r>
      <w:r>
        <w:rPr>
          <w:rFonts w:hint="eastAsia" w:ascii="方正小标宋简体" w:hAnsi="宋体" w:eastAsia="方正小标宋简体"/>
          <w:kern w:val="0"/>
          <w:sz w:val="44"/>
          <w:szCs w:val="44"/>
        </w:rPr>
        <w:t>备份</w:t>
      </w:r>
      <w:r>
        <w:rPr>
          <w:rFonts w:ascii="方正小标宋简体" w:hAnsi="宋体" w:eastAsia="方正小标宋简体"/>
          <w:kern w:val="0"/>
          <w:sz w:val="44"/>
          <w:szCs w:val="44"/>
        </w:rPr>
        <w:t>资源库（</w:t>
      </w:r>
      <w:r>
        <w:rPr>
          <w:rFonts w:hint="eastAsia" w:ascii="方正小标宋简体" w:hAnsi="宋体" w:eastAsia="方正小标宋简体"/>
          <w:kern w:val="0"/>
          <w:sz w:val="44"/>
          <w:szCs w:val="44"/>
        </w:rPr>
        <w:t>硬件</w:t>
      </w:r>
      <w:r>
        <w:rPr>
          <w:rFonts w:ascii="方正小标宋简体" w:hAnsi="宋体" w:eastAsia="方正小标宋简体"/>
          <w:kern w:val="0"/>
          <w:sz w:val="44"/>
          <w:szCs w:val="44"/>
        </w:rPr>
        <w:t>）</w:t>
      </w:r>
      <w:r>
        <w:rPr>
          <w:rFonts w:hint="eastAsia" w:ascii="方正小标宋简体" w:hAnsi="宋体" w:eastAsia="方正小标宋简体"/>
          <w:kern w:val="0"/>
          <w:sz w:val="44"/>
          <w:szCs w:val="44"/>
        </w:rPr>
        <w:t>项目绩效自评报告</w:t>
      </w:r>
    </w:p>
    <w:p>
      <w:pPr>
        <w:spacing w:line="600" w:lineRule="exact"/>
        <w:jc w:val="center"/>
        <w:rPr>
          <w:rFonts w:ascii="方正小标宋简体" w:hAnsi="宋体" w:eastAsia="方正小标宋简体"/>
          <w:kern w:val="0"/>
          <w:sz w:val="44"/>
          <w:szCs w:val="44"/>
        </w:rPr>
      </w:pPr>
    </w:p>
    <w:p>
      <w:pPr>
        <w:adjustRightInd w:val="0"/>
        <w:snapToGrid w:val="0"/>
        <w:spacing w:line="600" w:lineRule="exact"/>
        <w:ind w:firstLine="720"/>
        <w:rPr>
          <w:rFonts w:ascii="黑体" w:hAnsi="黑体" w:eastAsia="黑体" w:cs="黑体"/>
          <w:bCs/>
          <w:sz w:val="32"/>
          <w:szCs w:val="32"/>
        </w:rPr>
      </w:pPr>
      <w:r>
        <w:rPr>
          <w:rFonts w:hint="eastAsia" w:ascii="黑体" w:hAnsi="黑体" w:eastAsia="黑体" w:cs="黑体"/>
          <w:bCs/>
          <w:sz w:val="32"/>
          <w:szCs w:val="32"/>
        </w:rPr>
        <w:t>一、项目概况</w:t>
      </w:r>
    </w:p>
    <w:p>
      <w:pPr>
        <w:adjustRightInd w:val="0"/>
        <w:snapToGrid w:val="0"/>
        <w:spacing w:line="600" w:lineRule="exact"/>
        <w:ind w:firstLine="643" w:firstLineChars="200"/>
        <w:rPr>
          <w:rFonts w:ascii="楷体" w:hAnsi="楷体" w:eastAsia="楷体" w:cs="楷体_GB2312"/>
          <w:b/>
          <w:bCs/>
          <w:sz w:val="32"/>
          <w:szCs w:val="32"/>
          <w:lang w:val="zh-CN"/>
        </w:rPr>
      </w:pPr>
      <w:r>
        <w:rPr>
          <w:rFonts w:hint="eastAsia" w:ascii="楷体" w:hAnsi="楷体" w:eastAsia="楷体" w:cs="楷体_GB2312"/>
          <w:b/>
          <w:bCs/>
          <w:sz w:val="32"/>
          <w:szCs w:val="32"/>
          <w:lang w:val="zh-CN"/>
        </w:rPr>
        <w:t>（一）项目基本情况</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1.市公安局主要对项目资金执行进度、项目资金使用情况进行监督，对资金的使用及报销进行审核。</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2.依据市公安局《广元解决人口信息业务备份资源库项目建设资金的请示》（广公〔2017〕88号），经市政府相关领导签批同意实施（见2018年B1608号收文处理笺）。对市公安局看守所公务经费项目进行立项申报。</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 市公安局于2017年10月23日向市政府上报了《广元解决人口信息业务备份资源库项目建设资金的请示》（广公〔2017〕88号）。经市政府相关领导签批同意实施（见2018年B1608号收文处理笺）,对项目资金进行管理，严格按照规定的范围支持和审核资金的支付。</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4.按照项目的使用范围，坚持实事求是的原则，严格资金使用和分配。</w:t>
      </w:r>
    </w:p>
    <w:p>
      <w:pPr>
        <w:adjustRightInd w:val="0"/>
        <w:snapToGrid w:val="0"/>
        <w:spacing w:line="600" w:lineRule="exact"/>
        <w:ind w:firstLine="643" w:firstLineChars="200"/>
        <w:rPr>
          <w:rFonts w:ascii="楷体" w:hAnsi="楷体" w:eastAsia="楷体" w:cs="楷体_GB2312"/>
          <w:b/>
          <w:bCs/>
          <w:sz w:val="32"/>
          <w:szCs w:val="32"/>
          <w:lang w:val="zh-CN"/>
        </w:rPr>
      </w:pPr>
      <w:r>
        <w:rPr>
          <w:rFonts w:hint="eastAsia" w:ascii="楷体" w:hAnsi="楷体" w:eastAsia="楷体" w:cs="楷体_GB2312"/>
          <w:b/>
          <w:bCs/>
          <w:sz w:val="32"/>
          <w:szCs w:val="32"/>
          <w:lang w:val="zh-CN"/>
        </w:rPr>
        <w:t>（二）项目绩效目标</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 包括</w:t>
      </w:r>
      <w:r>
        <w:rPr>
          <w:rFonts w:ascii="仿宋_GB2312" w:hAnsi="仿宋" w:eastAsia="仿宋_GB2312"/>
          <w:sz w:val="32"/>
          <w:szCs w:val="32"/>
        </w:rPr>
        <w:t>磁盘阵列</w:t>
      </w:r>
      <w:r>
        <w:rPr>
          <w:rFonts w:hint="eastAsia" w:ascii="仿宋_GB2312" w:hAnsi="仿宋" w:eastAsia="仿宋_GB2312"/>
          <w:sz w:val="32"/>
          <w:szCs w:val="32"/>
        </w:rPr>
        <w:t>2台</w:t>
      </w:r>
      <w:r>
        <w:rPr>
          <w:rFonts w:ascii="仿宋_GB2312" w:hAnsi="仿宋" w:eastAsia="仿宋_GB2312"/>
          <w:sz w:val="32"/>
          <w:szCs w:val="32"/>
        </w:rPr>
        <w:t>，</w:t>
      </w:r>
      <w:r>
        <w:rPr>
          <w:rFonts w:hint="eastAsia" w:ascii="仿宋_GB2312" w:hAnsi="仿宋" w:eastAsia="仿宋_GB2312"/>
          <w:sz w:val="32"/>
          <w:szCs w:val="32"/>
        </w:rPr>
        <w:t>SAN交互</w:t>
      </w:r>
      <w:r>
        <w:rPr>
          <w:rFonts w:ascii="仿宋_GB2312" w:hAnsi="仿宋" w:eastAsia="仿宋_GB2312"/>
          <w:sz w:val="32"/>
          <w:szCs w:val="32"/>
        </w:rPr>
        <w:t>终端</w:t>
      </w:r>
      <w:r>
        <w:rPr>
          <w:rFonts w:hint="eastAsia" w:ascii="仿宋_GB2312" w:hAnsi="仿宋" w:eastAsia="仿宋_GB2312"/>
          <w:sz w:val="32"/>
          <w:szCs w:val="32"/>
        </w:rPr>
        <w:t>2台</w:t>
      </w:r>
      <w:r>
        <w:rPr>
          <w:rFonts w:ascii="仿宋_GB2312" w:hAnsi="仿宋" w:eastAsia="仿宋_GB2312"/>
          <w:sz w:val="32"/>
          <w:szCs w:val="32"/>
        </w:rPr>
        <w:t>，web应用安全网关</w:t>
      </w:r>
      <w:r>
        <w:rPr>
          <w:rFonts w:hint="eastAsia" w:ascii="仿宋_GB2312" w:hAnsi="仿宋" w:eastAsia="仿宋_GB2312"/>
          <w:sz w:val="32"/>
          <w:szCs w:val="32"/>
        </w:rPr>
        <w:t>1台</w:t>
      </w:r>
      <w:r>
        <w:rPr>
          <w:rFonts w:ascii="仿宋_GB2312" w:hAnsi="仿宋" w:eastAsia="仿宋_GB2312"/>
          <w:sz w:val="32"/>
          <w:szCs w:val="32"/>
        </w:rPr>
        <w:t>，</w:t>
      </w:r>
      <w:r>
        <w:rPr>
          <w:rFonts w:hint="eastAsia" w:ascii="仿宋_GB2312" w:hAnsi="仿宋" w:eastAsia="仿宋_GB2312"/>
          <w:sz w:val="32"/>
          <w:szCs w:val="32"/>
        </w:rPr>
        <w:t>以及</w:t>
      </w:r>
      <w:r>
        <w:rPr>
          <w:rFonts w:ascii="仿宋_GB2312" w:hAnsi="仿宋" w:eastAsia="仿宋_GB2312"/>
          <w:sz w:val="32"/>
          <w:szCs w:val="32"/>
        </w:rPr>
        <w:t>以上设备的</w:t>
      </w:r>
      <w:r>
        <w:rPr>
          <w:rFonts w:hint="eastAsia" w:ascii="仿宋_GB2312" w:hAnsi="仿宋" w:eastAsia="仿宋_GB2312"/>
          <w:sz w:val="32"/>
          <w:szCs w:val="32"/>
        </w:rPr>
        <w:t>安装</w:t>
      </w:r>
      <w:r>
        <w:rPr>
          <w:rFonts w:ascii="仿宋_GB2312" w:hAnsi="仿宋" w:eastAsia="仿宋_GB2312"/>
          <w:sz w:val="32"/>
          <w:szCs w:val="32"/>
        </w:rPr>
        <w:t>部署实施及</w:t>
      </w:r>
      <w:r>
        <w:rPr>
          <w:rFonts w:hint="eastAsia" w:ascii="仿宋_GB2312" w:hAnsi="仿宋" w:eastAsia="仿宋_GB2312"/>
          <w:sz w:val="32"/>
          <w:szCs w:val="32"/>
        </w:rPr>
        <w:t>3年</w:t>
      </w:r>
      <w:r>
        <w:rPr>
          <w:rFonts w:ascii="仿宋_GB2312" w:hAnsi="仿宋" w:eastAsia="仿宋_GB2312"/>
          <w:sz w:val="32"/>
          <w:szCs w:val="32"/>
        </w:rPr>
        <w:t>原厂免费维保。</w:t>
      </w:r>
      <w:r>
        <w:rPr>
          <w:rFonts w:hint="eastAsia" w:ascii="仿宋_GB2312" w:hAnsi="仿宋" w:eastAsia="仿宋_GB2312"/>
          <w:bCs/>
          <w:sz w:val="32"/>
          <w:szCs w:val="32"/>
        </w:rPr>
        <w:t>项目中标价格为</w:t>
      </w:r>
      <w:r>
        <w:rPr>
          <w:rFonts w:ascii="仿宋_GB2312" w:hAnsi="仿宋" w:eastAsia="仿宋_GB2312"/>
          <w:bCs/>
          <w:sz w:val="32"/>
          <w:szCs w:val="32"/>
        </w:rPr>
        <w:t>136.77</w:t>
      </w:r>
      <w:r>
        <w:rPr>
          <w:rFonts w:hint="eastAsia" w:ascii="仿宋_GB2312" w:hAnsi="仿宋" w:eastAsia="仿宋_GB2312"/>
          <w:bCs/>
          <w:sz w:val="32"/>
          <w:szCs w:val="32"/>
        </w:rPr>
        <w:t>万元。</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 相关设备设施已</w:t>
      </w:r>
      <w:r>
        <w:rPr>
          <w:rFonts w:hint="eastAsia" w:ascii="仿宋_GB2312" w:hAnsi="仿宋" w:eastAsia="仿宋_GB2312"/>
          <w:sz w:val="32"/>
          <w:szCs w:val="32"/>
          <w:lang w:eastAsia="zh-CN"/>
        </w:rPr>
        <w:t>建成</w:t>
      </w:r>
      <w:r>
        <w:rPr>
          <w:rFonts w:hint="eastAsia" w:ascii="仿宋_GB2312" w:hAnsi="仿宋" w:eastAsia="仿宋_GB2312"/>
          <w:sz w:val="32"/>
          <w:szCs w:val="32"/>
        </w:rPr>
        <w:t>并投入正常使用已经有</w:t>
      </w:r>
      <w:r>
        <w:rPr>
          <w:rFonts w:ascii="仿宋_GB2312" w:hAnsi="仿宋" w:eastAsia="仿宋_GB2312"/>
          <w:sz w:val="32"/>
          <w:szCs w:val="32"/>
        </w:rPr>
        <w:t>1</w:t>
      </w:r>
      <w:r>
        <w:rPr>
          <w:rFonts w:hint="eastAsia" w:ascii="仿宋_GB2312" w:hAnsi="仿宋" w:eastAsia="仿宋_GB2312"/>
          <w:sz w:val="32"/>
          <w:szCs w:val="32"/>
        </w:rPr>
        <w:t>年多时间。</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3.由市公安局采购办组织警保、审计、纪检及项目业务警种责任部门科信办，对照项目立项、采购招标、合同和项目应用情况开展项目自查和效益评估。申报内容与实际相符，申报目标合理可行。</w:t>
      </w:r>
    </w:p>
    <w:p>
      <w:pPr>
        <w:adjustRightInd w:val="0"/>
        <w:snapToGrid w:val="0"/>
        <w:spacing w:line="600" w:lineRule="exact"/>
        <w:ind w:firstLine="643" w:firstLineChars="200"/>
        <w:rPr>
          <w:rFonts w:ascii="楷体" w:hAnsi="楷体" w:eastAsia="楷体" w:cs="楷体_GB2312"/>
          <w:b/>
          <w:bCs/>
          <w:sz w:val="32"/>
          <w:szCs w:val="32"/>
          <w:lang w:val="zh-CN"/>
        </w:rPr>
      </w:pPr>
      <w:r>
        <w:rPr>
          <w:rFonts w:hint="eastAsia" w:ascii="楷体" w:hAnsi="楷体" w:eastAsia="楷体" w:cs="楷体_GB2312"/>
          <w:b/>
          <w:bCs/>
          <w:sz w:val="32"/>
          <w:szCs w:val="32"/>
          <w:lang w:val="zh-CN"/>
        </w:rPr>
        <w:t>（三）项目自评步骤及方法</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 w:eastAsia="仿宋_GB2312"/>
          <w:kern w:val="0"/>
          <w:sz w:val="32"/>
          <w:szCs w:val="32"/>
        </w:rPr>
        <w:t>市局纪委</w:t>
      </w:r>
      <w:r>
        <w:rPr>
          <w:rFonts w:hint="eastAsia" w:ascii="仿宋_GB2312" w:hAnsi="仿宋" w:eastAsia="仿宋_GB2312"/>
          <w:sz w:val="32"/>
          <w:szCs w:val="32"/>
        </w:rPr>
        <w:t>及经费预算申报项目单位等，严格按照市财政局项目绩效评价体系对项目进行审核，严格打分。</w:t>
      </w:r>
    </w:p>
    <w:p>
      <w:pPr>
        <w:adjustRightInd w:val="0"/>
        <w:snapToGrid w:val="0"/>
        <w:spacing w:line="600" w:lineRule="exact"/>
        <w:ind w:firstLine="640" w:firstLineChars="200"/>
        <w:rPr>
          <w:rFonts w:ascii="黑体" w:hAnsi="宋体" w:eastAsia="黑体"/>
          <w:sz w:val="32"/>
          <w:szCs w:val="32"/>
          <w:lang w:val="zh-CN"/>
        </w:rPr>
      </w:pPr>
      <w:r>
        <w:rPr>
          <w:rFonts w:hint="eastAsia" w:ascii="黑体" w:hAnsi="宋体" w:eastAsia="黑体"/>
          <w:sz w:val="32"/>
          <w:szCs w:val="32"/>
        </w:rPr>
        <w:t>二、</w:t>
      </w:r>
      <w:r>
        <w:rPr>
          <w:rFonts w:hint="eastAsia" w:ascii="黑体" w:hAnsi="宋体" w:eastAsia="黑体"/>
          <w:sz w:val="32"/>
          <w:szCs w:val="32"/>
          <w:lang w:val="zh-CN"/>
        </w:rPr>
        <w:t>项目资金申报及使用情况</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 w:eastAsia="仿宋_GB2312"/>
          <w:sz w:val="32"/>
          <w:szCs w:val="32"/>
        </w:rPr>
        <w:t>市公安局于2017年10月23日向市政府上报了《广元解决人口信息业务备份资源库项目建设资金的请示》（广公〔2017〕88号）。经市政府相关领导签批同意实施（见2018年B1608号收文处理笺）项目</w:t>
      </w:r>
      <w:r>
        <w:rPr>
          <w:rFonts w:ascii="仿宋_GB2312" w:hAnsi="仿宋" w:eastAsia="仿宋_GB2312"/>
          <w:sz w:val="32"/>
          <w:szCs w:val="32"/>
        </w:rPr>
        <w:t>金额</w:t>
      </w:r>
      <w:r>
        <w:rPr>
          <w:rFonts w:ascii="仿宋_GB2312" w:hAnsi="仿宋" w:eastAsia="仿宋_GB2312"/>
          <w:bCs/>
          <w:sz w:val="32"/>
          <w:szCs w:val="32"/>
        </w:rPr>
        <w:t>136.77</w:t>
      </w:r>
      <w:r>
        <w:rPr>
          <w:rFonts w:hint="eastAsia" w:ascii="仿宋_GB2312" w:hAnsi="仿宋" w:eastAsia="仿宋_GB2312"/>
          <w:sz w:val="32"/>
          <w:szCs w:val="32"/>
        </w:rPr>
        <w:t>万元</w:t>
      </w:r>
      <w:r>
        <w:rPr>
          <w:rFonts w:hint="eastAsia" w:ascii="仿宋_GB2312" w:hAnsi="宋体" w:eastAsia="仿宋_GB2312"/>
          <w:sz w:val="32"/>
          <w:szCs w:val="32"/>
          <w:lang w:val="zh-CN"/>
        </w:rPr>
        <w:t>。所申报资金整体用于该项目，符合资金管理办法等相关规定。</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（一）资金计划、到位及使用情况</w:t>
      </w:r>
    </w:p>
    <w:p>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．资金计划。</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由市公安局向市政府申报项目，向市财政申报项目资金</w:t>
      </w:r>
      <w:r>
        <w:rPr>
          <w:rFonts w:ascii="仿宋_GB2312" w:hAnsi="仿宋" w:eastAsia="仿宋_GB2312"/>
          <w:bCs/>
          <w:sz w:val="32"/>
          <w:szCs w:val="32"/>
        </w:rPr>
        <w:t>136.77</w:t>
      </w:r>
      <w:r>
        <w:rPr>
          <w:rFonts w:hint="eastAsia" w:ascii="仿宋_GB2312" w:hAnsi="仿宋" w:eastAsia="仿宋_GB2312"/>
          <w:sz w:val="32"/>
          <w:szCs w:val="32"/>
        </w:rPr>
        <w:t>万元，财政批复</w:t>
      </w:r>
      <w:r>
        <w:rPr>
          <w:rFonts w:ascii="仿宋_GB2312" w:hAnsi="仿宋" w:eastAsia="仿宋_GB2312"/>
          <w:bCs/>
          <w:sz w:val="32"/>
          <w:szCs w:val="32"/>
        </w:rPr>
        <w:t>136.77</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2．资金到位。</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该项目资金到位率100%，到位及时率100%。</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3．资金使用。</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资金支付范围、支付标准、支付进度、支付依据等合规合法、与预算相符，执行率100%。</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本项目财务管理制度健全，严格执行财务管理制度，账务处理及时，会计核算规范。</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项目业务警种责任部门科信办整体负责项目的建设、应用。采购办组织警保、审计、纪检负责项目的采购招标、合同和效益监督。</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本项目是严格按照相关法律法规及项目管理制度予以推进实施。</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市公安局警保、审计、纪检从项目的立项环节开始全程参与并实施对项目的程序监督、效益监督。</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四、项目绩效情况</w:t>
      </w:r>
      <w:r>
        <w:rPr>
          <w:rFonts w:ascii="黑体" w:hAnsi="宋体" w:eastAsia="黑体"/>
          <w:sz w:val="32"/>
          <w:szCs w:val="32"/>
        </w:rPr>
        <w:tab/>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包括</w:t>
      </w:r>
      <w:r>
        <w:rPr>
          <w:rFonts w:ascii="仿宋_GB2312" w:hAnsi="宋体" w:eastAsia="仿宋_GB2312"/>
          <w:sz w:val="32"/>
          <w:szCs w:val="32"/>
          <w:lang w:val="zh-CN"/>
        </w:rPr>
        <w:t>磁盘阵列</w:t>
      </w:r>
      <w:r>
        <w:rPr>
          <w:rFonts w:hint="eastAsia" w:ascii="仿宋_GB2312" w:hAnsi="宋体" w:eastAsia="仿宋_GB2312"/>
          <w:sz w:val="32"/>
          <w:szCs w:val="32"/>
          <w:lang w:val="zh-CN"/>
        </w:rPr>
        <w:t>2台</w:t>
      </w:r>
      <w:r>
        <w:rPr>
          <w:rFonts w:ascii="仿宋_GB2312" w:hAnsi="宋体" w:eastAsia="仿宋_GB2312"/>
          <w:sz w:val="32"/>
          <w:szCs w:val="32"/>
          <w:lang w:val="zh-CN"/>
        </w:rPr>
        <w:t>，</w:t>
      </w:r>
      <w:r>
        <w:rPr>
          <w:rFonts w:hint="eastAsia" w:ascii="仿宋_GB2312" w:hAnsi="宋体" w:eastAsia="仿宋_GB2312"/>
          <w:sz w:val="32"/>
          <w:szCs w:val="32"/>
          <w:lang w:val="zh-CN"/>
        </w:rPr>
        <w:t>SAN交互</w:t>
      </w:r>
      <w:r>
        <w:rPr>
          <w:rFonts w:ascii="仿宋_GB2312" w:hAnsi="宋体" w:eastAsia="仿宋_GB2312"/>
          <w:sz w:val="32"/>
          <w:szCs w:val="32"/>
          <w:lang w:val="zh-CN"/>
        </w:rPr>
        <w:t>终端</w:t>
      </w:r>
      <w:r>
        <w:rPr>
          <w:rFonts w:hint="eastAsia" w:ascii="仿宋_GB2312" w:hAnsi="宋体" w:eastAsia="仿宋_GB2312"/>
          <w:sz w:val="32"/>
          <w:szCs w:val="32"/>
          <w:lang w:val="zh-CN"/>
        </w:rPr>
        <w:t>2台</w:t>
      </w:r>
      <w:r>
        <w:rPr>
          <w:rFonts w:ascii="仿宋_GB2312" w:hAnsi="宋体" w:eastAsia="仿宋_GB2312"/>
          <w:sz w:val="32"/>
          <w:szCs w:val="32"/>
          <w:lang w:val="zh-CN"/>
        </w:rPr>
        <w:t>，web应用安全网关</w:t>
      </w:r>
      <w:r>
        <w:rPr>
          <w:rFonts w:hint="eastAsia" w:ascii="仿宋_GB2312" w:hAnsi="宋体" w:eastAsia="仿宋_GB2312"/>
          <w:sz w:val="32"/>
          <w:szCs w:val="32"/>
          <w:lang w:val="zh-CN"/>
        </w:rPr>
        <w:t>1台</w:t>
      </w:r>
      <w:r>
        <w:rPr>
          <w:rFonts w:ascii="仿宋_GB2312" w:hAnsi="宋体" w:eastAsia="仿宋_GB2312"/>
          <w:sz w:val="32"/>
          <w:szCs w:val="32"/>
          <w:lang w:val="zh-CN"/>
        </w:rPr>
        <w:t>，</w:t>
      </w:r>
      <w:r>
        <w:rPr>
          <w:rFonts w:hint="eastAsia" w:ascii="仿宋_GB2312" w:hAnsi="宋体" w:eastAsia="仿宋_GB2312"/>
          <w:sz w:val="32"/>
          <w:szCs w:val="32"/>
          <w:lang w:val="zh-CN"/>
        </w:rPr>
        <w:t>以及</w:t>
      </w:r>
      <w:r>
        <w:rPr>
          <w:rFonts w:ascii="仿宋_GB2312" w:hAnsi="宋体" w:eastAsia="仿宋_GB2312"/>
          <w:sz w:val="32"/>
          <w:szCs w:val="32"/>
          <w:lang w:val="zh-CN"/>
        </w:rPr>
        <w:t>以上设备的</w:t>
      </w:r>
      <w:r>
        <w:rPr>
          <w:rFonts w:hint="eastAsia" w:ascii="仿宋_GB2312" w:hAnsi="宋体" w:eastAsia="仿宋_GB2312"/>
          <w:sz w:val="32"/>
          <w:szCs w:val="32"/>
          <w:lang w:val="zh-CN"/>
        </w:rPr>
        <w:t>安装</w:t>
      </w:r>
      <w:r>
        <w:rPr>
          <w:rFonts w:ascii="仿宋_GB2312" w:hAnsi="宋体" w:eastAsia="仿宋_GB2312"/>
          <w:sz w:val="32"/>
          <w:szCs w:val="32"/>
          <w:lang w:val="zh-CN"/>
        </w:rPr>
        <w:t>部署实施及</w:t>
      </w:r>
      <w:r>
        <w:rPr>
          <w:rFonts w:hint="eastAsia" w:ascii="仿宋_GB2312" w:hAnsi="宋体" w:eastAsia="仿宋_GB2312"/>
          <w:sz w:val="32"/>
          <w:szCs w:val="32"/>
          <w:lang w:val="zh-CN"/>
        </w:rPr>
        <w:t>3年</w:t>
      </w:r>
      <w:r>
        <w:rPr>
          <w:rFonts w:ascii="仿宋_GB2312" w:hAnsi="宋体" w:eastAsia="仿宋_GB2312"/>
          <w:sz w:val="32"/>
          <w:szCs w:val="32"/>
          <w:lang w:val="zh-CN"/>
        </w:rPr>
        <w:t>原厂免费维保。</w:t>
      </w:r>
      <w:r>
        <w:rPr>
          <w:rFonts w:hint="eastAsia" w:ascii="仿宋_GB2312" w:hAnsi="宋体" w:eastAsia="仿宋_GB2312"/>
          <w:sz w:val="32"/>
          <w:szCs w:val="32"/>
          <w:lang w:val="zh-CN"/>
        </w:rPr>
        <w:t>完成质量：设备全部合格；设备</w:t>
      </w:r>
      <w:r>
        <w:rPr>
          <w:rFonts w:ascii="仿宋_GB2312" w:hAnsi="宋体" w:eastAsia="仿宋_GB2312"/>
          <w:sz w:val="32"/>
          <w:szCs w:val="32"/>
          <w:lang w:val="zh-CN"/>
        </w:rPr>
        <w:t>的</w:t>
      </w:r>
      <w:r>
        <w:rPr>
          <w:rFonts w:hint="eastAsia" w:ascii="仿宋_GB2312" w:hAnsi="宋体" w:eastAsia="仿宋_GB2312"/>
          <w:sz w:val="32"/>
          <w:szCs w:val="32"/>
          <w:lang w:val="zh-CN"/>
        </w:rPr>
        <w:t>安装</w:t>
      </w:r>
      <w:r>
        <w:rPr>
          <w:rFonts w:ascii="仿宋_GB2312" w:hAnsi="宋体" w:eastAsia="仿宋_GB2312"/>
          <w:sz w:val="32"/>
          <w:szCs w:val="32"/>
          <w:lang w:val="zh-CN"/>
        </w:rPr>
        <w:t>部署实施</w:t>
      </w:r>
      <w:r>
        <w:rPr>
          <w:rFonts w:hint="eastAsia" w:ascii="仿宋_GB2312" w:hAnsi="宋体" w:eastAsia="仿宋_GB2312"/>
          <w:sz w:val="32"/>
          <w:szCs w:val="32"/>
          <w:lang w:val="zh-CN"/>
        </w:rPr>
        <w:t>按要求</w:t>
      </w:r>
      <w:r>
        <w:rPr>
          <w:rFonts w:ascii="仿宋_GB2312" w:hAnsi="宋体" w:eastAsia="仿宋_GB2312"/>
          <w:sz w:val="32"/>
          <w:szCs w:val="32"/>
          <w:lang w:val="zh-CN"/>
        </w:rPr>
        <w:t>完成；维保</w:t>
      </w:r>
      <w:r>
        <w:rPr>
          <w:rFonts w:hint="eastAsia" w:ascii="仿宋_GB2312" w:hAnsi="宋体" w:eastAsia="仿宋_GB2312"/>
          <w:sz w:val="32"/>
          <w:szCs w:val="32"/>
          <w:lang w:val="zh-CN"/>
        </w:rPr>
        <w:t>服务良好</w:t>
      </w:r>
      <w:r>
        <w:rPr>
          <w:rFonts w:ascii="仿宋_GB2312" w:hAnsi="宋体" w:eastAsia="仿宋_GB2312"/>
          <w:sz w:val="32"/>
          <w:szCs w:val="32"/>
          <w:lang w:val="zh-CN"/>
        </w:rPr>
        <w:t>。</w:t>
      </w:r>
      <w:r>
        <w:rPr>
          <w:rFonts w:hint="eastAsia" w:ascii="仿宋_GB2312" w:hAnsi="宋体" w:eastAsia="仿宋_GB2312"/>
          <w:sz w:val="32"/>
          <w:szCs w:val="32"/>
          <w:lang w:val="zh-CN"/>
        </w:rPr>
        <w:t>时效情况：按照</w:t>
      </w:r>
      <w:r>
        <w:rPr>
          <w:rFonts w:ascii="仿宋_GB2312" w:hAnsi="宋体" w:eastAsia="仿宋_GB2312"/>
          <w:sz w:val="32"/>
          <w:szCs w:val="32"/>
          <w:lang w:val="zh-CN"/>
        </w:rPr>
        <w:t>项目计划实施，</w:t>
      </w:r>
      <w:r>
        <w:rPr>
          <w:rFonts w:hint="eastAsia" w:ascii="仿宋_GB2312" w:hAnsi="宋体" w:eastAsia="仿宋_GB2312"/>
          <w:sz w:val="32"/>
          <w:szCs w:val="32"/>
          <w:lang w:val="zh-CN"/>
        </w:rPr>
        <w:t>售后</w:t>
      </w:r>
      <w:r>
        <w:rPr>
          <w:rFonts w:ascii="仿宋_GB2312" w:hAnsi="宋体" w:eastAsia="仿宋_GB2312"/>
          <w:sz w:val="32"/>
          <w:szCs w:val="32"/>
          <w:lang w:val="zh-CN"/>
        </w:rPr>
        <w:t>响应迅速。</w:t>
      </w:r>
      <w:r>
        <w:rPr>
          <w:rFonts w:hint="eastAsia" w:ascii="仿宋_GB2312" w:hAnsi="宋体" w:eastAsia="仿宋_GB2312"/>
          <w:sz w:val="32"/>
          <w:szCs w:val="32"/>
          <w:lang w:val="zh-CN"/>
        </w:rPr>
        <w:t>成本情况：未超出</w:t>
      </w:r>
      <w:r>
        <w:rPr>
          <w:rFonts w:ascii="仿宋_GB2312" w:hAnsi="宋体" w:eastAsia="仿宋_GB2312"/>
          <w:sz w:val="32"/>
          <w:szCs w:val="32"/>
          <w:lang w:val="zh-CN"/>
        </w:rPr>
        <w:t>项目预审，</w:t>
      </w:r>
      <w:r>
        <w:rPr>
          <w:rFonts w:hint="eastAsia" w:ascii="仿宋_GB2312" w:hAnsi="宋体" w:eastAsia="仿宋_GB2312"/>
          <w:sz w:val="32"/>
          <w:szCs w:val="32"/>
          <w:lang w:val="zh-CN"/>
        </w:rPr>
        <w:t>与同类项目比较，项目成本属于合理范围。</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为部门提供业务协同，减少工作成本开支</w:t>
      </w:r>
      <w:r>
        <w:rPr>
          <w:rFonts w:hint="eastAsia" w:ascii="仿宋_GB2312" w:hAnsi="宋体" w:eastAsia="仿宋_GB2312"/>
          <w:sz w:val="32"/>
          <w:szCs w:val="32"/>
        </w:rPr>
        <w:t>,</w:t>
      </w:r>
      <w:r>
        <w:rPr>
          <w:rFonts w:hint="eastAsia" w:ascii="仿宋_GB2312" w:hAnsi="宋体" w:eastAsia="仿宋_GB2312"/>
          <w:sz w:val="32"/>
          <w:szCs w:val="32"/>
          <w:lang w:val="zh-CN"/>
        </w:rPr>
        <w:t>综合利用硬件设备，提升了硬件使用率≥50%。服务部门社会管理，已为医保、社保等其他政府部门服务社会管理30余次。为我市各级公安机关办公办案提供数据支撑</w:t>
      </w:r>
      <w:r>
        <w:rPr>
          <w:rFonts w:hint="eastAsia" w:ascii="仿宋_GB2312" w:hAnsi="宋体" w:eastAsia="仿宋_GB2312"/>
          <w:sz w:val="32"/>
          <w:szCs w:val="32"/>
        </w:rPr>
        <w:t>,</w:t>
      </w:r>
      <w:r>
        <w:rPr>
          <w:rFonts w:hint="eastAsia" w:ascii="仿宋_GB2312" w:hAnsi="宋体" w:eastAsia="仿宋_GB2312"/>
          <w:sz w:val="32"/>
          <w:szCs w:val="32"/>
          <w:lang w:val="zh-CN"/>
        </w:rPr>
        <w:t>减少群众在政务事项办理中的出行成本</w:t>
      </w:r>
      <w:r>
        <w:rPr>
          <w:rFonts w:hint="eastAsia" w:ascii="仿宋_GB2312" w:hAnsi="宋体" w:eastAsia="仿宋_GB2312"/>
          <w:sz w:val="32"/>
          <w:szCs w:val="32"/>
        </w:rPr>
        <w:t>,</w:t>
      </w:r>
      <w:r>
        <w:rPr>
          <w:rFonts w:hint="eastAsia" w:ascii="仿宋_GB2312" w:hAnsi="宋体" w:eastAsia="仿宋_GB2312"/>
          <w:sz w:val="32"/>
          <w:szCs w:val="32"/>
          <w:lang w:val="zh-CN"/>
        </w:rPr>
        <w:t>为政府部门提供业务协同，持续为我市其他部门提供人口信息核查</w:t>
      </w:r>
      <w:r>
        <w:rPr>
          <w:rFonts w:hint="eastAsia" w:ascii="仿宋_GB2312" w:hAnsi="宋体" w:eastAsia="仿宋_GB2312"/>
          <w:sz w:val="32"/>
          <w:szCs w:val="32"/>
        </w:rPr>
        <w:t>,</w:t>
      </w:r>
      <w:r>
        <w:rPr>
          <w:rFonts w:hint="eastAsia" w:ascii="仿宋_GB2312" w:hAnsi="宋体" w:eastAsia="仿宋_GB2312"/>
          <w:sz w:val="32"/>
          <w:szCs w:val="32"/>
          <w:lang w:val="zh-CN"/>
        </w:rPr>
        <w:t>确保我市人口数据的异地备份安全</w:t>
      </w:r>
      <w:r>
        <w:rPr>
          <w:rFonts w:hint="eastAsia" w:ascii="仿宋_GB2312" w:hAnsi="宋体" w:eastAsia="仿宋_GB2312"/>
          <w:sz w:val="32"/>
          <w:szCs w:val="32"/>
        </w:rPr>
        <w:t>,</w:t>
      </w:r>
      <w:r>
        <w:rPr>
          <w:rFonts w:hint="eastAsia" w:ascii="仿宋_GB2312" w:hAnsi="宋体" w:eastAsia="仿宋_GB2312"/>
          <w:sz w:val="32"/>
          <w:szCs w:val="32"/>
          <w:lang w:val="zh-CN"/>
        </w:rPr>
        <w:t>提升了政府管理社会服务群众的满意度。</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经自评，该项目得分99分。</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本项目总体建设和应用效果很好。后期要注重设备的运维保障工作。</w:t>
      </w:r>
    </w:p>
    <w:p>
      <w:pPr>
        <w:pStyle w:val="2"/>
        <w:spacing w:before="93"/>
        <w:rPr>
          <w:lang w:val="zh-CN"/>
        </w:rPr>
      </w:pPr>
    </w:p>
    <w:tbl>
      <w:tblPr>
        <w:tblStyle w:val="12"/>
        <w:tblW w:w="10632" w:type="dxa"/>
        <w:tblInd w:w="-1026" w:type="dxa"/>
        <w:tblLayout w:type="autofit"/>
        <w:tblCellMar>
          <w:top w:w="0" w:type="dxa"/>
          <w:left w:w="108" w:type="dxa"/>
          <w:bottom w:w="0" w:type="dxa"/>
          <w:right w:w="108" w:type="dxa"/>
        </w:tblCellMar>
      </w:tblPr>
      <w:tblGrid>
        <w:gridCol w:w="876"/>
        <w:gridCol w:w="1484"/>
        <w:gridCol w:w="475"/>
        <w:gridCol w:w="1121"/>
        <w:gridCol w:w="1714"/>
        <w:gridCol w:w="1560"/>
        <w:gridCol w:w="708"/>
        <w:gridCol w:w="918"/>
        <w:gridCol w:w="1776"/>
      </w:tblGrid>
      <w:tr>
        <w:tblPrEx>
          <w:tblCellMar>
            <w:top w:w="0" w:type="dxa"/>
            <w:left w:w="108" w:type="dxa"/>
            <w:bottom w:w="0" w:type="dxa"/>
            <w:right w:w="108" w:type="dxa"/>
          </w:tblCellMar>
        </w:tblPrEx>
        <w:trPr>
          <w:trHeight w:val="540" w:hRule="atLeast"/>
        </w:trPr>
        <w:tc>
          <w:tcPr>
            <w:tcW w:w="10632" w:type="dxa"/>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项目支出绩效目标自评表</w:t>
            </w:r>
          </w:p>
        </w:tc>
      </w:tr>
      <w:tr>
        <w:tblPrEx>
          <w:tblCellMar>
            <w:top w:w="0" w:type="dxa"/>
            <w:left w:w="108" w:type="dxa"/>
            <w:bottom w:w="0" w:type="dxa"/>
            <w:right w:w="108" w:type="dxa"/>
          </w:tblCellMar>
        </w:tblPrEx>
        <w:trPr>
          <w:trHeight w:val="285" w:hRule="atLeast"/>
        </w:trPr>
        <w:tc>
          <w:tcPr>
            <w:tcW w:w="10632"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w:t>
            </w:r>
            <w:r>
              <w:rPr>
                <w:rFonts w:hint="eastAsia" w:ascii="宋体" w:hAnsi="宋体" w:cs="宋体"/>
                <w:kern w:val="0"/>
                <w:sz w:val="24"/>
              </w:rPr>
              <w:t>年度）</w:t>
            </w:r>
          </w:p>
        </w:tc>
      </w:tr>
      <w:tr>
        <w:tblPrEx>
          <w:tblCellMar>
            <w:top w:w="0" w:type="dxa"/>
            <w:left w:w="108" w:type="dxa"/>
            <w:bottom w:w="0" w:type="dxa"/>
            <w:right w:w="108" w:type="dxa"/>
          </w:tblCellMar>
        </w:tblPrEx>
        <w:trPr>
          <w:trHeight w:val="522" w:hRule="atLeast"/>
        </w:trPr>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79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人口信息业务备份资源库（硬件）项目经费</w:t>
            </w:r>
          </w:p>
        </w:tc>
      </w:tr>
      <w:tr>
        <w:tblPrEx>
          <w:tblCellMar>
            <w:top w:w="0" w:type="dxa"/>
            <w:left w:w="108" w:type="dxa"/>
            <w:bottom w:w="0" w:type="dxa"/>
            <w:right w:w="108" w:type="dxa"/>
          </w:tblCellMar>
        </w:tblPrEx>
        <w:trPr>
          <w:trHeight w:val="522" w:hRule="atLeast"/>
        </w:trPr>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实施单位</w:t>
            </w:r>
          </w:p>
        </w:tc>
        <w:tc>
          <w:tcPr>
            <w:tcW w:w="269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广元市公安局</w:t>
            </w:r>
          </w:p>
        </w:tc>
      </w:tr>
      <w:tr>
        <w:tblPrEx>
          <w:tblCellMar>
            <w:top w:w="0" w:type="dxa"/>
            <w:left w:w="108" w:type="dxa"/>
            <w:bottom w:w="0" w:type="dxa"/>
            <w:right w:w="108" w:type="dxa"/>
          </w:tblCellMar>
        </w:tblPrEx>
        <w:trPr>
          <w:trHeight w:val="522"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p>
          <w:p>
            <w:pPr>
              <w:widowControl/>
              <w:jc w:val="center"/>
              <w:rPr>
                <w:rFonts w:ascii="宋体" w:hAnsi="宋体" w:cs="宋体"/>
                <w:kern w:val="0"/>
                <w:sz w:val="24"/>
              </w:rPr>
            </w:pPr>
            <w:r>
              <w:rPr>
                <w:rFonts w:hint="eastAsia" w:ascii="宋体" w:hAnsi="宋体" w:cs="宋体"/>
                <w:kern w:val="0"/>
                <w:sz w:val="24"/>
              </w:rPr>
              <w:t>执行</w:t>
            </w:r>
          </w:p>
          <w:p>
            <w:pPr>
              <w:widowControl/>
              <w:jc w:val="center"/>
              <w:rPr>
                <w:rFonts w:ascii="宋体" w:hAnsi="宋体" w:cs="宋体"/>
                <w:kern w:val="0"/>
                <w:sz w:val="24"/>
              </w:rPr>
            </w:pPr>
            <w:r>
              <w:rPr>
                <w:rFonts w:hint="eastAsia" w:ascii="宋体" w:hAnsi="宋体" w:cs="宋体"/>
                <w:kern w:val="0"/>
                <w:sz w:val="24"/>
              </w:rPr>
              <w:t>情况</w:t>
            </w:r>
          </w:p>
          <w:p>
            <w:pPr>
              <w:widowControl/>
              <w:jc w:val="center"/>
              <w:rPr>
                <w:rFonts w:ascii="宋体" w:hAnsi="宋体" w:cs="宋体"/>
                <w:kern w:val="0"/>
                <w:sz w:val="24"/>
              </w:rPr>
            </w:pPr>
            <w:r>
              <w:rPr>
                <w:rFonts w:hint="eastAsia" w:ascii="宋体" w:hAnsi="宋体" w:cs="宋体"/>
                <w:kern w:val="0"/>
                <w:sz w:val="16"/>
                <w:szCs w:val="16"/>
              </w:rPr>
              <w:t>（万元）</w:t>
            </w: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136.77</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69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136.77</w:t>
            </w:r>
          </w:p>
        </w:tc>
      </w:tr>
      <w:tr>
        <w:tblPrEx>
          <w:tblCellMar>
            <w:top w:w="0" w:type="dxa"/>
            <w:left w:w="108" w:type="dxa"/>
            <w:bottom w:w="0" w:type="dxa"/>
            <w:right w:w="108" w:type="dxa"/>
          </w:tblCellMar>
        </w:tblPrEx>
        <w:trPr>
          <w:trHeight w:val="52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136.77</w:t>
            </w:r>
          </w:p>
        </w:tc>
        <w:tc>
          <w:tcPr>
            <w:tcW w:w="2268" w:type="dxa"/>
            <w:gridSpan w:val="2"/>
            <w:tcBorders>
              <w:top w:val="nil"/>
              <w:left w:val="nil"/>
              <w:bottom w:val="nil"/>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其中：财政拨款</w:t>
            </w:r>
          </w:p>
        </w:tc>
        <w:tc>
          <w:tcPr>
            <w:tcW w:w="269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136.77</w:t>
            </w:r>
          </w:p>
        </w:tc>
      </w:tr>
      <w:tr>
        <w:tblPrEx>
          <w:tblCellMar>
            <w:top w:w="0" w:type="dxa"/>
            <w:left w:w="108" w:type="dxa"/>
            <w:bottom w:w="0" w:type="dxa"/>
            <w:right w:w="108" w:type="dxa"/>
          </w:tblCellMar>
        </w:tblPrEx>
        <w:trPr>
          <w:trHeight w:val="52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268" w:type="dxa"/>
            <w:gridSpan w:val="2"/>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其他资金</w:t>
            </w:r>
          </w:p>
        </w:tc>
        <w:tc>
          <w:tcPr>
            <w:tcW w:w="26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22"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目标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479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962"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1140"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794" w:type="dxa"/>
            <w:gridSpan w:val="4"/>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完成人口信息业务备份资源库（硬件）采购，并部署实施。</w:t>
            </w:r>
          </w:p>
        </w:tc>
        <w:tc>
          <w:tcPr>
            <w:tcW w:w="4962" w:type="dxa"/>
            <w:gridSpan w:val="4"/>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完成了人口信息业务备份资源库（硬件）的采购，并部署实施。</w:t>
            </w:r>
          </w:p>
        </w:tc>
      </w:tr>
      <w:tr>
        <w:tblPrEx>
          <w:tblCellMar>
            <w:top w:w="0" w:type="dxa"/>
            <w:left w:w="108" w:type="dxa"/>
            <w:bottom w:w="0" w:type="dxa"/>
            <w:right w:w="108" w:type="dxa"/>
          </w:tblCellMar>
        </w:tblPrEx>
        <w:trPr>
          <w:trHeight w:val="983"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绩效</w:t>
            </w:r>
          </w:p>
          <w:p>
            <w:pPr>
              <w:widowControl/>
              <w:jc w:val="center"/>
              <w:rPr>
                <w:rFonts w:ascii="宋体" w:hAnsi="宋体" w:cs="宋体"/>
                <w:kern w:val="0"/>
                <w:sz w:val="24"/>
              </w:rPr>
            </w:pPr>
            <w:r>
              <w:rPr>
                <w:rFonts w:hint="eastAsia" w:ascii="宋体" w:hAnsi="宋体" w:cs="宋体"/>
                <w:kern w:val="0"/>
                <w:sz w:val="24"/>
              </w:rPr>
              <w:t>指标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148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指标值（包含数字及文字描述）</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实际完成指标值（包含数字及文字描述）</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未完成原因及改进措施</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指标1：磁盘阵列</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2台</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2台</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指标2：SAN 交换机</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2台</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2台</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指标3：WEB应用安全网关</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1套</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1套</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指标1：设备配置</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设备符合国家标准及技术指标</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合格</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指标2：设备运行正常率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rPr>
            </w:pPr>
            <w:r>
              <w:rPr>
                <w:rFonts w:hint="eastAsia" w:ascii="等线" w:hAnsi="宋体" w:eastAsia="等线" w:cs="宋体"/>
                <w:kern w:val="0"/>
                <w:sz w:val="24"/>
              </w:rPr>
              <w:t>≥</w:t>
            </w:r>
            <w:r>
              <w:rPr>
                <w:rFonts w:hint="eastAsia" w:ascii="宋体" w:hAnsi="宋体" w:cs="宋体"/>
                <w:kern w:val="0"/>
                <w:sz w:val="24"/>
              </w:rPr>
              <w:t>99%</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rPr>
            </w:pPr>
            <w:r>
              <w:rPr>
                <w:rFonts w:hint="eastAsia" w:ascii="等线" w:hAnsi="宋体" w:eastAsia="等线" w:cs="宋体"/>
                <w:kern w:val="0"/>
                <w:sz w:val="24"/>
              </w:rPr>
              <w:t>100%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指标3：售后服务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3年原厂7*24保修服务</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3年原厂7*24保修服务</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指标1：项目实施情况</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按照项目计划实施</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按照项目计划实施</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指标2：数据同步时间</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秒级同步</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秒级同步</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指标3：售后响应速度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2小时内响应</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2小时内响应</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硬件设备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35万元</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35万元</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控制设备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75万元</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75万元</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传输设备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26.77万元</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26.77万元</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p>
          <w:p>
            <w:pPr>
              <w:widowControl/>
              <w:jc w:val="center"/>
              <w:rPr>
                <w:rFonts w:ascii="宋体" w:hAnsi="宋体" w:cs="宋体"/>
                <w:kern w:val="0"/>
                <w:sz w:val="24"/>
              </w:rPr>
            </w:pPr>
            <w:r>
              <w:rPr>
                <w:rFonts w:hint="eastAsia" w:ascii="宋体" w:hAnsi="宋体" w:cs="宋体"/>
                <w:kern w:val="0"/>
                <w:sz w:val="24"/>
              </w:rPr>
              <w:t>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指标1：减少部门开支</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为部门提供业务协同，减少工作成本开支</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为部门提供业务协同，减少工作成本开支</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指标2：设备使用情况</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使用率≥50%</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使用率≥65%</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指标3：业务拓展</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综合利用硬件设备</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综合利用硬件设备</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10"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p>
          <w:p>
            <w:pPr>
              <w:widowControl/>
              <w:jc w:val="center"/>
              <w:rPr>
                <w:rFonts w:ascii="宋体" w:hAnsi="宋体" w:cs="宋体"/>
                <w:kern w:val="0"/>
                <w:sz w:val="24"/>
              </w:rPr>
            </w:pPr>
            <w:r>
              <w:rPr>
                <w:rFonts w:hint="eastAsia" w:ascii="宋体" w:hAnsi="宋体" w:cs="宋体"/>
                <w:kern w:val="0"/>
                <w:sz w:val="24"/>
              </w:rPr>
              <w:t>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指标1：服务部门社会管理</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服务部门社会管理</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已为医保、社保等其他政府部门服务社会管理30余次</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指标2：服务公安工作</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服务公安工作</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为我市各级公安机关办公办案提供数据支撑</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25"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指标3：服务群众</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服务群众</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提供业务协同，减少群众在政务事项办理中的出行成本</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p>
          <w:p>
            <w:pPr>
              <w:widowControl/>
              <w:jc w:val="center"/>
              <w:rPr>
                <w:rFonts w:ascii="宋体" w:hAnsi="宋体" w:cs="宋体"/>
                <w:kern w:val="0"/>
                <w:sz w:val="24"/>
              </w:rPr>
            </w:pPr>
            <w:r>
              <w:rPr>
                <w:rFonts w:hint="eastAsia" w:ascii="宋体" w:hAnsi="宋体" w:cs="宋体"/>
                <w:kern w:val="0"/>
                <w:sz w:val="24"/>
              </w:rPr>
              <w:t>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指标1：环境污染</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无环境污染</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无环境污染</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指标2：绿色办公</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绿色办公</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绿色办公</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指标3：设备公害</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无设备公害</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无设备公害</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p>
          <w:p>
            <w:pPr>
              <w:widowControl/>
              <w:jc w:val="center"/>
              <w:rPr>
                <w:rFonts w:ascii="宋体" w:hAnsi="宋体" w:cs="宋体"/>
                <w:kern w:val="0"/>
                <w:sz w:val="24"/>
              </w:rPr>
            </w:pPr>
            <w:r>
              <w:rPr>
                <w:rFonts w:hint="eastAsia" w:ascii="宋体" w:hAnsi="宋体" w:cs="宋体"/>
                <w:kern w:val="0"/>
                <w:sz w:val="24"/>
              </w:rPr>
              <w:t>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指标1：业务协同</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为政府部门提供业务协同</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持续为我市其他部门提供人口信息核查</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指标2：数据安全</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数据安全</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确保我市人口数据的异地备份安全</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指标3：维保服务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3年整机维保</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3年整机维保，确保设备正常运行</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p>
          <w:p>
            <w:pPr>
              <w:widowControl/>
              <w:jc w:val="center"/>
              <w:rPr>
                <w:rFonts w:ascii="宋体" w:hAnsi="宋体" w:cs="宋体"/>
                <w:kern w:val="0"/>
                <w:sz w:val="24"/>
              </w:rPr>
            </w:pPr>
            <w:r>
              <w:rPr>
                <w:rFonts w:hint="eastAsia" w:ascii="宋体" w:hAnsi="宋体" w:cs="宋体"/>
                <w:kern w:val="0"/>
                <w:sz w:val="24"/>
              </w:rPr>
              <w:t>指标</w:t>
            </w:r>
          </w:p>
        </w:tc>
        <w:tc>
          <w:tcPr>
            <w:tcW w:w="15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指标1：设备运行满意度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rPr>
            </w:pPr>
            <w:r>
              <w:rPr>
                <w:rFonts w:hint="eastAsia" w:ascii="等线" w:hAnsi="宋体" w:eastAsia="等线" w:cs="宋体"/>
                <w:kern w:val="0"/>
                <w:sz w:val="24"/>
              </w:rPr>
              <w:t>≥</w:t>
            </w:r>
            <w:r>
              <w:rPr>
                <w:rFonts w:hint="eastAsia" w:ascii="宋体" w:hAnsi="宋体" w:cs="宋体"/>
                <w:kern w:val="0"/>
                <w:sz w:val="24"/>
              </w:rPr>
              <w:t>99%</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rPr>
            </w:pPr>
            <w:r>
              <w:rPr>
                <w:rFonts w:hint="eastAsia" w:ascii="等线" w:hAnsi="宋体" w:eastAsia="等线" w:cs="宋体"/>
                <w:kern w:val="0"/>
                <w:sz w:val="24"/>
              </w:rPr>
              <w:t>99%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指标2：日常运维满意度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rPr>
            </w:pPr>
            <w:r>
              <w:rPr>
                <w:rFonts w:hint="eastAsia" w:ascii="等线" w:hAnsi="宋体" w:eastAsia="等线" w:cs="宋体"/>
                <w:kern w:val="0"/>
                <w:sz w:val="24"/>
              </w:rPr>
              <w:t>≥</w:t>
            </w:r>
            <w:r>
              <w:rPr>
                <w:rFonts w:hint="eastAsia" w:ascii="宋体" w:hAnsi="宋体" w:cs="宋体"/>
                <w:kern w:val="0"/>
                <w:sz w:val="24"/>
              </w:rPr>
              <w:t>99%</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rPr>
            </w:pPr>
            <w:r>
              <w:rPr>
                <w:rFonts w:hint="eastAsia" w:ascii="等线" w:hAnsi="宋体" w:eastAsia="等线" w:cs="宋体"/>
                <w:kern w:val="0"/>
                <w:sz w:val="24"/>
              </w:rPr>
              <w:t>99%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指标3：政府部门协同满意度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100%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pStyle w:val="2"/>
        <w:spacing w:before="93"/>
      </w:pPr>
    </w:p>
    <w:p>
      <w:pPr>
        <w:spacing w:line="600" w:lineRule="exact"/>
        <w:jc w:val="center"/>
        <w:rPr>
          <w:rFonts w:ascii="黑体" w:hAnsi="黑体" w:eastAsia="黑体" w:cs="楷体_GB2312"/>
          <w:sz w:val="44"/>
          <w:szCs w:val="44"/>
        </w:rPr>
      </w:pPr>
      <w:r>
        <w:rPr>
          <w:rFonts w:hint="eastAsia" w:ascii="黑体" w:hAnsi="黑体" w:eastAsia="黑体" w:cs="方正小标宋简体"/>
          <w:sz w:val="44"/>
          <w:szCs w:val="44"/>
        </w:rPr>
        <w:t>2021年度侦查办案费</w:t>
      </w:r>
      <w:r>
        <w:rPr>
          <w:rFonts w:hint="eastAsia" w:ascii="黑体" w:hAnsi="黑体" w:eastAsia="黑体" w:cs="黑体"/>
          <w:sz w:val="44"/>
          <w:szCs w:val="44"/>
        </w:rPr>
        <w:t>项目</w:t>
      </w:r>
    </w:p>
    <w:p>
      <w:pPr>
        <w:spacing w:line="600" w:lineRule="exact"/>
        <w:jc w:val="center"/>
        <w:rPr>
          <w:rFonts w:ascii="黑体" w:hAnsi="黑体" w:eastAsia="黑体" w:cs="方正小标宋简体"/>
          <w:bCs/>
          <w:sz w:val="44"/>
          <w:szCs w:val="44"/>
        </w:rPr>
      </w:pPr>
      <w:r>
        <w:rPr>
          <w:rFonts w:hint="eastAsia" w:ascii="黑体" w:hAnsi="黑体" w:eastAsia="黑体" w:cs="方正小标宋简体"/>
          <w:bCs/>
          <w:sz w:val="44"/>
          <w:szCs w:val="44"/>
        </w:rPr>
        <w:t>绩效自评报告</w:t>
      </w:r>
    </w:p>
    <w:p>
      <w:pPr>
        <w:spacing w:line="600" w:lineRule="exact"/>
        <w:jc w:val="center"/>
        <w:rPr>
          <w:rFonts w:ascii="黑体" w:hAnsi="黑体" w:eastAsia="黑体" w:cs="方正小标宋简体"/>
          <w:bCs/>
          <w:sz w:val="44"/>
          <w:szCs w:val="44"/>
        </w:rPr>
      </w:pPr>
    </w:p>
    <w:p>
      <w:pPr>
        <w:adjustRightInd w:val="0"/>
        <w:snapToGrid w:val="0"/>
        <w:spacing w:line="600" w:lineRule="exact"/>
        <w:ind w:firstLine="720"/>
        <w:rPr>
          <w:rFonts w:ascii="黑体" w:hAnsi="黑体" w:eastAsia="黑体" w:cs="黑体"/>
          <w:bCs/>
          <w:sz w:val="32"/>
          <w:szCs w:val="32"/>
        </w:rPr>
      </w:pPr>
      <w:r>
        <w:rPr>
          <w:rFonts w:hint="eastAsia" w:ascii="黑体" w:hAnsi="黑体" w:eastAsia="黑体" w:cs="黑体"/>
          <w:bCs/>
          <w:sz w:val="32"/>
          <w:szCs w:val="32"/>
        </w:rPr>
        <w:t>一、项目概况</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（一）项目基本情况。</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1.市公安局主要对项目资金执行进度、项目资金使用情况进行监督，对资金的使用及报销进行审核。</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2.依据公安部《关于印发公安支出功能分类科目和公安支出类专用预算科目的通知》和四川省财政厅 四川省公安厅《关于完善全省公安公用经费保障机制的通知》（川财行〔2021〕122号）文件，对市公安局侦查办案费项目进行立项申报。</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3.按照财政部、公安部《公安机关财务管理办法》、“三重一大”集体决策制度、公安部《关于印发公安支出功能分类科目和公安支出类专用预算科目的通知》和《广元市公安局财务管理办法》对项目资金进行管理，严格按照规定的范围支持和审核资金的支付。</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4.按照项目的使用范围，坚持实事求是的原则，严格资金分配。</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（二）项目绩效目标。</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1. 该项经费主要服务于我局全年各项侦查办案活动，包括所产生的差旅费、车辆燃油费、租赁费等支出。</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2. 申报的政法保障业务费符合公安机关的职业特点和工作实际，提高对违法犯罪行为的惩治力度，确保我市社会政治和治安大局持续稳定。参考历年实际资金支出情况，项目科学合理，执行进度100%。</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3.申报内容与实际相符，申报目标合理可行。</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（三）项目自评步骤及方法。</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由预算项目申报单位按照市财政局文件要求对项目绩效自评后，报市公安局主管部门对绩效自评情况进行部门审核。市公安局依照相关管理办法，组织警务保障处、审计处、市局纪委及经费预算申报项目单位等，严格按照市财政局项目绩效评价体系对项目进行审核，严格打分。</w:t>
      </w:r>
    </w:p>
    <w:p>
      <w:pPr>
        <w:adjustRightInd w:val="0"/>
        <w:snapToGrid w:val="0"/>
        <w:spacing w:line="600" w:lineRule="exact"/>
        <w:ind w:firstLine="720"/>
        <w:rPr>
          <w:rFonts w:ascii="黑体" w:hAnsi="黑体" w:eastAsia="黑体" w:cs="黑体"/>
          <w:bCs/>
          <w:sz w:val="32"/>
          <w:szCs w:val="32"/>
        </w:rPr>
      </w:pPr>
      <w:r>
        <w:rPr>
          <w:rFonts w:hint="eastAsia" w:ascii="黑体" w:hAnsi="黑体" w:eastAsia="黑体" w:cs="黑体"/>
          <w:bCs/>
          <w:sz w:val="32"/>
          <w:szCs w:val="32"/>
        </w:rPr>
        <w:t>二、项目资金申报及使用情况</w:t>
      </w:r>
    </w:p>
    <w:p>
      <w:pPr>
        <w:adjustRightInd w:val="0"/>
        <w:snapToGrid w:val="0"/>
        <w:spacing w:line="600" w:lineRule="exact"/>
        <w:ind w:firstLine="720"/>
        <w:rPr>
          <w:rFonts w:ascii="仿宋_GB2312" w:hAnsi="仿宋" w:eastAsia="仿宋_GB2312"/>
          <w:sz w:val="32"/>
          <w:szCs w:val="32"/>
        </w:rPr>
      </w:pPr>
      <w:r>
        <w:rPr>
          <w:rFonts w:hint="eastAsia" w:ascii="楷体" w:hAnsi="楷体" w:eastAsia="楷体" w:cs="楷体_GB2312"/>
          <w:b/>
          <w:bCs/>
          <w:sz w:val="32"/>
          <w:szCs w:val="32"/>
          <w:lang w:val="zh-CN"/>
        </w:rPr>
        <w:t>（一）项目资金申报及批复情况。</w:t>
      </w:r>
      <w:r>
        <w:rPr>
          <w:rFonts w:hint="eastAsia" w:ascii="仿宋_GB2312" w:hAnsi="仿宋" w:eastAsia="仿宋_GB2312"/>
          <w:sz w:val="32"/>
          <w:szCs w:val="32"/>
        </w:rPr>
        <w:t>2021年市公安局向市财政局申报了侦查办案费项目</w:t>
      </w:r>
      <w:r>
        <w:rPr>
          <w:rFonts w:hint="eastAsia" w:ascii="仿宋_GB2312" w:hAnsi="仿宋" w:eastAsia="仿宋_GB2312"/>
          <w:sz w:val="32"/>
          <w:szCs w:val="32"/>
          <w:lang w:val="zh-CN"/>
        </w:rPr>
        <w:t>资金</w:t>
      </w:r>
      <w:r>
        <w:rPr>
          <w:rFonts w:hint="eastAsia" w:ascii="仿宋_GB2312" w:hAnsi="仿宋" w:eastAsia="仿宋_GB2312"/>
          <w:sz w:val="32"/>
          <w:szCs w:val="32"/>
        </w:rPr>
        <w:t>50</w:t>
      </w:r>
      <w:r>
        <w:rPr>
          <w:rFonts w:hint="eastAsia" w:ascii="仿宋_GB2312" w:hAnsi="仿宋" w:eastAsia="仿宋_GB2312"/>
          <w:sz w:val="32"/>
          <w:szCs w:val="32"/>
          <w:lang w:val="zh-CN"/>
        </w:rPr>
        <w:t>万元</w:t>
      </w:r>
      <w:r>
        <w:rPr>
          <w:rFonts w:hint="eastAsia" w:ascii="仿宋_GB2312" w:hAnsi="仿宋" w:eastAsia="仿宋_GB2312"/>
          <w:sz w:val="32"/>
          <w:szCs w:val="32"/>
        </w:rPr>
        <w:t>，报人大批准，项目资金到位50万元。</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（二）资金计划、到位及使用情况。</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1.资金计划。该项经费主要服务于我局全年各项侦查办案活动，包括所产生的差旅费、车辆燃油费、租赁费等，提高对违法犯罪行为的惩治力度，确保我市社会政治和治安大局持续稳定。</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2.资金到位。侦查办案费由财政拨款50万元，资金到位率100%，到位及时</w:t>
      </w:r>
      <w:r>
        <w:rPr>
          <w:rFonts w:hint="eastAsia" w:ascii="仿宋" w:hAnsi="仿宋" w:eastAsia="仿宋"/>
          <w:sz w:val="32"/>
          <w:szCs w:val="32"/>
        </w:rPr>
        <w:t>。</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3.资金使用。2021年，财政拨款侦查办案费50万元，主要用于市局全年侦查办案活动过程中所产生的各项费用，包括差旅费、伙食费、车辆燃油费、租赁费和其他办案过程中</w:t>
      </w:r>
      <w:r>
        <w:rPr>
          <w:rFonts w:hint="eastAsia" w:ascii="仿宋_GB2312" w:hAnsi="仿宋" w:eastAsia="仿宋_GB2312"/>
          <w:sz w:val="32"/>
          <w:szCs w:val="32"/>
          <w:lang w:eastAsia="zh-CN"/>
        </w:rPr>
        <w:t>所必需的</w:t>
      </w:r>
      <w:r>
        <w:rPr>
          <w:rFonts w:hint="eastAsia" w:ascii="仿宋_GB2312" w:hAnsi="仿宋" w:eastAsia="仿宋_GB2312"/>
          <w:sz w:val="32"/>
          <w:szCs w:val="32"/>
        </w:rPr>
        <w:t>其他费用等支出，资金使用合法合规，严格按照预算进度执行，执行率100%。</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（二）项目财务管理情况</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项目由市公安局警务保障处进行综合管理，设立专职会计、出纳等岗位，各部门相关费用支出由其财务人员统一进行报销，做到专人专司财务管理职责，对项目资金严格执行财务管理制度，及时进行财务处理和核算。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adjustRightInd w:val="0"/>
        <w:snapToGrid w:val="0"/>
        <w:spacing w:line="600" w:lineRule="exact"/>
        <w:ind w:firstLine="720"/>
        <w:rPr>
          <w:rFonts w:ascii="黑体" w:hAnsi="黑体" w:eastAsia="黑体" w:cs="黑体"/>
          <w:bCs/>
          <w:sz w:val="32"/>
          <w:szCs w:val="32"/>
        </w:rPr>
      </w:pPr>
      <w:r>
        <w:rPr>
          <w:rFonts w:hint="eastAsia" w:ascii="黑体" w:hAnsi="黑体" w:eastAsia="黑体" w:cs="黑体"/>
          <w:bCs/>
          <w:sz w:val="32"/>
          <w:szCs w:val="32"/>
        </w:rPr>
        <w:t>三、项目实施及管理情况</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（一）项目组织架构及实施流程</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市公安局警务保障处严格按照相关项目资金管理办法审核报销费用，发生的每一笔支出都要履行完整报销手续，确保其真实可靠性。市公安局机关纪委、审计处成立项目核查专班，定期核查项目资金支出情况，使其发挥最大效益。</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（二）项目管理情况</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项目由市公安局警务保障处进行综合管理，设立专职会计、出纳等岗位，各部门相关费用支出由其财务人员统一进行报销，做到专人专司财务管理职责，对项目资金严格执行财务管理制度，及时进行财务处理和核算。</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（三）项目监管情况</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市公安局机关纪委、审计处成立项目核查专班，定期核查项目资金支出情况，使其发挥最大效益。</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rPr>
        <w:t>四、项目绩效情况</w:t>
      </w:r>
      <w:r>
        <w:rPr>
          <w:rFonts w:hint="eastAsia" w:ascii="黑体" w:hAnsi="黑体" w:eastAsia="黑体" w:cs="黑体"/>
          <w:bCs/>
          <w:sz w:val="32"/>
          <w:szCs w:val="32"/>
          <w:lang w:val="zh-CN"/>
        </w:rPr>
        <w:tab/>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主要按照《公安机关财务管理办法》中办案费的相关范围执行，含纪委、督察、审计等部门的执法办案，包括办案过程中发生的会议、差旅、材料、劳务、房屋及设备租赁等支出。经自评，该项目得分99分。</w:t>
      </w:r>
    </w:p>
    <w:p>
      <w:pPr>
        <w:adjustRightInd w:val="0"/>
        <w:snapToGrid w:val="0"/>
        <w:spacing w:line="600" w:lineRule="exact"/>
        <w:ind w:firstLine="720"/>
        <w:rPr>
          <w:rFonts w:ascii="仿宋" w:hAnsi="仿宋" w:eastAsia="仿宋"/>
          <w:sz w:val="32"/>
          <w:szCs w:val="32"/>
        </w:rPr>
      </w:pPr>
      <w:r>
        <w:rPr>
          <w:rFonts w:hint="eastAsia" w:ascii="楷体" w:hAnsi="楷体" w:eastAsia="楷体" w:cs="楷体_GB2312"/>
          <w:b/>
          <w:bCs/>
          <w:sz w:val="32"/>
          <w:szCs w:val="32"/>
          <w:lang w:val="zh-CN"/>
        </w:rPr>
        <w:t>（二）项目效益情况</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项目实施确保了我市全年实体性犯罪进一步减少，全年无发生重大刑事治安案件，破获非法捕捞案件5起，</w:t>
      </w:r>
      <w:r>
        <w:rPr>
          <w:rFonts w:hint="eastAsia" w:ascii="仿宋_GB2312" w:hAnsi="仿宋" w:eastAsia="仿宋_GB2312"/>
          <w:sz w:val="32"/>
          <w:szCs w:val="32"/>
          <w:lang w:eastAsia="zh-CN"/>
        </w:rPr>
        <w:t>有效地服务</w:t>
      </w:r>
      <w:r>
        <w:rPr>
          <w:rFonts w:hint="eastAsia" w:ascii="仿宋_GB2312" w:hAnsi="仿宋" w:eastAsia="仿宋_GB2312"/>
          <w:sz w:val="32"/>
          <w:szCs w:val="32"/>
        </w:rPr>
        <w:t>了公安实战需求，入选“全国最安全城市”。</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五、评价结论及建议</w:t>
      </w:r>
    </w:p>
    <w:p>
      <w:pPr>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（一）评价结论</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经自评，该项目得分99分。</w:t>
      </w:r>
    </w:p>
    <w:p>
      <w:pPr>
        <w:tabs>
          <w:tab w:val="center" w:pos="4513"/>
        </w:tabs>
        <w:adjustRightInd w:val="0"/>
        <w:snapToGrid w:val="0"/>
        <w:spacing w:line="600" w:lineRule="exact"/>
        <w:ind w:firstLine="720"/>
        <w:rPr>
          <w:rFonts w:ascii="楷体" w:hAnsi="楷体" w:eastAsia="楷体" w:cs="楷体_GB2312"/>
          <w:b/>
          <w:bCs/>
          <w:sz w:val="32"/>
          <w:szCs w:val="32"/>
          <w:lang w:val="zh-CN"/>
        </w:rPr>
      </w:pPr>
      <w:r>
        <w:rPr>
          <w:rFonts w:hint="eastAsia" w:ascii="楷体" w:hAnsi="楷体" w:eastAsia="楷体" w:cs="楷体_GB2312"/>
          <w:b/>
          <w:bCs/>
          <w:sz w:val="32"/>
          <w:szCs w:val="32"/>
          <w:lang w:val="zh-CN"/>
        </w:rPr>
        <w:t>（二）存在的问题</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无。</w:t>
      </w:r>
    </w:p>
    <w:p>
      <w:pPr>
        <w:adjustRightInd w:val="0"/>
        <w:snapToGrid w:val="0"/>
        <w:spacing w:line="600" w:lineRule="exact"/>
        <w:ind w:firstLine="720"/>
        <w:rPr>
          <w:rFonts w:ascii="仿宋" w:hAnsi="仿宋" w:eastAsia="仿宋"/>
          <w:sz w:val="32"/>
          <w:szCs w:val="32"/>
        </w:rPr>
      </w:pPr>
      <w:r>
        <w:rPr>
          <w:rFonts w:hint="eastAsia" w:ascii="楷体" w:hAnsi="楷体" w:eastAsia="楷体" w:cs="楷体_GB2312"/>
          <w:b/>
          <w:bCs/>
          <w:sz w:val="32"/>
          <w:szCs w:val="32"/>
          <w:lang w:val="zh-CN"/>
        </w:rPr>
        <w:t>（三）相关建议</w:t>
      </w:r>
    </w:p>
    <w:p>
      <w:pPr>
        <w:adjustRightInd w:val="0"/>
        <w:snapToGrid w:val="0"/>
        <w:spacing w:line="600" w:lineRule="exact"/>
        <w:ind w:firstLine="720"/>
        <w:rPr>
          <w:rFonts w:ascii="仿宋_GB2312" w:hAnsi="仿宋" w:eastAsia="仿宋_GB2312"/>
          <w:sz w:val="32"/>
          <w:szCs w:val="32"/>
        </w:rPr>
      </w:pPr>
      <w:r>
        <w:rPr>
          <w:rFonts w:hint="eastAsia" w:ascii="仿宋_GB2312" w:hAnsi="仿宋" w:eastAsia="仿宋_GB2312"/>
          <w:sz w:val="32"/>
          <w:szCs w:val="32"/>
        </w:rPr>
        <w:t>无。</w:t>
      </w:r>
    </w:p>
    <w:tbl>
      <w:tblPr>
        <w:tblStyle w:val="12"/>
        <w:tblW w:w="10646" w:type="dxa"/>
        <w:tblInd w:w="-1026" w:type="dxa"/>
        <w:tblLayout w:type="autofit"/>
        <w:tblCellMar>
          <w:top w:w="0" w:type="dxa"/>
          <w:left w:w="108" w:type="dxa"/>
          <w:bottom w:w="0" w:type="dxa"/>
          <w:right w:w="108" w:type="dxa"/>
        </w:tblCellMar>
      </w:tblPr>
      <w:tblGrid>
        <w:gridCol w:w="1134"/>
        <w:gridCol w:w="1134"/>
        <w:gridCol w:w="1134"/>
        <w:gridCol w:w="197"/>
        <w:gridCol w:w="2213"/>
        <w:gridCol w:w="1627"/>
        <w:gridCol w:w="641"/>
        <w:gridCol w:w="1630"/>
        <w:gridCol w:w="936"/>
      </w:tblGrid>
      <w:tr>
        <w:tblPrEx>
          <w:tblCellMar>
            <w:top w:w="0" w:type="dxa"/>
            <w:left w:w="108" w:type="dxa"/>
            <w:bottom w:w="0" w:type="dxa"/>
            <w:right w:w="108" w:type="dxa"/>
          </w:tblCellMar>
        </w:tblPrEx>
        <w:trPr>
          <w:trHeight w:val="540" w:hRule="atLeast"/>
        </w:trPr>
        <w:tc>
          <w:tcPr>
            <w:tcW w:w="10646" w:type="dxa"/>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项目支出绩效目标自评表</w:t>
            </w:r>
          </w:p>
        </w:tc>
      </w:tr>
      <w:tr>
        <w:tblPrEx>
          <w:tblCellMar>
            <w:top w:w="0" w:type="dxa"/>
            <w:left w:w="108" w:type="dxa"/>
            <w:bottom w:w="0" w:type="dxa"/>
            <w:right w:w="108" w:type="dxa"/>
          </w:tblCellMar>
        </w:tblPrEx>
        <w:trPr>
          <w:trHeight w:val="285" w:hRule="atLeast"/>
        </w:trPr>
        <w:tc>
          <w:tcPr>
            <w:tcW w:w="10646"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2021</w:t>
            </w:r>
            <w:r>
              <w:rPr>
                <w:rFonts w:hint="eastAsia" w:ascii="宋体" w:hAnsi="宋体" w:cs="宋体"/>
                <w:kern w:val="0"/>
                <w:sz w:val="24"/>
              </w:rPr>
              <w:t>年度）</w:t>
            </w:r>
          </w:p>
        </w:tc>
      </w:tr>
      <w:tr>
        <w:tblPrEx>
          <w:tblCellMar>
            <w:top w:w="0" w:type="dxa"/>
            <w:left w:w="108" w:type="dxa"/>
            <w:bottom w:w="0" w:type="dxa"/>
            <w:right w:w="108" w:type="dxa"/>
          </w:tblCellMar>
        </w:tblPrEx>
        <w:trPr>
          <w:trHeight w:val="360" w:hRule="atLeast"/>
        </w:trPr>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24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侦查办案费</w:t>
            </w:r>
          </w:p>
        </w:tc>
      </w:tr>
      <w:tr>
        <w:tblPrEx>
          <w:tblCellMar>
            <w:top w:w="0" w:type="dxa"/>
            <w:left w:w="108" w:type="dxa"/>
            <w:bottom w:w="0" w:type="dxa"/>
            <w:right w:w="108" w:type="dxa"/>
          </w:tblCellMar>
        </w:tblPrEx>
        <w:trPr>
          <w:trHeight w:val="360" w:hRule="atLeast"/>
        </w:trPr>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2410" w:type="dxa"/>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c>
          <w:tcPr>
            <w:tcW w:w="226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256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广元市公安局</w:t>
            </w:r>
          </w:p>
        </w:tc>
      </w:tr>
      <w:tr>
        <w:tblPrEx>
          <w:tblCellMar>
            <w:top w:w="0" w:type="dxa"/>
            <w:left w:w="108" w:type="dxa"/>
            <w:bottom w:w="0" w:type="dxa"/>
            <w:right w:w="108" w:type="dxa"/>
          </w:tblCellMar>
        </w:tblPrEx>
        <w:trPr>
          <w:trHeight w:val="360" w:hRule="atLeast"/>
        </w:trPr>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p>
          <w:p>
            <w:pPr>
              <w:widowControl/>
              <w:jc w:val="center"/>
              <w:rPr>
                <w:rFonts w:ascii="宋体" w:hAnsi="宋体" w:cs="宋体"/>
                <w:kern w:val="0"/>
                <w:sz w:val="24"/>
              </w:rPr>
            </w:pPr>
            <w:r>
              <w:rPr>
                <w:rFonts w:hint="eastAsia" w:ascii="宋体" w:hAnsi="宋体" w:cs="宋体"/>
                <w:kern w:val="0"/>
                <w:sz w:val="24"/>
              </w:rPr>
              <w:t>执行</w:t>
            </w:r>
          </w:p>
          <w:p>
            <w:pPr>
              <w:widowControl/>
              <w:jc w:val="center"/>
              <w:rPr>
                <w:rFonts w:ascii="宋体" w:hAnsi="宋体" w:cs="宋体"/>
                <w:kern w:val="0"/>
                <w:sz w:val="24"/>
              </w:rPr>
            </w:pPr>
            <w:r>
              <w:rPr>
                <w:rFonts w:hint="eastAsia" w:ascii="宋体" w:hAnsi="宋体" w:cs="宋体"/>
                <w:kern w:val="0"/>
                <w:sz w:val="24"/>
              </w:rPr>
              <w:t>情况</w:t>
            </w:r>
          </w:p>
          <w:p>
            <w:pPr>
              <w:widowControl/>
              <w:jc w:val="center"/>
              <w:rPr>
                <w:rFonts w:ascii="宋体" w:hAnsi="宋体" w:cs="宋体"/>
                <w:kern w:val="0"/>
                <w:sz w:val="24"/>
              </w:rPr>
            </w:pPr>
            <w:r>
              <w:rPr>
                <w:rFonts w:hint="eastAsia" w:ascii="宋体" w:hAnsi="宋体" w:cs="宋体"/>
                <w:kern w:val="0"/>
                <w:sz w:val="16"/>
                <w:szCs w:val="16"/>
              </w:rPr>
              <w:t>（万元）</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24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50</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56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50</w:t>
            </w:r>
          </w:p>
        </w:tc>
      </w:tr>
      <w:tr>
        <w:tblPrEx>
          <w:tblCellMar>
            <w:top w:w="0" w:type="dxa"/>
            <w:left w:w="108" w:type="dxa"/>
            <w:bottom w:w="0" w:type="dxa"/>
            <w:right w:w="108" w:type="dxa"/>
          </w:tblCellMar>
        </w:tblPrEx>
        <w:trPr>
          <w:trHeight w:val="679" w:hRule="atLeast"/>
        </w:trPr>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4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50</w:t>
            </w:r>
          </w:p>
        </w:tc>
        <w:tc>
          <w:tcPr>
            <w:tcW w:w="2268" w:type="dxa"/>
            <w:gridSpan w:val="2"/>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5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50</w:t>
            </w:r>
          </w:p>
        </w:tc>
      </w:tr>
      <w:tr>
        <w:tblPrEx>
          <w:tblCellMar>
            <w:top w:w="0" w:type="dxa"/>
            <w:left w:w="108" w:type="dxa"/>
            <w:bottom w:w="0" w:type="dxa"/>
            <w:right w:w="108" w:type="dxa"/>
          </w:tblCellMar>
        </w:tblPrEx>
        <w:trPr>
          <w:trHeight w:val="679" w:hRule="atLeast"/>
        </w:trPr>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4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268" w:type="dxa"/>
            <w:gridSpan w:val="2"/>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5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79" w:hRule="atLeast"/>
        </w:trPr>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目标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467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83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1770" w:hRule="atLeast"/>
        </w:trPr>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678" w:type="dxa"/>
            <w:gridSpan w:val="4"/>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主要按照《公安机关财务管理办法》中办案费的相关范围执行，含纪委、督察、审计等部门的执法办案，包括办案过程中发生的会议、差旅、材料、劳务、房屋及设备租赁等支出。</w:t>
            </w:r>
          </w:p>
        </w:tc>
        <w:tc>
          <w:tcPr>
            <w:tcW w:w="4834" w:type="dxa"/>
            <w:gridSpan w:val="4"/>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确保了督察、审计等部门的执法办案工作顺利开展，包括办案过程中发生的会议、差旅、材料、劳务、房屋及设备租赁等支出。</w:t>
            </w:r>
          </w:p>
        </w:tc>
      </w:tr>
      <w:tr>
        <w:tblPrEx>
          <w:tblCellMar>
            <w:top w:w="0" w:type="dxa"/>
            <w:left w:w="108" w:type="dxa"/>
            <w:bottom w:w="0" w:type="dxa"/>
            <w:right w:w="108" w:type="dxa"/>
          </w:tblCellMar>
        </w:tblPrEx>
        <w:trPr>
          <w:trHeight w:val="780" w:hRule="atLeast"/>
        </w:trPr>
        <w:tc>
          <w:tcPr>
            <w:tcW w:w="113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p>
          <w:p>
            <w:pPr>
              <w:widowControl/>
              <w:jc w:val="center"/>
              <w:rPr>
                <w:rFonts w:ascii="宋体" w:hAnsi="宋体" w:cs="宋体"/>
                <w:kern w:val="0"/>
                <w:sz w:val="24"/>
              </w:rPr>
            </w:pPr>
            <w:r>
              <w:rPr>
                <w:rFonts w:hint="eastAsia" w:ascii="宋体" w:hAnsi="宋体" w:cs="宋体"/>
                <w:kern w:val="0"/>
                <w:sz w:val="24"/>
              </w:rPr>
              <w:t>绩效</w:t>
            </w:r>
          </w:p>
          <w:p>
            <w:pPr>
              <w:widowControl/>
              <w:jc w:val="center"/>
              <w:rPr>
                <w:rFonts w:ascii="宋体" w:hAnsi="宋体" w:cs="宋体"/>
                <w:kern w:val="0"/>
                <w:sz w:val="24"/>
              </w:rPr>
            </w:pPr>
            <w:r>
              <w:rPr>
                <w:rFonts w:hint="eastAsia" w:ascii="宋体" w:hAnsi="宋体" w:cs="宋体"/>
                <w:kern w:val="0"/>
                <w:sz w:val="24"/>
              </w:rPr>
              <w:t>指标</w:t>
            </w:r>
          </w:p>
          <w:p>
            <w:pPr>
              <w:widowControl/>
              <w:jc w:val="center"/>
              <w:rPr>
                <w:rFonts w:ascii="宋体" w:hAnsi="宋体" w:cs="宋体"/>
                <w:kern w:val="0"/>
                <w:sz w:val="24"/>
              </w:rPr>
            </w:pPr>
            <w:r>
              <w:rPr>
                <w:rFonts w:hint="eastAsia" w:ascii="宋体" w:hAnsi="宋体" w:cs="宋体"/>
                <w:kern w:val="0"/>
                <w:sz w:val="24"/>
              </w:rPr>
              <w:t>完成</w:t>
            </w:r>
          </w:p>
          <w:p>
            <w:pPr>
              <w:widowControl/>
              <w:jc w:val="center"/>
              <w:rPr>
                <w:rFonts w:ascii="宋体" w:hAnsi="宋体" w:cs="宋体"/>
                <w:kern w:val="0"/>
                <w:sz w:val="24"/>
              </w:rPr>
            </w:pPr>
            <w:r>
              <w:rPr>
                <w:rFonts w:hint="eastAsia" w:ascii="宋体" w:hAnsi="宋体" w:cs="宋体"/>
                <w:kern w:val="0"/>
                <w:sz w:val="24"/>
              </w:rPr>
              <w:t>情况</w:t>
            </w:r>
          </w:p>
        </w:tc>
        <w:tc>
          <w:tcPr>
            <w:tcW w:w="113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3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未完成原因及改进措施</w:t>
            </w:r>
          </w:p>
        </w:tc>
      </w:tr>
      <w:tr>
        <w:tblPrEx>
          <w:tblCellMar>
            <w:top w:w="0" w:type="dxa"/>
            <w:left w:w="108" w:type="dxa"/>
            <w:bottom w:w="0" w:type="dxa"/>
            <w:right w:w="108" w:type="dxa"/>
          </w:tblCellMar>
        </w:tblPrEx>
        <w:trPr>
          <w:trHeight w:val="702"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3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完成接处警</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≧3800起</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3956</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完成安保执勤任务</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≧1500人次</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1587</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完成维稳人次</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≧2960人次</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3041</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完成巡逻防控</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≧30000人次</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30541</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完成案件办理</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≧2310件</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2324</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接处警率</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案件办结率</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≧90%</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92%</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经费保障率</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完成时间</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2021年12月31日前</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2021年12月31日</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资金执行率</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经费报销费</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办案差旅费</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24万元</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24万元</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专用材料费</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15万元</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15万元</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劳务费</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11万元</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11万元</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25"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331"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p>
          <w:p>
            <w:pPr>
              <w:widowControl/>
              <w:jc w:val="center"/>
              <w:rPr>
                <w:rFonts w:ascii="宋体" w:hAnsi="宋体" w:cs="宋体"/>
                <w:kern w:val="0"/>
                <w:sz w:val="24"/>
              </w:rPr>
            </w:pPr>
            <w:r>
              <w:rPr>
                <w:rFonts w:hint="eastAsia" w:ascii="宋体" w:hAnsi="宋体" w:cs="宋体"/>
                <w:kern w:val="0"/>
                <w:sz w:val="24"/>
              </w:rPr>
              <w:t>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提高犯罪成本</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通过高</w:t>
            </w:r>
            <w:r>
              <w:rPr>
                <w:rFonts w:hint="eastAsia" w:ascii="宋体" w:hAnsi="宋体" w:cs="宋体"/>
                <w:kern w:val="0"/>
                <w:sz w:val="22"/>
                <w:szCs w:val="22"/>
                <w:lang w:eastAsia="zh-CN"/>
              </w:rPr>
              <w:t>频率地侦查</w:t>
            </w:r>
            <w:r>
              <w:rPr>
                <w:rFonts w:hint="eastAsia" w:ascii="宋体" w:hAnsi="宋体" w:cs="宋体"/>
                <w:kern w:val="0"/>
                <w:sz w:val="22"/>
                <w:szCs w:val="22"/>
              </w:rPr>
              <w:t>频率的侦查办案，提高犯罪成本，</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实体性犯罪案件进一步减少</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15"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降低犯罪率</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≧10%</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12%</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59"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p>
          <w:p>
            <w:pPr>
              <w:widowControl/>
              <w:jc w:val="center"/>
              <w:rPr>
                <w:rFonts w:ascii="宋体" w:hAnsi="宋体" w:cs="宋体"/>
                <w:kern w:val="0"/>
                <w:sz w:val="24"/>
              </w:rPr>
            </w:pPr>
            <w:r>
              <w:rPr>
                <w:rFonts w:hint="eastAsia" w:ascii="宋体" w:hAnsi="宋体" w:cs="宋体"/>
                <w:kern w:val="0"/>
                <w:sz w:val="24"/>
              </w:rPr>
              <w:t>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对维护社会治安的辅助作用</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有效预防和制止违法犯罪</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无重特大刑事治安案件发生</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50"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社会和谐稳定</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通过培训提高全警维护社会和谐稳定的能力和水平。</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入选“全国最安全城市”</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065"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p>
          <w:p>
            <w:pPr>
              <w:widowControl/>
              <w:jc w:val="center"/>
              <w:rPr>
                <w:rFonts w:ascii="宋体" w:hAnsi="宋体" w:cs="宋体"/>
                <w:kern w:val="0"/>
                <w:sz w:val="24"/>
              </w:rPr>
            </w:pPr>
            <w:r>
              <w:rPr>
                <w:rFonts w:hint="eastAsia" w:ascii="宋体" w:hAnsi="宋体" w:cs="宋体"/>
                <w:kern w:val="0"/>
                <w:sz w:val="24"/>
              </w:rPr>
              <w:t>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维护生态平衡</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加大对非法捕捞等犯罪行为的查处，减少对嘉陵江流域的生态治理，保持生态平衡。</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破获非法捕捞案件5起</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62"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p>
          <w:p>
            <w:pPr>
              <w:widowControl/>
              <w:jc w:val="center"/>
              <w:rPr>
                <w:rFonts w:ascii="宋体" w:hAnsi="宋体" w:cs="宋体"/>
                <w:kern w:val="0"/>
                <w:sz w:val="24"/>
              </w:rPr>
            </w:pPr>
            <w:r>
              <w:rPr>
                <w:rFonts w:hint="eastAsia" w:ascii="宋体" w:hAnsi="宋体" w:cs="宋体"/>
                <w:kern w:val="0"/>
                <w:sz w:val="24"/>
              </w:rPr>
              <w:t>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持续发展</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确保全局侦查办案工作顺利进行。</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有效地服务</w:t>
            </w:r>
            <w:r>
              <w:rPr>
                <w:rFonts w:hint="eastAsia" w:ascii="宋体" w:hAnsi="宋体" w:cs="宋体"/>
                <w:kern w:val="0"/>
                <w:sz w:val="22"/>
                <w:szCs w:val="22"/>
              </w:rPr>
              <w:t>了公安实战需求</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10"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社会和谐稳定</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社会始终长期和谐稳定</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全年未发生重特大刑事治安案件</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85"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大局平稳</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通过培训提高全警维护社会和谐稳定的能力和水平。</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广元营商环境排名全省名列前茅</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80"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p>
          <w:p>
            <w:pPr>
              <w:widowControl/>
              <w:jc w:val="center"/>
              <w:rPr>
                <w:rFonts w:ascii="宋体" w:hAnsi="宋体" w:cs="宋体"/>
                <w:kern w:val="0"/>
                <w:sz w:val="24"/>
              </w:rPr>
            </w:pPr>
            <w:r>
              <w:rPr>
                <w:rFonts w:hint="eastAsia" w:ascii="宋体" w:hAnsi="宋体" w:cs="宋体"/>
                <w:kern w:val="0"/>
                <w:sz w:val="24"/>
              </w:rPr>
              <w:t>指标</w:t>
            </w:r>
          </w:p>
        </w:tc>
        <w:tc>
          <w:tcPr>
            <w:tcW w:w="13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民警满意度</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96%</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80"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群众满意率</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97%</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80" w:hRule="atLeast"/>
        </w:trPr>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3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社会满意度</w:t>
            </w:r>
          </w:p>
        </w:tc>
        <w:tc>
          <w:tcPr>
            <w:tcW w:w="16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2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40" w:hRule="atLeast"/>
        </w:trPr>
        <w:tc>
          <w:tcPr>
            <w:tcW w:w="10646" w:type="dxa"/>
            <w:gridSpan w:val="9"/>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4"/>
        <w:jc w:val="center"/>
        <w:rPr>
          <w:rStyle w:val="16"/>
          <w:rFonts w:hint="eastAsia" w:ascii="黑体" w:hAnsi="黑体" w:eastAsia="黑体"/>
          <w:b w:val="0"/>
          <w:bCs/>
        </w:rPr>
      </w:pPr>
      <w:bookmarkStart w:id="67" w:name="_GoBack"/>
      <w:bookmarkEnd w:id="67"/>
      <w:r>
        <w:rPr>
          <w:rFonts w:hint="eastAsia" w:ascii="黑体" w:hAnsi="黑体" w:eastAsia="黑体"/>
          <w:sz w:val="44"/>
          <w:szCs w:val="44"/>
        </w:rPr>
        <w:t>第</w:t>
      </w:r>
      <w:r>
        <w:rPr>
          <w:rStyle w:val="16"/>
          <w:rFonts w:hint="eastAsia" w:ascii="黑体" w:hAnsi="黑体" w:eastAsia="黑体"/>
          <w:b w:val="0"/>
          <w:bCs/>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17"/>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17"/>
          <w:rFonts w:hint="eastAsia" w:ascii="仿宋" w:hAnsi="仿宋" w:eastAsia="仿宋"/>
          <w:b w:val="0"/>
          <w:bCs w:val="0"/>
        </w:rPr>
        <w:t>入决算表</w:t>
      </w:r>
      <w:bookmarkEnd w:id="55"/>
    </w:p>
    <w:p>
      <w:pPr>
        <w:pStyle w:val="4"/>
        <w:rPr>
          <w:rFonts w:ascii="仿宋" w:hAnsi="仿宋" w:eastAsia="仿宋"/>
        </w:rPr>
      </w:pPr>
      <w:bookmarkStart w:id="56" w:name="_Toc15396621"/>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57"/>
    </w:p>
    <w:p>
      <w:pPr>
        <w:pStyle w:val="4"/>
        <w:rPr>
          <w:rStyle w:val="17"/>
          <w:rFonts w:ascii="仿宋" w:hAnsi="仿宋" w:eastAsia="仿宋"/>
          <w:b w:val="0"/>
          <w:bCs w:val="0"/>
        </w:rPr>
      </w:pPr>
      <w:bookmarkStart w:id="58"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17"/>
          <w:rFonts w:hint="eastAsia" w:ascii="仿宋" w:hAnsi="仿宋" w:eastAsia="仿宋"/>
          <w:b w:val="0"/>
          <w:bCs w:val="0"/>
        </w:rPr>
        <w:t>十、</w:t>
      </w:r>
      <w:r>
        <w:rPr>
          <w:rFonts w:hint="eastAsia" w:ascii="仿宋" w:hAnsi="仿宋" w:eastAsia="仿宋"/>
          <w:b w:val="0"/>
        </w:rPr>
        <w:t>一</w:t>
      </w:r>
      <w:r>
        <w:rPr>
          <w:rStyle w:val="17"/>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17"/>
          <w:rFonts w:hint="eastAsia" w:ascii="仿宋" w:hAnsi="仿宋" w:eastAsia="仿宋"/>
          <w:b w:val="0"/>
          <w:bCs w:val="0"/>
        </w:rPr>
        <w:t>十一、</w:t>
      </w:r>
      <w:r>
        <w:rPr>
          <w:rFonts w:hint="eastAsia" w:ascii="仿宋" w:hAnsi="仿宋" w:eastAsia="仿宋"/>
          <w:b w:val="0"/>
        </w:rPr>
        <w:t>政</w:t>
      </w:r>
      <w:r>
        <w:rPr>
          <w:rStyle w:val="17"/>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17"/>
          <w:rFonts w:hint="eastAsia" w:ascii="仿宋" w:hAnsi="仿宋" w:eastAsia="仿宋"/>
          <w:b w:val="0"/>
          <w:bCs w:val="0"/>
        </w:rPr>
        <w:t>十二、</w:t>
      </w:r>
      <w:r>
        <w:rPr>
          <w:rFonts w:hint="eastAsia" w:ascii="仿宋" w:hAnsi="仿宋" w:eastAsia="仿宋"/>
          <w:b w:val="0"/>
        </w:rPr>
        <w:t>政</w:t>
      </w:r>
      <w:r>
        <w:rPr>
          <w:rStyle w:val="17"/>
          <w:rFonts w:hint="eastAsia" w:ascii="仿宋" w:hAnsi="仿宋" w:eastAsia="仿宋"/>
          <w:b w:val="0"/>
          <w:bCs w:val="0"/>
        </w:rPr>
        <w:t>府性基金预算财政拨款“三公”经费支出决算表</w:t>
      </w:r>
      <w:bookmarkEnd w:id="65"/>
    </w:p>
    <w:p>
      <w:pPr>
        <w:pStyle w:val="4"/>
        <w:rPr>
          <w:rStyle w:val="17"/>
          <w:rFonts w:ascii="仿宋" w:hAnsi="仿宋" w:eastAsia="仿宋"/>
          <w:b w:val="0"/>
          <w:bCs w:val="0"/>
        </w:rPr>
      </w:pPr>
      <w:bookmarkStart w:id="66" w:name="_Toc15396631"/>
      <w:r>
        <w:rPr>
          <w:rStyle w:val="17"/>
          <w:rFonts w:hint="eastAsia" w:ascii="仿宋" w:hAnsi="仿宋" w:eastAsia="仿宋"/>
          <w:b w:val="0"/>
          <w:bCs w:val="0"/>
        </w:rPr>
        <w:t>十三、</w:t>
      </w:r>
      <w:r>
        <w:rPr>
          <w:rFonts w:hint="eastAsia" w:ascii="仿宋" w:hAnsi="仿宋" w:eastAsia="仿宋"/>
          <w:b w:val="0"/>
        </w:rPr>
        <w:t>国</w:t>
      </w:r>
      <w:r>
        <w:rPr>
          <w:rStyle w:val="17"/>
          <w:rFonts w:hint="eastAsia" w:ascii="仿宋" w:hAnsi="仿宋" w:eastAsia="仿宋"/>
          <w:b w:val="0"/>
          <w:bCs w:val="0"/>
        </w:rPr>
        <w:t>有资本经营预算财政拨款收入支出决算表</w:t>
      </w:r>
      <w:bookmarkEnd w:id="66"/>
    </w:p>
    <w:p>
      <w:pPr>
        <w:rPr>
          <w:rFonts w:eastAsia="仿宋"/>
        </w:rPr>
      </w:pPr>
      <w:r>
        <w:rPr>
          <w:rStyle w:val="17"/>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DED4752-2408-4AF3-934D-D32212D5AE84}"/>
  </w:font>
  <w:font w:name="黑体">
    <w:panose1 w:val="02010609060101010101"/>
    <w:charset w:val="86"/>
    <w:family w:val="auto"/>
    <w:pitch w:val="default"/>
    <w:sig w:usb0="800002BF" w:usb1="38CF7CFA" w:usb2="00000016" w:usb3="00000000" w:csb0="00040001" w:csb1="00000000"/>
    <w:embedRegular r:id="rId2" w:fontKey="{EF08A675-0858-4D25-A33F-C24AF093BC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3" w:fontKey="{9D0D2AC8-01B4-4312-8F11-C3D5938D6D09}"/>
  </w:font>
  <w:font w:name="仿宋_GB2312">
    <w:panose1 w:val="02010609030101010101"/>
    <w:charset w:val="86"/>
    <w:family w:val="modern"/>
    <w:pitch w:val="default"/>
    <w:sig w:usb0="00000001" w:usb1="080E0000" w:usb2="00000000" w:usb3="00000000" w:csb0="00040000" w:csb1="00000000"/>
    <w:embedRegular r:id="rId4" w:fontKey="{C1125270-C5FB-4CE3-80E9-437EC09A99E8}"/>
  </w:font>
  <w:font w:name="仿宋">
    <w:panose1 w:val="02010609060101010101"/>
    <w:charset w:val="86"/>
    <w:family w:val="modern"/>
    <w:pitch w:val="default"/>
    <w:sig w:usb0="800002BF" w:usb1="38CF7CFA" w:usb2="00000016" w:usb3="00000000" w:csb0="00040001" w:csb1="00000000"/>
    <w:embedRegular r:id="rId5" w:fontKey="{F08F0336-8412-47DA-932E-4A3632AD127A}"/>
  </w:font>
  <w:font w:name="方正小标宋简体">
    <w:panose1 w:val="03000509000000000000"/>
    <w:charset w:val="86"/>
    <w:family w:val="script"/>
    <w:pitch w:val="default"/>
    <w:sig w:usb0="00000001" w:usb1="080E0000" w:usb2="00000000" w:usb3="00000000" w:csb0="00040000" w:csb1="00000000"/>
    <w:embedRegular r:id="rId6" w:fontKey="{DF4FF1D4-EBCB-4503-AEE4-7C8FFD64D47B}"/>
  </w:font>
  <w:font w:name="楷体_GB2312">
    <w:altName w:val="楷体"/>
    <w:panose1 w:val="00000000000000000000"/>
    <w:charset w:val="86"/>
    <w:family w:val="auto"/>
    <w:pitch w:val="default"/>
    <w:sig w:usb0="00000000" w:usb1="00000000" w:usb2="00000000" w:usb3="00000000" w:csb0="00040000" w:csb1="00000000"/>
    <w:embedRegular r:id="rId7" w:fontKey="{2F6F5C00-C0FC-42ED-8C5C-E087571575BC}"/>
  </w:font>
  <w:font w:name="楷体">
    <w:panose1 w:val="02010609060101010101"/>
    <w:charset w:val="86"/>
    <w:family w:val="modern"/>
    <w:pitch w:val="default"/>
    <w:sig w:usb0="800002BF" w:usb1="38CF7CFA" w:usb2="00000016" w:usb3="00000000" w:csb0="00040001" w:csb1="00000000"/>
    <w:embedRegular r:id="rId8" w:fontKey="{F7661A1D-67E4-48B0-B1F8-3D5E148ACD7E}"/>
  </w:font>
  <w:font w:name="等线">
    <w:panose1 w:val="02010600030101010101"/>
    <w:charset w:val="86"/>
    <w:family w:val="roman"/>
    <w:pitch w:val="default"/>
    <w:sig w:usb0="A00002BF" w:usb1="38CF7CFA" w:usb2="00000016" w:usb3="00000000" w:csb0="0004000F" w:csb1="00000000"/>
    <w:embedRegular r:id="rId9" w:fontKey="{AB22FA21-13EA-49B1-B27C-3C7F781D899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AB8697F"/>
    <w:multiLevelType w:val="multilevel"/>
    <w:tmpl w:val="0AB8697F"/>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RjNzRhMGFmMzM4YmU0NjA1ZDA4YTc5ZjM5YzNhMjgifQ=="/>
  </w:docVars>
  <w:rsids>
    <w:rsidRoot w:val="00F1361C"/>
    <w:rsid w:val="00000993"/>
    <w:rsid w:val="000222C6"/>
    <w:rsid w:val="000252AC"/>
    <w:rsid w:val="0002549F"/>
    <w:rsid w:val="000468DB"/>
    <w:rsid w:val="0005007A"/>
    <w:rsid w:val="0006487A"/>
    <w:rsid w:val="00065F8F"/>
    <w:rsid w:val="00070A43"/>
    <w:rsid w:val="0007313D"/>
    <w:rsid w:val="000768F2"/>
    <w:rsid w:val="0009184B"/>
    <w:rsid w:val="00094236"/>
    <w:rsid w:val="0009593C"/>
    <w:rsid w:val="00097322"/>
    <w:rsid w:val="000A6A92"/>
    <w:rsid w:val="000B047F"/>
    <w:rsid w:val="000B3757"/>
    <w:rsid w:val="000B5923"/>
    <w:rsid w:val="000B5A48"/>
    <w:rsid w:val="000B6FF3"/>
    <w:rsid w:val="000C3467"/>
    <w:rsid w:val="000C3CA6"/>
    <w:rsid w:val="000D1267"/>
    <w:rsid w:val="000D1D50"/>
    <w:rsid w:val="000D5782"/>
    <w:rsid w:val="000E6613"/>
    <w:rsid w:val="000E7119"/>
    <w:rsid w:val="00114E9B"/>
    <w:rsid w:val="00120566"/>
    <w:rsid w:val="00142216"/>
    <w:rsid w:val="00144D6A"/>
    <w:rsid w:val="0014729F"/>
    <w:rsid w:val="00157BAB"/>
    <w:rsid w:val="001654D1"/>
    <w:rsid w:val="00174518"/>
    <w:rsid w:val="0018106D"/>
    <w:rsid w:val="001877A7"/>
    <w:rsid w:val="00191536"/>
    <w:rsid w:val="00196687"/>
    <w:rsid w:val="001C0962"/>
    <w:rsid w:val="001C7ABA"/>
    <w:rsid w:val="001D7531"/>
    <w:rsid w:val="001E737D"/>
    <w:rsid w:val="001F0592"/>
    <w:rsid w:val="001F7506"/>
    <w:rsid w:val="00200021"/>
    <w:rsid w:val="002006CD"/>
    <w:rsid w:val="00202B36"/>
    <w:rsid w:val="00204B7A"/>
    <w:rsid w:val="00204CDE"/>
    <w:rsid w:val="0021101A"/>
    <w:rsid w:val="00220536"/>
    <w:rsid w:val="00225578"/>
    <w:rsid w:val="00235629"/>
    <w:rsid w:val="00260C38"/>
    <w:rsid w:val="002616C0"/>
    <w:rsid w:val="00265372"/>
    <w:rsid w:val="002662AA"/>
    <w:rsid w:val="00280496"/>
    <w:rsid w:val="00282AC7"/>
    <w:rsid w:val="00294DC9"/>
    <w:rsid w:val="00295495"/>
    <w:rsid w:val="002A31DE"/>
    <w:rsid w:val="002B2613"/>
    <w:rsid w:val="002C3FF6"/>
    <w:rsid w:val="002D6D05"/>
    <w:rsid w:val="002F1818"/>
    <w:rsid w:val="002F40A6"/>
    <w:rsid w:val="002F567B"/>
    <w:rsid w:val="003216A9"/>
    <w:rsid w:val="00335A74"/>
    <w:rsid w:val="003408D9"/>
    <w:rsid w:val="0036561B"/>
    <w:rsid w:val="0037013F"/>
    <w:rsid w:val="00376D32"/>
    <w:rsid w:val="00380C92"/>
    <w:rsid w:val="00393073"/>
    <w:rsid w:val="003A484F"/>
    <w:rsid w:val="003A4883"/>
    <w:rsid w:val="003B0BE0"/>
    <w:rsid w:val="003B0C1B"/>
    <w:rsid w:val="003B688C"/>
    <w:rsid w:val="003C0291"/>
    <w:rsid w:val="003C39AE"/>
    <w:rsid w:val="003C7B60"/>
    <w:rsid w:val="003D0C0F"/>
    <w:rsid w:val="003D1FB2"/>
    <w:rsid w:val="003D66DA"/>
    <w:rsid w:val="003E1310"/>
    <w:rsid w:val="003E2E33"/>
    <w:rsid w:val="003E6F55"/>
    <w:rsid w:val="004009CB"/>
    <w:rsid w:val="00406254"/>
    <w:rsid w:val="004223DE"/>
    <w:rsid w:val="00434489"/>
    <w:rsid w:val="00437085"/>
    <w:rsid w:val="00443880"/>
    <w:rsid w:val="004464F4"/>
    <w:rsid w:val="0045274B"/>
    <w:rsid w:val="00471401"/>
    <w:rsid w:val="00473F31"/>
    <w:rsid w:val="00474919"/>
    <w:rsid w:val="0048263A"/>
    <w:rsid w:val="00487E5D"/>
    <w:rsid w:val="00492FCF"/>
    <w:rsid w:val="004A711F"/>
    <w:rsid w:val="004B199D"/>
    <w:rsid w:val="004B4690"/>
    <w:rsid w:val="004D2F41"/>
    <w:rsid w:val="004E0A2D"/>
    <w:rsid w:val="004E206B"/>
    <w:rsid w:val="004E6DF7"/>
    <w:rsid w:val="004F049D"/>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B82"/>
    <w:rsid w:val="00614E44"/>
    <w:rsid w:val="0062270A"/>
    <w:rsid w:val="00622830"/>
    <w:rsid w:val="00623DA0"/>
    <w:rsid w:val="00630AEF"/>
    <w:rsid w:val="006325F8"/>
    <w:rsid w:val="00633463"/>
    <w:rsid w:val="00634C9A"/>
    <w:rsid w:val="006440E4"/>
    <w:rsid w:val="00661709"/>
    <w:rsid w:val="0066343B"/>
    <w:rsid w:val="00664777"/>
    <w:rsid w:val="00665CBF"/>
    <w:rsid w:val="006748A4"/>
    <w:rsid w:val="00681A31"/>
    <w:rsid w:val="00683E73"/>
    <w:rsid w:val="00685D14"/>
    <w:rsid w:val="006A3141"/>
    <w:rsid w:val="006A5E34"/>
    <w:rsid w:val="006B2422"/>
    <w:rsid w:val="006B2B9A"/>
    <w:rsid w:val="006C1937"/>
    <w:rsid w:val="006F020C"/>
    <w:rsid w:val="007127B7"/>
    <w:rsid w:val="0071798E"/>
    <w:rsid w:val="007416B6"/>
    <w:rsid w:val="00746F48"/>
    <w:rsid w:val="0075404D"/>
    <w:rsid w:val="00754848"/>
    <w:rsid w:val="0076182A"/>
    <w:rsid w:val="007662CD"/>
    <w:rsid w:val="00767B7E"/>
    <w:rsid w:val="007770C3"/>
    <w:rsid w:val="00784D24"/>
    <w:rsid w:val="00785FBA"/>
    <w:rsid w:val="00786E4A"/>
    <w:rsid w:val="007875EB"/>
    <w:rsid w:val="0079426B"/>
    <w:rsid w:val="007A419B"/>
    <w:rsid w:val="007D1682"/>
    <w:rsid w:val="007D205F"/>
    <w:rsid w:val="007D312A"/>
    <w:rsid w:val="007D3F19"/>
    <w:rsid w:val="007E23B0"/>
    <w:rsid w:val="007E23E5"/>
    <w:rsid w:val="007F1991"/>
    <w:rsid w:val="007F2C2F"/>
    <w:rsid w:val="007F55FC"/>
    <w:rsid w:val="007F5665"/>
    <w:rsid w:val="007F5F8F"/>
    <w:rsid w:val="00800112"/>
    <w:rsid w:val="008018B5"/>
    <w:rsid w:val="00813348"/>
    <w:rsid w:val="0081694C"/>
    <w:rsid w:val="008253BB"/>
    <w:rsid w:val="0083706E"/>
    <w:rsid w:val="008408F6"/>
    <w:rsid w:val="00840D06"/>
    <w:rsid w:val="008423A5"/>
    <w:rsid w:val="00850625"/>
    <w:rsid w:val="00853718"/>
    <w:rsid w:val="00855221"/>
    <w:rsid w:val="00860645"/>
    <w:rsid w:val="00871F71"/>
    <w:rsid w:val="00872FD8"/>
    <w:rsid w:val="00885AF4"/>
    <w:rsid w:val="008939CD"/>
    <w:rsid w:val="008A2B6A"/>
    <w:rsid w:val="008B768C"/>
    <w:rsid w:val="008C331C"/>
    <w:rsid w:val="008C4DB1"/>
    <w:rsid w:val="008C4EAF"/>
    <w:rsid w:val="008C5176"/>
    <w:rsid w:val="008C7FD0"/>
    <w:rsid w:val="008E1DE7"/>
    <w:rsid w:val="008E707C"/>
    <w:rsid w:val="00900B08"/>
    <w:rsid w:val="00902155"/>
    <w:rsid w:val="00902FA3"/>
    <w:rsid w:val="00923564"/>
    <w:rsid w:val="0092392E"/>
    <w:rsid w:val="0092695D"/>
    <w:rsid w:val="009315F9"/>
    <w:rsid w:val="00933499"/>
    <w:rsid w:val="00935C98"/>
    <w:rsid w:val="00946945"/>
    <w:rsid w:val="00951248"/>
    <w:rsid w:val="0095152F"/>
    <w:rsid w:val="00954C49"/>
    <w:rsid w:val="00955E37"/>
    <w:rsid w:val="0097099F"/>
    <w:rsid w:val="00971997"/>
    <w:rsid w:val="00971FFC"/>
    <w:rsid w:val="0098660A"/>
    <w:rsid w:val="009931C3"/>
    <w:rsid w:val="00996E3B"/>
    <w:rsid w:val="00997A76"/>
    <w:rsid w:val="009B2C43"/>
    <w:rsid w:val="009B4EAE"/>
    <w:rsid w:val="009B6B15"/>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7A1"/>
    <w:rsid w:val="00A40A00"/>
    <w:rsid w:val="00A4142F"/>
    <w:rsid w:val="00A422EB"/>
    <w:rsid w:val="00A45BB7"/>
    <w:rsid w:val="00A5400B"/>
    <w:rsid w:val="00A56DF2"/>
    <w:rsid w:val="00A56E6E"/>
    <w:rsid w:val="00A67AB5"/>
    <w:rsid w:val="00A71F09"/>
    <w:rsid w:val="00A72C95"/>
    <w:rsid w:val="00A733B2"/>
    <w:rsid w:val="00A741C2"/>
    <w:rsid w:val="00A81F85"/>
    <w:rsid w:val="00A91760"/>
    <w:rsid w:val="00A93B00"/>
    <w:rsid w:val="00A93C21"/>
    <w:rsid w:val="00AB450A"/>
    <w:rsid w:val="00AB64C9"/>
    <w:rsid w:val="00AC3C6A"/>
    <w:rsid w:val="00AD5620"/>
    <w:rsid w:val="00AD656B"/>
    <w:rsid w:val="00AD7C1B"/>
    <w:rsid w:val="00AE16BA"/>
    <w:rsid w:val="00AE1EBE"/>
    <w:rsid w:val="00B03C9D"/>
    <w:rsid w:val="00B060AE"/>
    <w:rsid w:val="00B10517"/>
    <w:rsid w:val="00B14E76"/>
    <w:rsid w:val="00B161B8"/>
    <w:rsid w:val="00B2048C"/>
    <w:rsid w:val="00B22A60"/>
    <w:rsid w:val="00B310B9"/>
    <w:rsid w:val="00B35F3F"/>
    <w:rsid w:val="00B36CBB"/>
    <w:rsid w:val="00B425E0"/>
    <w:rsid w:val="00B440AA"/>
    <w:rsid w:val="00B44B70"/>
    <w:rsid w:val="00B53C56"/>
    <w:rsid w:val="00B57DAF"/>
    <w:rsid w:val="00B77290"/>
    <w:rsid w:val="00B77EA6"/>
    <w:rsid w:val="00B81598"/>
    <w:rsid w:val="00B841F1"/>
    <w:rsid w:val="00B944D6"/>
    <w:rsid w:val="00BB4DF0"/>
    <w:rsid w:val="00BC03DC"/>
    <w:rsid w:val="00BC289F"/>
    <w:rsid w:val="00BC2D50"/>
    <w:rsid w:val="00BC5361"/>
    <w:rsid w:val="00BC5460"/>
    <w:rsid w:val="00BC6B50"/>
    <w:rsid w:val="00BD0E25"/>
    <w:rsid w:val="00BF16D5"/>
    <w:rsid w:val="00BF5BD6"/>
    <w:rsid w:val="00C03E31"/>
    <w:rsid w:val="00C112B3"/>
    <w:rsid w:val="00C33E72"/>
    <w:rsid w:val="00C354B2"/>
    <w:rsid w:val="00C35554"/>
    <w:rsid w:val="00C40F4C"/>
    <w:rsid w:val="00C42709"/>
    <w:rsid w:val="00C42F07"/>
    <w:rsid w:val="00C533CC"/>
    <w:rsid w:val="00C5751C"/>
    <w:rsid w:val="00C61BFC"/>
    <w:rsid w:val="00C62B85"/>
    <w:rsid w:val="00C642DD"/>
    <w:rsid w:val="00C65438"/>
    <w:rsid w:val="00C74464"/>
    <w:rsid w:val="00C87FD8"/>
    <w:rsid w:val="00C911EC"/>
    <w:rsid w:val="00C91381"/>
    <w:rsid w:val="00C91CBB"/>
    <w:rsid w:val="00CB3990"/>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7F27"/>
    <w:rsid w:val="00D7035F"/>
    <w:rsid w:val="00D7060A"/>
    <w:rsid w:val="00DA634F"/>
    <w:rsid w:val="00DA65AC"/>
    <w:rsid w:val="00DB1913"/>
    <w:rsid w:val="00DB1D65"/>
    <w:rsid w:val="00DB4A66"/>
    <w:rsid w:val="00DC410D"/>
    <w:rsid w:val="00DC5A81"/>
    <w:rsid w:val="00DC68CA"/>
    <w:rsid w:val="00DC7CBA"/>
    <w:rsid w:val="00DD73B7"/>
    <w:rsid w:val="00DF28BC"/>
    <w:rsid w:val="00DF34B9"/>
    <w:rsid w:val="00E01053"/>
    <w:rsid w:val="00E07ACF"/>
    <w:rsid w:val="00E24B1D"/>
    <w:rsid w:val="00E331A1"/>
    <w:rsid w:val="00E33202"/>
    <w:rsid w:val="00E336A9"/>
    <w:rsid w:val="00E472B1"/>
    <w:rsid w:val="00E50624"/>
    <w:rsid w:val="00E568DF"/>
    <w:rsid w:val="00E64269"/>
    <w:rsid w:val="00E64EA2"/>
    <w:rsid w:val="00E67944"/>
    <w:rsid w:val="00E82267"/>
    <w:rsid w:val="00E853CE"/>
    <w:rsid w:val="00E867B6"/>
    <w:rsid w:val="00EA010F"/>
    <w:rsid w:val="00ED1B63"/>
    <w:rsid w:val="00ED3C1F"/>
    <w:rsid w:val="00ED4085"/>
    <w:rsid w:val="00ED420E"/>
    <w:rsid w:val="00ED6448"/>
    <w:rsid w:val="00ED6FBE"/>
    <w:rsid w:val="00EE1C9C"/>
    <w:rsid w:val="00EE2F57"/>
    <w:rsid w:val="00EF4C34"/>
    <w:rsid w:val="00EF77C6"/>
    <w:rsid w:val="00F009FF"/>
    <w:rsid w:val="00F02CB9"/>
    <w:rsid w:val="00F05438"/>
    <w:rsid w:val="00F1361C"/>
    <w:rsid w:val="00F156F0"/>
    <w:rsid w:val="00F160C7"/>
    <w:rsid w:val="00F2408F"/>
    <w:rsid w:val="00F240E9"/>
    <w:rsid w:val="00F32557"/>
    <w:rsid w:val="00F36D8F"/>
    <w:rsid w:val="00F417B1"/>
    <w:rsid w:val="00F45853"/>
    <w:rsid w:val="00F602DF"/>
    <w:rsid w:val="00F754A1"/>
    <w:rsid w:val="00F81FD9"/>
    <w:rsid w:val="00F841AA"/>
    <w:rsid w:val="00F84A94"/>
    <w:rsid w:val="00F87E96"/>
    <w:rsid w:val="00F9027D"/>
    <w:rsid w:val="00FA23E8"/>
    <w:rsid w:val="00FC1366"/>
    <w:rsid w:val="00FD3CC1"/>
    <w:rsid w:val="00FF1E02"/>
    <w:rsid w:val="00FF30B4"/>
    <w:rsid w:val="021A6C4F"/>
    <w:rsid w:val="035B26F4"/>
    <w:rsid w:val="0A1E3055"/>
    <w:rsid w:val="0A2032A3"/>
    <w:rsid w:val="0AEF0E22"/>
    <w:rsid w:val="0B8A37D8"/>
    <w:rsid w:val="0D230698"/>
    <w:rsid w:val="0E4F5ED2"/>
    <w:rsid w:val="0F40581B"/>
    <w:rsid w:val="10C055FF"/>
    <w:rsid w:val="11586E4C"/>
    <w:rsid w:val="115A0CFE"/>
    <w:rsid w:val="118107EC"/>
    <w:rsid w:val="11A42091"/>
    <w:rsid w:val="11DD6519"/>
    <w:rsid w:val="126D370B"/>
    <w:rsid w:val="13025066"/>
    <w:rsid w:val="139E25CA"/>
    <w:rsid w:val="16BB723D"/>
    <w:rsid w:val="18015F3F"/>
    <w:rsid w:val="194542BF"/>
    <w:rsid w:val="1BE8440E"/>
    <w:rsid w:val="1CBA6C0D"/>
    <w:rsid w:val="1D155CEE"/>
    <w:rsid w:val="1E0068A1"/>
    <w:rsid w:val="20AF45AF"/>
    <w:rsid w:val="20CC6275"/>
    <w:rsid w:val="20F57F95"/>
    <w:rsid w:val="213B4094"/>
    <w:rsid w:val="21471D75"/>
    <w:rsid w:val="21C67E02"/>
    <w:rsid w:val="240371BF"/>
    <w:rsid w:val="25C741E6"/>
    <w:rsid w:val="27842671"/>
    <w:rsid w:val="29FD04D3"/>
    <w:rsid w:val="2A3C6EB3"/>
    <w:rsid w:val="2ABE7A3E"/>
    <w:rsid w:val="2C0C4FAB"/>
    <w:rsid w:val="2C554E1A"/>
    <w:rsid w:val="2E9759B4"/>
    <w:rsid w:val="2ECD18E2"/>
    <w:rsid w:val="2EDB42A0"/>
    <w:rsid w:val="2EFA178C"/>
    <w:rsid w:val="30940EAD"/>
    <w:rsid w:val="30B46D73"/>
    <w:rsid w:val="319F7F4E"/>
    <w:rsid w:val="31BE28A4"/>
    <w:rsid w:val="32795CFE"/>
    <w:rsid w:val="35624D04"/>
    <w:rsid w:val="397F3F36"/>
    <w:rsid w:val="39AE70AB"/>
    <w:rsid w:val="3B820DE6"/>
    <w:rsid w:val="3C0C0783"/>
    <w:rsid w:val="3E141FF4"/>
    <w:rsid w:val="3EC85CA7"/>
    <w:rsid w:val="3EE002FD"/>
    <w:rsid w:val="3F795B0E"/>
    <w:rsid w:val="3F9F3A96"/>
    <w:rsid w:val="40350D30"/>
    <w:rsid w:val="42B717F1"/>
    <w:rsid w:val="45432439"/>
    <w:rsid w:val="47CD5197"/>
    <w:rsid w:val="48904B42"/>
    <w:rsid w:val="48EB1D78"/>
    <w:rsid w:val="493C27E9"/>
    <w:rsid w:val="496F39ED"/>
    <w:rsid w:val="49FF41D3"/>
    <w:rsid w:val="4A185DC8"/>
    <w:rsid w:val="4B646353"/>
    <w:rsid w:val="4BE068DB"/>
    <w:rsid w:val="4BF6002B"/>
    <w:rsid w:val="4E5E4D9B"/>
    <w:rsid w:val="4ECE2238"/>
    <w:rsid w:val="51DB4B86"/>
    <w:rsid w:val="5253273C"/>
    <w:rsid w:val="54AB5DA7"/>
    <w:rsid w:val="54CA13DC"/>
    <w:rsid w:val="54D6084E"/>
    <w:rsid w:val="55333C3E"/>
    <w:rsid w:val="58C24F41"/>
    <w:rsid w:val="59F82547"/>
    <w:rsid w:val="5AFF7905"/>
    <w:rsid w:val="5BB26726"/>
    <w:rsid w:val="5E6A778C"/>
    <w:rsid w:val="5E8B1BDC"/>
    <w:rsid w:val="5EBF1885"/>
    <w:rsid w:val="5F090D52"/>
    <w:rsid w:val="5FBF6E8F"/>
    <w:rsid w:val="602D281F"/>
    <w:rsid w:val="61B2747F"/>
    <w:rsid w:val="64366CA5"/>
    <w:rsid w:val="64B27796"/>
    <w:rsid w:val="64CA39A1"/>
    <w:rsid w:val="64D66B19"/>
    <w:rsid w:val="65927BDF"/>
    <w:rsid w:val="67002A3B"/>
    <w:rsid w:val="6ADB7A47"/>
    <w:rsid w:val="6C4A05C8"/>
    <w:rsid w:val="6CC13DA5"/>
    <w:rsid w:val="6D864791"/>
    <w:rsid w:val="6E910A4F"/>
    <w:rsid w:val="72734D90"/>
    <w:rsid w:val="72EB459F"/>
    <w:rsid w:val="74B86703"/>
    <w:rsid w:val="7507346E"/>
    <w:rsid w:val="75344928"/>
    <w:rsid w:val="75507BBA"/>
    <w:rsid w:val="769B0768"/>
    <w:rsid w:val="7827447A"/>
    <w:rsid w:val="78697DBA"/>
    <w:rsid w:val="78A23952"/>
    <w:rsid w:val="78BB4A14"/>
    <w:rsid w:val="7943753D"/>
    <w:rsid w:val="79E7B28D"/>
    <w:rsid w:val="7B2E1F18"/>
    <w:rsid w:val="7B4038F6"/>
    <w:rsid w:val="7BE956C5"/>
    <w:rsid w:val="7C775BAB"/>
    <w:rsid w:val="7D2C5EE0"/>
    <w:rsid w:val="7DB11D69"/>
    <w:rsid w:val="7E521976"/>
    <w:rsid w:val="7E6E42D6"/>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21441</Words>
  <Characters>22910</Characters>
  <Lines>30</Lines>
  <Paragraphs>50</Paragraphs>
  <TotalTime>60</TotalTime>
  <ScaleCrop>false</ScaleCrop>
  <LinksUpToDate>false</LinksUpToDate>
  <CharactersWithSpaces>23138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王宇林</cp:lastModifiedBy>
  <cp:lastPrinted>2022-09-19T06:52:00Z</cp:lastPrinted>
  <dcterms:modified xsi:type="dcterms:W3CDTF">2023-06-26T08:59:21Z</dcterms:modified>
  <dc:title>四川省***</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18C4299B72334D3095585539B3212D20</vt:lpwstr>
  </property>
</Properties>
</file>