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宋体" w:eastAsia="方正小标宋简体"/>
          <w:sz w:val="72"/>
          <w:szCs w:val="72"/>
        </w:rPr>
      </w:pPr>
      <w:bookmarkStart w:id="0" w:name="_Toc15306267"/>
    </w:p>
    <w:p>
      <w:pPr>
        <w:spacing w:line="600" w:lineRule="exact"/>
        <w:jc w:val="center"/>
        <w:rPr>
          <w:rFonts w:ascii="方正小标宋简体" w:hAnsi="宋体" w:eastAsia="方正小标宋简体"/>
          <w:sz w:val="72"/>
          <w:szCs w:val="72"/>
        </w:rPr>
      </w:pPr>
    </w:p>
    <w:p>
      <w:pPr>
        <w:spacing w:line="600" w:lineRule="exact"/>
        <w:jc w:val="center"/>
        <w:rPr>
          <w:rFonts w:ascii="方正小标宋简体" w:hAnsi="宋体" w:eastAsia="方正小标宋简体"/>
          <w:sz w:val="72"/>
          <w:szCs w:val="72"/>
        </w:rPr>
      </w:pPr>
    </w:p>
    <w:p>
      <w:pPr>
        <w:spacing w:line="600" w:lineRule="exact"/>
        <w:jc w:val="center"/>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475"/>
      <w:bookmarkStart w:id="2" w:name="_Toc15378441"/>
      <w:bookmarkStart w:id="3" w:name="_Toc15377425"/>
      <w:bookmarkStart w:id="4" w:name="_Toc9712"/>
      <w:bookmarkStart w:id="5" w:name="_Toc15396597"/>
      <w:bookmarkStart w:id="6" w:name="_Toc15377193"/>
      <w:r>
        <w:rPr>
          <w:rFonts w:hint="eastAsia" w:ascii="方正小标宋简体" w:hAnsi="方正小标宋简体" w:eastAsia="方正小标宋简体" w:cs="方正小标宋简体"/>
          <w:sz w:val="72"/>
          <w:szCs w:val="72"/>
        </w:rPr>
        <w:t>2021年度</w:t>
      </w:r>
      <w:bookmarkEnd w:id="1"/>
      <w:bookmarkEnd w:id="2"/>
      <w:bookmarkEnd w:id="3"/>
      <w:bookmarkEnd w:id="4"/>
      <w:bookmarkEnd w:id="5"/>
      <w:bookmarkEnd w:id="6"/>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7" w:name="_Toc15396598"/>
      <w:bookmarkStart w:id="8" w:name="_Toc15377426"/>
      <w:bookmarkStart w:id="9" w:name="_Toc15377194"/>
      <w:bookmarkStart w:id="10" w:name="_Toc15396476"/>
      <w:bookmarkStart w:id="11" w:name="_Toc5309"/>
      <w:bookmarkStart w:id="12" w:name="_Toc15378442"/>
      <w:r>
        <w:rPr>
          <w:rFonts w:hint="eastAsia" w:ascii="方正小标宋简体" w:hAnsi="方正小标宋简体" w:eastAsia="方正小标宋简体" w:cs="方正小标宋简体"/>
          <w:sz w:val="72"/>
          <w:szCs w:val="72"/>
        </w:rPr>
        <w:t>广元市</w:t>
      </w:r>
      <w:bookmarkEnd w:id="0"/>
      <w:bookmarkStart w:id="13" w:name="_Toc15306268"/>
      <w:r>
        <w:rPr>
          <w:rFonts w:hint="eastAsia" w:ascii="方正小标宋简体" w:hAnsi="方正小标宋简体" w:eastAsia="方正小标宋简体" w:cs="方正小标宋简体"/>
          <w:sz w:val="72"/>
          <w:szCs w:val="72"/>
        </w:rPr>
        <w:t>疾病预防控制中心单位决算</w:t>
      </w:r>
      <w:bookmarkEnd w:id="7"/>
      <w:bookmarkEnd w:id="8"/>
      <w:bookmarkEnd w:id="9"/>
      <w:bookmarkEnd w:id="10"/>
      <w:bookmarkEnd w:id="11"/>
      <w:bookmarkEnd w:id="12"/>
      <w:bookmarkEnd w:id="13"/>
    </w:p>
    <w:p>
      <w:pPr>
        <w:widowControl/>
        <w:jc w:val="center"/>
        <w:rPr>
          <w:rFonts w:ascii="黑体" w:hAnsi="黑体" w:eastAsia="黑体"/>
          <w:sz w:val="48"/>
          <w:szCs w:val="48"/>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pPr>
        <w:widowControl/>
        <w:jc w:val="center"/>
        <w:rPr>
          <w:rFonts w:ascii="黑体" w:hAnsi="黑体" w:eastAsia="黑体"/>
          <w:sz w:val="48"/>
          <w:szCs w:val="48"/>
        </w:rPr>
      </w:pP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1"/>
        <w:rPr>
          <w:rFonts w:ascii="仿宋_GB2312" w:hAnsi="Times New Roman" w:eastAsia="仿宋_GB2312"/>
          <w:b/>
          <w:kern w:val="0"/>
          <w:sz w:val="30"/>
          <w:szCs w:val="24"/>
        </w:rPr>
      </w:pPr>
      <w:r>
        <w:rPr>
          <w:rFonts w:hint="eastAsia"/>
        </w:rPr>
        <w:t>公开时间：2022年10月10日</w:t>
      </w:r>
      <w:bookmarkStart w:id="14" w:name="_Toc15396599"/>
      <w:bookmarkStart w:id="15" w:name="_Toc15377196"/>
      <w:r>
        <w:fldChar w:fldCharType="begin"/>
      </w:r>
      <w:r>
        <w:instrText xml:space="preserve">TOC \o "1-2" \h \u </w:instrText>
      </w:r>
      <w:r>
        <w:fldChar w:fldCharType="separate"/>
      </w:r>
    </w:p>
    <w:p>
      <w:pPr>
        <w:pStyle w:val="11"/>
        <w:tabs>
          <w:tab w:val="right" w:leader="dot" w:pos="8306"/>
          <w:tab w:val="clear" w:pos="8296"/>
        </w:tabs>
        <w:rPr>
          <w:rFonts w:ascii="宋体" w:hAnsi="宋体" w:eastAsia="宋体" w:cs="宋体"/>
        </w:rPr>
      </w:pPr>
      <w:r>
        <w:fldChar w:fldCharType="begin"/>
      </w:r>
      <w:r>
        <w:instrText xml:space="preserve"> HYPERLINK \l "_Toc15243" </w:instrText>
      </w:r>
      <w:r>
        <w:fldChar w:fldCharType="separate"/>
      </w:r>
      <w:r>
        <w:rPr>
          <w:rFonts w:hint="eastAsia" w:ascii="宋体" w:hAnsi="宋体" w:eastAsia="宋体" w:cs="宋体"/>
        </w:rPr>
        <w:t>第一部分 单位概况</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_Toc15243 \h </w:instrText>
      </w:r>
      <w:r>
        <w:rPr>
          <w:rFonts w:hint="eastAsia" w:ascii="宋体" w:hAnsi="宋体" w:eastAsia="宋体" w:cs="宋体"/>
        </w:rPr>
        <w:fldChar w:fldCharType="separate"/>
      </w:r>
      <w:r>
        <w:rPr>
          <w:rFonts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pPr>
        <w:pStyle w:val="12"/>
        <w:tabs>
          <w:tab w:val="right" w:leader="dot" w:pos="8306"/>
          <w:tab w:val="clear" w:pos="8296"/>
        </w:tabs>
        <w:rPr>
          <w:rFonts w:ascii="宋体" w:hAnsi="宋体" w:cs="宋体"/>
          <w:sz w:val="28"/>
          <w:szCs w:val="28"/>
        </w:rPr>
      </w:pPr>
      <w:r>
        <w:fldChar w:fldCharType="begin"/>
      </w:r>
      <w:r>
        <w:instrText xml:space="preserve"> HYPERLINK \l "_Toc7730" </w:instrText>
      </w:r>
      <w:r>
        <w:fldChar w:fldCharType="separate"/>
      </w:r>
      <w:r>
        <w:rPr>
          <w:rFonts w:hint="eastAsia" w:ascii="宋体" w:hAnsi="宋体" w:cs="宋体"/>
          <w:sz w:val="28"/>
          <w:szCs w:val="28"/>
        </w:rPr>
        <w:t>一、 职能简介</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_Toc7730 \h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fldChar w:fldCharType="end"/>
      </w:r>
    </w:p>
    <w:p>
      <w:pPr>
        <w:pStyle w:val="12"/>
        <w:tabs>
          <w:tab w:val="right" w:leader="dot" w:pos="8306"/>
          <w:tab w:val="clear" w:pos="8296"/>
        </w:tabs>
        <w:rPr>
          <w:rFonts w:ascii="宋体" w:hAnsi="宋体" w:cs="宋体"/>
          <w:sz w:val="28"/>
          <w:szCs w:val="28"/>
        </w:rPr>
      </w:pPr>
      <w:r>
        <w:fldChar w:fldCharType="begin"/>
      </w:r>
      <w:r>
        <w:instrText xml:space="preserve"> HYPERLINK \l "_Toc7927" </w:instrText>
      </w:r>
      <w:r>
        <w:fldChar w:fldCharType="separate"/>
      </w:r>
      <w:r>
        <w:rPr>
          <w:rFonts w:hint="eastAsia" w:ascii="宋体" w:hAnsi="宋体" w:cs="宋体"/>
          <w:sz w:val="28"/>
          <w:szCs w:val="28"/>
        </w:rPr>
        <w:t>二、2021年重点工作完成情况</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_Toc7927 \h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fldChar w:fldCharType="end"/>
      </w:r>
    </w:p>
    <w:p>
      <w:pPr>
        <w:pStyle w:val="11"/>
        <w:tabs>
          <w:tab w:val="right" w:leader="dot" w:pos="8306"/>
          <w:tab w:val="clear" w:pos="8296"/>
        </w:tabs>
        <w:rPr>
          <w:rFonts w:ascii="宋体" w:hAnsi="宋体" w:eastAsia="宋体" w:cs="宋体"/>
        </w:rPr>
      </w:pPr>
      <w:r>
        <w:fldChar w:fldCharType="begin"/>
      </w:r>
      <w:r>
        <w:instrText xml:space="preserve"> HYPERLINK \l "_Toc22705" </w:instrText>
      </w:r>
      <w:r>
        <w:fldChar w:fldCharType="separate"/>
      </w:r>
      <w:r>
        <w:rPr>
          <w:rFonts w:hint="eastAsia" w:ascii="宋体" w:hAnsi="宋体" w:eastAsia="宋体" w:cs="宋体"/>
          <w:bCs/>
        </w:rPr>
        <w:t>第二部分 2021年度单位决算情况说明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_Toc22705 \h </w:instrText>
      </w:r>
      <w:r>
        <w:rPr>
          <w:rFonts w:hint="eastAsia" w:ascii="宋体" w:hAnsi="宋体" w:eastAsia="宋体" w:cs="宋体"/>
        </w:rPr>
        <w:fldChar w:fldCharType="separate"/>
      </w:r>
      <w:r>
        <w:rPr>
          <w:rFonts w:ascii="宋体" w:hAnsi="宋体" w:eastAsia="宋体" w:cs="宋体"/>
        </w:rPr>
        <w:t>9</w:t>
      </w:r>
      <w:r>
        <w:rPr>
          <w:rFonts w:hint="eastAsia" w:ascii="宋体" w:hAnsi="宋体" w:eastAsia="宋体" w:cs="宋体"/>
        </w:rPr>
        <w:fldChar w:fldCharType="end"/>
      </w:r>
      <w:r>
        <w:rPr>
          <w:rFonts w:hint="eastAsia" w:ascii="宋体" w:hAnsi="宋体" w:eastAsia="宋体" w:cs="宋体"/>
        </w:rPr>
        <w:fldChar w:fldCharType="end"/>
      </w:r>
    </w:p>
    <w:p>
      <w:pPr>
        <w:pStyle w:val="12"/>
        <w:tabs>
          <w:tab w:val="right" w:leader="dot" w:pos="8306"/>
          <w:tab w:val="clear" w:pos="8296"/>
        </w:tabs>
        <w:rPr>
          <w:rFonts w:ascii="宋体" w:hAnsi="宋体" w:cs="宋体"/>
          <w:sz w:val="28"/>
          <w:szCs w:val="28"/>
        </w:rPr>
      </w:pPr>
      <w:r>
        <w:fldChar w:fldCharType="begin"/>
      </w:r>
      <w:r>
        <w:instrText xml:space="preserve"> HYPERLINK \l "_Toc5336" </w:instrText>
      </w:r>
      <w:r>
        <w:fldChar w:fldCharType="separate"/>
      </w:r>
      <w:r>
        <w:rPr>
          <w:rFonts w:hint="eastAsia" w:ascii="宋体" w:hAnsi="宋体" w:cs="宋体"/>
          <w:sz w:val="28"/>
          <w:szCs w:val="28"/>
        </w:rPr>
        <w:t>一、 收入支出决算总体情况说明</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_Toc5336 \h </w:instrText>
      </w:r>
      <w:r>
        <w:rPr>
          <w:rFonts w:hint="eastAsia" w:ascii="宋体" w:hAnsi="宋体" w:cs="宋体"/>
          <w:sz w:val="28"/>
          <w:szCs w:val="28"/>
        </w:rPr>
        <w:fldChar w:fldCharType="separate"/>
      </w:r>
      <w:r>
        <w:rPr>
          <w:rFonts w:ascii="宋体" w:hAnsi="宋体" w:cs="宋体"/>
          <w:sz w:val="28"/>
          <w:szCs w:val="28"/>
        </w:rPr>
        <w:t>9</w:t>
      </w:r>
      <w:r>
        <w:rPr>
          <w:rFonts w:hint="eastAsia" w:ascii="宋体" w:hAnsi="宋体" w:cs="宋体"/>
          <w:sz w:val="28"/>
          <w:szCs w:val="28"/>
        </w:rPr>
        <w:fldChar w:fldCharType="end"/>
      </w:r>
      <w:r>
        <w:rPr>
          <w:rFonts w:hint="eastAsia" w:ascii="宋体" w:hAnsi="宋体" w:cs="宋体"/>
          <w:sz w:val="28"/>
          <w:szCs w:val="28"/>
        </w:rPr>
        <w:fldChar w:fldCharType="end"/>
      </w:r>
    </w:p>
    <w:p>
      <w:pPr>
        <w:pStyle w:val="12"/>
        <w:tabs>
          <w:tab w:val="right" w:leader="dot" w:pos="8306"/>
          <w:tab w:val="clear" w:pos="8296"/>
        </w:tabs>
        <w:rPr>
          <w:rFonts w:ascii="宋体" w:hAnsi="宋体" w:cs="宋体"/>
          <w:sz w:val="28"/>
          <w:szCs w:val="28"/>
        </w:rPr>
      </w:pPr>
      <w:r>
        <w:fldChar w:fldCharType="begin"/>
      </w:r>
      <w:r>
        <w:instrText xml:space="preserve"> HYPERLINK \l "_Toc3087" </w:instrText>
      </w:r>
      <w:r>
        <w:fldChar w:fldCharType="separate"/>
      </w:r>
      <w:r>
        <w:rPr>
          <w:rFonts w:hint="eastAsia" w:ascii="宋体" w:hAnsi="宋体" w:cs="宋体"/>
          <w:sz w:val="28"/>
          <w:szCs w:val="28"/>
        </w:rPr>
        <w:t>二、 收入决算情况说明</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_Toc3087 \h </w:instrText>
      </w:r>
      <w:r>
        <w:rPr>
          <w:rFonts w:hint="eastAsia" w:ascii="宋体" w:hAnsi="宋体" w:cs="宋体"/>
          <w:sz w:val="28"/>
          <w:szCs w:val="28"/>
        </w:rPr>
        <w:fldChar w:fldCharType="separate"/>
      </w:r>
      <w:r>
        <w:rPr>
          <w:rFonts w:ascii="宋体" w:hAnsi="宋体" w:cs="宋体"/>
          <w:sz w:val="28"/>
          <w:szCs w:val="28"/>
        </w:rPr>
        <w:t>10</w:t>
      </w:r>
      <w:r>
        <w:rPr>
          <w:rFonts w:hint="eastAsia" w:ascii="宋体" w:hAnsi="宋体" w:cs="宋体"/>
          <w:sz w:val="28"/>
          <w:szCs w:val="28"/>
        </w:rPr>
        <w:fldChar w:fldCharType="end"/>
      </w:r>
      <w:r>
        <w:rPr>
          <w:rFonts w:hint="eastAsia" w:ascii="宋体" w:hAnsi="宋体" w:cs="宋体"/>
          <w:sz w:val="28"/>
          <w:szCs w:val="28"/>
        </w:rPr>
        <w:fldChar w:fldCharType="end"/>
      </w:r>
    </w:p>
    <w:p>
      <w:pPr>
        <w:pStyle w:val="12"/>
        <w:tabs>
          <w:tab w:val="right" w:leader="dot" w:pos="8306"/>
          <w:tab w:val="clear" w:pos="8296"/>
        </w:tabs>
        <w:rPr>
          <w:rFonts w:ascii="宋体" w:hAnsi="宋体" w:cs="宋体"/>
          <w:sz w:val="28"/>
          <w:szCs w:val="28"/>
        </w:rPr>
      </w:pPr>
      <w:r>
        <w:fldChar w:fldCharType="begin"/>
      </w:r>
      <w:r>
        <w:instrText xml:space="preserve"> HYPERLINK \l "_Toc28579" </w:instrText>
      </w:r>
      <w:r>
        <w:fldChar w:fldCharType="separate"/>
      </w:r>
      <w:r>
        <w:rPr>
          <w:rFonts w:hint="eastAsia" w:ascii="宋体" w:hAnsi="宋体" w:cs="宋体"/>
          <w:sz w:val="28"/>
          <w:szCs w:val="28"/>
        </w:rPr>
        <w:t>三、 支出决算情况说明</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_Toc28579 \h </w:instrText>
      </w:r>
      <w:r>
        <w:rPr>
          <w:rFonts w:hint="eastAsia" w:ascii="宋体" w:hAnsi="宋体" w:cs="宋体"/>
          <w:sz w:val="28"/>
          <w:szCs w:val="28"/>
        </w:rPr>
        <w:fldChar w:fldCharType="separate"/>
      </w:r>
      <w:r>
        <w:rPr>
          <w:rFonts w:ascii="宋体" w:hAnsi="宋体" w:cs="宋体"/>
          <w:sz w:val="28"/>
          <w:szCs w:val="28"/>
        </w:rPr>
        <w:t>10</w:t>
      </w:r>
      <w:r>
        <w:rPr>
          <w:rFonts w:hint="eastAsia" w:ascii="宋体" w:hAnsi="宋体" w:cs="宋体"/>
          <w:sz w:val="28"/>
          <w:szCs w:val="28"/>
        </w:rPr>
        <w:fldChar w:fldCharType="end"/>
      </w:r>
      <w:r>
        <w:rPr>
          <w:rFonts w:hint="eastAsia" w:ascii="宋体" w:hAnsi="宋体" w:cs="宋体"/>
          <w:sz w:val="28"/>
          <w:szCs w:val="28"/>
        </w:rPr>
        <w:fldChar w:fldCharType="end"/>
      </w:r>
    </w:p>
    <w:p>
      <w:pPr>
        <w:pStyle w:val="12"/>
        <w:tabs>
          <w:tab w:val="right" w:leader="dot" w:pos="8306"/>
          <w:tab w:val="clear" w:pos="8296"/>
        </w:tabs>
        <w:rPr>
          <w:rFonts w:ascii="宋体" w:hAnsi="宋体" w:cs="宋体"/>
          <w:sz w:val="28"/>
          <w:szCs w:val="28"/>
        </w:rPr>
      </w:pPr>
      <w:r>
        <w:fldChar w:fldCharType="begin"/>
      </w:r>
      <w:r>
        <w:instrText xml:space="preserve"> HYPERLINK \l "_Toc15772" </w:instrText>
      </w:r>
      <w:r>
        <w:fldChar w:fldCharType="separate"/>
      </w:r>
      <w:r>
        <w:rPr>
          <w:rFonts w:hint="eastAsia" w:ascii="宋体" w:hAnsi="宋体" w:cs="宋体"/>
          <w:sz w:val="28"/>
          <w:szCs w:val="28"/>
        </w:rPr>
        <w:t>四、财政拨款收入支出决算总体情况说明</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_Toc15772 \h </w:instrText>
      </w:r>
      <w:r>
        <w:rPr>
          <w:rFonts w:hint="eastAsia" w:ascii="宋体" w:hAnsi="宋体" w:cs="宋体"/>
          <w:sz w:val="28"/>
          <w:szCs w:val="28"/>
        </w:rPr>
        <w:fldChar w:fldCharType="separate"/>
      </w:r>
      <w:r>
        <w:rPr>
          <w:rFonts w:ascii="宋体" w:hAnsi="宋体" w:cs="宋体"/>
          <w:sz w:val="28"/>
          <w:szCs w:val="28"/>
        </w:rPr>
        <w:t>11</w:t>
      </w:r>
      <w:r>
        <w:rPr>
          <w:rFonts w:hint="eastAsia" w:ascii="宋体" w:hAnsi="宋体" w:cs="宋体"/>
          <w:sz w:val="28"/>
          <w:szCs w:val="28"/>
        </w:rPr>
        <w:fldChar w:fldCharType="end"/>
      </w:r>
      <w:r>
        <w:rPr>
          <w:rFonts w:hint="eastAsia" w:ascii="宋体" w:hAnsi="宋体" w:cs="宋体"/>
          <w:sz w:val="28"/>
          <w:szCs w:val="28"/>
        </w:rPr>
        <w:fldChar w:fldCharType="end"/>
      </w:r>
    </w:p>
    <w:p>
      <w:pPr>
        <w:pStyle w:val="12"/>
        <w:tabs>
          <w:tab w:val="right" w:leader="dot" w:pos="8306"/>
          <w:tab w:val="clear" w:pos="8296"/>
        </w:tabs>
        <w:rPr>
          <w:rFonts w:ascii="宋体" w:hAnsi="宋体" w:cs="宋体"/>
          <w:sz w:val="28"/>
          <w:szCs w:val="28"/>
        </w:rPr>
      </w:pPr>
      <w:r>
        <w:fldChar w:fldCharType="begin"/>
      </w:r>
      <w:r>
        <w:instrText xml:space="preserve"> HYPERLINK \l "_Toc31476" </w:instrText>
      </w:r>
      <w:r>
        <w:fldChar w:fldCharType="separate"/>
      </w:r>
      <w:r>
        <w:rPr>
          <w:rFonts w:hint="eastAsia" w:ascii="宋体" w:hAnsi="宋体" w:cs="宋体"/>
          <w:sz w:val="28"/>
          <w:szCs w:val="28"/>
        </w:rPr>
        <w:t>五、一般公共预算财政拨款支出决算情况说明</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_Toc31476 \h </w:instrText>
      </w:r>
      <w:r>
        <w:rPr>
          <w:rFonts w:hint="eastAsia" w:ascii="宋体" w:hAnsi="宋体" w:cs="宋体"/>
          <w:sz w:val="28"/>
          <w:szCs w:val="28"/>
        </w:rPr>
        <w:fldChar w:fldCharType="separate"/>
      </w:r>
      <w:r>
        <w:rPr>
          <w:rFonts w:ascii="宋体" w:hAnsi="宋体" w:cs="宋体"/>
          <w:sz w:val="28"/>
          <w:szCs w:val="28"/>
        </w:rPr>
        <w:t>12</w:t>
      </w:r>
      <w:r>
        <w:rPr>
          <w:rFonts w:hint="eastAsia" w:ascii="宋体" w:hAnsi="宋体" w:cs="宋体"/>
          <w:sz w:val="28"/>
          <w:szCs w:val="28"/>
        </w:rPr>
        <w:fldChar w:fldCharType="end"/>
      </w:r>
      <w:r>
        <w:rPr>
          <w:rFonts w:hint="eastAsia" w:ascii="宋体" w:hAnsi="宋体" w:cs="宋体"/>
          <w:sz w:val="28"/>
          <w:szCs w:val="28"/>
        </w:rPr>
        <w:fldChar w:fldCharType="end"/>
      </w:r>
    </w:p>
    <w:p>
      <w:pPr>
        <w:pStyle w:val="12"/>
        <w:tabs>
          <w:tab w:val="right" w:leader="dot" w:pos="8306"/>
          <w:tab w:val="clear" w:pos="8296"/>
        </w:tabs>
        <w:rPr>
          <w:rFonts w:ascii="宋体" w:hAnsi="宋体" w:cs="宋体"/>
          <w:sz w:val="28"/>
          <w:szCs w:val="28"/>
        </w:rPr>
      </w:pPr>
      <w:r>
        <w:fldChar w:fldCharType="begin"/>
      </w:r>
      <w:r>
        <w:instrText xml:space="preserve"> HYPERLINK \l "_Toc2145" </w:instrText>
      </w:r>
      <w:r>
        <w:fldChar w:fldCharType="separate"/>
      </w:r>
      <w:r>
        <w:rPr>
          <w:rFonts w:hint="eastAsia" w:ascii="宋体" w:hAnsi="宋体" w:cs="宋体"/>
          <w:sz w:val="28"/>
          <w:szCs w:val="28"/>
        </w:rPr>
        <w:t>六、一般公共预算财政拨款基本支出决算情况说明</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_Toc2145 \h </w:instrText>
      </w:r>
      <w:r>
        <w:rPr>
          <w:rFonts w:hint="eastAsia" w:ascii="宋体" w:hAnsi="宋体" w:cs="宋体"/>
          <w:sz w:val="28"/>
          <w:szCs w:val="28"/>
        </w:rPr>
        <w:fldChar w:fldCharType="separate"/>
      </w:r>
      <w:r>
        <w:rPr>
          <w:rFonts w:ascii="宋体" w:hAnsi="宋体" w:cs="宋体"/>
          <w:sz w:val="28"/>
          <w:szCs w:val="28"/>
        </w:rPr>
        <w:t>14</w:t>
      </w:r>
      <w:r>
        <w:rPr>
          <w:rFonts w:hint="eastAsia" w:ascii="宋体" w:hAnsi="宋体" w:cs="宋体"/>
          <w:sz w:val="28"/>
          <w:szCs w:val="28"/>
        </w:rPr>
        <w:fldChar w:fldCharType="end"/>
      </w:r>
      <w:r>
        <w:rPr>
          <w:rFonts w:hint="eastAsia" w:ascii="宋体" w:hAnsi="宋体" w:cs="宋体"/>
          <w:sz w:val="28"/>
          <w:szCs w:val="28"/>
        </w:rPr>
        <w:fldChar w:fldCharType="end"/>
      </w:r>
    </w:p>
    <w:p>
      <w:pPr>
        <w:pStyle w:val="12"/>
        <w:tabs>
          <w:tab w:val="right" w:leader="dot" w:pos="8306"/>
          <w:tab w:val="clear" w:pos="8296"/>
        </w:tabs>
        <w:rPr>
          <w:rFonts w:ascii="宋体" w:hAnsi="宋体" w:cs="宋体"/>
          <w:sz w:val="28"/>
          <w:szCs w:val="28"/>
        </w:rPr>
      </w:pPr>
      <w:r>
        <w:fldChar w:fldCharType="begin"/>
      </w:r>
      <w:r>
        <w:instrText xml:space="preserve"> HYPERLINK \l "_Toc12023" </w:instrText>
      </w:r>
      <w:r>
        <w:fldChar w:fldCharType="separate"/>
      </w:r>
      <w:r>
        <w:rPr>
          <w:rFonts w:hint="eastAsia" w:ascii="宋体" w:hAnsi="宋体" w:cs="宋体"/>
          <w:sz w:val="28"/>
          <w:szCs w:val="28"/>
        </w:rPr>
        <w:t>七、“三公”经费财政拨款支出决算情况说明</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_Toc12023 \h </w:instrText>
      </w:r>
      <w:r>
        <w:rPr>
          <w:rFonts w:hint="eastAsia" w:ascii="宋体" w:hAnsi="宋体" w:cs="宋体"/>
          <w:sz w:val="28"/>
          <w:szCs w:val="28"/>
        </w:rPr>
        <w:fldChar w:fldCharType="separate"/>
      </w:r>
      <w:r>
        <w:rPr>
          <w:rFonts w:ascii="宋体" w:hAnsi="宋体" w:cs="宋体"/>
          <w:sz w:val="28"/>
          <w:szCs w:val="28"/>
        </w:rPr>
        <w:t>15</w:t>
      </w:r>
      <w:r>
        <w:rPr>
          <w:rFonts w:hint="eastAsia" w:ascii="宋体" w:hAnsi="宋体" w:cs="宋体"/>
          <w:sz w:val="28"/>
          <w:szCs w:val="28"/>
        </w:rPr>
        <w:fldChar w:fldCharType="end"/>
      </w:r>
      <w:r>
        <w:rPr>
          <w:rFonts w:hint="eastAsia" w:ascii="宋体" w:hAnsi="宋体" w:cs="宋体"/>
          <w:sz w:val="28"/>
          <w:szCs w:val="28"/>
        </w:rPr>
        <w:fldChar w:fldCharType="end"/>
      </w:r>
    </w:p>
    <w:p>
      <w:pPr>
        <w:pStyle w:val="12"/>
        <w:tabs>
          <w:tab w:val="right" w:leader="dot" w:pos="8306"/>
          <w:tab w:val="clear" w:pos="8296"/>
        </w:tabs>
        <w:rPr>
          <w:rFonts w:ascii="宋体" w:hAnsi="宋体" w:cs="宋体"/>
          <w:sz w:val="28"/>
          <w:szCs w:val="28"/>
        </w:rPr>
      </w:pPr>
      <w:r>
        <w:fldChar w:fldCharType="begin"/>
      </w:r>
      <w:r>
        <w:instrText xml:space="preserve"> HYPERLINK \l "_Toc10550" </w:instrText>
      </w:r>
      <w:r>
        <w:fldChar w:fldCharType="separate"/>
      </w:r>
      <w:r>
        <w:rPr>
          <w:rFonts w:hint="eastAsia" w:ascii="宋体" w:hAnsi="宋体" w:cs="宋体"/>
          <w:sz w:val="28"/>
          <w:szCs w:val="28"/>
        </w:rPr>
        <w:t>八、政府性基金预算支出决算情况说明</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_Toc10550 \h </w:instrText>
      </w:r>
      <w:r>
        <w:rPr>
          <w:rFonts w:hint="eastAsia" w:ascii="宋体" w:hAnsi="宋体" w:cs="宋体"/>
          <w:sz w:val="28"/>
          <w:szCs w:val="28"/>
        </w:rPr>
        <w:fldChar w:fldCharType="separate"/>
      </w:r>
      <w:r>
        <w:rPr>
          <w:rFonts w:ascii="宋体" w:hAnsi="宋体" w:cs="宋体"/>
          <w:sz w:val="28"/>
          <w:szCs w:val="28"/>
        </w:rPr>
        <w:t>16</w:t>
      </w:r>
      <w:r>
        <w:rPr>
          <w:rFonts w:hint="eastAsia" w:ascii="宋体" w:hAnsi="宋体" w:cs="宋体"/>
          <w:sz w:val="28"/>
          <w:szCs w:val="28"/>
        </w:rPr>
        <w:fldChar w:fldCharType="end"/>
      </w:r>
      <w:r>
        <w:rPr>
          <w:rFonts w:hint="eastAsia" w:ascii="宋体" w:hAnsi="宋体" w:cs="宋体"/>
          <w:sz w:val="28"/>
          <w:szCs w:val="28"/>
        </w:rPr>
        <w:fldChar w:fldCharType="end"/>
      </w:r>
    </w:p>
    <w:p>
      <w:pPr>
        <w:pStyle w:val="12"/>
        <w:tabs>
          <w:tab w:val="right" w:leader="dot" w:pos="8306"/>
          <w:tab w:val="clear" w:pos="8296"/>
        </w:tabs>
        <w:rPr>
          <w:rFonts w:ascii="宋体" w:hAnsi="宋体" w:cs="宋体"/>
          <w:sz w:val="28"/>
          <w:szCs w:val="28"/>
        </w:rPr>
      </w:pPr>
      <w:r>
        <w:fldChar w:fldCharType="begin"/>
      </w:r>
      <w:r>
        <w:instrText xml:space="preserve"> HYPERLINK \l "_Toc7456" </w:instrText>
      </w:r>
      <w:r>
        <w:fldChar w:fldCharType="separate"/>
      </w:r>
      <w:r>
        <w:rPr>
          <w:rFonts w:hint="eastAsia" w:ascii="宋体" w:hAnsi="宋体" w:cs="宋体"/>
          <w:sz w:val="28"/>
          <w:szCs w:val="28"/>
        </w:rPr>
        <w:t>九、 国有资本经营预算支出决算情况说明</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_Toc7456 \h </w:instrText>
      </w:r>
      <w:r>
        <w:rPr>
          <w:rFonts w:hint="eastAsia" w:ascii="宋体" w:hAnsi="宋体" w:cs="宋体"/>
          <w:sz w:val="28"/>
          <w:szCs w:val="28"/>
        </w:rPr>
        <w:fldChar w:fldCharType="separate"/>
      </w:r>
      <w:r>
        <w:rPr>
          <w:rFonts w:ascii="宋体" w:hAnsi="宋体" w:cs="宋体"/>
          <w:sz w:val="28"/>
          <w:szCs w:val="28"/>
        </w:rPr>
        <w:t>17</w:t>
      </w:r>
      <w:r>
        <w:rPr>
          <w:rFonts w:hint="eastAsia" w:ascii="宋体" w:hAnsi="宋体" w:cs="宋体"/>
          <w:sz w:val="28"/>
          <w:szCs w:val="28"/>
        </w:rPr>
        <w:fldChar w:fldCharType="end"/>
      </w:r>
      <w:r>
        <w:rPr>
          <w:rFonts w:hint="eastAsia" w:ascii="宋体" w:hAnsi="宋体" w:cs="宋体"/>
          <w:sz w:val="28"/>
          <w:szCs w:val="28"/>
        </w:rPr>
        <w:fldChar w:fldCharType="end"/>
      </w:r>
    </w:p>
    <w:p>
      <w:pPr>
        <w:pStyle w:val="12"/>
        <w:tabs>
          <w:tab w:val="right" w:leader="dot" w:pos="8306"/>
          <w:tab w:val="clear" w:pos="8296"/>
        </w:tabs>
        <w:rPr>
          <w:rFonts w:ascii="宋体" w:hAnsi="宋体" w:cs="宋体"/>
          <w:sz w:val="28"/>
          <w:szCs w:val="28"/>
        </w:rPr>
      </w:pPr>
      <w:r>
        <w:fldChar w:fldCharType="begin"/>
      </w:r>
      <w:r>
        <w:instrText xml:space="preserve"> HYPERLINK \l "_Toc21345" </w:instrText>
      </w:r>
      <w:r>
        <w:fldChar w:fldCharType="separate"/>
      </w:r>
      <w:r>
        <w:rPr>
          <w:rFonts w:hint="eastAsia" w:ascii="宋体" w:hAnsi="宋体" w:cs="宋体"/>
          <w:sz w:val="28"/>
          <w:szCs w:val="28"/>
        </w:rPr>
        <w:t>十、 预算绩效管理情况</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_Toc21345 \h </w:instrText>
      </w:r>
      <w:r>
        <w:rPr>
          <w:rFonts w:hint="eastAsia" w:ascii="宋体" w:hAnsi="宋体" w:cs="宋体"/>
          <w:sz w:val="28"/>
          <w:szCs w:val="28"/>
        </w:rPr>
        <w:fldChar w:fldCharType="separate"/>
      </w:r>
      <w:r>
        <w:rPr>
          <w:rFonts w:ascii="宋体" w:hAnsi="宋体" w:cs="宋体"/>
          <w:sz w:val="28"/>
          <w:szCs w:val="28"/>
        </w:rPr>
        <w:t>17</w:t>
      </w:r>
      <w:r>
        <w:rPr>
          <w:rFonts w:hint="eastAsia" w:ascii="宋体" w:hAnsi="宋体" w:cs="宋体"/>
          <w:sz w:val="28"/>
          <w:szCs w:val="28"/>
        </w:rPr>
        <w:fldChar w:fldCharType="end"/>
      </w:r>
      <w:r>
        <w:rPr>
          <w:rFonts w:hint="eastAsia" w:ascii="宋体" w:hAnsi="宋体" w:cs="宋体"/>
          <w:sz w:val="28"/>
          <w:szCs w:val="28"/>
        </w:rPr>
        <w:fldChar w:fldCharType="end"/>
      </w:r>
    </w:p>
    <w:p>
      <w:pPr>
        <w:pStyle w:val="12"/>
        <w:tabs>
          <w:tab w:val="right" w:leader="dot" w:pos="8306"/>
          <w:tab w:val="clear" w:pos="8296"/>
        </w:tabs>
        <w:rPr>
          <w:rFonts w:ascii="宋体" w:hAnsi="宋体" w:cs="宋体"/>
          <w:sz w:val="28"/>
          <w:szCs w:val="28"/>
        </w:rPr>
      </w:pPr>
      <w:r>
        <w:fldChar w:fldCharType="begin"/>
      </w:r>
      <w:r>
        <w:instrText xml:space="preserve"> HYPERLINK \l "_Toc3282" </w:instrText>
      </w:r>
      <w:r>
        <w:fldChar w:fldCharType="separate"/>
      </w:r>
      <w:r>
        <w:rPr>
          <w:rFonts w:hint="eastAsia" w:ascii="宋体" w:hAnsi="宋体" w:cs="宋体"/>
          <w:sz w:val="28"/>
          <w:szCs w:val="28"/>
        </w:rPr>
        <w:t>十一、 其他重要事项的情况说明</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_Toc3282 \h </w:instrText>
      </w:r>
      <w:r>
        <w:rPr>
          <w:rFonts w:hint="eastAsia" w:ascii="宋体" w:hAnsi="宋体" w:cs="宋体"/>
          <w:sz w:val="28"/>
          <w:szCs w:val="28"/>
        </w:rPr>
        <w:fldChar w:fldCharType="separate"/>
      </w:r>
      <w:r>
        <w:rPr>
          <w:rFonts w:ascii="宋体" w:hAnsi="宋体" w:cs="宋体"/>
          <w:sz w:val="28"/>
          <w:szCs w:val="28"/>
        </w:rPr>
        <w:t>17</w:t>
      </w:r>
      <w:r>
        <w:rPr>
          <w:rFonts w:hint="eastAsia" w:ascii="宋体" w:hAnsi="宋体" w:cs="宋体"/>
          <w:sz w:val="28"/>
          <w:szCs w:val="28"/>
        </w:rPr>
        <w:fldChar w:fldCharType="end"/>
      </w:r>
      <w:r>
        <w:rPr>
          <w:rFonts w:hint="eastAsia" w:ascii="宋体" w:hAnsi="宋体" w:cs="宋体"/>
          <w:sz w:val="28"/>
          <w:szCs w:val="28"/>
        </w:rPr>
        <w:fldChar w:fldCharType="end"/>
      </w:r>
    </w:p>
    <w:p>
      <w:pPr>
        <w:pStyle w:val="11"/>
        <w:tabs>
          <w:tab w:val="right" w:leader="dot" w:pos="8306"/>
          <w:tab w:val="clear" w:pos="8296"/>
        </w:tabs>
        <w:rPr>
          <w:rFonts w:ascii="宋体" w:hAnsi="宋体" w:eastAsia="宋体" w:cs="宋体"/>
        </w:rPr>
      </w:pPr>
      <w:r>
        <w:fldChar w:fldCharType="begin"/>
      </w:r>
      <w:r>
        <w:instrText xml:space="preserve"> HYPERLINK \l "_Toc21844" </w:instrText>
      </w:r>
      <w:r>
        <w:fldChar w:fldCharType="separate"/>
      </w:r>
      <w:r>
        <w:rPr>
          <w:rFonts w:hint="eastAsia" w:ascii="宋体" w:hAnsi="宋体" w:eastAsia="宋体" w:cs="宋体"/>
        </w:rPr>
        <w:t>第三部分 名词解释</w:t>
      </w:r>
      <w:r>
        <w:rPr>
          <w:rFonts w:hint="eastAsia" w:ascii="宋体" w:hAnsi="宋体" w:eastAsia="宋体" w:cs="宋体"/>
        </w:rPr>
        <w:tab/>
      </w:r>
      <w:r>
        <w:rPr>
          <w:rFonts w:hint="eastAsia" w:ascii="宋体" w:hAnsi="宋体" w:eastAsia="宋体" w:cs="宋体"/>
        </w:rPr>
        <w:t>18</w:t>
      </w:r>
      <w:r>
        <w:rPr>
          <w:rFonts w:hint="eastAsia" w:ascii="宋体" w:hAnsi="宋体" w:eastAsia="宋体" w:cs="宋体"/>
        </w:rPr>
        <w:fldChar w:fldCharType="end"/>
      </w:r>
    </w:p>
    <w:p>
      <w:pPr>
        <w:pStyle w:val="11"/>
        <w:tabs>
          <w:tab w:val="right" w:leader="dot" w:pos="8306"/>
          <w:tab w:val="clear" w:pos="8296"/>
        </w:tabs>
        <w:rPr>
          <w:rFonts w:ascii="宋体" w:hAnsi="宋体" w:eastAsia="宋体" w:cs="宋体"/>
        </w:rPr>
      </w:pPr>
      <w:r>
        <w:fldChar w:fldCharType="begin"/>
      </w:r>
      <w:r>
        <w:instrText xml:space="preserve"> HYPERLINK \l "_Toc863" </w:instrText>
      </w:r>
      <w:r>
        <w:fldChar w:fldCharType="separate"/>
      </w:r>
      <w:r>
        <w:rPr>
          <w:rFonts w:hint="eastAsia" w:ascii="宋体" w:hAnsi="宋体" w:eastAsia="宋体" w:cs="宋体"/>
        </w:rPr>
        <w:t>第四部分 附件</w:t>
      </w:r>
      <w:r>
        <w:rPr>
          <w:rFonts w:hint="eastAsia" w:ascii="宋体" w:hAnsi="宋体" w:eastAsia="宋体" w:cs="宋体"/>
        </w:rPr>
        <w:tab/>
      </w:r>
      <w:r>
        <w:rPr>
          <w:rFonts w:hint="eastAsia" w:ascii="宋体" w:hAnsi="宋体" w:eastAsia="宋体" w:cs="宋体"/>
        </w:rPr>
        <w:t>21</w:t>
      </w:r>
      <w:r>
        <w:rPr>
          <w:rFonts w:hint="eastAsia" w:ascii="宋体" w:hAnsi="宋体" w:eastAsia="宋体" w:cs="宋体"/>
        </w:rPr>
        <w:fldChar w:fldCharType="end"/>
      </w:r>
    </w:p>
    <w:p>
      <w:pPr>
        <w:pStyle w:val="11"/>
        <w:tabs>
          <w:tab w:val="right" w:leader="dot" w:pos="8306"/>
          <w:tab w:val="clear" w:pos="8296"/>
        </w:tabs>
        <w:rPr>
          <w:rFonts w:ascii="宋体" w:hAnsi="宋体" w:eastAsia="宋体" w:cs="宋体"/>
        </w:rPr>
      </w:pPr>
      <w:r>
        <w:fldChar w:fldCharType="begin"/>
      </w:r>
      <w:r>
        <w:instrText xml:space="preserve"> HYPERLINK \l "_Toc356" </w:instrText>
      </w:r>
      <w:r>
        <w:fldChar w:fldCharType="separate"/>
      </w:r>
      <w:r>
        <w:rPr>
          <w:rFonts w:hint="eastAsia" w:ascii="宋体" w:hAnsi="宋体" w:eastAsia="宋体" w:cs="宋体"/>
        </w:rPr>
        <w:t>第五部分 附表</w:t>
      </w:r>
      <w:r>
        <w:rPr>
          <w:rFonts w:hint="eastAsia" w:ascii="宋体" w:hAnsi="宋体" w:eastAsia="宋体" w:cs="宋体"/>
        </w:rPr>
        <w:tab/>
      </w:r>
      <w:r>
        <w:rPr>
          <w:rFonts w:hint="eastAsia" w:ascii="宋体" w:hAnsi="宋体" w:eastAsia="宋体" w:cs="宋体"/>
        </w:rPr>
        <w:t>54</w:t>
      </w:r>
      <w:r>
        <w:rPr>
          <w:rFonts w:hint="eastAsia" w:ascii="宋体" w:hAnsi="宋体" w:eastAsia="宋体" w:cs="宋体"/>
        </w:rPr>
        <w:fldChar w:fldCharType="end"/>
      </w:r>
    </w:p>
    <w:p>
      <w:pPr>
        <w:pStyle w:val="31"/>
        <w:tabs>
          <w:tab w:val="right" w:leader="dot" w:pos="8306"/>
        </w:tabs>
      </w:pPr>
      <w:r>
        <w:rPr>
          <w:b/>
        </w:rPr>
        <w:fldChar w:fldCharType="end"/>
      </w:r>
    </w:p>
    <w:p>
      <w:pPr>
        <w:tabs>
          <w:tab w:val="left" w:pos="981"/>
        </w:tabs>
        <w:jc w:val="left"/>
        <w:sectPr>
          <w:footerReference r:id="rId6" w:type="first"/>
          <w:footerReference r:id="rId5" w:type="default"/>
          <w:pgSz w:w="11906" w:h="16838"/>
          <w:pgMar w:top="1440" w:right="1800" w:bottom="1440" w:left="1800" w:header="851" w:footer="992" w:gutter="0"/>
          <w:pgNumType w:start="1"/>
          <w:cols w:space="425" w:num="1"/>
          <w:docGrid w:type="lines" w:linePitch="312" w:charSpace="0"/>
        </w:sectPr>
      </w:pPr>
    </w:p>
    <w:p>
      <w:pPr>
        <w:pStyle w:val="3"/>
        <w:jc w:val="center"/>
        <w:rPr>
          <w:rStyle w:val="25"/>
          <w:rFonts w:ascii="黑体" w:hAnsi="黑体" w:eastAsia="黑体"/>
          <w:b/>
          <w:bCs w:val="0"/>
        </w:rPr>
      </w:pPr>
      <w:bookmarkStart w:id="16" w:name="_Toc15243"/>
      <w:r>
        <w:rPr>
          <w:rFonts w:hint="eastAsia" w:ascii="黑体" w:hAnsi="黑体" w:eastAsia="黑体"/>
          <w:b w:val="0"/>
        </w:rPr>
        <w:t>第一部分 单位</w:t>
      </w:r>
      <w:r>
        <w:rPr>
          <w:rStyle w:val="25"/>
          <w:rFonts w:hint="eastAsia" w:ascii="黑体" w:hAnsi="黑体" w:eastAsia="黑体"/>
          <w:b w:val="0"/>
          <w:bCs w:val="0"/>
        </w:rPr>
        <w:t>概况</w:t>
      </w:r>
      <w:bookmarkEnd w:id="14"/>
      <w:bookmarkEnd w:id="15"/>
      <w:bookmarkEnd w:id="16"/>
    </w:p>
    <w:p>
      <w:pPr>
        <w:widowControl/>
        <w:jc w:val="left"/>
        <w:rPr>
          <w:rFonts w:ascii="黑体" w:eastAsia="黑体"/>
          <w:sz w:val="32"/>
          <w:szCs w:val="32"/>
        </w:rPr>
      </w:pPr>
    </w:p>
    <w:p>
      <w:pPr>
        <w:pStyle w:val="4"/>
        <w:numPr>
          <w:ilvl w:val="0"/>
          <w:numId w:val="1"/>
        </w:numPr>
        <w:rPr>
          <w:rStyle w:val="26"/>
          <w:rFonts w:ascii="黑体" w:hAnsi="黑体" w:eastAsia="黑体"/>
          <w:b w:val="0"/>
          <w:bCs w:val="0"/>
        </w:rPr>
      </w:pPr>
      <w:bookmarkStart w:id="17" w:name="_Toc7730"/>
      <w:bookmarkStart w:id="18" w:name="_Toc15396600"/>
      <w:bookmarkStart w:id="19" w:name="_Toc15377197"/>
      <w:r>
        <w:rPr>
          <w:rStyle w:val="26"/>
          <w:rFonts w:hint="eastAsia" w:ascii="黑体" w:hAnsi="黑体" w:eastAsia="黑体"/>
          <w:b w:val="0"/>
          <w:bCs w:val="0"/>
        </w:rPr>
        <w:t>职能简介</w:t>
      </w:r>
      <w:bookmarkEnd w:id="17"/>
    </w:p>
    <w:p>
      <w:pPr>
        <w:pStyle w:val="6"/>
        <w:adjustRightInd w:val="0"/>
        <w:snapToGrid w:val="0"/>
        <w:spacing w:before="93" w:line="600" w:lineRule="exact"/>
        <w:ind w:firstLine="672" w:firstLineChars="210"/>
        <w:outlineLvl w:val="2"/>
        <w:rPr>
          <w:rFonts w:ascii="仿宋" w:hAnsi="仿宋" w:eastAsia="仿宋"/>
          <w:bCs/>
          <w:color w:val="000000"/>
          <w:sz w:val="32"/>
          <w:szCs w:val="32"/>
        </w:rPr>
      </w:pPr>
      <w:bookmarkStart w:id="20" w:name="_Toc15378445"/>
      <w:bookmarkStart w:id="21" w:name="_Toc15377198"/>
      <w:r>
        <w:rPr>
          <w:rFonts w:hint="eastAsia" w:ascii="仿宋" w:hAnsi="仿宋" w:eastAsia="仿宋"/>
          <w:bCs/>
          <w:color w:val="000000"/>
          <w:sz w:val="32"/>
          <w:szCs w:val="32"/>
        </w:rPr>
        <w:t>（一）主要职能。</w:t>
      </w:r>
    </w:p>
    <w:p>
      <w:pPr>
        <w:pStyle w:val="6"/>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1、贯彻落实党中央关于疾病预防控制工作的方针政策和省委、市委的决策部署，在履行职责过程中坚持和加强党对疾病预防控制工作的集中统一领导；</w:t>
      </w:r>
    </w:p>
    <w:p>
      <w:pPr>
        <w:pStyle w:val="6"/>
        <w:adjustRightInd w:val="0"/>
        <w:snapToGrid w:val="0"/>
        <w:spacing w:before="93" w:line="600" w:lineRule="exact"/>
        <w:ind w:firstLine="672" w:firstLineChars="210"/>
        <w:outlineLvl w:val="2"/>
        <w:rPr>
          <w:rFonts w:ascii="仿宋" w:hAnsi="仿宋" w:eastAsia="仿宋"/>
          <w:bCs/>
          <w:color w:val="000000"/>
          <w:sz w:val="32"/>
          <w:szCs w:val="32"/>
        </w:rPr>
      </w:pPr>
      <w:r>
        <w:rPr>
          <w:rFonts w:ascii="仿宋" w:hAnsi="仿宋" w:eastAsia="仿宋"/>
          <w:bCs/>
          <w:color w:val="000000"/>
          <w:sz w:val="32"/>
          <w:szCs w:val="32"/>
        </w:rPr>
        <w:t>2</w:t>
      </w:r>
      <w:r>
        <w:rPr>
          <w:rFonts w:hint="eastAsia" w:ascii="仿宋" w:hAnsi="仿宋" w:eastAsia="仿宋"/>
          <w:bCs/>
          <w:color w:val="000000"/>
          <w:sz w:val="32"/>
          <w:szCs w:val="32"/>
        </w:rPr>
        <w:t>、负责全市传染病、寄生虫病、地方病、非传染性疾病等预防与控制</w:t>
      </w:r>
      <w:bookmarkEnd w:id="20"/>
      <w:bookmarkEnd w:id="21"/>
      <w:r>
        <w:rPr>
          <w:rFonts w:hint="eastAsia" w:ascii="仿宋" w:hAnsi="仿宋" w:eastAsia="仿宋"/>
          <w:bCs/>
          <w:color w:val="000000"/>
          <w:sz w:val="32"/>
          <w:szCs w:val="32"/>
        </w:rPr>
        <w:t>；</w:t>
      </w:r>
    </w:p>
    <w:p>
      <w:pPr>
        <w:pStyle w:val="6"/>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3、</w:t>
      </w:r>
      <w:bookmarkStart w:id="22" w:name="_Hlk83200712"/>
      <w:r>
        <w:rPr>
          <w:rFonts w:hint="eastAsia" w:ascii="仿宋" w:hAnsi="仿宋" w:eastAsia="仿宋"/>
          <w:bCs/>
          <w:color w:val="000000"/>
          <w:sz w:val="32"/>
          <w:szCs w:val="32"/>
        </w:rPr>
        <w:t>负责全市</w:t>
      </w:r>
      <w:bookmarkEnd w:id="22"/>
      <w:r>
        <w:rPr>
          <w:rFonts w:hint="eastAsia" w:ascii="仿宋" w:hAnsi="仿宋" w:eastAsia="仿宋"/>
          <w:bCs/>
          <w:color w:val="000000"/>
          <w:sz w:val="32"/>
          <w:szCs w:val="32"/>
        </w:rPr>
        <w:t>突发公共卫生事件和灾害疫情应急处置；</w:t>
      </w:r>
    </w:p>
    <w:p>
      <w:pPr>
        <w:pStyle w:val="6"/>
        <w:adjustRightInd w:val="0"/>
        <w:snapToGrid w:val="0"/>
        <w:spacing w:before="93" w:line="600" w:lineRule="exact"/>
        <w:ind w:firstLine="672" w:firstLineChars="210"/>
        <w:outlineLvl w:val="2"/>
        <w:rPr>
          <w:rFonts w:ascii="仿宋" w:hAnsi="仿宋" w:eastAsia="仿宋"/>
          <w:bCs/>
          <w:color w:val="000000"/>
          <w:sz w:val="32"/>
          <w:szCs w:val="32"/>
        </w:rPr>
      </w:pPr>
      <w:r>
        <w:rPr>
          <w:rFonts w:ascii="仿宋" w:hAnsi="仿宋" w:eastAsia="仿宋"/>
          <w:bCs/>
          <w:color w:val="000000"/>
          <w:sz w:val="32"/>
          <w:szCs w:val="32"/>
        </w:rPr>
        <w:t>4</w:t>
      </w:r>
      <w:r>
        <w:rPr>
          <w:rFonts w:hint="eastAsia" w:ascii="仿宋" w:hAnsi="仿宋" w:eastAsia="仿宋"/>
          <w:bCs/>
          <w:color w:val="000000"/>
          <w:sz w:val="32"/>
          <w:szCs w:val="32"/>
        </w:rPr>
        <w:t>、负责全市疫情及相关因素信息管理，开展疾病监测、收集、报告、分析和评价疾病与健康危害因素等公共卫生信息；</w:t>
      </w:r>
    </w:p>
    <w:p>
      <w:pPr>
        <w:pStyle w:val="6"/>
        <w:adjustRightInd w:val="0"/>
        <w:snapToGrid w:val="0"/>
        <w:spacing w:before="93" w:line="600" w:lineRule="exact"/>
        <w:ind w:firstLine="672" w:firstLineChars="210"/>
        <w:outlineLvl w:val="2"/>
        <w:rPr>
          <w:rFonts w:ascii="仿宋" w:hAnsi="仿宋" w:eastAsia="仿宋"/>
          <w:bCs/>
          <w:color w:val="000000"/>
          <w:sz w:val="32"/>
          <w:szCs w:val="32"/>
        </w:rPr>
      </w:pPr>
      <w:r>
        <w:rPr>
          <w:rFonts w:ascii="仿宋" w:hAnsi="仿宋" w:eastAsia="仿宋"/>
          <w:bCs/>
          <w:color w:val="000000"/>
          <w:sz w:val="32"/>
          <w:szCs w:val="32"/>
        </w:rPr>
        <w:t>5</w:t>
      </w:r>
      <w:r>
        <w:rPr>
          <w:rFonts w:hint="eastAsia" w:ascii="仿宋" w:hAnsi="仿宋" w:eastAsia="仿宋"/>
          <w:bCs/>
          <w:color w:val="000000"/>
          <w:sz w:val="32"/>
          <w:szCs w:val="32"/>
        </w:rPr>
        <w:t>、负责健康危害因素监测与干预，开展食源性、职业性、放射性、环境性等疾病的监测评价和流行病学调查，开展公众健康和营养监测与评价，提出干预策略与措施；</w:t>
      </w:r>
    </w:p>
    <w:p>
      <w:pPr>
        <w:pStyle w:val="6"/>
        <w:adjustRightInd w:val="0"/>
        <w:snapToGrid w:val="0"/>
        <w:spacing w:before="93" w:line="600" w:lineRule="exact"/>
        <w:ind w:firstLine="672" w:firstLineChars="210"/>
        <w:outlineLvl w:val="2"/>
        <w:rPr>
          <w:rFonts w:ascii="仿宋" w:hAnsi="仿宋" w:eastAsia="仿宋"/>
          <w:bCs/>
          <w:color w:val="000000"/>
          <w:sz w:val="32"/>
          <w:szCs w:val="32"/>
        </w:rPr>
      </w:pPr>
      <w:r>
        <w:rPr>
          <w:rFonts w:ascii="仿宋" w:hAnsi="仿宋" w:eastAsia="仿宋"/>
          <w:bCs/>
          <w:color w:val="000000"/>
          <w:sz w:val="32"/>
          <w:szCs w:val="32"/>
        </w:rPr>
        <w:t>6</w:t>
      </w:r>
      <w:r>
        <w:rPr>
          <w:rFonts w:hint="eastAsia" w:ascii="仿宋" w:hAnsi="仿宋" w:eastAsia="仿宋"/>
          <w:bCs/>
          <w:color w:val="000000"/>
          <w:sz w:val="32"/>
          <w:szCs w:val="32"/>
        </w:rPr>
        <w:t>、负责疾病病原生物检测、鉴定和物理、化学因子检测、评价；</w:t>
      </w:r>
    </w:p>
    <w:p>
      <w:pPr>
        <w:pStyle w:val="6"/>
        <w:adjustRightInd w:val="0"/>
        <w:snapToGrid w:val="0"/>
        <w:spacing w:before="93" w:line="600" w:lineRule="exact"/>
        <w:ind w:firstLine="672" w:firstLineChars="210"/>
        <w:outlineLvl w:val="2"/>
        <w:rPr>
          <w:rFonts w:ascii="仿宋" w:hAnsi="仿宋" w:eastAsia="仿宋"/>
          <w:bCs/>
          <w:color w:val="000000"/>
          <w:sz w:val="32"/>
          <w:szCs w:val="32"/>
        </w:rPr>
        <w:sectPr>
          <w:footerReference r:id="rId8" w:type="first"/>
          <w:footerReference r:id="rId7" w:type="default"/>
          <w:pgSz w:w="11906" w:h="16838"/>
          <w:pgMar w:top="1440" w:right="1800" w:bottom="1440" w:left="1800" w:header="851" w:footer="992" w:gutter="0"/>
          <w:pgNumType w:start="1"/>
          <w:cols w:space="425" w:num="1"/>
          <w:titlePg/>
          <w:docGrid w:type="lines" w:linePitch="312" w:charSpace="0"/>
        </w:sectPr>
      </w:pPr>
      <w:r>
        <w:rPr>
          <w:rFonts w:ascii="仿宋" w:hAnsi="仿宋" w:eastAsia="仿宋"/>
          <w:bCs/>
          <w:color w:val="000000"/>
          <w:sz w:val="32"/>
          <w:szCs w:val="32"/>
        </w:rPr>
        <w:t>7</w:t>
      </w:r>
      <w:r>
        <w:rPr>
          <w:rFonts w:hint="eastAsia" w:ascii="仿宋" w:hAnsi="仿宋" w:eastAsia="仿宋"/>
          <w:bCs/>
          <w:color w:val="000000"/>
          <w:sz w:val="32"/>
          <w:szCs w:val="32"/>
        </w:rPr>
        <w:t>、组织实施健康教育与健康促进，普及卫生防病知识，</w:t>
      </w:r>
    </w:p>
    <w:p>
      <w:pPr>
        <w:pStyle w:val="6"/>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对公众进行健康指导和不良健康行为干预；</w:t>
      </w:r>
    </w:p>
    <w:p>
      <w:pPr>
        <w:pStyle w:val="6"/>
        <w:adjustRightInd w:val="0"/>
        <w:snapToGrid w:val="0"/>
        <w:spacing w:before="93" w:line="600" w:lineRule="exact"/>
        <w:ind w:firstLine="672" w:firstLineChars="210"/>
        <w:outlineLvl w:val="2"/>
        <w:rPr>
          <w:rFonts w:ascii="仿宋" w:hAnsi="仿宋" w:eastAsia="仿宋"/>
          <w:bCs/>
          <w:color w:val="000000"/>
          <w:sz w:val="32"/>
          <w:szCs w:val="32"/>
        </w:rPr>
      </w:pPr>
      <w:r>
        <w:rPr>
          <w:rFonts w:ascii="仿宋" w:hAnsi="仿宋" w:eastAsia="仿宋"/>
          <w:bCs/>
          <w:color w:val="000000"/>
          <w:sz w:val="32"/>
          <w:szCs w:val="32"/>
        </w:rPr>
        <w:t>8</w:t>
      </w:r>
      <w:r>
        <w:rPr>
          <w:rFonts w:hint="eastAsia" w:ascii="仿宋" w:hAnsi="仿宋" w:eastAsia="仿宋"/>
          <w:bCs/>
          <w:color w:val="000000"/>
          <w:sz w:val="32"/>
          <w:szCs w:val="32"/>
        </w:rPr>
        <w:t>、负责广元市辖区核与辐射应急医疗救援防护工作；</w:t>
      </w:r>
    </w:p>
    <w:p>
      <w:pPr>
        <w:pStyle w:val="6"/>
        <w:adjustRightInd w:val="0"/>
        <w:snapToGrid w:val="0"/>
        <w:spacing w:before="93" w:line="600" w:lineRule="exact"/>
        <w:ind w:firstLine="672" w:firstLineChars="210"/>
        <w:outlineLvl w:val="2"/>
        <w:rPr>
          <w:rFonts w:ascii="仿宋" w:hAnsi="仿宋" w:eastAsia="仿宋"/>
          <w:bCs/>
          <w:color w:val="000000"/>
          <w:sz w:val="32"/>
          <w:szCs w:val="32"/>
        </w:rPr>
      </w:pPr>
      <w:r>
        <w:rPr>
          <w:rFonts w:ascii="仿宋" w:hAnsi="仿宋" w:eastAsia="仿宋"/>
          <w:bCs/>
          <w:color w:val="000000"/>
          <w:sz w:val="32"/>
          <w:szCs w:val="32"/>
        </w:rPr>
        <w:t>9</w:t>
      </w:r>
      <w:r>
        <w:rPr>
          <w:rFonts w:hint="eastAsia" w:ascii="仿宋" w:hAnsi="仿宋" w:eastAsia="仿宋"/>
          <w:bCs/>
          <w:color w:val="000000"/>
          <w:sz w:val="32"/>
          <w:szCs w:val="32"/>
        </w:rPr>
        <w:t>、负责疾病预防控制技术管理与应用研究指导；</w:t>
      </w:r>
    </w:p>
    <w:p>
      <w:pPr>
        <w:pStyle w:val="6"/>
        <w:adjustRightInd w:val="0"/>
        <w:snapToGrid w:val="0"/>
        <w:spacing w:before="93" w:line="600" w:lineRule="exact"/>
        <w:ind w:firstLine="672" w:firstLineChars="210"/>
        <w:outlineLvl w:val="2"/>
        <w:rPr>
          <w:rFonts w:ascii="仿宋" w:hAnsi="仿宋" w:eastAsia="仿宋"/>
          <w:bCs/>
          <w:color w:val="000000"/>
          <w:sz w:val="32"/>
          <w:szCs w:val="32"/>
        </w:rPr>
      </w:pPr>
      <w:r>
        <w:rPr>
          <w:rFonts w:ascii="仿宋" w:hAnsi="仿宋" w:eastAsia="仿宋"/>
          <w:bCs/>
          <w:color w:val="000000"/>
          <w:sz w:val="32"/>
          <w:szCs w:val="32"/>
        </w:rPr>
        <w:t>10</w:t>
      </w:r>
      <w:r>
        <w:rPr>
          <w:rFonts w:hint="eastAsia" w:ascii="仿宋" w:hAnsi="仿宋" w:eastAsia="仿宋"/>
          <w:bCs/>
          <w:color w:val="000000"/>
          <w:sz w:val="32"/>
          <w:szCs w:val="32"/>
        </w:rPr>
        <w:t>、承担其他疾病预防控制工作。</w:t>
      </w:r>
    </w:p>
    <w:p>
      <w:pPr>
        <w:pStyle w:val="4"/>
        <w:rPr>
          <w:rFonts w:ascii="黑体" w:hAnsi="黑体" w:eastAsia="黑体"/>
          <w:b w:val="0"/>
        </w:rPr>
      </w:pPr>
      <w:bookmarkStart w:id="23" w:name="_Toc7927"/>
      <w:r>
        <w:rPr>
          <w:rFonts w:hint="eastAsia" w:ascii="黑体" w:hAnsi="黑体" w:eastAsia="黑体"/>
          <w:b w:val="0"/>
        </w:rPr>
        <w:t>二、2021年重点工作</w:t>
      </w:r>
      <w:bookmarkEnd w:id="18"/>
      <w:bookmarkEnd w:id="19"/>
      <w:r>
        <w:rPr>
          <w:rFonts w:hint="eastAsia" w:ascii="黑体" w:hAnsi="黑体" w:eastAsia="黑体"/>
          <w:b w:val="0"/>
        </w:rPr>
        <w:t>完成情况</w:t>
      </w:r>
      <w:bookmarkEnd w:id="23"/>
    </w:p>
    <w:p>
      <w:pPr>
        <w:widowControl/>
        <w:ind w:firstLine="640" w:firstLineChars="200"/>
        <w:jc w:val="left"/>
        <w:rPr>
          <w:rFonts w:ascii="仿宋" w:hAnsi="仿宋" w:eastAsia="仿宋"/>
          <w:sz w:val="32"/>
          <w:szCs w:val="32"/>
        </w:rPr>
        <w:sectPr>
          <w:footerReference r:id="rId10" w:type="first"/>
          <w:footerReference r:id="rId9" w:type="default"/>
          <w:pgSz w:w="11906" w:h="16838"/>
          <w:pgMar w:top="1440" w:right="1800" w:bottom="1440" w:left="1800" w:header="851" w:footer="992" w:gutter="0"/>
          <w:cols w:space="425" w:num="1"/>
          <w:titlePg/>
          <w:docGrid w:type="lines" w:linePitch="312" w:charSpace="0"/>
        </w:sectPr>
      </w:pPr>
      <w:r>
        <w:rPr>
          <w:rFonts w:hint="eastAsia" w:ascii="仿宋" w:hAnsi="仿宋" w:eastAsia="仿宋"/>
          <w:sz w:val="32"/>
          <w:szCs w:val="32"/>
        </w:rPr>
        <w:t>（一）聚焦疫情防控，守牢疫情防线。一是疫情监测研判到位。密切关注市内外新冠肺炎疫情动态，按照“早、小、严、实”要求，强化监测预警和疫情信息收集，及时开展疫情分析研判和风险评估工作，严格落实疫情日报告制度，为市委市政府和上级决策提供专业支撑。累计开展新冠病毒核酸采样检测2万人次，冷链食品、机场、大专院校等环境标本新冠疫情防控核酸监测检测9100余份。二是疫情处置及时高效。成功处置新冠肺炎疫情10余起，共报告2例确诊病例、4例无症状感染者。截止目前无本土无症状感染者、疑似病例、确诊病例报告。三是工作督导专业全面。严格落实医疗机构传染病、发热门诊预检分诊制度，对全市县级及以上医疗机构、100余家集中隔离医学观察场所进行新冠肺炎防控专业督导督查全覆盖，组织专家对县区300余份境外来返广人员解除集中隔离医学观察措施申请予以科学研判和复函。同时，充分利用广播、电视、展板、讲座、新媒体等方式广泛开展新冠防控知识宣传3000余篇次、发布重要</w:t>
      </w:r>
    </w:p>
    <w:p>
      <w:pPr>
        <w:widowControl/>
        <w:ind w:firstLine="640" w:firstLineChars="200"/>
        <w:jc w:val="left"/>
        <w:rPr>
          <w:rFonts w:ascii="仿宋" w:hAnsi="仿宋" w:eastAsia="仿宋"/>
          <w:sz w:val="32"/>
          <w:szCs w:val="32"/>
        </w:rPr>
      </w:pPr>
      <w:r>
        <w:rPr>
          <w:rFonts w:hint="eastAsia" w:ascii="仿宋" w:hAnsi="仿宋" w:eastAsia="仿宋"/>
          <w:sz w:val="32"/>
          <w:szCs w:val="32"/>
        </w:rPr>
        <w:t>健康提示30余条次，有效提高群众知晓率。四是重大活动保障有力有序。通过开展新冠肺炎聚集性疫情应急处置实战演练全面提升应急保障能力，参与“李克强总理广元考察”“市第八次党代会”“市两会”“西博会”等重大活动、重要节点疫情常态化防控卫生应急保障20余次，切实保障一方平安。</w:t>
      </w:r>
    </w:p>
    <w:p>
      <w:pPr>
        <w:widowControl/>
        <w:ind w:firstLine="640" w:firstLineChars="200"/>
        <w:jc w:val="left"/>
        <w:rPr>
          <w:rFonts w:ascii="仿宋" w:hAnsi="仿宋" w:eastAsia="仿宋"/>
          <w:sz w:val="32"/>
          <w:szCs w:val="32"/>
        </w:rPr>
      </w:pPr>
      <w:r>
        <w:rPr>
          <w:rFonts w:hint="eastAsia" w:ascii="仿宋" w:hAnsi="仿宋" w:eastAsia="仿宋"/>
          <w:sz w:val="32"/>
          <w:szCs w:val="32"/>
        </w:rPr>
        <w:t>（二）聚焦疾病防控，筑牢健康屏障。一是坚持重点防控，传染病防控有序规范。各项监测指标、任务数均已阶段性完成。全市累计报告法定传染病1.3万例，死亡22人（21人为艾滋病、1人为肺结核），报告发病率为506.51/10万，同比上升47.38％。流感、手足口病、疟疾、黑热病、乙脑、布病等散发或聚集性疫情得到快速处置和有效控制。有序推进医疗机构、幼托机构、养老机构等重点场所的消毒效果质量监测。二是坚持预防为主，免疫规划管理持续加强。国家免疫规划疫苗基础免疫接种率均达98%以上，国家免疫规划疫苗加强免疫接种率均达99%以上。AFP（脊髓灰质炎）、麻疹监测持续加强，继续保持无脊灰状态，共报告AFP病例14例（报告发病率为3.61/10万）、麻疹/风疹监测病例64例。成功组织开展“4.25”“7.28”宣传活动。稳步推进新冠病毒疫苗接种工作，深入各乡镇、村社开展广泛发动、宣传动员、驻守指导，确保全市疫苗接种工作高效运转、有序推进。全市累计供应下发新冠病毒疫苗370万剂、库存14万剂，使用率95.96%。3-11岁人群新冠病毒疫苗第一剂累计接种17万剂次、第一剂次任务完成率84.5%，18岁及以上人群新冠肺炎病毒疫苗加强免疫累计接种6万剂次，重点人群加强免疫任务完成率达89.77%。三是坚持精准防控，重大传染病防控水平整体提升。艾滋病疫情继续维持在低流行水平，全市累计报告病例、现存活病例和死亡病例分别为1844例、1493例和351例，全人群报告感染率为5.52/万，检测覆盖率、患者纳入治疗率、治疗成功率分别为25.69%、92.36%和95.20%，母婴传播率连续3年为零，均达到省级目标考核指标要求。结核病疫情高发态势继续得到有效控制，按审核日期统计，全市报告肺结核病例1550例，报告发病率为57.94/10万，较去年同期（61.79/10万）下降6.23％，病原学阳性率、耐药筛查率和耐药患者纳入治疗率等关键核心工作指标完成情况良好。麻风病防治工作各项指标全省领先，全市消除达标工作稳步推进，新发报告麻风病例4例、复发麻风病例1例，现症病人18人，愈后存活者564人，各县区患病率均在1/10万以下，除朝天外其它6个县区均完成消除麻风达标省级验收。</w:t>
      </w:r>
    </w:p>
    <w:p>
      <w:pPr>
        <w:widowControl/>
        <w:ind w:firstLine="640" w:firstLineChars="200"/>
        <w:jc w:val="left"/>
        <w:rPr>
          <w:rFonts w:ascii="仿宋" w:hAnsi="仿宋" w:eastAsia="仿宋"/>
          <w:sz w:val="32"/>
          <w:szCs w:val="32"/>
        </w:rPr>
      </w:pPr>
      <w:r>
        <w:rPr>
          <w:rFonts w:hint="eastAsia" w:ascii="仿宋" w:hAnsi="仿宋" w:eastAsia="仿宋"/>
          <w:sz w:val="32"/>
          <w:szCs w:val="32"/>
        </w:rPr>
        <w:t>（三）聚焦健康管理，做实健康服务。一是坚持科学管理，慢性病和地方病防制工作持续推进。全人群死因监测、心脑血管事件监测、肿瘤监测、健康管理员、全民健康生活方式行动工作全覆盖，示范区覆盖率较高，期望寿命居于全省前列且稳步增长。7个县区2017年肿瘤登记数据全部纳入国家年报，纳入率排名全省第一。全市持续开展全民健康生活方式行动，分类开展“三减三健”专项活动，新创建无烟环境3个，招募健康生活方式指导员920人。苍溪、青川、利州、朝天四个县区继续推进落实儿童口腔疾病综合干预项目工作。碘缺乏病、克山病、大骨节病、燃煤污染型地方性氟中毒常规监测工作持续推进。餐饮服务单位合格碘盐覆盖率调查、心肌病专项调查工作、436名大骨节病患者治疗和593名患者随访管理工作全面完成，碘盐覆盖率、碘盐合格率、合格碘盐食用率均在90%以上。“全民健康生活方式宣传周”“世界慢阻肺日”等系列主题宣传活动进社区、到基层，深受群众好评。二是坚持攻坚克难，健康危害因素监测与控制工作科学严谨。坚持做好食品、饮水卫生监测工作，食品污染物、致病菌及有害因素监测省级、市级风险任务全面完成，进一步完善了食源性疾病监测体系，65家医疗机构纳入监测网络，遴选22名专业人员组建成广元市合理膳食专项行动专家组，城乡饮用水水质监测工作完成率103.0%，城区饮用水监测11次，合格率98.7%。快速有效处置“1.21”嘉陵江铊污染事件。坚持做优职业健康防护工作，职业卫生技术服务机构资质续展，2021年中央财政放射性危害因素监测及核医学标准验收评估工作取得圆满成功，得到了国家、省级专家组的高度评价，完成167家重点企业工作场所职业病危害因素现场监测，收集职业健康档案（简称个案卡）1.4万例、疑似职业病卡332张，整理2019-2020年辖区内诊断11种职业性肿瘤的患者数量，巡测35个乡镇开展市放射本底调查工作，为我市空气质量、土壤本底提供了第一手数据。坚持做实学校与环境卫生工作。收集整理了市环保局、气象局的全年空气质量监测资料和气象数据指标共10万余条并规范化开展监测工作，全市7个监测点的学生常见病和健康影响因素监测工作推进顺利，完成1.2万余名学生近视、肥胖、龋齿等常见病监测，8000余名中小学生进行了健康影响因素问卷调查，完成33所198间教室的环境卫生监测。受邀参加全省AQHI（空气质量健康指数）专家研讨会及全国环境健康十四五规划及远景目标规划座谈会并发言。广元市空气污染（雾霾）对人群健康影响（指导性科技计划项目）顺利申报实施。三是坚持宣传引导，居民健康素养水平明显提升。对市区一体医疗卫生机构积极开展国家卫生城市复审健康教育宣传栏和公共场所控烟督导检查6次，开展“全民禁毒宣传月”“科技活动周”“全国防灾减灾日”“世界无烟日”等主题宣传日健康科普活动5次、发放宣传资料1000余份、健康咨询800余人次，开展居民健康素养调查2次，普及健康生活方式和行为，全面提高居民健康素养水平。</w:t>
      </w:r>
    </w:p>
    <w:p>
      <w:pPr>
        <w:widowControl/>
        <w:ind w:firstLine="640" w:firstLineChars="200"/>
        <w:jc w:val="left"/>
        <w:rPr>
          <w:rFonts w:ascii="仿宋" w:hAnsi="仿宋" w:eastAsia="仿宋"/>
          <w:sz w:val="32"/>
          <w:szCs w:val="32"/>
        </w:rPr>
      </w:pPr>
      <w:r>
        <w:rPr>
          <w:rFonts w:hint="eastAsia" w:ascii="仿宋" w:hAnsi="仿宋" w:eastAsia="仿宋"/>
          <w:sz w:val="32"/>
          <w:szCs w:val="32"/>
        </w:rPr>
        <w:t>（四）聚焦强基固本，增强综合实力。一是坚持随时备战，卫生应急组织管理体系日臻完善。建立健全了完备的卫生应急事件处置总体预案、卫生应急事件处置规程及相对应的事件处置技术方案，成立了以主要领导为组长的卫生应急领导小组，建立健全了18人的专业咨询组和覆盖3个方面65人的卫生应急队伍。全年有效应对未分级突发公共卫生事件3件、疑似食物中毒事件1件、撰写月度风险评估报告12份。有计划、有重点的储备和补充应急物资，完善应急物资调用机制，强化卫生应急队伍建设和培训演练，通过理论授课、实践操作、现场指导等方式，对全市卫生专业人员集中开展应急知识及技能培训充能5次，达到了检验应急预案、磨合应急机制、锻炼专业队伍的预期目标。二是坚持数字引领，信息化建设稳步提升。坚持信息化引领,着力打造“数字疾控”，加快推进办公系统软件正版化，高分通过省疾控中心的信息安全检查。全年收集舆情21万条，完成12期舆情简报、市疫情常态化防控参考数据资料65期。完成门户网站的安全漏报修复及安全升级，审核发布信息1300条，及时回复群众互动信息112条，回复率100%。三是坚持项目推进，检验检测“硬实力”明显增强。实验室改造提升项目顺利执行完毕，新增9楼二级生物安全实验室680平方米，改建10-13楼实验室约2000平方米。抗疫特别国债项目以及重大公共卫生能力提升项目94台件仪器设备安装运转，检测能力大幅提升。完成重点人群，重点场所的应检尽检任务，累计开展食品和水质2093份，艾滋病、流感、结核病、致病菌检测等5000余份检测任务。持续加强新冠检测网络实验室的建设指导和质控指导，建成45家新冠核酸检测实验室，覆盖到全市疾控、妇幼、医疗机构以及部分乡镇、社区。市级重点研发项目“广元市环境雌激素（双酚类）污染状况、分布规律及居民暴露风险研究”项目稳步推进。</w:t>
      </w:r>
    </w:p>
    <w:p>
      <w:pPr>
        <w:widowControl/>
        <w:ind w:firstLine="640" w:firstLineChars="200"/>
        <w:jc w:val="left"/>
        <w:rPr>
          <w:rFonts w:ascii="仿宋" w:hAnsi="仿宋" w:eastAsia="仿宋"/>
          <w:sz w:val="32"/>
          <w:szCs w:val="32"/>
        </w:rPr>
      </w:pPr>
      <w:r>
        <w:rPr>
          <w:rFonts w:hint="eastAsia" w:ascii="仿宋" w:hAnsi="仿宋" w:eastAsia="仿宋"/>
          <w:sz w:val="32"/>
          <w:szCs w:val="32"/>
        </w:rPr>
        <w:t>（五）聚焦从严治党，压实党建责任。一是扎实推进党史学习教育。坚持学好用好指定学习材料，领导带头讲党课10次、党员全员参与讲专题15次、撰写心得体会350余篇，开展丰富的“主题党日”活动50多场次，先后赴省内和市内红色教育基地开展现场教学活动5场次。坚持把为民办实事作为学习教育的根本落脚点，围绕群众健康利益制定“我为群众办实事”项目清单，开展“科学监测农村饮用水，着力构筑惠民小康水”等16个惠民项目，深受广大群众好评。坚持高质量开好专题组织生活会，全体党员明确整改措施及持续努力方向。二是全力推进支部标准化规范化建设。党组织建设实现标准化规范化，设置党支部5个，配齐配优支委17名，10名80后同志进入支委。党建工作管理实现标准化规范化，规范落实“三会一课”、组织生活会、民主评议党员、领导干部双重组织生活等基本制度，实施党员量化积分管理，严把党员“入口”关，以规范有效党内政治生活，力促党建业务融合发展。党建阵地建设实现标准化规范化，按“六有”标准建设了3个活动阵地，成为中心党建和文化建设的“新名片”。今年来，5个党支部创建成标准化规范化建设示范点，3名党员、1个党支部先后受到上级部门表彰表扬。三是全面推进从严治党。严格落实意识形态工作和党风廉政建设责任制，以“三张清单”压紧压实“两个责任”，形成“定责、履责、考责”相衔接的工作机制。从严落实纪律作风整顿，对照12个方面，112人共查摆问题472个，制定整改措施496条，并限时整改到位，坚持以纪律作风整顿的实效统筹推动各项工作落实落地，风清气正的干事创业环境逐渐显现。同时，巩固拓展脱贫攻坚成效，助力乡村振兴，帮助联系村石牌村销售金丝皇菊1500余份，实现村集体经济收入近12万元。</w:t>
      </w:r>
    </w:p>
    <w:p>
      <w:pPr>
        <w:pStyle w:val="3"/>
        <w:ind w:right="440"/>
        <w:jc w:val="center"/>
        <w:rPr>
          <w:rStyle w:val="25"/>
          <w:rFonts w:ascii="黑体" w:hAnsi="黑体" w:eastAsia="黑体"/>
          <w:b w:val="0"/>
          <w:bCs/>
        </w:rPr>
      </w:pPr>
      <w:bookmarkStart w:id="24" w:name="_Toc15396602"/>
      <w:bookmarkStart w:id="25" w:name="_Toc22705"/>
      <w:bookmarkStart w:id="26" w:name="_Toc15377204"/>
      <w:r>
        <w:rPr>
          <w:rFonts w:hint="eastAsia" w:ascii="黑体" w:hAnsi="黑体" w:eastAsia="黑体"/>
          <w:b w:val="0"/>
        </w:rPr>
        <w:t>第二部分 2021年度</w:t>
      </w:r>
      <w:r>
        <w:rPr>
          <w:rStyle w:val="25"/>
          <w:rFonts w:hint="eastAsia" w:ascii="黑体" w:hAnsi="黑体" w:eastAsia="黑体"/>
          <w:b w:val="0"/>
          <w:bCs/>
        </w:rPr>
        <w:t>单位决算情况说明</w:t>
      </w:r>
      <w:bookmarkEnd w:id="24"/>
      <w:bookmarkEnd w:id="25"/>
      <w:bookmarkEnd w:id="26"/>
    </w:p>
    <w:p/>
    <w:p>
      <w:pPr>
        <w:pStyle w:val="24"/>
        <w:numPr>
          <w:ilvl w:val="0"/>
          <w:numId w:val="2"/>
        </w:numPr>
        <w:spacing w:line="600" w:lineRule="exact"/>
        <w:ind w:firstLineChars="0"/>
        <w:outlineLvl w:val="1"/>
        <w:rPr>
          <w:rStyle w:val="26"/>
          <w:rFonts w:ascii="黑体" w:hAnsi="黑体" w:eastAsia="黑体"/>
          <w:b w:val="0"/>
        </w:rPr>
      </w:pPr>
      <w:bookmarkStart w:id="27" w:name="_Toc15377205"/>
      <w:bookmarkStart w:id="28" w:name="_Toc15396603"/>
      <w:bookmarkStart w:id="29" w:name="_Toc5336"/>
      <w:r>
        <w:rPr>
          <w:rFonts w:hint="eastAsia" w:ascii="黑体" w:hAnsi="黑体" w:eastAsia="黑体"/>
          <w:sz w:val="32"/>
          <w:szCs w:val="32"/>
        </w:rPr>
        <w:t>收</w:t>
      </w:r>
      <w:r>
        <w:rPr>
          <w:rStyle w:val="26"/>
          <w:rFonts w:hint="eastAsia" w:ascii="黑体" w:hAnsi="黑体" w:eastAsia="黑体"/>
          <w:b w:val="0"/>
        </w:rPr>
        <w:t>入支出决算总体情况说明</w:t>
      </w:r>
      <w:bookmarkEnd w:id="27"/>
      <w:bookmarkEnd w:id="28"/>
      <w:bookmarkEnd w:id="29"/>
    </w:p>
    <w:p>
      <w:pPr>
        <w:spacing w:line="600" w:lineRule="exact"/>
        <w:ind w:firstLine="640" w:firstLineChars="200"/>
        <w:rPr>
          <w:rFonts w:ascii="仿宋" w:hAnsi="仿宋" w:eastAsia="仿宋"/>
          <w:sz w:val="32"/>
          <w:szCs w:val="32"/>
        </w:rPr>
      </w:pPr>
      <w:r>
        <w:rPr>
          <w:rFonts w:hint="eastAsia" w:ascii="仿宋" w:hAnsi="仿宋" w:eastAsia="仿宋"/>
          <w:sz w:val="32"/>
          <w:szCs w:val="32"/>
        </w:rPr>
        <w:t>2021年度收、支总计4487.77万元。与2020年相比，收、支总计各减少1862.77万元，下降29.33</w:t>
      </w:r>
      <w:r>
        <w:rPr>
          <w:rFonts w:ascii="仿宋" w:hAnsi="仿宋" w:eastAsia="仿宋"/>
          <w:sz w:val="32"/>
          <w:szCs w:val="32"/>
        </w:rPr>
        <w:t>%</w:t>
      </w:r>
      <w:r>
        <w:rPr>
          <w:rFonts w:hint="eastAsia" w:ascii="仿宋" w:hAnsi="仿宋" w:eastAsia="仿宋"/>
          <w:sz w:val="32"/>
          <w:szCs w:val="32"/>
        </w:rPr>
        <w:t>。主要变动原因是减少了新型冠状肺炎感染的肺炎疫情防控补助资金240.23万元，公共卫生体系建设和重大疫情防控救治体系建设补助资金669.63万元；新冠捐赠资金136.48万元及抗疫特别国债广元市疾控中心实验室改造项目。</w:t>
      </w:r>
    </w:p>
    <w:p>
      <w:pPr>
        <w:spacing w:line="600" w:lineRule="exact"/>
        <w:ind w:firstLine="640" w:firstLineChars="200"/>
        <w:rPr>
          <w:rFonts w:ascii="仿宋" w:hAnsi="仿宋" w:eastAsia="仿宋"/>
          <w:sz w:val="32"/>
          <w:szCs w:val="32"/>
        </w:rPr>
      </w:pPr>
    </w:p>
    <w:p>
      <w:pPr>
        <w:pStyle w:val="6"/>
        <w:spacing w:before="93"/>
        <w:rPr>
          <w:rFonts w:ascii="仿宋" w:hAnsi="仿宋" w:eastAsia="仿宋"/>
          <w:sz w:val="32"/>
          <w:szCs w:val="32"/>
        </w:rPr>
      </w:pPr>
      <w:r>
        <w:rPr>
          <w:rFonts w:hint="eastAsia" w:ascii="仿宋" w:hAnsi="仿宋" w:eastAsia="仿宋"/>
          <w:sz w:val="32"/>
          <w:szCs w:val="32"/>
        </w:rPr>
        <w:drawing>
          <wp:inline distT="0" distB="0" distL="114300" distR="114300">
            <wp:extent cx="5080000" cy="3810000"/>
            <wp:effectExtent l="4445" t="4445" r="5715" b="1079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Style w:val="6"/>
        <w:spacing w:before="93"/>
        <w:ind w:firstLine="1600" w:firstLineChars="500"/>
        <w:rPr>
          <w:rFonts w:ascii="仿宋" w:hAnsi="仿宋" w:eastAsia="仿宋"/>
          <w:sz w:val="32"/>
          <w:szCs w:val="32"/>
        </w:rPr>
      </w:pPr>
      <w:r>
        <w:rPr>
          <w:rFonts w:hint="eastAsia" w:ascii="仿宋" w:hAnsi="仿宋" w:eastAsia="仿宋"/>
          <w:color w:val="000000"/>
          <w:sz w:val="32"/>
          <w:szCs w:val="32"/>
        </w:rPr>
        <w:t>（图1：收、支决算总计变动情况图）</w:t>
      </w:r>
    </w:p>
    <w:p>
      <w:pPr>
        <w:pStyle w:val="24"/>
        <w:numPr>
          <w:ilvl w:val="0"/>
          <w:numId w:val="2"/>
        </w:numPr>
        <w:spacing w:line="600" w:lineRule="exact"/>
        <w:ind w:firstLineChars="0"/>
        <w:outlineLvl w:val="1"/>
        <w:rPr>
          <w:rStyle w:val="26"/>
          <w:rFonts w:ascii="黑体" w:hAnsi="黑体" w:eastAsia="黑体"/>
          <w:b w:val="0"/>
        </w:rPr>
      </w:pPr>
      <w:bookmarkStart w:id="30" w:name="_Toc15396604"/>
      <w:bookmarkStart w:id="31" w:name="_Toc15377206"/>
      <w:bookmarkStart w:id="32" w:name="_Toc3087"/>
      <w:r>
        <w:rPr>
          <w:rFonts w:hint="eastAsia" w:ascii="黑体" w:hAnsi="黑体" w:eastAsia="黑体"/>
          <w:sz w:val="32"/>
          <w:szCs w:val="32"/>
        </w:rPr>
        <w:t>收</w:t>
      </w:r>
      <w:r>
        <w:rPr>
          <w:rStyle w:val="26"/>
          <w:rFonts w:hint="eastAsia" w:ascii="黑体" w:hAnsi="黑体" w:eastAsia="黑体"/>
          <w:b w:val="0"/>
        </w:rPr>
        <w:t>入决算情况说明</w:t>
      </w:r>
      <w:bookmarkEnd w:id="30"/>
      <w:bookmarkEnd w:id="31"/>
      <w:bookmarkEnd w:id="32"/>
    </w:p>
    <w:p>
      <w:pPr>
        <w:spacing w:line="600" w:lineRule="exact"/>
        <w:ind w:firstLine="640" w:firstLineChars="200"/>
        <w:outlineLvl w:val="1"/>
        <w:rPr>
          <w:rFonts w:ascii="仿宋" w:hAnsi="仿宋" w:eastAsia="仿宋"/>
          <w:sz w:val="32"/>
          <w:szCs w:val="32"/>
        </w:rPr>
      </w:pPr>
      <w:bookmarkStart w:id="33" w:name="_Toc11347"/>
      <w:r>
        <w:rPr>
          <w:rFonts w:ascii="仿宋" w:hAnsi="仿宋" w:eastAsia="仿宋"/>
          <w:sz w:val="32"/>
          <w:szCs w:val="32"/>
        </w:rPr>
        <w:t>20</w:t>
      </w:r>
      <w:r>
        <w:rPr>
          <w:rFonts w:hint="eastAsia" w:ascii="仿宋" w:hAnsi="仿宋" w:eastAsia="仿宋"/>
          <w:sz w:val="32"/>
          <w:szCs w:val="32"/>
        </w:rPr>
        <w:t>21年本年收入合计2812.80万元，其中：一般公共预算财政拨款收入2784.60万元，占99</w:t>
      </w:r>
      <w:r>
        <w:rPr>
          <w:rFonts w:ascii="仿宋" w:hAnsi="仿宋" w:eastAsia="仿宋"/>
          <w:sz w:val="32"/>
          <w:szCs w:val="32"/>
        </w:rPr>
        <w:t>%</w:t>
      </w:r>
      <w:r>
        <w:rPr>
          <w:rFonts w:hint="eastAsia" w:ascii="仿宋" w:hAnsi="仿宋" w:eastAsia="仿宋"/>
          <w:sz w:val="32"/>
          <w:szCs w:val="32"/>
        </w:rPr>
        <w:t>；其他收入28.20万元，占1</w:t>
      </w:r>
      <w:r>
        <w:rPr>
          <w:rFonts w:ascii="仿宋" w:hAnsi="仿宋" w:eastAsia="仿宋"/>
          <w:sz w:val="32"/>
          <w:szCs w:val="32"/>
        </w:rPr>
        <w:t>%</w:t>
      </w:r>
      <w:r>
        <w:rPr>
          <w:rFonts w:hint="eastAsia" w:ascii="仿宋" w:hAnsi="仿宋" w:eastAsia="仿宋"/>
          <w:sz w:val="32"/>
          <w:szCs w:val="32"/>
        </w:rPr>
        <w:t>。</w:t>
      </w:r>
      <w:bookmarkEnd w:id="33"/>
    </w:p>
    <w:p>
      <w:pPr>
        <w:spacing w:line="600" w:lineRule="exact"/>
        <w:ind w:firstLine="640" w:firstLineChars="200"/>
        <w:outlineLvl w:val="1"/>
        <w:rPr>
          <w:rFonts w:ascii="仿宋" w:hAnsi="仿宋" w:eastAsia="仿宋"/>
          <w:sz w:val="32"/>
          <w:szCs w:val="32"/>
        </w:rPr>
      </w:pPr>
      <w:bookmarkStart w:id="34" w:name="_Toc23807"/>
      <w:r>
        <w:rPr>
          <w:rFonts w:hint="eastAsia" w:ascii="仿宋" w:hAnsi="仿宋" w:eastAsia="仿宋"/>
          <w:sz w:val="32"/>
          <w:szCs w:val="32"/>
        </w:rPr>
        <w:drawing>
          <wp:anchor distT="0" distB="0" distL="114300" distR="114300" simplePos="0" relativeHeight="251660288" behindDoc="0" locked="0" layoutInCell="1" allowOverlap="1">
            <wp:simplePos x="0" y="0"/>
            <wp:positionH relativeFrom="column">
              <wp:posOffset>407035</wp:posOffset>
            </wp:positionH>
            <wp:positionV relativeFrom="paragraph">
              <wp:posOffset>130175</wp:posOffset>
            </wp:positionV>
            <wp:extent cx="5080000" cy="1838325"/>
            <wp:effectExtent l="4445" t="4445" r="5715" b="16510"/>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eastAsia" w:ascii="仿宋" w:hAnsi="仿宋" w:eastAsia="仿宋"/>
          <w:sz w:val="32"/>
          <w:szCs w:val="32"/>
        </w:rPr>
        <w:t>（图2：收入决算结构图）</w:t>
      </w:r>
      <w:bookmarkEnd w:id="34"/>
    </w:p>
    <w:p>
      <w:pPr>
        <w:pStyle w:val="24"/>
        <w:numPr>
          <w:ilvl w:val="0"/>
          <w:numId w:val="2"/>
        </w:numPr>
        <w:spacing w:line="600" w:lineRule="exact"/>
        <w:ind w:firstLineChars="0"/>
        <w:outlineLvl w:val="1"/>
        <w:rPr>
          <w:rStyle w:val="26"/>
          <w:rFonts w:ascii="黑体" w:hAnsi="黑体" w:eastAsia="黑体"/>
          <w:b w:val="0"/>
        </w:rPr>
      </w:pPr>
      <w:bookmarkStart w:id="35" w:name="_Toc15396605"/>
      <w:bookmarkStart w:id="36" w:name="_Toc28579"/>
      <w:bookmarkStart w:id="37" w:name="_Toc15377207"/>
      <w:r>
        <w:rPr>
          <w:rFonts w:hint="eastAsia" w:ascii="黑体" w:hAnsi="黑体" w:eastAsia="黑体"/>
          <w:sz w:val="32"/>
          <w:szCs w:val="32"/>
        </w:rPr>
        <w:t>支</w:t>
      </w:r>
      <w:r>
        <w:rPr>
          <w:rStyle w:val="26"/>
          <w:rFonts w:hint="eastAsia" w:ascii="黑体" w:hAnsi="黑体" w:eastAsia="黑体"/>
          <w:b w:val="0"/>
        </w:rPr>
        <w:t>出决算情况说明</w:t>
      </w:r>
      <w:bookmarkEnd w:id="35"/>
      <w:bookmarkEnd w:id="36"/>
      <w:bookmarkEnd w:id="37"/>
    </w:p>
    <w:p>
      <w:pPr>
        <w:spacing w:line="600" w:lineRule="exact"/>
        <w:ind w:firstLine="640" w:firstLineChars="200"/>
        <w:outlineLvl w:val="1"/>
        <w:rPr>
          <w:rFonts w:ascii="仿宋" w:hAnsi="仿宋" w:eastAsia="仿宋"/>
          <w:sz w:val="32"/>
          <w:szCs w:val="32"/>
        </w:rPr>
      </w:pPr>
      <w:bookmarkStart w:id="38" w:name="_Toc26042"/>
      <w:r>
        <w:rPr>
          <w:rFonts w:ascii="仿宋" w:hAnsi="仿宋" w:eastAsia="仿宋"/>
          <w:sz w:val="32"/>
          <w:szCs w:val="32"/>
        </w:rPr>
        <w:t>20</w:t>
      </w:r>
      <w:r>
        <w:rPr>
          <w:rFonts w:hint="eastAsia" w:ascii="仿宋" w:hAnsi="仿宋" w:eastAsia="仿宋"/>
          <w:sz w:val="32"/>
          <w:szCs w:val="32"/>
        </w:rPr>
        <w:t>21年本年支出合计4311.89万元，其中：基本支出2194.76万元，占50.9%；项目支出2117.13万元，占49.1</w:t>
      </w:r>
      <w:r>
        <w:rPr>
          <w:rFonts w:ascii="仿宋" w:hAnsi="仿宋" w:eastAsia="仿宋"/>
          <w:sz w:val="32"/>
          <w:szCs w:val="32"/>
        </w:rPr>
        <w:t>%</w:t>
      </w:r>
      <w:r>
        <w:rPr>
          <w:rFonts w:hint="eastAsia" w:ascii="仿宋" w:hAnsi="仿宋" w:eastAsia="仿宋"/>
          <w:sz w:val="32"/>
          <w:szCs w:val="32"/>
        </w:rPr>
        <w:t>。</w:t>
      </w:r>
      <w:bookmarkEnd w:id="38"/>
    </w:p>
    <w:p>
      <w:pPr>
        <w:spacing w:line="600" w:lineRule="exact"/>
        <w:ind w:firstLine="640"/>
        <w:rPr>
          <w:rFonts w:ascii="仿宋" w:hAnsi="仿宋" w:eastAsia="仿宋"/>
          <w:sz w:val="32"/>
          <w:szCs w:val="32"/>
        </w:rPr>
      </w:pPr>
      <w:r>
        <w:rPr>
          <w:rFonts w:hint="eastAsia" w:ascii="仿宋" w:hAnsi="仿宋" w:eastAsia="仿宋"/>
          <w:sz w:val="32"/>
          <w:szCs w:val="32"/>
          <w:shd w:val="pct10" w:color="auto" w:fill="FFFFFF"/>
        </w:rPr>
        <w:drawing>
          <wp:anchor distT="0" distB="0" distL="114300" distR="114300" simplePos="0" relativeHeight="251661312" behindDoc="0" locked="0" layoutInCell="1" allowOverlap="1">
            <wp:simplePos x="0" y="0"/>
            <wp:positionH relativeFrom="column">
              <wp:posOffset>354330</wp:posOffset>
            </wp:positionH>
            <wp:positionV relativeFrom="paragraph">
              <wp:posOffset>207645</wp:posOffset>
            </wp:positionV>
            <wp:extent cx="5080000" cy="2425065"/>
            <wp:effectExtent l="4445" t="4445" r="5715" b="8890"/>
            <wp:wrapTopAndBottom/>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hint="eastAsia" w:ascii="仿宋" w:hAnsi="仿宋" w:eastAsia="仿宋"/>
          <w:sz w:val="32"/>
          <w:szCs w:val="32"/>
          <w:shd w:val="pct10" w:color="auto" w:fill="FFFFFF"/>
        </w:rPr>
        <w:t xml:space="preserve">           （</w:t>
      </w:r>
      <w:r>
        <w:rPr>
          <w:rFonts w:hint="eastAsia" w:ascii="仿宋" w:hAnsi="仿宋" w:eastAsia="仿宋"/>
          <w:sz w:val="32"/>
          <w:szCs w:val="32"/>
        </w:rPr>
        <w:t>图3：支出决算结构图）</w: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26"/>
          <w:rFonts w:ascii="黑体" w:hAnsi="黑体" w:eastAsia="黑体"/>
          <w:b w:val="0"/>
        </w:rPr>
      </w:pPr>
      <w:bookmarkStart w:id="39" w:name="_Toc15772"/>
      <w:bookmarkStart w:id="40" w:name="_Toc15377208"/>
      <w:bookmarkStart w:id="41" w:name="_Toc15396606"/>
      <w:r>
        <w:rPr>
          <w:rFonts w:hint="eastAsia" w:ascii="黑体" w:hAnsi="黑体" w:eastAsia="黑体"/>
          <w:sz w:val="32"/>
          <w:szCs w:val="32"/>
        </w:rPr>
        <w:t>四、财</w:t>
      </w:r>
      <w:r>
        <w:rPr>
          <w:rStyle w:val="26"/>
          <w:rFonts w:hint="eastAsia" w:ascii="黑体" w:hAnsi="黑体" w:eastAsia="黑体"/>
          <w:b w:val="0"/>
        </w:rPr>
        <w:t>政拨款收入支出决算总体情况说明</w:t>
      </w:r>
      <w:bookmarkEnd w:id="39"/>
      <w:bookmarkEnd w:id="40"/>
      <w:bookmarkEnd w:id="41"/>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21年财政拨款收、支总计4459.56万元。与</w:t>
      </w:r>
      <w:r>
        <w:rPr>
          <w:rFonts w:ascii="仿宋" w:hAnsi="仿宋" w:eastAsia="仿宋"/>
          <w:sz w:val="32"/>
          <w:szCs w:val="32"/>
        </w:rPr>
        <w:t>20</w:t>
      </w:r>
      <w:r>
        <w:rPr>
          <w:rFonts w:hint="eastAsia" w:ascii="仿宋" w:hAnsi="仿宋" w:eastAsia="仿宋"/>
          <w:sz w:val="32"/>
          <w:szCs w:val="32"/>
        </w:rPr>
        <w:t>20年</w:t>
      </w:r>
      <w:r>
        <w:rPr>
          <w:rFonts w:hint="eastAsia" w:ascii="仿宋" w:eastAsia="仿宋"/>
          <w:color w:val="000000"/>
          <w:sz w:val="32"/>
          <w:szCs w:val="32"/>
        </w:rPr>
        <w:t>5948.74</w:t>
      </w:r>
      <w:r>
        <w:rPr>
          <w:rFonts w:hint="eastAsia" w:ascii="仿宋" w:hAnsi="仿宋" w:eastAsia="仿宋"/>
          <w:sz w:val="32"/>
          <w:szCs w:val="32"/>
        </w:rPr>
        <w:t>相比，财政拨款收、支总计各减少1489.18万元，下降25</w:t>
      </w:r>
      <w:r>
        <w:rPr>
          <w:rFonts w:ascii="仿宋" w:hAnsi="仿宋" w:eastAsia="仿宋"/>
          <w:sz w:val="32"/>
          <w:szCs w:val="32"/>
        </w:rPr>
        <w:t>%</w:t>
      </w:r>
      <w:r>
        <w:rPr>
          <w:rFonts w:hint="eastAsia" w:ascii="仿宋" w:hAnsi="仿宋" w:eastAsia="仿宋"/>
          <w:sz w:val="32"/>
          <w:szCs w:val="32"/>
        </w:rPr>
        <w:t>。主要变动原因是主要变动原因是抗疫特别国债广元市疾控中心实验室改造项目资金1800万元及因新型冠状肺炎感染的肺炎疫情防控补助资金240.23万元，公共卫生体系建设和重大疫情防控救治体系建设补助资金669.63万元已实施完成。</w:t>
      </w:r>
    </w:p>
    <w:p>
      <w:pPr>
        <w:spacing w:line="600" w:lineRule="exact"/>
        <w:rPr>
          <w:rFonts w:ascii="仿宋" w:hAnsi="仿宋" w:eastAsia="仿宋"/>
          <w:sz w:val="32"/>
          <w:szCs w:val="32"/>
        </w:rPr>
      </w:pPr>
      <w:r>
        <w:rPr>
          <w:rFonts w:hint="eastAsia" w:ascii="仿宋" w:hAnsi="仿宋" w:eastAsia="仿宋"/>
          <w:sz w:val="32"/>
          <w:szCs w:val="32"/>
        </w:rPr>
        <w:drawing>
          <wp:anchor distT="0" distB="0" distL="114300" distR="114300" simplePos="0" relativeHeight="251662336" behindDoc="0" locked="0" layoutInCell="1" allowOverlap="1">
            <wp:simplePos x="0" y="0"/>
            <wp:positionH relativeFrom="column">
              <wp:posOffset>4445</wp:posOffset>
            </wp:positionH>
            <wp:positionV relativeFrom="paragraph">
              <wp:posOffset>67945</wp:posOffset>
            </wp:positionV>
            <wp:extent cx="5080000" cy="1967230"/>
            <wp:effectExtent l="4445" t="4445" r="5715" b="9525"/>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Pr>
          <w:rFonts w:hint="eastAsia" w:ascii="仿宋" w:hAnsi="仿宋" w:eastAsia="仿宋"/>
          <w:sz w:val="32"/>
          <w:szCs w:val="32"/>
        </w:rPr>
        <w:t>（图4：财政拨款收、支决算总计变动情况）</w:t>
      </w:r>
    </w:p>
    <w:p>
      <w:pPr>
        <w:spacing w:line="600" w:lineRule="exact"/>
        <w:ind w:firstLine="640" w:firstLineChars="200"/>
        <w:outlineLvl w:val="1"/>
        <w:rPr>
          <w:rStyle w:val="26"/>
          <w:rFonts w:ascii="黑体" w:hAnsi="黑体" w:eastAsia="黑体"/>
          <w:b w:val="0"/>
        </w:rPr>
      </w:pPr>
      <w:bookmarkStart w:id="42" w:name="_Toc15377209"/>
      <w:bookmarkStart w:id="43" w:name="_Toc15396607"/>
      <w:bookmarkStart w:id="44" w:name="_Toc31476"/>
      <w:r>
        <w:rPr>
          <w:rFonts w:hint="eastAsia" w:ascii="黑体" w:hAnsi="黑体" w:eastAsia="黑体"/>
          <w:sz w:val="32"/>
          <w:szCs w:val="32"/>
        </w:rPr>
        <w:t>五、</w:t>
      </w:r>
      <w:r>
        <w:rPr>
          <w:rFonts w:hint="eastAsia" w:ascii="黑体" w:hAnsi="黑体" w:eastAsia="黑体"/>
          <w:b/>
          <w:sz w:val="32"/>
          <w:szCs w:val="32"/>
        </w:rPr>
        <w:t>一</w:t>
      </w:r>
      <w:r>
        <w:rPr>
          <w:rStyle w:val="26"/>
          <w:rFonts w:hint="eastAsia" w:ascii="黑体" w:hAnsi="黑体" w:eastAsia="黑体"/>
          <w:b w:val="0"/>
        </w:rPr>
        <w:t>般公共预算财政拨款支出决算情况说明</w:t>
      </w:r>
      <w:bookmarkEnd w:id="42"/>
      <w:bookmarkEnd w:id="43"/>
      <w:bookmarkEnd w:id="44"/>
    </w:p>
    <w:p>
      <w:pPr>
        <w:spacing w:line="600" w:lineRule="exact"/>
        <w:ind w:firstLine="643" w:firstLineChars="200"/>
        <w:outlineLvl w:val="2"/>
        <w:rPr>
          <w:rFonts w:ascii="仿宋" w:hAnsi="仿宋" w:eastAsia="仿宋"/>
          <w:b/>
          <w:sz w:val="32"/>
          <w:szCs w:val="32"/>
        </w:rPr>
      </w:pPr>
      <w:bookmarkStart w:id="45" w:name="_Toc15377210"/>
      <w:r>
        <w:rPr>
          <w:rFonts w:hint="eastAsia" w:ascii="仿宋" w:hAnsi="仿宋" w:eastAsia="仿宋"/>
          <w:b/>
          <w:sz w:val="32"/>
          <w:szCs w:val="32"/>
        </w:rPr>
        <w:t>（一）一般公共预算财政拨款支出决算总体情况</w:t>
      </w:r>
      <w:bookmarkEnd w:id="45"/>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21年一般公共预算财政拨款支出3557.21万元，</w:t>
      </w:r>
      <w:r>
        <w:rPr>
          <w:rFonts w:hint="eastAsia" w:ascii="仿宋" w:hAnsi="仿宋" w:eastAsia="仿宋"/>
          <w:sz w:val="32"/>
          <w:szCs w:val="32"/>
          <w:lang w:val="en-US" w:eastAsia="zh-CN"/>
        </w:rPr>
        <w:t>占本年支出合计82.50%，</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w:t>
      </w:r>
      <w:r>
        <w:rPr>
          <w:rFonts w:hint="eastAsia" w:ascii="仿宋" w:eastAsia="仿宋"/>
          <w:color w:val="000000"/>
          <w:sz w:val="32"/>
          <w:szCs w:val="32"/>
        </w:rPr>
        <w:t>3200.25</w:t>
      </w:r>
      <w:r>
        <w:rPr>
          <w:rFonts w:hint="eastAsia" w:ascii="仿宋" w:hAnsi="仿宋" w:eastAsia="仿宋"/>
          <w:sz w:val="32"/>
          <w:szCs w:val="32"/>
        </w:rPr>
        <w:t>相比，一般公共预算财政拨款支出增加356.96万元，增长11.15</w:t>
      </w:r>
      <w:r>
        <w:rPr>
          <w:rFonts w:ascii="仿宋" w:hAnsi="仿宋" w:eastAsia="仿宋"/>
          <w:sz w:val="32"/>
          <w:szCs w:val="32"/>
        </w:rPr>
        <w:t>%</w:t>
      </w:r>
      <w:r>
        <w:rPr>
          <w:rFonts w:hint="eastAsia" w:ascii="仿宋" w:hAnsi="仿宋" w:eastAsia="仿宋"/>
          <w:sz w:val="32"/>
          <w:szCs w:val="32"/>
        </w:rPr>
        <w:t>。主要变动原因是2021年年终目标奖较上年有所增加。</w:t>
      </w:r>
      <w:bookmarkStart w:id="186" w:name="_GoBack"/>
      <w:bookmarkEnd w:id="186"/>
    </w:p>
    <w:p>
      <w:pPr>
        <w:pStyle w:val="6"/>
        <w:spacing w:before="93"/>
      </w:pPr>
      <w:r>
        <w:drawing>
          <wp:inline distT="0" distB="0" distL="114300" distR="114300">
            <wp:extent cx="5080000" cy="2302510"/>
            <wp:effectExtent l="4445" t="4445" r="5715" b="952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w:t>
      </w:r>
    </w:p>
    <w:p>
      <w:pPr>
        <w:spacing w:line="600" w:lineRule="exact"/>
        <w:ind w:firstLine="643" w:firstLineChars="200"/>
        <w:outlineLvl w:val="2"/>
        <w:rPr>
          <w:rFonts w:ascii="仿宋" w:hAnsi="仿宋" w:eastAsia="仿宋"/>
          <w:b/>
          <w:sz w:val="32"/>
          <w:szCs w:val="32"/>
        </w:rPr>
      </w:pPr>
      <w:bookmarkStart w:id="46" w:name="_Toc15377211"/>
      <w:r>
        <w:rPr>
          <w:rFonts w:hint="eastAsia" w:ascii="仿宋" w:hAnsi="仿宋" w:eastAsia="仿宋"/>
          <w:b/>
          <w:sz w:val="32"/>
          <w:szCs w:val="32"/>
        </w:rPr>
        <w:t>（二）一般公共预算财政拨款支出决算结构情况</w:t>
      </w:r>
      <w:bookmarkEnd w:id="46"/>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21年一般公共预算财政拨款支出3557.21万元，主要用于以下方面</w:t>
      </w:r>
      <w:r>
        <w:rPr>
          <w:rFonts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支出192.87万元，占5.42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3214.53万元，占90.37</w:t>
      </w:r>
      <w:r>
        <w:rPr>
          <w:rFonts w:ascii="仿宋" w:hAnsi="仿宋" w:eastAsia="仿宋"/>
          <w:sz w:val="32"/>
          <w:szCs w:val="32"/>
        </w:rPr>
        <w:t>%</w:t>
      </w:r>
      <w:r>
        <w:rPr>
          <w:rFonts w:hint="eastAsia" w:ascii="仿宋" w:hAnsi="仿宋" w:eastAsia="仿宋"/>
          <w:sz w:val="32"/>
          <w:szCs w:val="32"/>
        </w:rPr>
        <w:t>；住房保障支出149.81万元，占4.21</w:t>
      </w:r>
      <w:r>
        <w:rPr>
          <w:rFonts w:ascii="仿宋" w:hAnsi="仿宋" w:eastAsia="仿宋"/>
          <w:sz w:val="32"/>
          <w:szCs w:val="32"/>
        </w:rPr>
        <w:t>%</w:t>
      </w:r>
      <w:r>
        <w:rPr>
          <w:rFonts w:hint="eastAsia" w:ascii="仿宋" w:hAnsi="仿宋" w:eastAsia="仿宋"/>
          <w:sz w:val="32"/>
          <w:szCs w:val="32"/>
        </w:rPr>
        <w:t>。</w:t>
      </w:r>
    </w:p>
    <w:p>
      <w:pPr>
        <w:spacing w:line="600" w:lineRule="exact"/>
        <w:rPr>
          <w:rFonts w:ascii="仿宋" w:hAnsi="仿宋" w:eastAsia="仿宋"/>
          <w:sz w:val="32"/>
          <w:szCs w:val="32"/>
        </w:rPr>
      </w:pPr>
      <w:r>
        <w:rPr>
          <w:rFonts w:hint="eastAsia" w:ascii="仿宋" w:hAnsi="仿宋" w:eastAsia="仿宋"/>
          <w:sz w:val="32"/>
          <w:szCs w:val="32"/>
        </w:rPr>
        <w:drawing>
          <wp:anchor distT="0" distB="0" distL="114300" distR="114300" simplePos="0" relativeHeight="251663360" behindDoc="0" locked="0" layoutInCell="1" allowOverlap="1">
            <wp:simplePos x="0" y="0"/>
            <wp:positionH relativeFrom="column">
              <wp:posOffset>68580</wp:posOffset>
            </wp:positionH>
            <wp:positionV relativeFrom="paragraph">
              <wp:posOffset>92075</wp:posOffset>
            </wp:positionV>
            <wp:extent cx="5080000" cy="2246630"/>
            <wp:effectExtent l="4445" t="4445" r="5715" b="1968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Pr>
          <w:rFonts w:hint="eastAsia" w:ascii="仿宋" w:hAnsi="仿宋" w:eastAsia="仿宋"/>
          <w:sz w:val="32"/>
          <w:szCs w:val="32"/>
        </w:rPr>
        <w:t>（图6：一般公共预算财政拨款支出决算结构）（饼状图）</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47" w:name="_Toc15377212"/>
      <w:r>
        <w:rPr>
          <w:rFonts w:hint="eastAsia" w:ascii="仿宋" w:hAnsi="仿宋" w:eastAsia="仿宋"/>
          <w:b/>
          <w:sz w:val="32"/>
          <w:szCs w:val="32"/>
        </w:rPr>
        <w:t>（三）一般公共预算财政拨款支出决算具体情况</w:t>
      </w:r>
      <w:bookmarkEnd w:id="47"/>
    </w:p>
    <w:p>
      <w:pPr>
        <w:spacing w:line="600" w:lineRule="exact"/>
        <w:ind w:firstLine="643" w:firstLineChars="200"/>
        <w:outlineLvl w:val="1"/>
        <w:rPr>
          <w:rFonts w:ascii="仿宋" w:hAnsi="仿宋" w:eastAsia="仿宋"/>
          <w:sz w:val="32"/>
          <w:szCs w:val="32"/>
        </w:rPr>
      </w:pPr>
      <w:bookmarkStart w:id="48" w:name="_Toc15377213"/>
      <w:bookmarkStart w:id="49" w:name="_Toc15377444"/>
      <w:bookmarkStart w:id="50" w:name="_Toc22947"/>
      <w:bookmarkStart w:id="51" w:name="_Toc15378460"/>
      <w:r>
        <w:rPr>
          <w:rFonts w:hint="eastAsia" w:ascii="仿宋" w:hAnsi="仿宋" w:eastAsia="仿宋"/>
          <w:b/>
          <w:sz w:val="32"/>
          <w:szCs w:val="32"/>
        </w:rPr>
        <w:t>2021年一般公共预算支出决算数为3357.21</w:t>
      </w:r>
      <w:r>
        <w:rPr>
          <w:rFonts w:hint="eastAsia" w:ascii="仿宋" w:hAnsi="仿宋" w:eastAsia="仿宋"/>
          <w:sz w:val="32"/>
          <w:szCs w:val="32"/>
        </w:rPr>
        <w:t>，</w:t>
      </w:r>
      <w:r>
        <w:rPr>
          <w:rStyle w:val="15"/>
          <w:rFonts w:hint="eastAsia" w:ascii="仿宋" w:hAnsi="仿宋" w:eastAsia="仿宋"/>
          <w:bCs/>
          <w:sz w:val="32"/>
          <w:szCs w:val="32"/>
        </w:rPr>
        <w:t>完成预算89.93</w:t>
      </w:r>
      <w:r>
        <w:rPr>
          <w:rStyle w:val="15"/>
          <w:rFonts w:ascii="仿宋" w:hAnsi="仿宋" w:eastAsia="仿宋"/>
          <w:bCs/>
          <w:sz w:val="32"/>
          <w:szCs w:val="32"/>
        </w:rPr>
        <w:t>%</w:t>
      </w:r>
      <w:r>
        <w:rPr>
          <w:rStyle w:val="15"/>
          <w:rFonts w:hint="eastAsia" w:ascii="仿宋" w:hAnsi="仿宋" w:eastAsia="仿宋"/>
          <w:bCs/>
          <w:sz w:val="32"/>
          <w:szCs w:val="32"/>
        </w:rPr>
        <w:t>。其中：</w:t>
      </w:r>
      <w:bookmarkEnd w:id="48"/>
      <w:bookmarkEnd w:id="49"/>
      <w:bookmarkEnd w:id="50"/>
      <w:bookmarkEnd w:id="51"/>
    </w:p>
    <w:p>
      <w:pPr>
        <w:numPr>
          <w:ilvl w:val="0"/>
          <w:numId w:val="3"/>
        </w:numPr>
        <w:spacing w:line="600" w:lineRule="exact"/>
        <w:ind w:firstLine="643" w:firstLineChars="200"/>
        <w:rPr>
          <w:rStyle w:val="15"/>
          <w:rFonts w:ascii="仿宋" w:hAnsi="仿宋" w:eastAsia="仿宋"/>
          <w:b w:val="0"/>
          <w:bCs/>
          <w:sz w:val="32"/>
          <w:szCs w:val="32"/>
        </w:rPr>
      </w:pPr>
      <w:r>
        <w:rPr>
          <w:rStyle w:val="15"/>
          <w:rFonts w:hint="eastAsia" w:ascii="仿宋" w:hAnsi="仿宋" w:eastAsia="仿宋"/>
          <w:bCs/>
          <w:sz w:val="32"/>
          <w:szCs w:val="32"/>
        </w:rPr>
        <w:t>社会保障和就业（类）</w:t>
      </w:r>
      <w:bookmarkStart w:id="52" w:name="_Hlk83286544"/>
      <w:r>
        <w:rPr>
          <w:rStyle w:val="15"/>
          <w:rFonts w:hint="eastAsia" w:ascii="仿宋" w:hAnsi="仿宋" w:eastAsia="仿宋"/>
          <w:bCs/>
          <w:color w:val="000000"/>
          <w:sz w:val="32"/>
          <w:szCs w:val="32"/>
        </w:rPr>
        <w:t>行政事业单位养老支出</w:t>
      </w:r>
      <w:bookmarkEnd w:id="52"/>
      <w:r>
        <w:rPr>
          <w:rStyle w:val="15"/>
          <w:rFonts w:hint="eastAsia" w:ascii="仿宋" w:hAnsi="仿宋" w:eastAsia="仿宋"/>
          <w:bCs/>
          <w:sz w:val="32"/>
          <w:szCs w:val="32"/>
        </w:rPr>
        <w:t>（款）</w:t>
      </w:r>
      <w:r>
        <w:rPr>
          <w:rStyle w:val="15"/>
          <w:rFonts w:hint="eastAsia" w:ascii="仿宋" w:hAnsi="仿宋" w:eastAsia="仿宋"/>
          <w:bCs/>
          <w:color w:val="000000"/>
          <w:sz w:val="32"/>
          <w:szCs w:val="32"/>
        </w:rPr>
        <w:t>机关事业单位基本养老保险缴费支出</w:t>
      </w:r>
      <w:r>
        <w:rPr>
          <w:rStyle w:val="15"/>
          <w:rFonts w:hint="eastAsia" w:ascii="仿宋" w:hAnsi="仿宋" w:eastAsia="仿宋"/>
          <w:bCs/>
          <w:sz w:val="32"/>
          <w:szCs w:val="32"/>
        </w:rPr>
        <w:t>（项）</w:t>
      </w:r>
      <w:r>
        <w:rPr>
          <w:rStyle w:val="15"/>
          <w:rFonts w:ascii="仿宋" w:hAnsi="仿宋" w:eastAsia="仿宋"/>
          <w:bCs/>
          <w:sz w:val="32"/>
          <w:szCs w:val="32"/>
        </w:rPr>
        <w:t>:</w:t>
      </w:r>
      <w:r>
        <w:rPr>
          <w:rStyle w:val="15"/>
          <w:rFonts w:hint="eastAsia" w:ascii="仿宋" w:hAnsi="仿宋" w:eastAsia="仿宋"/>
          <w:b w:val="0"/>
          <w:bCs/>
          <w:sz w:val="32"/>
          <w:szCs w:val="32"/>
        </w:rPr>
        <w:t>支出决算为147.7万元，完成预算100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p>
    <w:p>
      <w:pPr>
        <w:numPr>
          <w:ilvl w:val="0"/>
          <w:numId w:val="3"/>
        </w:numPr>
        <w:spacing w:line="600" w:lineRule="exact"/>
        <w:ind w:firstLine="643" w:firstLineChars="200"/>
        <w:rPr>
          <w:rStyle w:val="15"/>
          <w:rFonts w:ascii="仿宋" w:hAnsi="仿宋" w:eastAsia="仿宋"/>
          <w:b w:val="0"/>
          <w:bCs/>
          <w:sz w:val="32"/>
          <w:szCs w:val="32"/>
        </w:rPr>
      </w:pPr>
      <w:r>
        <w:rPr>
          <w:rStyle w:val="15"/>
          <w:rFonts w:hint="eastAsia" w:ascii="仿宋" w:hAnsi="仿宋" w:eastAsia="仿宋"/>
          <w:bCs/>
          <w:sz w:val="32"/>
          <w:szCs w:val="32"/>
        </w:rPr>
        <w:t>社会保障和就业（类）</w:t>
      </w:r>
      <w:r>
        <w:rPr>
          <w:rStyle w:val="15"/>
          <w:rFonts w:hint="eastAsia" w:ascii="仿宋" w:hAnsi="仿宋" w:eastAsia="仿宋"/>
          <w:bCs/>
          <w:color w:val="000000"/>
          <w:sz w:val="32"/>
          <w:szCs w:val="32"/>
        </w:rPr>
        <w:t>行政事业单位养老支出</w:t>
      </w:r>
      <w:r>
        <w:rPr>
          <w:rStyle w:val="15"/>
          <w:rFonts w:hint="eastAsia" w:ascii="仿宋" w:hAnsi="仿宋" w:eastAsia="仿宋"/>
          <w:bCs/>
          <w:sz w:val="32"/>
          <w:szCs w:val="32"/>
        </w:rPr>
        <w:t>（款）</w:t>
      </w:r>
      <w:r>
        <w:rPr>
          <w:rFonts w:hint="eastAsia" w:ascii="仿宋" w:hAnsi="仿宋" w:eastAsia="仿宋"/>
          <w:b/>
          <w:bCs/>
          <w:color w:val="000000"/>
          <w:sz w:val="32"/>
          <w:szCs w:val="32"/>
        </w:rPr>
        <w:t>机关事业单位职业年金缴费支出</w:t>
      </w:r>
      <w:r>
        <w:rPr>
          <w:rStyle w:val="15"/>
          <w:rFonts w:hint="eastAsia" w:ascii="仿宋" w:hAnsi="仿宋" w:eastAsia="仿宋"/>
          <w:bCs/>
          <w:sz w:val="32"/>
          <w:szCs w:val="32"/>
        </w:rPr>
        <w:t>（项）</w:t>
      </w:r>
      <w:r>
        <w:rPr>
          <w:rStyle w:val="15"/>
          <w:rFonts w:ascii="仿宋" w:hAnsi="仿宋" w:eastAsia="仿宋"/>
          <w:bCs/>
          <w:sz w:val="32"/>
          <w:szCs w:val="32"/>
        </w:rPr>
        <w:t>:</w:t>
      </w:r>
      <w:r>
        <w:rPr>
          <w:rStyle w:val="15"/>
          <w:rFonts w:hint="eastAsia" w:ascii="仿宋" w:hAnsi="仿宋" w:eastAsia="仿宋"/>
          <w:b w:val="0"/>
          <w:bCs/>
          <w:sz w:val="32"/>
          <w:szCs w:val="32"/>
        </w:rPr>
        <w:t>支出决算为4.51万元，完成预算100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p>
    <w:p>
      <w:pPr>
        <w:numPr>
          <w:ilvl w:val="0"/>
          <w:numId w:val="3"/>
        </w:numPr>
        <w:spacing w:line="600" w:lineRule="exact"/>
        <w:ind w:firstLine="643" w:firstLineChars="200"/>
        <w:rPr>
          <w:rFonts w:ascii="仿宋" w:hAnsi="仿宋" w:eastAsia="仿宋"/>
          <w:b/>
          <w:sz w:val="32"/>
          <w:szCs w:val="32"/>
        </w:rPr>
      </w:pPr>
      <w:r>
        <w:rPr>
          <w:rFonts w:hint="eastAsia" w:ascii="仿宋" w:hAnsi="仿宋" w:eastAsia="仿宋"/>
          <w:b/>
          <w:sz w:val="32"/>
          <w:szCs w:val="32"/>
        </w:rPr>
        <w:t>社会保障和就业（类）其他社会保障和就业支出（款）其他社会保障和就业支出（项）: 支出决算为40.66万元，完成预算100%。</w:t>
      </w:r>
    </w:p>
    <w:p>
      <w:pPr>
        <w:numPr>
          <w:ilvl w:val="0"/>
          <w:numId w:val="3"/>
        </w:numPr>
        <w:spacing w:line="600" w:lineRule="exact"/>
        <w:ind w:firstLine="643" w:firstLineChars="200"/>
        <w:rPr>
          <w:rFonts w:ascii="仿宋" w:hAnsi="仿宋" w:eastAsia="仿宋"/>
          <w:b/>
          <w:sz w:val="32"/>
          <w:szCs w:val="32"/>
        </w:rPr>
      </w:pPr>
      <w:r>
        <w:rPr>
          <w:rFonts w:hint="eastAsia" w:ascii="仿宋" w:hAnsi="仿宋" w:eastAsia="仿宋"/>
          <w:b/>
          <w:bCs/>
          <w:color w:val="000000"/>
          <w:sz w:val="32"/>
          <w:szCs w:val="32"/>
        </w:rPr>
        <w:t>卫生健康</w:t>
      </w:r>
      <w:r>
        <w:rPr>
          <w:rStyle w:val="15"/>
          <w:rFonts w:hint="eastAsia" w:ascii="仿宋" w:hAnsi="仿宋" w:eastAsia="仿宋"/>
          <w:bCs/>
          <w:color w:val="000000"/>
          <w:sz w:val="32"/>
          <w:szCs w:val="32"/>
        </w:rPr>
        <w:t>（类）公共卫生（款）疾病预防控制机构（项）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支出决算为1901.84万元，完成预算100</w:t>
      </w:r>
      <w:r>
        <w:rPr>
          <w:rStyle w:val="15"/>
          <w:rFonts w:ascii="仿宋" w:hAnsi="仿宋" w:eastAsia="仿宋"/>
          <w:b w:val="0"/>
          <w:bCs/>
          <w:color w:val="000000"/>
          <w:sz w:val="32"/>
          <w:szCs w:val="32"/>
        </w:rPr>
        <w:t>%</w:t>
      </w:r>
      <w:r>
        <w:rPr>
          <w:rStyle w:val="15"/>
          <w:rFonts w:hint="eastAsia" w:ascii="仿宋" w:hAnsi="仿宋" w:eastAsia="仿宋"/>
          <w:b w:val="0"/>
          <w:bCs/>
          <w:sz w:val="32"/>
          <w:szCs w:val="32"/>
        </w:rPr>
        <w:t>。</w:t>
      </w:r>
    </w:p>
    <w:p>
      <w:pPr>
        <w:pStyle w:val="6"/>
        <w:numPr>
          <w:ilvl w:val="0"/>
          <w:numId w:val="3"/>
        </w:numPr>
        <w:spacing w:before="93"/>
        <w:ind w:firstLine="643" w:firstLineChars="200"/>
        <w:rPr>
          <w:rFonts w:ascii="仿宋" w:hAnsi="仿宋" w:eastAsia="仿宋"/>
          <w:color w:val="000000"/>
          <w:sz w:val="32"/>
          <w:szCs w:val="32"/>
        </w:rPr>
      </w:pPr>
      <w:r>
        <w:rPr>
          <w:rFonts w:hint="eastAsia" w:ascii="仿宋" w:hAnsi="仿宋" w:eastAsia="仿宋"/>
          <w:b/>
          <w:bCs/>
          <w:color w:val="000000"/>
          <w:sz w:val="32"/>
          <w:szCs w:val="32"/>
        </w:rPr>
        <w:t>卫生健康（类）公共卫生（款）基本公共卫生服务（项）:</w:t>
      </w:r>
      <w:r>
        <w:rPr>
          <w:rFonts w:hint="eastAsia" w:ascii="仿宋" w:hAnsi="仿宋" w:eastAsia="仿宋"/>
          <w:color w:val="000000"/>
          <w:sz w:val="32"/>
          <w:szCs w:val="32"/>
        </w:rPr>
        <w:t>支出决算为316.78万元，完成预算</w:t>
      </w:r>
      <w:r>
        <w:rPr>
          <w:rFonts w:ascii="仿宋" w:hAnsi="仿宋" w:eastAsia="仿宋"/>
          <w:color w:val="000000"/>
          <w:sz w:val="32"/>
          <w:szCs w:val="32"/>
        </w:rPr>
        <w:t>100</w:t>
      </w:r>
      <w:r>
        <w:rPr>
          <w:rFonts w:hint="eastAsia" w:ascii="仿宋" w:hAnsi="仿宋" w:eastAsia="仿宋"/>
          <w:color w:val="000000"/>
          <w:sz w:val="32"/>
          <w:szCs w:val="32"/>
        </w:rPr>
        <w:t>%。</w:t>
      </w:r>
    </w:p>
    <w:p>
      <w:pPr>
        <w:pStyle w:val="6"/>
        <w:numPr>
          <w:ilvl w:val="0"/>
          <w:numId w:val="3"/>
        </w:numPr>
        <w:spacing w:before="93"/>
        <w:ind w:firstLine="643" w:firstLineChars="200"/>
        <w:rPr>
          <w:rFonts w:ascii="仿宋" w:hAnsi="仿宋" w:eastAsia="仿宋"/>
          <w:color w:val="000000"/>
          <w:sz w:val="32"/>
          <w:szCs w:val="32"/>
        </w:rPr>
      </w:pPr>
      <w:r>
        <w:rPr>
          <w:rFonts w:hint="eastAsia" w:ascii="仿宋" w:hAnsi="仿宋" w:eastAsia="仿宋"/>
          <w:b/>
          <w:sz w:val="32"/>
          <w:szCs w:val="32"/>
        </w:rPr>
        <w:t>卫生健康（类）公共卫生（款）重大公共卫生服务（项）:</w:t>
      </w:r>
      <w:r>
        <w:rPr>
          <w:rFonts w:hint="eastAsia" w:ascii="仿宋" w:hAnsi="仿宋" w:eastAsia="仿宋"/>
          <w:bCs/>
          <w:sz w:val="32"/>
          <w:szCs w:val="32"/>
        </w:rPr>
        <w:t>支出决算为915.31万元，完成预算83.88%。决算数小于预算数的原因主要是有的项目跨年度实施。</w:t>
      </w:r>
    </w:p>
    <w:p>
      <w:pPr>
        <w:pStyle w:val="6"/>
        <w:numPr>
          <w:ilvl w:val="0"/>
          <w:numId w:val="3"/>
        </w:numPr>
        <w:spacing w:before="93"/>
        <w:ind w:firstLine="643" w:firstLineChars="200"/>
        <w:rPr>
          <w:rFonts w:ascii="仿宋" w:hAnsi="仿宋" w:eastAsia="仿宋"/>
          <w:color w:val="000000"/>
          <w:sz w:val="32"/>
          <w:szCs w:val="32"/>
        </w:rPr>
      </w:pPr>
      <w:r>
        <w:rPr>
          <w:rFonts w:hint="eastAsia" w:ascii="仿宋" w:hAnsi="仿宋" w:eastAsia="仿宋"/>
          <w:b/>
          <w:sz w:val="32"/>
          <w:szCs w:val="32"/>
        </w:rPr>
        <w:t>卫生健康（类）行政事业单位医疗（款）事业单位医疗（项）:</w:t>
      </w:r>
      <w:r>
        <w:rPr>
          <w:rFonts w:hint="eastAsia" w:ascii="仿宋" w:hAnsi="仿宋" w:eastAsia="仿宋"/>
          <w:bCs/>
          <w:sz w:val="32"/>
          <w:szCs w:val="32"/>
        </w:rPr>
        <w:t>支出决算为73.41万元，完成预算100%。</w:t>
      </w:r>
    </w:p>
    <w:p>
      <w:pPr>
        <w:pStyle w:val="6"/>
        <w:numPr>
          <w:ilvl w:val="0"/>
          <w:numId w:val="3"/>
        </w:numPr>
        <w:spacing w:before="93"/>
        <w:ind w:firstLine="643" w:firstLineChars="200"/>
        <w:rPr>
          <w:rFonts w:ascii="仿宋" w:hAnsi="仿宋" w:eastAsia="仿宋"/>
          <w:color w:val="000000"/>
          <w:sz w:val="32"/>
          <w:szCs w:val="32"/>
        </w:rPr>
      </w:pPr>
      <w:r>
        <w:rPr>
          <w:rFonts w:hint="eastAsia" w:ascii="仿宋" w:hAnsi="仿宋" w:eastAsia="仿宋"/>
          <w:b/>
          <w:sz w:val="32"/>
          <w:szCs w:val="32"/>
        </w:rPr>
        <w:t>卫生健康（类）其他卫生健康支出（款）其他卫生健康支出（项）:</w:t>
      </w:r>
      <w:r>
        <w:rPr>
          <w:rFonts w:hint="eastAsia" w:ascii="仿宋" w:hAnsi="仿宋" w:eastAsia="仿宋"/>
          <w:bCs/>
          <w:sz w:val="32"/>
          <w:szCs w:val="32"/>
        </w:rPr>
        <w:t>支出决算为7.19万元，完成预算100%。</w:t>
      </w:r>
    </w:p>
    <w:p>
      <w:pPr>
        <w:pStyle w:val="6"/>
        <w:numPr>
          <w:ilvl w:val="0"/>
          <w:numId w:val="3"/>
        </w:numPr>
        <w:spacing w:before="93"/>
        <w:ind w:firstLine="643" w:firstLineChars="200"/>
        <w:rPr>
          <w:rFonts w:ascii="仿宋" w:hAnsi="仿宋" w:eastAsia="仿宋"/>
          <w:color w:val="000000"/>
          <w:sz w:val="32"/>
          <w:szCs w:val="32"/>
        </w:rPr>
      </w:pPr>
      <w:r>
        <w:rPr>
          <w:rFonts w:hint="eastAsia" w:ascii="仿宋" w:hAnsi="仿宋" w:eastAsia="仿宋"/>
          <w:b/>
          <w:sz w:val="32"/>
          <w:szCs w:val="32"/>
        </w:rPr>
        <w:t>住房保障支出（类）住房改革支出（款）住房公积金（项）：</w:t>
      </w:r>
      <w:r>
        <w:rPr>
          <w:rFonts w:hint="eastAsia" w:ascii="仿宋" w:hAnsi="仿宋" w:eastAsia="仿宋"/>
          <w:bCs/>
          <w:sz w:val="32"/>
          <w:szCs w:val="32"/>
        </w:rPr>
        <w:t>支出决算为149.81万元，完成预算1</w:t>
      </w:r>
      <w:r>
        <w:rPr>
          <w:rFonts w:ascii="仿宋" w:hAnsi="仿宋" w:eastAsia="仿宋"/>
          <w:bCs/>
          <w:sz w:val="32"/>
          <w:szCs w:val="32"/>
        </w:rPr>
        <w:t>00</w:t>
      </w:r>
      <w:r>
        <w:rPr>
          <w:rFonts w:hint="eastAsia" w:ascii="仿宋" w:hAnsi="仿宋" w:eastAsia="仿宋"/>
          <w:bCs/>
          <w:sz w:val="32"/>
          <w:szCs w:val="32"/>
        </w:rPr>
        <w:t>%。</w:t>
      </w:r>
    </w:p>
    <w:p>
      <w:pPr>
        <w:tabs>
          <w:tab w:val="right" w:pos="8306"/>
        </w:tabs>
        <w:spacing w:line="600" w:lineRule="exact"/>
        <w:ind w:firstLine="640"/>
        <w:outlineLvl w:val="1"/>
        <w:rPr>
          <w:rStyle w:val="26"/>
        </w:rPr>
      </w:pPr>
      <w:bookmarkStart w:id="53" w:name="_Toc2145"/>
      <w:bookmarkStart w:id="54" w:name="_Toc15396608"/>
      <w:bookmarkStart w:id="55"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6"/>
          <w:rFonts w:hint="eastAsia" w:ascii="黑体" w:hAnsi="黑体" w:eastAsia="黑体"/>
          <w:b w:val="0"/>
        </w:rPr>
        <w:t>般公共预算财政拨款基本支出决算情况说明</w:t>
      </w:r>
      <w:bookmarkEnd w:id="53"/>
      <w:bookmarkEnd w:id="54"/>
      <w:bookmarkEnd w:id="55"/>
      <w:r>
        <w:rPr>
          <w:rStyle w:val="26"/>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21年一般公共预算财政拨款基本支出2192.29万元，其中：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1856.59万元，主要包括：基本工资、津贴补贴、奖金、绩效工资、机关事业单位基本养老保险缴费、职业年金缴费、职工基本医疗保险缴费、其他社会保障缴费、其他工资福利支出、生活补助、奖励金、住房公积金、其他对个人和家庭的补助支出等。</w:t>
      </w:r>
      <w:r>
        <w:rPr>
          <w:rFonts w:hint="eastAsia" w:ascii="仿宋" w:hAnsi="仿宋" w:eastAsia="仿宋"/>
          <w:sz w:val="32"/>
          <w:szCs w:val="32"/>
        </w:rPr>
        <w:br w:type="textWrapping"/>
      </w:r>
      <w:r>
        <w:rPr>
          <w:rFonts w:hint="eastAsia" w:ascii="仿宋" w:hAnsi="仿宋" w:eastAsia="仿宋"/>
          <w:sz w:val="32"/>
          <w:szCs w:val="32"/>
        </w:rPr>
        <w:t>　　公用经费335.70万元，主要包括：办公费、印刷费、咨询费、水费、电费、邮电费、物业管理费、差旅费、维修（护）费、租赁费、培训费、公务接待费、专用材料费、劳务费、工会经费、福利费、公务用车运行维护费、其他交通费、税金及附加费用、其他商品和服务支出、办公设备购置、无形资产购置等。</w:t>
      </w:r>
    </w:p>
    <w:p>
      <w:pPr>
        <w:spacing w:line="600" w:lineRule="exact"/>
        <w:ind w:firstLine="645"/>
        <w:rPr>
          <w:rFonts w:ascii="仿宋" w:hAnsi="仿宋" w:eastAsia="仿宋"/>
          <w:sz w:val="32"/>
          <w:szCs w:val="32"/>
        </w:rPr>
      </w:pPr>
      <w:bookmarkStart w:id="56" w:name="_Toc15377215"/>
      <w:bookmarkStart w:id="57" w:name="_Toc15396609"/>
      <w:bookmarkStart w:id="58" w:name="_Toc12023"/>
      <w:r>
        <w:rPr>
          <w:rFonts w:hint="eastAsia" w:ascii="仿宋" w:hAnsi="仿宋" w:eastAsia="仿宋"/>
          <w:sz w:val="32"/>
          <w:szCs w:val="32"/>
        </w:rPr>
        <w:t>七、“三公”经费财政拨款支出决算情况说明</w:t>
      </w:r>
      <w:bookmarkEnd w:id="56"/>
      <w:bookmarkEnd w:id="57"/>
      <w:bookmarkEnd w:id="58"/>
    </w:p>
    <w:p>
      <w:pPr>
        <w:spacing w:line="600" w:lineRule="exact"/>
        <w:ind w:firstLine="645"/>
        <w:rPr>
          <w:rFonts w:ascii="仿宋" w:hAnsi="仿宋" w:eastAsia="仿宋"/>
          <w:sz w:val="32"/>
          <w:szCs w:val="32"/>
        </w:rPr>
      </w:pPr>
      <w:bookmarkStart w:id="59" w:name="_Toc15377216"/>
      <w:r>
        <w:rPr>
          <w:rFonts w:hint="eastAsia" w:ascii="仿宋" w:hAnsi="仿宋" w:eastAsia="仿宋"/>
          <w:sz w:val="32"/>
          <w:szCs w:val="32"/>
        </w:rPr>
        <w:t>（一）“三公”经费财政拨款支出决算总体情况说明</w:t>
      </w:r>
      <w:bookmarkEnd w:id="59"/>
    </w:p>
    <w:p>
      <w:pPr>
        <w:spacing w:line="600" w:lineRule="exact"/>
        <w:ind w:firstLine="645"/>
        <w:rPr>
          <w:rFonts w:ascii="仿宋" w:hAnsi="仿宋" w:eastAsia="仿宋"/>
          <w:sz w:val="32"/>
          <w:szCs w:val="32"/>
        </w:rPr>
      </w:pPr>
      <w:r>
        <w:rPr>
          <w:rFonts w:hint="eastAsia" w:ascii="仿宋" w:hAnsi="仿宋" w:eastAsia="仿宋"/>
          <w:sz w:val="32"/>
          <w:szCs w:val="32"/>
        </w:rPr>
        <w:t>2021年“三公”经费财政拨款支出决算为38.95万元，完成预算100%，决算数与预算数持平。</w:t>
      </w:r>
    </w:p>
    <w:p>
      <w:pPr>
        <w:spacing w:line="600" w:lineRule="exact"/>
        <w:ind w:firstLine="645"/>
        <w:rPr>
          <w:rFonts w:ascii="仿宋" w:hAnsi="仿宋" w:eastAsia="仿宋"/>
          <w:sz w:val="32"/>
          <w:szCs w:val="32"/>
        </w:rPr>
      </w:pPr>
      <w:bookmarkStart w:id="60" w:name="_Toc15377217"/>
      <w:r>
        <w:rPr>
          <w:rFonts w:hint="eastAsia" w:ascii="仿宋" w:hAnsi="仿宋" w:eastAsia="仿宋"/>
          <w:sz w:val="32"/>
          <w:szCs w:val="32"/>
        </w:rPr>
        <w:t>（二）“三公”经费财政拨款支出决算具体情况说明</w:t>
      </w:r>
      <w:bookmarkEnd w:id="60"/>
    </w:p>
    <w:p>
      <w:pPr>
        <w:spacing w:line="600" w:lineRule="exact"/>
        <w:ind w:firstLine="645"/>
        <w:rPr>
          <w:rFonts w:ascii="仿宋" w:hAnsi="仿宋" w:eastAsia="仿宋"/>
          <w:sz w:val="32"/>
          <w:szCs w:val="32"/>
        </w:rPr>
      </w:pPr>
      <w:r>
        <w:rPr>
          <w:rFonts w:hint="eastAsia" w:ascii="仿宋" w:hAnsi="仿宋" w:eastAsia="仿宋"/>
          <w:sz w:val="32"/>
          <w:szCs w:val="32"/>
        </w:rPr>
        <w:t>2021年“三公”经费财政拨款支出决算中，因公出国（境）的支出决算，占0%；公务用车购置及运行维护费支出决算32.7</w:t>
      </w:r>
      <w:r>
        <w:rPr>
          <w:rFonts w:hint="eastAsia" w:ascii="仿宋" w:hAnsi="仿宋" w:eastAsia="仿宋"/>
          <w:sz w:val="32"/>
          <w:szCs w:val="32"/>
          <w:lang w:val="en-US" w:eastAsia="zh-CN"/>
        </w:rPr>
        <w:t>4</w:t>
      </w:r>
      <w:r>
        <w:rPr>
          <w:rFonts w:hint="eastAsia" w:ascii="仿宋" w:hAnsi="仿宋" w:eastAsia="仿宋"/>
          <w:sz w:val="32"/>
          <w:szCs w:val="32"/>
        </w:rPr>
        <w:t>万元，占84.03%；公务接待费支出决算6.21万元，占15.97%。具体情况如下：</w:t>
      </w:r>
    </w:p>
    <w:p>
      <w:pPr>
        <w:pStyle w:val="6"/>
        <w:spacing w:before="93"/>
        <w:rPr>
          <w:rFonts w:eastAsia="仿宋"/>
          <w:highlight w:val="yellow"/>
        </w:rPr>
      </w:pPr>
      <w:r>
        <w:rPr>
          <w:rFonts w:hint="eastAsia" w:eastAsia="仿宋"/>
          <w:highlight w:val="yellow"/>
        </w:rPr>
        <w:drawing>
          <wp:inline distT="0" distB="0" distL="114300" distR="114300">
            <wp:extent cx="5080000" cy="2152650"/>
            <wp:effectExtent l="4445" t="4445" r="5715" b="698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0万元，年初未安排预算</w:t>
      </w:r>
      <w:r>
        <w:rPr>
          <w:rStyle w:val="15"/>
          <w:rFonts w:hint="eastAsia" w:ascii="仿宋" w:hAnsi="仿宋" w:eastAsia="仿宋"/>
          <w:b w:val="0"/>
          <w:bCs/>
          <w:sz w:val="32"/>
          <w:szCs w:val="32"/>
        </w:rPr>
        <w:t>。</w:t>
      </w:r>
      <w:r>
        <w:rPr>
          <w:rFonts w:hint="eastAsia" w:ascii="仿宋_GB2312" w:eastAsia="仿宋_GB2312"/>
          <w:sz w:val="32"/>
          <w:szCs w:val="32"/>
        </w:rPr>
        <w:t>因公出国（境）支出决算较2020年无变化。</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32.73万元,</w:t>
      </w:r>
      <w:r>
        <w:rPr>
          <w:rStyle w:val="15"/>
          <w:rFonts w:hint="eastAsia" w:ascii="仿宋" w:hAnsi="仿宋" w:eastAsia="仿宋"/>
          <w:b w:val="0"/>
          <w:bCs/>
          <w:sz w:val="32"/>
          <w:szCs w:val="32"/>
        </w:rPr>
        <w:t>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20年减少8.39万元，减少20.4</w:t>
      </w:r>
      <w:r>
        <w:rPr>
          <w:rFonts w:ascii="仿宋_GB2312" w:eastAsia="仿宋_GB2312"/>
          <w:sz w:val="32"/>
          <w:szCs w:val="32"/>
        </w:rPr>
        <w:t>%</w:t>
      </w:r>
      <w:r>
        <w:rPr>
          <w:rFonts w:hint="eastAsia" w:ascii="仿宋_GB2312" w:eastAsia="仿宋_GB2312"/>
          <w:sz w:val="32"/>
          <w:szCs w:val="32"/>
        </w:rPr>
        <w:t>。主要原因是：疫情进入常态化控制，相应的督导、检查、流调、指派用车有所减少。</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其中：公务用车购置支出0万元。截至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月底，单位共有公务用车12辆，其中：轿车2辆、越野车1辆、小型载客汽车4辆、其他车型5辆。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32.73万元。主要用于</w:t>
      </w:r>
      <w:r>
        <w:rPr>
          <w:rFonts w:hint="eastAsia" w:ascii="仿宋" w:hAnsi="仿宋" w:eastAsia="仿宋"/>
          <w:color w:val="000000"/>
          <w:sz w:val="32"/>
          <w:szCs w:val="32"/>
        </w:rPr>
        <w:t>市疾控中心下属各科所开展业务工作</w:t>
      </w:r>
      <w:r>
        <w:rPr>
          <w:rFonts w:hint="eastAsia" w:ascii="仿宋_GB2312" w:eastAsia="仿宋_GB2312"/>
          <w:sz w:val="32"/>
          <w:szCs w:val="32"/>
        </w:rPr>
        <w:t>等所需的公务用车燃料费、维修费、过路过桥费、保险费等支出。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6.21万元，</w:t>
      </w:r>
      <w:r>
        <w:rPr>
          <w:rStyle w:val="15"/>
          <w:rFonts w:hint="eastAsia" w:ascii="仿宋" w:hAnsi="仿宋" w:eastAsia="仿宋"/>
          <w:b w:val="0"/>
          <w:bCs/>
          <w:sz w:val="32"/>
          <w:szCs w:val="32"/>
        </w:rPr>
        <w:t>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20年增加3.04万元，增长95.90</w:t>
      </w:r>
      <w:r>
        <w:rPr>
          <w:rFonts w:ascii="仿宋_GB2312" w:eastAsia="仿宋_GB2312"/>
          <w:sz w:val="32"/>
          <w:szCs w:val="32"/>
        </w:rPr>
        <w:t>%</w:t>
      </w:r>
      <w:r>
        <w:rPr>
          <w:rFonts w:hint="eastAsia" w:ascii="仿宋_GB2312" w:eastAsia="仿宋_GB2312"/>
          <w:sz w:val="32"/>
          <w:szCs w:val="32"/>
        </w:rPr>
        <w:t>。主要原因是市疾控创三甲及新冠业务工作的督导检查。其中：</w:t>
      </w:r>
    </w:p>
    <w:p>
      <w:pPr>
        <w:spacing w:line="600" w:lineRule="exact"/>
        <w:ind w:firstLine="640"/>
        <w:rPr>
          <w:rFonts w:ascii="仿宋" w:hAnsi="仿宋" w:eastAsia="仿宋"/>
          <w:color w:val="000000"/>
          <w:sz w:val="32"/>
          <w:szCs w:val="32"/>
        </w:rPr>
      </w:pPr>
      <w:r>
        <w:rPr>
          <w:rFonts w:hint="eastAsia" w:ascii="仿宋" w:hAnsi="仿宋" w:eastAsia="仿宋"/>
          <w:b/>
          <w:sz w:val="32"/>
          <w:szCs w:val="32"/>
        </w:rPr>
        <w:t>国内公务接待支出</w:t>
      </w:r>
      <w:r>
        <w:rPr>
          <w:rFonts w:hint="eastAsia" w:ascii="仿宋" w:hAnsi="仿宋" w:eastAsia="仿宋"/>
          <w:sz w:val="32"/>
          <w:szCs w:val="32"/>
        </w:rPr>
        <w:t>6.21</w:t>
      </w:r>
      <w:r>
        <w:rPr>
          <w:rFonts w:hint="eastAsia" w:ascii="仿宋_GB2312" w:eastAsia="仿宋_GB2312"/>
          <w:sz w:val="32"/>
          <w:szCs w:val="32"/>
        </w:rPr>
        <w:t>万元，主要用于</w:t>
      </w:r>
      <w:r>
        <w:rPr>
          <w:rFonts w:hint="eastAsia" w:ascii="仿宋" w:hAnsi="仿宋" w:eastAsia="仿宋"/>
          <w:color w:val="000000"/>
          <w:sz w:val="32"/>
          <w:szCs w:val="32"/>
        </w:rPr>
        <w:t>开展业务活动开支的交通费、住宿费、用餐费等。</w:t>
      </w:r>
      <w:r>
        <w:rPr>
          <w:rFonts w:hint="eastAsia" w:ascii="仿宋_GB2312" w:eastAsia="仿宋_GB2312"/>
          <w:sz w:val="32"/>
          <w:szCs w:val="32"/>
        </w:rPr>
        <w:t>(执行公务、开展业务活动开支的交通费、住宿费、用餐费等)。国内公务接待10批次，600人次（不包括陪同人员），共计支出6.21万元，具体内容包括：</w:t>
      </w:r>
      <w:r>
        <w:rPr>
          <w:rFonts w:hint="eastAsia" w:ascii="仿宋" w:hAnsi="仿宋" w:eastAsia="仿宋"/>
          <w:color w:val="000000"/>
          <w:sz w:val="32"/>
          <w:szCs w:val="32"/>
        </w:rPr>
        <w:t>省疾控对广元市疾控的各项专业指导、核查；省内其他市来中心的交流学习、市内县区疾控来中心学习等发生的接待支出。</w:t>
      </w:r>
    </w:p>
    <w:p>
      <w:pPr>
        <w:spacing w:line="600" w:lineRule="exact"/>
        <w:ind w:firstLine="640"/>
        <w:outlineLvl w:val="1"/>
        <w:rPr>
          <w:rStyle w:val="26"/>
          <w:rFonts w:ascii="黑体" w:hAnsi="黑体" w:eastAsia="黑体"/>
        </w:rPr>
      </w:pPr>
      <w:bookmarkStart w:id="61" w:name="_Toc15377218"/>
      <w:bookmarkStart w:id="62" w:name="_Toc10550"/>
      <w:bookmarkStart w:id="63" w:name="_Toc15396610"/>
      <w:r>
        <w:rPr>
          <w:rFonts w:hint="eastAsia" w:ascii="黑体" w:eastAsia="黑体"/>
          <w:sz w:val="32"/>
          <w:szCs w:val="32"/>
        </w:rPr>
        <w:t>八、</w:t>
      </w:r>
      <w:r>
        <w:rPr>
          <w:rStyle w:val="26"/>
          <w:rFonts w:hint="eastAsia" w:ascii="黑体" w:hAnsi="黑体" w:eastAsia="黑体"/>
          <w:b w:val="0"/>
        </w:rPr>
        <w:t>政府性基金预算支出决算情况说明</w:t>
      </w:r>
      <w:bookmarkEnd w:id="61"/>
      <w:bookmarkEnd w:id="62"/>
      <w:bookmarkEnd w:id="63"/>
    </w:p>
    <w:p>
      <w:pPr>
        <w:spacing w:line="600" w:lineRule="exact"/>
        <w:ind w:firstLine="640" w:firstLineChars="200"/>
        <w:rPr>
          <w:rFonts w:ascii="仿宋" w:hAnsi="仿宋" w:eastAsia="仿宋"/>
          <w:color w:val="000000"/>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21年政府性基金预算财政拨款支出726.48万元。</w:t>
      </w:r>
      <w:r>
        <w:rPr>
          <w:rFonts w:hint="eastAsia" w:ascii="仿宋" w:hAnsi="仿宋" w:eastAsia="仿宋"/>
          <w:color w:val="000000"/>
          <w:sz w:val="32"/>
          <w:szCs w:val="32"/>
        </w:rPr>
        <w:t>主要用于实验室改造项目。</w:t>
      </w:r>
    </w:p>
    <w:p>
      <w:pPr>
        <w:spacing w:line="600" w:lineRule="exact"/>
        <w:ind w:firstLine="640" w:firstLineChars="200"/>
        <w:rPr>
          <w:rFonts w:eastAsia="仿宋"/>
        </w:rPr>
      </w:pPr>
      <w:r>
        <w:rPr>
          <w:rFonts w:hint="eastAsia" w:ascii="仿宋_GB2312" w:eastAsia="仿宋_GB2312"/>
          <w:sz w:val="32"/>
          <w:szCs w:val="32"/>
        </w:rPr>
        <w:t>2021年本单位未在政府性基金预算拨款安排“三公经费”支出。</w:t>
      </w:r>
    </w:p>
    <w:p>
      <w:pPr>
        <w:numPr>
          <w:ilvl w:val="0"/>
          <w:numId w:val="4"/>
        </w:numPr>
        <w:spacing w:line="600" w:lineRule="exact"/>
        <w:ind w:firstLine="640"/>
        <w:outlineLvl w:val="1"/>
        <w:rPr>
          <w:rStyle w:val="26"/>
          <w:rFonts w:ascii="黑体" w:hAnsi="黑体" w:eastAsia="黑体"/>
          <w:b w:val="0"/>
        </w:rPr>
      </w:pPr>
      <w:bookmarkStart w:id="64" w:name="_Toc15377219"/>
      <w:bookmarkStart w:id="65" w:name="_Toc7456"/>
      <w:bookmarkStart w:id="66" w:name="_Toc15396611"/>
      <w:r>
        <w:rPr>
          <w:rStyle w:val="26"/>
          <w:rFonts w:hint="eastAsia" w:ascii="黑体" w:hAnsi="黑体" w:eastAsia="黑体"/>
          <w:b w:val="0"/>
        </w:rPr>
        <w:t>国有资本经营预算支出决算情况说明</w:t>
      </w:r>
      <w:bookmarkEnd w:id="64"/>
      <w:bookmarkEnd w:id="65"/>
      <w:bookmarkEnd w:id="66"/>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21年国有资本经营预算财政拨款支出0万元。</w:t>
      </w:r>
    </w:p>
    <w:p>
      <w:pPr>
        <w:numPr>
          <w:ilvl w:val="0"/>
          <w:numId w:val="4"/>
        </w:numPr>
        <w:spacing w:line="600" w:lineRule="exact"/>
        <w:ind w:firstLine="640"/>
        <w:outlineLvl w:val="1"/>
        <w:rPr>
          <w:rStyle w:val="26"/>
          <w:rFonts w:ascii="黑体" w:hAnsi="黑体" w:eastAsia="黑体"/>
          <w:b w:val="0"/>
        </w:rPr>
      </w:pPr>
      <w:bookmarkStart w:id="67" w:name="_Toc21345"/>
      <w:bookmarkStart w:id="68" w:name="_Toc15396612"/>
      <w:bookmarkStart w:id="69" w:name="_Toc15377221"/>
      <w:r>
        <w:rPr>
          <w:rStyle w:val="26"/>
          <w:rFonts w:hint="eastAsia" w:ascii="黑体" w:hAnsi="黑体" w:eastAsia="黑体"/>
          <w:b w:val="0"/>
        </w:rPr>
        <w:t>预算绩效管理情况</w:t>
      </w:r>
      <w:bookmarkEnd w:id="67"/>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2021年度预算编制阶段，组织对免疫规划管理项目等7个项目开展了预算事前绩效评估，对7个项目编制了绩效目标，预算执行过程中，选取7个项目开展绩效监控，年终执行完毕后，对5个项目开展了绩效自评，2021年部门预算项目绩效目标自评表见附件（第四部分）。</w:t>
      </w:r>
    </w:p>
    <w:p>
      <w:pPr>
        <w:numPr>
          <w:ilvl w:val="0"/>
          <w:numId w:val="4"/>
        </w:numPr>
        <w:spacing w:line="600" w:lineRule="exact"/>
        <w:ind w:firstLine="640"/>
        <w:outlineLvl w:val="1"/>
        <w:rPr>
          <w:rStyle w:val="26"/>
          <w:rFonts w:ascii="黑体" w:hAnsi="黑体" w:eastAsia="黑体"/>
          <w:b w:val="0"/>
        </w:rPr>
      </w:pPr>
      <w:bookmarkStart w:id="70" w:name="_Toc3282"/>
      <w:r>
        <w:rPr>
          <w:rStyle w:val="26"/>
          <w:rFonts w:hint="eastAsia" w:ascii="黑体" w:hAnsi="黑体" w:eastAsia="黑体"/>
          <w:b w:val="0"/>
        </w:rPr>
        <w:t>其他重要事项的情况说明</w:t>
      </w:r>
      <w:bookmarkEnd w:id="68"/>
      <w:bookmarkEnd w:id="69"/>
      <w:bookmarkEnd w:id="70"/>
    </w:p>
    <w:p>
      <w:pPr>
        <w:spacing w:line="600" w:lineRule="exact"/>
        <w:ind w:firstLine="643" w:firstLineChars="200"/>
        <w:outlineLvl w:val="2"/>
        <w:rPr>
          <w:rFonts w:ascii="仿宋" w:hAnsi="仿宋" w:eastAsia="仿宋"/>
          <w:sz w:val="32"/>
          <w:szCs w:val="32"/>
        </w:rPr>
      </w:pPr>
      <w:bookmarkStart w:id="71" w:name="_Toc15377222"/>
      <w:r>
        <w:rPr>
          <w:rFonts w:hint="eastAsia" w:ascii="仿宋" w:hAnsi="仿宋" w:eastAsia="仿宋"/>
          <w:b/>
          <w:sz w:val="32"/>
          <w:szCs w:val="32"/>
        </w:rPr>
        <w:t>（一）机关运行经费支出情况</w:t>
      </w:r>
      <w:bookmarkEnd w:id="71"/>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2021年未发生机关运行经费支出，与2020年决算数持平。</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72" w:name="_Toc15377223"/>
      <w:r>
        <w:rPr>
          <w:rFonts w:hint="eastAsia" w:ascii="仿宋" w:hAnsi="仿宋" w:eastAsia="仿宋"/>
          <w:b/>
          <w:sz w:val="32"/>
          <w:szCs w:val="32"/>
        </w:rPr>
        <w:t>（二）政府采购支出情况</w:t>
      </w:r>
      <w:bookmarkEnd w:id="72"/>
    </w:p>
    <w:p>
      <w:pPr>
        <w:spacing w:line="600" w:lineRule="exact"/>
        <w:ind w:firstLine="640" w:firstLineChars="200"/>
        <w:rPr>
          <w:rFonts w:hint="eastAsia" w:ascii="仿宋_GB2312" w:eastAsia="仿宋_GB2312"/>
          <w:sz w:val="32"/>
          <w:szCs w:val="32"/>
          <w:highlight w:val="red"/>
          <w:lang w:val="en-US" w:eastAsia="zh-CN"/>
        </w:rPr>
      </w:pPr>
      <w:r>
        <w:rPr>
          <w:rFonts w:ascii="仿宋_GB2312" w:eastAsia="仿宋_GB2312"/>
          <w:sz w:val="32"/>
          <w:szCs w:val="32"/>
        </w:rPr>
        <w:t>20</w:t>
      </w:r>
      <w:r>
        <w:rPr>
          <w:rFonts w:hint="eastAsia" w:ascii="仿宋_GB2312" w:eastAsia="仿宋_GB2312"/>
          <w:sz w:val="32"/>
          <w:szCs w:val="32"/>
        </w:rPr>
        <w:t>21年，市疾控政府采购支出总额783.31万元，其中：政府采购货物支出783.31万元。主要用于专业设备及检验试剂的采购。授予中小企业合同金额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hint="eastAsia" w:ascii="仿宋_GB2312" w:eastAsia="仿宋_GB2312"/>
          <w:sz w:val="32"/>
          <w:szCs w:val="32"/>
        </w:rPr>
        <w:t>%</w:t>
      </w:r>
      <w:r>
        <w:rPr>
          <w:rFonts w:hint="eastAsia" w:ascii="仿宋_GB2312" w:eastAsia="仿宋_GB2312"/>
          <w:sz w:val="32"/>
          <w:szCs w:val="32"/>
          <w:lang w:eastAsia="zh-CN"/>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73" w:name="_Toc15377224"/>
      <w:r>
        <w:rPr>
          <w:rFonts w:hint="eastAsia" w:ascii="仿宋" w:hAnsi="仿宋" w:eastAsia="仿宋"/>
          <w:b/>
          <w:sz w:val="32"/>
          <w:szCs w:val="32"/>
        </w:rPr>
        <w:t>（三）国有资产占有使用情况</w:t>
      </w:r>
      <w:bookmarkEnd w:id="73"/>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日，市疾控中心共有车辆12辆，其中：主要领导干部用车0辆、特种专业技术用车3辆、其他用车9辆，其他用车主要是用于市疾控业务活动使用。单价</w:t>
      </w:r>
      <w:r>
        <w:rPr>
          <w:rFonts w:ascii="仿宋_GB2312" w:eastAsia="仿宋_GB2312"/>
          <w:sz w:val="32"/>
          <w:szCs w:val="32"/>
        </w:rPr>
        <w:t>50</w:t>
      </w:r>
      <w:r>
        <w:rPr>
          <w:rFonts w:hint="eastAsia" w:ascii="仿宋_GB2312" w:eastAsia="仿宋_GB2312"/>
          <w:sz w:val="32"/>
          <w:szCs w:val="32"/>
        </w:rPr>
        <w:t>万元以上通用设备0台（套），单价</w:t>
      </w:r>
      <w:r>
        <w:rPr>
          <w:rFonts w:ascii="仿宋_GB2312" w:eastAsia="仿宋_GB2312"/>
          <w:sz w:val="32"/>
          <w:szCs w:val="32"/>
        </w:rPr>
        <w:t>100</w:t>
      </w:r>
      <w:r>
        <w:rPr>
          <w:rFonts w:hint="eastAsia" w:ascii="仿宋_GB2312" w:eastAsia="仿宋_GB2312"/>
          <w:sz w:val="32"/>
          <w:szCs w:val="32"/>
        </w:rPr>
        <w:t>万元以上专用设备3台（套）。</w:t>
      </w:r>
    </w:p>
    <w:p>
      <w:pPr>
        <w:widowControl/>
        <w:jc w:val="center"/>
        <w:rPr>
          <w:rStyle w:val="25"/>
          <w:rFonts w:ascii="黑体" w:hAnsi="黑体" w:eastAsia="黑体"/>
          <w:b w:val="0"/>
        </w:rPr>
      </w:pPr>
      <w:r>
        <w:rPr>
          <w:rFonts w:ascii="仿宋_GB2312" w:eastAsia="仿宋_GB2312"/>
          <w:b/>
          <w:sz w:val="32"/>
          <w:szCs w:val="32"/>
        </w:rPr>
        <w:br w:type="page"/>
      </w:r>
      <w:bookmarkStart w:id="74" w:name="_Toc15396613"/>
      <w:bookmarkStart w:id="75" w:name="_Toc15377225"/>
      <w:bookmarkStart w:id="76" w:name="_Toc21844"/>
      <w:r>
        <w:rPr>
          <w:rFonts w:hint="eastAsia" w:ascii="黑体" w:hAnsi="黑体" w:eastAsia="黑体"/>
          <w:sz w:val="44"/>
          <w:szCs w:val="44"/>
          <w:lang w:val="en-US" w:eastAsia="zh-CN"/>
        </w:rPr>
        <w:t>第三部分</w:t>
      </w:r>
      <w:r>
        <w:rPr>
          <w:rFonts w:hint="eastAsia" w:ascii="仿宋_GB2312" w:eastAsia="仿宋_GB2312"/>
          <w:b/>
          <w:sz w:val="32"/>
          <w:szCs w:val="32"/>
          <w:lang w:val="en-US" w:eastAsia="zh-CN"/>
        </w:rPr>
        <w:t xml:space="preserve"> </w:t>
      </w:r>
      <w:r>
        <w:rPr>
          <w:rFonts w:hint="eastAsia" w:ascii="黑体" w:hAnsi="黑体" w:eastAsia="黑体"/>
          <w:sz w:val="44"/>
          <w:szCs w:val="44"/>
        </w:rPr>
        <w:t>名</w:t>
      </w:r>
      <w:r>
        <w:rPr>
          <w:rStyle w:val="25"/>
          <w:rFonts w:hint="eastAsia" w:ascii="黑体" w:hAnsi="黑体" w:eastAsia="黑体"/>
          <w:b w:val="0"/>
        </w:rPr>
        <w:t>词解释</w:t>
      </w:r>
      <w:bookmarkEnd w:id="74"/>
      <w:bookmarkEnd w:id="75"/>
      <w:bookmarkEnd w:id="76"/>
    </w:p>
    <w:p>
      <w:pPr>
        <w:spacing w:line="600" w:lineRule="exact"/>
        <w:jc w:val="left"/>
        <w:rPr>
          <w:rFonts w:ascii="宋体"/>
          <w:b/>
          <w:sz w:val="44"/>
          <w:szCs w:val="44"/>
        </w:rPr>
      </w:pPr>
    </w:p>
    <w:p>
      <w:pPr>
        <w:pStyle w:val="23"/>
        <w:spacing w:line="560" w:lineRule="exact"/>
        <w:ind w:firstLine="640" w:firstLineChars="200"/>
        <w:outlineLvl w:val="1"/>
        <w:rPr>
          <w:rFonts w:ascii="仿宋_GB2312" w:eastAsia="仿宋_GB2312"/>
          <w:color w:val="auto"/>
          <w:sz w:val="32"/>
          <w:szCs w:val="32"/>
        </w:rPr>
      </w:pPr>
      <w:bookmarkStart w:id="77" w:name="_Toc16638"/>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bookmarkEnd w:id="77"/>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其他收入：指单位取得的除上述收入以外的各项收入。主要是非同级财政拨款收入、利息收入、其他预算收入等。</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ascii="仿宋_GB2312" w:eastAsia="仿宋_GB2312"/>
          <w:color w:val="auto"/>
          <w:sz w:val="32"/>
          <w:szCs w:val="32"/>
        </w:rPr>
        <w:t>.</w:t>
      </w:r>
      <w:r>
        <w:rPr>
          <w:rFonts w:hint="eastAsia" w:ascii="仿宋_GB2312" w:eastAsia="仿宋_GB2312"/>
          <w:color w:val="auto"/>
          <w:sz w:val="32"/>
          <w:szCs w:val="32"/>
        </w:rPr>
        <w:t>使用非财政拨款结余：指事业单位使用以前年度积累的非财政拨款结余弥补当年收支差额的金额。</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4</w:t>
      </w:r>
      <w:r>
        <w:rPr>
          <w:rFonts w:ascii="仿宋_GB2312" w:eastAsia="仿宋_GB2312"/>
          <w:color w:val="auto"/>
          <w:sz w:val="32"/>
          <w:szCs w:val="32"/>
        </w:rPr>
        <w:t>.</w:t>
      </w:r>
      <w:r>
        <w:rPr>
          <w:rFonts w:hint="eastAsia" w:ascii="仿宋_GB2312" w:eastAsia="仿宋_GB2312"/>
          <w:color w:val="auto"/>
          <w:sz w:val="32"/>
          <w:szCs w:val="32"/>
        </w:rPr>
        <w:t>年初结转和结余：指以前年度尚未完成、结转到本年按有关规定继续使用的资金。</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.年末结转和结余：指单位按有关规定结转到下年或以后年度继续使用的资金。</w:t>
      </w:r>
    </w:p>
    <w:p>
      <w:pPr>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.社会保障和就业（类）行政事业单位养老支出（款）机关事业单位基本养老保险缴费支出（项）：指机关事业单位实施养老保险制度由单位缴纳的基本养老保险费支出。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.社会保障和就业（类）行政事业单位养老支出（款）机关事业单位</w:t>
      </w:r>
      <w:r>
        <w:rPr>
          <w:rFonts w:hint="eastAsia"/>
          <w:sz w:val="32"/>
          <w:szCs w:val="32"/>
        </w:rPr>
        <w:t>职业年金</w:t>
      </w:r>
      <w:r>
        <w:rPr>
          <w:rFonts w:hint="eastAsia" w:ascii="仿宋_GB2312" w:eastAsia="仿宋_GB2312"/>
          <w:sz w:val="32"/>
          <w:szCs w:val="32"/>
        </w:rPr>
        <w:t>缴费支出（项）：指机关事业单位实施养老保险制度由单位缴纳的职业年金支出。</w:t>
      </w:r>
    </w:p>
    <w:p>
      <w:pPr>
        <w:pStyle w:val="6"/>
        <w:spacing w:before="93"/>
      </w:pPr>
      <w:r>
        <w:rPr>
          <w:rFonts w:hint="eastAsia"/>
        </w:rPr>
        <w:t xml:space="preserve">    </w:t>
      </w:r>
      <w:r>
        <w:rPr>
          <w:rFonts w:hint="eastAsia"/>
          <w:lang w:val="en-US" w:eastAsia="zh-CN"/>
        </w:rPr>
        <w:t>8</w:t>
      </w:r>
      <w:r>
        <w:rPr>
          <w:rFonts w:hint="eastAsia"/>
        </w:rPr>
        <w:t>.</w:t>
      </w:r>
      <w:r>
        <w:rPr>
          <w:rFonts w:hint="eastAsia"/>
          <w:sz w:val="32"/>
          <w:szCs w:val="32"/>
        </w:rPr>
        <w:t>社会保障和就业（类）其他社会保障和就业支出（款）其他社会保障和就业支出（项）：反映除上述项目以外其他用于社会保障和就业方面的支出。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.卫生健康支出（类）公共卫生（款）疾病预防控制机构（项）：指反映卫生健康部门所属疾病预防控制机构的支出。</w:t>
      </w:r>
    </w:p>
    <w:p>
      <w:pPr>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0</w:t>
      </w:r>
      <w:r>
        <w:rPr>
          <w:rFonts w:hint="eastAsia" w:ascii="仿宋_GB2312" w:eastAsia="仿宋_GB2312"/>
          <w:sz w:val="32"/>
          <w:szCs w:val="32"/>
        </w:rPr>
        <w:t>.卫生健康支出（类）公共卫生（款）基本公共卫生服务（项）：指反映基本公共卫生服务支出。</w:t>
      </w:r>
    </w:p>
    <w:p>
      <w:pPr>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1</w:t>
      </w:r>
      <w:r>
        <w:rPr>
          <w:rFonts w:hint="eastAsia" w:ascii="仿宋_GB2312" w:eastAsia="仿宋_GB2312"/>
          <w:sz w:val="32"/>
          <w:szCs w:val="32"/>
        </w:rPr>
        <w:t>.卫生健康支出（类）公共卫生（款）重大公共卫生服务（项）：指反映重大公共卫生服务支出。</w:t>
      </w:r>
    </w:p>
    <w:p>
      <w:pPr>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2</w:t>
      </w:r>
      <w:r>
        <w:rPr>
          <w:rFonts w:hint="eastAsia" w:ascii="仿宋_GB2312" w:eastAsia="仿宋_GB2312"/>
          <w:sz w:val="32"/>
          <w:szCs w:val="32"/>
        </w:rPr>
        <w:t>.卫生健康支出（类）行政事业单位医疗（款）事业单位医疗（项）：指反映财政部门安排的事业单位基本医疗保险保险缴费经费，未参加医疗保险的事业单位的公费医疗经费，按国家规定享受离休人员待遇的医疗经费。</w:t>
      </w:r>
    </w:p>
    <w:p>
      <w:pPr>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3</w:t>
      </w:r>
      <w:r>
        <w:rPr>
          <w:rFonts w:hint="eastAsia" w:ascii="仿宋_GB2312" w:eastAsia="仿宋_GB2312"/>
          <w:sz w:val="32"/>
          <w:szCs w:val="32"/>
        </w:rPr>
        <w:t>.卫生健康支出（类）其他卫生健康支出（款）其他卫生健康支出（项）：指反映除上述项目以外的其他用于卫生健康方面的支出。</w:t>
      </w:r>
    </w:p>
    <w:p>
      <w:pPr>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4</w:t>
      </w:r>
      <w:r>
        <w:rPr>
          <w:rFonts w:hint="eastAsia" w:ascii="仿宋_GB2312" w:eastAsia="仿宋_GB2312"/>
          <w:sz w:val="32"/>
          <w:szCs w:val="32"/>
        </w:rPr>
        <w:t>.住房保障（类）住房改革支出（款）住房公积金（项）：指反映行政事业单位按人力资源和社会保障部、财政部规定的基本工资和津贴补贴以及规定比例为职工缴纳的住房公积金。</w:t>
      </w:r>
    </w:p>
    <w:p>
      <w:pPr>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5</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6</w:t>
      </w:r>
      <w:r>
        <w:rPr>
          <w:rFonts w:hint="eastAsia" w:ascii="仿宋_GB2312" w:eastAsia="仿宋_GB2312"/>
          <w:sz w:val="32"/>
          <w:szCs w:val="32"/>
        </w:rPr>
        <w:t>.项目支出：指在基本支出之外为完成特定行政任务和事业发展目标所发生的支出。</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rPr>
          <w:rFonts w:ascii="黑体" w:hAnsi="黑体" w:eastAsia="黑体"/>
          <w:sz w:val="44"/>
          <w:szCs w:val="44"/>
        </w:rPr>
      </w:pPr>
      <w:bookmarkStart w:id="78" w:name="_Toc15396614"/>
      <w:bookmarkStart w:id="79" w:name="_Toc15377226"/>
    </w:p>
    <w:p>
      <w:pPr>
        <w:spacing w:line="600" w:lineRule="exact"/>
        <w:jc w:val="center"/>
        <w:outlineLvl w:val="0"/>
        <w:rPr>
          <w:rFonts w:ascii="黑体" w:hAnsi="黑体" w:eastAsia="黑体"/>
          <w:sz w:val="44"/>
          <w:szCs w:val="44"/>
        </w:rPr>
        <w:sectPr>
          <w:footerReference r:id="rId12" w:type="first"/>
          <w:footerReference r:id="rId11" w:type="default"/>
          <w:pgSz w:w="11906" w:h="16838"/>
          <w:pgMar w:top="1440" w:right="1800" w:bottom="1440" w:left="1800" w:header="851" w:footer="992" w:gutter="0"/>
          <w:cols w:space="425" w:num="1"/>
          <w:docGrid w:type="lines" w:linePitch="312" w:charSpace="0"/>
        </w:sectPr>
      </w:pPr>
      <w:bookmarkStart w:id="80" w:name="_Toc863"/>
    </w:p>
    <w:p>
      <w:pPr>
        <w:spacing w:line="600" w:lineRule="exact"/>
        <w:jc w:val="center"/>
        <w:outlineLvl w:val="0"/>
        <w:rPr>
          <w:rStyle w:val="25"/>
          <w:rFonts w:ascii="黑体" w:hAnsi="黑体" w:eastAsia="黑体"/>
          <w:b w:val="0"/>
        </w:rPr>
      </w:pPr>
      <w:r>
        <w:rPr>
          <w:rFonts w:hint="eastAsia" w:ascii="黑体" w:hAnsi="黑体" w:eastAsia="黑体"/>
          <w:sz w:val="44"/>
          <w:szCs w:val="44"/>
        </w:rPr>
        <w:t>第</w:t>
      </w:r>
      <w:r>
        <w:rPr>
          <w:rStyle w:val="25"/>
          <w:rFonts w:hint="eastAsia" w:ascii="黑体" w:hAnsi="黑体" w:eastAsia="黑体"/>
          <w:b w:val="0"/>
        </w:rPr>
        <w:t>四部分 附件</w:t>
      </w:r>
      <w:bookmarkEnd w:id="78"/>
      <w:bookmarkEnd w:id="80"/>
    </w:p>
    <w:p>
      <w:pPr>
        <w:pStyle w:val="6"/>
        <w:spacing w:before="93"/>
        <w:rPr>
          <w:lang w:val="zh-CN"/>
        </w:rPr>
      </w:pPr>
    </w:p>
    <w:p>
      <w:pPr>
        <w:spacing w:line="600"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rPr>
        <w:t>2022年</w:t>
      </w:r>
      <w:r>
        <w:rPr>
          <w:rFonts w:hint="eastAsia" w:ascii="方正小标宋简体" w:hAnsi="方正小标宋简体" w:eastAsia="方正小标宋简体" w:cs="方正小标宋简体"/>
          <w:sz w:val="40"/>
          <w:szCs w:val="40"/>
          <w:lang w:val="zh-CN"/>
        </w:rPr>
        <w:t>专项预算项目支出绩效自评报告</w:t>
      </w:r>
    </w:p>
    <w:p>
      <w:pPr>
        <w:spacing w:line="600" w:lineRule="exact"/>
        <w:ind w:firstLine="883"/>
        <w:jc w:val="center"/>
        <w:rPr>
          <w:rFonts w:ascii="仿宋_GB2312" w:hAnsi="宋体" w:eastAsia="仿宋_GB2312"/>
          <w:sz w:val="32"/>
          <w:szCs w:val="32"/>
          <w:lang w:val="zh-CN"/>
        </w:rPr>
      </w:pPr>
      <w:r>
        <w:rPr>
          <w:rFonts w:hint="eastAsia" w:ascii="仿宋_GB2312" w:hAnsi="宋体" w:eastAsia="仿宋_GB2312"/>
          <w:sz w:val="32"/>
          <w:szCs w:val="32"/>
          <w:lang w:val="zh-CN"/>
        </w:rPr>
        <w:t>（</w:t>
      </w:r>
      <w:r>
        <w:rPr>
          <w:rFonts w:hint="eastAsia"/>
        </w:rPr>
        <w:t>广元市突发公共卫生应急工作经费</w:t>
      </w:r>
      <w:r>
        <w:rPr>
          <w:rFonts w:hint="eastAsia" w:ascii="仿宋_GB2312" w:hAnsi="宋体" w:eastAsia="仿宋_GB2312"/>
          <w:sz w:val="32"/>
          <w:szCs w:val="32"/>
          <w:lang w:val="zh-CN"/>
        </w:rPr>
        <w:t>）</w:t>
      </w:r>
    </w:p>
    <w:p>
      <w:pPr>
        <w:spacing w:line="600" w:lineRule="exact"/>
        <w:ind w:firstLine="640"/>
        <w:jc w:val="center"/>
        <w:rPr>
          <w:rFonts w:ascii="宋体" w:hAnsi="宋体"/>
          <w:sz w:val="32"/>
          <w:szCs w:val="32"/>
          <w:lang w:val="zh-CN"/>
        </w:rPr>
      </w:pPr>
    </w:p>
    <w:p>
      <w:pPr>
        <w:adjustRightInd w:val="0"/>
        <w:snapToGrid w:val="0"/>
        <w:spacing w:line="600" w:lineRule="exact"/>
        <w:ind w:firstLine="720"/>
        <w:outlineLvl w:val="1"/>
        <w:rPr>
          <w:rFonts w:ascii="黑体" w:hAnsi="宋体" w:eastAsia="黑体"/>
          <w:sz w:val="32"/>
          <w:szCs w:val="32"/>
          <w:lang w:val="zh-CN"/>
        </w:rPr>
      </w:pPr>
      <w:bookmarkStart w:id="81" w:name="_Toc27984"/>
      <w:r>
        <w:rPr>
          <w:rFonts w:hint="eastAsia" w:ascii="黑体" w:hAnsi="宋体" w:eastAsia="黑体"/>
          <w:sz w:val="32"/>
          <w:szCs w:val="32"/>
        </w:rPr>
        <w:t>一、</w:t>
      </w:r>
      <w:r>
        <w:rPr>
          <w:rFonts w:hint="eastAsia" w:ascii="黑体" w:hAnsi="宋体" w:eastAsia="黑体"/>
          <w:sz w:val="32"/>
          <w:szCs w:val="32"/>
          <w:lang w:val="zh-CN"/>
        </w:rPr>
        <w:t>项目概况</w:t>
      </w:r>
      <w:bookmarkEnd w:id="81"/>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基本职能。根据《关于疾病预防控制体系建设的若干规定》，疾病预防控制机构的职能之一是：疾病预防与控制、突发公共卫生事件应急处置、疫情报告及健康相关因素信息管理、健康危害因素监测与干预、实验室检测分析与评价、健康教育与健康促进、技术管理与应用研究指导。</w:t>
      </w:r>
    </w:p>
    <w:p>
      <w:pPr>
        <w:numPr>
          <w:ilvl w:val="0"/>
          <w:numId w:val="5"/>
        </w:num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lang w:val="zh-CN"/>
        </w:rPr>
        <w:t>项目立项、资金申报的依据。根据</w:t>
      </w:r>
      <w:r>
        <w:rPr>
          <w:rFonts w:hint="eastAsia" w:ascii="仿宋_GB2312" w:hAnsi="宋体" w:eastAsia="仿宋_GB2312"/>
          <w:sz w:val="32"/>
          <w:szCs w:val="32"/>
        </w:rPr>
        <w:t>中共四川省委、四川省人民政府关于加快建立和完善城乡卫生体系的决定、国家突发公共卫生时间总体应急预案；</w:t>
      </w:r>
      <w:r>
        <w:rPr>
          <w:rFonts w:hint="eastAsia" w:ascii="仿宋_GB2312" w:hAnsi="宋体" w:eastAsia="仿宋_GB2312" w:cs="仿宋_GB2312"/>
          <w:color w:val="333333"/>
          <w:sz w:val="32"/>
          <w:szCs w:val="32"/>
          <w:shd w:val="clear" w:color="auto" w:fill="FFFFFF"/>
        </w:rPr>
        <w:t>突发公共卫生应急</w:t>
      </w:r>
      <w:r>
        <w:rPr>
          <w:rFonts w:ascii="仿宋_GB2312" w:hAnsi="宋体" w:eastAsia="仿宋_GB2312" w:cs="仿宋_GB2312"/>
          <w:color w:val="333333"/>
          <w:sz w:val="32"/>
          <w:szCs w:val="32"/>
          <w:shd w:val="clear" w:color="auto" w:fill="FFFFFF"/>
        </w:rPr>
        <w:t>专项工作经费为全</w:t>
      </w:r>
      <w:r>
        <w:rPr>
          <w:rFonts w:hint="eastAsia" w:ascii="仿宋_GB2312" w:hAnsi="宋体" w:eastAsia="仿宋_GB2312" w:cs="仿宋_GB2312"/>
          <w:color w:val="333333"/>
          <w:sz w:val="32"/>
          <w:szCs w:val="32"/>
          <w:shd w:val="clear" w:color="auto" w:fill="FFFFFF"/>
        </w:rPr>
        <w:t>市卫生应急</w:t>
      </w:r>
      <w:r>
        <w:rPr>
          <w:rFonts w:ascii="仿宋_GB2312" w:hAnsi="宋体" w:eastAsia="仿宋_GB2312" w:cs="仿宋_GB2312"/>
          <w:color w:val="333333"/>
          <w:sz w:val="32"/>
          <w:szCs w:val="32"/>
          <w:shd w:val="clear" w:color="auto" w:fill="FFFFFF"/>
        </w:rPr>
        <w:t>工作顺利完成提供了保障</w:t>
      </w:r>
      <w:r>
        <w:rPr>
          <w:rFonts w:hint="eastAsia" w:ascii="仿宋_GB2312" w:hAnsi="宋体" w:eastAsia="仿宋_GB2312" w:cs="仿宋_GB2312"/>
          <w:color w:val="333333"/>
          <w:sz w:val="32"/>
          <w:szCs w:val="32"/>
          <w:shd w:val="clear" w:color="auto" w:fill="FFFFFF"/>
        </w:rPr>
        <w:t>。</w:t>
      </w:r>
    </w:p>
    <w:p>
      <w:pPr>
        <w:numPr>
          <w:ilvl w:val="0"/>
          <w:numId w:val="6"/>
        </w:num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资金管理办法制定情况，资金支持具体项目的条件、范围与支持方式概况。</w:t>
      </w:r>
    </w:p>
    <w:p>
      <w:pPr>
        <w:pStyle w:val="6"/>
        <w:spacing w:before="93"/>
        <w:ind w:firstLine="600" w:firstLineChars="200"/>
        <w:rPr>
          <w:lang w:val="zh-CN"/>
        </w:rPr>
      </w:pPr>
      <w:r>
        <w:rPr>
          <w:rFonts w:hint="eastAsia"/>
          <w:lang w:val="zh-CN"/>
        </w:rPr>
        <w:t>以省、市相关文件，结合上级文件制订了我中心的专项资金管理规定。</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4．资金分配的原则及考虑因素。</w:t>
      </w:r>
    </w:p>
    <w:p>
      <w:pPr>
        <w:pStyle w:val="6"/>
        <w:spacing w:before="93"/>
        <w:ind w:firstLine="600" w:firstLineChars="200"/>
        <w:rPr>
          <w:lang w:val="zh-CN"/>
        </w:rPr>
      </w:pPr>
      <w:r>
        <w:rPr>
          <w:rFonts w:hint="eastAsia"/>
          <w:lang w:val="zh-CN"/>
        </w:rPr>
        <w:t>量入为出，结合实际，根据各项费用产生的频率及数额大小在各项经济科目中进行分配。</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1．项目主要内容。为确保突发应急事件的快速响应，提供应急准备及保障。</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2．项目应实现的具体绩效目标。2021年度通过应急物资储备、业务培训（内部培训+外部培训）、应急演练，提升疾控中心卫生应急队伍对突发公共卫生事件的组织指挥、快速响应及处置能力。</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3．突发公共卫生应急工作经费申报内容与具体实施内容相符、申报目标合理可行。</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1、前期准备</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确定评价工作对象、收集项目基础资料、制定评价工作方案。评价工作方案主要包括：评价目的、评价人员、评价依据（标准）、评价指标和评价方法等。</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2、组织实施</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根据市财政下达的评价通知书，以问卷调查、现场查看、专家评议等多种形式实施绩效评价，形成绩效评价结论，提交绩效评价报告。</w:t>
      </w:r>
    </w:p>
    <w:p>
      <w:pPr>
        <w:adjustRightInd w:val="0"/>
        <w:snapToGrid w:val="0"/>
        <w:spacing w:line="600" w:lineRule="exact"/>
        <w:ind w:firstLine="720"/>
        <w:outlineLvl w:val="1"/>
        <w:rPr>
          <w:rFonts w:ascii="黑体" w:hAnsi="宋体" w:eastAsia="黑体"/>
          <w:sz w:val="32"/>
          <w:szCs w:val="32"/>
        </w:rPr>
      </w:pPr>
      <w:bookmarkStart w:id="82" w:name="_Toc6320"/>
      <w:r>
        <w:rPr>
          <w:rFonts w:hint="eastAsia" w:ascii="黑体" w:hAnsi="宋体" w:eastAsia="黑体"/>
          <w:sz w:val="32"/>
          <w:szCs w:val="32"/>
        </w:rPr>
        <w:t>二、项目资金申报及使用情况</w:t>
      </w:r>
      <w:bookmarkEnd w:id="82"/>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《广元市财政局关于批复</w:t>
      </w:r>
      <w:r>
        <w:rPr>
          <w:rFonts w:hint="eastAsia" w:ascii="仿宋_GB2312" w:hAnsi="宋体" w:eastAsia="仿宋_GB2312"/>
          <w:sz w:val="32"/>
          <w:szCs w:val="32"/>
        </w:rPr>
        <w:t>2021</w:t>
      </w:r>
      <w:r>
        <w:rPr>
          <w:rFonts w:hint="eastAsia" w:ascii="仿宋_GB2312" w:hAnsi="宋体" w:eastAsia="仿宋_GB2312"/>
          <w:sz w:val="32"/>
          <w:szCs w:val="32"/>
          <w:lang w:val="zh-CN"/>
        </w:rPr>
        <w:t>年市级部门预算的通知》（广财预〔20</w:t>
      </w:r>
      <w:r>
        <w:rPr>
          <w:rFonts w:hint="eastAsia" w:ascii="仿宋_GB2312" w:hAnsi="宋体" w:eastAsia="仿宋_GB2312"/>
          <w:sz w:val="32"/>
          <w:szCs w:val="32"/>
        </w:rPr>
        <w:t>21</w:t>
      </w:r>
      <w:r>
        <w:rPr>
          <w:rFonts w:hint="eastAsia" w:ascii="仿宋_GB2312" w:hAnsi="宋体" w:eastAsia="仿宋_GB2312"/>
          <w:sz w:val="32"/>
          <w:szCs w:val="32"/>
          <w:lang w:val="zh-CN"/>
        </w:rPr>
        <w:t>〕</w:t>
      </w:r>
      <w:r>
        <w:rPr>
          <w:rFonts w:hint="eastAsia" w:ascii="仿宋_GB2312" w:hAnsi="宋体" w:eastAsia="仿宋_GB2312"/>
          <w:sz w:val="32"/>
          <w:szCs w:val="32"/>
        </w:rPr>
        <w:t>1</w:t>
      </w:r>
      <w:r>
        <w:rPr>
          <w:rFonts w:hint="eastAsia" w:ascii="仿宋_GB2312" w:hAnsi="宋体" w:eastAsia="仿宋_GB2312"/>
          <w:sz w:val="32"/>
          <w:szCs w:val="32"/>
          <w:lang w:val="zh-CN"/>
        </w:rPr>
        <w:t>号），下达我单位广元市突发公共卫生应急工作经费</w:t>
      </w:r>
      <w:r>
        <w:rPr>
          <w:rFonts w:hint="eastAsia" w:ascii="仿宋_GB2312" w:hAnsi="宋体" w:eastAsia="仿宋_GB2312"/>
          <w:sz w:val="32"/>
          <w:szCs w:val="32"/>
        </w:rPr>
        <w:t>13</w:t>
      </w:r>
      <w:r>
        <w:rPr>
          <w:rFonts w:hint="eastAsia" w:ascii="仿宋_GB2312" w:hAnsi="宋体" w:eastAsia="仿宋_GB2312"/>
          <w:sz w:val="32"/>
          <w:szCs w:val="32"/>
          <w:lang w:val="zh-CN"/>
        </w:rPr>
        <w:t>万元。</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1．资金计划。</w:t>
      </w:r>
      <w:r>
        <w:rPr>
          <w:rFonts w:hint="eastAsia" w:ascii="仿宋_GB2312" w:hAnsi="宋体" w:eastAsia="仿宋_GB2312"/>
          <w:sz w:val="32"/>
          <w:szCs w:val="32"/>
          <w:lang w:val="zh-CN"/>
        </w:rPr>
        <w:t>该笔专项经费经20</w:t>
      </w:r>
      <w:r>
        <w:rPr>
          <w:rFonts w:hint="eastAsia" w:ascii="仿宋_GB2312" w:hAnsi="宋体" w:eastAsia="仿宋_GB2312"/>
          <w:sz w:val="32"/>
          <w:szCs w:val="32"/>
        </w:rPr>
        <w:t>21</w:t>
      </w:r>
      <w:r>
        <w:rPr>
          <w:rFonts w:hint="eastAsia" w:ascii="仿宋_GB2312" w:hAnsi="宋体" w:eastAsia="仿宋_GB2312"/>
          <w:sz w:val="32"/>
          <w:szCs w:val="32"/>
          <w:lang w:val="zh-CN"/>
        </w:rPr>
        <w:t>年初下达我单位后，按序时进度每月申报使用。</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2．资金到位。</w:t>
      </w:r>
      <w:r>
        <w:rPr>
          <w:rFonts w:hint="eastAsia" w:ascii="仿宋_GB2312" w:hAnsi="宋体" w:eastAsia="仿宋_GB2312"/>
          <w:sz w:val="32"/>
          <w:szCs w:val="32"/>
          <w:lang w:val="zh-CN"/>
        </w:rPr>
        <w:t>资金到位率100%。</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3．资金使用。</w:t>
      </w:r>
      <w:r>
        <w:rPr>
          <w:rFonts w:hint="eastAsia" w:ascii="仿宋_GB2312" w:hAnsi="宋体" w:eastAsia="仿宋_GB2312"/>
          <w:sz w:val="32"/>
          <w:szCs w:val="32"/>
          <w:lang w:val="zh-CN"/>
        </w:rPr>
        <w:t>广元市突发公共卫生应急工作</w:t>
      </w:r>
      <w:r>
        <w:rPr>
          <w:rFonts w:ascii="仿宋_GB2312" w:hAnsi="宋体" w:eastAsia="仿宋_GB2312" w:cs="仿宋_GB2312"/>
          <w:color w:val="333333"/>
          <w:sz w:val="32"/>
          <w:szCs w:val="32"/>
        </w:rPr>
        <w:t>专项</w:t>
      </w:r>
      <w:r>
        <w:rPr>
          <w:rFonts w:hint="eastAsia" w:ascii="仿宋_GB2312" w:hAnsi="宋体" w:eastAsia="仿宋_GB2312"/>
          <w:sz w:val="32"/>
          <w:szCs w:val="32"/>
          <w:lang w:val="zh-CN"/>
        </w:rPr>
        <w:t>经费</w:t>
      </w:r>
      <w:r>
        <w:rPr>
          <w:rFonts w:hint="eastAsia" w:ascii="仿宋_GB2312" w:hAnsi="宋体" w:eastAsia="仿宋_GB2312"/>
          <w:sz w:val="32"/>
          <w:szCs w:val="32"/>
        </w:rPr>
        <w:t>13</w:t>
      </w:r>
      <w:r>
        <w:rPr>
          <w:rFonts w:hint="eastAsia" w:ascii="仿宋_GB2312" w:hAnsi="宋体" w:eastAsia="仿宋_GB2312"/>
          <w:sz w:val="32"/>
          <w:szCs w:val="32"/>
          <w:lang w:val="zh-CN"/>
        </w:rPr>
        <w:t>万元</w:t>
      </w:r>
      <w:r>
        <w:rPr>
          <w:rFonts w:ascii="仿宋_GB2312" w:hAnsi="宋体" w:eastAsia="仿宋_GB2312" w:cs="仿宋_GB2312"/>
          <w:color w:val="333333"/>
          <w:sz w:val="32"/>
          <w:szCs w:val="32"/>
        </w:rPr>
        <w:t>，已全额使用，主要用于以下几个方面：</w:t>
      </w:r>
      <w:r>
        <w:rPr>
          <w:rFonts w:hint="eastAsia" w:ascii="仿宋_GB2312" w:hAnsi="宋体" w:eastAsia="仿宋_GB2312" w:cs="仿宋_GB2312"/>
          <w:color w:val="333333"/>
          <w:sz w:val="32"/>
          <w:szCs w:val="32"/>
        </w:rPr>
        <w:t>应急值班费用11.36万元,差旅费0.19万元，劳务费0.45万元，应急物品1万元</w:t>
      </w:r>
      <w:r>
        <w:rPr>
          <w:rFonts w:ascii="仿宋_GB2312" w:hAnsi="宋体" w:eastAsia="仿宋_GB2312" w:cs="仿宋_GB2312"/>
          <w:color w:val="333333"/>
          <w:sz w:val="32"/>
          <w:szCs w:val="32"/>
        </w:rPr>
        <w:t>。资金支付依据合规合法，与预算相符。</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广元市突发公共卫生应急工作专项经费严格执行财经相关管理制度，财务处理及时，会计核算规范。其中差旅费严格按照《广元市市级机关差旅费管理办法》执行。</w:t>
      </w:r>
    </w:p>
    <w:p>
      <w:pPr>
        <w:adjustRightInd w:val="0"/>
        <w:snapToGrid w:val="0"/>
        <w:spacing w:line="600" w:lineRule="exact"/>
        <w:ind w:firstLine="720"/>
        <w:outlineLvl w:val="1"/>
        <w:rPr>
          <w:rFonts w:ascii="黑体" w:hAnsi="宋体" w:eastAsia="黑体"/>
          <w:sz w:val="32"/>
          <w:szCs w:val="32"/>
        </w:rPr>
      </w:pPr>
      <w:bookmarkStart w:id="83" w:name="_Toc9639"/>
      <w:r>
        <w:rPr>
          <w:rFonts w:hint="eastAsia" w:ascii="黑体" w:hAnsi="宋体" w:eastAsia="黑体"/>
          <w:sz w:val="32"/>
          <w:szCs w:val="32"/>
        </w:rPr>
        <w:t>三、项目实施及管理情况</w:t>
      </w:r>
      <w:bookmarkEnd w:id="83"/>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pPr>
        <w:numPr>
          <w:ilvl w:val="0"/>
          <w:numId w:val="7"/>
        </w:num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项目组织架构及实施流程。</w:t>
      </w:r>
      <w:r>
        <w:rPr>
          <w:rFonts w:hint="eastAsia" w:ascii="仿宋_GB2312" w:hAnsi="宋体" w:eastAsia="仿宋_GB2312"/>
          <w:sz w:val="32"/>
          <w:szCs w:val="32"/>
          <w:lang w:val="zh-CN"/>
        </w:rPr>
        <w:t>坚持随时备战，卫生应急组织管理体系日臻完善。建立健全了完备的卫生应急事件处置总体预案、卫生应急事件处置规程及相对应的事件处置技术方案，成立了以主要领导为组长的卫生应急领导小组，建立健全了18人的专业咨询组和覆盖3个方面65人的卫生应急队伍。</w:t>
      </w:r>
    </w:p>
    <w:p>
      <w:pPr>
        <w:adjustRightInd w:val="0"/>
        <w:snapToGrid w:val="0"/>
        <w:spacing w:line="600" w:lineRule="exact"/>
        <w:rPr>
          <w:rFonts w:ascii="仿宋_GB2312" w:hAnsi="宋体" w:eastAsia="仿宋_GB2312"/>
          <w:sz w:val="32"/>
          <w:szCs w:val="32"/>
          <w:lang w:val="zh-CN"/>
        </w:rPr>
      </w:pPr>
      <w:r>
        <w:rPr>
          <w:rFonts w:hint="eastAsia" w:ascii="楷体_GB2312" w:hAnsi="宋体" w:eastAsia="楷体_GB2312"/>
          <w:b/>
          <w:sz w:val="32"/>
          <w:szCs w:val="32"/>
          <w:lang w:val="zh-CN"/>
        </w:rPr>
        <w:t>（二）项目管理情况。</w:t>
      </w:r>
      <w:r>
        <w:rPr>
          <w:rFonts w:hint="eastAsia" w:ascii="仿宋_GB2312" w:hAnsi="宋体" w:eastAsia="仿宋_GB2312"/>
          <w:sz w:val="32"/>
          <w:szCs w:val="32"/>
          <w:lang w:val="zh-CN"/>
        </w:rPr>
        <w:t>该项目按时间进度完成各项任务，按实际发生的金额支付。</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（三）项目监管情况。</w:t>
      </w:r>
      <w:r>
        <w:rPr>
          <w:rFonts w:hint="eastAsia" w:ascii="仿宋_GB2312" w:hAnsi="宋体" w:eastAsia="仿宋_GB2312"/>
          <w:sz w:val="32"/>
          <w:szCs w:val="32"/>
          <w:lang w:val="zh-CN"/>
        </w:rPr>
        <w:t>主管部门年中开展了项目支出绩效监控评价。</w:t>
      </w:r>
    </w:p>
    <w:p>
      <w:pPr>
        <w:adjustRightInd w:val="0"/>
        <w:snapToGrid w:val="0"/>
        <w:spacing w:line="600" w:lineRule="exact"/>
        <w:ind w:firstLine="720"/>
        <w:outlineLvl w:val="1"/>
        <w:rPr>
          <w:rFonts w:ascii="仿宋_GB2312" w:hAnsi="宋体" w:eastAsia="仿宋_GB2312"/>
          <w:sz w:val="32"/>
          <w:szCs w:val="32"/>
          <w:lang w:val="zh-CN"/>
        </w:rPr>
      </w:pPr>
      <w:bookmarkStart w:id="84" w:name="_Toc12652"/>
      <w:r>
        <w:rPr>
          <w:rFonts w:hint="eastAsia" w:ascii="黑体" w:hAnsi="宋体" w:eastAsia="黑体"/>
          <w:sz w:val="32"/>
          <w:szCs w:val="32"/>
        </w:rPr>
        <w:t>四、项目绩效情况</w:t>
      </w:r>
      <w:bookmarkEnd w:id="84"/>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全年有效应对未分级突发公共卫生事件3件、疑似食物中毒事件1件、撰写月度风险评估报告12份。有计划、有重点的储备和补充应急物资，完善应急物资调用机制，强化卫生应急队伍建设和培训演练，通过理论授课、实践操作、现场指导等方式，对全市卫生专业人员集中开展应急知识及技能培训充能5次，达到了检验应急预案、磨合应急机制、锻炼专业队伍的预期目标。</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项目的社会效益良好，服务对象满意度高</w:t>
      </w:r>
    </w:p>
    <w:p>
      <w:pPr>
        <w:adjustRightInd w:val="0"/>
        <w:snapToGrid w:val="0"/>
        <w:spacing w:line="600" w:lineRule="exact"/>
        <w:ind w:firstLine="720"/>
        <w:outlineLvl w:val="1"/>
        <w:rPr>
          <w:rFonts w:ascii="黑体" w:hAnsi="宋体" w:eastAsia="黑体"/>
          <w:sz w:val="32"/>
          <w:szCs w:val="32"/>
        </w:rPr>
      </w:pPr>
      <w:bookmarkStart w:id="85" w:name="_Toc5711"/>
      <w:r>
        <w:rPr>
          <w:rFonts w:hint="eastAsia" w:ascii="黑体" w:hAnsi="宋体" w:eastAsia="黑体"/>
          <w:sz w:val="32"/>
          <w:szCs w:val="32"/>
        </w:rPr>
        <w:t>五、评价结论及建议</w:t>
      </w:r>
      <w:bookmarkEnd w:id="85"/>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通过对</w:t>
      </w:r>
      <w:r>
        <w:rPr>
          <w:rFonts w:hint="eastAsia" w:ascii="仿宋_GB2312" w:hAnsi="宋体" w:eastAsia="仿宋_GB2312"/>
          <w:sz w:val="32"/>
          <w:szCs w:val="32"/>
        </w:rPr>
        <w:t>2021</w:t>
      </w:r>
      <w:r>
        <w:rPr>
          <w:rFonts w:hint="eastAsia" w:ascii="仿宋_GB2312" w:hAnsi="宋体" w:eastAsia="仿宋_GB2312"/>
          <w:sz w:val="32"/>
          <w:szCs w:val="32"/>
          <w:lang w:val="zh-CN"/>
        </w:rPr>
        <w:t>年度广元市突发公共卫生应急工作经费的使用，实施绩效进行了指标评价，该专项经费为全年有效应对突发公共卫生事件提供有效资金保障，受益群众满意度达100%，评论结论为“好”。</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绩效考评办法不够完善，不够具体，可操作性不强，需进一步加强。</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内控管理制度不够完善，不够系统，需进一步完善和加强。</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pStyle w:val="6"/>
        <w:spacing w:before="93"/>
        <w:ind w:firstLine="640" w:firstLineChars="200"/>
        <w:rPr>
          <w:lang w:val="zh-CN"/>
        </w:rPr>
      </w:pPr>
      <w:r>
        <w:rPr>
          <w:rFonts w:hint="eastAsia" w:hAnsi="宋体"/>
          <w:sz w:val="32"/>
          <w:szCs w:val="32"/>
          <w:lang w:val="zh-CN"/>
        </w:rPr>
        <w:t>做好项目实施的跟踪检查工作。定期不定期地对项目实施情况和经费使用情况进行跟踪检查，对能实现预期绩效目标的项目予以充分肯定，对进展缓慢，预期绩效目标较差的项目，及时进行协调和提出整改措施，确保项目实施工作正常运行，达到预期绩效目标。</w:t>
      </w:r>
    </w:p>
    <w:p>
      <w:pPr>
        <w:spacing w:line="572" w:lineRule="exact"/>
        <w:jc w:val="left"/>
        <w:rPr>
          <w:rFonts w:ascii="黑体" w:hAnsi="黑体" w:eastAsia="黑体" w:cs="黑体"/>
          <w:sz w:val="32"/>
          <w:szCs w:val="32"/>
        </w:rPr>
      </w:pPr>
    </w:p>
    <w:p>
      <w:pPr>
        <w:spacing w:line="572" w:lineRule="exact"/>
        <w:jc w:val="left"/>
        <w:outlineLvl w:val="1"/>
        <w:rPr>
          <w:rFonts w:ascii="仿宋_GB2312" w:hAnsi="仿宋_GB2312" w:eastAsia="黑体" w:cs="仿宋_GB2312"/>
          <w:sz w:val="32"/>
          <w:szCs w:val="32"/>
        </w:rPr>
      </w:pPr>
      <w:bookmarkStart w:id="86" w:name="_Toc11907"/>
      <w:r>
        <w:rPr>
          <w:rFonts w:hint="eastAsia" w:ascii="黑体" w:hAnsi="黑体" w:eastAsia="黑体" w:cs="黑体"/>
          <w:sz w:val="32"/>
          <w:szCs w:val="32"/>
        </w:rPr>
        <w:t>附表</w:t>
      </w:r>
      <w:bookmarkEnd w:id="86"/>
    </w:p>
    <w:tbl>
      <w:tblPr>
        <w:tblStyle w:val="13"/>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6"/>
        <w:gridCol w:w="1142"/>
        <w:gridCol w:w="1635"/>
        <w:gridCol w:w="1189"/>
        <w:gridCol w:w="1224"/>
        <w:gridCol w:w="2409"/>
        <w:gridCol w:w="236"/>
      </w:tblGrid>
      <w:tr>
        <w:tblPrEx>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widowControl/>
              <w:jc w:val="center"/>
              <w:textAlignment w:val="center"/>
              <w:rPr>
                <w:rFonts w:ascii="宋体" w:hAnsi="宋体" w:cs="宋体"/>
                <w:b/>
                <w:sz w:val="32"/>
                <w:szCs w:val="32"/>
              </w:rPr>
            </w:pPr>
            <w:bookmarkStart w:id="87" w:name="_Toc15396618"/>
            <w:r>
              <w:rPr>
                <w:rFonts w:hint="eastAsia" w:ascii="宋体" w:hAnsi="宋体" w:cs="宋体"/>
                <w:b/>
                <w:sz w:val="32"/>
                <w:szCs w:val="32"/>
              </w:rPr>
              <w:t>2021年部门预算项目绩效目标自评</w:t>
            </w:r>
          </w:p>
        </w:tc>
        <w:tc>
          <w:tcPr>
            <w:tcW w:w="234"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 w:val="32"/>
                <w:szCs w:val="32"/>
              </w:rPr>
            </w:pPr>
          </w:p>
        </w:tc>
      </w:tr>
      <w:tr>
        <w:tblPrEx>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广元市疾病预防控制中心</w:t>
            </w:r>
          </w:p>
        </w:tc>
      </w:tr>
      <w:tr>
        <w:tblPrEx>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项目预算</w:t>
            </w:r>
            <w:r>
              <w:rPr>
                <w:rFonts w:hint="eastAsia" w:ascii="宋体" w:hAnsi="宋体" w:cs="宋体"/>
                <w:kern w:val="0"/>
                <w:sz w:val="24"/>
              </w:rPr>
              <w:br w:type="textWrapping"/>
            </w:r>
            <w:r>
              <w:rPr>
                <w:rFonts w:hint="eastAsia" w:ascii="宋体" w:hAnsi="宋体" w:cs="宋体"/>
                <w:kern w:val="0"/>
                <w:sz w:val="24"/>
              </w:rPr>
              <w:t>执行情况</w:t>
            </w:r>
            <w:r>
              <w:rPr>
                <w:rFonts w:hint="eastAsia" w:ascii="宋体" w:hAnsi="宋体" w:cs="宋体"/>
                <w:kern w:val="0"/>
                <w:sz w:val="24"/>
              </w:rPr>
              <w:br w:type="textWrapping"/>
            </w:r>
            <w:r>
              <w:rPr>
                <w:rFonts w:hint="eastAsia" w:ascii="宋体" w:hAnsi="宋体" w:cs="宋体"/>
                <w:kern w:val="0"/>
                <w:sz w:val="24"/>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13</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13</w:t>
            </w:r>
          </w:p>
        </w:tc>
      </w:tr>
      <w:tr>
        <w:tblPrEx>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13</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13</w:t>
            </w:r>
          </w:p>
        </w:tc>
      </w:tr>
      <w:tr>
        <w:tblPrEx>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p>
        </w:tc>
      </w:tr>
      <w:tr>
        <w:tblPrEx>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年度总体目标</w:t>
            </w:r>
          </w:p>
          <w:p>
            <w:pPr>
              <w:widowControl/>
              <w:spacing w:line="320" w:lineRule="exact"/>
              <w:jc w:val="center"/>
              <w:textAlignment w:val="center"/>
              <w:rPr>
                <w:rFonts w:ascii="宋体" w:hAnsi="宋体" w:cs="宋体"/>
                <w:sz w:val="24"/>
              </w:rPr>
            </w:pPr>
            <w:r>
              <w:rPr>
                <w:rFonts w:hint="eastAsia" w:ascii="宋体" w:hAnsi="宋体" w:cs="宋体"/>
                <w:kern w:val="0"/>
                <w:sz w:val="24"/>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目标实际完成情况</w:t>
            </w:r>
          </w:p>
        </w:tc>
      </w:tr>
      <w:tr>
        <w:tblPrEx>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24"/>
              </w:rPr>
              <w:t>2021年度通过应急物资储备、业务培训（内部培训+外部培训）、应急演练，提升疾控中心卫生应急队伍对突发公共卫生事件的组织指挥、快速响应及处置能力。</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24"/>
              </w:rPr>
              <w:t>组织开展突发公共卫生事件监测预警和风险评估工作。开展重大传染病、突发公共卫生事件信息的主动搜索，定期汇总相关信息，组织开展区域内公共卫生风行评估，制定相应的工作方案，采取有效应对措施，预防和减少突发公共卫生事件的发生。全年接报未分级突发公共卫生事件3件，疑似食物中毒事件1件，撰写月度风行评估报告12份。加强卫生应急队伍建设和培训演练。调整充实卫生应急队伍，明确卫生应急人员岗位职责，建立通讯网络。根据中心实际情况和新冠肺炎疫情防控要求，有计划、有重点的储备和补充应急物资。为卫生应急人员65人配齐卫生应急马甲和帽子。</w:t>
            </w:r>
          </w:p>
        </w:tc>
      </w:tr>
      <w:tr>
        <w:tblPrEx>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abs>
                <w:tab w:val="left" w:pos="276"/>
              </w:tabs>
              <w:spacing w:line="320" w:lineRule="exact"/>
              <w:jc w:val="left"/>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完成卫生应急队员培训</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40学时</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42学时</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abs>
                <w:tab w:val="left" w:pos="276"/>
              </w:tabs>
              <w:spacing w:line="320" w:lineRule="exact"/>
              <w:jc w:val="left"/>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完成突发突发公共卫生应急演练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2次</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2次</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abs>
                <w:tab w:val="left" w:pos="276"/>
              </w:tabs>
              <w:spacing w:line="320" w:lineRule="exact"/>
              <w:jc w:val="left"/>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重点任务完成率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≥98%</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完成时间</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2021年12月31日前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2021年12月31日前</w:t>
            </w: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效益</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快速响应及处置突发公共卫生事件，防止重大疫情和中毒事件的发生</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逐步提高</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逐步提高</w:t>
            </w:r>
          </w:p>
        </w:tc>
      </w:tr>
      <w:tr>
        <w:tblPrEx>
          <w:tblCellMar>
            <w:top w:w="0" w:type="dxa"/>
            <w:left w:w="108" w:type="dxa"/>
            <w:bottom w:w="0" w:type="dxa"/>
            <w:right w:w="108" w:type="dxa"/>
          </w:tblCellMar>
        </w:tblPrEx>
        <w:trPr>
          <w:gridAfter w:val="1"/>
          <w:wAfter w:w="234" w:type="dxa"/>
          <w:trHeight w:val="577"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卫生应急能力提高</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中长期</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中长期</w:t>
            </w:r>
          </w:p>
        </w:tc>
      </w:tr>
      <w:tr>
        <w:tblPrEx>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服务对象满意度</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≥99%</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≥99%</w:t>
            </w:r>
          </w:p>
        </w:tc>
      </w:tr>
      <w:tr>
        <w:tblPrEx>
          <w:tblCellMar>
            <w:top w:w="0" w:type="dxa"/>
            <w:left w:w="108" w:type="dxa"/>
            <w:bottom w:w="0" w:type="dxa"/>
            <w:right w:w="108" w:type="dxa"/>
          </w:tblCellMar>
        </w:tblPrEx>
        <w:trPr>
          <w:gridAfter w:val="1"/>
          <w:wAfter w:w="234" w:type="dxa"/>
          <w:trHeight w:val="530" w:hRule="atLeast"/>
        </w:trPr>
        <w:tc>
          <w:tcPr>
            <w:tcW w:w="1977" w:type="dxa"/>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项目主管部门满意度</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≥99%</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≥99%</w:t>
            </w:r>
          </w:p>
        </w:tc>
      </w:tr>
    </w:tbl>
    <w:p>
      <w:pPr>
        <w:spacing w:line="600" w:lineRule="exact"/>
        <w:jc w:val="center"/>
        <w:rPr>
          <w:rFonts w:ascii="黑体" w:hAnsi="黑体" w:eastAsia="黑体"/>
          <w:sz w:val="44"/>
          <w:szCs w:val="44"/>
        </w:rPr>
      </w:pPr>
    </w:p>
    <w:p>
      <w:pPr>
        <w:spacing w:line="600"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rPr>
        <w:t>2022年</w:t>
      </w:r>
      <w:r>
        <w:rPr>
          <w:rFonts w:hint="eastAsia" w:ascii="方正小标宋简体" w:hAnsi="方正小标宋简体" w:eastAsia="方正小标宋简体" w:cs="方正小标宋简体"/>
          <w:sz w:val="40"/>
          <w:szCs w:val="40"/>
          <w:lang w:val="zh-CN"/>
        </w:rPr>
        <w:t>专项预算项目支出绩效自评报告</w:t>
      </w:r>
    </w:p>
    <w:p>
      <w:pPr>
        <w:spacing w:line="600" w:lineRule="exact"/>
        <w:ind w:firstLine="883"/>
        <w:jc w:val="center"/>
        <w:rPr>
          <w:rFonts w:ascii="仿宋_GB2312" w:hAnsi="宋体" w:eastAsia="仿宋_GB2312"/>
          <w:sz w:val="32"/>
          <w:szCs w:val="32"/>
          <w:lang w:val="zh-CN"/>
        </w:rPr>
      </w:pPr>
      <w:r>
        <w:rPr>
          <w:rFonts w:hint="eastAsia" w:ascii="仿宋_GB2312" w:hAnsi="宋体" w:eastAsia="仿宋_GB2312"/>
          <w:sz w:val="32"/>
          <w:szCs w:val="32"/>
          <w:lang w:val="zh-CN"/>
        </w:rPr>
        <w:t>（</w:t>
      </w:r>
      <w:r>
        <w:rPr>
          <w:rFonts w:hint="eastAsia"/>
        </w:rPr>
        <w:t>广元市核应急医疗救援防护站专项工作经费</w:t>
      </w:r>
      <w:r>
        <w:rPr>
          <w:rFonts w:hint="eastAsia" w:ascii="仿宋_GB2312" w:hAnsi="宋体" w:eastAsia="仿宋_GB2312"/>
          <w:sz w:val="32"/>
          <w:szCs w:val="32"/>
          <w:lang w:val="zh-CN"/>
        </w:rPr>
        <w:t>）</w:t>
      </w:r>
    </w:p>
    <w:p>
      <w:pPr>
        <w:spacing w:line="600" w:lineRule="exact"/>
        <w:ind w:firstLine="640"/>
        <w:jc w:val="center"/>
        <w:rPr>
          <w:rFonts w:ascii="宋体" w:hAnsi="宋体"/>
          <w:sz w:val="32"/>
          <w:szCs w:val="32"/>
          <w:lang w:val="zh-CN"/>
        </w:rPr>
      </w:pPr>
    </w:p>
    <w:p>
      <w:pPr>
        <w:adjustRightInd w:val="0"/>
        <w:snapToGrid w:val="0"/>
        <w:spacing w:line="600" w:lineRule="exact"/>
        <w:ind w:firstLine="720"/>
        <w:outlineLvl w:val="1"/>
        <w:rPr>
          <w:rFonts w:ascii="黑体" w:hAnsi="宋体" w:eastAsia="黑体"/>
          <w:sz w:val="32"/>
          <w:szCs w:val="32"/>
          <w:lang w:val="zh-CN"/>
        </w:rPr>
      </w:pPr>
      <w:bookmarkStart w:id="88" w:name="_Toc13056"/>
      <w:r>
        <w:rPr>
          <w:rFonts w:hint="eastAsia" w:ascii="黑体" w:hAnsi="宋体" w:eastAsia="黑体"/>
          <w:sz w:val="32"/>
          <w:szCs w:val="32"/>
        </w:rPr>
        <w:t>一、</w:t>
      </w:r>
      <w:r>
        <w:rPr>
          <w:rFonts w:hint="eastAsia" w:ascii="黑体" w:hAnsi="宋体" w:eastAsia="黑体"/>
          <w:sz w:val="32"/>
          <w:szCs w:val="32"/>
          <w:lang w:val="zh-CN"/>
        </w:rPr>
        <w:t>项目概况</w:t>
      </w:r>
      <w:bookmarkEnd w:id="88"/>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基本职能。根据《关于疾病预防控制体系建设的若干规定》，疾病预防控制机构的职能之一是：疾病预防与控制、突发公共卫生事件应急处置、疫情报告及健康相关因素信息管理、健康危害因素监测与干预、实验室检测分析与评价、健康教育与健康促进、技术管理与应用研究指导。</w:t>
      </w:r>
    </w:p>
    <w:p>
      <w:pPr>
        <w:numPr>
          <w:ilvl w:val="0"/>
          <w:numId w:val="5"/>
        </w:num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lang w:val="zh-CN"/>
        </w:rPr>
        <w:t>项目立项、资金申报的依据。广元市卫生健康委公共卫生应急队伍建设和工作内容。</w:t>
      </w:r>
      <w:r>
        <w:rPr>
          <w:rFonts w:hint="eastAsia" w:ascii="仿宋_GB2312" w:hAnsi="宋体" w:eastAsia="仿宋_GB2312"/>
          <w:sz w:val="32"/>
          <w:szCs w:val="32"/>
        </w:rPr>
        <w:t>广元市核应急医疗救援防护站专项工作经费</w:t>
      </w:r>
      <w:r>
        <w:rPr>
          <w:rFonts w:ascii="仿宋_GB2312" w:hAnsi="宋体" w:eastAsia="仿宋_GB2312"/>
          <w:sz w:val="32"/>
          <w:szCs w:val="32"/>
          <w:lang w:val="zh-CN"/>
        </w:rPr>
        <w:t>为全</w:t>
      </w:r>
      <w:r>
        <w:rPr>
          <w:rFonts w:hint="eastAsia" w:ascii="仿宋_GB2312" w:hAnsi="宋体" w:eastAsia="仿宋_GB2312"/>
          <w:sz w:val="32"/>
          <w:szCs w:val="32"/>
          <w:lang w:val="zh-CN"/>
        </w:rPr>
        <w:t>市</w:t>
      </w:r>
      <w:r>
        <w:rPr>
          <w:rFonts w:hint="eastAsia" w:ascii="仿宋_GB2312" w:hAnsi="宋体" w:eastAsia="仿宋_GB2312"/>
          <w:sz w:val="32"/>
          <w:szCs w:val="32"/>
        </w:rPr>
        <w:t>核应急医疗救援</w:t>
      </w:r>
      <w:r>
        <w:rPr>
          <w:rFonts w:ascii="仿宋_GB2312" w:hAnsi="宋体" w:eastAsia="仿宋_GB2312"/>
          <w:sz w:val="32"/>
          <w:szCs w:val="32"/>
          <w:lang w:val="zh-CN"/>
        </w:rPr>
        <w:t>工作顺利完成提供了保障</w:t>
      </w:r>
      <w:r>
        <w:rPr>
          <w:rFonts w:hint="eastAsia" w:ascii="仿宋_GB2312" w:hAnsi="宋体" w:eastAsia="仿宋_GB2312"/>
          <w:sz w:val="32"/>
          <w:szCs w:val="32"/>
          <w:lang w:val="zh-CN"/>
        </w:rPr>
        <w:t>。</w:t>
      </w:r>
    </w:p>
    <w:p>
      <w:pPr>
        <w:numPr>
          <w:ilvl w:val="0"/>
          <w:numId w:val="6"/>
        </w:num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资金管理办法制定情况，资金支持具体项目的条件、范围与支持方式概况。</w:t>
      </w:r>
    </w:p>
    <w:p>
      <w:pPr>
        <w:pStyle w:val="6"/>
        <w:spacing w:before="93"/>
        <w:ind w:firstLine="600" w:firstLineChars="200"/>
        <w:rPr>
          <w:lang w:val="zh-CN"/>
        </w:rPr>
      </w:pPr>
      <w:r>
        <w:rPr>
          <w:rFonts w:hint="eastAsia"/>
          <w:lang w:val="zh-CN"/>
        </w:rPr>
        <w:t>以省、市相关文件，结合上级文件制订了我中心的专项资金管理规定。</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4．资金分配的原则及考虑因素。</w:t>
      </w:r>
    </w:p>
    <w:p>
      <w:pPr>
        <w:pStyle w:val="6"/>
        <w:spacing w:before="93"/>
        <w:ind w:firstLine="600" w:firstLineChars="200"/>
        <w:rPr>
          <w:lang w:val="zh-CN"/>
        </w:rPr>
      </w:pPr>
      <w:r>
        <w:rPr>
          <w:rFonts w:hint="eastAsia"/>
          <w:lang w:val="zh-CN"/>
        </w:rPr>
        <w:t>量入为出，结合实际，根据各项费用产生的频率及数额大小在各项经济科目中进行分配。</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1．项目主要内容。为确保突发</w:t>
      </w:r>
      <w:r>
        <w:rPr>
          <w:rFonts w:hint="eastAsia" w:ascii="仿宋_GB2312" w:hAnsi="宋体" w:eastAsia="仿宋_GB2312"/>
          <w:sz w:val="32"/>
          <w:szCs w:val="32"/>
        </w:rPr>
        <w:t>核</w:t>
      </w:r>
      <w:r>
        <w:rPr>
          <w:rFonts w:hint="eastAsia" w:ascii="仿宋_GB2312" w:hAnsi="宋体" w:eastAsia="仿宋_GB2312"/>
          <w:sz w:val="32"/>
          <w:szCs w:val="32"/>
          <w:lang w:val="zh-CN"/>
        </w:rPr>
        <w:t>应急事件的快速响应，提供应急准备及保障。</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2．项目应实现的具体绩效目标。2021年度通过完成业务培训（内部培训+外部培训）、调研学习、核应急医疗救援演练，提升广元市核应急医疗救援站对突发事故的组织指挥、快速响应及处置能力。</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3．突发公共卫生应急工作经费申报内容与具体实施内容相符、申报目标合理可行。</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1、前期准备</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确定评价工作对象、收集项目基础资料、制定评价工作方案。评价工作方案主要包括：评价目的、评价人员、评价依据（标准）、评价指标和评价方法等。</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2、组织实施</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根据市财政下达的评价通知书，以问卷调查、现场查看、专家评议等多种形式实施绩效评价，形成绩效评价结论，提交绩效评价报告。</w:t>
      </w:r>
    </w:p>
    <w:p>
      <w:pPr>
        <w:adjustRightInd w:val="0"/>
        <w:snapToGrid w:val="0"/>
        <w:spacing w:line="600" w:lineRule="exact"/>
        <w:ind w:firstLine="720"/>
        <w:outlineLvl w:val="1"/>
        <w:rPr>
          <w:rFonts w:ascii="黑体" w:hAnsi="宋体" w:eastAsia="黑体"/>
          <w:sz w:val="32"/>
          <w:szCs w:val="32"/>
        </w:rPr>
      </w:pPr>
      <w:bookmarkStart w:id="89" w:name="_Toc6442"/>
      <w:r>
        <w:rPr>
          <w:rFonts w:hint="eastAsia" w:ascii="黑体" w:hAnsi="宋体" w:eastAsia="黑体"/>
          <w:sz w:val="32"/>
          <w:szCs w:val="32"/>
        </w:rPr>
        <w:t>二、项目资金申报及使用情况</w:t>
      </w:r>
      <w:bookmarkEnd w:id="89"/>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《广元市财政局关于批复</w:t>
      </w:r>
      <w:r>
        <w:rPr>
          <w:rFonts w:hint="eastAsia" w:ascii="仿宋_GB2312" w:hAnsi="宋体" w:eastAsia="仿宋_GB2312"/>
          <w:sz w:val="32"/>
          <w:szCs w:val="32"/>
        </w:rPr>
        <w:t>2021</w:t>
      </w:r>
      <w:r>
        <w:rPr>
          <w:rFonts w:hint="eastAsia" w:ascii="仿宋_GB2312" w:hAnsi="宋体" w:eastAsia="仿宋_GB2312"/>
          <w:sz w:val="32"/>
          <w:szCs w:val="32"/>
          <w:lang w:val="zh-CN"/>
        </w:rPr>
        <w:t>年市级部门预算的通知》（广财预〔20</w:t>
      </w:r>
      <w:r>
        <w:rPr>
          <w:rFonts w:hint="eastAsia" w:ascii="仿宋_GB2312" w:hAnsi="宋体" w:eastAsia="仿宋_GB2312"/>
          <w:sz w:val="32"/>
          <w:szCs w:val="32"/>
        </w:rPr>
        <w:t>21</w:t>
      </w:r>
      <w:r>
        <w:rPr>
          <w:rFonts w:hint="eastAsia" w:ascii="仿宋_GB2312" w:hAnsi="宋体" w:eastAsia="仿宋_GB2312"/>
          <w:sz w:val="32"/>
          <w:szCs w:val="32"/>
          <w:lang w:val="zh-CN"/>
        </w:rPr>
        <w:t>〕</w:t>
      </w:r>
      <w:r>
        <w:rPr>
          <w:rFonts w:hint="eastAsia" w:ascii="仿宋_GB2312" w:hAnsi="宋体" w:eastAsia="仿宋_GB2312"/>
          <w:sz w:val="32"/>
          <w:szCs w:val="32"/>
        </w:rPr>
        <w:t>1</w:t>
      </w:r>
      <w:r>
        <w:rPr>
          <w:rFonts w:hint="eastAsia" w:ascii="仿宋_GB2312" w:hAnsi="宋体" w:eastAsia="仿宋_GB2312"/>
          <w:sz w:val="32"/>
          <w:szCs w:val="32"/>
          <w:lang w:val="zh-CN"/>
        </w:rPr>
        <w:t>号），下达我单位</w:t>
      </w:r>
      <w:r>
        <w:rPr>
          <w:rFonts w:hint="eastAsia" w:ascii="仿宋_GB2312" w:hAnsi="宋体" w:eastAsia="仿宋_GB2312"/>
          <w:sz w:val="32"/>
          <w:szCs w:val="32"/>
        </w:rPr>
        <w:t>广元市核应急医疗救援防护站专项工作经费20</w:t>
      </w:r>
      <w:r>
        <w:rPr>
          <w:rFonts w:hint="eastAsia" w:ascii="仿宋_GB2312" w:hAnsi="宋体" w:eastAsia="仿宋_GB2312"/>
          <w:sz w:val="32"/>
          <w:szCs w:val="32"/>
          <w:lang w:val="zh-CN"/>
        </w:rPr>
        <w:t>万元。</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1．资金计划。</w:t>
      </w:r>
      <w:r>
        <w:rPr>
          <w:rFonts w:hint="eastAsia" w:ascii="仿宋_GB2312" w:hAnsi="宋体" w:eastAsia="仿宋_GB2312"/>
          <w:sz w:val="32"/>
          <w:szCs w:val="32"/>
          <w:lang w:val="zh-CN"/>
        </w:rPr>
        <w:t>该笔专项经费经20</w:t>
      </w:r>
      <w:r>
        <w:rPr>
          <w:rFonts w:hint="eastAsia" w:ascii="仿宋_GB2312" w:hAnsi="宋体" w:eastAsia="仿宋_GB2312"/>
          <w:sz w:val="32"/>
          <w:szCs w:val="32"/>
        </w:rPr>
        <w:t>21</w:t>
      </w:r>
      <w:r>
        <w:rPr>
          <w:rFonts w:hint="eastAsia" w:ascii="仿宋_GB2312" w:hAnsi="宋体" w:eastAsia="仿宋_GB2312"/>
          <w:sz w:val="32"/>
          <w:szCs w:val="32"/>
          <w:lang w:val="zh-CN"/>
        </w:rPr>
        <w:t>年初下达我单位后，按序时进度每月申报使用。</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2．资金到位。</w:t>
      </w:r>
      <w:r>
        <w:rPr>
          <w:rFonts w:hint="eastAsia" w:ascii="仿宋_GB2312" w:hAnsi="宋体" w:eastAsia="仿宋_GB2312"/>
          <w:sz w:val="32"/>
          <w:szCs w:val="32"/>
          <w:lang w:val="zh-CN"/>
        </w:rPr>
        <w:t>资金到位率100%。</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3．资金使用。</w:t>
      </w:r>
      <w:r>
        <w:rPr>
          <w:rFonts w:hint="eastAsia" w:ascii="仿宋_GB2312" w:hAnsi="宋体" w:eastAsia="仿宋_GB2312" w:cs="仿宋_GB2312"/>
          <w:color w:val="333333"/>
          <w:sz w:val="32"/>
          <w:szCs w:val="32"/>
        </w:rPr>
        <w:t>广元市核应急医疗救援防护站专项工作经费</w:t>
      </w:r>
      <w:r>
        <w:rPr>
          <w:rFonts w:hint="eastAsia" w:ascii="仿宋_GB2312" w:hAnsi="宋体" w:eastAsia="仿宋_GB2312"/>
          <w:sz w:val="32"/>
          <w:szCs w:val="32"/>
        </w:rPr>
        <w:t>20</w:t>
      </w:r>
      <w:r>
        <w:rPr>
          <w:rFonts w:hint="eastAsia" w:ascii="仿宋_GB2312" w:hAnsi="宋体" w:eastAsia="仿宋_GB2312"/>
          <w:sz w:val="32"/>
          <w:szCs w:val="32"/>
          <w:lang w:val="zh-CN"/>
        </w:rPr>
        <w:t>万元</w:t>
      </w:r>
      <w:r>
        <w:rPr>
          <w:rFonts w:ascii="仿宋_GB2312" w:hAnsi="宋体" w:eastAsia="仿宋_GB2312" w:cs="仿宋_GB2312"/>
          <w:color w:val="333333"/>
          <w:sz w:val="32"/>
          <w:szCs w:val="32"/>
        </w:rPr>
        <w:t>，已全额使用，主要用于以下几个方面</w:t>
      </w:r>
      <w:r>
        <w:rPr>
          <w:rFonts w:hint="eastAsia" w:ascii="仿宋_GB2312" w:hAnsi="宋体" w:eastAsia="仿宋_GB2312" w:cs="仿宋_GB2312"/>
          <w:color w:val="333333"/>
          <w:sz w:val="32"/>
          <w:szCs w:val="32"/>
        </w:rPr>
        <w:t>：差旅费13.38万元，应急演练费3.38万元，值班费用2.66万元，其他费用 0.58万元</w:t>
      </w:r>
      <w:r>
        <w:rPr>
          <w:rFonts w:ascii="仿宋_GB2312" w:hAnsi="宋体" w:eastAsia="仿宋_GB2312" w:cs="仿宋_GB2312"/>
          <w:color w:val="333333"/>
          <w:sz w:val="32"/>
          <w:szCs w:val="32"/>
        </w:rPr>
        <w:t>。资金支付依据合规合法，与预算相符。</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cs="仿宋_GB2312"/>
          <w:color w:val="333333"/>
          <w:sz w:val="32"/>
          <w:szCs w:val="32"/>
        </w:rPr>
        <w:t>广元市核应急医疗救援防护站专项工作经费</w:t>
      </w:r>
      <w:r>
        <w:rPr>
          <w:rFonts w:hint="eastAsia" w:ascii="仿宋_GB2312" w:hAnsi="宋体" w:eastAsia="仿宋_GB2312"/>
          <w:sz w:val="32"/>
          <w:szCs w:val="32"/>
          <w:lang w:val="zh-CN"/>
        </w:rPr>
        <w:t>严格执行财经相关管理制度，财务处理及时，会计核算规范。其中差旅费严格按照《广元市市级机关差旅费管理办法》执行。</w:t>
      </w:r>
    </w:p>
    <w:p>
      <w:pPr>
        <w:adjustRightInd w:val="0"/>
        <w:snapToGrid w:val="0"/>
        <w:spacing w:line="600" w:lineRule="exact"/>
        <w:ind w:firstLine="720"/>
        <w:outlineLvl w:val="1"/>
        <w:rPr>
          <w:rFonts w:ascii="黑体" w:hAnsi="宋体" w:eastAsia="黑体"/>
          <w:sz w:val="32"/>
          <w:szCs w:val="32"/>
        </w:rPr>
      </w:pPr>
      <w:bookmarkStart w:id="90" w:name="_Toc15095"/>
      <w:r>
        <w:rPr>
          <w:rFonts w:hint="eastAsia" w:ascii="黑体" w:hAnsi="宋体" w:eastAsia="黑体"/>
          <w:sz w:val="32"/>
          <w:szCs w:val="32"/>
        </w:rPr>
        <w:t>三、项目实施及管理情况</w:t>
      </w:r>
      <w:bookmarkEnd w:id="90"/>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pPr>
        <w:numPr>
          <w:ilvl w:val="0"/>
          <w:numId w:val="8"/>
        </w:num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项目组织架构及实施流程。</w:t>
      </w:r>
      <w:r>
        <w:rPr>
          <w:rFonts w:hint="eastAsia" w:ascii="仿宋_GB2312" w:hAnsi="宋体" w:eastAsia="仿宋_GB2312"/>
          <w:sz w:val="32"/>
          <w:szCs w:val="32"/>
          <w:lang w:val="zh-CN"/>
        </w:rPr>
        <w:t>完善卫生应急组织管理体系。根据工作需要适时调整了卫生应急工作领导小组、专家咨询组和卫生应急队队员。明确工作职责，畅通信息互通渠道，建立更加紧密的部门协作机制。修订完善应急预案。根据中心实际和工作需要对中心突发公共卫生事件应急预案和技术方案进行修订完善。</w:t>
      </w:r>
    </w:p>
    <w:p>
      <w:pPr>
        <w:adjustRightInd w:val="0"/>
        <w:snapToGrid w:val="0"/>
        <w:spacing w:line="600" w:lineRule="exact"/>
        <w:ind w:firstLine="643" w:firstLineChars="200"/>
        <w:rPr>
          <w:rFonts w:ascii="仿宋_GB2312" w:hAnsi="宋体" w:eastAsia="仿宋_GB2312"/>
          <w:sz w:val="32"/>
          <w:szCs w:val="32"/>
          <w:lang w:val="zh-CN"/>
        </w:rPr>
      </w:pPr>
      <w:r>
        <w:rPr>
          <w:rFonts w:hint="eastAsia" w:ascii="楷体_GB2312" w:hAnsi="宋体" w:eastAsia="楷体_GB2312"/>
          <w:b/>
          <w:sz w:val="32"/>
          <w:szCs w:val="32"/>
          <w:lang w:val="zh-CN"/>
        </w:rPr>
        <w:t>（二）项目管理情况。</w:t>
      </w:r>
      <w:r>
        <w:rPr>
          <w:rFonts w:hint="eastAsia" w:ascii="仿宋_GB2312" w:hAnsi="宋体" w:eastAsia="仿宋_GB2312"/>
          <w:sz w:val="32"/>
          <w:szCs w:val="32"/>
          <w:lang w:val="zh-CN"/>
        </w:rPr>
        <w:t>该项目按时间进度完成各项任务，按实际发生的金额支付。</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（三）项目监管情况。</w:t>
      </w:r>
      <w:r>
        <w:rPr>
          <w:rFonts w:hint="eastAsia" w:ascii="仿宋_GB2312" w:hAnsi="宋体" w:eastAsia="仿宋_GB2312"/>
          <w:sz w:val="32"/>
          <w:szCs w:val="32"/>
          <w:lang w:val="zh-CN"/>
        </w:rPr>
        <w:t>主管部门年中开展了项目支出绩效监控评价。</w:t>
      </w:r>
    </w:p>
    <w:p>
      <w:pPr>
        <w:adjustRightInd w:val="0"/>
        <w:snapToGrid w:val="0"/>
        <w:spacing w:line="600" w:lineRule="exact"/>
        <w:ind w:firstLine="720"/>
        <w:outlineLvl w:val="1"/>
        <w:rPr>
          <w:rFonts w:ascii="仿宋_GB2312" w:hAnsi="宋体" w:eastAsia="仿宋_GB2312"/>
          <w:sz w:val="32"/>
          <w:szCs w:val="32"/>
          <w:lang w:val="zh-CN"/>
        </w:rPr>
      </w:pPr>
      <w:bookmarkStart w:id="91" w:name="_Toc2849"/>
      <w:r>
        <w:rPr>
          <w:rFonts w:hint="eastAsia" w:ascii="黑体" w:hAnsi="宋体" w:eastAsia="黑体"/>
          <w:sz w:val="32"/>
          <w:szCs w:val="32"/>
        </w:rPr>
        <w:t>四、项目绩效情况</w:t>
      </w:r>
      <w:bookmarkEnd w:id="91"/>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ind w:firstLine="640" w:firstLineChars="200"/>
        <w:rPr>
          <w:rFonts w:ascii="仿宋_GB2312" w:eastAsia="仿宋_GB2312"/>
          <w:sz w:val="32"/>
          <w:szCs w:val="32"/>
        </w:rPr>
      </w:pPr>
      <w:r>
        <w:rPr>
          <w:rFonts w:hint="eastAsia" w:ascii="仿宋_GB2312" w:eastAsia="仿宋_GB2312"/>
          <w:sz w:val="32"/>
          <w:szCs w:val="32"/>
        </w:rPr>
        <w:t>负责安排中心卫生应急值班值守。每天安排一名中心领导和一名卫生应急人员负责行政值班和卫生应急值班，值班表报中心领导审批后执行。与中核四川环保工程有限责任公司签订医疗保障服务协议，负责常见病诊治和外伤处理，急危重症患者的现场急救和转运，职业健康宣教、参与应急演练等工作，安排医护人员值班和执行临时性医疗保障工作，全年就诊400余人次，未发生任何医疗事故和患者投诉，参与中核四川环保工程有限责任公司综合应急演练1次，新冠肺炎防控演练1次。</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项目的社会效益良好，服务对象满意度高</w:t>
      </w:r>
    </w:p>
    <w:p>
      <w:pPr>
        <w:adjustRightInd w:val="0"/>
        <w:snapToGrid w:val="0"/>
        <w:spacing w:line="600" w:lineRule="exact"/>
        <w:ind w:firstLine="720"/>
        <w:outlineLvl w:val="1"/>
        <w:rPr>
          <w:rFonts w:ascii="黑体" w:hAnsi="宋体" w:eastAsia="黑体"/>
          <w:sz w:val="32"/>
          <w:szCs w:val="32"/>
        </w:rPr>
      </w:pPr>
      <w:bookmarkStart w:id="92" w:name="_Toc8861"/>
      <w:r>
        <w:rPr>
          <w:rFonts w:hint="eastAsia" w:ascii="黑体" w:hAnsi="宋体" w:eastAsia="黑体"/>
          <w:sz w:val="32"/>
          <w:szCs w:val="32"/>
        </w:rPr>
        <w:t>五、评价结论及建议</w:t>
      </w:r>
      <w:bookmarkEnd w:id="92"/>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通过对</w:t>
      </w:r>
      <w:r>
        <w:rPr>
          <w:rFonts w:hint="eastAsia" w:ascii="仿宋_GB2312" w:hAnsi="宋体" w:eastAsia="仿宋_GB2312"/>
          <w:sz w:val="32"/>
          <w:szCs w:val="32"/>
        </w:rPr>
        <w:t>2021</w:t>
      </w:r>
      <w:r>
        <w:rPr>
          <w:rFonts w:hint="eastAsia" w:ascii="仿宋_GB2312" w:hAnsi="宋体" w:eastAsia="仿宋_GB2312"/>
          <w:sz w:val="32"/>
          <w:szCs w:val="32"/>
          <w:lang w:val="zh-CN"/>
        </w:rPr>
        <w:t>年度广元市核应急医疗救援防护站专项工作经费的使用，实施绩效进行了指标评价，该专项经费为全年有效应对突发</w:t>
      </w:r>
      <w:r>
        <w:rPr>
          <w:rFonts w:hint="eastAsia" w:ascii="仿宋_GB2312" w:hAnsi="宋体" w:eastAsia="仿宋_GB2312"/>
          <w:sz w:val="32"/>
          <w:szCs w:val="32"/>
        </w:rPr>
        <w:t>核辐射应急</w:t>
      </w:r>
      <w:r>
        <w:rPr>
          <w:rFonts w:hint="eastAsia" w:ascii="仿宋_GB2312" w:hAnsi="宋体" w:eastAsia="仿宋_GB2312"/>
          <w:sz w:val="32"/>
          <w:szCs w:val="32"/>
          <w:lang w:val="zh-CN"/>
        </w:rPr>
        <w:t>事件提供有效资金保障，受益群众满意度达100%，评论结论为“好”。</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绩效考评办法不够完善，不够具体，可操作性不强，需进一步加强。</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内控管理制度不够完善，不够系统，需进一步完善和加强。</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pStyle w:val="6"/>
        <w:spacing w:before="93"/>
        <w:ind w:firstLine="640" w:firstLineChars="200"/>
        <w:rPr>
          <w:lang w:val="zh-CN"/>
        </w:rPr>
      </w:pPr>
      <w:r>
        <w:rPr>
          <w:rFonts w:hint="eastAsia" w:hAnsi="宋体"/>
          <w:sz w:val="32"/>
          <w:szCs w:val="32"/>
          <w:lang w:val="zh-CN"/>
        </w:rPr>
        <w:t>做好项目实施的跟踪检查工作。定期不定期地对项目实施情况和经费使用情况进行跟踪检查，对能实现预期绩效目标的项目予以充分肯定，对进展缓慢，预期绩效目标较差的项目，及时进行协调和提出整改措施，确保项目实施工作正常运行，达到预期绩效目标。</w:t>
      </w:r>
    </w:p>
    <w:p>
      <w:pPr>
        <w:pStyle w:val="2"/>
        <w:rPr>
          <w:rFonts w:ascii="黑体" w:hAnsi="黑体" w:eastAsia="黑体" w:cs="黑体"/>
          <w:sz w:val="32"/>
          <w:szCs w:val="32"/>
        </w:rPr>
      </w:pPr>
    </w:p>
    <w:p>
      <w:pPr>
        <w:spacing w:line="572" w:lineRule="exact"/>
        <w:jc w:val="left"/>
        <w:outlineLvl w:val="1"/>
        <w:rPr>
          <w:rFonts w:ascii="仿宋_GB2312" w:hAnsi="仿宋_GB2312" w:eastAsia="黑体" w:cs="仿宋_GB2312"/>
          <w:sz w:val="32"/>
          <w:szCs w:val="32"/>
        </w:rPr>
      </w:pPr>
      <w:bookmarkStart w:id="93" w:name="_Toc2608"/>
      <w:r>
        <w:rPr>
          <w:rFonts w:hint="eastAsia" w:ascii="黑体" w:hAnsi="黑体" w:eastAsia="黑体" w:cs="黑体"/>
          <w:sz w:val="32"/>
          <w:szCs w:val="32"/>
        </w:rPr>
        <w:t>附表</w:t>
      </w:r>
      <w:bookmarkEnd w:id="93"/>
    </w:p>
    <w:tbl>
      <w:tblPr>
        <w:tblStyle w:val="13"/>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6"/>
        <w:gridCol w:w="1142"/>
        <w:gridCol w:w="1635"/>
        <w:gridCol w:w="1189"/>
        <w:gridCol w:w="1224"/>
        <w:gridCol w:w="2409"/>
        <w:gridCol w:w="236"/>
      </w:tblGrid>
      <w:tr>
        <w:tblPrEx>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widowControl/>
              <w:jc w:val="center"/>
              <w:textAlignment w:val="center"/>
              <w:rPr>
                <w:rFonts w:ascii="宋体" w:hAnsi="宋体" w:cs="宋体"/>
                <w:b/>
                <w:sz w:val="32"/>
                <w:szCs w:val="32"/>
              </w:rPr>
            </w:pPr>
            <w:r>
              <w:rPr>
                <w:rFonts w:hint="eastAsia" w:ascii="宋体" w:hAnsi="宋体" w:cs="宋体"/>
                <w:b/>
                <w:sz w:val="32"/>
                <w:szCs w:val="32"/>
              </w:rPr>
              <w:t>2021年部门预算项目绩效目标自评</w:t>
            </w:r>
          </w:p>
        </w:tc>
        <w:tc>
          <w:tcPr>
            <w:tcW w:w="234"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 w:val="32"/>
                <w:szCs w:val="32"/>
              </w:rPr>
            </w:pPr>
          </w:p>
        </w:tc>
      </w:tr>
      <w:tr>
        <w:tblPrEx>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广元市疾病预防控制中心</w:t>
            </w:r>
          </w:p>
        </w:tc>
      </w:tr>
      <w:tr>
        <w:tblPrEx>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项目预算</w:t>
            </w:r>
            <w:r>
              <w:rPr>
                <w:rFonts w:hint="eastAsia" w:ascii="宋体" w:hAnsi="宋体" w:cs="宋体"/>
                <w:kern w:val="0"/>
                <w:sz w:val="24"/>
              </w:rPr>
              <w:br w:type="textWrapping"/>
            </w:r>
            <w:r>
              <w:rPr>
                <w:rFonts w:hint="eastAsia" w:ascii="宋体" w:hAnsi="宋体" w:cs="宋体"/>
                <w:kern w:val="0"/>
                <w:sz w:val="24"/>
              </w:rPr>
              <w:t>执行情况</w:t>
            </w:r>
            <w:r>
              <w:rPr>
                <w:rFonts w:hint="eastAsia" w:ascii="宋体" w:hAnsi="宋体" w:cs="宋体"/>
                <w:kern w:val="0"/>
                <w:sz w:val="24"/>
              </w:rPr>
              <w:br w:type="textWrapping"/>
            </w:r>
            <w:r>
              <w:rPr>
                <w:rFonts w:hint="eastAsia" w:ascii="宋体" w:hAnsi="宋体" w:cs="宋体"/>
                <w:kern w:val="0"/>
                <w:sz w:val="24"/>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20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20</w:t>
            </w:r>
          </w:p>
        </w:tc>
      </w:tr>
      <w:tr>
        <w:tblPrEx>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20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20</w:t>
            </w:r>
          </w:p>
        </w:tc>
      </w:tr>
      <w:tr>
        <w:tblPrEx>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p>
        </w:tc>
      </w:tr>
      <w:tr>
        <w:tblPrEx>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年度总体目标</w:t>
            </w:r>
          </w:p>
          <w:p>
            <w:pPr>
              <w:widowControl/>
              <w:spacing w:line="320" w:lineRule="exact"/>
              <w:jc w:val="center"/>
              <w:textAlignment w:val="center"/>
              <w:rPr>
                <w:rFonts w:ascii="宋体" w:hAnsi="宋体" w:cs="宋体"/>
                <w:sz w:val="24"/>
              </w:rPr>
            </w:pPr>
            <w:r>
              <w:rPr>
                <w:rFonts w:hint="eastAsia" w:ascii="宋体" w:hAnsi="宋体" w:cs="宋体"/>
                <w:kern w:val="0"/>
                <w:sz w:val="24"/>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目标实际完成情况</w:t>
            </w:r>
          </w:p>
        </w:tc>
      </w:tr>
      <w:tr>
        <w:tblPrEx>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24"/>
              </w:rPr>
              <w:t>2021年度通过完成业务培训（内部培训+外部培训）、调研学习、核应急医疗救援演练，提升广元市核应急医疗救援站对突发事故的组织指挥、快速响应及处置能力。</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rPr>
              <w:t>全年组织卫生应急知识培训2次，技能培训2次，卫生应急演练1次。参与中核四川环保工程有限责任公司综合应急演练1次，新冠肺炎防控演练1次。完成核应急医疗救援24小时应急值班365天。</w:t>
            </w:r>
          </w:p>
        </w:tc>
      </w:tr>
      <w:tr>
        <w:tblPrEx>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abs>
                <w:tab w:val="left" w:pos="276"/>
              </w:tabs>
              <w:spacing w:line="320" w:lineRule="exact"/>
              <w:jc w:val="left"/>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完成核应急医疗救援队员内部培训完成卫生应急队员培训</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4次</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4次</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abs>
                <w:tab w:val="left" w:pos="276"/>
              </w:tabs>
              <w:spacing w:line="320" w:lineRule="exact"/>
              <w:jc w:val="left"/>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参与或单独完成核应急救援演练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各一次</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各一次</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abs>
                <w:tab w:val="left" w:pos="276"/>
              </w:tabs>
              <w:spacing w:line="320" w:lineRule="exact"/>
              <w:jc w:val="left"/>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完成核应急医疗救援24小时应急值班</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365天</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365天</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abs>
                <w:tab w:val="left" w:pos="276"/>
              </w:tabs>
              <w:spacing w:line="320" w:lineRule="exact"/>
              <w:jc w:val="left"/>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重点任务完成率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≥98%</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完成时间</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2021年12月31日前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2021年12月31日前</w:t>
            </w: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效益</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保障广元市核与辐射医疗救援组织工作</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逐步提高</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逐步提高</w:t>
            </w:r>
          </w:p>
        </w:tc>
      </w:tr>
      <w:tr>
        <w:tblPrEx>
          <w:tblCellMar>
            <w:top w:w="0" w:type="dxa"/>
            <w:left w:w="108" w:type="dxa"/>
            <w:bottom w:w="0" w:type="dxa"/>
            <w:right w:w="108" w:type="dxa"/>
          </w:tblCellMar>
        </w:tblPrEx>
        <w:trPr>
          <w:gridAfter w:val="1"/>
          <w:wAfter w:w="234" w:type="dxa"/>
          <w:trHeight w:val="577"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核应急医疗救援能力提高</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中长期</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中长期</w:t>
            </w:r>
          </w:p>
        </w:tc>
      </w:tr>
      <w:tr>
        <w:tblPrEx>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服务对象满意度</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≥99%</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≥99%</w:t>
            </w:r>
          </w:p>
        </w:tc>
      </w:tr>
      <w:tr>
        <w:tblPrEx>
          <w:tblCellMar>
            <w:top w:w="0" w:type="dxa"/>
            <w:left w:w="108" w:type="dxa"/>
            <w:bottom w:w="0" w:type="dxa"/>
            <w:right w:w="108" w:type="dxa"/>
          </w:tblCellMar>
        </w:tblPrEx>
        <w:trPr>
          <w:gridAfter w:val="1"/>
          <w:wAfter w:w="234" w:type="dxa"/>
          <w:trHeight w:val="530" w:hRule="atLeast"/>
        </w:trPr>
        <w:tc>
          <w:tcPr>
            <w:tcW w:w="1977" w:type="dxa"/>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项目主管部门满意度</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≥99%</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≥99%</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≥99%</w:t>
            </w:r>
          </w:p>
        </w:tc>
      </w:tr>
    </w:tbl>
    <w:p>
      <w:pPr>
        <w:spacing w:line="600" w:lineRule="exact"/>
        <w:jc w:val="center"/>
        <w:rPr>
          <w:rFonts w:ascii="黑体" w:hAnsi="黑体" w:eastAsia="黑体"/>
          <w:sz w:val="44"/>
          <w:szCs w:val="44"/>
        </w:rPr>
      </w:pPr>
    </w:p>
    <w:p>
      <w:pPr>
        <w:spacing w:line="600"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rPr>
        <w:t>2022年</w:t>
      </w:r>
      <w:r>
        <w:rPr>
          <w:rFonts w:hint="eastAsia" w:ascii="方正小标宋简体" w:hAnsi="方正小标宋简体" w:eastAsia="方正小标宋简体" w:cs="方正小标宋简体"/>
          <w:sz w:val="40"/>
          <w:szCs w:val="40"/>
          <w:lang w:val="zh-CN"/>
        </w:rPr>
        <w:t>专项预算项目支出绩效自评报告</w:t>
      </w:r>
    </w:p>
    <w:p>
      <w:pPr>
        <w:spacing w:line="600" w:lineRule="exact"/>
        <w:ind w:firstLine="883"/>
        <w:jc w:val="center"/>
        <w:rPr>
          <w:rFonts w:ascii="仿宋_GB2312" w:hAnsi="宋体" w:eastAsia="仿宋_GB2312"/>
          <w:sz w:val="32"/>
          <w:szCs w:val="32"/>
          <w:lang w:val="zh-CN"/>
        </w:rPr>
      </w:pPr>
      <w:r>
        <w:rPr>
          <w:rFonts w:hint="eastAsia" w:ascii="仿宋_GB2312" w:hAnsi="宋体" w:eastAsia="仿宋_GB2312"/>
          <w:sz w:val="32"/>
          <w:szCs w:val="32"/>
          <w:lang w:val="zh-CN"/>
        </w:rPr>
        <w:t>（</w:t>
      </w:r>
      <w:r>
        <w:rPr>
          <w:rFonts w:hint="eastAsia"/>
        </w:rPr>
        <w:t>免疫规划管理经费</w:t>
      </w:r>
      <w:r>
        <w:rPr>
          <w:rFonts w:hint="eastAsia" w:ascii="仿宋_GB2312" w:hAnsi="宋体" w:eastAsia="仿宋_GB2312"/>
          <w:sz w:val="32"/>
          <w:szCs w:val="32"/>
          <w:lang w:val="zh-CN"/>
        </w:rPr>
        <w:t>）</w:t>
      </w:r>
    </w:p>
    <w:p>
      <w:pPr>
        <w:spacing w:line="600" w:lineRule="exact"/>
        <w:ind w:firstLine="640"/>
        <w:jc w:val="center"/>
        <w:rPr>
          <w:rFonts w:ascii="宋体" w:hAnsi="宋体"/>
          <w:sz w:val="32"/>
          <w:szCs w:val="32"/>
          <w:lang w:val="zh-CN"/>
        </w:rPr>
      </w:pPr>
    </w:p>
    <w:p>
      <w:pPr>
        <w:adjustRightInd w:val="0"/>
        <w:snapToGrid w:val="0"/>
        <w:spacing w:line="600" w:lineRule="exact"/>
        <w:ind w:firstLine="720"/>
        <w:outlineLvl w:val="1"/>
        <w:rPr>
          <w:rFonts w:ascii="黑体" w:hAnsi="宋体" w:eastAsia="黑体"/>
          <w:sz w:val="32"/>
          <w:szCs w:val="32"/>
          <w:lang w:val="zh-CN"/>
        </w:rPr>
      </w:pPr>
      <w:bookmarkStart w:id="94" w:name="_Toc14227"/>
      <w:r>
        <w:rPr>
          <w:rFonts w:hint="eastAsia" w:ascii="黑体" w:hAnsi="宋体" w:eastAsia="黑体"/>
          <w:sz w:val="32"/>
          <w:szCs w:val="32"/>
        </w:rPr>
        <w:t>一、</w:t>
      </w:r>
      <w:r>
        <w:rPr>
          <w:rFonts w:hint="eastAsia" w:ascii="黑体" w:hAnsi="宋体" w:eastAsia="黑体"/>
          <w:sz w:val="32"/>
          <w:szCs w:val="32"/>
          <w:lang w:val="zh-CN"/>
        </w:rPr>
        <w:t>项目概况</w:t>
      </w:r>
      <w:bookmarkEnd w:id="94"/>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基本职能。根据《关于疾病预防控制体系建设的若干规定》，疾病预防控制机构的职能之一是：疾病预防与控制、突发公共卫生事件应急处置、疫情报告及健康相关因素信息管理、健康危害因素监测与干预、实验室检测分析与评价、健康教育与健康促进、技术管理与应用研究指导。</w:t>
      </w:r>
    </w:p>
    <w:p>
      <w:pPr>
        <w:numPr>
          <w:ilvl w:val="0"/>
          <w:numId w:val="5"/>
        </w:num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lang w:val="zh-CN"/>
        </w:rPr>
        <w:t>项目立项、资金申报的依据。《中华人民共和国疫苗管理法》。</w:t>
      </w:r>
      <w:r>
        <w:rPr>
          <w:rFonts w:hint="eastAsia" w:ascii="仿宋_GB2312" w:hAnsi="宋体" w:eastAsia="仿宋_GB2312"/>
          <w:sz w:val="32"/>
          <w:szCs w:val="32"/>
        </w:rPr>
        <w:t>免疫规划管理经费</w:t>
      </w:r>
      <w:r>
        <w:rPr>
          <w:rFonts w:ascii="仿宋_GB2312" w:hAnsi="宋体" w:eastAsia="仿宋_GB2312"/>
          <w:sz w:val="32"/>
          <w:szCs w:val="32"/>
          <w:lang w:val="zh-CN"/>
        </w:rPr>
        <w:t>为全</w:t>
      </w:r>
      <w:r>
        <w:rPr>
          <w:rFonts w:hint="eastAsia" w:ascii="仿宋_GB2312" w:hAnsi="宋体" w:eastAsia="仿宋_GB2312"/>
          <w:sz w:val="32"/>
          <w:szCs w:val="32"/>
          <w:lang w:val="zh-CN"/>
        </w:rPr>
        <w:t>市</w:t>
      </w:r>
      <w:r>
        <w:rPr>
          <w:rFonts w:hint="eastAsia" w:ascii="仿宋_GB2312" w:hAnsi="宋体" w:eastAsia="仿宋_GB2312"/>
          <w:sz w:val="32"/>
          <w:szCs w:val="32"/>
        </w:rPr>
        <w:t>国家免疫规划疫苗基础免疫接种工作、AFP（脊髓灰质炎）、麻疹监测工作</w:t>
      </w:r>
      <w:r>
        <w:rPr>
          <w:rFonts w:ascii="仿宋_GB2312" w:hAnsi="宋体" w:eastAsia="仿宋_GB2312"/>
          <w:sz w:val="32"/>
          <w:szCs w:val="32"/>
          <w:lang w:val="zh-CN"/>
        </w:rPr>
        <w:t>顺利完成提供了保障</w:t>
      </w:r>
      <w:r>
        <w:rPr>
          <w:rFonts w:hint="eastAsia" w:ascii="仿宋_GB2312" w:hAnsi="宋体" w:eastAsia="仿宋_GB2312"/>
          <w:sz w:val="32"/>
          <w:szCs w:val="32"/>
          <w:lang w:val="zh-CN"/>
        </w:rPr>
        <w:t>。</w:t>
      </w:r>
    </w:p>
    <w:p>
      <w:pPr>
        <w:numPr>
          <w:ilvl w:val="0"/>
          <w:numId w:val="6"/>
        </w:num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资金管理办法制定情况，资金支持具体项目的条件、范围与支持方式概况。</w:t>
      </w:r>
    </w:p>
    <w:p>
      <w:pPr>
        <w:pStyle w:val="6"/>
        <w:spacing w:before="93"/>
        <w:ind w:firstLine="600" w:firstLineChars="200"/>
        <w:rPr>
          <w:lang w:val="zh-CN"/>
        </w:rPr>
      </w:pPr>
      <w:r>
        <w:rPr>
          <w:rFonts w:hint="eastAsia"/>
          <w:lang w:val="zh-CN"/>
        </w:rPr>
        <w:t>以省、市相关文件，结合上级文件制订了我中心的专项资金管理规定。</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4．资金分配的原则及考虑因素。</w:t>
      </w:r>
    </w:p>
    <w:p>
      <w:pPr>
        <w:pStyle w:val="6"/>
        <w:spacing w:before="93"/>
        <w:ind w:firstLine="600" w:firstLineChars="200"/>
        <w:rPr>
          <w:lang w:val="zh-CN"/>
        </w:rPr>
      </w:pPr>
      <w:r>
        <w:rPr>
          <w:rFonts w:hint="eastAsia"/>
          <w:lang w:val="zh-CN"/>
        </w:rPr>
        <w:t>量入为出，结合实际，根据各项费用产生的频率及数额大小在各项经济科目中进行分配。</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1．项目主要内容。为确保国家免疫规划疫苗基础免疫接种率均达98%以上，国家免疫规划疫苗加强免疫接种率均达99%以上，保持无脊灰状态提供</w:t>
      </w:r>
      <w:r>
        <w:rPr>
          <w:rFonts w:hint="eastAsia" w:ascii="仿宋_GB2312" w:hAnsi="宋体" w:eastAsia="仿宋_GB2312"/>
          <w:sz w:val="32"/>
          <w:szCs w:val="32"/>
        </w:rPr>
        <w:t>经费</w:t>
      </w:r>
      <w:r>
        <w:rPr>
          <w:rFonts w:hint="eastAsia" w:ascii="仿宋_GB2312" w:hAnsi="宋体" w:eastAsia="仿宋_GB2312"/>
          <w:sz w:val="32"/>
          <w:szCs w:val="32"/>
          <w:lang w:val="zh-CN"/>
        </w:rPr>
        <w:t>保障。</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2．项目应实现的具体绩效目标。 国家免疫规划疫苗接种率达到95%以上。</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w:t>
      </w:r>
      <w:r>
        <w:rPr>
          <w:rFonts w:hint="eastAsia" w:ascii="仿宋_GB2312" w:hAnsi="宋体" w:eastAsia="仿宋_GB2312"/>
          <w:sz w:val="32"/>
          <w:szCs w:val="32"/>
        </w:rPr>
        <w:t>免疫规划管理经费</w:t>
      </w:r>
      <w:r>
        <w:rPr>
          <w:rFonts w:hint="eastAsia" w:ascii="仿宋_GB2312" w:hAnsi="宋体" w:eastAsia="仿宋_GB2312"/>
          <w:sz w:val="32"/>
          <w:szCs w:val="32"/>
          <w:lang w:val="zh-CN"/>
        </w:rPr>
        <w:t>申报内容与具体实施内容相符、申报目标合理可行。</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1、前期准备</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确定评价工作对象、收集项目基础资料、制定评价工作方案。评价工作方案主要包括：评价目的、评价人员、评价依据（标准）、评价指标和评价方法等。</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2、组织实施</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根据市财政下达的评价通知书，以问卷调查、现场查看、专家评议等多种形式实施绩效评价，形成绩效评价结论，提交绩效评价报告。</w:t>
      </w:r>
    </w:p>
    <w:p>
      <w:pPr>
        <w:adjustRightInd w:val="0"/>
        <w:snapToGrid w:val="0"/>
        <w:spacing w:line="600" w:lineRule="exact"/>
        <w:ind w:firstLine="720"/>
        <w:outlineLvl w:val="1"/>
        <w:rPr>
          <w:rFonts w:ascii="黑体" w:hAnsi="宋体" w:eastAsia="黑体"/>
          <w:sz w:val="32"/>
          <w:szCs w:val="32"/>
        </w:rPr>
      </w:pPr>
      <w:bookmarkStart w:id="95" w:name="_Toc30847"/>
      <w:r>
        <w:rPr>
          <w:rFonts w:hint="eastAsia" w:ascii="黑体" w:hAnsi="宋体" w:eastAsia="黑体"/>
          <w:sz w:val="32"/>
          <w:szCs w:val="32"/>
        </w:rPr>
        <w:t>二、项目资金申报及使用情况</w:t>
      </w:r>
      <w:bookmarkEnd w:id="95"/>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《广元市财政局关于批复</w:t>
      </w:r>
      <w:r>
        <w:rPr>
          <w:rFonts w:hint="eastAsia" w:ascii="仿宋_GB2312" w:hAnsi="宋体" w:eastAsia="仿宋_GB2312"/>
          <w:sz w:val="32"/>
          <w:szCs w:val="32"/>
        </w:rPr>
        <w:t>2021</w:t>
      </w:r>
      <w:r>
        <w:rPr>
          <w:rFonts w:hint="eastAsia" w:ascii="仿宋_GB2312" w:hAnsi="宋体" w:eastAsia="仿宋_GB2312"/>
          <w:sz w:val="32"/>
          <w:szCs w:val="32"/>
          <w:lang w:val="zh-CN"/>
        </w:rPr>
        <w:t>年市级部门预算的通知》（广财预〔20</w:t>
      </w:r>
      <w:r>
        <w:rPr>
          <w:rFonts w:hint="eastAsia" w:ascii="仿宋_GB2312" w:hAnsi="宋体" w:eastAsia="仿宋_GB2312"/>
          <w:sz w:val="32"/>
          <w:szCs w:val="32"/>
        </w:rPr>
        <w:t>21</w:t>
      </w:r>
      <w:r>
        <w:rPr>
          <w:rFonts w:hint="eastAsia" w:ascii="仿宋_GB2312" w:hAnsi="宋体" w:eastAsia="仿宋_GB2312"/>
          <w:sz w:val="32"/>
          <w:szCs w:val="32"/>
          <w:lang w:val="zh-CN"/>
        </w:rPr>
        <w:t>〕</w:t>
      </w:r>
      <w:r>
        <w:rPr>
          <w:rFonts w:hint="eastAsia" w:ascii="仿宋_GB2312" w:hAnsi="宋体" w:eastAsia="仿宋_GB2312"/>
          <w:sz w:val="32"/>
          <w:szCs w:val="32"/>
        </w:rPr>
        <w:t>1</w:t>
      </w:r>
      <w:r>
        <w:rPr>
          <w:rFonts w:hint="eastAsia" w:ascii="仿宋_GB2312" w:hAnsi="宋体" w:eastAsia="仿宋_GB2312"/>
          <w:sz w:val="32"/>
          <w:szCs w:val="32"/>
          <w:lang w:val="zh-CN"/>
        </w:rPr>
        <w:t>号），下达我单位</w:t>
      </w:r>
      <w:r>
        <w:rPr>
          <w:rFonts w:hint="eastAsia" w:ascii="仿宋_GB2312" w:hAnsi="宋体" w:eastAsia="仿宋_GB2312"/>
          <w:sz w:val="32"/>
          <w:szCs w:val="32"/>
        </w:rPr>
        <w:t>免疫规划管理经费10</w:t>
      </w:r>
      <w:r>
        <w:rPr>
          <w:rFonts w:hint="eastAsia" w:ascii="仿宋_GB2312" w:hAnsi="宋体" w:eastAsia="仿宋_GB2312"/>
          <w:sz w:val="32"/>
          <w:szCs w:val="32"/>
          <w:lang w:val="zh-CN"/>
        </w:rPr>
        <w:t>万元。</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1．资金计划。</w:t>
      </w:r>
      <w:r>
        <w:rPr>
          <w:rFonts w:hint="eastAsia" w:ascii="仿宋_GB2312" w:hAnsi="宋体" w:eastAsia="仿宋_GB2312"/>
          <w:sz w:val="32"/>
          <w:szCs w:val="32"/>
          <w:lang w:val="zh-CN"/>
        </w:rPr>
        <w:t>该笔专项经费经20</w:t>
      </w:r>
      <w:r>
        <w:rPr>
          <w:rFonts w:hint="eastAsia" w:ascii="仿宋_GB2312" w:hAnsi="宋体" w:eastAsia="仿宋_GB2312"/>
          <w:sz w:val="32"/>
          <w:szCs w:val="32"/>
        </w:rPr>
        <w:t>21</w:t>
      </w:r>
      <w:r>
        <w:rPr>
          <w:rFonts w:hint="eastAsia" w:ascii="仿宋_GB2312" w:hAnsi="宋体" w:eastAsia="仿宋_GB2312"/>
          <w:sz w:val="32"/>
          <w:szCs w:val="32"/>
          <w:lang w:val="zh-CN"/>
        </w:rPr>
        <w:t>年初下达我单位后，按序时进度每月申报使用。</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2．资金到位。</w:t>
      </w:r>
      <w:r>
        <w:rPr>
          <w:rFonts w:hint="eastAsia" w:ascii="仿宋_GB2312" w:hAnsi="宋体" w:eastAsia="仿宋_GB2312"/>
          <w:sz w:val="32"/>
          <w:szCs w:val="32"/>
          <w:lang w:val="zh-CN"/>
        </w:rPr>
        <w:t>资金到位率100%。</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3．资金使用。</w:t>
      </w:r>
      <w:r>
        <w:rPr>
          <w:rFonts w:hint="eastAsia" w:ascii="仿宋_GB2312" w:hAnsi="宋体" w:eastAsia="仿宋_GB2312" w:cs="仿宋_GB2312"/>
          <w:color w:val="333333"/>
          <w:sz w:val="32"/>
          <w:szCs w:val="32"/>
        </w:rPr>
        <w:t>免疫规划管理经费</w:t>
      </w:r>
      <w:r>
        <w:rPr>
          <w:rFonts w:hint="eastAsia" w:ascii="仿宋_GB2312" w:hAnsi="宋体" w:eastAsia="仿宋_GB2312"/>
          <w:sz w:val="32"/>
          <w:szCs w:val="32"/>
        </w:rPr>
        <w:t>10</w:t>
      </w:r>
      <w:r>
        <w:rPr>
          <w:rFonts w:hint="eastAsia" w:ascii="仿宋_GB2312" w:hAnsi="宋体" w:eastAsia="仿宋_GB2312"/>
          <w:sz w:val="32"/>
          <w:szCs w:val="32"/>
          <w:lang w:val="zh-CN"/>
        </w:rPr>
        <w:t>万元</w:t>
      </w:r>
      <w:r>
        <w:rPr>
          <w:rFonts w:ascii="仿宋_GB2312" w:hAnsi="宋体" w:eastAsia="仿宋_GB2312" w:cs="仿宋_GB2312"/>
          <w:color w:val="333333"/>
          <w:sz w:val="32"/>
          <w:szCs w:val="32"/>
        </w:rPr>
        <w:t>，已全额使用，主要用于以下几个方面</w:t>
      </w:r>
      <w:r>
        <w:rPr>
          <w:rFonts w:hint="eastAsia" w:ascii="仿宋_GB2312" w:hAnsi="宋体" w:eastAsia="仿宋_GB2312" w:cs="仿宋_GB2312"/>
          <w:color w:val="333333"/>
          <w:sz w:val="32"/>
          <w:szCs w:val="32"/>
        </w:rPr>
        <w:t>：公务用车运行费用3.37万元，培训费1.85万元，劳务费用2.99万元，其他费用1.79 万元</w:t>
      </w:r>
      <w:r>
        <w:rPr>
          <w:rFonts w:ascii="仿宋_GB2312" w:hAnsi="宋体" w:eastAsia="仿宋_GB2312" w:cs="仿宋_GB2312"/>
          <w:color w:val="333333"/>
          <w:sz w:val="32"/>
          <w:szCs w:val="32"/>
        </w:rPr>
        <w:t>。资金支付依据合规合法，与预算相符。</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cs="仿宋_GB2312"/>
          <w:color w:val="333333"/>
          <w:sz w:val="32"/>
          <w:szCs w:val="32"/>
        </w:rPr>
        <w:t>免疫规划管理经费</w:t>
      </w:r>
      <w:r>
        <w:rPr>
          <w:rFonts w:hint="eastAsia" w:ascii="仿宋_GB2312" w:hAnsi="宋体" w:eastAsia="仿宋_GB2312"/>
          <w:sz w:val="32"/>
          <w:szCs w:val="32"/>
          <w:lang w:val="zh-CN"/>
        </w:rPr>
        <w:t>严格执行财经相关管理制度，财务处理及时，会计核算规范。其中差旅费严格按照《广元市市级机关差旅费管理办法》执行。</w:t>
      </w:r>
    </w:p>
    <w:p>
      <w:pPr>
        <w:adjustRightInd w:val="0"/>
        <w:snapToGrid w:val="0"/>
        <w:spacing w:line="600" w:lineRule="exact"/>
        <w:ind w:firstLine="720"/>
        <w:outlineLvl w:val="1"/>
        <w:rPr>
          <w:rFonts w:ascii="黑体" w:hAnsi="宋体" w:eastAsia="黑体"/>
          <w:sz w:val="32"/>
          <w:szCs w:val="32"/>
        </w:rPr>
      </w:pPr>
      <w:bookmarkStart w:id="96" w:name="_Toc14897"/>
      <w:r>
        <w:rPr>
          <w:rFonts w:hint="eastAsia" w:ascii="黑体" w:hAnsi="宋体" w:eastAsia="黑体"/>
          <w:sz w:val="32"/>
          <w:szCs w:val="32"/>
        </w:rPr>
        <w:t>三、项目实施及管理情况</w:t>
      </w:r>
      <w:bookmarkEnd w:id="96"/>
    </w:p>
    <w:p>
      <w:pPr>
        <w:numPr>
          <w:ilvl w:val="0"/>
          <w:numId w:val="9"/>
        </w:num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项目组织架构及实施流程。</w:t>
      </w:r>
      <w:r>
        <w:rPr>
          <w:rFonts w:hint="eastAsia" w:ascii="仿宋_GB2312" w:hAnsi="宋体" w:eastAsia="仿宋_GB2312"/>
          <w:sz w:val="32"/>
          <w:szCs w:val="32"/>
        </w:rPr>
        <w:t>该</w:t>
      </w:r>
      <w:r>
        <w:rPr>
          <w:rFonts w:hint="eastAsia" w:ascii="仿宋_GB2312" w:hAnsi="宋体" w:eastAsia="仿宋_GB2312"/>
          <w:sz w:val="32"/>
          <w:szCs w:val="32"/>
          <w:lang w:val="zh-CN"/>
        </w:rPr>
        <w:t>专项资金实行统一预算、分类管理，</w:t>
      </w:r>
      <w:r>
        <w:rPr>
          <w:rFonts w:hint="eastAsia" w:ascii="仿宋_GB2312" w:hAnsi="宋体" w:eastAsia="仿宋_GB2312"/>
          <w:sz w:val="32"/>
          <w:szCs w:val="32"/>
        </w:rPr>
        <w:t>科所</w:t>
      </w:r>
      <w:r>
        <w:rPr>
          <w:rFonts w:hint="eastAsia" w:ascii="仿宋_GB2312" w:hAnsi="宋体" w:eastAsia="仿宋_GB2312"/>
          <w:sz w:val="32"/>
          <w:szCs w:val="32"/>
          <w:lang w:val="zh-CN"/>
        </w:rPr>
        <w:t>具体负责组织管理工作。</w:t>
      </w:r>
    </w:p>
    <w:p>
      <w:pPr>
        <w:adjustRightInd w:val="0"/>
        <w:snapToGrid w:val="0"/>
        <w:spacing w:line="600" w:lineRule="exact"/>
        <w:ind w:firstLine="643" w:firstLineChars="200"/>
        <w:rPr>
          <w:rFonts w:ascii="仿宋_GB2312" w:hAnsi="宋体" w:eastAsia="仿宋_GB2312"/>
          <w:sz w:val="32"/>
          <w:szCs w:val="32"/>
          <w:lang w:val="zh-CN"/>
        </w:rPr>
      </w:pPr>
      <w:r>
        <w:rPr>
          <w:rFonts w:hint="eastAsia" w:ascii="楷体_GB2312" w:hAnsi="宋体" w:eastAsia="楷体_GB2312"/>
          <w:b/>
          <w:sz w:val="32"/>
          <w:szCs w:val="32"/>
          <w:lang w:val="zh-CN"/>
        </w:rPr>
        <w:t>（二）项目管理情况。</w:t>
      </w:r>
      <w:r>
        <w:rPr>
          <w:rFonts w:hint="eastAsia" w:ascii="仿宋_GB2312" w:hAnsi="宋体" w:eastAsia="仿宋_GB2312"/>
          <w:sz w:val="32"/>
          <w:szCs w:val="32"/>
          <w:lang w:val="zh-CN"/>
        </w:rPr>
        <w:t>该项目按时间进度完成各项任务，按实际发生的金额支付。</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（三）项目监管情况。</w:t>
      </w:r>
      <w:r>
        <w:rPr>
          <w:rFonts w:hint="eastAsia" w:ascii="仿宋_GB2312" w:hAnsi="宋体" w:eastAsia="仿宋_GB2312"/>
          <w:sz w:val="32"/>
          <w:szCs w:val="32"/>
          <w:lang w:val="zh-CN"/>
        </w:rPr>
        <w:t>主管部门年中开展了项目支出绩效监控评价。</w:t>
      </w:r>
    </w:p>
    <w:p>
      <w:pPr>
        <w:adjustRightInd w:val="0"/>
        <w:snapToGrid w:val="0"/>
        <w:spacing w:line="600" w:lineRule="exact"/>
        <w:ind w:firstLine="720"/>
        <w:outlineLvl w:val="1"/>
        <w:rPr>
          <w:rFonts w:ascii="仿宋_GB2312" w:hAnsi="宋体" w:eastAsia="仿宋_GB2312"/>
          <w:sz w:val="32"/>
          <w:szCs w:val="32"/>
          <w:lang w:val="zh-CN"/>
        </w:rPr>
      </w:pPr>
      <w:bookmarkStart w:id="97" w:name="_Toc2224"/>
      <w:r>
        <w:rPr>
          <w:rFonts w:hint="eastAsia" w:ascii="黑体" w:hAnsi="宋体" w:eastAsia="黑体"/>
          <w:sz w:val="32"/>
          <w:szCs w:val="32"/>
        </w:rPr>
        <w:t>四、项目绩效情况</w:t>
      </w:r>
      <w:bookmarkEnd w:id="97"/>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ascii="仿宋_GB2312" w:eastAsia="仿宋_GB2312"/>
          <w:sz w:val="32"/>
          <w:szCs w:val="32"/>
        </w:rPr>
      </w:pPr>
      <w:r>
        <w:rPr>
          <w:rFonts w:hint="eastAsia" w:ascii="仿宋_GB2312" w:eastAsia="仿宋_GB2312"/>
          <w:sz w:val="32"/>
          <w:szCs w:val="32"/>
        </w:rPr>
        <w:t>国家免疫规划疫苗基础免疫接种率均达98%以上，国家免疫规划疫苗加强免疫接种率均达99%以上。AFP（脊髓灰质炎）、麻疹监测持续加强，继续保持无脊灰状态，共报告AFP病例14例（报告发病率为3.61/10万）、麻疹/风疹监测病例64例。成功组织开展“4.25”“7.28”宣传活动。稳步推进新冠病毒疫苗接种工作，深入各乡镇、村社开展广泛发动、宣传动员、驻守指导，确保全市疫苗接种工作高效运转、有序推进。全市累计供应下发新冠病毒疫苗370万剂、库存14万剂，使用率95.96%。3-11岁人群新冠病毒疫苗第一剂累计接种17万剂次、第一剂次任务完成率84.5%，18岁及以上人群新冠肺炎病毒疫苗加强免疫累计接种6万剂次，重点人群加强免疫任务完成率达89.77%。</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项目的社会效益良好，服务对象满意度高</w:t>
      </w:r>
    </w:p>
    <w:p>
      <w:pPr>
        <w:adjustRightInd w:val="0"/>
        <w:snapToGrid w:val="0"/>
        <w:spacing w:line="600" w:lineRule="exact"/>
        <w:ind w:firstLine="720"/>
        <w:outlineLvl w:val="1"/>
        <w:rPr>
          <w:rFonts w:ascii="黑体" w:hAnsi="宋体" w:eastAsia="黑体"/>
          <w:sz w:val="32"/>
          <w:szCs w:val="32"/>
        </w:rPr>
      </w:pPr>
      <w:bookmarkStart w:id="98" w:name="_Toc16288"/>
      <w:r>
        <w:rPr>
          <w:rFonts w:hint="eastAsia" w:ascii="黑体" w:hAnsi="宋体" w:eastAsia="黑体"/>
          <w:sz w:val="32"/>
          <w:szCs w:val="32"/>
        </w:rPr>
        <w:t>五、评价结论及建议</w:t>
      </w:r>
      <w:bookmarkEnd w:id="98"/>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通过对</w:t>
      </w:r>
      <w:r>
        <w:rPr>
          <w:rFonts w:hint="eastAsia" w:ascii="仿宋_GB2312" w:hAnsi="宋体" w:eastAsia="仿宋_GB2312"/>
          <w:sz w:val="32"/>
          <w:szCs w:val="32"/>
        </w:rPr>
        <w:t>2021</w:t>
      </w:r>
      <w:r>
        <w:rPr>
          <w:rFonts w:hint="eastAsia" w:ascii="仿宋_GB2312" w:hAnsi="宋体" w:eastAsia="仿宋_GB2312"/>
          <w:sz w:val="32"/>
          <w:szCs w:val="32"/>
          <w:lang w:val="zh-CN"/>
        </w:rPr>
        <w:t>年度免疫规划管理经费的使用，实施绩效进行了指标评价，该专项经费为全</w:t>
      </w:r>
      <w:r>
        <w:rPr>
          <w:rFonts w:hint="eastAsia" w:ascii="仿宋_GB2312" w:hAnsi="宋体" w:eastAsia="仿宋_GB2312"/>
          <w:sz w:val="32"/>
          <w:szCs w:val="32"/>
        </w:rPr>
        <w:t>市</w:t>
      </w:r>
      <w:r>
        <w:rPr>
          <w:rFonts w:hint="eastAsia" w:ascii="仿宋_GB2312" w:hAnsi="宋体" w:eastAsia="仿宋_GB2312"/>
          <w:sz w:val="32"/>
          <w:szCs w:val="32"/>
          <w:lang w:val="zh-CN"/>
        </w:rPr>
        <w:t>免疫规划管理持续加强</w:t>
      </w:r>
      <w:r>
        <w:rPr>
          <w:rFonts w:hint="eastAsia" w:ascii="仿宋_GB2312" w:hAnsi="宋体" w:eastAsia="仿宋_GB2312"/>
          <w:sz w:val="32"/>
          <w:szCs w:val="32"/>
        </w:rPr>
        <w:t>工作</w:t>
      </w:r>
      <w:r>
        <w:rPr>
          <w:rFonts w:hint="eastAsia" w:ascii="仿宋_GB2312" w:hAnsi="宋体" w:eastAsia="仿宋_GB2312"/>
          <w:sz w:val="32"/>
          <w:szCs w:val="32"/>
          <w:lang w:val="zh-CN"/>
        </w:rPr>
        <w:t>提供有效资金保障，受益群众满意度达100%，评论结论为“好”。</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绩效考评办法不够完善，不够具体，可操作性不强，需进一步加强。</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内控管理制度不够完善，不够系统，需进一步完善和加强。</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pStyle w:val="6"/>
        <w:spacing w:before="93"/>
        <w:ind w:firstLine="640" w:firstLineChars="200"/>
        <w:rPr>
          <w:lang w:val="zh-CN"/>
        </w:rPr>
      </w:pPr>
      <w:r>
        <w:rPr>
          <w:rFonts w:hint="eastAsia" w:hAnsi="宋体"/>
          <w:sz w:val="32"/>
          <w:szCs w:val="32"/>
          <w:lang w:val="zh-CN"/>
        </w:rPr>
        <w:t>做好项目实施的跟踪检查工作。定期不定期地对项目实施情况和经费使用情况进行跟踪检查，对能实现预期绩效目标的项目予以充分肯定，对进展缓慢，预期绩效目标较差的项目，及时进行协调和提出整改措施，确保项目实施工作正常运行，达到预期绩效目标。</w:t>
      </w:r>
    </w:p>
    <w:p>
      <w:pPr>
        <w:spacing w:line="572" w:lineRule="exact"/>
        <w:jc w:val="left"/>
        <w:rPr>
          <w:rFonts w:ascii="黑体" w:hAnsi="黑体" w:eastAsia="黑体" w:cs="黑体"/>
          <w:sz w:val="32"/>
          <w:szCs w:val="32"/>
        </w:rPr>
      </w:pPr>
    </w:p>
    <w:p>
      <w:pPr>
        <w:spacing w:line="572" w:lineRule="exact"/>
        <w:jc w:val="left"/>
        <w:outlineLvl w:val="1"/>
        <w:rPr>
          <w:rFonts w:ascii="仿宋_GB2312" w:hAnsi="仿宋_GB2312" w:eastAsia="黑体" w:cs="仿宋_GB2312"/>
          <w:sz w:val="32"/>
          <w:szCs w:val="32"/>
        </w:rPr>
      </w:pPr>
      <w:bookmarkStart w:id="99" w:name="_Toc23538"/>
      <w:r>
        <w:rPr>
          <w:rFonts w:hint="eastAsia" w:ascii="黑体" w:hAnsi="黑体" w:eastAsia="黑体" w:cs="黑体"/>
          <w:sz w:val="32"/>
          <w:szCs w:val="32"/>
        </w:rPr>
        <w:t>附表</w:t>
      </w:r>
      <w:bookmarkEnd w:id="99"/>
    </w:p>
    <w:tbl>
      <w:tblPr>
        <w:tblStyle w:val="13"/>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6"/>
        <w:gridCol w:w="1142"/>
        <w:gridCol w:w="1635"/>
        <w:gridCol w:w="1189"/>
        <w:gridCol w:w="1224"/>
        <w:gridCol w:w="2409"/>
        <w:gridCol w:w="236"/>
      </w:tblGrid>
      <w:tr>
        <w:tblPrEx>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widowControl/>
              <w:jc w:val="center"/>
              <w:textAlignment w:val="center"/>
              <w:rPr>
                <w:rFonts w:ascii="宋体" w:hAnsi="宋体" w:cs="宋体"/>
                <w:b/>
                <w:sz w:val="32"/>
                <w:szCs w:val="32"/>
              </w:rPr>
            </w:pPr>
            <w:r>
              <w:rPr>
                <w:rFonts w:hint="eastAsia" w:ascii="宋体" w:hAnsi="宋体" w:cs="宋体"/>
                <w:b/>
                <w:sz w:val="32"/>
                <w:szCs w:val="32"/>
              </w:rPr>
              <w:t>2021年部门预算项目绩效目标自评</w:t>
            </w:r>
          </w:p>
        </w:tc>
        <w:tc>
          <w:tcPr>
            <w:tcW w:w="234"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 w:val="32"/>
                <w:szCs w:val="32"/>
              </w:rPr>
            </w:pPr>
          </w:p>
        </w:tc>
      </w:tr>
      <w:tr>
        <w:tblPrEx>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广元市疾病预防控制中心</w:t>
            </w:r>
          </w:p>
        </w:tc>
      </w:tr>
      <w:tr>
        <w:tblPrEx>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项目预算</w:t>
            </w:r>
            <w:r>
              <w:rPr>
                <w:rFonts w:hint="eastAsia" w:ascii="宋体" w:hAnsi="宋体" w:cs="宋体"/>
                <w:kern w:val="0"/>
                <w:sz w:val="24"/>
              </w:rPr>
              <w:br w:type="textWrapping"/>
            </w:r>
            <w:r>
              <w:rPr>
                <w:rFonts w:hint="eastAsia" w:ascii="宋体" w:hAnsi="宋体" w:cs="宋体"/>
                <w:kern w:val="0"/>
                <w:sz w:val="24"/>
              </w:rPr>
              <w:t>执行情况</w:t>
            </w:r>
            <w:r>
              <w:rPr>
                <w:rFonts w:hint="eastAsia" w:ascii="宋体" w:hAnsi="宋体" w:cs="宋体"/>
                <w:kern w:val="0"/>
                <w:sz w:val="24"/>
              </w:rPr>
              <w:br w:type="textWrapping"/>
            </w:r>
            <w:r>
              <w:rPr>
                <w:rFonts w:hint="eastAsia" w:ascii="宋体" w:hAnsi="宋体" w:cs="宋体"/>
                <w:kern w:val="0"/>
                <w:sz w:val="24"/>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10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10</w:t>
            </w:r>
          </w:p>
        </w:tc>
      </w:tr>
      <w:tr>
        <w:tblPrEx>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10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10</w:t>
            </w:r>
          </w:p>
        </w:tc>
      </w:tr>
      <w:tr>
        <w:tblPrEx>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p>
        </w:tc>
      </w:tr>
      <w:tr>
        <w:tblPrEx>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年度总体目标</w:t>
            </w:r>
          </w:p>
          <w:p>
            <w:pPr>
              <w:widowControl/>
              <w:spacing w:line="320" w:lineRule="exact"/>
              <w:jc w:val="center"/>
              <w:textAlignment w:val="center"/>
              <w:rPr>
                <w:rFonts w:ascii="宋体" w:hAnsi="宋体" w:cs="宋体"/>
                <w:sz w:val="24"/>
              </w:rPr>
            </w:pPr>
            <w:r>
              <w:rPr>
                <w:rFonts w:hint="eastAsia" w:ascii="宋体" w:hAnsi="宋体" w:cs="宋体"/>
                <w:kern w:val="0"/>
                <w:sz w:val="24"/>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目标实际完成情况</w:t>
            </w:r>
          </w:p>
        </w:tc>
      </w:tr>
      <w:tr>
        <w:tblPrEx>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24"/>
              </w:rPr>
              <w:t xml:space="preserve"> 国家免疫规划疫苗接种率达到95%以上</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rPr>
              <w:t>广元市2021年1-12月国家免疫规划疫苗基础免疫与加强免疫报告接种率均在99.77%以上。</w:t>
            </w:r>
          </w:p>
        </w:tc>
      </w:tr>
      <w:tr>
        <w:tblPrEx>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abs>
                <w:tab w:val="left" w:pos="276"/>
              </w:tabs>
              <w:spacing w:line="320" w:lineRule="exact"/>
              <w:jc w:val="left"/>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疫苗抽样调查接种率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省级抽样一个县，免疫规划疫苗接种率90%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苍溪县免疫规划疫苗接种率90.95以上</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abs>
                <w:tab w:val="left" w:pos="276"/>
              </w:tabs>
              <w:spacing w:line="320" w:lineRule="exact"/>
              <w:jc w:val="left"/>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接种率监测</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接种率监测报告覆盖率100%；报告接种率≥99%</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接种率监测报告覆盖率100%；报告接种率99.78%</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abs>
                <w:tab w:val="left" w:pos="276"/>
              </w:tabs>
              <w:spacing w:line="320" w:lineRule="exact"/>
              <w:jc w:val="left"/>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适龄儿童建证建卡</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建证率≥95%；建卡率≥98%</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建卡率100%、建证率100%。</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abs>
                <w:tab w:val="left" w:pos="276"/>
              </w:tabs>
              <w:spacing w:line="320" w:lineRule="exact"/>
              <w:jc w:val="left"/>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入托入学儿童接种证查验率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查验率≥95%，补证率≥98%，补种率≥90%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查验率96%，补证率100%，补种率95%。</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abs>
                <w:tab w:val="left" w:pos="276"/>
              </w:tabs>
              <w:spacing w:line="320" w:lineRule="exact"/>
              <w:jc w:val="left"/>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AEFI</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规范处置率≥100%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abs>
                <w:tab w:val="left" w:pos="276"/>
              </w:tabs>
              <w:spacing w:line="320" w:lineRule="exact"/>
              <w:jc w:val="left"/>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培训次数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≥2次</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培训班5次，培训1000余人次</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abs>
                <w:tab w:val="left" w:pos="276"/>
              </w:tabs>
              <w:spacing w:line="320" w:lineRule="exact"/>
              <w:jc w:val="left"/>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疫苗、注射器管理</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失效疫苗数量＜计划数量的5%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无失效疫苗、注射器</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abs>
                <w:tab w:val="left" w:pos="276"/>
              </w:tabs>
              <w:spacing w:line="320" w:lineRule="exact"/>
              <w:jc w:val="left"/>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冷链设备管理</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冷链设备完好，冷库有温度监测及报警装置</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冷链设备、温度监测正常运行</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abs>
                <w:tab w:val="left" w:pos="276"/>
              </w:tabs>
              <w:spacing w:line="320" w:lineRule="exact"/>
              <w:jc w:val="left"/>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规范化接种单位建设</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辖区内规范化接种门诊数量较上年度增加5%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增加7.86%</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abs>
                <w:tab w:val="left" w:pos="276"/>
              </w:tabs>
              <w:spacing w:line="320" w:lineRule="exact"/>
              <w:jc w:val="left"/>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疫苗可预防疾病监测</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麻疹、AFP监测各项指标达到国家考核标准</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麻疹监测各项指标100%，AFP监测各项指标93.33%以上</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abs>
                <w:tab w:val="left" w:pos="276"/>
              </w:tabs>
              <w:spacing w:line="320" w:lineRule="exact"/>
              <w:jc w:val="left"/>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督导检查</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≥6次</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6次，新冠期间全市接种门诊开展情况、新冠接种专项督导3次、预防接种工作、接种率调查。</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完成时间</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2021年12月31日前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2021年12月31日前</w:t>
            </w: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效益</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全市疫苗针对传染病总体发病持续保持在较低水平</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麻疹、流行性腮腺炎等国家免疫规划疫苗针对传染病发病率在较低水平</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广元市2021年疫苗针对性传染病共报告发病2663例，较去年发病数（2725例）下降2.26%</w:t>
            </w:r>
          </w:p>
        </w:tc>
      </w:tr>
      <w:tr>
        <w:tblPrEx>
          <w:tblCellMar>
            <w:top w:w="0" w:type="dxa"/>
            <w:left w:w="108" w:type="dxa"/>
            <w:bottom w:w="0" w:type="dxa"/>
            <w:right w:w="108" w:type="dxa"/>
          </w:tblCellMar>
        </w:tblPrEx>
        <w:trPr>
          <w:gridAfter w:val="1"/>
          <w:wAfter w:w="234" w:type="dxa"/>
          <w:trHeight w:val="577"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全市公共卫生数据分析有效应用</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及时科学为政府决策提供决策支撑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为政府决策提供决策支撑</w:t>
            </w:r>
          </w:p>
        </w:tc>
      </w:tr>
      <w:tr>
        <w:tblPrEx>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服务对象满意度</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≥90%</w:t>
            </w:r>
          </w:p>
        </w:tc>
      </w:tr>
      <w:tr>
        <w:tblPrEx>
          <w:tblCellMar>
            <w:top w:w="0" w:type="dxa"/>
            <w:left w:w="108" w:type="dxa"/>
            <w:bottom w:w="0" w:type="dxa"/>
            <w:right w:w="108" w:type="dxa"/>
          </w:tblCellMar>
        </w:tblPrEx>
        <w:trPr>
          <w:gridAfter w:val="1"/>
          <w:wAfter w:w="234" w:type="dxa"/>
          <w:trHeight w:val="530" w:hRule="atLeast"/>
        </w:trPr>
        <w:tc>
          <w:tcPr>
            <w:tcW w:w="1977" w:type="dxa"/>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项目主管部门满意度</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≥90%</w:t>
            </w:r>
          </w:p>
        </w:tc>
      </w:tr>
    </w:tbl>
    <w:p>
      <w:pPr>
        <w:spacing w:line="600" w:lineRule="exact"/>
        <w:jc w:val="center"/>
        <w:rPr>
          <w:rFonts w:ascii="黑体" w:hAnsi="黑体" w:eastAsia="黑体"/>
          <w:sz w:val="44"/>
          <w:szCs w:val="44"/>
        </w:rPr>
      </w:pPr>
    </w:p>
    <w:p>
      <w:pPr>
        <w:spacing w:line="600" w:lineRule="exact"/>
        <w:jc w:val="center"/>
        <w:rPr>
          <w:rFonts w:ascii="方正小标宋简体" w:hAnsi="方正小标宋简体" w:eastAsia="方正小标宋简体" w:cs="方正小标宋简体"/>
          <w:sz w:val="40"/>
          <w:szCs w:val="40"/>
        </w:rPr>
      </w:pPr>
    </w:p>
    <w:p>
      <w:pPr>
        <w:spacing w:line="600" w:lineRule="exact"/>
        <w:jc w:val="center"/>
        <w:rPr>
          <w:rFonts w:ascii="方正小标宋简体" w:hAnsi="方正小标宋简体" w:eastAsia="方正小标宋简体" w:cs="方正小标宋简体"/>
          <w:sz w:val="40"/>
          <w:szCs w:val="40"/>
        </w:rPr>
      </w:pPr>
    </w:p>
    <w:p>
      <w:pPr>
        <w:spacing w:line="600" w:lineRule="exact"/>
        <w:jc w:val="center"/>
        <w:rPr>
          <w:rFonts w:ascii="方正小标宋简体" w:hAnsi="方正小标宋简体" w:eastAsia="方正小标宋简体" w:cs="方正小标宋简体"/>
          <w:sz w:val="40"/>
          <w:szCs w:val="40"/>
        </w:rPr>
      </w:pPr>
    </w:p>
    <w:p>
      <w:pPr>
        <w:spacing w:line="600" w:lineRule="exact"/>
        <w:jc w:val="center"/>
        <w:rPr>
          <w:rFonts w:ascii="方正小标宋简体" w:hAnsi="方正小标宋简体" w:eastAsia="方正小标宋简体" w:cs="方正小标宋简体"/>
          <w:sz w:val="40"/>
          <w:szCs w:val="40"/>
        </w:rPr>
      </w:pPr>
    </w:p>
    <w:p>
      <w:pPr>
        <w:spacing w:line="600" w:lineRule="exact"/>
        <w:jc w:val="center"/>
        <w:rPr>
          <w:rFonts w:ascii="方正小标宋简体" w:hAnsi="方正小标宋简体" w:eastAsia="方正小标宋简体" w:cs="方正小标宋简体"/>
          <w:sz w:val="40"/>
          <w:szCs w:val="40"/>
        </w:rPr>
      </w:pPr>
    </w:p>
    <w:p>
      <w:pPr>
        <w:spacing w:line="600" w:lineRule="exact"/>
        <w:jc w:val="center"/>
        <w:rPr>
          <w:rFonts w:ascii="方正小标宋简体" w:hAnsi="方正小标宋简体" w:eastAsia="方正小标宋简体" w:cs="方正小标宋简体"/>
          <w:sz w:val="40"/>
          <w:szCs w:val="40"/>
        </w:rPr>
      </w:pPr>
    </w:p>
    <w:p>
      <w:pPr>
        <w:spacing w:line="600" w:lineRule="exact"/>
        <w:jc w:val="center"/>
        <w:rPr>
          <w:rFonts w:ascii="方正小标宋简体" w:hAnsi="方正小标宋简体" w:eastAsia="方正小标宋简体" w:cs="方正小标宋简体"/>
          <w:sz w:val="40"/>
          <w:szCs w:val="40"/>
        </w:rPr>
      </w:pPr>
    </w:p>
    <w:p>
      <w:pPr>
        <w:spacing w:line="600" w:lineRule="exact"/>
        <w:jc w:val="center"/>
        <w:rPr>
          <w:rFonts w:ascii="方正小标宋简体" w:hAnsi="方正小标宋简体" w:eastAsia="方正小标宋简体" w:cs="方正小标宋简体"/>
          <w:sz w:val="40"/>
          <w:szCs w:val="40"/>
        </w:rPr>
      </w:pPr>
    </w:p>
    <w:p>
      <w:pPr>
        <w:spacing w:line="600" w:lineRule="exact"/>
        <w:jc w:val="center"/>
        <w:rPr>
          <w:rFonts w:ascii="方正小标宋简体" w:hAnsi="方正小标宋简体" w:eastAsia="方正小标宋简体" w:cs="方正小标宋简体"/>
          <w:sz w:val="40"/>
          <w:szCs w:val="40"/>
        </w:rPr>
      </w:pPr>
    </w:p>
    <w:p>
      <w:pPr>
        <w:spacing w:line="600"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rPr>
        <w:t>2022年</w:t>
      </w:r>
      <w:r>
        <w:rPr>
          <w:rFonts w:hint="eastAsia" w:ascii="方正小标宋简体" w:hAnsi="方正小标宋简体" w:eastAsia="方正小标宋简体" w:cs="方正小标宋简体"/>
          <w:sz w:val="40"/>
          <w:szCs w:val="40"/>
          <w:lang w:val="zh-CN"/>
        </w:rPr>
        <w:t>专项预算项目支出绩效自评报告</w:t>
      </w:r>
    </w:p>
    <w:p>
      <w:pPr>
        <w:spacing w:line="600" w:lineRule="exact"/>
        <w:ind w:firstLine="883"/>
        <w:jc w:val="center"/>
        <w:rPr>
          <w:rFonts w:ascii="仿宋_GB2312" w:hAnsi="宋体" w:eastAsia="仿宋_GB2312"/>
          <w:sz w:val="32"/>
          <w:szCs w:val="32"/>
          <w:lang w:val="zh-CN"/>
        </w:rPr>
      </w:pPr>
      <w:r>
        <w:rPr>
          <w:rFonts w:hint="eastAsia" w:ascii="仿宋_GB2312" w:hAnsi="宋体" w:eastAsia="仿宋_GB2312"/>
          <w:sz w:val="32"/>
          <w:szCs w:val="32"/>
          <w:lang w:val="zh-CN"/>
        </w:rPr>
        <w:t>（</w:t>
      </w:r>
      <w:r>
        <w:rPr>
          <w:rFonts w:hint="eastAsia"/>
        </w:rPr>
        <w:t>信息安全与数据分析经费</w:t>
      </w:r>
      <w:r>
        <w:rPr>
          <w:rFonts w:hint="eastAsia" w:ascii="仿宋_GB2312" w:hAnsi="宋体" w:eastAsia="仿宋_GB2312"/>
          <w:sz w:val="32"/>
          <w:szCs w:val="32"/>
          <w:lang w:val="zh-CN"/>
        </w:rPr>
        <w:t>）</w:t>
      </w:r>
    </w:p>
    <w:p>
      <w:pPr>
        <w:spacing w:line="600" w:lineRule="exact"/>
        <w:ind w:firstLine="640"/>
        <w:jc w:val="center"/>
        <w:rPr>
          <w:rFonts w:ascii="宋体" w:hAnsi="宋体"/>
          <w:sz w:val="32"/>
          <w:szCs w:val="32"/>
          <w:lang w:val="zh-CN"/>
        </w:rPr>
      </w:pPr>
    </w:p>
    <w:p>
      <w:pPr>
        <w:adjustRightInd w:val="0"/>
        <w:snapToGrid w:val="0"/>
        <w:spacing w:line="600" w:lineRule="exact"/>
        <w:ind w:firstLine="720"/>
        <w:outlineLvl w:val="1"/>
        <w:rPr>
          <w:rFonts w:ascii="黑体" w:hAnsi="宋体" w:eastAsia="黑体"/>
          <w:sz w:val="32"/>
          <w:szCs w:val="32"/>
          <w:lang w:val="zh-CN"/>
        </w:rPr>
      </w:pPr>
      <w:bookmarkStart w:id="100" w:name="_Toc2632"/>
      <w:r>
        <w:rPr>
          <w:rFonts w:hint="eastAsia" w:ascii="黑体" w:hAnsi="宋体" w:eastAsia="黑体"/>
          <w:sz w:val="32"/>
          <w:szCs w:val="32"/>
        </w:rPr>
        <w:t>一、</w:t>
      </w:r>
      <w:r>
        <w:rPr>
          <w:rFonts w:hint="eastAsia" w:ascii="黑体" w:hAnsi="宋体" w:eastAsia="黑体"/>
          <w:sz w:val="32"/>
          <w:szCs w:val="32"/>
          <w:lang w:val="zh-CN"/>
        </w:rPr>
        <w:t>项目概况</w:t>
      </w:r>
      <w:bookmarkEnd w:id="100"/>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基本职能。根据《关于疾病预防控制体系建设的若干规定》，疾病预防控制机构的职能之一是：疾病预防与控制、突发公共卫生事件应急处置、疫情报告及健康相关因素信息管理、健康危害因素监测与干预、实验室检测分析与评价、健康教育与健康促进、技术管理与应用研究指导。</w:t>
      </w:r>
    </w:p>
    <w:p>
      <w:pPr>
        <w:numPr>
          <w:ilvl w:val="0"/>
          <w:numId w:val="5"/>
        </w:num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lang w:val="zh-CN"/>
        </w:rPr>
        <w:t>项目立项、资金申报的依据。《《卫生部办公厅关于全面开展卫生行业信息安全等级保护工作的通知》《卫生行业信息安全等级保护工作指导意见》《四川省卫生厅关于全面开展卫生行业信息安全等级保护工作的通知》《四川省传染病信息报告管理工作评估及全国传染病报告调查省级复核方案（2020年）》《全国传染病信息报告管理工作技术指南》（2016版）《四川省卫生厅关于开展疾病预防控制机构规范化建设等级评审试点工作的通知》《四川省卫生厅关于加强信息采集及舆情监测工作通知》，《四川省卫生厅关于进一步加强新闻宣传工作的通知》《关于进一步加强传染病信息安全管理的通知》《省疾控中心关于下发应急部署虚拟专网访问中国疾病预防控制信息系统与建设四川省疾病预防控制信息虚拟专网方案的通知》《四川省疾病预防控制中心关于印发中国疾病预防控制中心信息系统基于电子认证服务机构数字证书身份认证技术指导方案的通知》。</w:t>
      </w:r>
      <w:r>
        <w:rPr>
          <w:rFonts w:hint="eastAsia" w:ascii="仿宋_GB2312" w:hAnsi="宋体" w:eastAsia="仿宋_GB2312"/>
          <w:sz w:val="32"/>
          <w:szCs w:val="32"/>
        </w:rPr>
        <w:t>信息安全与数据分析经费</w:t>
      </w:r>
      <w:r>
        <w:rPr>
          <w:rFonts w:ascii="仿宋_GB2312" w:hAnsi="宋体" w:eastAsia="仿宋_GB2312"/>
          <w:sz w:val="32"/>
          <w:szCs w:val="32"/>
          <w:lang w:val="zh-CN"/>
        </w:rPr>
        <w:t>为认真落实舆情监测工作，做好日常监测和处置工作；加强信息安全工作，完成信息系统安全等保工作利完成提供了保障</w:t>
      </w:r>
      <w:r>
        <w:rPr>
          <w:rFonts w:hint="eastAsia" w:ascii="仿宋_GB2312" w:hAnsi="宋体" w:eastAsia="仿宋_GB2312"/>
          <w:sz w:val="32"/>
          <w:szCs w:val="32"/>
          <w:lang w:val="zh-CN"/>
        </w:rPr>
        <w:t>。</w:t>
      </w:r>
    </w:p>
    <w:p>
      <w:pPr>
        <w:numPr>
          <w:ilvl w:val="0"/>
          <w:numId w:val="6"/>
        </w:num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资金管理办法制定情况，资金支持具体项目的条件、范围与支持方式概况。</w:t>
      </w:r>
    </w:p>
    <w:p>
      <w:pPr>
        <w:pStyle w:val="6"/>
        <w:spacing w:before="93"/>
        <w:ind w:firstLine="600" w:firstLineChars="200"/>
        <w:rPr>
          <w:lang w:val="zh-CN"/>
        </w:rPr>
      </w:pPr>
      <w:r>
        <w:rPr>
          <w:rFonts w:hint="eastAsia"/>
          <w:lang w:val="zh-CN"/>
        </w:rPr>
        <w:t>以省、市相关文件，结合上级文件制订了我中心的专项资金管理规定。</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4．资金分配的原则及考虑因素。</w:t>
      </w:r>
    </w:p>
    <w:p>
      <w:pPr>
        <w:pStyle w:val="6"/>
        <w:spacing w:before="93"/>
        <w:ind w:firstLine="600" w:firstLineChars="200"/>
        <w:rPr>
          <w:lang w:val="zh-CN"/>
        </w:rPr>
      </w:pPr>
      <w:r>
        <w:rPr>
          <w:rFonts w:hint="eastAsia"/>
          <w:lang w:val="zh-CN"/>
        </w:rPr>
        <w:t>量入为出，结合实际，根据各项费用产生的频率及数额大小在各项经济科目中进行分配。</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项目主要内容。全面推进全市信息安全工作及各类公共卫生数据监测与分析，正确面对公共卫生舆情，防止负面舆论对公共卫生工作的影响，提升全市机构机构数据分析应用能力，及时为政府决策提供依据，防止信息安全事件发生，确保传染病总体发病持续保持在较低水平，传染病疫情和突发公共卫生事件得到积极有效应对提供</w:t>
      </w:r>
      <w:r>
        <w:rPr>
          <w:rFonts w:hint="eastAsia" w:ascii="仿宋_GB2312" w:hAnsi="宋体" w:eastAsia="仿宋_GB2312"/>
          <w:sz w:val="32"/>
          <w:szCs w:val="32"/>
        </w:rPr>
        <w:t>经费</w:t>
      </w:r>
      <w:r>
        <w:rPr>
          <w:rFonts w:hint="eastAsia" w:ascii="仿宋_GB2312" w:hAnsi="宋体" w:eastAsia="仿宋_GB2312"/>
          <w:sz w:val="32"/>
          <w:szCs w:val="32"/>
          <w:lang w:val="zh-CN"/>
        </w:rPr>
        <w:t>保障。</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2．项目应实现的具体绩效目标。 实现信息安全零事故，舆情监测负面信息100%及时处理</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w:t>
      </w:r>
      <w:r>
        <w:rPr>
          <w:rFonts w:hint="eastAsia" w:ascii="仿宋_GB2312" w:hAnsi="宋体" w:eastAsia="仿宋_GB2312"/>
          <w:sz w:val="32"/>
          <w:szCs w:val="32"/>
        </w:rPr>
        <w:t>信息安全与数据分析经费</w:t>
      </w:r>
      <w:r>
        <w:rPr>
          <w:rFonts w:hint="eastAsia" w:ascii="仿宋_GB2312" w:hAnsi="宋体" w:eastAsia="仿宋_GB2312"/>
          <w:sz w:val="32"/>
          <w:szCs w:val="32"/>
          <w:lang w:val="zh-CN"/>
        </w:rPr>
        <w:t>申报内容与具体实施内容相符、申报目标合理可行。</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1、前期准备</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确定评价工作对象、收集项目基础资料、制定评价工作方案。评价工作方案主要包括：评价目的、评价人员、评价依据（标准）、评价指标和评价方法等。</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2、组织实施</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根据市财政下达的评价通知书，以问卷调查、现场查看、专家评议等多种形式实施绩效评价，形成绩效评价结论，提交绩效评价报告。</w:t>
      </w:r>
    </w:p>
    <w:p>
      <w:pPr>
        <w:adjustRightInd w:val="0"/>
        <w:snapToGrid w:val="0"/>
        <w:spacing w:line="600" w:lineRule="exact"/>
        <w:ind w:firstLine="720"/>
        <w:outlineLvl w:val="1"/>
        <w:rPr>
          <w:rFonts w:ascii="黑体" w:hAnsi="宋体" w:eastAsia="黑体"/>
          <w:sz w:val="32"/>
          <w:szCs w:val="32"/>
        </w:rPr>
      </w:pPr>
      <w:bookmarkStart w:id="101" w:name="_Toc24919"/>
      <w:r>
        <w:rPr>
          <w:rFonts w:hint="eastAsia" w:ascii="黑体" w:hAnsi="宋体" w:eastAsia="黑体"/>
          <w:sz w:val="32"/>
          <w:szCs w:val="32"/>
        </w:rPr>
        <w:t>二、项目资金申报及使用情况</w:t>
      </w:r>
      <w:bookmarkEnd w:id="101"/>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《广元市财政局关于批复</w:t>
      </w:r>
      <w:r>
        <w:rPr>
          <w:rFonts w:hint="eastAsia" w:ascii="仿宋_GB2312" w:hAnsi="宋体" w:eastAsia="仿宋_GB2312"/>
          <w:sz w:val="32"/>
          <w:szCs w:val="32"/>
        </w:rPr>
        <w:t>2021</w:t>
      </w:r>
      <w:r>
        <w:rPr>
          <w:rFonts w:hint="eastAsia" w:ascii="仿宋_GB2312" w:hAnsi="宋体" w:eastAsia="仿宋_GB2312"/>
          <w:sz w:val="32"/>
          <w:szCs w:val="32"/>
          <w:lang w:val="zh-CN"/>
        </w:rPr>
        <w:t>年市级部门预算的通知》（广财预〔20</w:t>
      </w:r>
      <w:r>
        <w:rPr>
          <w:rFonts w:hint="eastAsia" w:ascii="仿宋_GB2312" w:hAnsi="宋体" w:eastAsia="仿宋_GB2312"/>
          <w:sz w:val="32"/>
          <w:szCs w:val="32"/>
        </w:rPr>
        <w:t>21</w:t>
      </w:r>
      <w:r>
        <w:rPr>
          <w:rFonts w:hint="eastAsia" w:ascii="仿宋_GB2312" w:hAnsi="宋体" w:eastAsia="仿宋_GB2312"/>
          <w:sz w:val="32"/>
          <w:szCs w:val="32"/>
          <w:lang w:val="zh-CN"/>
        </w:rPr>
        <w:t>〕</w:t>
      </w:r>
      <w:r>
        <w:rPr>
          <w:rFonts w:hint="eastAsia" w:ascii="仿宋_GB2312" w:hAnsi="宋体" w:eastAsia="仿宋_GB2312"/>
          <w:sz w:val="32"/>
          <w:szCs w:val="32"/>
        </w:rPr>
        <w:t>1</w:t>
      </w:r>
      <w:r>
        <w:rPr>
          <w:rFonts w:hint="eastAsia" w:ascii="仿宋_GB2312" w:hAnsi="宋体" w:eastAsia="仿宋_GB2312"/>
          <w:sz w:val="32"/>
          <w:szCs w:val="32"/>
          <w:lang w:val="zh-CN"/>
        </w:rPr>
        <w:t>号），下达我单位</w:t>
      </w:r>
      <w:r>
        <w:rPr>
          <w:rFonts w:hint="eastAsia" w:ascii="仿宋_GB2312" w:hAnsi="宋体" w:eastAsia="仿宋_GB2312"/>
          <w:sz w:val="32"/>
          <w:szCs w:val="32"/>
        </w:rPr>
        <w:t>信息安全与数据分析经费5</w:t>
      </w:r>
      <w:r>
        <w:rPr>
          <w:rFonts w:hint="eastAsia" w:ascii="仿宋_GB2312" w:hAnsi="宋体" w:eastAsia="仿宋_GB2312"/>
          <w:sz w:val="32"/>
          <w:szCs w:val="32"/>
          <w:lang w:val="zh-CN"/>
        </w:rPr>
        <w:t>万元。</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1．资金计划。</w:t>
      </w:r>
      <w:r>
        <w:rPr>
          <w:rFonts w:hint="eastAsia" w:ascii="仿宋_GB2312" w:hAnsi="宋体" w:eastAsia="仿宋_GB2312"/>
          <w:sz w:val="32"/>
          <w:szCs w:val="32"/>
          <w:lang w:val="zh-CN"/>
        </w:rPr>
        <w:t>该笔专项经费经20</w:t>
      </w:r>
      <w:r>
        <w:rPr>
          <w:rFonts w:hint="eastAsia" w:ascii="仿宋_GB2312" w:hAnsi="宋体" w:eastAsia="仿宋_GB2312"/>
          <w:sz w:val="32"/>
          <w:szCs w:val="32"/>
        </w:rPr>
        <w:t>21</w:t>
      </w:r>
      <w:r>
        <w:rPr>
          <w:rFonts w:hint="eastAsia" w:ascii="仿宋_GB2312" w:hAnsi="宋体" w:eastAsia="仿宋_GB2312"/>
          <w:sz w:val="32"/>
          <w:szCs w:val="32"/>
          <w:lang w:val="zh-CN"/>
        </w:rPr>
        <w:t>年初下达我单位后，按序时进度每月申报使用。</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2．资金到位。</w:t>
      </w:r>
      <w:r>
        <w:rPr>
          <w:rFonts w:hint="eastAsia" w:ascii="仿宋_GB2312" w:hAnsi="宋体" w:eastAsia="仿宋_GB2312"/>
          <w:sz w:val="32"/>
          <w:szCs w:val="32"/>
          <w:lang w:val="zh-CN"/>
        </w:rPr>
        <w:t>资金到位率100%。</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3．资金使用。</w:t>
      </w:r>
      <w:r>
        <w:rPr>
          <w:rFonts w:hint="eastAsia" w:ascii="仿宋_GB2312" w:hAnsi="宋体" w:eastAsia="仿宋_GB2312" w:cs="仿宋_GB2312"/>
          <w:color w:val="333333"/>
          <w:sz w:val="32"/>
          <w:szCs w:val="32"/>
        </w:rPr>
        <w:t>信息安全与数据分析经费</w:t>
      </w:r>
      <w:r>
        <w:rPr>
          <w:rFonts w:hint="eastAsia" w:ascii="仿宋_GB2312" w:hAnsi="宋体" w:eastAsia="仿宋_GB2312"/>
          <w:sz w:val="32"/>
          <w:szCs w:val="32"/>
        </w:rPr>
        <w:t>5</w:t>
      </w:r>
      <w:r>
        <w:rPr>
          <w:rFonts w:hint="eastAsia" w:ascii="仿宋_GB2312" w:hAnsi="宋体" w:eastAsia="仿宋_GB2312"/>
          <w:sz w:val="32"/>
          <w:szCs w:val="32"/>
          <w:lang w:val="zh-CN"/>
        </w:rPr>
        <w:t>万元</w:t>
      </w:r>
      <w:r>
        <w:rPr>
          <w:rFonts w:ascii="仿宋_GB2312" w:hAnsi="宋体" w:eastAsia="仿宋_GB2312" w:cs="仿宋_GB2312"/>
          <w:color w:val="333333"/>
          <w:sz w:val="32"/>
          <w:szCs w:val="32"/>
        </w:rPr>
        <w:t>，已全额使用，主要用于以下几个方面</w:t>
      </w:r>
      <w:r>
        <w:rPr>
          <w:rFonts w:hint="eastAsia" w:ascii="仿宋_GB2312" w:hAnsi="宋体" w:eastAsia="仿宋_GB2312" w:cs="仿宋_GB2312"/>
          <w:color w:val="333333"/>
          <w:sz w:val="32"/>
          <w:szCs w:val="32"/>
        </w:rPr>
        <w:t>：差旅费费用0.91万元，培训费1.85万元，软件购置费用0.55万元，网络及通讯费用1.14 万元，其他费用0.55万元</w:t>
      </w:r>
      <w:r>
        <w:rPr>
          <w:rFonts w:ascii="仿宋_GB2312" w:hAnsi="宋体" w:eastAsia="仿宋_GB2312" w:cs="仿宋_GB2312"/>
          <w:color w:val="333333"/>
          <w:sz w:val="32"/>
          <w:szCs w:val="32"/>
        </w:rPr>
        <w:t>。资金支付依据合规合法，与预算相符。</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cs="仿宋_GB2312"/>
          <w:color w:val="333333"/>
          <w:sz w:val="32"/>
          <w:szCs w:val="32"/>
        </w:rPr>
        <w:t>信息安全与数据分析经费</w:t>
      </w:r>
      <w:r>
        <w:rPr>
          <w:rFonts w:hint="eastAsia" w:ascii="仿宋_GB2312" w:hAnsi="宋体" w:eastAsia="仿宋_GB2312"/>
          <w:sz w:val="32"/>
          <w:szCs w:val="32"/>
          <w:lang w:val="zh-CN"/>
        </w:rPr>
        <w:t>严格执行财经相关管理制度，财务处理及时，会计核算规范。其中差旅费严格按照《广元市市级机关差旅费管理办法》执行。</w:t>
      </w:r>
    </w:p>
    <w:p>
      <w:pPr>
        <w:adjustRightInd w:val="0"/>
        <w:snapToGrid w:val="0"/>
        <w:spacing w:line="600" w:lineRule="exact"/>
        <w:ind w:firstLine="720"/>
        <w:outlineLvl w:val="1"/>
        <w:rPr>
          <w:rFonts w:ascii="黑体" w:hAnsi="宋体" w:eastAsia="黑体"/>
          <w:sz w:val="32"/>
          <w:szCs w:val="32"/>
        </w:rPr>
      </w:pPr>
      <w:bookmarkStart w:id="102" w:name="_Toc12836"/>
      <w:r>
        <w:rPr>
          <w:rFonts w:hint="eastAsia" w:ascii="黑体" w:hAnsi="宋体" w:eastAsia="黑体"/>
          <w:sz w:val="32"/>
          <w:szCs w:val="32"/>
        </w:rPr>
        <w:t>三、项目实施及管理情况</w:t>
      </w:r>
      <w:bookmarkEnd w:id="102"/>
    </w:p>
    <w:p>
      <w:pPr>
        <w:numPr>
          <w:ilvl w:val="0"/>
          <w:numId w:val="9"/>
        </w:num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项目组织架构及实施流程。</w:t>
      </w:r>
      <w:r>
        <w:rPr>
          <w:rFonts w:hint="eastAsia" w:ascii="仿宋_GB2312" w:hAnsi="宋体" w:eastAsia="仿宋_GB2312"/>
          <w:sz w:val="32"/>
          <w:szCs w:val="32"/>
        </w:rPr>
        <w:t>该</w:t>
      </w:r>
      <w:r>
        <w:rPr>
          <w:rFonts w:hint="eastAsia" w:ascii="仿宋_GB2312" w:hAnsi="宋体" w:eastAsia="仿宋_GB2312"/>
          <w:sz w:val="32"/>
          <w:szCs w:val="32"/>
          <w:lang w:val="zh-CN"/>
        </w:rPr>
        <w:t>专项资金实行统一预算、分类管理，</w:t>
      </w:r>
      <w:r>
        <w:rPr>
          <w:rFonts w:hint="eastAsia" w:ascii="仿宋_GB2312" w:hAnsi="宋体" w:eastAsia="仿宋_GB2312"/>
          <w:sz w:val="32"/>
          <w:szCs w:val="32"/>
        </w:rPr>
        <w:t>科所</w:t>
      </w:r>
      <w:r>
        <w:rPr>
          <w:rFonts w:hint="eastAsia" w:ascii="仿宋_GB2312" w:hAnsi="宋体" w:eastAsia="仿宋_GB2312"/>
          <w:sz w:val="32"/>
          <w:szCs w:val="32"/>
          <w:lang w:val="zh-CN"/>
        </w:rPr>
        <w:t>具体负责组织管理工作。</w:t>
      </w:r>
    </w:p>
    <w:p>
      <w:pPr>
        <w:adjustRightInd w:val="0"/>
        <w:snapToGrid w:val="0"/>
        <w:spacing w:line="600" w:lineRule="exact"/>
        <w:ind w:firstLine="643" w:firstLineChars="200"/>
        <w:rPr>
          <w:rFonts w:ascii="仿宋_GB2312" w:hAnsi="宋体" w:eastAsia="仿宋_GB2312"/>
          <w:sz w:val="32"/>
          <w:szCs w:val="32"/>
          <w:lang w:val="zh-CN"/>
        </w:rPr>
      </w:pPr>
      <w:r>
        <w:rPr>
          <w:rFonts w:hint="eastAsia" w:ascii="楷体_GB2312" w:hAnsi="宋体" w:eastAsia="楷体_GB2312"/>
          <w:b/>
          <w:sz w:val="32"/>
          <w:szCs w:val="32"/>
          <w:lang w:val="zh-CN"/>
        </w:rPr>
        <w:t>（二）项目管理情况。</w:t>
      </w:r>
      <w:r>
        <w:rPr>
          <w:rFonts w:hint="eastAsia" w:ascii="仿宋_GB2312" w:hAnsi="宋体" w:eastAsia="仿宋_GB2312"/>
          <w:sz w:val="32"/>
          <w:szCs w:val="32"/>
          <w:lang w:val="zh-CN"/>
        </w:rPr>
        <w:t>该项目按时间进度完成各项任务，按实际发生的金额支付。</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（三）项目监管情况。</w:t>
      </w:r>
      <w:r>
        <w:rPr>
          <w:rFonts w:hint="eastAsia" w:ascii="仿宋_GB2312" w:hAnsi="宋体" w:eastAsia="仿宋_GB2312"/>
          <w:sz w:val="32"/>
          <w:szCs w:val="32"/>
          <w:lang w:val="zh-CN"/>
        </w:rPr>
        <w:t>主管部门年中开展了项目支出绩效监控评价。</w:t>
      </w:r>
    </w:p>
    <w:p>
      <w:pPr>
        <w:adjustRightInd w:val="0"/>
        <w:snapToGrid w:val="0"/>
        <w:spacing w:line="600" w:lineRule="exact"/>
        <w:ind w:firstLine="720"/>
        <w:outlineLvl w:val="1"/>
        <w:rPr>
          <w:rFonts w:ascii="仿宋_GB2312" w:hAnsi="宋体" w:eastAsia="仿宋_GB2312"/>
          <w:sz w:val="32"/>
          <w:szCs w:val="32"/>
          <w:lang w:val="zh-CN"/>
        </w:rPr>
      </w:pPr>
      <w:bookmarkStart w:id="103" w:name="_Toc2361"/>
      <w:r>
        <w:rPr>
          <w:rFonts w:hint="eastAsia" w:ascii="黑体" w:hAnsi="宋体" w:eastAsia="黑体"/>
          <w:sz w:val="32"/>
          <w:szCs w:val="32"/>
        </w:rPr>
        <w:t>四、项目绩效情况</w:t>
      </w:r>
      <w:bookmarkEnd w:id="103"/>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ascii="楷体_GB2312" w:hAnsi="宋体" w:eastAsia="楷体_GB2312"/>
          <w:b/>
          <w:sz w:val="32"/>
          <w:szCs w:val="32"/>
          <w:lang w:val="zh-CN"/>
        </w:rPr>
      </w:pPr>
      <w:r>
        <w:rPr>
          <w:rFonts w:hint="eastAsia" w:ascii="仿宋_GB2312" w:eastAsia="仿宋_GB2312"/>
          <w:sz w:val="32"/>
          <w:szCs w:val="32"/>
        </w:rPr>
        <w:t>顺利通过了广元市公安局广元市公安局、网信办、气象局的网络安全工作进行督查； 97分的高分通过了四川省疾控中心的信息安全检查。收集舆情218864条，完成12期舆情简报，广元市新型冠状病毒肺炎疫情防控参考数据资料92期；完成疾控机构综合信息的收集上报和分析，完成2022年中国疾控信息系统的编码维护，保证2022年疾控信息系统的基础数据准确无误认真做好本单位及各县区的数字证书续费、新办等业务。2021年7月以双满分的成绩通过了四川省疾控中心的舆情监测、综合信息填报工作的检查。及时审核发布门户网站信息1300条，及时回复群众互动信息112条，及时回复率100%。为各科室业务会议、视频会议提供99次服务，并对相关视频会议提供县区转播服务。对县区疾控人员开展了为期2月的信息化能力培训，是以网络会议的形势定期对县区疾控人员开展网络安全、综合信息、舆情监测、信息分析等内容的业务培训。2021年预期目标全面完成。</w:t>
      </w: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项目的社会效益良好，服务对象满意度高</w:t>
      </w:r>
    </w:p>
    <w:p>
      <w:pPr>
        <w:adjustRightInd w:val="0"/>
        <w:snapToGrid w:val="0"/>
        <w:spacing w:line="600" w:lineRule="exact"/>
        <w:ind w:firstLine="720"/>
        <w:outlineLvl w:val="1"/>
        <w:rPr>
          <w:rFonts w:ascii="黑体" w:hAnsi="宋体" w:eastAsia="黑体"/>
          <w:sz w:val="32"/>
          <w:szCs w:val="32"/>
        </w:rPr>
      </w:pPr>
      <w:bookmarkStart w:id="104" w:name="_Toc1336"/>
      <w:r>
        <w:rPr>
          <w:rFonts w:hint="eastAsia" w:ascii="黑体" w:hAnsi="宋体" w:eastAsia="黑体"/>
          <w:sz w:val="32"/>
          <w:szCs w:val="32"/>
        </w:rPr>
        <w:t>五、评价结论及建议</w:t>
      </w:r>
      <w:bookmarkEnd w:id="104"/>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通过对</w:t>
      </w:r>
      <w:r>
        <w:rPr>
          <w:rFonts w:hint="eastAsia" w:ascii="仿宋_GB2312" w:hAnsi="宋体" w:eastAsia="仿宋_GB2312"/>
          <w:sz w:val="32"/>
          <w:szCs w:val="32"/>
        </w:rPr>
        <w:t>信息安全与数据分析经费</w:t>
      </w:r>
      <w:r>
        <w:rPr>
          <w:rFonts w:hint="eastAsia" w:ascii="仿宋_GB2312" w:hAnsi="宋体" w:eastAsia="仿宋_GB2312"/>
          <w:sz w:val="32"/>
          <w:szCs w:val="32"/>
          <w:lang w:val="zh-CN"/>
        </w:rPr>
        <w:t>的使用，实施绩效进行了指标评价，该专项经费为全面推进全市信息安全工作及各类公共卫生数据监测与分析，正确面对公共卫生舆情，防止负面舆论对公共卫生工作的影响，提升全市机构机构数据分析应用能力提供有效资金保障，受益群众满意度达100%，评论结论为“好”。</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绩效考评办法不够完善，不够具体，可操作性不强，需进一步加强。</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内控管理制度不够完善，不够系统，需进一步完善和加强。</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pStyle w:val="6"/>
        <w:spacing w:before="93"/>
        <w:ind w:firstLine="640" w:firstLineChars="200"/>
        <w:rPr>
          <w:lang w:val="zh-CN"/>
        </w:rPr>
      </w:pPr>
      <w:r>
        <w:rPr>
          <w:rFonts w:hint="eastAsia" w:hAnsi="宋体"/>
          <w:sz w:val="32"/>
          <w:szCs w:val="32"/>
          <w:lang w:val="zh-CN"/>
        </w:rPr>
        <w:t>做好项目实施的跟踪检查工作。定期不定期地对项目实施情况和经费使用情况进行跟踪检查，对能实现预期绩效目标的项目予以充分肯定，对进展缓慢，预期绩效目标较差的项目，及时进行协调和提出整改措施，确保项目实施工作正常运行，达到预期绩效目标。</w:t>
      </w:r>
    </w:p>
    <w:p>
      <w:pPr>
        <w:spacing w:line="572" w:lineRule="exact"/>
        <w:jc w:val="left"/>
        <w:rPr>
          <w:rFonts w:ascii="黑体" w:hAnsi="黑体" w:eastAsia="黑体" w:cs="黑体"/>
          <w:sz w:val="32"/>
          <w:szCs w:val="32"/>
        </w:rPr>
      </w:pPr>
    </w:p>
    <w:p>
      <w:pPr>
        <w:spacing w:line="572" w:lineRule="exact"/>
        <w:jc w:val="left"/>
        <w:outlineLvl w:val="1"/>
        <w:rPr>
          <w:rFonts w:ascii="仿宋_GB2312" w:hAnsi="仿宋_GB2312" w:eastAsia="黑体" w:cs="仿宋_GB2312"/>
          <w:sz w:val="32"/>
          <w:szCs w:val="32"/>
        </w:rPr>
      </w:pPr>
      <w:bookmarkStart w:id="105" w:name="_Toc13429"/>
      <w:r>
        <w:rPr>
          <w:rFonts w:hint="eastAsia" w:ascii="黑体" w:hAnsi="黑体" w:eastAsia="黑体" w:cs="黑体"/>
          <w:sz w:val="32"/>
          <w:szCs w:val="32"/>
        </w:rPr>
        <w:t>附表</w:t>
      </w:r>
      <w:bookmarkEnd w:id="105"/>
    </w:p>
    <w:tbl>
      <w:tblPr>
        <w:tblStyle w:val="13"/>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6"/>
        <w:gridCol w:w="1142"/>
        <w:gridCol w:w="1635"/>
        <w:gridCol w:w="1189"/>
        <w:gridCol w:w="1224"/>
        <w:gridCol w:w="2409"/>
        <w:gridCol w:w="236"/>
      </w:tblGrid>
      <w:tr>
        <w:tblPrEx>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widowControl/>
              <w:jc w:val="center"/>
              <w:textAlignment w:val="center"/>
              <w:rPr>
                <w:rFonts w:ascii="宋体" w:hAnsi="宋体" w:cs="宋体"/>
                <w:b/>
                <w:sz w:val="32"/>
                <w:szCs w:val="32"/>
              </w:rPr>
            </w:pPr>
            <w:r>
              <w:rPr>
                <w:rFonts w:hint="eastAsia" w:ascii="宋体" w:hAnsi="宋体" w:cs="宋体"/>
                <w:b/>
                <w:sz w:val="32"/>
                <w:szCs w:val="32"/>
              </w:rPr>
              <w:t>2021年部门预算项目绩效目标自评</w:t>
            </w:r>
          </w:p>
        </w:tc>
        <w:tc>
          <w:tcPr>
            <w:tcW w:w="234"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 w:val="32"/>
                <w:szCs w:val="32"/>
              </w:rPr>
            </w:pPr>
          </w:p>
        </w:tc>
      </w:tr>
      <w:tr>
        <w:tblPrEx>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广元市疾病预防控制中心</w:t>
            </w:r>
          </w:p>
        </w:tc>
      </w:tr>
      <w:tr>
        <w:tblPrEx>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项目预算</w:t>
            </w:r>
            <w:r>
              <w:rPr>
                <w:rFonts w:hint="eastAsia" w:ascii="宋体" w:hAnsi="宋体" w:cs="宋体"/>
                <w:kern w:val="0"/>
                <w:sz w:val="24"/>
              </w:rPr>
              <w:br w:type="textWrapping"/>
            </w:r>
            <w:r>
              <w:rPr>
                <w:rFonts w:hint="eastAsia" w:ascii="宋体" w:hAnsi="宋体" w:cs="宋体"/>
                <w:kern w:val="0"/>
                <w:sz w:val="24"/>
              </w:rPr>
              <w:t>执行情况</w:t>
            </w:r>
            <w:r>
              <w:rPr>
                <w:rFonts w:hint="eastAsia" w:ascii="宋体" w:hAnsi="宋体" w:cs="宋体"/>
                <w:kern w:val="0"/>
                <w:sz w:val="24"/>
              </w:rPr>
              <w:br w:type="textWrapping"/>
            </w:r>
            <w:r>
              <w:rPr>
                <w:rFonts w:hint="eastAsia" w:ascii="宋体" w:hAnsi="宋体" w:cs="宋体"/>
                <w:kern w:val="0"/>
                <w:sz w:val="24"/>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5</w:t>
            </w:r>
          </w:p>
        </w:tc>
      </w:tr>
      <w:tr>
        <w:tblPrEx>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5</w:t>
            </w:r>
          </w:p>
        </w:tc>
      </w:tr>
      <w:tr>
        <w:tblPrEx>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p>
        </w:tc>
      </w:tr>
      <w:tr>
        <w:tblPrEx>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年度总体目标</w:t>
            </w:r>
          </w:p>
          <w:p>
            <w:pPr>
              <w:widowControl/>
              <w:spacing w:line="320" w:lineRule="exact"/>
              <w:jc w:val="center"/>
              <w:textAlignment w:val="center"/>
              <w:rPr>
                <w:rFonts w:ascii="宋体" w:hAnsi="宋体" w:cs="宋体"/>
                <w:sz w:val="24"/>
              </w:rPr>
            </w:pPr>
            <w:r>
              <w:rPr>
                <w:rFonts w:hint="eastAsia" w:ascii="宋体" w:hAnsi="宋体" w:cs="宋体"/>
                <w:kern w:val="0"/>
                <w:sz w:val="24"/>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目标实际完成情况</w:t>
            </w:r>
          </w:p>
        </w:tc>
      </w:tr>
      <w:tr>
        <w:tblPrEx>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24"/>
              </w:rPr>
              <w:t xml:space="preserve"> 全面推进全市信息安全工作及各类公共卫生数据监测与分析，正确面对公共卫生舆情，防止负面舆论对公共卫生工作的影响，提升全市机构机构数据分析应用能力，及时为政府决策提供依据，防止信息安全事件发生，确保传染病总体发病持续保持在较低水平，传染病疫情和突发公共卫生事件得到积极有效应对。</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rPr>
              <w:t>顺利通过了广元市公安局广元市公安局、网信办、气象局的网络安全工作进行督查； 97分的高分通过了四川省疾控中心的信息安全检查。收集舆情218864条，完成12期舆情简报，广元市新型冠状病毒肺炎疫情防控参考数据资料92期；完成疾控机构综合信息的收集上报和分析，完成2022年中国疾控信息系统的编码维护，保证2022年疾控信息系统的基础数据准确无误认真做好本单位及各县区的数字证书续费、新办等业务。2021年7月以双满分的成绩通过了四川省疾控中心的舆情监测、综合信息填报工作的检查。及时审核发布门户网站信息1300条，及时回复群众互动信息112条，及时回复率100%。为各科室业务会议、视频会议提供99次服务，并对相关视频会议提供县区转播服务。对县区疾控人员开展了为期2月的信息化能力培训，是以网络会议的形势定期对县区疾控人员开展网络安全、综合信息、舆情监测、信息分析等内容的业务培训。2021年预期目标全面完成。</w:t>
            </w:r>
          </w:p>
        </w:tc>
      </w:tr>
      <w:tr>
        <w:tblPrEx>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abs>
                <w:tab w:val="left" w:pos="276"/>
              </w:tabs>
              <w:spacing w:line="320" w:lineRule="exact"/>
              <w:jc w:val="left"/>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舆情监测</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负面舆情监测率100%，有效应对率100%，舆情监测简报12期，紧急舆情简报2小时</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收集舆情218864条，完成12期舆情简报</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abs>
                <w:tab w:val="left" w:pos="276"/>
              </w:tabs>
              <w:spacing w:line="320" w:lineRule="exact"/>
              <w:jc w:val="left"/>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信息系统正常运行</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正常运行率100%，信息安全事件&lt;1%,数字证书覆盖率100%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正常运行率100%，无信息安全事件发生,数字证书覆盖率100%</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abs>
                <w:tab w:val="left" w:pos="276"/>
              </w:tabs>
              <w:spacing w:line="320" w:lineRule="exact"/>
              <w:jc w:val="left"/>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中国疾控信息系统编码维护</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覆盖率100%，准确率100%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覆盖率100%，准确率100%</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abs>
                <w:tab w:val="left" w:pos="276"/>
              </w:tabs>
              <w:spacing w:line="320" w:lineRule="exact"/>
              <w:jc w:val="left"/>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基本信息报告</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及时率100%,准确率100%，完整率100%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及时率100%,准确率100%，完整率100%;对旺苍县、朝天区、昭化区开展现场指导，完成分析报告一份</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abs>
                <w:tab w:val="left" w:pos="276"/>
              </w:tabs>
              <w:spacing w:line="320" w:lineRule="exact"/>
              <w:jc w:val="left"/>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培训人次</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≥400人</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培训200人次</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abs>
                <w:tab w:val="left" w:pos="276"/>
              </w:tabs>
              <w:spacing w:line="320" w:lineRule="exact"/>
              <w:jc w:val="left"/>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督导检查</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≥1次</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1次</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abs>
                <w:tab w:val="left" w:pos="276"/>
              </w:tabs>
              <w:spacing w:line="320" w:lineRule="exact"/>
              <w:jc w:val="left"/>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舆情监测</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负面舆情监测率100%，有效应对率100%，舆情监测简报12期，紧急舆情简报2小时</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省疾控考核满分100分。</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abs>
                <w:tab w:val="left" w:pos="276"/>
              </w:tabs>
              <w:spacing w:line="320" w:lineRule="exact"/>
              <w:jc w:val="left"/>
              <w:textAlignment w:val="bottom"/>
              <w:rPr>
                <w:rFonts w:ascii="仿宋_GB2312" w:hAnsi="仿宋_GB2312" w:eastAsia="仿宋_GB2312" w:cs="仿宋_GB2312"/>
                <w:sz w:val="28"/>
                <w:szCs w:val="28"/>
              </w:rPr>
            </w:pPr>
            <w:r>
              <w:rPr>
                <w:rFonts w:hint="eastAsia"/>
              </w:rPr>
              <w:t>正常运行率100%，信息安全事件&lt;1%,数字证书覆盖率100%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正常运行率100%，信息安全事件&lt;1%,数字证书覆盖率100%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rPr>
              <w:t>省疾控考核满分100分</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abs>
                <w:tab w:val="left" w:pos="276"/>
              </w:tabs>
              <w:spacing w:line="320" w:lineRule="exact"/>
              <w:jc w:val="left"/>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信息安全等保</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rPr>
              <w:t>顺利通过广元市公安局广元市公安局、网信办、气象局的网络安全工作进行督查；以97分的高分通过了四川省疾控中心的信息安全检查。</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完成时间</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2021年12月31日前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2021年12月31日前</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信息安全事件发生，有效应对公共卫生舆情</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全市传染病总体发病持续保持在较低水平，无信息安全事件发生，有效应对公共卫生舆情</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全市传染病总体发病持续保持在较低水平，无信息安全事件发生，有效应对公共卫生舆情</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全市公共卫生数据分析有效应用</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及时科学为政府决策提供决策支撑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为政府决策提供决策支撑</w:t>
            </w: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服务对象满意度</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≥90%</w:t>
            </w:r>
          </w:p>
        </w:tc>
      </w:tr>
      <w:tr>
        <w:tblPrEx>
          <w:tblCellMar>
            <w:top w:w="0" w:type="dxa"/>
            <w:left w:w="108" w:type="dxa"/>
            <w:bottom w:w="0" w:type="dxa"/>
            <w:right w:w="108" w:type="dxa"/>
          </w:tblCellMar>
        </w:tblPrEx>
        <w:trPr>
          <w:gridAfter w:val="1"/>
          <w:wAfter w:w="234" w:type="dxa"/>
          <w:trHeight w:val="577"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项目主管部门满意度</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≥90%</w:t>
            </w:r>
          </w:p>
        </w:tc>
      </w:tr>
    </w:tbl>
    <w:p>
      <w:pPr>
        <w:spacing w:line="600" w:lineRule="exact"/>
        <w:jc w:val="center"/>
        <w:rPr>
          <w:rFonts w:ascii="黑体" w:hAnsi="黑体" w:eastAsia="黑体"/>
          <w:sz w:val="44"/>
          <w:szCs w:val="44"/>
        </w:rPr>
      </w:pPr>
    </w:p>
    <w:p>
      <w:pPr>
        <w:spacing w:line="600" w:lineRule="exact"/>
        <w:jc w:val="center"/>
        <w:rPr>
          <w:rFonts w:ascii="方正小标宋简体" w:hAnsi="方正小标宋简体" w:eastAsia="方正小标宋简体" w:cs="方正小标宋简体"/>
          <w:sz w:val="40"/>
          <w:szCs w:val="40"/>
        </w:rPr>
      </w:pPr>
    </w:p>
    <w:p>
      <w:pPr>
        <w:spacing w:line="600" w:lineRule="exact"/>
        <w:jc w:val="center"/>
        <w:rPr>
          <w:rFonts w:ascii="方正小标宋简体" w:hAnsi="方正小标宋简体" w:eastAsia="方正小标宋简体" w:cs="方正小标宋简体"/>
          <w:sz w:val="40"/>
          <w:szCs w:val="40"/>
        </w:rPr>
      </w:pPr>
    </w:p>
    <w:p>
      <w:pPr>
        <w:spacing w:line="600" w:lineRule="exact"/>
        <w:jc w:val="center"/>
        <w:rPr>
          <w:rFonts w:ascii="方正小标宋简体" w:hAnsi="方正小标宋简体" w:eastAsia="方正小标宋简体" w:cs="方正小标宋简体"/>
          <w:sz w:val="40"/>
          <w:szCs w:val="40"/>
        </w:rPr>
      </w:pPr>
    </w:p>
    <w:p>
      <w:pPr>
        <w:spacing w:line="600" w:lineRule="exact"/>
        <w:jc w:val="center"/>
        <w:rPr>
          <w:rFonts w:ascii="方正小标宋简体" w:hAnsi="方正小标宋简体" w:eastAsia="方正小标宋简体" w:cs="方正小标宋简体"/>
          <w:sz w:val="40"/>
          <w:szCs w:val="40"/>
        </w:rPr>
      </w:pPr>
    </w:p>
    <w:p>
      <w:pPr>
        <w:spacing w:line="600" w:lineRule="exact"/>
        <w:jc w:val="center"/>
        <w:rPr>
          <w:rFonts w:ascii="方正小标宋简体" w:hAnsi="方正小标宋简体" w:eastAsia="方正小标宋简体" w:cs="方正小标宋简体"/>
          <w:sz w:val="40"/>
          <w:szCs w:val="40"/>
        </w:rPr>
      </w:pPr>
    </w:p>
    <w:p>
      <w:pPr>
        <w:spacing w:line="600" w:lineRule="exact"/>
        <w:jc w:val="center"/>
        <w:rPr>
          <w:rFonts w:ascii="方正小标宋简体" w:hAnsi="方正小标宋简体" w:eastAsia="方正小标宋简体" w:cs="方正小标宋简体"/>
          <w:sz w:val="40"/>
          <w:szCs w:val="40"/>
        </w:rPr>
      </w:pPr>
    </w:p>
    <w:p>
      <w:pPr>
        <w:spacing w:line="600" w:lineRule="exact"/>
        <w:jc w:val="center"/>
        <w:rPr>
          <w:rFonts w:ascii="方正小标宋简体" w:hAnsi="方正小标宋简体" w:eastAsia="方正小标宋简体" w:cs="方正小标宋简体"/>
          <w:sz w:val="40"/>
          <w:szCs w:val="40"/>
        </w:rPr>
      </w:pPr>
    </w:p>
    <w:p>
      <w:pPr>
        <w:spacing w:line="600" w:lineRule="exact"/>
        <w:jc w:val="center"/>
        <w:rPr>
          <w:rFonts w:ascii="方正小标宋简体" w:hAnsi="方正小标宋简体" w:eastAsia="方正小标宋简体" w:cs="方正小标宋简体"/>
          <w:sz w:val="40"/>
          <w:szCs w:val="40"/>
        </w:rPr>
      </w:pPr>
    </w:p>
    <w:p>
      <w:pPr>
        <w:spacing w:line="600" w:lineRule="exact"/>
        <w:jc w:val="center"/>
        <w:rPr>
          <w:rFonts w:ascii="方正小标宋简体" w:hAnsi="方正小标宋简体" w:eastAsia="方正小标宋简体" w:cs="方正小标宋简体"/>
          <w:sz w:val="40"/>
          <w:szCs w:val="40"/>
        </w:rPr>
      </w:pPr>
    </w:p>
    <w:p>
      <w:pPr>
        <w:spacing w:line="600" w:lineRule="exact"/>
        <w:jc w:val="center"/>
        <w:rPr>
          <w:rFonts w:ascii="方正小标宋简体" w:hAnsi="方正小标宋简体" w:eastAsia="方正小标宋简体" w:cs="方正小标宋简体"/>
          <w:sz w:val="40"/>
          <w:szCs w:val="40"/>
        </w:rPr>
      </w:pPr>
    </w:p>
    <w:p>
      <w:pPr>
        <w:spacing w:line="600" w:lineRule="exact"/>
        <w:jc w:val="center"/>
        <w:rPr>
          <w:rFonts w:ascii="方正小标宋简体" w:hAnsi="方正小标宋简体" w:eastAsia="方正小标宋简体" w:cs="方正小标宋简体"/>
          <w:sz w:val="40"/>
          <w:szCs w:val="40"/>
        </w:rPr>
      </w:pPr>
    </w:p>
    <w:p>
      <w:pPr>
        <w:spacing w:line="600" w:lineRule="exact"/>
        <w:jc w:val="center"/>
        <w:rPr>
          <w:rFonts w:ascii="方正小标宋简体" w:hAnsi="方正小标宋简体" w:eastAsia="方正小标宋简体" w:cs="方正小标宋简体"/>
          <w:sz w:val="40"/>
          <w:szCs w:val="40"/>
        </w:rPr>
      </w:pPr>
    </w:p>
    <w:p>
      <w:pPr>
        <w:spacing w:line="600" w:lineRule="exact"/>
        <w:jc w:val="center"/>
        <w:rPr>
          <w:rFonts w:ascii="方正小标宋简体" w:hAnsi="方正小标宋简体" w:eastAsia="方正小标宋简体" w:cs="方正小标宋简体"/>
          <w:sz w:val="40"/>
          <w:szCs w:val="40"/>
        </w:rPr>
      </w:pPr>
    </w:p>
    <w:p>
      <w:pPr>
        <w:spacing w:line="600" w:lineRule="exact"/>
        <w:jc w:val="center"/>
        <w:rPr>
          <w:rFonts w:ascii="方正小标宋简体" w:hAnsi="方正小标宋简体" w:eastAsia="方正小标宋简体" w:cs="方正小标宋简体"/>
          <w:sz w:val="40"/>
          <w:szCs w:val="40"/>
        </w:rPr>
      </w:pPr>
    </w:p>
    <w:p>
      <w:pPr>
        <w:spacing w:line="600" w:lineRule="exact"/>
        <w:jc w:val="center"/>
        <w:rPr>
          <w:rFonts w:ascii="方正小标宋简体" w:hAnsi="方正小标宋简体" w:eastAsia="方正小标宋简体" w:cs="方正小标宋简体"/>
          <w:sz w:val="40"/>
          <w:szCs w:val="40"/>
        </w:rPr>
      </w:pPr>
    </w:p>
    <w:p>
      <w:pPr>
        <w:spacing w:line="600" w:lineRule="exact"/>
        <w:rPr>
          <w:rFonts w:ascii="方正小标宋简体" w:hAnsi="方正小标宋简体" w:eastAsia="方正小标宋简体" w:cs="方正小标宋简体"/>
          <w:sz w:val="40"/>
          <w:szCs w:val="40"/>
        </w:rPr>
      </w:pPr>
    </w:p>
    <w:p>
      <w:pPr>
        <w:spacing w:line="600"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rPr>
        <w:t>2022年</w:t>
      </w:r>
      <w:r>
        <w:rPr>
          <w:rFonts w:hint="eastAsia" w:ascii="方正小标宋简体" w:hAnsi="方正小标宋简体" w:eastAsia="方正小标宋简体" w:cs="方正小标宋简体"/>
          <w:sz w:val="40"/>
          <w:szCs w:val="40"/>
          <w:lang w:val="zh-CN"/>
        </w:rPr>
        <w:t>专项预算项目支出绩效自评报告</w:t>
      </w:r>
    </w:p>
    <w:p>
      <w:pPr>
        <w:spacing w:line="600" w:lineRule="exact"/>
        <w:ind w:firstLine="883"/>
        <w:jc w:val="center"/>
        <w:rPr>
          <w:rFonts w:ascii="仿宋_GB2312" w:hAnsi="宋体" w:eastAsia="仿宋_GB2312"/>
          <w:sz w:val="32"/>
          <w:szCs w:val="32"/>
          <w:lang w:val="zh-CN"/>
        </w:rPr>
      </w:pPr>
      <w:r>
        <w:rPr>
          <w:rFonts w:hint="eastAsia" w:ascii="仿宋_GB2312" w:hAnsi="宋体" w:eastAsia="仿宋_GB2312"/>
          <w:sz w:val="32"/>
          <w:szCs w:val="32"/>
          <w:lang w:val="zh-CN"/>
        </w:rPr>
        <w:t>（</w:t>
      </w:r>
      <w:r>
        <w:rPr>
          <w:rFonts w:hint="eastAsia"/>
        </w:rPr>
        <w:t>驻村帮扶工作经费</w:t>
      </w:r>
      <w:r>
        <w:rPr>
          <w:rFonts w:hint="eastAsia" w:ascii="仿宋_GB2312" w:hAnsi="宋体" w:eastAsia="仿宋_GB2312"/>
          <w:sz w:val="32"/>
          <w:szCs w:val="32"/>
          <w:lang w:val="zh-CN"/>
        </w:rPr>
        <w:t>）</w:t>
      </w:r>
    </w:p>
    <w:p>
      <w:pPr>
        <w:spacing w:line="600" w:lineRule="exact"/>
        <w:ind w:firstLine="640"/>
        <w:jc w:val="center"/>
        <w:rPr>
          <w:rFonts w:ascii="宋体" w:hAnsi="宋体"/>
          <w:sz w:val="32"/>
          <w:szCs w:val="32"/>
          <w:lang w:val="zh-CN"/>
        </w:rPr>
      </w:pPr>
    </w:p>
    <w:p>
      <w:pPr>
        <w:adjustRightInd w:val="0"/>
        <w:snapToGrid w:val="0"/>
        <w:spacing w:line="600" w:lineRule="exact"/>
        <w:ind w:firstLine="720"/>
        <w:outlineLvl w:val="1"/>
        <w:rPr>
          <w:rFonts w:ascii="黑体" w:hAnsi="宋体" w:eastAsia="黑体"/>
          <w:sz w:val="32"/>
          <w:szCs w:val="32"/>
          <w:lang w:val="zh-CN"/>
        </w:rPr>
      </w:pPr>
      <w:bookmarkStart w:id="106" w:name="_Toc2114"/>
      <w:r>
        <w:rPr>
          <w:rFonts w:hint="eastAsia" w:ascii="黑体" w:hAnsi="宋体" w:eastAsia="黑体"/>
          <w:sz w:val="32"/>
          <w:szCs w:val="32"/>
        </w:rPr>
        <w:t>一、</w:t>
      </w:r>
      <w:r>
        <w:rPr>
          <w:rFonts w:hint="eastAsia" w:ascii="黑体" w:hAnsi="宋体" w:eastAsia="黑体"/>
          <w:sz w:val="32"/>
          <w:szCs w:val="32"/>
          <w:lang w:val="zh-CN"/>
        </w:rPr>
        <w:t>项目概况</w:t>
      </w:r>
      <w:bookmarkEnd w:id="106"/>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基本职能。根据《关于疾病预防控制体系建设的若干规定》，疾病预防控制机构的职能之一是：疾病预防与控制、突发公共卫生事件应急处置、疫情报告及健康相关因素信息管理、健康危害因素监测与干预、实验室检测分析与评价、健康教育与健康促进、技术管理与应用研究指导。</w:t>
      </w:r>
    </w:p>
    <w:p>
      <w:pPr>
        <w:numPr>
          <w:ilvl w:val="0"/>
          <w:numId w:val="10"/>
        </w:num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lang w:val="zh-CN"/>
        </w:rPr>
        <w:t>项目立项、资金申报的依据。中共广元市委组织部关于转发《中共四川省委组织部关于印发&lt;四川省贫困村第一书记及驻村工作队队员管理办法&gt;的通知》的通知，为</w:t>
      </w:r>
      <w:r>
        <w:rPr>
          <w:rFonts w:hint="eastAsia" w:ascii="仿宋_GB2312" w:hAnsi="宋体" w:eastAsia="仿宋_GB2312"/>
          <w:sz w:val="32"/>
          <w:szCs w:val="32"/>
        </w:rPr>
        <w:t>我中心巩固脱贫攻坚成果、助力乡村振兴</w:t>
      </w:r>
      <w:r>
        <w:rPr>
          <w:rFonts w:hint="eastAsia" w:ascii="仿宋_GB2312" w:hAnsi="宋体" w:eastAsia="仿宋_GB2312"/>
          <w:sz w:val="32"/>
          <w:szCs w:val="32"/>
          <w:lang w:val="zh-CN"/>
        </w:rPr>
        <w:t>工作顺利完成提供了</w:t>
      </w:r>
      <w:r>
        <w:rPr>
          <w:rFonts w:hint="eastAsia" w:ascii="仿宋_GB2312" w:hAnsi="宋体" w:eastAsia="仿宋_GB2312"/>
          <w:sz w:val="32"/>
          <w:szCs w:val="32"/>
        </w:rPr>
        <w:t>经费</w:t>
      </w:r>
      <w:r>
        <w:rPr>
          <w:rFonts w:hint="eastAsia" w:ascii="仿宋_GB2312" w:hAnsi="宋体" w:eastAsia="仿宋_GB2312"/>
          <w:sz w:val="32"/>
          <w:szCs w:val="32"/>
          <w:lang w:val="zh-CN"/>
        </w:rPr>
        <w:t>保障。</w:t>
      </w:r>
    </w:p>
    <w:p>
      <w:pPr>
        <w:numPr>
          <w:ilvl w:val="0"/>
          <w:numId w:val="11"/>
        </w:num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资金管理办法制定情况，资金支持具体项目的条件、范围与支持方式概况。</w:t>
      </w:r>
    </w:p>
    <w:p>
      <w:pPr>
        <w:pStyle w:val="6"/>
        <w:spacing w:before="93"/>
        <w:ind w:firstLine="600" w:firstLineChars="200"/>
        <w:rPr>
          <w:lang w:val="zh-CN"/>
        </w:rPr>
      </w:pPr>
      <w:r>
        <w:rPr>
          <w:rFonts w:hint="eastAsia"/>
          <w:lang w:val="zh-CN"/>
        </w:rPr>
        <w:t>以省、市相关文件，结合上级文件制订了我中心的专项资金管理规定。</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4．资金分配的原则及考虑因素。</w:t>
      </w:r>
    </w:p>
    <w:p>
      <w:pPr>
        <w:pStyle w:val="6"/>
        <w:spacing w:before="93"/>
        <w:ind w:firstLine="600" w:firstLineChars="200"/>
        <w:rPr>
          <w:lang w:val="zh-CN"/>
        </w:rPr>
      </w:pPr>
      <w:r>
        <w:rPr>
          <w:rFonts w:hint="eastAsia"/>
          <w:lang w:val="zh-CN"/>
        </w:rPr>
        <w:t>量入为出，结合实际，根据各项费用产生的频率及数额大小在各项经济科目中进行分配。</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1．项目主要内容。2021年围绕贫困村脱贫成效巩固和提升工作，市级四好村建设巩固提升，帮助贫困群众解决具体困难。</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2．项目应实现的具体绩效目标。 帮助贫困群众解决具体问题。</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w:t>
      </w:r>
      <w:r>
        <w:rPr>
          <w:rFonts w:hint="eastAsia" w:ascii="仿宋_GB2312" w:hAnsi="宋体" w:eastAsia="仿宋_GB2312"/>
          <w:sz w:val="32"/>
          <w:szCs w:val="32"/>
        </w:rPr>
        <w:t>驻村帮扶工作经费</w:t>
      </w:r>
      <w:r>
        <w:rPr>
          <w:rFonts w:hint="eastAsia" w:ascii="仿宋_GB2312" w:hAnsi="宋体" w:eastAsia="仿宋_GB2312"/>
          <w:sz w:val="32"/>
          <w:szCs w:val="32"/>
          <w:lang w:val="zh-CN"/>
        </w:rPr>
        <w:t>申报内容与具体实施内容相符、申报目标合理可行。</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1、前期准备</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确定评价工作对象、收集项目基础资料、制定评价工作方案。评价工作方案主要包括：评价目的、评价人员、评价依据（标准）、评价指标和评价方法等。</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2、组织实施</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根据市财政下达的评价通知书，以问卷调查、现场查看、专家评议等多种形式实施绩效评价，形成绩效评价结论，提交绩效评价报告。</w:t>
      </w:r>
    </w:p>
    <w:p>
      <w:pPr>
        <w:adjustRightInd w:val="0"/>
        <w:snapToGrid w:val="0"/>
        <w:spacing w:line="600" w:lineRule="exact"/>
        <w:ind w:firstLine="720"/>
        <w:outlineLvl w:val="1"/>
        <w:rPr>
          <w:rFonts w:ascii="黑体" w:hAnsi="宋体" w:eastAsia="黑体"/>
          <w:sz w:val="32"/>
          <w:szCs w:val="32"/>
        </w:rPr>
      </w:pPr>
      <w:bookmarkStart w:id="107" w:name="_Toc18110"/>
      <w:r>
        <w:rPr>
          <w:rFonts w:hint="eastAsia" w:ascii="黑体" w:hAnsi="宋体" w:eastAsia="黑体"/>
          <w:sz w:val="32"/>
          <w:szCs w:val="32"/>
        </w:rPr>
        <w:t>二、项目资金申报及使用情况</w:t>
      </w:r>
      <w:bookmarkEnd w:id="107"/>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《广元市财政局关于批复</w:t>
      </w:r>
      <w:r>
        <w:rPr>
          <w:rFonts w:hint="eastAsia" w:ascii="仿宋_GB2312" w:hAnsi="宋体" w:eastAsia="仿宋_GB2312"/>
          <w:sz w:val="32"/>
          <w:szCs w:val="32"/>
        </w:rPr>
        <w:t>2021</w:t>
      </w:r>
      <w:r>
        <w:rPr>
          <w:rFonts w:hint="eastAsia" w:ascii="仿宋_GB2312" w:hAnsi="宋体" w:eastAsia="仿宋_GB2312"/>
          <w:sz w:val="32"/>
          <w:szCs w:val="32"/>
          <w:lang w:val="zh-CN"/>
        </w:rPr>
        <w:t>年市级部门预算的通知》（广财预〔20</w:t>
      </w:r>
      <w:r>
        <w:rPr>
          <w:rFonts w:hint="eastAsia" w:ascii="仿宋_GB2312" w:hAnsi="宋体" w:eastAsia="仿宋_GB2312"/>
          <w:sz w:val="32"/>
          <w:szCs w:val="32"/>
        </w:rPr>
        <w:t>21</w:t>
      </w:r>
      <w:r>
        <w:rPr>
          <w:rFonts w:hint="eastAsia" w:ascii="仿宋_GB2312" w:hAnsi="宋体" w:eastAsia="仿宋_GB2312"/>
          <w:sz w:val="32"/>
          <w:szCs w:val="32"/>
          <w:lang w:val="zh-CN"/>
        </w:rPr>
        <w:t>〕</w:t>
      </w:r>
      <w:r>
        <w:rPr>
          <w:rFonts w:hint="eastAsia" w:ascii="仿宋_GB2312" w:hAnsi="宋体" w:eastAsia="仿宋_GB2312"/>
          <w:sz w:val="32"/>
          <w:szCs w:val="32"/>
        </w:rPr>
        <w:t>1</w:t>
      </w:r>
      <w:r>
        <w:rPr>
          <w:rFonts w:hint="eastAsia" w:ascii="仿宋_GB2312" w:hAnsi="宋体" w:eastAsia="仿宋_GB2312"/>
          <w:sz w:val="32"/>
          <w:szCs w:val="32"/>
          <w:lang w:val="zh-CN"/>
        </w:rPr>
        <w:t>号），下达我单位</w:t>
      </w:r>
      <w:r>
        <w:rPr>
          <w:rFonts w:hint="eastAsia" w:ascii="仿宋_GB2312" w:hAnsi="宋体" w:eastAsia="仿宋_GB2312"/>
          <w:sz w:val="32"/>
          <w:szCs w:val="32"/>
        </w:rPr>
        <w:t>驻村帮扶工作经费经费1.5</w:t>
      </w:r>
      <w:r>
        <w:rPr>
          <w:rFonts w:hint="eastAsia" w:ascii="仿宋_GB2312" w:hAnsi="宋体" w:eastAsia="仿宋_GB2312"/>
          <w:sz w:val="32"/>
          <w:szCs w:val="32"/>
          <w:lang w:val="zh-CN"/>
        </w:rPr>
        <w:t>万元。</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1．资金计划。</w:t>
      </w:r>
      <w:r>
        <w:rPr>
          <w:rFonts w:hint="eastAsia" w:ascii="仿宋_GB2312" w:hAnsi="宋体" w:eastAsia="仿宋_GB2312"/>
          <w:sz w:val="32"/>
          <w:szCs w:val="32"/>
          <w:lang w:val="zh-CN"/>
        </w:rPr>
        <w:t>该笔专项经费经20</w:t>
      </w:r>
      <w:r>
        <w:rPr>
          <w:rFonts w:hint="eastAsia" w:ascii="仿宋_GB2312" w:hAnsi="宋体" w:eastAsia="仿宋_GB2312"/>
          <w:sz w:val="32"/>
          <w:szCs w:val="32"/>
        </w:rPr>
        <w:t>21</w:t>
      </w:r>
      <w:r>
        <w:rPr>
          <w:rFonts w:hint="eastAsia" w:ascii="仿宋_GB2312" w:hAnsi="宋体" w:eastAsia="仿宋_GB2312"/>
          <w:sz w:val="32"/>
          <w:szCs w:val="32"/>
          <w:lang w:val="zh-CN"/>
        </w:rPr>
        <w:t>年初下达我单位后，按序时进度每月申报使用。</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2．资金到位。</w:t>
      </w:r>
      <w:r>
        <w:rPr>
          <w:rFonts w:hint="eastAsia" w:ascii="仿宋_GB2312" w:hAnsi="宋体" w:eastAsia="仿宋_GB2312"/>
          <w:sz w:val="32"/>
          <w:szCs w:val="32"/>
          <w:lang w:val="zh-CN"/>
        </w:rPr>
        <w:t>资金到位率100%。</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3．资金使用。</w:t>
      </w:r>
      <w:r>
        <w:rPr>
          <w:rFonts w:hint="eastAsia" w:ascii="仿宋_GB2312" w:hAnsi="宋体" w:eastAsia="仿宋_GB2312"/>
          <w:sz w:val="32"/>
          <w:szCs w:val="32"/>
        </w:rPr>
        <w:t>驻村帮扶工作经费1.5</w:t>
      </w:r>
      <w:r>
        <w:rPr>
          <w:rFonts w:hint="eastAsia" w:ascii="仿宋_GB2312" w:hAnsi="宋体" w:eastAsia="仿宋_GB2312"/>
          <w:sz w:val="32"/>
          <w:szCs w:val="32"/>
          <w:lang w:val="zh-CN"/>
        </w:rPr>
        <w:t>万元</w:t>
      </w:r>
      <w:r>
        <w:rPr>
          <w:rFonts w:ascii="仿宋_GB2312" w:hAnsi="宋体" w:eastAsia="仿宋_GB2312" w:cs="仿宋_GB2312"/>
          <w:color w:val="333333"/>
          <w:sz w:val="32"/>
          <w:szCs w:val="32"/>
        </w:rPr>
        <w:t>，已全额使用，主要用于以下几个方面</w:t>
      </w:r>
      <w:r>
        <w:rPr>
          <w:rFonts w:hint="eastAsia" w:ascii="仿宋_GB2312" w:hAnsi="宋体" w:eastAsia="仿宋_GB2312" w:cs="仿宋_GB2312"/>
          <w:color w:val="333333"/>
          <w:sz w:val="32"/>
          <w:szCs w:val="32"/>
        </w:rPr>
        <w:t>：脱贫攻坚广告费0.4万元，困难户慰问1.1万元</w:t>
      </w:r>
      <w:r>
        <w:rPr>
          <w:rFonts w:ascii="仿宋_GB2312" w:hAnsi="宋体" w:eastAsia="仿宋_GB2312" w:cs="仿宋_GB2312"/>
          <w:color w:val="333333"/>
          <w:sz w:val="32"/>
          <w:szCs w:val="32"/>
        </w:rPr>
        <w:t>。资金支付依据合规合法，与预算相符。</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rPr>
        <w:t>驻村帮扶工作经费</w:t>
      </w:r>
      <w:r>
        <w:rPr>
          <w:rFonts w:hint="eastAsia" w:ascii="仿宋_GB2312" w:hAnsi="宋体" w:eastAsia="仿宋_GB2312"/>
          <w:sz w:val="32"/>
          <w:szCs w:val="32"/>
          <w:lang w:val="zh-CN"/>
        </w:rPr>
        <w:t>严格执行财经相关管理制度，财务处理及时，会计核算规范。</w:t>
      </w:r>
    </w:p>
    <w:p>
      <w:pPr>
        <w:adjustRightInd w:val="0"/>
        <w:snapToGrid w:val="0"/>
        <w:spacing w:line="600" w:lineRule="exact"/>
        <w:ind w:firstLine="720"/>
        <w:outlineLvl w:val="1"/>
        <w:rPr>
          <w:rFonts w:ascii="黑体" w:hAnsi="宋体" w:eastAsia="黑体"/>
          <w:sz w:val="32"/>
          <w:szCs w:val="32"/>
        </w:rPr>
      </w:pPr>
      <w:bookmarkStart w:id="108" w:name="_Toc596"/>
      <w:r>
        <w:rPr>
          <w:rFonts w:hint="eastAsia" w:ascii="黑体" w:hAnsi="宋体" w:eastAsia="黑体"/>
          <w:sz w:val="32"/>
          <w:szCs w:val="32"/>
        </w:rPr>
        <w:t>三、项目实施及管理情况</w:t>
      </w:r>
      <w:bookmarkEnd w:id="108"/>
    </w:p>
    <w:p>
      <w:pPr>
        <w:numPr>
          <w:ilvl w:val="0"/>
          <w:numId w:val="9"/>
        </w:num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项目组织架构及实施流程。</w:t>
      </w:r>
      <w:r>
        <w:rPr>
          <w:rFonts w:hint="eastAsia" w:ascii="仿宋_GB2312" w:hAnsi="宋体" w:eastAsia="仿宋_GB2312"/>
          <w:sz w:val="32"/>
          <w:szCs w:val="32"/>
        </w:rPr>
        <w:t>该</w:t>
      </w:r>
      <w:r>
        <w:rPr>
          <w:rFonts w:hint="eastAsia" w:ascii="仿宋_GB2312" w:hAnsi="宋体" w:eastAsia="仿宋_GB2312"/>
          <w:sz w:val="32"/>
          <w:szCs w:val="32"/>
          <w:lang w:val="zh-CN"/>
        </w:rPr>
        <w:t>专项资金实行统一预算、分类管理，</w:t>
      </w:r>
      <w:r>
        <w:rPr>
          <w:rFonts w:hint="eastAsia" w:ascii="仿宋_GB2312" w:hAnsi="宋体" w:eastAsia="仿宋_GB2312"/>
          <w:sz w:val="32"/>
          <w:szCs w:val="32"/>
        </w:rPr>
        <w:t>科所</w:t>
      </w:r>
      <w:r>
        <w:rPr>
          <w:rFonts w:hint="eastAsia" w:ascii="仿宋_GB2312" w:hAnsi="宋体" w:eastAsia="仿宋_GB2312"/>
          <w:sz w:val="32"/>
          <w:szCs w:val="32"/>
          <w:lang w:val="zh-CN"/>
        </w:rPr>
        <w:t>具体负责组织管理工作。</w:t>
      </w:r>
    </w:p>
    <w:p>
      <w:pPr>
        <w:adjustRightInd w:val="0"/>
        <w:snapToGrid w:val="0"/>
        <w:spacing w:line="600" w:lineRule="exact"/>
        <w:ind w:firstLine="643" w:firstLineChars="200"/>
        <w:rPr>
          <w:rFonts w:ascii="仿宋_GB2312" w:hAnsi="宋体" w:eastAsia="仿宋_GB2312"/>
          <w:sz w:val="32"/>
          <w:szCs w:val="32"/>
          <w:lang w:val="zh-CN"/>
        </w:rPr>
      </w:pPr>
      <w:r>
        <w:rPr>
          <w:rFonts w:hint="eastAsia" w:ascii="楷体_GB2312" w:hAnsi="宋体" w:eastAsia="楷体_GB2312"/>
          <w:b/>
          <w:sz w:val="32"/>
          <w:szCs w:val="32"/>
          <w:lang w:val="zh-CN"/>
        </w:rPr>
        <w:t>（二）项目管理情况。</w:t>
      </w:r>
      <w:r>
        <w:rPr>
          <w:rFonts w:hint="eastAsia" w:ascii="仿宋_GB2312" w:hAnsi="宋体" w:eastAsia="仿宋_GB2312"/>
          <w:sz w:val="32"/>
          <w:szCs w:val="32"/>
          <w:lang w:val="zh-CN"/>
        </w:rPr>
        <w:t>该项目按时间进度完成各项任务，按实际发生的金额支付。</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（三）项目监管情况。</w:t>
      </w:r>
      <w:r>
        <w:rPr>
          <w:rFonts w:hint="eastAsia" w:ascii="仿宋_GB2312" w:hAnsi="宋体" w:eastAsia="仿宋_GB2312"/>
          <w:sz w:val="32"/>
          <w:szCs w:val="32"/>
          <w:lang w:val="zh-CN"/>
        </w:rPr>
        <w:t>主管部门年中开展了项目支出绩效监控评价。</w:t>
      </w:r>
    </w:p>
    <w:p>
      <w:pPr>
        <w:adjustRightInd w:val="0"/>
        <w:snapToGrid w:val="0"/>
        <w:spacing w:line="600" w:lineRule="exact"/>
        <w:ind w:firstLine="720"/>
        <w:outlineLvl w:val="1"/>
        <w:rPr>
          <w:rFonts w:ascii="仿宋_GB2312" w:hAnsi="宋体" w:eastAsia="仿宋_GB2312"/>
          <w:sz w:val="32"/>
          <w:szCs w:val="32"/>
          <w:lang w:val="zh-CN"/>
        </w:rPr>
      </w:pPr>
      <w:bookmarkStart w:id="109" w:name="_Toc15454"/>
      <w:r>
        <w:rPr>
          <w:rFonts w:hint="eastAsia" w:ascii="黑体" w:hAnsi="宋体" w:eastAsia="黑体"/>
          <w:sz w:val="32"/>
          <w:szCs w:val="32"/>
        </w:rPr>
        <w:t>四、项目绩效情况</w:t>
      </w:r>
      <w:bookmarkEnd w:id="109"/>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ascii="仿宋_GB2312" w:eastAsia="仿宋_GB2312"/>
          <w:sz w:val="32"/>
          <w:szCs w:val="32"/>
        </w:rPr>
      </w:pPr>
      <w:r>
        <w:rPr>
          <w:rFonts w:hint="eastAsia" w:ascii="仿宋_GB2312" w:eastAsia="仿宋_GB2312"/>
          <w:sz w:val="32"/>
          <w:szCs w:val="32"/>
        </w:rPr>
        <w:t>巩固拓展脱贫攻坚成效，助力乡村振兴，帮助联系村石牌村销售金丝皇菊1500余份，实现村集体经济收入近12万元。</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项目的社会效益良好，服务对象满意度高</w:t>
      </w:r>
    </w:p>
    <w:p>
      <w:pPr>
        <w:adjustRightInd w:val="0"/>
        <w:snapToGrid w:val="0"/>
        <w:spacing w:line="600" w:lineRule="exact"/>
        <w:ind w:firstLine="720"/>
        <w:outlineLvl w:val="1"/>
        <w:rPr>
          <w:rFonts w:ascii="黑体" w:hAnsi="宋体" w:eastAsia="黑体"/>
          <w:sz w:val="32"/>
          <w:szCs w:val="32"/>
        </w:rPr>
      </w:pPr>
      <w:bookmarkStart w:id="110" w:name="_Toc4618"/>
      <w:r>
        <w:rPr>
          <w:rFonts w:hint="eastAsia" w:ascii="黑体" w:hAnsi="宋体" w:eastAsia="黑体"/>
          <w:sz w:val="32"/>
          <w:szCs w:val="32"/>
        </w:rPr>
        <w:t>五、评价结论及建议</w:t>
      </w:r>
      <w:bookmarkEnd w:id="110"/>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巩固拓展脱贫攻坚成效，助力乡村振兴，帮助联系村石牌村销售金丝皇菊1500余份，实现村集体经济收入近12万元，受益群众满意度达100%，评论结论为“好”。</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绩效考评办法不够完善，不够具体，可操作性不强，需进一步加强。</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内控管理制度不够完善，不够系统，需进一步完善和加强。</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pStyle w:val="6"/>
        <w:spacing w:before="93"/>
        <w:ind w:firstLine="640" w:firstLineChars="200"/>
        <w:rPr>
          <w:lang w:val="zh-CN"/>
        </w:rPr>
      </w:pPr>
      <w:r>
        <w:rPr>
          <w:rFonts w:hint="eastAsia" w:hAnsi="宋体"/>
          <w:sz w:val="32"/>
          <w:szCs w:val="32"/>
          <w:lang w:val="zh-CN"/>
        </w:rPr>
        <w:t>做好项目实施的跟踪检查工作。定期不定期地对项目实施情况和经费使用情况进行跟踪检查，对能实现预期绩效目标的项目予以充分肯定，对进展缓慢，预期绩效目标较差的项目，及时进行协调和提出整改措施，确保项目实施工作正常运行，达到预期绩效目标。</w:t>
      </w:r>
    </w:p>
    <w:p>
      <w:pPr>
        <w:spacing w:line="572" w:lineRule="exact"/>
        <w:jc w:val="left"/>
        <w:rPr>
          <w:rFonts w:ascii="黑体" w:hAnsi="黑体" w:eastAsia="黑体" w:cs="黑体"/>
          <w:sz w:val="32"/>
          <w:szCs w:val="32"/>
        </w:rPr>
      </w:pPr>
    </w:p>
    <w:p>
      <w:pPr>
        <w:spacing w:line="572" w:lineRule="exact"/>
        <w:jc w:val="left"/>
        <w:outlineLvl w:val="0"/>
        <w:rPr>
          <w:rFonts w:ascii="仿宋_GB2312" w:hAnsi="仿宋_GB2312" w:eastAsia="黑体" w:cs="仿宋_GB2312"/>
          <w:sz w:val="32"/>
          <w:szCs w:val="32"/>
        </w:rPr>
      </w:pPr>
      <w:bookmarkStart w:id="111" w:name="_Toc26393"/>
      <w:r>
        <w:rPr>
          <w:rFonts w:hint="eastAsia" w:ascii="黑体" w:hAnsi="黑体" w:eastAsia="黑体" w:cs="黑体"/>
          <w:sz w:val="32"/>
          <w:szCs w:val="32"/>
        </w:rPr>
        <w:t>附表</w:t>
      </w:r>
      <w:bookmarkEnd w:id="111"/>
    </w:p>
    <w:tbl>
      <w:tblPr>
        <w:tblStyle w:val="13"/>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6"/>
        <w:gridCol w:w="1142"/>
        <w:gridCol w:w="1635"/>
        <w:gridCol w:w="1189"/>
        <w:gridCol w:w="1224"/>
        <w:gridCol w:w="2409"/>
        <w:gridCol w:w="236"/>
      </w:tblGrid>
      <w:tr>
        <w:tblPrEx>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widowControl/>
              <w:jc w:val="center"/>
              <w:textAlignment w:val="center"/>
              <w:rPr>
                <w:rFonts w:ascii="宋体" w:hAnsi="宋体" w:cs="宋体"/>
                <w:b/>
                <w:sz w:val="32"/>
                <w:szCs w:val="32"/>
              </w:rPr>
            </w:pPr>
            <w:r>
              <w:rPr>
                <w:rFonts w:hint="eastAsia" w:ascii="宋体" w:hAnsi="宋体" w:cs="宋体"/>
                <w:b/>
                <w:sz w:val="32"/>
                <w:szCs w:val="32"/>
              </w:rPr>
              <w:t>2021年部门预算项目绩效目标自评</w:t>
            </w:r>
          </w:p>
        </w:tc>
        <w:tc>
          <w:tcPr>
            <w:tcW w:w="234"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 w:val="32"/>
                <w:szCs w:val="32"/>
              </w:rPr>
            </w:pPr>
          </w:p>
        </w:tc>
      </w:tr>
      <w:tr>
        <w:tblPrEx>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广元市疾病预防控制中心</w:t>
            </w:r>
          </w:p>
        </w:tc>
      </w:tr>
      <w:tr>
        <w:tblPrEx>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项目预算</w:t>
            </w:r>
            <w:r>
              <w:rPr>
                <w:rFonts w:hint="eastAsia" w:ascii="宋体" w:hAnsi="宋体" w:cs="宋体"/>
                <w:kern w:val="0"/>
                <w:sz w:val="24"/>
              </w:rPr>
              <w:br w:type="textWrapping"/>
            </w:r>
            <w:r>
              <w:rPr>
                <w:rFonts w:hint="eastAsia" w:ascii="宋体" w:hAnsi="宋体" w:cs="宋体"/>
                <w:kern w:val="0"/>
                <w:sz w:val="24"/>
              </w:rPr>
              <w:t>执行情况</w:t>
            </w:r>
            <w:r>
              <w:rPr>
                <w:rFonts w:hint="eastAsia" w:ascii="宋体" w:hAnsi="宋体" w:cs="宋体"/>
                <w:kern w:val="0"/>
                <w:sz w:val="24"/>
              </w:rPr>
              <w:br w:type="textWrapping"/>
            </w:r>
            <w:r>
              <w:rPr>
                <w:rFonts w:hint="eastAsia" w:ascii="宋体" w:hAnsi="宋体" w:cs="宋体"/>
                <w:kern w:val="0"/>
                <w:sz w:val="24"/>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1.5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1.5</w:t>
            </w:r>
          </w:p>
        </w:tc>
      </w:tr>
      <w:tr>
        <w:tblPrEx>
          <w:tblCellMar>
            <w:top w:w="0" w:type="dxa"/>
            <w:left w:w="108" w:type="dxa"/>
            <w:bottom w:w="0" w:type="dxa"/>
            <w:right w:w="108" w:type="dxa"/>
          </w:tblCellMar>
        </w:tblPrEx>
        <w:trPr>
          <w:gridAfter w:val="1"/>
          <w:wAfter w:w="234" w:type="dxa"/>
          <w:trHeight w:val="624"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1.5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1.5</w:t>
            </w:r>
          </w:p>
        </w:tc>
      </w:tr>
      <w:tr>
        <w:tblPrEx>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p>
        </w:tc>
      </w:tr>
      <w:tr>
        <w:tblPrEx>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年度总体目标</w:t>
            </w:r>
          </w:p>
          <w:p>
            <w:pPr>
              <w:widowControl/>
              <w:spacing w:line="320" w:lineRule="exact"/>
              <w:jc w:val="center"/>
              <w:textAlignment w:val="center"/>
              <w:rPr>
                <w:rFonts w:ascii="宋体" w:hAnsi="宋体" w:cs="宋体"/>
                <w:sz w:val="24"/>
              </w:rPr>
            </w:pPr>
            <w:r>
              <w:rPr>
                <w:rFonts w:hint="eastAsia" w:ascii="宋体" w:hAnsi="宋体" w:cs="宋体"/>
                <w:kern w:val="0"/>
                <w:sz w:val="24"/>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目标实际完成情况</w:t>
            </w:r>
          </w:p>
        </w:tc>
      </w:tr>
      <w:tr>
        <w:tblPrEx>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24"/>
              </w:rPr>
              <w:t xml:space="preserve"> 2021年围绕贫困村脱贫成效巩固和提升工作，市级四好村建设巩固提升，帮助贫困群众解决具体困难，按需购买办公用具及耗材。</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rPr>
              <w:t>2021年巩固脱贫成果，巩固住再往前走，同乡村振兴有效衔接。帮助联系村石牌村销售金丝皇菊1500余份，实现村集体经济收入近12万元。</w:t>
            </w:r>
          </w:p>
        </w:tc>
      </w:tr>
      <w:tr>
        <w:tblPrEx>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tblPrEx>
          <w:tblCellMar>
            <w:top w:w="0" w:type="dxa"/>
            <w:left w:w="108" w:type="dxa"/>
            <w:bottom w:w="0" w:type="dxa"/>
            <w:right w:w="108" w:type="dxa"/>
          </w:tblCellMar>
        </w:tblPrEx>
        <w:trPr>
          <w:gridAfter w:val="1"/>
          <w:wAfter w:w="234" w:type="dxa"/>
          <w:trHeight w:val="1029"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abs>
                <w:tab w:val="left" w:pos="276"/>
              </w:tabs>
              <w:spacing w:line="320" w:lineRule="exact"/>
              <w:jc w:val="left"/>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农业专家到村指导培训</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8次</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9次</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abs>
                <w:tab w:val="left" w:pos="276"/>
              </w:tabs>
              <w:spacing w:line="320" w:lineRule="exact"/>
              <w:jc w:val="left"/>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帮助贫困群众解决具体问题</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以实际为准</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rPr>
              <w:t>帮助联系村石牌村销售金丝皇菊1500余份，实现村集体经济收入近12万元。</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完成时间</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2021年12月31日前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2021年12月31日前</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rPr>
              <w:t>发动群众积极参与脱贫奔康工作</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营造良好环境氛围，提升群众满意度</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巩固拓展脱贫攻坚成效，助力乡村振兴。</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驻村帮扶工作认可度、满意度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增强群众获得感</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rPr>
              <w:t>增强目标意识，赢得群众的信任和支持。</w:t>
            </w: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服务对象满意度</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rPr>
              <w:t>群众满意度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r>
      <w:tr>
        <w:tblPrEx>
          <w:tblCellMar>
            <w:top w:w="0" w:type="dxa"/>
            <w:left w:w="108" w:type="dxa"/>
            <w:bottom w:w="0" w:type="dxa"/>
            <w:right w:w="108" w:type="dxa"/>
          </w:tblCellMar>
        </w:tblPrEx>
        <w:trPr>
          <w:gridAfter w:val="1"/>
          <w:wAfter w:w="234" w:type="dxa"/>
          <w:trHeight w:val="577"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项目主管部门满意度</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rPr>
              <w:t>上级部门满意度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r>
    </w:tbl>
    <w:p>
      <w:pPr>
        <w:spacing w:line="600" w:lineRule="exact"/>
        <w:jc w:val="center"/>
        <w:rPr>
          <w:rFonts w:ascii="黑体" w:hAnsi="黑体" w:eastAsia="黑体"/>
          <w:sz w:val="44"/>
          <w:szCs w:val="44"/>
        </w:rPr>
      </w:pPr>
    </w:p>
    <w:p>
      <w:pPr>
        <w:spacing w:line="600" w:lineRule="exact"/>
        <w:jc w:val="center"/>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仿宋" w:hAnsi="仿宋" w:eastAsia="仿宋"/>
        </w:rPr>
      </w:pPr>
      <w:bookmarkStart w:id="112" w:name="_Toc356"/>
      <w:r>
        <w:rPr>
          <w:rFonts w:hint="eastAsia" w:ascii="黑体" w:hAnsi="黑体" w:eastAsia="黑体"/>
          <w:sz w:val="44"/>
          <w:szCs w:val="44"/>
        </w:rPr>
        <w:t>第</w:t>
      </w:r>
      <w:r>
        <w:rPr>
          <w:rStyle w:val="25"/>
          <w:rFonts w:hint="eastAsia" w:ascii="黑体" w:hAnsi="黑体" w:eastAsia="黑体"/>
          <w:b w:val="0"/>
        </w:rPr>
        <w:t>五部分 附表</w:t>
      </w:r>
      <w:bookmarkEnd w:id="79"/>
      <w:bookmarkEnd w:id="87"/>
      <w:bookmarkEnd w:id="112"/>
      <w:bookmarkStart w:id="113" w:name="_Toc15396619"/>
    </w:p>
    <w:bookmarkEnd w:id="113"/>
    <w:p>
      <w:pPr>
        <w:spacing w:line="560" w:lineRule="exact"/>
        <w:jc w:val="left"/>
        <w:rPr>
          <w:rFonts w:ascii="仿宋_GB2312" w:eastAsia="仿宋_GB2312"/>
          <w:color w:val="000000"/>
          <w:kern w:val="0"/>
          <w:sz w:val="32"/>
          <w:szCs w:val="32"/>
          <w:shd w:val="clear" w:color="auto" w:fill="FFFFFF"/>
        </w:rPr>
      </w:pPr>
      <w:bookmarkStart w:id="114" w:name="_Toc13980"/>
      <w:bookmarkStart w:id="115" w:name="_Toc7709"/>
      <w:bookmarkStart w:id="116" w:name="_Toc17299"/>
      <w:bookmarkStart w:id="117" w:name="_Toc5905"/>
      <w:bookmarkStart w:id="118" w:name="_Toc23286"/>
      <w:r>
        <w:rPr>
          <w:rFonts w:hint="eastAsia" w:ascii="仿宋_GB2312" w:eastAsia="仿宋_GB2312"/>
          <w:color w:val="000000"/>
          <w:kern w:val="0"/>
          <w:sz w:val="32"/>
          <w:szCs w:val="32"/>
          <w:shd w:val="clear" w:color="auto" w:fill="FFFFFF"/>
        </w:rPr>
        <w:t>一、收入支出决算总表</w:t>
      </w:r>
      <w:bookmarkEnd w:id="114"/>
      <w:bookmarkEnd w:id="115"/>
      <w:bookmarkEnd w:id="116"/>
      <w:bookmarkEnd w:id="117"/>
      <w:bookmarkEnd w:id="118"/>
    </w:p>
    <w:p>
      <w:pPr>
        <w:spacing w:line="560" w:lineRule="exact"/>
        <w:jc w:val="left"/>
        <w:rPr>
          <w:rFonts w:ascii="仿宋_GB2312" w:eastAsia="仿宋_GB2312"/>
          <w:color w:val="000000"/>
          <w:kern w:val="0"/>
          <w:sz w:val="32"/>
          <w:szCs w:val="32"/>
          <w:shd w:val="clear" w:color="auto" w:fill="FFFFFF"/>
        </w:rPr>
      </w:pPr>
      <w:bookmarkStart w:id="119" w:name="_Toc30147"/>
      <w:bookmarkStart w:id="120" w:name="_Toc15396620"/>
      <w:bookmarkStart w:id="121" w:name="_Toc1244"/>
      <w:bookmarkStart w:id="122" w:name="_Toc26525"/>
      <w:bookmarkStart w:id="123" w:name="_Toc26137"/>
      <w:bookmarkStart w:id="124" w:name="_Toc4764"/>
      <w:r>
        <w:rPr>
          <w:rFonts w:hint="eastAsia" w:ascii="仿宋_GB2312" w:eastAsia="仿宋_GB2312"/>
          <w:color w:val="000000"/>
          <w:kern w:val="0"/>
          <w:sz w:val="32"/>
          <w:szCs w:val="32"/>
          <w:shd w:val="clear" w:color="auto" w:fill="FFFFFF"/>
        </w:rPr>
        <w:t>二、收入决算表</w:t>
      </w:r>
      <w:bookmarkEnd w:id="119"/>
      <w:bookmarkEnd w:id="120"/>
      <w:bookmarkEnd w:id="121"/>
      <w:bookmarkEnd w:id="122"/>
      <w:bookmarkEnd w:id="123"/>
      <w:bookmarkEnd w:id="124"/>
    </w:p>
    <w:p>
      <w:pPr>
        <w:spacing w:line="560" w:lineRule="exact"/>
        <w:jc w:val="left"/>
        <w:rPr>
          <w:rFonts w:ascii="仿宋_GB2312" w:eastAsia="仿宋_GB2312"/>
          <w:color w:val="000000"/>
          <w:kern w:val="0"/>
          <w:sz w:val="32"/>
          <w:szCs w:val="32"/>
          <w:shd w:val="clear" w:color="auto" w:fill="FFFFFF"/>
        </w:rPr>
      </w:pPr>
      <w:bookmarkStart w:id="125" w:name="_Toc11435"/>
      <w:bookmarkStart w:id="126" w:name="_Toc19617"/>
      <w:bookmarkStart w:id="127" w:name="_Toc27972"/>
      <w:bookmarkStart w:id="128" w:name="_Toc15396621"/>
      <w:bookmarkStart w:id="129" w:name="_Toc17332"/>
      <w:bookmarkStart w:id="130" w:name="_Toc25632"/>
      <w:r>
        <w:rPr>
          <w:rFonts w:hint="eastAsia" w:ascii="仿宋_GB2312" w:eastAsia="仿宋_GB2312"/>
          <w:color w:val="000000"/>
          <w:kern w:val="0"/>
          <w:sz w:val="32"/>
          <w:szCs w:val="32"/>
          <w:shd w:val="clear" w:color="auto" w:fill="FFFFFF"/>
        </w:rPr>
        <w:t>三、支出决算表</w:t>
      </w:r>
      <w:bookmarkEnd w:id="125"/>
      <w:bookmarkEnd w:id="126"/>
      <w:bookmarkEnd w:id="127"/>
      <w:bookmarkEnd w:id="128"/>
      <w:bookmarkEnd w:id="129"/>
      <w:bookmarkEnd w:id="130"/>
    </w:p>
    <w:p>
      <w:pPr>
        <w:spacing w:line="560" w:lineRule="exact"/>
        <w:jc w:val="left"/>
        <w:rPr>
          <w:rFonts w:ascii="仿宋_GB2312" w:eastAsia="仿宋_GB2312"/>
          <w:color w:val="000000"/>
          <w:kern w:val="0"/>
          <w:sz w:val="32"/>
          <w:szCs w:val="32"/>
          <w:shd w:val="clear" w:color="auto" w:fill="FFFFFF"/>
        </w:rPr>
      </w:pPr>
      <w:bookmarkStart w:id="131" w:name="_Toc24801"/>
      <w:bookmarkStart w:id="132" w:name="_Toc15396622"/>
      <w:bookmarkStart w:id="133" w:name="_Toc2193"/>
      <w:bookmarkStart w:id="134" w:name="_Toc14321"/>
      <w:bookmarkStart w:id="135" w:name="_Toc32595"/>
      <w:bookmarkStart w:id="136" w:name="_Toc28440"/>
      <w:r>
        <w:rPr>
          <w:rFonts w:hint="eastAsia" w:ascii="仿宋_GB2312" w:eastAsia="仿宋_GB2312"/>
          <w:color w:val="000000"/>
          <w:kern w:val="0"/>
          <w:sz w:val="32"/>
          <w:szCs w:val="32"/>
          <w:shd w:val="clear" w:color="auto" w:fill="FFFFFF"/>
        </w:rPr>
        <w:t>四、财政拨款收入支出决算总表</w:t>
      </w:r>
      <w:bookmarkEnd w:id="131"/>
      <w:bookmarkEnd w:id="132"/>
      <w:bookmarkEnd w:id="133"/>
      <w:bookmarkEnd w:id="134"/>
      <w:bookmarkEnd w:id="135"/>
      <w:bookmarkEnd w:id="136"/>
    </w:p>
    <w:p>
      <w:pPr>
        <w:spacing w:line="560" w:lineRule="exact"/>
        <w:jc w:val="left"/>
        <w:rPr>
          <w:rFonts w:ascii="仿宋_GB2312" w:eastAsia="仿宋_GB2312"/>
          <w:color w:val="000000"/>
          <w:kern w:val="0"/>
          <w:sz w:val="32"/>
          <w:szCs w:val="32"/>
          <w:shd w:val="clear" w:color="auto" w:fill="FFFFFF"/>
        </w:rPr>
      </w:pPr>
      <w:bookmarkStart w:id="137" w:name="_Toc15396623"/>
      <w:bookmarkStart w:id="138" w:name="_Toc7763"/>
      <w:bookmarkStart w:id="139" w:name="_Toc939"/>
      <w:bookmarkStart w:id="140" w:name="_Toc17714"/>
      <w:bookmarkStart w:id="141" w:name="_Toc31708"/>
      <w:bookmarkStart w:id="142" w:name="_Toc29228"/>
      <w:r>
        <w:rPr>
          <w:rFonts w:hint="eastAsia" w:ascii="仿宋_GB2312" w:eastAsia="仿宋_GB2312"/>
          <w:color w:val="000000"/>
          <w:kern w:val="0"/>
          <w:sz w:val="32"/>
          <w:szCs w:val="32"/>
          <w:shd w:val="clear" w:color="auto" w:fill="FFFFFF"/>
        </w:rPr>
        <w:t>五、财政拨款支出决算明细表</w:t>
      </w:r>
      <w:bookmarkEnd w:id="137"/>
      <w:bookmarkEnd w:id="138"/>
      <w:bookmarkEnd w:id="139"/>
      <w:bookmarkEnd w:id="140"/>
      <w:bookmarkEnd w:id="141"/>
      <w:bookmarkEnd w:id="142"/>
      <w:bookmarkStart w:id="143" w:name="_Toc15396624"/>
    </w:p>
    <w:p>
      <w:pPr>
        <w:spacing w:line="560" w:lineRule="exact"/>
        <w:jc w:val="left"/>
        <w:rPr>
          <w:rFonts w:ascii="仿宋_GB2312" w:eastAsia="仿宋_GB2312"/>
          <w:color w:val="000000"/>
          <w:kern w:val="0"/>
          <w:sz w:val="32"/>
          <w:szCs w:val="32"/>
          <w:shd w:val="clear" w:color="auto" w:fill="FFFFFF"/>
        </w:rPr>
      </w:pPr>
      <w:bookmarkStart w:id="144" w:name="_Toc30780"/>
      <w:bookmarkStart w:id="145" w:name="_Toc13863"/>
      <w:bookmarkStart w:id="146" w:name="_Toc32519"/>
      <w:bookmarkStart w:id="147" w:name="_Toc7868"/>
      <w:bookmarkStart w:id="148" w:name="_Toc9679"/>
      <w:r>
        <w:rPr>
          <w:rFonts w:hint="eastAsia" w:ascii="仿宋_GB2312" w:eastAsia="仿宋_GB2312"/>
          <w:color w:val="000000"/>
          <w:kern w:val="0"/>
          <w:sz w:val="32"/>
          <w:szCs w:val="32"/>
          <w:shd w:val="clear" w:color="auto" w:fill="FFFFFF"/>
        </w:rPr>
        <w:t>六、一般公共预算财政拨款支出决算表</w:t>
      </w:r>
      <w:bookmarkEnd w:id="143"/>
      <w:bookmarkEnd w:id="144"/>
      <w:bookmarkEnd w:id="145"/>
      <w:bookmarkEnd w:id="146"/>
      <w:bookmarkEnd w:id="147"/>
      <w:bookmarkEnd w:id="148"/>
    </w:p>
    <w:p>
      <w:pPr>
        <w:spacing w:line="560" w:lineRule="exact"/>
        <w:jc w:val="left"/>
        <w:rPr>
          <w:rFonts w:ascii="仿宋_GB2312" w:eastAsia="仿宋_GB2312"/>
          <w:color w:val="000000"/>
          <w:kern w:val="0"/>
          <w:sz w:val="32"/>
          <w:szCs w:val="32"/>
          <w:shd w:val="clear" w:color="auto" w:fill="FFFFFF"/>
        </w:rPr>
      </w:pPr>
      <w:bookmarkStart w:id="149" w:name="_Toc10067"/>
      <w:bookmarkStart w:id="150" w:name="_Toc22521"/>
      <w:bookmarkStart w:id="151" w:name="_Toc3938"/>
      <w:bookmarkStart w:id="152" w:name="_Toc3555"/>
      <w:bookmarkStart w:id="153" w:name="_Toc14246"/>
      <w:bookmarkStart w:id="154" w:name="_Toc15396625"/>
      <w:r>
        <w:rPr>
          <w:rFonts w:hint="eastAsia" w:ascii="仿宋_GB2312" w:eastAsia="仿宋_GB2312"/>
          <w:color w:val="000000"/>
          <w:kern w:val="0"/>
          <w:sz w:val="32"/>
          <w:szCs w:val="32"/>
          <w:shd w:val="clear" w:color="auto" w:fill="FFFFFF"/>
        </w:rPr>
        <w:t>七、一般公共预算财政拨款支出决算明细表</w:t>
      </w:r>
      <w:bookmarkEnd w:id="149"/>
      <w:bookmarkEnd w:id="150"/>
      <w:bookmarkEnd w:id="151"/>
      <w:bookmarkEnd w:id="152"/>
      <w:bookmarkEnd w:id="153"/>
      <w:bookmarkEnd w:id="154"/>
    </w:p>
    <w:p>
      <w:pPr>
        <w:spacing w:line="560" w:lineRule="exact"/>
        <w:jc w:val="left"/>
        <w:rPr>
          <w:rFonts w:ascii="仿宋_GB2312" w:eastAsia="仿宋_GB2312"/>
          <w:color w:val="000000"/>
          <w:kern w:val="0"/>
          <w:sz w:val="32"/>
          <w:szCs w:val="32"/>
          <w:shd w:val="clear" w:color="auto" w:fill="FFFFFF"/>
        </w:rPr>
      </w:pPr>
      <w:bookmarkStart w:id="155" w:name="_Toc13264"/>
      <w:bookmarkStart w:id="156" w:name="_Toc15396626"/>
      <w:bookmarkStart w:id="157" w:name="_Toc17771"/>
      <w:bookmarkStart w:id="158" w:name="_Toc16614"/>
      <w:bookmarkStart w:id="159" w:name="_Toc20083"/>
      <w:bookmarkStart w:id="160" w:name="_Toc26773"/>
      <w:r>
        <w:rPr>
          <w:rFonts w:hint="eastAsia" w:ascii="仿宋_GB2312" w:eastAsia="仿宋_GB2312"/>
          <w:color w:val="000000"/>
          <w:kern w:val="0"/>
          <w:sz w:val="32"/>
          <w:szCs w:val="32"/>
          <w:shd w:val="clear" w:color="auto" w:fill="FFFFFF"/>
        </w:rPr>
        <w:t>八、一般公共预算财政拨款基本支出决算表</w:t>
      </w:r>
      <w:bookmarkEnd w:id="155"/>
      <w:bookmarkEnd w:id="156"/>
      <w:bookmarkEnd w:id="157"/>
      <w:bookmarkEnd w:id="158"/>
      <w:bookmarkEnd w:id="159"/>
      <w:bookmarkEnd w:id="160"/>
    </w:p>
    <w:p>
      <w:pPr>
        <w:spacing w:line="560" w:lineRule="exact"/>
        <w:jc w:val="left"/>
        <w:rPr>
          <w:rFonts w:ascii="仿宋_GB2312" w:eastAsia="仿宋_GB2312"/>
          <w:color w:val="000000"/>
          <w:kern w:val="0"/>
          <w:sz w:val="32"/>
          <w:szCs w:val="32"/>
          <w:shd w:val="clear" w:color="auto" w:fill="FFFFFF"/>
        </w:rPr>
      </w:pPr>
      <w:bookmarkStart w:id="161" w:name="_Toc3071"/>
      <w:bookmarkStart w:id="162" w:name="_Toc12655"/>
      <w:bookmarkStart w:id="163" w:name="_Toc6326"/>
      <w:bookmarkStart w:id="164" w:name="_Toc475"/>
      <w:bookmarkStart w:id="165" w:name="_Toc15396627"/>
      <w:bookmarkStart w:id="166" w:name="_Toc1622"/>
      <w:r>
        <w:rPr>
          <w:rFonts w:hint="eastAsia" w:ascii="仿宋_GB2312" w:eastAsia="仿宋_GB2312"/>
          <w:color w:val="000000"/>
          <w:kern w:val="0"/>
          <w:sz w:val="32"/>
          <w:szCs w:val="32"/>
          <w:shd w:val="clear" w:color="auto" w:fill="FFFFFF"/>
        </w:rPr>
        <w:t>九、一般公共预算财政拨款项目支出决算表</w:t>
      </w:r>
      <w:bookmarkEnd w:id="161"/>
      <w:bookmarkEnd w:id="162"/>
      <w:bookmarkEnd w:id="163"/>
      <w:bookmarkEnd w:id="164"/>
      <w:bookmarkEnd w:id="165"/>
      <w:bookmarkEnd w:id="166"/>
    </w:p>
    <w:p>
      <w:pPr>
        <w:spacing w:line="560" w:lineRule="exact"/>
        <w:jc w:val="left"/>
        <w:rPr>
          <w:rFonts w:ascii="仿宋_GB2312" w:eastAsia="仿宋_GB2312"/>
          <w:color w:val="000000"/>
          <w:kern w:val="0"/>
          <w:sz w:val="32"/>
          <w:szCs w:val="32"/>
          <w:shd w:val="clear" w:color="auto" w:fill="FFFFFF"/>
        </w:rPr>
      </w:pPr>
      <w:bookmarkStart w:id="167" w:name="_Toc24269"/>
      <w:bookmarkStart w:id="168" w:name="_Toc5897"/>
      <w:bookmarkStart w:id="169" w:name="_Toc20424"/>
      <w:bookmarkStart w:id="170" w:name="_Toc15275"/>
      <w:bookmarkStart w:id="171" w:name="_Toc15396628"/>
      <w:bookmarkStart w:id="172" w:name="_Toc23539"/>
      <w:r>
        <w:rPr>
          <w:rFonts w:hint="eastAsia" w:ascii="仿宋_GB2312" w:eastAsia="仿宋_GB2312"/>
          <w:color w:val="000000"/>
          <w:kern w:val="0"/>
          <w:sz w:val="32"/>
          <w:szCs w:val="32"/>
          <w:shd w:val="clear" w:color="auto" w:fill="FFFFFF"/>
        </w:rPr>
        <w:t>十、一般公共预算财政拨款“三公”经费支出决算表</w:t>
      </w:r>
      <w:bookmarkEnd w:id="167"/>
      <w:bookmarkEnd w:id="168"/>
      <w:bookmarkEnd w:id="169"/>
      <w:bookmarkEnd w:id="170"/>
      <w:bookmarkEnd w:id="171"/>
      <w:bookmarkEnd w:id="172"/>
    </w:p>
    <w:p>
      <w:pPr>
        <w:spacing w:line="560" w:lineRule="exact"/>
        <w:jc w:val="left"/>
        <w:rPr>
          <w:rFonts w:ascii="仿宋_GB2312" w:eastAsia="仿宋_GB2312"/>
          <w:color w:val="000000"/>
          <w:kern w:val="0"/>
          <w:sz w:val="32"/>
          <w:szCs w:val="32"/>
          <w:shd w:val="clear" w:color="auto" w:fill="FFFFFF"/>
        </w:rPr>
      </w:pPr>
      <w:bookmarkStart w:id="173" w:name="_Toc3904"/>
      <w:bookmarkStart w:id="174" w:name="_Toc1714"/>
      <w:bookmarkStart w:id="175" w:name="_Toc18779"/>
      <w:bookmarkStart w:id="176" w:name="_Toc13582"/>
      <w:bookmarkStart w:id="177" w:name="_Toc413"/>
      <w:bookmarkStart w:id="178" w:name="_Toc15396629"/>
      <w:r>
        <w:rPr>
          <w:rFonts w:hint="eastAsia" w:ascii="仿宋_GB2312" w:eastAsia="仿宋_GB2312"/>
          <w:color w:val="000000"/>
          <w:kern w:val="0"/>
          <w:sz w:val="32"/>
          <w:szCs w:val="32"/>
          <w:shd w:val="clear" w:color="auto" w:fill="FFFFFF"/>
        </w:rPr>
        <w:t>十一、政府性基金预算财政拨款收入支出决算表</w:t>
      </w:r>
      <w:bookmarkEnd w:id="173"/>
      <w:bookmarkEnd w:id="174"/>
      <w:bookmarkEnd w:id="175"/>
      <w:bookmarkEnd w:id="176"/>
      <w:bookmarkEnd w:id="177"/>
      <w:bookmarkEnd w:id="178"/>
    </w:p>
    <w:p>
      <w:pPr>
        <w:spacing w:line="560" w:lineRule="exact"/>
        <w:jc w:val="left"/>
        <w:rPr>
          <w:rFonts w:ascii="仿宋_GB2312" w:eastAsia="仿宋_GB2312"/>
          <w:color w:val="000000"/>
          <w:kern w:val="0"/>
          <w:sz w:val="32"/>
          <w:szCs w:val="32"/>
          <w:shd w:val="clear" w:color="auto" w:fill="FFFFFF"/>
        </w:rPr>
      </w:pPr>
      <w:bookmarkStart w:id="179" w:name="_Toc2264"/>
      <w:bookmarkStart w:id="180" w:name="_Toc15396630"/>
      <w:bookmarkStart w:id="181" w:name="_Toc31808"/>
      <w:bookmarkStart w:id="182" w:name="_Toc17462"/>
      <w:bookmarkStart w:id="183" w:name="_Toc28625"/>
      <w:bookmarkStart w:id="184" w:name="_Toc14403"/>
      <w:r>
        <w:rPr>
          <w:rFonts w:hint="eastAsia" w:ascii="仿宋_GB2312" w:eastAsia="仿宋_GB2312"/>
          <w:color w:val="000000"/>
          <w:kern w:val="0"/>
          <w:sz w:val="32"/>
          <w:szCs w:val="32"/>
          <w:shd w:val="clear" w:color="auto" w:fill="FFFFFF"/>
        </w:rPr>
        <w:t>十二、政府性基金预算财政拨款“三公”经费支出决算表</w:t>
      </w:r>
      <w:bookmarkEnd w:id="179"/>
      <w:bookmarkEnd w:id="180"/>
      <w:bookmarkEnd w:id="181"/>
      <w:bookmarkEnd w:id="182"/>
      <w:bookmarkEnd w:id="183"/>
      <w:bookmarkEnd w:id="184"/>
    </w:p>
    <w:p>
      <w:pPr>
        <w:spacing w:line="560" w:lineRule="exact"/>
        <w:jc w:val="left"/>
        <w:rPr>
          <w:rFonts w:ascii="仿宋_GB2312" w:eastAsia="仿宋_GB2312"/>
          <w:color w:val="000000"/>
          <w:kern w:val="0"/>
          <w:sz w:val="32"/>
          <w:szCs w:val="32"/>
          <w:shd w:val="clear" w:color="auto" w:fill="FFFFFF"/>
        </w:rPr>
      </w:pPr>
      <w:bookmarkStart w:id="185" w:name="_Toc15396631"/>
      <w:r>
        <w:rPr>
          <w:rFonts w:hint="eastAsia" w:ascii="仿宋_GB2312" w:eastAsia="仿宋_GB2312"/>
          <w:color w:val="000000"/>
          <w:kern w:val="0"/>
          <w:sz w:val="32"/>
          <w:szCs w:val="32"/>
          <w:shd w:val="clear" w:color="auto" w:fill="FFFFFF"/>
        </w:rPr>
        <w:t>十三、国有资本经营预算财政拨款收入支出决算表</w:t>
      </w:r>
      <w:bookmarkEnd w:id="185"/>
    </w:p>
    <w:p>
      <w:pPr>
        <w:spacing w:line="560" w:lineRule="exact"/>
        <w:jc w:val="left"/>
        <w:rPr>
          <w:rFonts w:ascii="仿宋_GB2312" w:eastAsia="仿宋_GB2312"/>
          <w:color w:val="000000"/>
          <w:kern w:val="0"/>
          <w:sz w:val="32"/>
          <w:szCs w:val="32"/>
          <w:shd w:val="clear" w:color="auto" w:fill="FFFFFF"/>
        </w:rPr>
      </w:pPr>
      <w:r>
        <w:rPr>
          <w:rFonts w:hint="eastAsia" w:ascii="仿宋_GB2312" w:eastAsia="仿宋_GB2312"/>
          <w:color w:val="000000"/>
          <w:kern w:val="0"/>
          <w:sz w:val="32"/>
          <w:szCs w:val="32"/>
          <w:shd w:val="clear" w:color="auto" w:fill="FFFFFF"/>
        </w:rPr>
        <w:t>十四、国有资本经营预算财政拨款支出决算表</w:t>
      </w:r>
    </w:p>
    <w:p>
      <w:pPr>
        <w:rPr>
          <w:rFonts w:eastAsia="仿宋"/>
        </w:rPr>
      </w:pPr>
    </w:p>
    <w:sectPr>
      <w:pgSz w:w="11906" w:h="16838"/>
      <w:pgMar w:top="1440" w:right="1800" w:bottom="1440" w:left="1800" w:header="851" w:footer="992" w:gutter="0"/>
      <w:pgNumType w:start="2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2060" o:spid="_x0000_s2060"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PGqyCzDAgAA2AUAAA4AAAAA&#10;AAAAAQAgAAAAHwEAAGRycy9lMm9Eb2MueG1sUEsFBgAAAAAGAAYAWQEAAFQGAAAAAA==&#10;">
          <v:path/>
          <v:fill on="f" focussize="0,0"/>
          <v:stroke on="f" weight="0.5pt" joinstyle="miter"/>
          <v:imagedata o:title=""/>
          <o:lock v:ext="edit"/>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pict>
        <v:shape id="_x0000_s2055" o:spid="_x0000_s2055"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eV9obDAgAA2AUAAA4AAABkcnMvZTJvRG9jLnhtbK1UzY7TMBC+I/EO&#10;lu/ZJN20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KeV9obDAgAA2AUAAA4AAAAA&#10;AAAAAQAgAAAAHwEAAGRycy9lMm9Eb2MueG1sUEsFBgAAAAAGAAYAWQEAAFQGAAAAAA==&#10;">
          <v:path/>
          <v:fill on="f" focussize="0,0"/>
          <v:stroke on="f" weight="0.5pt" joinstyle="miter"/>
          <v:imagedata o:title=""/>
          <o:lock v:ext="edit"/>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w:r>
    <w:r>
      <w:pict>
        <v:shape id="_x0000_s2054" o:spid="_x0000_s2054"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path/>
          <v:fill on="f" focussize="0,0"/>
          <v:stroke on="f" weight="0.5pt" joinstyle="miter"/>
          <v:imagedata o:title=""/>
          <o:lock v:ext="edit"/>
          <v:textbox inset="0mm,0mm,0mm,0mm" style="mso-fit-shape-to-text:t;">
            <w:txbxContent>
              <w:p>
                <w:pPr>
                  <w:pStyle w:val="9"/>
                  <w:jc w:val="center"/>
                </w:pPr>
                <w:r>
                  <w:rPr>
                    <w:rFonts w:hint="eastAsia"/>
                  </w:rPr>
                  <w:t>23</w:t>
                </w:r>
              </w:p>
              <w:p>
                <w:pPr>
                  <w:pStyle w:val="6"/>
                  <w:spacing w:before="72"/>
                </w:pPr>
              </w:p>
            </w:txbxContent>
          </v:textbox>
        </v:shape>
      </w:pict>
    </w:r>
  </w:p>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2056" o:spid="_x0000_s205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BzSxaPDAgAA2AUAAA4AAAAA&#10;AAAAAQAgAAAAHwEAAGRycy9lMm9Eb2MueG1sUEsFBgAAAAAGAAYAWQEAAFQGAAAAAA==&#10;">
          <v:path/>
          <v:fill on="f" focussize="0,0"/>
          <v:stroke on="f" weight="0.5pt" joinstyle="miter"/>
          <v:imagedata o:title=""/>
          <o:lock v:ext="edit"/>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pict>
        <v:shape id="_x0000_s2052" o:spid="_x0000_s2052"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Ert+wnDAgAA2AUAAA4AAAAA&#10;AAAAAQAgAAAAHwEAAGRycy9lMm9Eb2MueG1sUEsFBgAAAAAGAAYAWQEAAFQGAAAAAA==&#10;">
          <v:path/>
          <v:fill on="f" focussize="0,0"/>
          <v:stroke on="f" weight="0.5pt" joinstyle="miter"/>
          <v:imagedata o:title=""/>
          <o:lock v:ext="edit"/>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w:r>
    <w:r>
      <w:pict>
        <v:shape id="_x0000_s2051" o:spid="_x0000_s2051"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memoQ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ZnpqEEwIAABUEAAAOAAAAAAAAAAEA&#10;IAAAAB8BAABkcnMvZTJvRG9jLnhtbFBLBQYAAAAABgAGAFkBAACkBQAAAAA=&#10;">
          <v:path/>
          <v:fill on="f" focussize="0,0"/>
          <v:stroke on="f" weight="0.5pt" joinstyle="miter"/>
          <v:imagedata o:title=""/>
          <o:lock v:ext="edit"/>
          <v:textbox inset="0mm,0mm,0mm,0mm" style="mso-fit-shape-to-text:t;">
            <w:txbxContent>
              <w:sdt>
                <w:sdtPr>
                  <w:id w:val="-1994781956"/>
                </w:sdtPr>
                <w:sdtContent>
                  <w:p>
                    <w:pPr>
                      <w:pStyle w:val="9"/>
                      <w:jc w:val="center"/>
                    </w:pPr>
                    <w:r>
                      <w:rPr>
                        <w:rFonts w:hint="eastAsia"/>
                      </w:rPr>
                      <w:t>23</w:t>
                    </w:r>
                  </w:p>
                </w:sdtContent>
              </w:sdt>
              <w:p>
                <w:pPr>
                  <w:pStyle w:val="6"/>
                  <w:spacing w:before="72"/>
                </w:pPr>
              </w:p>
            </w:txbxContent>
          </v:textbox>
        </v:shape>
      </w:pict>
    </w:r>
  </w:p>
  <w:p>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2053" o:spid="_x0000_s2053"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B20BbjDAgAA2AUAAA4AAAAA&#10;AAAAAQAgAAAAHwEAAGRycy9lMm9Eb2MueG1sUEsFBgAAAAAGAAYAWQEAAFQGAAAAAA==&#10;">
          <v:path/>
          <v:fill on="f" focussize="0,0"/>
          <v:stroke on="f" weight="0.5pt" joinstyle="miter"/>
          <v:imagedata o:title=""/>
          <o:lock v:ext="edit"/>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2049" o:spid="_x0000_s2049" o:spt="202" type="#_x0000_t202" style="position:absolute;left:0pt;margin-top:0pt;height:11pt;width:25.4pt;mso-position-horizontal:center;mso-position-horizontal-relative:margin;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S4s7EsICAADYBQAADgAAAAAA&#10;AAABACAAAAAfAQAAZHJzL2Uyb0RvYy54bWxQSwUGAAAAAAYABgBZAQAAUwYAAAAA&#10;">
          <v:path/>
          <v:fill on="f" focussize="0,0"/>
          <v:stroke on="f" weight="0.5pt" joinstyle="miter"/>
          <v:imagedata o:title=""/>
          <o:lock v:ext="edit"/>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54</w:t>
                </w:r>
                <w:r>
                  <w:rPr>
                    <w:rFonts w:hint="eastAsia"/>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8306"/>
      </w:tabs>
    </w:pPr>
    <w:r>
      <w:pict>
        <v:shape id="_x0000_s2050" o:spid="_x0000_s2050" o:spt="202" type="#_x0000_t202" style="position:absolute;left:0pt;margin-top:0pt;height:11pt;width:21.85pt;mso-position-horizontal:center;mso-position-horizontal-relative:margin;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VMiuIU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NUyK4hQCAAAVBAAADgAAAAAAAAAB&#10;ACAAAAAfAQAAZHJzL2Uyb0RvYy54bWxQSwUGAAAAAAYABgBZAQAApQUAAAAA&#10;">
          <v:path/>
          <v:fill on="f" focussize="0,0"/>
          <v:stroke on="f" weight="0.5pt" joinstyle="miter"/>
          <v:imagedata o:title=""/>
          <o:lock v:ext="edit"/>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449800"/>
    <w:multiLevelType w:val="singleLevel"/>
    <w:tmpl w:val="85449800"/>
    <w:lvl w:ilvl="0" w:tentative="0">
      <w:start w:val="1"/>
      <w:numFmt w:val="decimal"/>
      <w:lvlText w:val="%1."/>
      <w:lvlJc w:val="left"/>
      <w:pPr>
        <w:tabs>
          <w:tab w:val="left" w:pos="312"/>
        </w:tabs>
      </w:pPr>
    </w:lvl>
  </w:abstractNum>
  <w:abstractNum w:abstractNumId="1">
    <w:nsid w:val="8EAFE6EA"/>
    <w:multiLevelType w:val="singleLevel"/>
    <w:tmpl w:val="8EAFE6EA"/>
    <w:lvl w:ilvl="0" w:tentative="0">
      <w:start w:val="1"/>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F3E167E6"/>
    <w:multiLevelType w:val="singleLevel"/>
    <w:tmpl w:val="F3E167E6"/>
    <w:lvl w:ilvl="0" w:tentative="0">
      <w:start w:val="1"/>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17B8B149"/>
    <w:multiLevelType w:val="singleLevel"/>
    <w:tmpl w:val="17B8B149"/>
    <w:lvl w:ilvl="0" w:tentative="0">
      <w:start w:val="3"/>
      <w:numFmt w:val="decimal"/>
      <w:suff w:val="nothing"/>
      <w:lvlText w:val="%1．"/>
      <w:lvlJc w:val="left"/>
      <w:pPr>
        <w:ind w:left="-90"/>
      </w:pPr>
    </w:lvl>
  </w:abstractNum>
  <w:abstractNum w:abstractNumId="6">
    <w:nsid w:val="3417522C"/>
    <w:multiLevelType w:val="singleLevel"/>
    <w:tmpl w:val="3417522C"/>
    <w:lvl w:ilvl="0" w:tentative="0">
      <w:start w:val="1"/>
      <w:numFmt w:val="chineseCounting"/>
      <w:suff w:val="nothing"/>
      <w:lvlText w:val="（%1）"/>
      <w:lvlJc w:val="left"/>
      <w:rPr>
        <w:rFonts w:hint="eastAsia"/>
      </w:rPr>
    </w:lvl>
  </w:abstractNum>
  <w:abstractNum w:abstractNumId="7">
    <w:nsid w:val="3A7E01A4"/>
    <w:multiLevelType w:val="singleLevel"/>
    <w:tmpl w:val="3A7E01A4"/>
    <w:lvl w:ilvl="0" w:tentative="0">
      <w:start w:val="1"/>
      <w:numFmt w:val="chineseCounting"/>
      <w:suff w:val="nothing"/>
      <w:lvlText w:val="（%1）"/>
      <w:lvlJc w:val="left"/>
      <w:rPr>
        <w:rFonts w:hint="eastAsia"/>
      </w:rPr>
    </w:lvl>
  </w:abstractNum>
  <w:abstractNum w:abstractNumId="8">
    <w:nsid w:val="47113173"/>
    <w:multiLevelType w:val="singleLevel"/>
    <w:tmpl w:val="47113173"/>
    <w:lvl w:ilvl="0" w:tentative="0">
      <w:start w:val="2"/>
      <w:numFmt w:val="decimal"/>
      <w:suff w:val="nothing"/>
      <w:lvlText w:val="%1．"/>
      <w:lvlJc w:val="left"/>
    </w:lvl>
  </w:abstractNum>
  <w:abstractNum w:abstractNumId="9">
    <w:nsid w:val="6BF2CBEF"/>
    <w:multiLevelType w:val="singleLevel"/>
    <w:tmpl w:val="6BF2CBEF"/>
    <w:lvl w:ilvl="0" w:tentative="0">
      <w:start w:val="3"/>
      <w:numFmt w:val="decimal"/>
      <w:suff w:val="nothing"/>
      <w:lvlText w:val="%1．"/>
      <w:lvlJc w:val="left"/>
      <w:pPr>
        <w:ind w:left="-90"/>
      </w:pPr>
    </w:lvl>
  </w:abstractNum>
  <w:abstractNum w:abstractNumId="10">
    <w:nsid w:val="7D62D1B3"/>
    <w:multiLevelType w:val="singleLevel"/>
    <w:tmpl w:val="7D62D1B3"/>
    <w:lvl w:ilvl="0" w:tentative="0">
      <w:start w:val="2"/>
      <w:numFmt w:val="decimal"/>
      <w:suff w:val="nothing"/>
      <w:lvlText w:val="%1．"/>
      <w:lvlJc w:val="left"/>
    </w:lvl>
  </w:abstractNum>
  <w:num w:numId="1">
    <w:abstractNumId w:val="1"/>
  </w:num>
  <w:num w:numId="2">
    <w:abstractNumId w:val="4"/>
  </w:num>
  <w:num w:numId="3">
    <w:abstractNumId w:val="0"/>
  </w:num>
  <w:num w:numId="4">
    <w:abstractNumId w:val="2"/>
  </w:num>
  <w:num w:numId="5">
    <w:abstractNumId w:val="10"/>
  </w:num>
  <w:num w:numId="6">
    <w:abstractNumId w:val="9"/>
  </w:num>
  <w:num w:numId="7">
    <w:abstractNumId w:val="3"/>
  </w:num>
  <w:num w:numId="8">
    <w:abstractNumId w:val="6"/>
  </w:num>
  <w:num w:numId="9">
    <w:abstractNumId w:val="7"/>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IyM2M1MWU0NDI1Y2QxMjA3MzkzM2VkYTFlNDdhN2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4C3A"/>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1F7839"/>
    <w:rsid w:val="002006CD"/>
    <w:rsid w:val="002027C5"/>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A6CE5"/>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C6D15"/>
    <w:rsid w:val="005D1C8B"/>
    <w:rsid w:val="005D468D"/>
    <w:rsid w:val="005D5250"/>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0D0"/>
    <w:rsid w:val="0066343B"/>
    <w:rsid w:val="00664777"/>
    <w:rsid w:val="00673246"/>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06A19"/>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07E6D"/>
    <w:rsid w:val="00923564"/>
    <w:rsid w:val="0092392E"/>
    <w:rsid w:val="009315F9"/>
    <w:rsid w:val="00933499"/>
    <w:rsid w:val="00935C98"/>
    <w:rsid w:val="00946945"/>
    <w:rsid w:val="00951248"/>
    <w:rsid w:val="0095152F"/>
    <w:rsid w:val="00954C49"/>
    <w:rsid w:val="00955E37"/>
    <w:rsid w:val="0097099F"/>
    <w:rsid w:val="00971997"/>
    <w:rsid w:val="00971FFC"/>
    <w:rsid w:val="00974702"/>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AF70A7"/>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3A38"/>
    <w:rsid w:val="00B77EA6"/>
    <w:rsid w:val="00B81598"/>
    <w:rsid w:val="00B841F1"/>
    <w:rsid w:val="00B944D6"/>
    <w:rsid w:val="00BB4DF0"/>
    <w:rsid w:val="00BC289F"/>
    <w:rsid w:val="00BC2D50"/>
    <w:rsid w:val="00BC4A5F"/>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1191"/>
    <w:rsid w:val="00DD73B7"/>
    <w:rsid w:val="00DF28BC"/>
    <w:rsid w:val="00DF34B9"/>
    <w:rsid w:val="00E01053"/>
    <w:rsid w:val="00E05A23"/>
    <w:rsid w:val="00E07ACF"/>
    <w:rsid w:val="00E331A1"/>
    <w:rsid w:val="00E33202"/>
    <w:rsid w:val="00E336A9"/>
    <w:rsid w:val="00E472B1"/>
    <w:rsid w:val="00E50624"/>
    <w:rsid w:val="00E53AFB"/>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51754"/>
    <w:rsid w:val="00F602DF"/>
    <w:rsid w:val="00F754A1"/>
    <w:rsid w:val="00F81FD9"/>
    <w:rsid w:val="00F841AA"/>
    <w:rsid w:val="00F84A94"/>
    <w:rsid w:val="00F87E96"/>
    <w:rsid w:val="00FA23E8"/>
    <w:rsid w:val="00FD3CC1"/>
    <w:rsid w:val="00FF1E02"/>
    <w:rsid w:val="00FF30B4"/>
    <w:rsid w:val="030B47EA"/>
    <w:rsid w:val="06E8782E"/>
    <w:rsid w:val="0A2032A3"/>
    <w:rsid w:val="0B794D30"/>
    <w:rsid w:val="0B8A37D8"/>
    <w:rsid w:val="0BF24799"/>
    <w:rsid w:val="0C7B29E0"/>
    <w:rsid w:val="0CD50E4F"/>
    <w:rsid w:val="0E6D0107"/>
    <w:rsid w:val="100D394F"/>
    <w:rsid w:val="10C055FF"/>
    <w:rsid w:val="118107EC"/>
    <w:rsid w:val="11DD6519"/>
    <w:rsid w:val="12F369CC"/>
    <w:rsid w:val="15542EF1"/>
    <w:rsid w:val="16BB723D"/>
    <w:rsid w:val="17B43A18"/>
    <w:rsid w:val="18015F3F"/>
    <w:rsid w:val="19666180"/>
    <w:rsid w:val="1BE8440E"/>
    <w:rsid w:val="1C7F44C2"/>
    <w:rsid w:val="1D155CEE"/>
    <w:rsid w:val="1F492AC6"/>
    <w:rsid w:val="1F7E1129"/>
    <w:rsid w:val="20F57F95"/>
    <w:rsid w:val="210466A8"/>
    <w:rsid w:val="240371BF"/>
    <w:rsid w:val="25C741E6"/>
    <w:rsid w:val="26041F0B"/>
    <w:rsid w:val="26170FF8"/>
    <w:rsid w:val="26AA5F44"/>
    <w:rsid w:val="278141FE"/>
    <w:rsid w:val="27842671"/>
    <w:rsid w:val="283D461F"/>
    <w:rsid w:val="289457E6"/>
    <w:rsid w:val="29FD04D3"/>
    <w:rsid w:val="2A9D74A8"/>
    <w:rsid w:val="2ABE7A3E"/>
    <w:rsid w:val="2BDC7103"/>
    <w:rsid w:val="2CD86C3B"/>
    <w:rsid w:val="2E907502"/>
    <w:rsid w:val="2EFA178C"/>
    <w:rsid w:val="2F3A641A"/>
    <w:rsid w:val="30B46D73"/>
    <w:rsid w:val="30F6678D"/>
    <w:rsid w:val="319F7F4E"/>
    <w:rsid w:val="32450FA3"/>
    <w:rsid w:val="32C2737D"/>
    <w:rsid w:val="33557238"/>
    <w:rsid w:val="35702AC5"/>
    <w:rsid w:val="39AE70AB"/>
    <w:rsid w:val="3A2D674F"/>
    <w:rsid w:val="3ADB44C6"/>
    <w:rsid w:val="3B010DA0"/>
    <w:rsid w:val="3B021A53"/>
    <w:rsid w:val="3B185ED5"/>
    <w:rsid w:val="3C0C0783"/>
    <w:rsid w:val="3D8A3F82"/>
    <w:rsid w:val="3F795B0E"/>
    <w:rsid w:val="3F9F3A96"/>
    <w:rsid w:val="3FB672B0"/>
    <w:rsid w:val="40350D30"/>
    <w:rsid w:val="44292F78"/>
    <w:rsid w:val="46995330"/>
    <w:rsid w:val="48677399"/>
    <w:rsid w:val="493C27E9"/>
    <w:rsid w:val="496F39ED"/>
    <w:rsid w:val="498C14A1"/>
    <w:rsid w:val="49FF41D3"/>
    <w:rsid w:val="4A185DC8"/>
    <w:rsid w:val="4A8E0E49"/>
    <w:rsid w:val="4BB55842"/>
    <w:rsid w:val="4BE068DB"/>
    <w:rsid w:val="4BEB6533"/>
    <w:rsid w:val="4BF6002B"/>
    <w:rsid w:val="4D187019"/>
    <w:rsid w:val="4D245859"/>
    <w:rsid w:val="4EB33338"/>
    <w:rsid w:val="4ECE2238"/>
    <w:rsid w:val="4F316675"/>
    <w:rsid w:val="51DB4B86"/>
    <w:rsid w:val="542119F5"/>
    <w:rsid w:val="54E12004"/>
    <w:rsid w:val="55333C3E"/>
    <w:rsid w:val="5963595B"/>
    <w:rsid w:val="59F40CA9"/>
    <w:rsid w:val="5B1C2C67"/>
    <w:rsid w:val="61E65C57"/>
    <w:rsid w:val="61F75133"/>
    <w:rsid w:val="62031E7F"/>
    <w:rsid w:val="62920815"/>
    <w:rsid w:val="62CD2097"/>
    <w:rsid w:val="64CA39A1"/>
    <w:rsid w:val="66142F85"/>
    <w:rsid w:val="691B1DAE"/>
    <w:rsid w:val="6BA63AC6"/>
    <w:rsid w:val="6C4A05C8"/>
    <w:rsid w:val="6F53040B"/>
    <w:rsid w:val="6FE949B4"/>
    <w:rsid w:val="706C2EEF"/>
    <w:rsid w:val="71E13469"/>
    <w:rsid w:val="72734D90"/>
    <w:rsid w:val="73257EC3"/>
    <w:rsid w:val="79297A45"/>
    <w:rsid w:val="79E7B28D"/>
    <w:rsid w:val="7C6929D9"/>
    <w:rsid w:val="7C775BAB"/>
    <w:rsid w:val="7D064640"/>
    <w:rsid w:val="7DBF0B02"/>
    <w:rsid w:val="7E751B09"/>
    <w:rsid w:val="7E88183C"/>
    <w:rsid w:val="7F9F20EE"/>
    <w:rsid w:val="9E3A10E2"/>
    <w:rsid w:val="F2E1F9D4"/>
    <w:rsid w:val="F78808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样式 行距: 固定值 28.9 磅"/>
    <w:basedOn w:val="1"/>
    <w:qFormat/>
    <w:uiPriority w:val="0"/>
    <w:pPr>
      <w:spacing w:line="578" w:lineRule="exact"/>
    </w:pPr>
    <w:rPr>
      <w:rFonts w:cs="宋体"/>
      <w:szCs w:val="20"/>
    </w:rPr>
  </w:style>
  <w:style w:type="paragraph" w:styleId="6">
    <w:name w:val="Body Text"/>
    <w:basedOn w:val="1"/>
    <w:link w:val="22"/>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8"/>
    <w:semiHidden/>
    <w:unhideWhenUsed/>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10"/>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9"/>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6"/>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4"/>
    <w:link w:val="8"/>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1">
    <w:name w:val="WPSOffice手动目录 1"/>
    <w:qFormat/>
    <w:uiPriority w:val="0"/>
    <w:rPr>
      <w:rFonts w:ascii="Times New Roman" w:hAnsi="Times New Roman" w:eastAsia="宋体" w:cs="Times New Roman"/>
      <w:lang w:val="en-US" w:eastAsia="zh-CN" w:bidi="ar-SA"/>
    </w:rPr>
  </w:style>
  <w:style w:type="paragraph" w:customStyle="1" w:styleId="32">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chart" Target="charts/chart7.xml"/><Relationship Id="rId2" Type="http://schemas.openxmlformats.org/officeDocument/2006/relationships/settings" Target="settings.xml"/><Relationship Id="rId19" Type="http://schemas.openxmlformats.org/officeDocument/2006/relationships/chart" Target="charts/chart6.xml"/><Relationship Id="rId18" Type="http://schemas.openxmlformats.org/officeDocument/2006/relationships/chart" Target="charts/chart5.xml"/><Relationship Id="rId17" Type="http://schemas.openxmlformats.org/officeDocument/2006/relationships/chart" Target="charts/chart4.xml"/><Relationship Id="rId16" Type="http://schemas.openxmlformats.org/officeDocument/2006/relationships/chart" Target="charts/chart3.xml"/><Relationship Id="rId15" Type="http://schemas.openxmlformats.org/officeDocument/2006/relationships/chart" Target="charts/chart2.xml"/><Relationship Id="rId14" Type="http://schemas.openxmlformats.org/officeDocument/2006/relationships/chart" Target="charts/chart1.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收、支总计</a:t>
            </a:r>
          </a:p>
        </c:rich>
      </c:tx>
      <c:layout/>
      <c:overlay val="0"/>
      <c:spPr>
        <a:noFill/>
        <a:ln>
          <a:noFill/>
        </a:ln>
        <a:effectLst/>
      </c:spPr>
    </c:title>
    <c:autoTitleDeleted val="0"/>
    <c:plotArea>
      <c:layout/>
      <c:barChart>
        <c:barDir val="col"/>
        <c:grouping val="stacked"/>
        <c:varyColors val="0"/>
        <c:ser>
          <c:idx val="0"/>
          <c:order val="0"/>
          <c:tx>
            <c:strRef>
              <c:f>Sheet1!$B$1</c:f>
              <c:strCache>
                <c:ptCount val="1"/>
                <c:pt idx="0">
                  <c:v>系列 1</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dk1">
                          <a:lumMod val="50000"/>
                          <a:lumOff val="50000"/>
                        </a:schemeClr>
                      </a:solidFill>
                      <a:prstDash val="solid"/>
                      <a:round/>
                    </a:ln>
                    <a:effectLst/>
                  </c:spPr>
                </c15:leaderLines>
              </c:ext>
            </c:extLst>
          </c:dLbls>
          <c:cat>
            <c:strRef>
              <c:f>Sheet1!$A$2:$A$3</c:f>
              <c:strCache>
                <c:ptCount val="2"/>
                <c:pt idx="0">
                  <c:v>2021年</c:v>
                </c:pt>
                <c:pt idx="1">
                  <c:v>2020年</c:v>
                </c:pt>
              </c:strCache>
            </c:strRef>
          </c:cat>
          <c:val>
            <c:numRef>
              <c:f>Sheet1!$B$2:$B$3</c:f>
              <c:numCache>
                <c:formatCode>General</c:formatCode>
                <c:ptCount val="2"/>
                <c:pt idx="0">
                  <c:v>4487.77</c:v>
                </c:pt>
                <c:pt idx="1">
                  <c:v>6350.54</c:v>
                </c:pt>
              </c:numCache>
            </c:numRef>
          </c:val>
        </c:ser>
        <c:ser>
          <c:idx val="1"/>
          <c:order val="1"/>
          <c:tx>
            <c:strRef>
              <c:f>Sheet1!#REF!</c:f>
              <c:strCache>
                <c:ptCount val="1"/>
                <c:pt idx="0">
                  <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dk1">
                          <a:lumMod val="50000"/>
                          <a:lumOff val="50000"/>
                        </a:schemeClr>
                      </a:solidFill>
                      <a:prstDash val="solid"/>
                      <a:round/>
                    </a:ln>
                    <a:effectLst/>
                  </c:spPr>
                </c15:leaderLines>
              </c:ext>
            </c:extLst>
          </c:dLbls>
          <c:cat>
            <c:strRef>
              <c:f>Sheet1!$A$2:$A$3</c:f>
              <c:strCache>
                <c:ptCount val="2"/>
                <c:pt idx="0">
                  <c:v>2021年</c:v>
                </c:pt>
                <c:pt idx="1">
                  <c:v>2020年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dk1">
                          <a:lumMod val="50000"/>
                          <a:lumOff val="50000"/>
                        </a:schemeClr>
                      </a:solidFill>
                      <a:prstDash val="solid"/>
                      <a:round/>
                    </a:ln>
                    <a:effectLst/>
                  </c:spPr>
                </c15:leaderLines>
              </c:ext>
            </c:extLst>
          </c:dLbls>
          <c:cat>
            <c:strRef>
              <c:f>Sheet1!$A$2:$A$3</c:f>
              <c:strCache>
                <c:ptCount val="2"/>
                <c:pt idx="0">
                  <c:v>2021年</c:v>
                </c:pt>
                <c:pt idx="1">
                  <c:v>2020年</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150"/>
        <c:overlap val="100"/>
        <c:axId val="167139584"/>
        <c:axId val="167176064"/>
      </c:barChart>
      <c:catAx>
        <c:axId val="167139584"/>
        <c:scaling>
          <c:orientation val="minMax"/>
        </c:scaling>
        <c:delete val="0"/>
        <c:axPos val="b"/>
        <c:majorTickMark val="none"/>
        <c:minorTickMark val="none"/>
        <c:tickLblPos val="nextTo"/>
        <c:spPr>
          <a:noFill/>
          <a:ln w="19050" cap="flat" cmpd="sng" algn="ctr">
            <a:solidFill>
              <a:schemeClr val="dk1">
                <a:lumMod val="75000"/>
                <a:lumOff val="25000"/>
              </a:schemeClr>
            </a:solidFill>
            <a:prstDash val="solid"/>
            <a:round/>
          </a:ln>
          <a:effectLst/>
        </c:spPr>
        <c:txPr>
          <a:bodyPr rot="-60000000" spcFirstLastPara="0" vertOverflow="ellipsis" vert="horz" wrap="square" anchor="ctr" anchorCtr="1"/>
          <a:lstStyle/>
          <a:p>
            <a:pPr>
              <a:defRPr lang="zh-CN" sz="900" b="0" i="0" u="none" strike="noStrike" kern="1200" cap="all" baseline="0">
                <a:solidFill>
                  <a:schemeClr val="dk1">
                    <a:lumMod val="75000"/>
                    <a:lumOff val="25000"/>
                  </a:schemeClr>
                </a:solidFill>
                <a:latin typeface="+mn-lt"/>
                <a:ea typeface="+mn-ea"/>
                <a:cs typeface="+mn-cs"/>
              </a:defRPr>
            </a:pPr>
          </a:p>
        </c:txPr>
        <c:crossAx val="167176064"/>
        <c:crosses val="autoZero"/>
        <c:auto val="1"/>
        <c:lblAlgn val="ctr"/>
        <c:lblOffset val="100"/>
        <c:noMultiLvlLbl val="0"/>
      </c:catAx>
      <c:valAx>
        <c:axId val="16717606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prstDash val="solid"/>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7139584"/>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本年收入</a:t>
            </a:r>
          </a:p>
        </c:rich>
      </c:tx>
      <c:layout>
        <c:manualLayout>
          <c:xMode val="edge"/>
          <c:yMode val="edge"/>
          <c:x val="0.45725"/>
          <c:y val="0.068"/>
        </c:manualLayout>
      </c:layout>
      <c:overlay val="0"/>
      <c:spPr>
        <a:noFill/>
        <a:ln>
          <a:noFill/>
        </a:ln>
        <a:effectLst/>
      </c:spPr>
    </c:title>
    <c:autoTitleDeleted val="0"/>
    <c:plotArea>
      <c:layout/>
      <c:pieChart>
        <c:varyColors val="1"/>
        <c:ser>
          <c:idx val="0"/>
          <c:order val="0"/>
          <c:tx>
            <c:strRef>
              <c:f>Sheet1!$B$1</c:f>
              <c:strCache>
                <c:ptCount val="1"/>
                <c:pt idx="0">
                  <c:v>销售额</c:v>
                </c:pt>
              </c:strCache>
            </c:strRef>
          </c:tx>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50000"/>
                          <a:lumOff val="50000"/>
                        </a:schemeClr>
                      </a:solidFill>
                      <a:prstDash val="solid"/>
                      <a:round/>
                    </a:ln>
                    <a:effectLst/>
                  </c:spPr>
                </c15:leaderLines>
              </c:ext>
            </c:extLst>
          </c:dLbls>
          <c:cat>
            <c:strRef>
              <c:f>Sheet1!$A$2:$A$3</c:f>
              <c:strCache>
                <c:ptCount val="2"/>
                <c:pt idx="0">
                  <c:v>一般性公共预算财政拨款收入</c:v>
                </c:pt>
                <c:pt idx="1">
                  <c:v>其他收入</c:v>
                </c:pt>
              </c:strCache>
            </c:strRef>
          </c:cat>
          <c:val>
            <c:numRef>
              <c:f>Sheet1!$B$2:$B$3</c:f>
              <c:numCache>
                <c:formatCode>0%</c:formatCode>
                <c:ptCount val="2"/>
                <c:pt idx="0">
                  <c:v>0.99</c:v>
                </c:pt>
                <c:pt idx="1">
                  <c:v>0.01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本年支出</a:t>
            </a:r>
          </a:p>
        </c:rich>
      </c:tx>
      <c:layout>
        <c:manualLayout>
          <c:xMode val="edge"/>
          <c:yMode val="edge"/>
          <c:x val="0.425125"/>
          <c:y val="0.0341596130592503"/>
        </c:manualLayout>
      </c:layout>
      <c:overlay val="0"/>
      <c:spPr>
        <a:noFill/>
        <a:ln>
          <a:noFill/>
        </a:ln>
        <a:effectLst/>
      </c:spPr>
    </c:title>
    <c:autoTitleDeleted val="0"/>
    <c:plotArea>
      <c:layout/>
      <c:pieChart>
        <c:varyColors val="1"/>
        <c:ser>
          <c:idx val="0"/>
          <c:order val="0"/>
          <c:tx>
            <c:strRef>
              <c:f>Sheet1!$B$1</c:f>
              <c:strCache>
                <c:ptCount val="1"/>
                <c:pt idx="0">
                  <c:v>销售额</c:v>
                </c:pt>
              </c:strCache>
            </c:strRef>
          </c:tx>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50000"/>
                          <a:lumOff val="50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0.509</c:v>
                </c:pt>
                <c:pt idx="1">
                  <c:v>0.491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财政拨款收、支总计</a:t>
            </a:r>
          </a:p>
        </c:rich>
      </c:tx>
      <c:layout/>
      <c:overlay val="0"/>
      <c:spPr>
        <a:noFill/>
        <a:ln>
          <a:noFill/>
        </a:ln>
        <a:effectLst/>
      </c:spPr>
    </c:title>
    <c:autoTitleDeleted val="0"/>
    <c:plotArea>
      <c:layout/>
      <c:barChart>
        <c:barDir val="col"/>
        <c:grouping val="stacked"/>
        <c:varyColors val="0"/>
        <c:ser>
          <c:idx val="0"/>
          <c:order val="0"/>
          <c:tx>
            <c:strRef>
              <c:f>Sheet1!$B$1</c:f>
              <c:strCache>
                <c:ptCount val="1"/>
                <c:pt idx="0">
                  <c:v>系列 1</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dk1">
                          <a:lumMod val="50000"/>
                          <a:lumOff val="50000"/>
                        </a:schemeClr>
                      </a:solidFill>
                      <a:prstDash val="solid"/>
                      <a:round/>
                    </a:ln>
                    <a:effectLst/>
                  </c:spPr>
                </c15:leaderLines>
              </c:ext>
            </c:extLst>
          </c:dLbls>
          <c:cat>
            <c:strRef>
              <c:f>Sheet1!$A$2:$A$3</c:f>
              <c:strCache>
                <c:ptCount val="2"/>
                <c:pt idx="0">
                  <c:v>2021年</c:v>
                </c:pt>
                <c:pt idx="1">
                  <c:v>2020年</c:v>
                </c:pt>
              </c:strCache>
            </c:strRef>
          </c:cat>
          <c:val>
            <c:numRef>
              <c:f>Sheet1!$B$2:$B$3</c:f>
              <c:numCache>
                <c:formatCode>General</c:formatCode>
                <c:ptCount val="2"/>
                <c:pt idx="0">
                  <c:v>4459.56</c:v>
                </c:pt>
                <c:pt idx="1">
                  <c:v>5948.74</c:v>
                </c:pt>
              </c:numCache>
            </c:numRef>
          </c:val>
        </c:ser>
        <c:ser>
          <c:idx val="1"/>
          <c:order val="1"/>
          <c:tx>
            <c:strRef>
              <c:f>Sheet1!#REF!</c:f>
              <c:strCache>
                <c:ptCount val="1"/>
                <c:pt idx="0">
                  <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dk1">
                          <a:lumMod val="50000"/>
                          <a:lumOff val="50000"/>
                        </a:schemeClr>
                      </a:solidFill>
                      <a:prstDash val="solid"/>
                      <a:round/>
                    </a:ln>
                    <a:effectLst/>
                  </c:spPr>
                </c15:leaderLines>
              </c:ext>
            </c:extLst>
          </c:dLbls>
          <c:cat>
            <c:strRef>
              <c:f>Sheet1!$A$2:$A$3</c:f>
              <c:strCache>
                <c:ptCount val="2"/>
                <c:pt idx="0">
                  <c:v>2021年</c:v>
                </c:pt>
                <c:pt idx="1">
                  <c:v>2020年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dk1">
                          <a:lumMod val="50000"/>
                          <a:lumOff val="50000"/>
                        </a:schemeClr>
                      </a:solidFill>
                      <a:prstDash val="solid"/>
                      <a:round/>
                    </a:ln>
                    <a:effectLst/>
                  </c:spPr>
                </c15:leaderLines>
              </c:ext>
            </c:extLst>
          </c:dLbls>
          <c:cat>
            <c:strRef>
              <c:f>Sheet1!$A$2:$A$3</c:f>
              <c:strCache>
                <c:ptCount val="2"/>
                <c:pt idx="0">
                  <c:v>2021年</c:v>
                </c:pt>
                <c:pt idx="1">
                  <c:v>2020年</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150"/>
        <c:overlap val="100"/>
        <c:axId val="185133696"/>
        <c:axId val="185205120"/>
      </c:barChart>
      <c:catAx>
        <c:axId val="185133696"/>
        <c:scaling>
          <c:orientation val="minMax"/>
        </c:scaling>
        <c:delete val="0"/>
        <c:axPos val="b"/>
        <c:majorTickMark val="none"/>
        <c:minorTickMark val="none"/>
        <c:tickLblPos val="nextTo"/>
        <c:spPr>
          <a:noFill/>
          <a:ln w="19050" cap="flat" cmpd="sng" algn="ctr">
            <a:solidFill>
              <a:schemeClr val="dk1">
                <a:lumMod val="75000"/>
                <a:lumOff val="25000"/>
              </a:schemeClr>
            </a:solidFill>
            <a:prstDash val="solid"/>
            <a:round/>
          </a:ln>
          <a:effectLst/>
        </c:spPr>
        <c:txPr>
          <a:bodyPr rot="-60000000" spcFirstLastPara="0" vertOverflow="ellipsis" vert="horz" wrap="square" anchor="ctr" anchorCtr="1"/>
          <a:lstStyle/>
          <a:p>
            <a:pPr>
              <a:defRPr lang="zh-CN" sz="900" b="0" i="0" u="none" strike="noStrike" kern="1200" cap="all" baseline="0">
                <a:solidFill>
                  <a:schemeClr val="dk1">
                    <a:lumMod val="75000"/>
                    <a:lumOff val="25000"/>
                  </a:schemeClr>
                </a:solidFill>
                <a:latin typeface="+mn-lt"/>
                <a:ea typeface="+mn-ea"/>
                <a:cs typeface="+mn-cs"/>
              </a:defRPr>
            </a:pPr>
          </a:p>
        </c:txPr>
        <c:crossAx val="185205120"/>
        <c:crosses val="autoZero"/>
        <c:auto val="1"/>
        <c:lblAlgn val="ctr"/>
        <c:lblOffset val="100"/>
        <c:noMultiLvlLbl val="0"/>
      </c:catAx>
      <c:valAx>
        <c:axId val="18520512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prstDash val="solid"/>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85133696"/>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一般公共预算财政拨款支出</a:t>
            </a:r>
          </a:p>
        </c:rich>
      </c:tx>
      <c:layout>
        <c:manualLayout>
          <c:xMode val="edge"/>
          <c:yMode val="edge"/>
          <c:x val="0.216625"/>
          <c:y val="0.022"/>
        </c:manualLayout>
      </c:layout>
      <c:overlay val="0"/>
      <c:spPr>
        <a:noFill/>
        <a:ln>
          <a:noFill/>
        </a:ln>
        <a:effectLst/>
      </c:spPr>
    </c:title>
    <c:autoTitleDeleted val="0"/>
    <c:plotArea>
      <c:layout>
        <c:manualLayout>
          <c:layoutTarget val="inner"/>
          <c:xMode val="edge"/>
          <c:yMode val="edge"/>
          <c:x val="0.06995"/>
          <c:y val="0.107880198565913"/>
          <c:w val="0.945"/>
          <c:h val="0.7764"/>
        </c:manualLayout>
      </c:layout>
      <c:barChart>
        <c:barDir val="col"/>
        <c:grouping val="stacked"/>
        <c:varyColors val="0"/>
        <c:ser>
          <c:idx val="0"/>
          <c:order val="0"/>
          <c:tx>
            <c:strRef>
              <c:f>Sheet1!$B$1</c:f>
              <c:strCache>
                <c:ptCount val="1"/>
                <c:pt idx="0">
                  <c:v>系列 1</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dk1">
                          <a:lumMod val="50000"/>
                          <a:lumOff val="50000"/>
                        </a:schemeClr>
                      </a:solidFill>
                      <a:prstDash val="solid"/>
                      <a:round/>
                    </a:ln>
                    <a:effectLst/>
                  </c:spPr>
                </c15:leaderLines>
              </c:ext>
            </c:extLst>
          </c:dLbls>
          <c:cat>
            <c:strRef>
              <c:f>Sheet1!$A$2:$A$3</c:f>
              <c:strCache>
                <c:ptCount val="2"/>
                <c:pt idx="0">
                  <c:v>2021年</c:v>
                </c:pt>
                <c:pt idx="1">
                  <c:v>2020年</c:v>
                </c:pt>
              </c:strCache>
            </c:strRef>
          </c:cat>
          <c:val>
            <c:numRef>
              <c:f>Sheet1!$B$2:$B$3</c:f>
              <c:numCache>
                <c:formatCode>General</c:formatCode>
                <c:ptCount val="2"/>
                <c:pt idx="0">
                  <c:v>3557.21</c:v>
                </c:pt>
                <c:pt idx="1">
                  <c:v>3200.25</c:v>
                </c:pt>
              </c:numCache>
            </c:numRef>
          </c:val>
        </c:ser>
        <c:ser>
          <c:idx val="1"/>
          <c:order val="1"/>
          <c:tx>
            <c:strRef>
              <c:f>Sheet1!#REF!</c:f>
              <c:strCache>
                <c:ptCount val="1"/>
                <c:pt idx="0">
                  <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dk1">
                          <a:lumMod val="50000"/>
                          <a:lumOff val="50000"/>
                        </a:schemeClr>
                      </a:solidFill>
                      <a:prstDash val="solid"/>
                      <a:round/>
                    </a:ln>
                    <a:effectLst/>
                  </c:spPr>
                </c15:leaderLines>
              </c:ext>
            </c:extLst>
          </c:dLbls>
          <c:cat>
            <c:strRef>
              <c:f>Sheet1!$A$2:$A$3</c:f>
              <c:strCache>
                <c:ptCount val="2"/>
                <c:pt idx="0">
                  <c:v>2021年</c:v>
                </c:pt>
                <c:pt idx="1">
                  <c:v>2020年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dk1">
                          <a:lumMod val="50000"/>
                          <a:lumOff val="50000"/>
                        </a:schemeClr>
                      </a:solidFill>
                      <a:prstDash val="solid"/>
                      <a:round/>
                    </a:ln>
                    <a:effectLst/>
                  </c:spPr>
                </c15:leaderLines>
              </c:ext>
            </c:extLst>
          </c:dLbls>
          <c:cat>
            <c:strRef>
              <c:f>Sheet1!$A$2:$A$3</c:f>
              <c:strCache>
                <c:ptCount val="2"/>
                <c:pt idx="0">
                  <c:v>2021年</c:v>
                </c:pt>
                <c:pt idx="1">
                  <c:v>2020年</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150"/>
        <c:overlap val="100"/>
        <c:axId val="185252096"/>
        <c:axId val="185257984"/>
      </c:barChart>
      <c:catAx>
        <c:axId val="185252096"/>
        <c:scaling>
          <c:orientation val="minMax"/>
        </c:scaling>
        <c:delete val="0"/>
        <c:axPos val="b"/>
        <c:majorTickMark val="none"/>
        <c:minorTickMark val="none"/>
        <c:tickLblPos val="nextTo"/>
        <c:spPr>
          <a:noFill/>
          <a:ln w="19050" cap="flat" cmpd="sng" algn="ctr">
            <a:solidFill>
              <a:schemeClr val="dk1">
                <a:lumMod val="75000"/>
                <a:lumOff val="25000"/>
              </a:schemeClr>
            </a:solidFill>
            <a:prstDash val="solid"/>
            <a:round/>
          </a:ln>
          <a:effectLst/>
        </c:spPr>
        <c:txPr>
          <a:bodyPr rot="-60000000" spcFirstLastPara="0" vertOverflow="ellipsis" vert="horz" wrap="square" anchor="ctr" anchorCtr="1"/>
          <a:lstStyle/>
          <a:p>
            <a:pPr>
              <a:defRPr lang="zh-CN" sz="900" b="0" i="0" u="none" strike="noStrike" kern="1200" cap="all" baseline="0">
                <a:solidFill>
                  <a:schemeClr val="dk1">
                    <a:lumMod val="75000"/>
                    <a:lumOff val="25000"/>
                  </a:schemeClr>
                </a:solidFill>
                <a:latin typeface="+mn-lt"/>
                <a:ea typeface="+mn-ea"/>
                <a:cs typeface="+mn-cs"/>
              </a:defRPr>
            </a:pPr>
          </a:p>
        </c:txPr>
        <c:crossAx val="185257984"/>
        <c:crosses val="autoZero"/>
        <c:auto val="1"/>
        <c:lblAlgn val="ctr"/>
        <c:lblOffset val="100"/>
        <c:noMultiLvlLbl val="0"/>
      </c:catAx>
      <c:valAx>
        <c:axId val="18525798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prstDash val="solid"/>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85252096"/>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一般公共预算财政拨款支出</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dLbl>
              <c:idx val="0"/>
              <c:layout>
                <c:manualLayout>
                  <c:x val="-0.00567780958737103"/>
                  <c:y val="0.176727512296403"/>
                </c:manualLayout>
              </c:layout>
              <c:tx>
                <c:rich>
                  <a:bodyPr rot="0" spcFirstLastPara="0" vertOverflow="ellipsis" vert="horz" wrap="square" lIns="38100" tIns="19050" rIns="38100" bIns="19050" anchor="ctr" anchorCtr="1"/>
                  <a:lstStyle/>
                  <a:p>
                    <a:pPr>
                      <a:defRPr lang="zh-CN" sz="800" b="1" i="0" u="none" strike="noStrike" kern="1200" cap="none" spc="0" normalizeH="0" baseline="0">
                        <a:solidFill>
                          <a:schemeClr val="bg1"/>
                        </a:solidFill>
                        <a:uFill>
                          <a:solidFill>
                            <a:schemeClr val="bg1"/>
                          </a:solidFill>
                        </a:uFill>
                        <a:latin typeface="+mn-lt"/>
                        <a:ea typeface="+mn-ea"/>
                        <a:cs typeface="+mn-cs"/>
                      </a:defRPr>
                    </a:pPr>
                    <a:r>
                      <a:rPr sz="800" u="none" strike="noStrike" cap="none" normalizeH="0">
                        <a:solidFill>
                          <a:schemeClr val="bg1"/>
                        </a:solidFill>
                        <a:uFill>
                          <a:solidFill>
                            <a:schemeClr val="bg1"/>
                          </a:solidFill>
                        </a:uFill>
                      </a:rPr>
                      <a:t>6%</a:t>
                    </a:r>
                    <a:endParaRPr sz="800" u="none" strike="noStrike" cap="none" normalizeH="0">
                      <a:solidFill>
                        <a:schemeClr val="bg1"/>
                      </a:solidFill>
                      <a:uFill>
                        <a:solidFill>
                          <a:schemeClr val="bg1"/>
                        </a:solidFill>
                      </a:uFill>
                    </a:endParaRPr>
                  </a:p>
                </c:rich>
              </c:tx>
              <c:dLblPos val="bestFit"/>
              <c:showLegendKey val="0"/>
              <c:showVal val="0"/>
              <c:showCatName val="0"/>
              <c:showSerName val="0"/>
              <c:showPercent val="1"/>
              <c:showBubbleSize val="0"/>
              <c:extLst>
                <c:ext xmlns:c15="http://schemas.microsoft.com/office/drawing/2012/chart" uri="{CE6537A1-D6FC-4f65-9D91-7224C49458BB}">
                  <c15:layout>
                    <c:manualLayout>
                      <c:w val="0.0545"/>
                      <c:h val="0.106274731486716"/>
                    </c:manualLayout>
                  </c15:layout>
                </c:ext>
              </c:extLst>
            </c:dLbl>
            <c:dLbl>
              <c:idx val="2"/>
              <c:layout>
                <c:manualLayout>
                  <c:x val="0.00557786083302227"/>
                  <c:y val="0.10224898626687"/>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800" b="1" i="0" u="none" strike="noStrike" kern="1200" cap="none" spc="0" normalizeH="0" baseline="0">
                    <a:solidFill>
                      <a:schemeClr val="bg1"/>
                    </a:solidFill>
                    <a:uFill>
                      <a:solidFill>
                        <a:schemeClr val="bg1"/>
                      </a:solidFill>
                    </a:u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50000"/>
                          <a:lumOff val="50000"/>
                        </a:schemeClr>
                      </a:solidFill>
                      <a:prstDash val="solid"/>
                      <a:round/>
                    </a:ln>
                    <a:effectLst/>
                  </c:spPr>
                </c15:leaderLines>
              </c:ext>
            </c:extLst>
          </c:dLbls>
          <c:cat>
            <c:strRef>
              <c:f>Sheet1!$A$2:$A$4</c:f>
              <c:strCache>
                <c:ptCount val="3"/>
                <c:pt idx="0">
                  <c:v>社会保障和就业类支出</c:v>
                </c:pt>
                <c:pt idx="1">
                  <c:v>卫生健康支出</c:v>
                </c:pt>
                <c:pt idx="2">
                  <c:v>住房保障支出</c:v>
                </c:pt>
              </c:strCache>
            </c:strRef>
          </c:cat>
          <c:val>
            <c:numRef>
              <c:f>Sheet1!$B$2:$B$4</c:f>
              <c:numCache>
                <c:formatCode>0.00%</c:formatCode>
                <c:ptCount val="3"/>
                <c:pt idx="0">
                  <c:v>0.0542</c:v>
                </c:pt>
                <c:pt idx="1">
                  <c:v>0.9037</c:v>
                </c:pt>
                <c:pt idx="2">
                  <c:v>0.0421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“三公”经费财政拨款支出</a:t>
            </a:r>
          </a:p>
        </c:rich>
      </c:tx>
      <c:layout/>
      <c:overlay val="0"/>
      <c:spPr>
        <a:noFill/>
        <a:ln>
          <a:noFill/>
        </a:ln>
        <a:effectLst/>
      </c:spPr>
    </c:title>
    <c:autoTitleDeleted val="0"/>
    <c:plotArea>
      <c:layout/>
      <c:pieChart>
        <c:varyColors val="1"/>
        <c:ser>
          <c:idx val="0"/>
          <c:order val="0"/>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dLbl>
              <c:idx val="0"/>
              <c:layout>
                <c:manualLayout>
                  <c:x val="-0.0697003408214835"/>
                  <c:y val="-0.247776406520416"/>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0637464453444233"/>
                  <c:y val="0.13432153392192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50000"/>
                          <a:lumOff val="50000"/>
                        </a:schemeClr>
                      </a:solidFill>
                      <a:prstDash val="solid"/>
                      <a:round/>
                    </a:ln>
                    <a:effectLst/>
                  </c:spPr>
                </c15:leaderLines>
              </c:ext>
            </c:extLst>
          </c:dLbls>
          <c:cat>
            <c:strRef>
              <c:f>Sheet1!$A$2:$A$4</c:f>
              <c:strCache>
                <c:ptCount val="3"/>
                <c:pt idx="0">
                  <c:v>公务用车购置及运行维护费</c:v>
                </c:pt>
                <c:pt idx="1">
                  <c:v>公务接待费</c:v>
                </c:pt>
                <c:pt idx="2">
                  <c:v>因公出国（境）的支出</c:v>
                </c:pt>
              </c:strCache>
            </c:strRef>
          </c:cat>
          <c:val>
            <c:numRef>
              <c:f>Sheet1!$B$2:$B$4</c:f>
              <c:numCache>
                <c:formatCode>0.00%</c:formatCode>
                <c:ptCount val="3"/>
                <c:pt idx="0">
                  <c:v>0.8403</c:v>
                </c:pt>
                <c:pt idx="1" c:formatCode="0%">
                  <c:v>0.1587</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60"/>
    <customShpInfo spid="_x0000_s2055"/>
    <customShpInfo spid="_x0000_s2054"/>
    <customShpInfo spid="_x0000_s2056"/>
    <customShpInfo spid="_x0000_s2052"/>
    <customShpInfo spid="_x0000_s2051"/>
    <customShpInfo spid="_x0000_s2053"/>
    <customShpInfo spid="_x0000_s2049"/>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ADFED3-CAA8-4B3F-955D-809408EFC4E8}">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57</Pages>
  <Words>21509</Words>
  <Characters>22930</Characters>
  <Lines>178</Lines>
  <Paragraphs>50</Paragraphs>
  <TotalTime>39</TotalTime>
  <ScaleCrop>false</ScaleCrop>
  <LinksUpToDate>false</LinksUpToDate>
  <CharactersWithSpaces>23037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2022-09-27T09:35:00Z</dcterms:created>
  <dc:creator>曹颖</dc:creator>
  <cp:lastModifiedBy>风</cp:lastModifiedBy>
  <cp:lastPrinted>2022-09-28T01:17:00Z</cp:lastPrinted>
  <dcterms:modified xsi:type="dcterms:W3CDTF">2023-06-21T08:21:22Z</dcterms:modified>
  <dc:title>四川省***</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18C4299B72334D3095585539B3212D20</vt:lpwstr>
  </property>
</Properties>
</file>