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9"/>
        <w:rPr>
          <w:rFonts w:hint="default" w:ascii="方正小标宋简体" w:hAnsi="宋体" w:eastAsia="方正小标宋简体"/>
          <w:color w:val="auto"/>
          <w:sz w:val="72"/>
          <w:szCs w:val="72"/>
          <w:highlight w:val="none"/>
          <w:lang w:val="en-US" w:eastAsia="zh-CN"/>
        </w:rPr>
      </w:pPr>
      <w:bookmarkStart w:id="0" w:name="_Toc15377193"/>
      <w:bookmarkStart w:id="1" w:name="_Toc15377425"/>
      <w:bookmarkStart w:id="2" w:name="_Toc15378441"/>
      <w:bookmarkStart w:id="3" w:name="_Toc15396475"/>
      <w:bookmarkStart w:id="4" w:name="_Toc15396597"/>
      <w:bookmarkStart w:id="5" w:name="_Toc15306267"/>
    </w:p>
    <w:p>
      <w:pPr>
        <w:spacing w:line="600" w:lineRule="exact"/>
        <w:jc w:val="center"/>
        <w:outlineLvl w:val="9"/>
        <w:rPr>
          <w:rFonts w:ascii="方正小标宋简体" w:hAnsi="宋体" w:eastAsia="方正小标宋简体"/>
          <w:color w:val="auto"/>
          <w:sz w:val="72"/>
          <w:szCs w:val="72"/>
          <w:highlight w:val="none"/>
        </w:rPr>
      </w:pPr>
    </w:p>
    <w:p>
      <w:pPr>
        <w:spacing w:line="600" w:lineRule="exact"/>
        <w:jc w:val="center"/>
        <w:outlineLvl w:val="9"/>
        <w:rPr>
          <w:rFonts w:ascii="方正小标宋简体" w:hAnsi="宋体" w:eastAsia="方正小标宋简体"/>
          <w:color w:val="auto"/>
          <w:sz w:val="72"/>
          <w:szCs w:val="72"/>
          <w:highlight w:val="none"/>
        </w:rPr>
      </w:pPr>
    </w:p>
    <w:p>
      <w:pPr>
        <w:spacing w:line="600" w:lineRule="exact"/>
        <w:jc w:val="center"/>
        <w:outlineLvl w:val="9"/>
        <w:rPr>
          <w:rFonts w:ascii="方正小标宋简体" w:hAnsi="宋体" w:eastAsia="方正小标宋简体"/>
          <w:color w:val="auto"/>
          <w:sz w:val="72"/>
          <w:szCs w:val="72"/>
          <w:highlight w:val="none"/>
        </w:rPr>
      </w:pPr>
    </w:p>
    <w:p>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6" w:name="_Toc21888"/>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21</w:t>
      </w:r>
      <w:r>
        <w:rPr>
          <w:rFonts w:hint="eastAsia" w:ascii="方正小标宋简体" w:hAnsi="方正小标宋简体" w:eastAsia="方正小标宋简体" w:cs="方正小标宋简体"/>
          <w:color w:val="auto"/>
          <w:sz w:val="72"/>
          <w:szCs w:val="72"/>
          <w:highlight w:val="none"/>
        </w:rPr>
        <w:t>年度</w:t>
      </w:r>
      <w:bookmarkEnd w:id="0"/>
      <w:bookmarkEnd w:id="1"/>
      <w:bookmarkEnd w:id="2"/>
      <w:bookmarkEnd w:id="3"/>
      <w:bookmarkEnd w:id="4"/>
      <w:bookmarkEnd w:id="6"/>
    </w:p>
    <w:p>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7" w:name="_Toc15377194"/>
      <w:bookmarkStart w:id="8" w:name="_Toc15377426"/>
      <w:bookmarkStart w:id="9" w:name="_Toc15396598"/>
      <w:bookmarkStart w:id="10" w:name="_Toc15378442"/>
      <w:bookmarkStart w:id="11" w:name="_Toc13210"/>
      <w:bookmarkStart w:id="12" w:name="_Toc15396476"/>
      <w:r>
        <w:rPr>
          <w:rFonts w:hint="eastAsia" w:ascii="方正小标宋简体" w:hAnsi="方正小标宋简体" w:eastAsia="方正小标宋简体" w:cs="方正小标宋简体"/>
          <w:color w:val="auto"/>
          <w:sz w:val="72"/>
          <w:szCs w:val="72"/>
          <w:highlight w:val="none"/>
          <w:lang w:val="en-US" w:eastAsia="zh-CN"/>
        </w:rPr>
        <w:t>广元市</w:t>
      </w:r>
      <w:bookmarkEnd w:id="5"/>
      <w:bookmarkStart w:id="13" w:name="_Toc15306268"/>
      <w:r>
        <w:rPr>
          <w:rFonts w:hint="eastAsia" w:ascii="方正小标宋简体" w:hAnsi="方正小标宋简体" w:eastAsia="方正小标宋简体" w:cs="方正小标宋简体"/>
          <w:color w:val="auto"/>
          <w:sz w:val="72"/>
          <w:szCs w:val="72"/>
          <w:highlight w:val="none"/>
          <w:lang w:val="en-US" w:eastAsia="zh-CN"/>
        </w:rPr>
        <w:t>教育局</w:t>
      </w:r>
      <w:r>
        <w:rPr>
          <w:rFonts w:hint="eastAsia" w:ascii="方正小标宋简体" w:hAnsi="方正小标宋简体" w:eastAsia="方正小标宋简体" w:cs="方正小标宋简体"/>
          <w:color w:val="auto"/>
          <w:sz w:val="72"/>
          <w:szCs w:val="72"/>
          <w:highlight w:val="none"/>
        </w:rPr>
        <w:t>部门决算</w:t>
      </w:r>
      <w:bookmarkEnd w:id="7"/>
      <w:bookmarkEnd w:id="8"/>
      <w:bookmarkEnd w:id="9"/>
      <w:bookmarkEnd w:id="10"/>
      <w:bookmarkEnd w:id="11"/>
      <w:bookmarkEnd w:id="12"/>
      <w:bookmarkEnd w:id="13"/>
    </w:p>
    <w:p>
      <w:pPr>
        <w:widowControl/>
        <w:jc w:val="center"/>
        <w:rPr>
          <w:rFonts w:ascii="黑体" w:hAnsi="黑体" w:eastAsia="黑体" w:cstheme="minorBidi"/>
          <w:color w:val="auto"/>
          <w:sz w:val="28"/>
          <w:szCs w:val="28"/>
          <w:highlight w:val="none"/>
        </w:rPr>
      </w:pPr>
      <w:r>
        <w:rPr>
          <w:rFonts w:ascii="方正小标宋简体" w:hAnsi="宋体" w:eastAsia="方正小标宋简体"/>
          <w:color w:val="auto"/>
          <w:sz w:val="36"/>
          <w:szCs w:val="36"/>
          <w:highlight w:val="none"/>
        </w:rPr>
        <w:br w:type="page"/>
      </w:r>
    </w:p>
    <w:p>
      <w:pPr>
        <w:spacing w:before="0" w:beforeLines="0" w:after="0" w:afterLines="0" w:line="240" w:lineRule="auto"/>
        <w:ind w:left="0" w:leftChars="0" w:right="0" w:rightChars="0" w:firstLine="0" w:firstLineChars="0"/>
        <w:jc w:val="center"/>
        <w:rPr>
          <w:b/>
          <w:bCs/>
          <w:sz w:val="52"/>
          <w:szCs w:val="52"/>
        </w:rPr>
      </w:pPr>
      <w:r>
        <w:rPr>
          <w:rFonts w:ascii="宋体" w:hAnsi="宋体" w:eastAsia="宋体"/>
          <w:b/>
          <w:bCs/>
          <w:sz w:val="52"/>
          <w:szCs w:val="52"/>
        </w:rPr>
        <w:t>目录</w:t>
      </w:r>
    </w:p>
    <w:p>
      <w:pPr>
        <w:pStyle w:val="12"/>
        <w:rPr>
          <w:color w:val="auto"/>
          <w:highlight w:val="none"/>
        </w:rPr>
      </w:pPr>
      <w:r>
        <w:rPr>
          <w:rFonts w:hint="eastAsia"/>
          <w:color w:val="auto"/>
          <w:highlight w:val="none"/>
        </w:rPr>
        <w:t>公开时间：20</w:t>
      </w:r>
      <w:r>
        <w:rPr>
          <w:rFonts w:hint="eastAsia"/>
          <w:color w:val="auto"/>
          <w:highlight w:val="none"/>
          <w:lang w:val="en-US" w:eastAsia="zh-CN"/>
        </w:rPr>
        <w:t>22</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26</w:t>
      </w:r>
      <w:r>
        <w:rPr>
          <w:rFonts w:hint="eastAsia"/>
          <w:color w:val="auto"/>
          <w:highlight w:val="none"/>
        </w:rPr>
        <w:t>日</w:t>
      </w:r>
    </w:p>
    <w:p>
      <w:pPr>
        <w:pStyle w:val="12"/>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TOC \o "1-3" \h \u </w:instrText>
      </w:r>
      <w:r>
        <w:rPr>
          <w:rFonts w:hint="eastAsia"/>
          <w:sz w:val="28"/>
          <w:szCs w:val="28"/>
        </w:rPr>
        <w:fldChar w:fldCharType="separate"/>
      </w:r>
    </w:p>
    <w:p>
      <w:pPr>
        <w:pStyle w:val="12"/>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_Toc23732 </w:instrText>
      </w:r>
      <w:r>
        <w:rPr>
          <w:rFonts w:hint="eastAsia"/>
          <w:sz w:val="28"/>
          <w:szCs w:val="28"/>
        </w:rPr>
        <w:fldChar w:fldCharType="separate"/>
      </w:r>
      <w:r>
        <w:rPr>
          <w:rFonts w:hint="eastAsia" w:ascii="黑体" w:hAnsi="黑体" w:eastAsia="黑体"/>
          <w:sz w:val="28"/>
          <w:szCs w:val="28"/>
          <w:highlight w:val="none"/>
        </w:rPr>
        <w:t xml:space="preserve">第一部分 </w:t>
      </w:r>
      <w:r>
        <w:rPr>
          <w:rFonts w:hint="eastAsia" w:ascii="黑体" w:hAnsi="黑体" w:eastAsia="黑体"/>
          <w:bCs w:val="0"/>
          <w:sz w:val="28"/>
          <w:szCs w:val="28"/>
          <w:highlight w:val="none"/>
        </w:rPr>
        <w:t>部门概况</w:t>
      </w:r>
      <w:r>
        <w:rPr>
          <w:sz w:val="28"/>
          <w:szCs w:val="28"/>
        </w:rPr>
        <w:tab/>
      </w:r>
      <w:r>
        <w:rPr>
          <w:sz w:val="28"/>
          <w:szCs w:val="28"/>
        </w:rPr>
        <w:fldChar w:fldCharType="begin"/>
      </w:r>
      <w:r>
        <w:rPr>
          <w:sz w:val="28"/>
          <w:szCs w:val="28"/>
        </w:rPr>
        <w:instrText xml:space="preserve"> PAGEREF _Toc23732 \h </w:instrText>
      </w:r>
      <w:r>
        <w:rPr>
          <w:sz w:val="28"/>
          <w:szCs w:val="28"/>
        </w:rPr>
        <w:fldChar w:fldCharType="separate"/>
      </w:r>
      <w:r>
        <w:rPr>
          <w:sz w:val="28"/>
          <w:szCs w:val="28"/>
        </w:rPr>
        <w:t>4</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_Toc14072 </w:instrText>
      </w:r>
      <w:r>
        <w:rPr>
          <w:rFonts w:hint="eastAsia"/>
          <w:sz w:val="28"/>
          <w:szCs w:val="28"/>
        </w:rPr>
        <w:fldChar w:fldCharType="separate"/>
      </w:r>
      <w:r>
        <w:rPr>
          <w:rFonts w:hint="eastAsia" w:ascii="黑体" w:hAnsi="黑体" w:eastAsia="黑体"/>
          <w:sz w:val="28"/>
          <w:szCs w:val="28"/>
          <w:highlight w:val="none"/>
        </w:rPr>
        <w:t>一、基</w:t>
      </w:r>
      <w:r>
        <w:rPr>
          <w:rFonts w:hint="eastAsia" w:ascii="黑体" w:hAnsi="黑体" w:eastAsia="黑体"/>
          <w:bCs w:val="0"/>
          <w:sz w:val="28"/>
          <w:szCs w:val="28"/>
          <w:highlight w:val="none"/>
        </w:rPr>
        <w:t>本职能及主要工作</w:t>
      </w:r>
      <w:r>
        <w:rPr>
          <w:sz w:val="28"/>
          <w:szCs w:val="28"/>
        </w:rPr>
        <w:tab/>
      </w:r>
      <w:r>
        <w:rPr>
          <w:sz w:val="28"/>
          <w:szCs w:val="28"/>
        </w:rPr>
        <w:fldChar w:fldCharType="begin"/>
      </w:r>
      <w:r>
        <w:rPr>
          <w:sz w:val="28"/>
          <w:szCs w:val="28"/>
        </w:rPr>
        <w:instrText xml:space="preserve"> PAGEREF _Toc14072 \h </w:instrText>
      </w:r>
      <w:r>
        <w:rPr>
          <w:sz w:val="28"/>
          <w:szCs w:val="28"/>
        </w:rPr>
        <w:fldChar w:fldCharType="separate"/>
      </w:r>
      <w:r>
        <w:rPr>
          <w:sz w:val="28"/>
          <w:szCs w:val="28"/>
        </w:rPr>
        <w:t>4</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_Toc27873 </w:instrText>
      </w:r>
      <w:r>
        <w:rPr>
          <w:rFonts w:hint="eastAsia"/>
          <w:sz w:val="28"/>
          <w:szCs w:val="28"/>
        </w:rPr>
        <w:fldChar w:fldCharType="separate"/>
      </w:r>
      <w:r>
        <w:rPr>
          <w:rFonts w:hint="eastAsia" w:ascii="黑体" w:eastAsia="黑体"/>
          <w:sz w:val="28"/>
          <w:szCs w:val="28"/>
          <w:highlight w:val="none"/>
        </w:rPr>
        <w:t>二、</w:t>
      </w:r>
      <w:r>
        <w:rPr>
          <w:rFonts w:hint="eastAsia" w:ascii="黑体" w:hAnsi="黑体" w:eastAsia="黑体"/>
          <w:sz w:val="28"/>
          <w:szCs w:val="28"/>
          <w:highlight w:val="none"/>
        </w:rPr>
        <w:t>机</w:t>
      </w:r>
      <w:r>
        <w:rPr>
          <w:rFonts w:hint="eastAsia" w:ascii="黑体" w:hAnsi="黑体" w:eastAsia="黑体"/>
          <w:bCs w:val="0"/>
          <w:sz w:val="28"/>
          <w:szCs w:val="28"/>
          <w:highlight w:val="none"/>
        </w:rPr>
        <w:t>构设置</w:t>
      </w:r>
      <w:r>
        <w:rPr>
          <w:sz w:val="28"/>
          <w:szCs w:val="28"/>
        </w:rPr>
        <w:tab/>
      </w:r>
      <w:r>
        <w:rPr>
          <w:sz w:val="28"/>
          <w:szCs w:val="28"/>
        </w:rPr>
        <w:fldChar w:fldCharType="begin"/>
      </w:r>
      <w:r>
        <w:rPr>
          <w:sz w:val="28"/>
          <w:szCs w:val="28"/>
        </w:rPr>
        <w:instrText xml:space="preserve"> PAGEREF _Toc27873 \h </w:instrText>
      </w:r>
      <w:r>
        <w:rPr>
          <w:sz w:val="28"/>
          <w:szCs w:val="28"/>
        </w:rPr>
        <w:fldChar w:fldCharType="separate"/>
      </w:r>
      <w:r>
        <w:rPr>
          <w:sz w:val="28"/>
          <w:szCs w:val="28"/>
        </w:rPr>
        <w:t>16</w:t>
      </w:r>
      <w:r>
        <w:rPr>
          <w:sz w:val="28"/>
          <w:szCs w:val="28"/>
        </w:rPr>
        <w:fldChar w:fldCharType="end"/>
      </w:r>
      <w:r>
        <w:rPr>
          <w:rFonts w:hint="eastAsia"/>
          <w:sz w:val="28"/>
          <w:szCs w:val="28"/>
        </w:rPr>
        <w:fldChar w:fldCharType="end"/>
      </w:r>
    </w:p>
    <w:p>
      <w:pPr>
        <w:pStyle w:val="12"/>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_Toc30365 </w:instrText>
      </w:r>
      <w:r>
        <w:rPr>
          <w:rFonts w:hint="eastAsia"/>
          <w:sz w:val="28"/>
          <w:szCs w:val="28"/>
        </w:rPr>
        <w:fldChar w:fldCharType="separate"/>
      </w:r>
      <w:r>
        <w:rPr>
          <w:rFonts w:hint="eastAsia" w:ascii="黑体" w:hAnsi="黑体" w:eastAsia="黑体"/>
          <w:bCs/>
          <w:sz w:val="28"/>
          <w:szCs w:val="28"/>
          <w:highlight w:val="none"/>
        </w:rPr>
        <w:t xml:space="preserve">第二部分 </w:t>
      </w:r>
      <w:r>
        <w:rPr>
          <w:rFonts w:hint="eastAsia" w:ascii="黑体" w:hAnsi="黑体" w:eastAsia="黑体"/>
          <w:bCs/>
          <w:sz w:val="28"/>
          <w:szCs w:val="28"/>
          <w:highlight w:val="none"/>
          <w:lang w:val="en-US" w:eastAsia="zh-CN"/>
        </w:rPr>
        <w:t>2021年度</w:t>
      </w:r>
      <w:r>
        <w:rPr>
          <w:rFonts w:hint="eastAsia" w:ascii="黑体" w:hAnsi="黑体" w:eastAsia="黑体"/>
          <w:bCs/>
          <w:sz w:val="28"/>
          <w:szCs w:val="28"/>
          <w:highlight w:val="none"/>
        </w:rPr>
        <w:t>部门决算情况说明</w:t>
      </w:r>
      <w:r>
        <w:rPr>
          <w:sz w:val="28"/>
          <w:szCs w:val="28"/>
        </w:rPr>
        <w:tab/>
      </w:r>
      <w:r>
        <w:rPr>
          <w:sz w:val="28"/>
          <w:szCs w:val="28"/>
        </w:rPr>
        <w:fldChar w:fldCharType="begin"/>
      </w:r>
      <w:r>
        <w:rPr>
          <w:sz w:val="28"/>
          <w:szCs w:val="28"/>
        </w:rPr>
        <w:instrText xml:space="preserve"> PAGEREF _Toc30365 \h </w:instrText>
      </w:r>
      <w:r>
        <w:rPr>
          <w:sz w:val="28"/>
          <w:szCs w:val="28"/>
        </w:rPr>
        <w:fldChar w:fldCharType="separate"/>
      </w:r>
      <w:r>
        <w:rPr>
          <w:sz w:val="28"/>
          <w:szCs w:val="28"/>
        </w:rPr>
        <w:t>17</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_Toc14173 </w:instrText>
      </w:r>
      <w:r>
        <w:rPr>
          <w:rFonts w:hint="eastAsia"/>
          <w:sz w:val="28"/>
          <w:szCs w:val="28"/>
        </w:rPr>
        <w:fldChar w:fldCharType="separate"/>
      </w:r>
      <w:r>
        <w:rPr>
          <w:rFonts w:hint="default" w:ascii="黑体" w:hAnsi="黑体" w:eastAsia="黑体"/>
          <w:sz w:val="28"/>
          <w:szCs w:val="28"/>
        </w:rPr>
        <w:t xml:space="preserve">一、 </w:t>
      </w:r>
      <w:r>
        <w:rPr>
          <w:rFonts w:hint="eastAsia" w:ascii="黑体" w:hAnsi="黑体" w:eastAsia="黑体"/>
          <w:sz w:val="28"/>
          <w:szCs w:val="28"/>
          <w:highlight w:val="none"/>
        </w:rPr>
        <w:t>收入支出决算总体情况说明</w:t>
      </w:r>
      <w:r>
        <w:rPr>
          <w:sz w:val="28"/>
          <w:szCs w:val="28"/>
        </w:rPr>
        <w:tab/>
      </w:r>
      <w:r>
        <w:rPr>
          <w:sz w:val="28"/>
          <w:szCs w:val="28"/>
        </w:rPr>
        <w:fldChar w:fldCharType="begin"/>
      </w:r>
      <w:r>
        <w:rPr>
          <w:sz w:val="28"/>
          <w:szCs w:val="28"/>
        </w:rPr>
        <w:instrText xml:space="preserve"> PAGEREF _Toc14173 \h </w:instrText>
      </w:r>
      <w:r>
        <w:rPr>
          <w:sz w:val="28"/>
          <w:szCs w:val="28"/>
        </w:rPr>
        <w:fldChar w:fldCharType="separate"/>
      </w:r>
      <w:r>
        <w:rPr>
          <w:sz w:val="28"/>
          <w:szCs w:val="28"/>
        </w:rPr>
        <w:t>17</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_Toc13745 </w:instrText>
      </w:r>
      <w:r>
        <w:rPr>
          <w:rFonts w:hint="eastAsia"/>
          <w:sz w:val="28"/>
          <w:szCs w:val="28"/>
        </w:rPr>
        <w:fldChar w:fldCharType="separate"/>
      </w:r>
      <w:r>
        <w:rPr>
          <w:rFonts w:hint="default" w:ascii="黑体" w:hAnsi="黑体" w:eastAsia="黑体"/>
          <w:sz w:val="28"/>
          <w:szCs w:val="28"/>
        </w:rPr>
        <w:t xml:space="preserve">二、 </w:t>
      </w:r>
      <w:r>
        <w:rPr>
          <w:rFonts w:hint="eastAsia" w:ascii="黑体" w:hAnsi="黑体" w:eastAsia="黑体"/>
          <w:sz w:val="28"/>
          <w:szCs w:val="28"/>
          <w:highlight w:val="none"/>
        </w:rPr>
        <w:t>收入决算情况说</w:t>
      </w:r>
      <w:r>
        <w:rPr>
          <w:sz w:val="28"/>
          <w:szCs w:val="28"/>
        </w:rPr>
        <w:tab/>
      </w:r>
      <w:r>
        <w:rPr>
          <w:sz w:val="28"/>
          <w:szCs w:val="28"/>
        </w:rPr>
        <w:fldChar w:fldCharType="begin"/>
      </w:r>
      <w:r>
        <w:rPr>
          <w:sz w:val="28"/>
          <w:szCs w:val="28"/>
        </w:rPr>
        <w:instrText xml:space="preserve"> PAGEREF _Toc13745 \h </w:instrText>
      </w:r>
      <w:r>
        <w:rPr>
          <w:sz w:val="28"/>
          <w:szCs w:val="28"/>
        </w:rPr>
        <w:fldChar w:fldCharType="separate"/>
      </w:r>
      <w:r>
        <w:rPr>
          <w:sz w:val="28"/>
          <w:szCs w:val="28"/>
        </w:rPr>
        <w:t>17</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_Toc11991 </w:instrText>
      </w:r>
      <w:r>
        <w:rPr>
          <w:rFonts w:hint="eastAsia"/>
          <w:sz w:val="28"/>
          <w:szCs w:val="28"/>
        </w:rPr>
        <w:fldChar w:fldCharType="separate"/>
      </w:r>
      <w:r>
        <w:rPr>
          <w:rFonts w:hint="default" w:ascii="黑体" w:hAnsi="黑体" w:eastAsia="黑体"/>
          <w:sz w:val="28"/>
          <w:szCs w:val="28"/>
        </w:rPr>
        <w:t xml:space="preserve">三、 </w:t>
      </w:r>
      <w:r>
        <w:rPr>
          <w:rFonts w:hint="eastAsia" w:ascii="黑体" w:hAnsi="黑体" w:eastAsia="黑体"/>
          <w:sz w:val="28"/>
          <w:szCs w:val="28"/>
          <w:highlight w:val="none"/>
        </w:rPr>
        <w:t>支出决算情况说明</w:t>
      </w:r>
      <w:r>
        <w:rPr>
          <w:sz w:val="28"/>
          <w:szCs w:val="28"/>
        </w:rPr>
        <w:tab/>
      </w:r>
      <w:r>
        <w:rPr>
          <w:sz w:val="28"/>
          <w:szCs w:val="28"/>
        </w:rPr>
        <w:fldChar w:fldCharType="begin"/>
      </w:r>
      <w:r>
        <w:rPr>
          <w:sz w:val="28"/>
          <w:szCs w:val="28"/>
        </w:rPr>
        <w:instrText xml:space="preserve"> PAGEREF _Toc11991 \h </w:instrText>
      </w:r>
      <w:r>
        <w:rPr>
          <w:sz w:val="28"/>
          <w:szCs w:val="28"/>
        </w:rPr>
        <w:fldChar w:fldCharType="separate"/>
      </w:r>
      <w:r>
        <w:rPr>
          <w:sz w:val="28"/>
          <w:szCs w:val="28"/>
        </w:rPr>
        <w:t>18</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_Toc3274 </w:instrText>
      </w:r>
      <w:r>
        <w:rPr>
          <w:rFonts w:hint="eastAsia"/>
          <w:sz w:val="28"/>
          <w:szCs w:val="28"/>
        </w:rPr>
        <w:fldChar w:fldCharType="separate"/>
      </w:r>
      <w:r>
        <w:rPr>
          <w:rFonts w:hint="eastAsia" w:ascii="黑体" w:hAnsi="黑体" w:eastAsia="黑体"/>
          <w:sz w:val="28"/>
          <w:szCs w:val="28"/>
          <w:highlight w:val="none"/>
        </w:rPr>
        <w:t>四、财政拨款收入支出决算总体情况说明</w:t>
      </w:r>
      <w:r>
        <w:rPr>
          <w:sz w:val="28"/>
          <w:szCs w:val="28"/>
        </w:rPr>
        <w:tab/>
      </w:r>
      <w:r>
        <w:rPr>
          <w:sz w:val="28"/>
          <w:szCs w:val="28"/>
        </w:rPr>
        <w:fldChar w:fldCharType="begin"/>
      </w:r>
      <w:r>
        <w:rPr>
          <w:sz w:val="28"/>
          <w:szCs w:val="28"/>
        </w:rPr>
        <w:instrText xml:space="preserve"> PAGEREF _Toc3274 \h </w:instrText>
      </w:r>
      <w:r>
        <w:rPr>
          <w:sz w:val="28"/>
          <w:szCs w:val="28"/>
        </w:rPr>
        <w:fldChar w:fldCharType="separate"/>
      </w:r>
      <w:r>
        <w:rPr>
          <w:sz w:val="28"/>
          <w:szCs w:val="28"/>
        </w:rPr>
        <w:t>19</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_Toc13986 </w:instrText>
      </w:r>
      <w:r>
        <w:rPr>
          <w:rFonts w:hint="eastAsia"/>
          <w:sz w:val="28"/>
          <w:szCs w:val="28"/>
        </w:rPr>
        <w:fldChar w:fldCharType="separate"/>
      </w:r>
      <w:r>
        <w:rPr>
          <w:rFonts w:hint="eastAsia" w:ascii="黑体" w:hAnsi="黑体" w:eastAsia="黑体"/>
          <w:sz w:val="28"/>
          <w:szCs w:val="28"/>
          <w:highlight w:val="none"/>
        </w:rPr>
        <w:t>五、一般公共预算财政拨款支出决算情况说明</w:t>
      </w:r>
      <w:r>
        <w:rPr>
          <w:sz w:val="28"/>
          <w:szCs w:val="28"/>
        </w:rPr>
        <w:tab/>
      </w:r>
      <w:r>
        <w:rPr>
          <w:sz w:val="28"/>
          <w:szCs w:val="28"/>
        </w:rPr>
        <w:fldChar w:fldCharType="begin"/>
      </w:r>
      <w:r>
        <w:rPr>
          <w:sz w:val="28"/>
          <w:szCs w:val="28"/>
        </w:rPr>
        <w:instrText xml:space="preserve"> PAGEREF _Toc13986 \h </w:instrText>
      </w:r>
      <w:r>
        <w:rPr>
          <w:sz w:val="28"/>
          <w:szCs w:val="28"/>
        </w:rPr>
        <w:fldChar w:fldCharType="separate"/>
      </w:r>
      <w:r>
        <w:rPr>
          <w:sz w:val="28"/>
          <w:szCs w:val="28"/>
        </w:rPr>
        <w:t>19</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_Toc15 </w:instrText>
      </w:r>
      <w:r>
        <w:rPr>
          <w:rFonts w:hint="eastAsia"/>
          <w:sz w:val="28"/>
          <w:szCs w:val="28"/>
        </w:rPr>
        <w:fldChar w:fldCharType="separate"/>
      </w:r>
      <w:r>
        <w:rPr>
          <w:rFonts w:hint="eastAsia" w:ascii="黑体" w:eastAsia="黑体"/>
          <w:sz w:val="28"/>
          <w:szCs w:val="28"/>
          <w:highlight w:val="none"/>
        </w:rPr>
        <w:t>六、</w:t>
      </w:r>
      <w:r>
        <w:rPr>
          <w:rFonts w:hint="eastAsia" w:ascii="黑体" w:hAnsi="黑体" w:eastAsia="黑体"/>
          <w:sz w:val="28"/>
          <w:szCs w:val="28"/>
          <w:highlight w:val="none"/>
        </w:rPr>
        <w:t>一般公共预算财政拨款基本支出决算情况说明</w:t>
      </w:r>
      <w:r>
        <w:rPr>
          <w:sz w:val="28"/>
          <w:szCs w:val="28"/>
        </w:rPr>
        <w:tab/>
      </w:r>
      <w:r>
        <w:rPr>
          <w:sz w:val="28"/>
          <w:szCs w:val="28"/>
        </w:rPr>
        <w:fldChar w:fldCharType="begin"/>
      </w:r>
      <w:r>
        <w:rPr>
          <w:sz w:val="28"/>
          <w:szCs w:val="28"/>
        </w:rPr>
        <w:instrText xml:space="preserve"> PAGEREF _Toc15 \h </w:instrText>
      </w:r>
      <w:r>
        <w:rPr>
          <w:sz w:val="28"/>
          <w:szCs w:val="28"/>
        </w:rPr>
        <w:fldChar w:fldCharType="separate"/>
      </w:r>
      <w:r>
        <w:rPr>
          <w:sz w:val="28"/>
          <w:szCs w:val="28"/>
        </w:rPr>
        <w:t>24</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_Toc6343 </w:instrText>
      </w:r>
      <w:r>
        <w:rPr>
          <w:rFonts w:hint="eastAsia"/>
          <w:sz w:val="28"/>
          <w:szCs w:val="28"/>
        </w:rPr>
        <w:fldChar w:fldCharType="separate"/>
      </w:r>
      <w:r>
        <w:rPr>
          <w:rFonts w:hint="eastAsia" w:ascii="黑体" w:eastAsia="黑体"/>
          <w:sz w:val="28"/>
          <w:szCs w:val="28"/>
          <w:highlight w:val="none"/>
        </w:rPr>
        <w:t>七、</w:t>
      </w:r>
      <w:r>
        <w:rPr>
          <w:rFonts w:hint="eastAsia" w:ascii="黑体" w:hAnsi="黑体" w:eastAsia="黑体"/>
          <w:sz w:val="28"/>
          <w:szCs w:val="28"/>
          <w:highlight w:val="none"/>
        </w:rPr>
        <w:t>“三公”经费财政拨款支出决算情况说明</w:t>
      </w:r>
      <w:r>
        <w:rPr>
          <w:sz w:val="28"/>
          <w:szCs w:val="28"/>
        </w:rPr>
        <w:tab/>
      </w:r>
      <w:r>
        <w:rPr>
          <w:sz w:val="28"/>
          <w:szCs w:val="28"/>
        </w:rPr>
        <w:fldChar w:fldCharType="begin"/>
      </w:r>
      <w:r>
        <w:rPr>
          <w:sz w:val="28"/>
          <w:szCs w:val="28"/>
        </w:rPr>
        <w:instrText xml:space="preserve"> PAGEREF _Toc6343 \h </w:instrText>
      </w:r>
      <w:r>
        <w:rPr>
          <w:sz w:val="28"/>
          <w:szCs w:val="28"/>
        </w:rPr>
        <w:fldChar w:fldCharType="separate"/>
      </w:r>
      <w:r>
        <w:rPr>
          <w:sz w:val="28"/>
          <w:szCs w:val="28"/>
        </w:rPr>
        <w:t>25</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_Toc21558 </w:instrText>
      </w:r>
      <w:r>
        <w:rPr>
          <w:rFonts w:hint="eastAsia"/>
          <w:sz w:val="28"/>
          <w:szCs w:val="28"/>
        </w:rPr>
        <w:fldChar w:fldCharType="separate"/>
      </w:r>
      <w:r>
        <w:rPr>
          <w:rFonts w:hint="eastAsia" w:ascii="黑体" w:eastAsia="黑体"/>
          <w:sz w:val="28"/>
          <w:szCs w:val="28"/>
          <w:highlight w:val="none"/>
        </w:rPr>
        <w:t>八、</w:t>
      </w:r>
      <w:r>
        <w:rPr>
          <w:rFonts w:hint="eastAsia" w:ascii="黑体" w:hAnsi="黑体" w:eastAsia="黑体"/>
          <w:sz w:val="28"/>
          <w:szCs w:val="28"/>
          <w:highlight w:val="none"/>
        </w:rPr>
        <w:t>政府性基金预算支出决算情况说明</w:t>
      </w:r>
      <w:r>
        <w:rPr>
          <w:sz w:val="28"/>
          <w:szCs w:val="28"/>
        </w:rPr>
        <w:tab/>
      </w:r>
      <w:r>
        <w:rPr>
          <w:sz w:val="28"/>
          <w:szCs w:val="28"/>
        </w:rPr>
        <w:fldChar w:fldCharType="begin"/>
      </w:r>
      <w:r>
        <w:rPr>
          <w:sz w:val="28"/>
          <w:szCs w:val="28"/>
        </w:rPr>
        <w:instrText xml:space="preserve"> PAGEREF _Toc21558 \h </w:instrText>
      </w:r>
      <w:r>
        <w:rPr>
          <w:sz w:val="28"/>
          <w:szCs w:val="28"/>
        </w:rPr>
        <w:fldChar w:fldCharType="separate"/>
      </w:r>
      <w:r>
        <w:rPr>
          <w:sz w:val="28"/>
          <w:szCs w:val="28"/>
        </w:rPr>
        <w:t>27</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_Toc8735 </w:instrText>
      </w:r>
      <w:r>
        <w:rPr>
          <w:rFonts w:hint="eastAsia"/>
          <w:sz w:val="28"/>
          <w:szCs w:val="28"/>
        </w:rPr>
        <w:fldChar w:fldCharType="separate"/>
      </w:r>
      <w:r>
        <w:rPr>
          <w:rFonts w:hint="eastAsia" w:ascii="黑体" w:hAnsi="黑体" w:eastAsia="黑体"/>
          <w:sz w:val="28"/>
          <w:szCs w:val="28"/>
        </w:rPr>
        <w:t xml:space="preserve">九、 </w:t>
      </w:r>
      <w:r>
        <w:rPr>
          <w:rFonts w:hint="eastAsia" w:ascii="黑体" w:hAnsi="黑体" w:eastAsia="黑体"/>
          <w:sz w:val="28"/>
          <w:szCs w:val="28"/>
          <w:highlight w:val="none"/>
        </w:rPr>
        <w:t>国有资本经营预算支出决算情况说明</w:t>
      </w:r>
      <w:r>
        <w:rPr>
          <w:sz w:val="28"/>
          <w:szCs w:val="28"/>
        </w:rPr>
        <w:tab/>
      </w:r>
      <w:r>
        <w:rPr>
          <w:sz w:val="28"/>
          <w:szCs w:val="28"/>
        </w:rPr>
        <w:fldChar w:fldCharType="begin"/>
      </w:r>
      <w:r>
        <w:rPr>
          <w:sz w:val="28"/>
          <w:szCs w:val="28"/>
        </w:rPr>
        <w:instrText xml:space="preserve"> PAGEREF _Toc8735 \h </w:instrText>
      </w:r>
      <w:r>
        <w:rPr>
          <w:sz w:val="28"/>
          <w:szCs w:val="28"/>
        </w:rPr>
        <w:fldChar w:fldCharType="separate"/>
      </w:r>
      <w:r>
        <w:rPr>
          <w:sz w:val="28"/>
          <w:szCs w:val="28"/>
        </w:rPr>
        <w:t>27</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_Toc27592 </w:instrText>
      </w:r>
      <w:r>
        <w:rPr>
          <w:rFonts w:hint="eastAsia"/>
          <w:sz w:val="28"/>
          <w:szCs w:val="28"/>
        </w:rPr>
        <w:fldChar w:fldCharType="separate"/>
      </w:r>
      <w:r>
        <w:rPr>
          <w:rFonts w:hint="eastAsia" w:ascii="黑体" w:hAnsi="黑体" w:eastAsia="黑体"/>
          <w:sz w:val="28"/>
          <w:szCs w:val="28"/>
        </w:rPr>
        <w:t xml:space="preserve">十、 </w:t>
      </w:r>
      <w:r>
        <w:rPr>
          <w:rFonts w:hint="eastAsia" w:ascii="黑体" w:hAnsi="黑体" w:eastAsia="黑体"/>
          <w:sz w:val="28"/>
          <w:szCs w:val="28"/>
          <w:highlight w:val="none"/>
          <w:lang w:val="en-US" w:eastAsia="zh-CN"/>
        </w:rPr>
        <w:t>预算绩效管理情况</w:t>
      </w:r>
      <w:r>
        <w:rPr>
          <w:sz w:val="28"/>
          <w:szCs w:val="28"/>
        </w:rPr>
        <w:tab/>
      </w:r>
      <w:r>
        <w:rPr>
          <w:sz w:val="28"/>
          <w:szCs w:val="28"/>
        </w:rPr>
        <w:fldChar w:fldCharType="begin"/>
      </w:r>
      <w:r>
        <w:rPr>
          <w:sz w:val="28"/>
          <w:szCs w:val="28"/>
        </w:rPr>
        <w:instrText xml:space="preserve"> PAGEREF _Toc27592 \h </w:instrText>
      </w:r>
      <w:r>
        <w:rPr>
          <w:sz w:val="28"/>
          <w:szCs w:val="28"/>
        </w:rPr>
        <w:fldChar w:fldCharType="separate"/>
      </w:r>
      <w:r>
        <w:rPr>
          <w:sz w:val="28"/>
          <w:szCs w:val="28"/>
        </w:rPr>
        <w:t>27</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_Toc786 </w:instrText>
      </w:r>
      <w:r>
        <w:rPr>
          <w:rFonts w:hint="eastAsia"/>
          <w:sz w:val="28"/>
          <w:szCs w:val="28"/>
        </w:rPr>
        <w:fldChar w:fldCharType="separate"/>
      </w:r>
      <w:r>
        <w:rPr>
          <w:rFonts w:hint="eastAsia" w:ascii="黑体" w:hAnsi="黑体" w:eastAsia="黑体"/>
          <w:sz w:val="28"/>
          <w:szCs w:val="28"/>
        </w:rPr>
        <w:t xml:space="preserve">十一、 </w:t>
      </w:r>
      <w:r>
        <w:rPr>
          <w:rFonts w:hint="eastAsia" w:ascii="黑体" w:hAnsi="黑体" w:eastAsia="黑体"/>
          <w:sz w:val="28"/>
          <w:szCs w:val="28"/>
          <w:highlight w:val="none"/>
        </w:rPr>
        <w:t>其他重要事项的情况说明</w:t>
      </w:r>
      <w:r>
        <w:rPr>
          <w:sz w:val="28"/>
          <w:szCs w:val="28"/>
        </w:rPr>
        <w:tab/>
      </w:r>
      <w:r>
        <w:rPr>
          <w:sz w:val="28"/>
          <w:szCs w:val="28"/>
        </w:rPr>
        <w:fldChar w:fldCharType="begin"/>
      </w:r>
      <w:r>
        <w:rPr>
          <w:sz w:val="28"/>
          <w:szCs w:val="28"/>
        </w:rPr>
        <w:instrText xml:space="preserve"> PAGEREF _Toc786 \h </w:instrText>
      </w:r>
      <w:r>
        <w:rPr>
          <w:sz w:val="28"/>
          <w:szCs w:val="28"/>
        </w:rPr>
        <w:fldChar w:fldCharType="separate"/>
      </w:r>
      <w:r>
        <w:rPr>
          <w:sz w:val="28"/>
          <w:szCs w:val="28"/>
        </w:rPr>
        <w:t>28</w:t>
      </w:r>
      <w:r>
        <w:rPr>
          <w:sz w:val="28"/>
          <w:szCs w:val="28"/>
        </w:rPr>
        <w:fldChar w:fldCharType="end"/>
      </w:r>
      <w:r>
        <w:rPr>
          <w:rFonts w:hint="eastAsia"/>
          <w:sz w:val="28"/>
          <w:szCs w:val="28"/>
        </w:rPr>
        <w:fldChar w:fldCharType="end"/>
      </w:r>
    </w:p>
    <w:p>
      <w:pPr>
        <w:pStyle w:val="12"/>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_Toc9573 </w:instrText>
      </w:r>
      <w:r>
        <w:rPr>
          <w:rFonts w:hint="eastAsia"/>
          <w:sz w:val="28"/>
          <w:szCs w:val="28"/>
        </w:rPr>
        <w:fldChar w:fldCharType="separate"/>
      </w:r>
      <w:r>
        <w:rPr>
          <w:rFonts w:hint="eastAsia" w:ascii="黑体" w:hAnsi="黑体" w:eastAsia="黑体"/>
          <w:sz w:val="28"/>
          <w:szCs w:val="28"/>
        </w:rPr>
        <w:t xml:space="preserve">第三部分 </w:t>
      </w:r>
      <w:r>
        <w:rPr>
          <w:rFonts w:hint="eastAsia" w:ascii="黑体" w:hAnsi="黑体" w:eastAsia="黑体"/>
          <w:sz w:val="28"/>
          <w:szCs w:val="28"/>
          <w:highlight w:val="none"/>
        </w:rPr>
        <w:t>名词解释</w:t>
      </w:r>
      <w:r>
        <w:rPr>
          <w:sz w:val="28"/>
          <w:szCs w:val="28"/>
        </w:rPr>
        <w:tab/>
      </w:r>
      <w:r>
        <w:rPr>
          <w:sz w:val="28"/>
          <w:szCs w:val="28"/>
        </w:rPr>
        <w:fldChar w:fldCharType="begin"/>
      </w:r>
      <w:r>
        <w:rPr>
          <w:sz w:val="28"/>
          <w:szCs w:val="28"/>
        </w:rPr>
        <w:instrText xml:space="preserve"> PAGEREF _Toc9573 \h </w:instrText>
      </w:r>
      <w:r>
        <w:rPr>
          <w:sz w:val="28"/>
          <w:szCs w:val="28"/>
        </w:rPr>
        <w:fldChar w:fldCharType="separate"/>
      </w:r>
      <w:r>
        <w:rPr>
          <w:sz w:val="28"/>
          <w:szCs w:val="28"/>
        </w:rPr>
        <w:t>30</w:t>
      </w:r>
      <w:r>
        <w:rPr>
          <w:sz w:val="28"/>
          <w:szCs w:val="28"/>
        </w:rPr>
        <w:fldChar w:fldCharType="end"/>
      </w:r>
      <w:r>
        <w:rPr>
          <w:rFonts w:hint="eastAsia"/>
          <w:sz w:val="28"/>
          <w:szCs w:val="28"/>
        </w:rPr>
        <w:fldChar w:fldCharType="end"/>
      </w:r>
    </w:p>
    <w:p>
      <w:pPr>
        <w:pStyle w:val="12"/>
        <w:tabs>
          <w:tab w:val="right" w:leader="dot" w:pos="8306"/>
          <w:tab w:val="clear" w:pos="8296"/>
        </w:tabs>
        <w:jc w:val="both"/>
        <w:rPr>
          <w:sz w:val="28"/>
          <w:szCs w:val="28"/>
        </w:rPr>
      </w:pPr>
      <w:r>
        <w:rPr>
          <w:rFonts w:hint="eastAsia"/>
          <w:sz w:val="28"/>
          <w:szCs w:val="28"/>
        </w:rPr>
        <w:fldChar w:fldCharType="begin"/>
      </w:r>
      <w:r>
        <w:rPr>
          <w:rFonts w:hint="eastAsia"/>
          <w:sz w:val="28"/>
          <w:szCs w:val="28"/>
        </w:rPr>
        <w:instrText xml:space="preserve"> HYPERLINK \l _Toc24003 </w:instrText>
      </w:r>
      <w:r>
        <w:rPr>
          <w:rFonts w:hint="eastAsia"/>
          <w:sz w:val="28"/>
          <w:szCs w:val="28"/>
        </w:rPr>
        <w:fldChar w:fldCharType="separate"/>
      </w:r>
      <w:r>
        <w:rPr>
          <w:rFonts w:hint="eastAsia" w:ascii="黑体" w:hAnsi="黑体" w:eastAsia="黑体"/>
          <w:sz w:val="28"/>
          <w:szCs w:val="28"/>
          <w:highlight w:val="none"/>
        </w:rPr>
        <w:t>第四部分 附件</w:t>
      </w:r>
      <w:r>
        <w:rPr>
          <w:sz w:val="28"/>
          <w:szCs w:val="28"/>
        </w:rPr>
        <w:tab/>
      </w:r>
      <w:r>
        <w:rPr>
          <w:sz w:val="28"/>
          <w:szCs w:val="28"/>
        </w:rPr>
        <w:fldChar w:fldCharType="begin"/>
      </w:r>
      <w:r>
        <w:rPr>
          <w:sz w:val="28"/>
          <w:szCs w:val="28"/>
        </w:rPr>
        <w:instrText xml:space="preserve"> PAGEREF _Toc24003 \h </w:instrText>
      </w:r>
      <w:r>
        <w:rPr>
          <w:sz w:val="28"/>
          <w:szCs w:val="28"/>
        </w:rPr>
        <w:fldChar w:fldCharType="separate"/>
      </w:r>
      <w:r>
        <w:rPr>
          <w:sz w:val="28"/>
          <w:szCs w:val="28"/>
        </w:rPr>
        <w:t>36</w:t>
      </w:r>
      <w:r>
        <w:rPr>
          <w:sz w:val="28"/>
          <w:szCs w:val="28"/>
        </w:rPr>
        <w:fldChar w:fldCharType="end"/>
      </w:r>
      <w:r>
        <w:rPr>
          <w:rFonts w:hint="eastAsia"/>
          <w:sz w:val="28"/>
          <w:szCs w:val="28"/>
        </w:rPr>
        <w:fldChar w:fldCharType="end"/>
      </w:r>
    </w:p>
    <w:p>
      <w:pPr>
        <w:pStyle w:val="12"/>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_Toc2386 </w:instrText>
      </w:r>
      <w:r>
        <w:rPr>
          <w:rFonts w:hint="eastAsia"/>
          <w:sz w:val="28"/>
          <w:szCs w:val="28"/>
        </w:rPr>
        <w:fldChar w:fldCharType="separate"/>
      </w:r>
      <w:r>
        <w:rPr>
          <w:rFonts w:hint="eastAsia" w:ascii="黑体" w:hAnsi="黑体" w:eastAsia="黑体"/>
          <w:sz w:val="28"/>
          <w:szCs w:val="28"/>
          <w:highlight w:val="none"/>
        </w:rPr>
        <w:t>第五部分 附表</w:t>
      </w:r>
      <w:r>
        <w:rPr>
          <w:sz w:val="28"/>
          <w:szCs w:val="28"/>
        </w:rPr>
        <w:tab/>
      </w:r>
      <w:r>
        <w:rPr>
          <w:sz w:val="28"/>
          <w:szCs w:val="28"/>
        </w:rPr>
        <w:fldChar w:fldCharType="begin"/>
      </w:r>
      <w:r>
        <w:rPr>
          <w:sz w:val="28"/>
          <w:szCs w:val="28"/>
        </w:rPr>
        <w:instrText xml:space="preserve"> PAGEREF _Toc2386 \h </w:instrText>
      </w:r>
      <w:r>
        <w:rPr>
          <w:sz w:val="28"/>
          <w:szCs w:val="28"/>
        </w:rPr>
        <w:fldChar w:fldCharType="separate"/>
      </w:r>
      <w:r>
        <w:rPr>
          <w:sz w:val="28"/>
          <w:szCs w:val="28"/>
        </w:rPr>
        <w:t>78</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_Toc1880 </w:instrText>
      </w:r>
      <w:r>
        <w:rPr>
          <w:rFonts w:hint="eastAsia"/>
          <w:sz w:val="28"/>
          <w:szCs w:val="28"/>
        </w:rPr>
        <w:fldChar w:fldCharType="separate"/>
      </w:r>
      <w:r>
        <w:rPr>
          <w:rFonts w:hint="eastAsia" w:ascii="仿宋" w:hAnsi="仿宋" w:eastAsia="仿宋"/>
          <w:sz w:val="28"/>
          <w:szCs w:val="28"/>
          <w:highlight w:val="none"/>
        </w:rPr>
        <w:t>一、收</w:t>
      </w:r>
      <w:r>
        <w:rPr>
          <w:rFonts w:hint="eastAsia" w:ascii="仿宋" w:hAnsi="仿宋" w:eastAsia="仿宋"/>
          <w:bCs w:val="0"/>
          <w:sz w:val="28"/>
          <w:szCs w:val="28"/>
          <w:highlight w:val="none"/>
        </w:rPr>
        <w:t>入支出决算总表</w:t>
      </w:r>
      <w:r>
        <w:rPr>
          <w:sz w:val="28"/>
          <w:szCs w:val="28"/>
        </w:rPr>
        <w:tab/>
      </w:r>
      <w:r>
        <w:rPr>
          <w:sz w:val="28"/>
          <w:szCs w:val="28"/>
        </w:rPr>
        <w:fldChar w:fldCharType="begin"/>
      </w:r>
      <w:r>
        <w:rPr>
          <w:sz w:val="28"/>
          <w:szCs w:val="28"/>
        </w:rPr>
        <w:instrText xml:space="preserve"> PAGEREF _Toc1880 \h </w:instrText>
      </w:r>
      <w:r>
        <w:rPr>
          <w:sz w:val="28"/>
          <w:szCs w:val="28"/>
        </w:rPr>
        <w:fldChar w:fldCharType="separate"/>
      </w:r>
      <w:r>
        <w:rPr>
          <w:sz w:val="28"/>
          <w:szCs w:val="28"/>
        </w:rPr>
        <w:t>78</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_Toc16825 </w:instrText>
      </w:r>
      <w:r>
        <w:rPr>
          <w:rFonts w:hint="eastAsia"/>
          <w:sz w:val="28"/>
          <w:szCs w:val="28"/>
        </w:rPr>
        <w:fldChar w:fldCharType="separate"/>
      </w:r>
      <w:r>
        <w:rPr>
          <w:rFonts w:hint="eastAsia" w:ascii="仿宋" w:hAnsi="仿宋" w:eastAsia="仿宋"/>
          <w:sz w:val="28"/>
          <w:szCs w:val="28"/>
          <w:highlight w:val="none"/>
        </w:rPr>
        <w:t>二、收</w:t>
      </w:r>
      <w:r>
        <w:rPr>
          <w:rFonts w:hint="eastAsia" w:ascii="仿宋" w:hAnsi="仿宋" w:eastAsia="仿宋"/>
          <w:bCs w:val="0"/>
          <w:sz w:val="28"/>
          <w:szCs w:val="28"/>
          <w:highlight w:val="none"/>
        </w:rPr>
        <w:t>入决算表</w:t>
      </w:r>
      <w:r>
        <w:rPr>
          <w:sz w:val="28"/>
          <w:szCs w:val="28"/>
        </w:rPr>
        <w:tab/>
      </w:r>
      <w:r>
        <w:rPr>
          <w:sz w:val="28"/>
          <w:szCs w:val="28"/>
        </w:rPr>
        <w:fldChar w:fldCharType="begin"/>
      </w:r>
      <w:r>
        <w:rPr>
          <w:sz w:val="28"/>
          <w:szCs w:val="28"/>
        </w:rPr>
        <w:instrText xml:space="preserve"> PAGEREF _Toc16825 \h </w:instrText>
      </w:r>
      <w:r>
        <w:rPr>
          <w:sz w:val="28"/>
          <w:szCs w:val="28"/>
        </w:rPr>
        <w:fldChar w:fldCharType="separate"/>
      </w:r>
      <w:r>
        <w:rPr>
          <w:sz w:val="28"/>
          <w:szCs w:val="28"/>
        </w:rPr>
        <w:t>78</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_Toc21737 </w:instrText>
      </w:r>
      <w:r>
        <w:rPr>
          <w:rFonts w:hint="eastAsia"/>
          <w:sz w:val="28"/>
          <w:szCs w:val="28"/>
        </w:rPr>
        <w:fldChar w:fldCharType="separate"/>
      </w:r>
      <w:r>
        <w:rPr>
          <w:rFonts w:hint="eastAsia" w:ascii="仿宋" w:hAnsi="仿宋" w:eastAsia="仿宋"/>
          <w:bCs w:val="0"/>
          <w:sz w:val="28"/>
          <w:szCs w:val="28"/>
          <w:highlight w:val="none"/>
        </w:rPr>
        <w:t>三、</w:t>
      </w:r>
      <w:r>
        <w:rPr>
          <w:rFonts w:hint="eastAsia" w:ascii="仿宋" w:hAnsi="仿宋" w:eastAsia="仿宋"/>
          <w:sz w:val="28"/>
          <w:szCs w:val="28"/>
          <w:highlight w:val="none"/>
        </w:rPr>
        <w:t>支</w:t>
      </w:r>
      <w:r>
        <w:rPr>
          <w:rFonts w:hint="eastAsia" w:ascii="仿宋" w:hAnsi="仿宋" w:eastAsia="仿宋"/>
          <w:bCs w:val="0"/>
          <w:sz w:val="28"/>
          <w:szCs w:val="28"/>
          <w:highlight w:val="none"/>
        </w:rPr>
        <w:t>出决算表</w:t>
      </w:r>
      <w:r>
        <w:rPr>
          <w:sz w:val="28"/>
          <w:szCs w:val="28"/>
        </w:rPr>
        <w:tab/>
      </w:r>
      <w:r>
        <w:rPr>
          <w:sz w:val="28"/>
          <w:szCs w:val="28"/>
        </w:rPr>
        <w:fldChar w:fldCharType="begin"/>
      </w:r>
      <w:r>
        <w:rPr>
          <w:sz w:val="28"/>
          <w:szCs w:val="28"/>
        </w:rPr>
        <w:instrText xml:space="preserve"> PAGEREF _Toc21737 \h </w:instrText>
      </w:r>
      <w:r>
        <w:rPr>
          <w:sz w:val="28"/>
          <w:szCs w:val="28"/>
        </w:rPr>
        <w:fldChar w:fldCharType="separate"/>
      </w:r>
      <w:r>
        <w:rPr>
          <w:sz w:val="28"/>
          <w:szCs w:val="28"/>
        </w:rPr>
        <w:t>78</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_Toc30031 </w:instrText>
      </w:r>
      <w:r>
        <w:rPr>
          <w:rFonts w:hint="eastAsia"/>
          <w:sz w:val="28"/>
          <w:szCs w:val="28"/>
        </w:rPr>
        <w:fldChar w:fldCharType="separate"/>
      </w:r>
      <w:r>
        <w:rPr>
          <w:rFonts w:hint="eastAsia" w:ascii="仿宋" w:hAnsi="仿宋" w:eastAsia="仿宋"/>
          <w:bCs w:val="0"/>
          <w:sz w:val="28"/>
          <w:szCs w:val="28"/>
          <w:highlight w:val="none"/>
        </w:rPr>
        <w:t>四、</w:t>
      </w:r>
      <w:r>
        <w:rPr>
          <w:rFonts w:hint="eastAsia" w:ascii="仿宋" w:hAnsi="仿宋" w:eastAsia="仿宋"/>
          <w:sz w:val="28"/>
          <w:szCs w:val="28"/>
          <w:highlight w:val="none"/>
        </w:rPr>
        <w:t>财</w:t>
      </w:r>
      <w:r>
        <w:rPr>
          <w:rFonts w:hint="eastAsia" w:ascii="仿宋" w:hAnsi="仿宋" w:eastAsia="仿宋"/>
          <w:bCs w:val="0"/>
          <w:sz w:val="28"/>
          <w:szCs w:val="28"/>
          <w:highlight w:val="none"/>
        </w:rPr>
        <w:t>政拨款收入支出决算总表</w:t>
      </w:r>
      <w:r>
        <w:rPr>
          <w:sz w:val="28"/>
          <w:szCs w:val="28"/>
        </w:rPr>
        <w:tab/>
      </w:r>
      <w:r>
        <w:rPr>
          <w:sz w:val="28"/>
          <w:szCs w:val="28"/>
        </w:rPr>
        <w:fldChar w:fldCharType="begin"/>
      </w:r>
      <w:r>
        <w:rPr>
          <w:sz w:val="28"/>
          <w:szCs w:val="28"/>
        </w:rPr>
        <w:instrText xml:space="preserve"> PAGEREF _Toc30031 \h </w:instrText>
      </w:r>
      <w:r>
        <w:rPr>
          <w:sz w:val="28"/>
          <w:szCs w:val="28"/>
        </w:rPr>
        <w:fldChar w:fldCharType="separate"/>
      </w:r>
      <w:r>
        <w:rPr>
          <w:sz w:val="28"/>
          <w:szCs w:val="28"/>
        </w:rPr>
        <w:t>78</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_Toc25454 </w:instrText>
      </w:r>
      <w:r>
        <w:rPr>
          <w:rFonts w:hint="eastAsia"/>
          <w:sz w:val="28"/>
          <w:szCs w:val="28"/>
        </w:rPr>
        <w:fldChar w:fldCharType="separate"/>
      </w:r>
      <w:r>
        <w:rPr>
          <w:rFonts w:hint="eastAsia" w:ascii="仿宋" w:hAnsi="仿宋" w:eastAsia="仿宋"/>
          <w:bCs w:val="0"/>
          <w:sz w:val="28"/>
          <w:szCs w:val="28"/>
          <w:highlight w:val="none"/>
        </w:rPr>
        <w:t>五、</w:t>
      </w:r>
      <w:r>
        <w:rPr>
          <w:rFonts w:hint="eastAsia" w:ascii="仿宋" w:hAnsi="仿宋" w:eastAsia="仿宋"/>
          <w:sz w:val="28"/>
          <w:szCs w:val="28"/>
          <w:highlight w:val="none"/>
        </w:rPr>
        <w:t>财</w:t>
      </w:r>
      <w:r>
        <w:rPr>
          <w:rFonts w:hint="eastAsia" w:ascii="仿宋" w:hAnsi="仿宋" w:eastAsia="仿宋"/>
          <w:bCs w:val="0"/>
          <w:sz w:val="28"/>
          <w:szCs w:val="28"/>
          <w:highlight w:val="none"/>
        </w:rPr>
        <w:t>政拨款支出决算明细表</w:t>
      </w:r>
      <w:r>
        <w:rPr>
          <w:sz w:val="28"/>
          <w:szCs w:val="28"/>
        </w:rPr>
        <w:tab/>
      </w:r>
      <w:r>
        <w:rPr>
          <w:sz w:val="28"/>
          <w:szCs w:val="28"/>
        </w:rPr>
        <w:fldChar w:fldCharType="begin"/>
      </w:r>
      <w:r>
        <w:rPr>
          <w:sz w:val="28"/>
          <w:szCs w:val="28"/>
        </w:rPr>
        <w:instrText xml:space="preserve"> PAGEREF _Toc25454 \h </w:instrText>
      </w:r>
      <w:r>
        <w:rPr>
          <w:sz w:val="28"/>
          <w:szCs w:val="28"/>
        </w:rPr>
        <w:fldChar w:fldCharType="separate"/>
      </w:r>
      <w:r>
        <w:rPr>
          <w:sz w:val="28"/>
          <w:szCs w:val="28"/>
        </w:rPr>
        <w:t>78</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_Toc21395 </w:instrText>
      </w:r>
      <w:r>
        <w:rPr>
          <w:rFonts w:hint="eastAsia"/>
          <w:sz w:val="28"/>
          <w:szCs w:val="28"/>
        </w:rPr>
        <w:fldChar w:fldCharType="separate"/>
      </w:r>
      <w:r>
        <w:rPr>
          <w:rFonts w:hint="eastAsia" w:ascii="仿宋" w:hAnsi="仿宋" w:eastAsia="仿宋"/>
          <w:bCs w:val="0"/>
          <w:sz w:val="28"/>
          <w:szCs w:val="28"/>
          <w:highlight w:val="none"/>
        </w:rPr>
        <w:t>六、</w:t>
      </w:r>
      <w:r>
        <w:rPr>
          <w:rFonts w:hint="eastAsia" w:ascii="仿宋" w:hAnsi="仿宋" w:eastAsia="仿宋"/>
          <w:sz w:val="28"/>
          <w:szCs w:val="28"/>
          <w:highlight w:val="none"/>
        </w:rPr>
        <w:t>一</w:t>
      </w:r>
      <w:r>
        <w:rPr>
          <w:rFonts w:hint="eastAsia" w:ascii="仿宋" w:hAnsi="仿宋" w:eastAsia="仿宋"/>
          <w:bCs w:val="0"/>
          <w:sz w:val="28"/>
          <w:szCs w:val="28"/>
          <w:highlight w:val="none"/>
        </w:rPr>
        <w:t>般公共预算财政拨款支出决算表</w:t>
      </w:r>
      <w:r>
        <w:rPr>
          <w:sz w:val="28"/>
          <w:szCs w:val="28"/>
        </w:rPr>
        <w:tab/>
      </w:r>
      <w:r>
        <w:rPr>
          <w:sz w:val="28"/>
          <w:szCs w:val="28"/>
        </w:rPr>
        <w:fldChar w:fldCharType="begin"/>
      </w:r>
      <w:r>
        <w:rPr>
          <w:sz w:val="28"/>
          <w:szCs w:val="28"/>
        </w:rPr>
        <w:instrText xml:space="preserve"> PAGEREF _Toc21395 \h </w:instrText>
      </w:r>
      <w:r>
        <w:rPr>
          <w:sz w:val="28"/>
          <w:szCs w:val="28"/>
        </w:rPr>
        <w:fldChar w:fldCharType="separate"/>
      </w:r>
      <w:r>
        <w:rPr>
          <w:sz w:val="28"/>
          <w:szCs w:val="28"/>
        </w:rPr>
        <w:t>78</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_Toc6734 </w:instrText>
      </w:r>
      <w:r>
        <w:rPr>
          <w:rFonts w:hint="eastAsia"/>
          <w:sz w:val="28"/>
          <w:szCs w:val="28"/>
        </w:rPr>
        <w:fldChar w:fldCharType="separate"/>
      </w:r>
      <w:r>
        <w:rPr>
          <w:rFonts w:hint="eastAsia" w:ascii="仿宋" w:hAnsi="仿宋" w:eastAsia="仿宋"/>
          <w:bCs w:val="0"/>
          <w:sz w:val="28"/>
          <w:szCs w:val="28"/>
          <w:highlight w:val="none"/>
        </w:rPr>
        <w:t>七、</w:t>
      </w:r>
      <w:r>
        <w:rPr>
          <w:rFonts w:hint="eastAsia" w:ascii="仿宋" w:hAnsi="仿宋" w:eastAsia="仿宋"/>
          <w:sz w:val="28"/>
          <w:szCs w:val="28"/>
          <w:highlight w:val="none"/>
        </w:rPr>
        <w:t>一</w:t>
      </w:r>
      <w:r>
        <w:rPr>
          <w:rFonts w:hint="eastAsia" w:ascii="仿宋" w:hAnsi="仿宋" w:eastAsia="仿宋"/>
          <w:bCs w:val="0"/>
          <w:sz w:val="28"/>
          <w:szCs w:val="28"/>
          <w:highlight w:val="none"/>
        </w:rPr>
        <w:t>般公共预算财政拨款支出决算明细表</w:t>
      </w:r>
      <w:r>
        <w:rPr>
          <w:sz w:val="28"/>
          <w:szCs w:val="28"/>
        </w:rPr>
        <w:tab/>
      </w:r>
      <w:r>
        <w:rPr>
          <w:sz w:val="28"/>
          <w:szCs w:val="28"/>
        </w:rPr>
        <w:fldChar w:fldCharType="begin"/>
      </w:r>
      <w:r>
        <w:rPr>
          <w:sz w:val="28"/>
          <w:szCs w:val="28"/>
        </w:rPr>
        <w:instrText xml:space="preserve"> PAGEREF _Toc6734 \h </w:instrText>
      </w:r>
      <w:r>
        <w:rPr>
          <w:sz w:val="28"/>
          <w:szCs w:val="28"/>
        </w:rPr>
        <w:fldChar w:fldCharType="separate"/>
      </w:r>
      <w:r>
        <w:rPr>
          <w:sz w:val="28"/>
          <w:szCs w:val="28"/>
        </w:rPr>
        <w:t>78</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_Toc27789 </w:instrText>
      </w:r>
      <w:r>
        <w:rPr>
          <w:rFonts w:hint="eastAsia"/>
          <w:sz w:val="28"/>
          <w:szCs w:val="28"/>
        </w:rPr>
        <w:fldChar w:fldCharType="separate"/>
      </w:r>
      <w:r>
        <w:rPr>
          <w:rFonts w:hint="eastAsia" w:ascii="仿宋" w:hAnsi="仿宋" w:eastAsia="仿宋"/>
          <w:bCs w:val="0"/>
          <w:sz w:val="28"/>
          <w:szCs w:val="28"/>
          <w:highlight w:val="none"/>
        </w:rPr>
        <w:t>八、</w:t>
      </w:r>
      <w:r>
        <w:rPr>
          <w:rFonts w:hint="eastAsia" w:ascii="仿宋" w:hAnsi="仿宋" w:eastAsia="仿宋"/>
          <w:sz w:val="28"/>
          <w:szCs w:val="28"/>
          <w:highlight w:val="none"/>
        </w:rPr>
        <w:t>一</w:t>
      </w:r>
      <w:r>
        <w:rPr>
          <w:rFonts w:hint="eastAsia" w:ascii="仿宋" w:hAnsi="仿宋" w:eastAsia="仿宋"/>
          <w:bCs w:val="0"/>
          <w:sz w:val="28"/>
          <w:szCs w:val="28"/>
          <w:highlight w:val="none"/>
        </w:rPr>
        <w:t>般公共预算财政拨款基本支出决算表</w:t>
      </w:r>
      <w:r>
        <w:rPr>
          <w:sz w:val="28"/>
          <w:szCs w:val="28"/>
        </w:rPr>
        <w:tab/>
      </w:r>
      <w:r>
        <w:rPr>
          <w:sz w:val="28"/>
          <w:szCs w:val="28"/>
        </w:rPr>
        <w:fldChar w:fldCharType="begin"/>
      </w:r>
      <w:r>
        <w:rPr>
          <w:sz w:val="28"/>
          <w:szCs w:val="28"/>
        </w:rPr>
        <w:instrText xml:space="preserve"> PAGEREF _Toc27789 \h </w:instrText>
      </w:r>
      <w:r>
        <w:rPr>
          <w:sz w:val="28"/>
          <w:szCs w:val="28"/>
        </w:rPr>
        <w:fldChar w:fldCharType="separate"/>
      </w:r>
      <w:r>
        <w:rPr>
          <w:sz w:val="28"/>
          <w:szCs w:val="28"/>
        </w:rPr>
        <w:t>78</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_Toc32428 </w:instrText>
      </w:r>
      <w:r>
        <w:rPr>
          <w:rFonts w:hint="eastAsia"/>
          <w:sz w:val="28"/>
          <w:szCs w:val="28"/>
        </w:rPr>
        <w:fldChar w:fldCharType="separate"/>
      </w:r>
      <w:r>
        <w:rPr>
          <w:rFonts w:hint="eastAsia" w:ascii="仿宋" w:hAnsi="仿宋" w:eastAsia="仿宋"/>
          <w:bCs w:val="0"/>
          <w:sz w:val="28"/>
          <w:szCs w:val="28"/>
          <w:highlight w:val="none"/>
        </w:rPr>
        <w:t>九、</w:t>
      </w:r>
      <w:r>
        <w:rPr>
          <w:rFonts w:hint="eastAsia" w:ascii="仿宋" w:hAnsi="仿宋" w:eastAsia="仿宋"/>
          <w:sz w:val="28"/>
          <w:szCs w:val="28"/>
          <w:highlight w:val="none"/>
        </w:rPr>
        <w:t>一</w:t>
      </w:r>
      <w:r>
        <w:rPr>
          <w:rFonts w:hint="eastAsia" w:ascii="仿宋" w:hAnsi="仿宋" w:eastAsia="仿宋"/>
          <w:bCs w:val="0"/>
          <w:sz w:val="28"/>
          <w:szCs w:val="28"/>
          <w:highlight w:val="none"/>
        </w:rPr>
        <w:t>般公共预算财政拨款项目支出决算表</w:t>
      </w:r>
      <w:r>
        <w:rPr>
          <w:sz w:val="28"/>
          <w:szCs w:val="28"/>
        </w:rPr>
        <w:tab/>
      </w:r>
      <w:r>
        <w:rPr>
          <w:sz w:val="28"/>
          <w:szCs w:val="28"/>
        </w:rPr>
        <w:fldChar w:fldCharType="begin"/>
      </w:r>
      <w:r>
        <w:rPr>
          <w:sz w:val="28"/>
          <w:szCs w:val="28"/>
        </w:rPr>
        <w:instrText xml:space="preserve"> PAGEREF _Toc32428 \h </w:instrText>
      </w:r>
      <w:r>
        <w:rPr>
          <w:sz w:val="28"/>
          <w:szCs w:val="28"/>
        </w:rPr>
        <w:fldChar w:fldCharType="separate"/>
      </w:r>
      <w:r>
        <w:rPr>
          <w:sz w:val="28"/>
          <w:szCs w:val="28"/>
        </w:rPr>
        <w:t>78</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_Toc31018 </w:instrText>
      </w:r>
      <w:r>
        <w:rPr>
          <w:rFonts w:hint="eastAsia"/>
          <w:sz w:val="28"/>
          <w:szCs w:val="28"/>
        </w:rPr>
        <w:fldChar w:fldCharType="separate"/>
      </w:r>
      <w:r>
        <w:rPr>
          <w:rFonts w:hint="eastAsia" w:ascii="仿宋" w:hAnsi="仿宋" w:eastAsia="仿宋"/>
          <w:bCs w:val="0"/>
          <w:sz w:val="28"/>
          <w:szCs w:val="28"/>
          <w:highlight w:val="none"/>
        </w:rPr>
        <w:t>十、</w:t>
      </w:r>
      <w:r>
        <w:rPr>
          <w:rFonts w:hint="eastAsia" w:ascii="仿宋" w:hAnsi="仿宋" w:eastAsia="仿宋"/>
          <w:sz w:val="28"/>
          <w:szCs w:val="28"/>
          <w:highlight w:val="none"/>
        </w:rPr>
        <w:t>一</w:t>
      </w:r>
      <w:r>
        <w:rPr>
          <w:rFonts w:hint="eastAsia" w:ascii="仿宋" w:hAnsi="仿宋" w:eastAsia="仿宋"/>
          <w:bCs w:val="0"/>
          <w:sz w:val="28"/>
          <w:szCs w:val="28"/>
          <w:highlight w:val="none"/>
        </w:rPr>
        <w:t>般公共预算财政拨款“三公”经费支出决算表</w:t>
      </w:r>
      <w:r>
        <w:rPr>
          <w:sz w:val="28"/>
          <w:szCs w:val="28"/>
        </w:rPr>
        <w:tab/>
      </w:r>
      <w:r>
        <w:rPr>
          <w:sz w:val="28"/>
          <w:szCs w:val="28"/>
        </w:rPr>
        <w:fldChar w:fldCharType="begin"/>
      </w:r>
      <w:r>
        <w:rPr>
          <w:sz w:val="28"/>
          <w:szCs w:val="28"/>
        </w:rPr>
        <w:instrText xml:space="preserve"> PAGEREF _Toc31018 \h </w:instrText>
      </w:r>
      <w:r>
        <w:rPr>
          <w:sz w:val="28"/>
          <w:szCs w:val="28"/>
        </w:rPr>
        <w:fldChar w:fldCharType="separate"/>
      </w:r>
      <w:r>
        <w:rPr>
          <w:sz w:val="28"/>
          <w:szCs w:val="28"/>
        </w:rPr>
        <w:t>78</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_Toc21710 </w:instrText>
      </w:r>
      <w:r>
        <w:rPr>
          <w:rFonts w:hint="eastAsia"/>
          <w:sz w:val="28"/>
          <w:szCs w:val="28"/>
        </w:rPr>
        <w:fldChar w:fldCharType="separate"/>
      </w:r>
      <w:r>
        <w:rPr>
          <w:rFonts w:hint="eastAsia" w:ascii="仿宋" w:hAnsi="仿宋" w:eastAsia="仿宋"/>
          <w:bCs w:val="0"/>
          <w:sz w:val="28"/>
          <w:szCs w:val="28"/>
          <w:highlight w:val="none"/>
        </w:rPr>
        <w:t>十一、</w:t>
      </w:r>
      <w:r>
        <w:rPr>
          <w:rFonts w:hint="eastAsia" w:ascii="仿宋" w:hAnsi="仿宋" w:eastAsia="仿宋"/>
          <w:sz w:val="28"/>
          <w:szCs w:val="28"/>
          <w:highlight w:val="none"/>
        </w:rPr>
        <w:t>政</w:t>
      </w:r>
      <w:r>
        <w:rPr>
          <w:rFonts w:hint="eastAsia" w:ascii="仿宋" w:hAnsi="仿宋" w:eastAsia="仿宋"/>
          <w:bCs w:val="0"/>
          <w:sz w:val="28"/>
          <w:szCs w:val="28"/>
          <w:highlight w:val="none"/>
        </w:rPr>
        <w:t>府性基金预算财政拨款收入支出决算表</w:t>
      </w:r>
      <w:r>
        <w:rPr>
          <w:sz w:val="28"/>
          <w:szCs w:val="28"/>
        </w:rPr>
        <w:tab/>
      </w:r>
      <w:r>
        <w:rPr>
          <w:sz w:val="28"/>
          <w:szCs w:val="28"/>
        </w:rPr>
        <w:fldChar w:fldCharType="begin"/>
      </w:r>
      <w:r>
        <w:rPr>
          <w:sz w:val="28"/>
          <w:szCs w:val="28"/>
        </w:rPr>
        <w:instrText xml:space="preserve"> PAGEREF _Toc21710 \h </w:instrText>
      </w:r>
      <w:r>
        <w:rPr>
          <w:sz w:val="28"/>
          <w:szCs w:val="28"/>
        </w:rPr>
        <w:fldChar w:fldCharType="separate"/>
      </w:r>
      <w:r>
        <w:rPr>
          <w:sz w:val="28"/>
          <w:szCs w:val="28"/>
        </w:rPr>
        <w:t>78</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_Toc1916 </w:instrText>
      </w:r>
      <w:r>
        <w:rPr>
          <w:rFonts w:hint="eastAsia"/>
          <w:sz w:val="28"/>
          <w:szCs w:val="28"/>
        </w:rPr>
        <w:fldChar w:fldCharType="separate"/>
      </w:r>
      <w:r>
        <w:rPr>
          <w:rFonts w:hint="eastAsia" w:ascii="仿宋" w:hAnsi="仿宋" w:eastAsia="仿宋"/>
          <w:bCs w:val="0"/>
          <w:sz w:val="28"/>
          <w:szCs w:val="28"/>
          <w:highlight w:val="none"/>
        </w:rPr>
        <w:t>十二、</w:t>
      </w:r>
      <w:r>
        <w:rPr>
          <w:rFonts w:hint="eastAsia" w:ascii="仿宋" w:hAnsi="仿宋" w:eastAsia="仿宋"/>
          <w:sz w:val="28"/>
          <w:szCs w:val="28"/>
          <w:highlight w:val="none"/>
        </w:rPr>
        <w:t>政</w:t>
      </w:r>
      <w:r>
        <w:rPr>
          <w:rFonts w:hint="eastAsia" w:ascii="仿宋" w:hAnsi="仿宋" w:eastAsia="仿宋"/>
          <w:bCs w:val="0"/>
          <w:sz w:val="28"/>
          <w:szCs w:val="28"/>
          <w:highlight w:val="none"/>
        </w:rPr>
        <w:t>府性基金预算财政拨款“三公”经费支出决算表</w:t>
      </w:r>
      <w:r>
        <w:rPr>
          <w:sz w:val="28"/>
          <w:szCs w:val="28"/>
        </w:rPr>
        <w:tab/>
      </w:r>
      <w:r>
        <w:rPr>
          <w:sz w:val="28"/>
          <w:szCs w:val="28"/>
        </w:rPr>
        <w:fldChar w:fldCharType="begin"/>
      </w:r>
      <w:r>
        <w:rPr>
          <w:sz w:val="28"/>
          <w:szCs w:val="28"/>
        </w:rPr>
        <w:instrText xml:space="preserve"> PAGEREF _Toc1916 \h </w:instrText>
      </w:r>
      <w:r>
        <w:rPr>
          <w:sz w:val="28"/>
          <w:szCs w:val="28"/>
        </w:rPr>
        <w:fldChar w:fldCharType="separate"/>
      </w:r>
      <w:r>
        <w:rPr>
          <w:sz w:val="28"/>
          <w:szCs w:val="28"/>
        </w:rPr>
        <w:t>78</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_Toc27094 </w:instrText>
      </w:r>
      <w:r>
        <w:rPr>
          <w:rFonts w:hint="eastAsia"/>
          <w:sz w:val="28"/>
          <w:szCs w:val="28"/>
        </w:rPr>
        <w:fldChar w:fldCharType="separate"/>
      </w:r>
      <w:r>
        <w:rPr>
          <w:rFonts w:hint="eastAsia" w:ascii="仿宋" w:hAnsi="仿宋" w:eastAsia="仿宋"/>
          <w:bCs w:val="0"/>
          <w:sz w:val="28"/>
          <w:szCs w:val="28"/>
          <w:highlight w:val="none"/>
        </w:rPr>
        <w:t>十三、</w:t>
      </w:r>
      <w:r>
        <w:rPr>
          <w:rFonts w:hint="eastAsia" w:ascii="仿宋" w:hAnsi="仿宋" w:eastAsia="仿宋"/>
          <w:sz w:val="28"/>
          <w:szCs w:val="28"/>
          <w:highlight w:val="none"/>
        </w:rPr>
        <w:t>国</w:t>
      </w:r>
      <w:r>
        <w:rPr>
          <w:rFonts w:hint="eastAsia" w:ascii="仿宋" w:hAnsi="仿宋" w:eastAsia="仿宋"/>
          <w:bCs w:val="0"/>
          <w:sz w:val="28"/>
          <w:szCs w:val="28"/>
          <w:highlight w:val="none"/>
        </w:rPr>
        <w:t>有资本经营预算</w:t>
      </w:r>
      <w:r>
        <w:rPr>
          <w:rFonts w:hint="eastAsia" w:ascii="仿宋" w:hAnsi="仿宋" w:eastAsia="仿宋"/>
          <w:bCs w:val="0"/>
          <w:sz w:val="28"/>
          <w:szCs w:val="28"/>
          <w:highlight w:val="none"/>
          <w:lang w:eastAsia="zh-CN"/>
        </w:rPr>
        <w:t>财政拨款收入</w:t>
      </w:r>
      <w:r>
        <w:rPr>
          <w:rFonts w:hint="eastAsia" w:ascii="仿宋" w:hAnsi="仿宋" w:eastAsia="仿宋"/>
          <w:bCs w:val="0"/>
          <w:sz w:val="28"/>
          <w:szCs w:val="28"/>
          <w:highlight w:val="none"/>
        </w:rPr>
        <w:t>支出决算表</w:t>
      </w:r>
      <w:r>
        <w:rPr>
          <w:sz w:val="28"/>
          <w:szCs w:val="28"/>
        </w:rPr>
        <w:tab/>
      </w:r>
      <w:r>
        <w:rPr>
          <w:sz w:val="28"/>
          <w:szCs w:val="28"/>
        </w:rPr>
        <w:fldChar w:fldCharType="begin"/>
      </w:r>
      <w:r>
        <w:rPr>
          <w:sz w:val="28"/>
          <w:szCs w:val="28"/>
        </w:rPr>
        <w:instrText xml:space="preserve"> PAGEREF _Toc27094 \h </w:instrText>
      </w:r>
      <w:r>
        <w:rPr>
          <w:sz w:val="28"/>
          <w:szCs w:val="28"/>
        </w:rPr>
        <w:fldChar w:fldCharType="separate"/>
      </w:r>
      <w:r>
        <w:rPr>
          <w:sz w:val="28"/>
          <w:szCs w:val="28"/>
        </w:rPr>
        <w:t>78</w:t>
      </w:r>
      <w:r>
        <w:rPr>
          <w:sz w:val="28"/>
          <w:szCs w:val="28"/>
        </w:rPr>
        <w:fldChar w:fldCharType="end"/>
      </w:r>
      <w:r>
        <w:rPr>
          <w:rFonts w:hint="eastAsia"/>
          <w:sz w:val="28"/>
          <w:szCs w:val="28"/>
        </w:rPr>
        <w:fldChar w:fldCharType="end"/>
      </w:r>
    </w:p>
    <w:p>
      <w:pPr>
        <w:pStyle w:val="13"/>
        <w:tabs>
          <w:tab w:val="right" w:leader="dot" w:pos="8306"/>
          <w:tab w:val="clear" w:pos="8296"/>
        </w:tabs>
        <w:rPr>
          <w:sz w:val="28"/>
          <w:szCs w:val="28"/>
        </w:rPr>
      </w:pPr>
      <w:r>
        <w:rPr>
          <w:rFonts w:hint="eastAsia"/>
          <w:sz w:val="28"/>
          <w:szCs w:val="28"/>
        </w:rPr>
        <w:fldChar w:fldCharType="begin"/>
      </w:r>
      <w:r>
        <w:rPr>
          <w:rFonts w:hint="eastAsia"/>
          <w:sz w:val="28"/>
          <w:szCs w:val="28"/>
        </w:rPr>
        <w:instrText xml:space="preserve"> HYPERLINK \l _Toc12809 </w:instrText>
      </w:r>
      <w:r>
        <w:rPr>
          <w:rFonts w:hint="eastAsia"/>
          <w:sz w:val="28"/>
          <w:szCs w:val="28"/>
        </w:rPr>
        <w:fldChar w:fldCharType="separate"/>
      </w:r>
      <w:r>
        <w:rPr>
          <w:rFonts w:hint="eastAsia" w:ascii="仿宋" w:hAnsi="仿宋" w:eastAsia="仿宋"/>
          <w:bCs w:val="0"/>
          <w:sz w:val="28"/>
          <w:szCs w:val="28"/>
          <w:highlight w:val="none"/>
          <w:lang w:eastAsia="zh-CN"/>
        </w:rPr>
        <w:t>十四、国有资本经营预算财政拨款支出决算表</w:t>
      </w:r>
      <w:r>
        <w:rPr>
          <w:sz w:val="28"/>
          <w:szCs w:val="28"/>
        </w:rPr>
        <w:tab/>
      </w:r>
      <w:r>
        <w:rPr>
          <w:sz w:val="28"/>
          <w:szCs w:val="28"/>
        </w:rPr>
        <w:fldChar w:fldCharType="begin"/>
      </w:r>
      <w:r>
        <w:rPr>
          <w:sz w:val="28"/>
          <w:szCs w:val="28"/>
        </w:rPr>
        <w:instrText xml:space="preserve"> PAGEREF _Toc12809 \h </w:instrText>
      </w:r>
      <w:r>
        <w:rPr>
          <w:sz w:val="28"/>
          <w:szCs w:val="28"/>
        </w:rPr>
        <w:fldChar w:fldCharType="separate"/>
      </w:r>
      <w:r>
        <w:rPr>
          <w:sz w:val="28"/>
          <w:szCs w:val="28"/>
        </w:rPr>
        <w:t>78</w:t>
      </w:r>
      <w:r>
        <w:rPr>
          <w:sz w:val="28"/>
          <w:szCs w:val="28"/>
        </w:rPr>
        <w:fldChar w:fldCharType="end"/>
      </w:r>
      <w:r>
        <w:rPr>
          <w:rFonts w:hint="eastAsia"/>
          <w:sz w:val="28"/>
          <w:szCs w:val="28"/>
        </w:rPr>
        <w:fldChar w:fldCharType="end"/>
      </w:r>
    </w:p>
    <w:p>
      <w:pPr>
        <w:rPr>
          <w:rFonts w:hint="eastAsia"/>
        </w:rPr>
      </w:pPr>
      <w:r>
        <w:rPr>
          <w:rFonts w:hint="eastAsia"/>
          <w:sz w:val="28"/>
          <w:szCs w:val="28"/>
        </w:rPr>
        <w:fldChar w:fldCharType="end"/>
      </w:r>
    </w:p>
    <w:p>
      <w:pPr>
        <w:rPr>
          <w:color w:val="auto"/>
          <w:highlight w:val="none"/>
        </w:rPr>
      </w:pPr>
    </w:p>
    <w:p>
      <w:pPr>
        <w:pStyle w:val="6"/>
        <w:rPr>
          <w:color w:val="auto"/>
          <w:highlight w:val="none"/>
        </w:rPr>
      </w:pPr>
    </w:p>
    <w:p>
      <w:pPr>
        <w:rPr>
          <w:color w:val="auto"/>
          <w:highlight w:val="none"/>
        </w:rPr>
      </w:pPr>
    </w:p>
    <w:p>
      <w:pPr>
        <w:pStyle w:val="6"/>
        <w:rPr>
          <w:color w:val="auto"/>
          <w:highlight w:val="none"/>
        </w:rPr>
      </w:pPr>
    </w:p>
    <w:p>
      <w:pPr>
        <w:rPr>
          <w:color w:val="auto"/>
          <w:highlight w:val="none"/>
        </w:rPr>
      </w:pPr>
    </w:p>
    <w:p>
      <w:pPr>
        <w:pStyle w:val="6"/>
        <w:rPr>
          <w:color w:val="auto"/>
          <w:highlight w:val="none"/>
        </w:rPr>
      </w:pPr>
    </w:p>
    <w:p>
      <w:pPr>
        <w:rPr>
          <w:color w:val="auto"/>
          <w:highlight w:val="none"/>
        </w:rPr>
      </w:pPr>
    </w:p>
    <w:p>
      <w:pPr>
        <w:pStyle w:val="6"/>
        <w:rPr>
          <w:color w:val="auto"/>
          <w:highlight w:val="none"/>
        </w:rPr>
      </w:pPr>
    </w:p>
    <w:p>
      <w:pPr>
        <w:rPr>
          <w:color w:val="auto"/>
          <w:highlight w:val="none"/>
        </w:rPr>
      </w:pPr>
    </w:p>
    <w:p>
      <w:pPr>
        <w:pStyle w:val="6"/>
        <w:rPr>
          <w:color w:val="auto"/>
          <w:highlight w:val="none"/>
        </w:rPr>
      </w:pPr>
    </w:p>
    <w:p>
      <w:pPr>
        <w:rPr>
          <w:color w:val="auto"/>
          <w:highlight w:val="none"/>
        </w:rPr>
      </w:pPr>
    </w:p>
    <w:p/>
    <w:p>
      <w:pPr>
        <w:pStyle w:val="3"/>
        <w:jc w:val="center"/>
        <w:rPr>
          <w:rStyle w:val="27"/>
          <w:rFonts w:ascii="黑体" w:hAnsi="黑体" w:eastAsia="黑体"/>
          <w:b/>
          <w:bCs w:val="0"/>
          <w:color w:val="auto"/>
          <w:highlight w:val="none"/>
        </w:rPr>
      </w:pPr>
      <w:bookmarkStart w:id="14" w:name="_Toc23732"/>
      <w:bookmarkStart w:id="15" w:name="_Toc15377196"/>
      <w:bookmarkStart w:id="16" w:name="_Toc15396599"/>
      <w:r>
        <w:rPr>
          <w:rFonts w:hint="eastAsia" w:ascii="黑体" w:hAnsi="黑体" w:eastAsia="黑体"/>
          <w:b w:val="0"/>
          <w:color w:val="auto"/>
          <w:highlight w:val="none"/>
        </w:rPr>
        <w:t xml:space="preserve">第一部分 </w:t>
      </w:r>
      <w:r>
        <w:rPr>
          <w:rStyle w:val="27"/>
          <w:rFonts w:hint="eastAsia" w:ascii="黑体" w:hAnsi="黑体" w:eastAsia="黑体"/>
          <w:b w:val="0"/>
          <w:bCs w:val="0"/>
          <w:color w:val="auto"/>
          <w:highlight w:val="none"/>
        </w:rPr>
        <w:t>部门概况</w:t>
      </w:r>
      <w:bookmarkEnd w:id="14"/>
      <w:bookmarkEnd w:id="15"/>
      <w:bookmarkEnd w:id="16"/>
    </w:p>
    <w:p>
      <w:pPr>
        <w:widowControl/>
        <w:jc w:val="left"/>
        <w:rPr>
          <w:rFonts w:ascii="黑体" w:eastAsia="黑体"/>
          <w:color w:val="auto"/>
          <w:sz w:val="32"/>
          <w:szCs w:val="32"/>
          <w:highlight w:val="none"/>
        </w:rPr>
      </w:pPr>
    </w:p>
    <w:p>
      <w:pPr>
        <w:pStyle w:val="4"/>
        <w:rPr>
          <w:rStyle w:val="28"/>
          <w:rFonts w:ascii="仿宋" w:hAnsi="仿宋" w:eastAsia="仿宋"/>
          <w:b w:val="0"/>
          <w:bCs w:val="0"/>
          <w:color w:val="auto"/>
          <w:highlight w:val="none"/>
        </w:rPr>
      </w:pPr>
      <w:bookmarkStart w:id="17" w:name="_Toc15396600"/>
      <w:bookmarkStart w:id="18" w:name="_Toc15377197"/>
      <w:bookmarkStart w:id="19" w:name="_Toc14072"/>
      <w:r>
        <w:rPr>
          <w:rFonts w:hint="eastAsia" w:ascii="黑体" w:hAnsi="黑体" w:eastAsia="黑体"/>
          <w:b w:val="0"/>
          <w:color w:val="auto"/>
          <w:highlight w:val="none"/>
        </w:rPr>
        <w:t>一、基</w:t>
      </w:r>
      <w:r>
        <w:rPr>
          <w:rStyle w:val="28"/>
          <w:rFonts w:hint="eastAsia" w:ascii="黑体" w:hAnsi="黑体" w:eastAsia="黑体"/>
          <w:b w:val="0"/>
          <w:bCs w:val="0"/>
          <w:color w:val="auto"/>
          <w:highlight w:val="none"/>
        </w:rPr>
        <w:t>本职能及主要工作</w:t>
      </w:r>
      <w:bookmarkEnd w:id="17"/>
      <w:bookmarkEnd w:id="18"/>
      <w:bookmarkEnd w:id="19"/>
    </w:p>
    <w:p>
      <w:pPr>
        <w:pStyle w:val="2"/>
        <w:adjustRightInd w:val="0"/>
        <w:snapToGrid w:val="0"/>
        <w:spacing w:before="93" w:line="600" w:lineRule="exact"/>
        <w:outlineLvl w:val="2"/>
        <w:rPr>
          <w:rFonts w:hint="eastAsia" w:ascii="仿宋" w:hAnsi="仿宋" w:eastAsia="仿宋"/>
          <w:b/>
          <w:bCs w:val="0"/>
          <w:color w:val="auto"/>
          <w:sz w:val="32"/>
          <w:szCs w:val="32"/>
          <w:highlight w:val="none"/>
        </w:rPr>
      </w:pPr>
      <w:bookmarkStart w:id="20" w:name="_Toc4498"/>
      <w:bookmarkStart w:id="21" w:name="_Toc15377198"/>
      <w:bookmarkStart w:id="22" w:name="_Toc15378445"/>
      <w:r>
        <w:rPr>
          <w:rFonts w:hint="eastAsia" w:ascii="仿宋" w:hAnsi="仿宋" w:eastAsia="仿宋"/>
          <w:b/>
          <w:bCs w:val="0"/>
          <w:color w:val="auto"/>
          <w:sz w:val="32"/>
          <w:szCs w:val="32"/>
          <w:highlight w:val="none"/>
        </w:rPr>
        <w:t>（一）主要职能。</w:t>
      </w:r>
      <w:bookmarkEnd w:id="20"/>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ascii="Helvetica" w:hAnsi="Helvetica" w:eastAsia="Helvetica" w:cs="Helvetica"/>
          <w:i w:val="0"/>
          <w:iCs w:val="0"/>
          <w:caps w:val="0"/>
          <w:color w:val="000000"/>
          <w:spacing w:val="0"/>
          <w:sz w:val="24"/>
          <w:szCs w:val="24"/>
        </w:rPr>
      </w:pPr>
      <w:r>
        <w:rPr>
          <w:rFonts w:ascii="楷体" w:hAnsi="楷体" w:eastAsia="楷体" w:cs="楷体"/>
          <w:i w:val="0"/>
          <w:iCs w:val="0"/>
          <w:caps w:val="0"/>
          <w:color w:val="000000"/>
          <w:spacing w:val="0"/>
          <w:kern w:val="0"/>
          <w:sz w:val="32"/>
          <w:szCs w:val="32"/>
          <w:shd w:val="clear" w:fill="FFFFFF"/>
          <w:lang w:val="en-US" w:eastAsia="zh-CN" w:bidi="ar"/>
        </w:rPr>
        <w:t>广元市教育局根据中国共产党广元市委、广元市人民政府的行政分工，对辖区的教育实行行政管理：</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640" w:firstLineChars="20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贯彻执行教育工作的方针、政策、法律和法规，研究提出全市教育发展战略，草拟教育工作的政策和规范性文件，并监督执行。</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400" w:firstLineChars="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编制全市教育事业的发展规划和年度计划，拟定教育事业发展重点、规模、速度，指导、协调教育规划、计划的实施。</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400" w:firstLineChars="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综合管理全市的基础教育，指导各县(区)各部门的教育工作，负责对学校办学质量的管理，对学校办学行为和教育质量进行监督、督导和评估。组织和指导全市教育改革，统筹规划、协调指导教育体制和办学体制的改革，理顺教育内部和外部的关系，建立适应社会主义市场经济体制和政治体制以及科技体制需要的教育体制和运行机制。</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400" w:firstLineChars="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统筹管理本部门的教育经费；参与拟定筹措教育经费、教育拨款、教育基建投资的政策和措施；在市本级财政中，市属学校的经费预算(含教育事业费、教育基建投资)确定后，由市教育局组织实施；有关教育经费的收费标准，由市教育局提出意见，经物价、财政等部门审核后，报市政府审批；负责对城区教育费附加的征收管理；监测全市教育经费的筹措和使用情况；监测各县(区)教育经费“三个增长”的执行情况；管理国家、省对我市教育项目的拨款经费；管理国外对我市的教育援助和贷款；负责学校布局结构的调整。</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400" w:firstLineChars="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按照国务院关于基础教育改革与发展的决定，负责对高级中学和完全中学校长的提名、考察或参与考察，按干部管理权限任用或聘用。推行中小学校长聘任制，实行校长任期制，推进校长职级制。指导直属学校领导班子思想政治建设；加强全市学校干部队伍建设。</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400" w:firstLineChars="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主管全市教师工作，会同有关部门制定教育系统人事管理工作的有关政策和规章制度，指导学校内部管理体制改革，规划指导全市中小学教师队伍建设；根据中央、省制定的各类学校的编制标准管理学校的编制；负责市直属学校教师的调配任用、工资福利、考核奖惩等工作；管理学校教师专业技术职务的评聘工作；负责教师的培养培训工作；指导教师资格考试、资格认定和证书管理工作。</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400" w:firstLineChars="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统筹管理全市普通高校、成人高校、中等专业学校的招生考试工作和高等教育自学考试工作，并组织实施。</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400" w:firstLineChars="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归口管理全市的学历教育及考试工作，规划、指导继续教育工作、成人教育工作和扫除青壮年文盲工作。指导各级各类学校的思想政治工作、德育工作、法制教育工作、体育卫生与美育工作、国防教育工作和安全工作。会同有关部门改革师范类毕业生就业分配制度，组织实施师范类毕业生就业分配计划。</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400" w:firstLineChars="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规划并管理全市教育管理情报、统计资料及信息系统的开发和建设工作；指导教育方针政策的宣传和舆论监督工作。</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400" w:firstLineChars="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承担市语言文字工作委员会的日常工作。管理局直属事业单位，指导全市教育系统地学会、基金会等社团组织的管理工作。</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400" w:firstLineChars="0"/>
        <w:jc w:val="both"/>
        <w:rPr>
          <w:rFonts w:hint="eastAsia"/>
        </w:rPr>
      </w:pPr>
      <w:r>
        <w:rPr>
          <w:rFonts w:hint="eastAsia" w:ascii="楷体" w:hAnsi="楷体" w:eastAsia="楷体" w:cs="楷体"/>
          <w:i w:val="0"/>
          <w:iCs w:val="0"/>
          <w:caps w:val="0"/>
          <w:color w:val="000000"/>
          <w:spacing w:val="0"/>
          <w:kern w:val="0"/>
          <w:sz w:val="32"/>
          <w:szCs w:val="32"/>
          <w:shd w:val="clear" w:fill="FFFFFF"/>
          <w:lang w:val="en-US" w:eastAsia="zh-CN" w:bidi="ar"/>
        </w:rPr>
        <w:t>承办市政府交办的其他事项。</w:t>
      </w:r>
    </w:p>
    <w:bookmarkEnd w:id="21"/>
    <w:bookmarkEnd w:id="22"/>
    <w:p>
      <w:pPr>
        <w:pStyle w:val="2"/>
        <w:adjustRightInd w:val="0"/>
        <w:snapToGrid w:val="0"/>
        <w:spacing w:before="93" w:line="600" w:lineRule="exact"/>
        <w:outlineLvl w:val="2"/>
        <w:rPr>
          <w:rFonts w:hint="eastAsia" w:ascii="仿宋" w:hAnsi="仿宋" w:eastAsia="仿宋"/>
          <w:b/>
          <w:bCs w:val="0"/>
          <w:color w:val="auto"/>
          <w:sz w:val="32"/>
          <w:szCs w:val="32"/>
          <w:highlight w:val="none"/>
        </w:rPr>
      </w:pPr>
      <w:bookmarkStart w:id="23" w:name="_Toc15378446"/>
      <w:bookmarkStart w:id="24" w:name="_Toc29955"/>
      <w:bookmarkStart w:id="25" w:name="_Toc15377199"/>
      <w:r>
        <w:rPr>
          <w:rFonts w:hint="eastAsia" w:ascii="仿宋" w:hAnsi="仿宋" w:eastAsia="仿宋"/>
          <w:b/>
          <w:bCs w:val="0"/>
          <w:color w:val="auto"/>
          <w:sz w:val="32"/>
          <w:szCs w:val="32"/>
          <w:highlight w:val="none"/>
        </w:rPr>
        <w:t>（二）</w:t>
      </w:r>
      <w:r>
        <w:rPr>
          <w:rFonts w:ascii="仿宋" w:hAnsi="仿宋" w:eastAsia="仿宋"/>
          <w:b/>
          <w:bCs w:val="0"/>
          <w:color w:val="auto"/>
          <w:sz w:val="32"/>
          <w:szCs w:val="32"/>
          <w:highlight w:val="none"/>
        </w:rPr>
        <w:t>20</w:t>
      </w:r>
      <w:r>
        <w:rPr>
          <w:rFonts w:hint="eastAsia" w:ascii="仿宋" w:hAnsi="仿宋" w:eastAsia="仿宋"/>
          <w:b/>
          <w:bCs w:val="0"/>
          <w:color w:val="auto"/>
          <w:sz w:val="32"/>
          <w:szCs w:val="32"/>
          <w:highlight w:val="none"/>
          <w:lang w:val="en-US" w:eastAsia="zh-CN"/>
        </w:rPr>
        <w:t>21</w:t>
      </w:r>
      <w:r>
        <w:rPr>
          <w:rFonts w:hint="eastAsia" w:ascii="仿宋" w:hAnsi="仿宋" w:eastAsia="仿宋"/>
          <w:b/>
          <w:bCs w:val="0"/>
          <w:color w:val="auto"/>
          <w:sz w:val="32"/>
          <w:szCs w:val="32"/>
          <w:highlight w:val="none"/>
        </w:rPr>
        <w:t>年重点工作完成情况。</w:t>
      </w:r>
      <w:bookmarkEnd w:id="23"/>
      <w:bookmarkEnd w:id="24"/>
      <w:bookmarkEnd w:id="25"/>
    </w:p>
    <w:p>
      <w:pPr>
        <w:pStyle w:val="4"/>
        <w:keepNext/>
        <w:keepLines/>
        <w:pageBreakBefore w:val="0"/>
        <w:widowControl w:val="0"/>
        <w:numPr>
          <w:ilvl w:val="0"/>
          <w:numId w:val="0"/>
        </w:numPr>
        <w:kinsoku/>
        <w:wordWrap/>
        <w:overflowPunct/>
        <w:topLinePunct w:val="0"/>
        <w:autoSpaceDE/>
        <w:autoSpaceDN/>
        <w:bidi w:val="0"/>
        <w:adjustRightInd/>
        <w:snapToGrid/>
        <w:spacing w:line="416" w:lineRule="auto"/>
        <w:ind w:firstLine="640" w:firstLineChars="200"/>
        <w:textAlignment w:val="auto"/>
        <w:rPr>
          <w:rFonts w:hint="eastAsia" w:ascii="仿宋_GB2312" w:hAnsi="方正仿宋_GBK" w:eastAsia="仿宋_GB2312" w:cs="方正仿宋_GBK"/>
          <w:b w:val="0"/>
          <w:bCs w:val="0"/>
          <w:sz w:val="32"/>
          <w:szCs w:val="32"/>
        </w:rPr>
      </w:pPr>
      <w:bookmarkStart w:id="26" w:name="_Toc8863"/>
      <w:bookmarkStart w:id="27" w:name="_Toc11560"/>
      <w:r>
        <w:rPr>
          <w:rFonts w:hint="eastAsia" w:ascii="仿宋_GB2312" w:hAnsi="方正仿宋_GBK" w:eastAsia="仿宋_GB2312" w:cs="方正仿宋_GBK"/>
          <w:b w:val="0"/>
          <w:bCs w:val="0"/>
          <w:sz w:val="32"/>
          <w:szCs w:val="32"/>
        </w:rPr>
        <w:t>一年来，全市教育系统全面贯彻落实市第八次党代会精神，按照市委市政府对教育工作的部署要求，紧紧围绕“建设四川知名教育高地”目标，</w:t>
      </w:r>
      <w:r>
        <w:rPr>
          <w:rFonts w:ascii="仿宋_GB2312" w:hAnsi="方正仿宋_GBK" w:eastAsia="仿宋_GB2312" w:cs="方正仿宋_GBK"/>
          <w:b w:val="0"/>
          <w:bCs w:val="0"/>
          <w:sz w:val="32"/>
          <w:szCs w:val="32"/>
        </w:rPr>
        <w:t>全面</w:t>
      </w:r>
      <w:r>
        <w:rPr>
          <w:rFonts w:hint="eastAsia" w:ascii="仿宋_GB2312" w:hAnsi="方正仿宋_GBK" w:eastAsia="仿宋_GB2312" w:cs="方正仿宋_GBK"/>
          <w:b w:val="0"/>
          <w:bCs w:val="0"/>
          <w:sz w:val="32"/>
          <w:szCs w:val="32"/>
        </w:rPr>
        <w:t>落实立德树人根本任务，</w:t>
      </w:r>
      <w:r>
        <w:rPr>
          <w:rFonts w:ascii="仿宋_GB2312" w:hAnsi="方正仿宋_GBK" w:eastAsia="仿宋_GB2312" w:cs="方正仿宋_GBK"/>
          <w:b w:val="0"/>
          <w:bCs w:val="0"/>
          <w:sz w:val="32"/>
          <w:szCs w:val="32"/>
        </w:rPr>
        <w:t>持续</w:t>
      </w:r>
      <w:r>
        <w:rPr>
          <w:rFonts w:hint="eastAsia" w:ascii="仿宋_GB2312" w:hAnsi="方正仿宋_GBK" w:eastAsia="仿宋_GB2312" w:cs="方正仿宋_GBK"/>
          <w:b w:val="0"/>
          <w:bCs w:val="0"/>
          <w:sz w:val="32"/>
          <w:szCs w:val="32"/>
        </w:rPr>
        <w:t>巩固拓展疫情防控和教育改革发展成果，</w:t>
      </w:r>
      <w:r>
        <w:rPr>
          <w:rFonts w:ascii="仿宋_GB2312" w:eastAsia="仿宋_GB2312"/>
          <w:b w:val="0"/>
          <w:bCs w:val="0"/>
          <w:sz w:val="32"/>
          <w:szCs w:val="32"/>
        </w:rPr>
        <w:t>全面完成年度各项工作和目标任务，</w:t>
      </w:r>
      <w:r>
        <w:rPr>
          <w:rFonts w:ascii="仿宋_GB2312" w:hAnsi="方正仿宋_GBK" w:eastAsia="仿宋_GB2312" w:cs="方正仿宋_GBK"/>
          <w:b w:val="0"/>
          <w:bCs w:val="0"/>
          <w:sz w:val="32"/>
          <w:szCs w:val="32"/>
        </w:rPr>
        <w:t>实现了“十四五”良好开局</w:t>
      </w:r>
      <w:r>
        <w:rPr>
          <w:rFonts w:hint="eastAsia" w:ascii="仿宋_GB2312" w:hAnsi="方正仿宋_GBK" w:eastAsia="仿宋_GB2312" w:cs="方正仿宋_GBK"/>
          <w:b w:val="0"/>
          <w:bCs w:val="0"/>
          <w:sz w:val="32"/>
          <w:szCs w:val="32"/>
        </w:rPr>
        <w:t>。</w:t>
      </w:r>
      <w:bookmarkEnd w:id="26"/>
      <w:bookmarkEnd w:id="27"/>
    </w:p>
    <w:p>
      <w:pPr>
        <w:numPr>
          <w:ilvl w:val="0"/>
          <w:numId w:val="2"/>
        </w:numPr>
        <w:adjustRightInd w:val="0"/>
        <w:snapToGrid w:val="0"/>
        <w:spacing w:line="576" w:lineRule="exact"/>
        <w:ind w:left="0" w:leftChars="0" w:firstLine="420" w:firstLineChars="0"/>
        <w:outlineLvl w:val="0"/>
        <w:rPr>
          <w:rFonts w:ascii="黑体" w:hAnsi="方正黑体_GBK" w:eastAsia="黑体" w:cs="方正黑体_GBK"/>
          <w:sz w:val="32"/>
          <w:szCs w:val="32"/>
        </w:rPr>
      </w:pPr>
      <w:bookmarkStart w:id="28" w:name="_Toc17394"/>
      <w:bookmarkStart w:id="29" w:name="_Toc15602"/>
      <w:r>
        <w:rPr>
          <w:rFonts w:hint="eastAsia" w:ascii="黑体" w:hAnsi="方正黑体_GBK" w:eastAsia="黑体" w:cs="方正黑体_GBK"/>
          <w:sz w:val="32"/>
          <w:szCs w:val="32"/>
        </w:rPr>
        <w:t>全面加强教育系统党建，</w:t>
      </w:r>
      <w:r>
        <w:rPr>
          <w:rFonts w:ascii="黑体" w:hAnsi="方正黑体_GBK" w:eastAsia="黑体" w:cs="方正黑体_GBK"/>
          <w:sz w:val="32"/>
          <w:szCs w:val="32"/>
        </w:rPr>
        <w:t>教育政治生态呈现新气象</w:t>
      </w:r>
      <w:bookmarkEnd w:id="28"/>
      <w:bookmarkEnd w:id="29"/>
    </w:p>
    <w:p>
      <w:pPr>
        <w:pStyle w:val="4"/>
        <w:keepNext w:val="0"/>
        <w:keepLines w:val="0"/>
        <w:numPr>
          <w:ilvl w:val="0"/>
          <w:numId w:val="3"/>
        </w:numPr>
        <w:adjustRightInd w:val="0"/>
        <w:snapToGrid w:val="0"/>
        <w:spacing w:before="0" w:after="0" w:line="576" w:lineRule="exact"/>
        <w:ind w:left="0" w:leftChars="0" w:firstLine="640" w:firstLineChars="200"/>
        <w:rPr>
          <w:rFonts w:hint="eastAsia" w:ascii="仿宋_GB2312" w:eastAsia="仿宋_GB2312"/>
        </w:rPr>
      </w:pPr>
      <w:bookmarkStart w:id="30" w:name="_Toc17334"/>
      <w:bookmarkStart w:id="31" w:name="_Toc972"/>
      <w:r>
        <w:rPr>
          <w:rFonts w:hint="eastAsia" w:ascii="楷体_GB2312" w:hAnsi="方正仿宋_GBK" w:eastAsia="楷体_GB2312" w:cs="方正仿宋_GBK"/>
          <w:b w:val="0"/>
          <w:bCs/>
          <w:szCs w:val="32"/>
        </w:rPr>
        <w:t>党的全面领导</w:t>
      </w:r>
      <w:r>
        <w:rPr>
          <w:rFonts w:ascii="楷体_GB2312" w:hAnsi="方正仿宋_GBK" w:eastAsia="楷体_GB2312" w:cs="方正仿宋_GBK"/>
          <w:b w:val="0"/>
          <w:bCs/>
          <w:szCs w:val="32"/>
        </w:rPr>
        <w:t>切实加强</w:t>
      </w:r>
      <w:r>
        <w:rPr>
          <w:rFonts w:hint="eastAsia" w:ascii="楷体_GB2312" w:hAnsi="方正仿宋_GBK" w:eastAsia="楷体_GB2312" w:cs="方正仿宋_GBK"/>
          <w:b w:val="0"/>
          <w:bCs/>
          <w:szCs w:val="32"/>
        </w:rPr>
        <w:t>。</w:t>
      </w:r>
      <w:r>
        <w:rPr>
          <w:rFonts w:hint="eastAsia" w:ascii="仿宋_GB2312" w:eastAsia="仿宋_GB2312"/>
          <w:b w:val="0"/>
          <w:szCs w:val="32"/>
        </w:rPr>
        <w:t>市委教育工作领导小组召开第三次全体会议，为全市教育改革发展定盘导航。各县区均建立党委教育工作领导机构，“党委统一领导、党政齐抓共管、部门各负其责”的教育领导体制基本形成。积极推行中小学党组织领导下的校长负责制，向民办学校选派党建指导员，实现学校党组织和党的工作全覆盖。建立党员干部过政治生日制度和青年理论学习小组制度，举办广元教育大讲堂7期、“党课开讲啦”活动145场，不断增强党员干部政治意识。统筹组织红歌大传唱等“12个一”活动，热烈庆祝建党100周年。全市4所学校入围全省培育创建100所党建工作示范学校评选。市委教育工委被评为“</w:t>
      </w:r>
      <w:r>
        <w:rPr>
          <w:rFonts w:ascii="仿宋_GB2312" w:eastAsia="仿宋_GB2312"/>
          <w:b w:val="0"/>
          <w:szCs w:val="32"/>
        </w:rPr>
        <w:t>全市‘</w:t>
      </w:r>
      <w:r>
        <w:rPr>
          <w:rFonts w:hint="eastAsia" w:ascii="仿宋_GB2312" w:eastAsia="仿宋_GB2312"/>
          <w:b w:val="0"/>
          <w:szCs w:val="32"/>
        </w:rPr>
        <w:t>学习强国</w:t>
      </w:r>
      <w:r>
        <w:rPr>
          <w:rFonts w:ascii="仿宋_GB2312" w:eastAsia="仿宋_GB2312"/>
          <w:b w:val="0"/>
          <w:szCs w:val="32"/>
        </w:rPr>
        <w:t>’</w:t>
      </w:r>
      <w:r>
        <w:rPr>
          <w:rFonts w:hint="eastAsia" w:ascii="仿宋_GB2312" w:eastAsia="仿宋_GB2312"/>
          <w:b w:val="0"/>
          <w:szCs w:val="32"/>
        </w:rPr>
        <w:t>学习平台先进集体”“市</w:t>
      </w:r>
      <w:r>
        <w:rPr>
          <w:rFonts w:hint="eastAsia" w:ascii="仿宋_GB2312" w:eastAsia="仿宋_GB2312"/>
          <w:b w:val="0"/>
          <w:szCs w:val="32"/>
          <w:lang w:val="en"/>
        </w:rPr>
        <w:t>第八</w:t>
      </w:r>
      <w:r>
        <w:rPr>
          <w:rFonts w:hint="eastAsia" w:ascii="仿宋_GB2312" w:eastAsia="仿宋_GB2312"/>
          <w:b w:val="0"/>
          <w:szCs w:val="32"/>
        </w:rPr>
        <w:t>次党代会组织筹备工作先进集体”。</w:t>
      </w:r>
      <w:bookmarkEnd w:id="30"/>
      <w:bookmarkEnd w:id="31"/>
    </w:p>
    <w:p>
      <w:pPr>
        <w:pStyle w:val="4"/>
        <w:keepNext w:val="0"/>
        <w:keepLines w:val="0"/>
        <w:numPr>
          <w:ilvl w:val="0"/>
          <w:numId w:val="3"/>
        </w:numPr>
        <w:adjustRightInd w:val="0"/>
        <w:snapToGrid w:val="0"/>
        <w:spacing w:before="0" w:after="0" w:line="576" w:lineRule="exact"/>
        <w:ind w:left="0" w:leftChars="0" w:firstLine="640" w:firstLineChars="200"/>
        <w:rPr>
          <w:rFonts w:hint="eastAsia" w:ascii="仿宋_GB2312" w:eastAsia="仿宋_GB2312"/>
          <w:b w:val="0"/>
          <w:szCs w:val="32"/>
        </w:rPr>
      </w:pPr>
      <w:bookmarkStart w:id="32" w:name="_Toc22087"/>
      <w:bookmarkStart w:id="33" w:name="_Toc12448"/>
      <w:r>
        <w:rPr>
          <w:rFonts w:hint="eastAsia" w:ascii="楷体_GB2312" w:hAnsi="方正仿宋_GBK" w:eastAsia="楷体_GB2312" w:cs="方正仿宋_GBK"/>
          <w:b w:val="0"/>
          <w:bCs/>
          <w:szCs w:val="32"/>
        </w:rPr>
        <w:t>党史学习教育</w:t>
      </w:r>
      <w:r>
        <w:rPr>
          <w:rFonts w:ascii="楷体_GB2312" w:hAnsi="方正仿宋_GBK" w:eastAsia="楷体_GB2312" w:cs="方正仿宋_GBK"/>
          <w:b w:val="0"/>
          <w:bCs/>
          <w:szCs w:val="32"/>
        </w:rPr>
        <w:t>成果显著</w:t>
      </w:r>
      <w:r>
        <w:rPr>
          <w:rFonts w:hint="eastAsia" w:ascii="楷体_GB2312" w:hAnsi="方正仿宋_GBK" w:eastAsia="楷体_GB2312" w:cs="方正仿宋_GBK"/>
          <w:b w:val="0"/>
          <w:bCs/>
          <w:szCs w:val="32"/>
        </w:rPr>
        <w:t>。</w:t>
      </w:r>
      <w:r>
        <w:rPr>
          <w:rFonts w:hint="eastAsia" w:ascii="仿宋_GB2312" w:eastAsia="仿宋_GB2312"/>
          <w:b w:val="0"/>
          <w:szCs w:val="32"/>
        </w:rPr>
        <w:t>制定“1+8+N”工作方案，探索形成“学讲考”“四个一”“六结合”“三学三做”等特色做法</w:t>
      </w:r>
      <w:r>
        <w:rPr>
          <w:rFonts w:ascii="仿宋_GB2312" w:eastAsia="仿宋_GB2312"/>
          <w:b w:val="0"/>
          <w:szCs w:val="32"/>
        </w:rPr>
        <w:t>，深入开展教育系统</w:t>
      </w:r>
      <w:r>
        <w:rPr>
          <w:rFonts w:hint="eastAsia" w:ascii="仿宋_GB2312" w:eastAsia="仿宋_GB2312"/>
          <w:b w:val="0"/>
          <w:szCs w:val="32"/>
        </w:rPr>
        <w:t>党员干部和青少年党史学习教育。全市教育系统共为群众办理大小实事300余件。我市教师获“百年红船正青春”全国青年宣讲大赛决赛二等奖1人，学生获全省“精心读党史·青春献给党”主题征文和“党史我来讲·红色照我心”演讲比赛等次奖12人，其中特等奖2人，市教育局获优秀组织奖。</w:t>
      </w:r>
      <w:bookmarkEnd w:id="32"/>
      <w:bookmarkEnd w:id="33"/>
    </w:p>
    <w:p>
      <w:pPr>
        <w:pStyle w:val="4"/>
        <w:keepNext w:val="0"/>
        <w:keepLines w:val="0"/>
        <w:numPr>
          <w:ilvl w:val="0"/>
          <w:numId w:val="3"/>
        </w:numPr>
        <w:adjustRightInd w:val="0"/>
        <w:snapToGrid w:val="0"/>
        <w:spacing w:before="0" w:after="0" w:line="576" w:lineRule="exact"/>
        <w:ind w:left="0" w:leftChars="0" w:firstLine="640" w:firstLineChars="200"/>
        <w:rPr>
          <w:rFonts w:hint="eastAsia" w:ascii="仿宋_GB2312" w:eastAsia="仿宋_GB2312"/>
          <w:b w:val="0"/>
          <w:szCs w:val="32"/>
        </w:rPr>
      </w:pPr>
      <w:bookmarkStart w:id="34" w:name="_Toc7919"/>
      <w:bookmarkStart w:id="35" w:name="_Toc3248"/>
      <w:r>
        <w:rPr>
          <w:rFonts w:hint="eastAsia" w:ascii="楷体_GB2312" w:hAnsi="方正仿宋_GBK" w:eastAsia="楷体_GB2312" w:cs="方正仿宋_GBK"/>
          <w:b w:val="0"/>
          <w:bCs/>
          <w:szCs w:val="32"/>
        </w:rPr>
        <w:t>意识形态根基</w:t>
      </w:r>
      <w:r>
        <w:rPr>
          <w:rFonts w:ascii="楷体_GB2312" w:hAnsi="方正仿宋_GBK" w:eastAsia="楷体_GB2312" w:cs="方正仿宋_GBK"/>
          <w:b w:val="0"/>
          <w:bCs/>
          <w:szCs w:val="32"/>
        </w:rPr>
        <w:t>更加坚实</w:t>
      </w:r>
      <w:r>
        <w:rPr>
          <w:rFonts w:hint="eastAsia" w:ascii="楷体_GB2312" w:hAnsi="方正仿宋_GBK" w:eastAsia="楷体_GB2312" w:cs="方正仿宋_GBK"/>
          <w:b w:val="0"/>
          <w:bCs/>
          <w:szCs w:val="32"/>
        </w:rPr>
        <w:t>。</w:t>
      </w:r>
      <w:r>
        <w:rPr>
          <w:rFonts w:hint="eastAsia" w:ascii="仿宋_GB2312" w:eastAsia="仿宋_GB2312"/>
          <w:b w:val="0"/>
          <w:szCs w:val="32"/>
        </w:rPr>
        <w:t>印发《广元市教育系统贯彻落实党委（党组）意识形态工作责任制实施意见（试行）》</w:t>
      </w:r>
      <w:r>
        <w:rPr>
          <w:rFonts w:ascii="仿宋_GB2312" w:eastAsia="仿宋_GB2312"/>
          <w:b w:val="0"/>
          <w:szCs w:val="32"/>
        </w:rPr>
        <w:t>，加强少数</w:t>
      </w:r>
      <w:r>
        <w:rPr>
          <w:rFonts w:hint="eastAsia" w:ascii="仿宋_GB2312" w:eastAsia="仿宋_GB2312"/>
          <w:b w:val="0"/>
          <w:szCs w:val="32"/>
        </w:rPr>
        <w:t>民族</w:t>
      </w:r>
      <w:r>
        <w:rPr>
          <w:rFonts w:ascii="仿宋_GB2312" w:eastAsia="仿宋_GB2312"/>
          <w:b w:val="0"/>
          <w:szCs w:val="32"/>
        </w:rPr>
        <w:t>学生管理和防范</w:t>
      </w:r>
      <w:r>
        <w:rPr>
          <w:rFonts w:hint="eastAsia" w:ascii="仿宋_GB2312" w:eastAsia="仿宋_GB2312"/>
          <w:b w:val="0"/>
          <w:szCs w:val="32"/>
        </w:rPr>
        <w:t>宗教邪教向校园渗透</w:t>
      </w:r>
      <w:r>
        <w:rPr>
          <w:rFonts w:ascii="仿宋_GB2312" w:eastAsia="仿宋_GB2312"/>
          <w:b w:val="0"/>
          <w:szCs w:val="32"/>
        </w:rPr>
        <w:t>工作</w:t>
      </w:r>
      <w:r>
        <w:rPr>
          <w:rFonts w:hint="eastAsia" w:ascii="仿宋_GB2312" w:eastAsia="仿宋_GB2312"/>
          <w:b w:val="0"/>
          <w:szCs w:val="32"/>
        </w:rPr>
        <w:t>，试行高校与中小学结对制度，</w:t>
      </w:r>
      <w:r>
        <w:rPr>
          <w:rFonts w:ascii="仿宋_GB2312" w:eastAsia="仿宋_GB2312"/>
          <w:b w:val="0"/>
          <w:szCs w:val="32"/>
        </w:rPr>
        <w:t>推进</w:t>
      </w:r>
      <w:r>
        <w:rPr>
          <w:rFonts w:hint="eastAsia" w:ascii="仿宋_GB2312" w:eastAsia="仿宋_GB2312"/>
          <w:b w:val="0"/>
          <w:szCs w:val="32"/>
        </w:rPr>
        <w:t>全市大中小学思政课一体化建设。市委书记、市长</w:t>
      </w:r>
      <w:r>
        <w:rPr>
          <w:rFonts w:ascii="仿宋_GB2312" w:eastAsia="仿宋_GB2312"/>
          <w:b w:val="0"/>
          <w:szCs w:val="32"/>
        </w:rPr>
        <w:t>、宣传部部长、</w:t>
      </w:r>
      <w:r>
        <w:rPr>
          <w:rFonts w:hint="eastAsia" w:ascii="仿宋_GB2312" w:eastAsia="仿宋_GB2312"/>
          <w:b w:val="0"/>
          <w:szCs w:val="32"/>
        </w:rPr>
        <w:t>市委教育工委书记到基层学校作专题党课、形势报告宣讲12场次。</w:t>
      </w:r>
      <w:r>
        <w:rPr>
          <w:rFonts w:ascii="仿宋_GB2312" w:eastAsia="仿宋_GB2312"/>
          <w:b w:val="0"/>
          <w:szCs w:val="32"/>
        </w:rPr>
        <w:t>继续办好</w:t>
      </w:r>
      <w:r>
        <w:rPr>
          <w:rFonts w:hint="eastAsia" w:ascii="仿宋_GB2312" w:eastAsia="仿宋_GB2312"/>
          <w:b w:val="0"/>
          <w:szCs w:val="32"/>
        </w:rPr>
        <w:t>“</w:t>
      </w:r>
      <w:r>
        <w:rPr>
          <w:rFonts w:ascii="仿宋_GB2312" w:eastAsia="仿宋_GB2312"/>
          <w:b w:val="0"/>
          <w:szCs w:val="32"/>
        </w:rPr>
        <w:t>广元教育视界</w:t>
      </w:r>
      <w:r>
        <w:rPr>
          <w:rFonts w:hint="eastAsia" w:ascii="仿宋_GB2312" w:eastAsia="仿宋_GB2312"/>
          <w:b w:val="0"/>
          <w:szCs w:val="32"/>
        </w:rPr>
        <w:t>”</w:t>
      </w:r>
      <w:r>
        <w:rPr>
          <w:rFonts w:ascii="仿宋_GB2312" w:eastAsia="仿宋_GB2312"/>
          <w:b w:val="0"/>
          <w:szCs w:val="32"/>
        </w:rPr>
        <w:t>电视栏目，创新开播</w:t>
      </w:r>
      <w:r>
        <w:rPr>
          <w:rFonts w:hint="eastAsia" w:ascii="仿宋_GB2312" w:eastAsia="仿宋_GB2312"/>
          <w:b w:val="0"/>
          <w:szCs w:val="32"/>
        </w:rPr>
        <w:t>“</w:t>
      </w:r>
      <w:r>
        <w:rPr>
          <w:rFonts w:ascii="仿宋_GB2312" w:eastAsia="仿宋_GB2312"/>
          <w:b w:val="0"/>
          <w:szCs w:val="32"/>
        </w:rPr>
        <w:t>荧屏思政十分钟</w:t>
      </w:r>
      <w:r>
        <w:rPr>
          <w:rFonts w:hint="eastAsia" w:ascii="仿宋_GB2312" w:eastAsia="仿宋_GB2312"/>
          <w:b w:val="0"/>
          <w:szCs w:val="32"/>
        </w:rPr>
        <w:t>”</w:t>
      </w:r>
      <w:r>
        <w:rPr>
          <w:rFonts w:ascii="仿宋_GB2312" w:eastAsia="仿宋_GB2312"/>
          <w:b w:val="0"/>
          <w:szCs w:val="32"/>
        </w:rPr>
        <w:t>节目，</w:t>
      </w:r>
      <w:r>
        <w:rPr>
          <w:rFonts w:hint="eastAsia" w:ascii="仿宋_GB2312" w:eastAsia="仿宋_GB2312"/>
          <w:b w:val="0"/>
          <w:szCs w:val="32"/>
        </w:rPr>
        <w:t>筹建“</w:t>
      </w:r>
      <w:r>
        <w:rPr>
          <w:rFonts w:ascii="仿宋_GB2312" w:eastAsia="仿宋_GB2312"/>
          <w:b w:val="0"/>
          <w:szCs w:val="32"/>
        </w:rPr>
        <w:t>广元</w:t>
      </w:r>
      <w:r>
        <w:rPr>
          <w:rFonts w:hint="eastAsia" w:ascii="仿宋_GB2312" w:eastAsia="仿宋_GB2312"/>
          <w:b w:val="0"/>
          <w:szCs w:val="32"/>
        </w:rPr>
        <w:t>教育融媒体中心”，</w:t>
      </w:r>
      <w:r>
        <w:rPr>
          <w:rFonts w:ascii="仿宋_GB2312" w:eastAsia="仿宋_GB2312"/>
          <w:b w:val="0"/>
          <w:szCs w:val="32"/>
        </w:rPr>
        <w:t>切实</w:t>
      </w:r>
      <w:r>
        <w:rPr>
          <w:rFonts w:hint="eastAsia" w:ascii="仿宋_GB2312" w:eastAsia="仿宋_GB2312"/>
          <w:b w:val="0"/>
          <w:szCs w:val="32"/>
        </w:rPr>
        <w:t>管好用好</w:t>
      </w:r>
      <w:r>
        <w:rPr>
          <w:rFonts w:ascii="仿宋_GB2312" w:eastAsia="仿宋_GB2312"/>
          <w:b w:val="0"/>
          <w:szCs w:val="32"/>
        </w:rPr>
        <w:t>教育宣传阵地</w:t>
      </w:r>
      <w:r>
        <w:rPr>
          <w:rFonts w:hint="eastAsia" w:ascii="仿宋_GB2312" w:eastAsia="仿宋_GB2312"/>
          <w:b w:val="0"/>
          <w:szCs w:val="32"/>
        </w:rPr>
        <w:t>。全市教育重点、亮点、特色工作多次被《人民日报》《教育导报》等主流媒体报道宣传。市教育局被评为全省信息宣传工作先进集体。</w:t>
      </w:r>
      <w:bookmarkEnd w:id="34"/>
      <w:bookmarkEnd w:id="35"/>
    </w:p>
    <w:p>
      <w:pPr>
        <w:pStyle w:val="4"/>
        <w:keepNext w:val="0"/>
        <w:keepLines w:val="0"/>
        <w:numPr>
          <w:ilvl w:val="0"/>
          <w:numId w:val="3"/>
        </w:numPr>
        <w:adjustRightInd w:val="0"/>
        <w:snapToGrid w:val="0"/>
        <w:spacing w:before="0" w:after="0" w:line="576" w:lineRule="exact"/>
        <w:ind w:left="0" w:leftChars="0" w:firstLine="640" w:firstLineChars="200"/>
        <w:rPr>
          <w:rFonts w:hint="eastAsia" w:ascii="仿宋_GB2312" w:eastAsia="仿宋_GB2312"/>
          <w:b w:val="0"/>
          <w:szCs w:val="32"/>
        </w:rPr>
      </w:pPr>
      <w:bookmarkStart w:id="36" w:name="_Toc19149"/>
      <w:bookmarkStart w:id="37" w:name="_Toc29727"/>
      <w:r>
        <w:rPr>
          <w:rFonts w:ascii="楷体_GB2312" w:hAnsi="方正仿宋_GBK" w:eastAsia="楷体_GB2312" w:cs="方正仿宋_GBK"/>
          <w:b w:val="0"/>
          <w:bCs/>
          <w:szCs w:val="32"/>
        </w:rPr>
        <w:t>党风廉政建设严实有力。</w:t>
      </w:r>
      <w:r>
        <w:rPr>
          <w:rFonts w:ascii="仿宋_GB2312" w:eastAsia="仿宋_GB2312"/>
          <w:b w:val="0"/>
          <w:szCs w:val="32"/>
        </w:rPr>
        <w:t>压紧压实</w:t>
      </w:r>
      <w:r>
        <w:rPr>
          <w:rFonts w:hint="eastAsia" w:ascii="仿宋_GB2312" w:eastAsia="仿宋_GB2312"/>
          <w:b w:val="0"/>
          <w:szCs w:val="32"/>
        </w:rPr>
        <w:t>全面从严治党“</w:t>
      </w:r>
      <w:r>
        <w:rPr>
          <w:rFonts w:ascii="仿宋_GB2312" w:eastAsia="仿宋_GB2312"/>
          <w:b w:val="0"/>
          <w:szCs w:val="32"/>
        </w:rPr>
        <w:t>两个责任</w:t>
      </w:r>
      <w:r>
        <w:rPr>
          <w:rFonts w:hint="eastAsia" w:ascii="仿宋_GB2312" w:eastAsia="仿宋_GB2312"/>
          <w:b w:val="0"/>
          <w:szCs w:val="32"/>
        </w:rPr>
        <w:t>”</w:t>
      </w:r>
      <w:r>
        <w:rPr>
          <w:rFonts w:ascii="仿宋_GB2312" w:eastAsia="仿宋_GB2312"/>
          <w:b w:val="0"/>
          <w:szCs w:val="32"/>
        </w:rPr>
        <w:t>，</w:t>
      </w:r>
      <w:r>
        <w:rPr>
          <w:rFonts w:hint="eastAsia" w:ascii="仿宋_GB2312" w:eastAsia="仿宋_GB2312"/>
          <w:b w:val="0"/>
          <w:szCs w:val="32"/>
        </w:rPr>
        <w:t>建立《市教育局落实党风廉政建设主体责任实施细则》《广元市教育局责任追究制度》</w:t>
      </w:r>
      <w:r>
        <w:rPr>
          <w:rFonts w:ascii="仿宋_GB2312" w:eastAsia="仿宋_GB2312"/>
          <w:b w:val="0"/>
          <w:szCs w:val="32"/>
        </w:rPr>
        <w:t>。</w:t>
      </w:r>
      <w:r>
        <w:rPr>
          <w:rFonts w:hint="eastAsia" w:ascii="仿宋_GB2312" w:eastAsia="仿宋_GB2312"/>
          <w:b w:val="0"/>
          <w:szCs w:val="32"/>
        </w:rPr>
        <w:t>全面落实省委第五巡视组巡视反馈意见和七届市委第九轮巡察反馈问题整改，对市直属11家单位（学校）开展</w:t>
      </w:r>
      <w:r>
        <w:rPr>
          <w:rFonts w:ascii="仿宋_GB2312" w:eastAsia="仿宋_GB2312"/>
          <w:b w:val="0"/>
          <w:szCs w:val="32"/>
        </w:rPr>
        <w:t>内部</w:t>
      </w:r>
      <w:r>
        <w:rPr>
          <w:rFonts w:hint="eastAsia" w:ascii="仿宋_GB2312" w:eastAsia="仿宋_GB2312"/>
          <w:b w:val="0"/>
          <w:szCs w:val="32"/>
        </w:rPr>
        <w:t>审计。深入开展干部职工纪律作风整顿暨“付健案”以案促改活动</w:t>
      </w:r>
      <w:r>
        <w:rPr>
          <w:rFonts w:ascii="仿宋_GB2312" w:eastAsia="仿宋_GB2312"/>
          <w:b w:val="0"/>
          <w:szCs w:val="32"/>
        </w:rPr>
        <w:t>和</w:t>
      </w:r>
      <w:r>
        <w:rPr>
          <w:rFonts w:hint="eastAsia" w:ascii="仿宋_GB2312" w:eastAsia="仿宋_GB2312"/>
          <w:b w:val="0"/>
          <w:szCs w:val="32"/>
        </w:rPr>
        <w:t>“升学宴”“吃公函”等专项整治</w:t>
      </w:r>
      <w:r>
        <w:rPr>
          <w:rFonts w:ascii="仿宋_GB2312" w:eastAsia="仿宋_GB2312"/>
          <w:b w:val="0"/>
          <w:szCs w:val="32"/>
        </w:rPr>
        <w:t>。</w:t>
      </w:r>
      <w:r>
        <w:rPr>
          <w:rFonts w:hint="eastAsia" w:ascii="仿宋_GB2312" w:eastAsia="仿宋_GB2312"/>
          <w:b w:val="0"/>
          <w:szCs w:val="32"/>
        </w:rPr>
        <w:t>全系统分层分类建立整改台账700余份，“废改立”</w:t>
      </w:r>
      <w:r>
        <w:rPr>
          <w:rFonts w:ascii="仿宋_GB2312" w:eastAsia="仿宋_GB2312"/>
          <w:b w:val="0"/>
          <w:szCs w:val="32"/>
        </w:rPr>
        <w:t>制度</w:t>
      </w:r>
      <w:r>
        <w:rPr>
          <w:rFonts w:hint="eastAsia" w:ascii="仿宋_GB2312" w:eastAsia="仿宋_GB2312"/>
          <w:b w:val="0"/>
          <w:szCs w:val="32"/>
        </w:rPr>
        <w:t>40余项</w:t>
      </w:r>
      <w:r>
        <w:rPr>
          <w:rFonts w:ascii="仿宋_GB2312" w:eastAsia="仿宋_GB2312"/>
          <w:b w:val="0"/>
          <w:szCs w:val="32"/>
        </w:rPr>
        <w:t>，运用</w:t>
      </w:r>
      <w:r>
        <w:rPr>
          <w:rFonts w:hint="eastAsia" w:ascii="仿宋_GB2312" w:eastAsia="仿宋_GB2312"/>
          <w:b w:val="0"/>
          <w:szCs w:val="32"/>
        </w:rPr>
        <w:t>“</w:t>
      </w:r>
      <w:r>
        <w:rPr>
          <w:rFonts w:ascii="仿宋_GB2312" w:eastAsia="仿宋_GB2312"/>
          <w:b w:val="0"/>
          <w:szCs w:val="32"/>
        </w:rPr>
        <w:t>第一种形态</w:t>
      </w:r>
      <w:r>
        <w:rPr>
          <w:rFonts w:hint="eastAsia" w:ascii="仿宋_GB2312" w:eastAsia="仿宋_GB2312"/>
          <w:b w:val="0"/>
          <w:szCs w:val="32"/>
        </w:rPr>
        <w:t>”</w:t>
      </w:r>
      <w:r>
        <w:rPr>
          <w:rFonts w:ascii="仿宋_GB2312" w:eastAsia="仿宋_GB2312"/>
          <w:b w:val="0"/>
          <w:szCs w:val="32"/>
        </w:rPr>
        <w:t>处理</w:t>
      </w:r>
      <w:r>
        <w:rPr>
          <w:rFonts w:hint="eastAsia" w:ascii="仿宋_GB2312" w:eastAsia="仿宋_GB2312"/>
          <w:b w:val="0"/>
          <w:szCs w:val="32"/>
        </w:rPr>
        <w:t>162人，</w:t>
      </w:r>
      <w:r>
        <w:rPr>
          <w:rFonts w:ascii="仿宋_GB2312" w:eastAsia="仿宋_GB2312"/>
          <w:b w:val="0"/>
          <w:szCs w:val="32"/>
        </w:rPr>
        <w:t>给予</w:t>
      </w:r>
      <w:r>
        <w:rPr>
          <w:rFonts w:hint="eastAsia" w:ascii="仿宋_GB2312" w:eastAsia="仿宋_GB2312"/>
          <w:b w:val="0"/>
          <w:szCs w:val="32"/>
        </w:rPr>
        <w:t>党纪政务处分47人，移送司法机关4人。</w:t>
      </w:r>
      <w:bookmarkEnd w:id="36"/>
      <w:bookmarkEnd w:id="37"/>
    </w:p>
    <w:p>
      <w:pPr>
        <w:numPr>
          <w:ilvl w:val="0"/>
          <w:numId w:val="2"/>
        </w:numPr>
        <w:adjustRightInd w:val="0"/>
        <w:snapToGrid w:val="0"/>
        <w:spacing w:line="576" w:lineRule="exact"/>
        <w:ind w:left="0" w:leftChars="0" w:firstLine="420" w:firstLineChars="0"/>
        <w:outlineLvl w:val="0"/>
        <w:rPr>
          <w:rFonts w:hint="eastAsia" w:ascii="黑体" w:hAnsi="方正黑体_GBK" w:eastAsia="黑体" w:cs="方正黑体_GBK"/>
          <w:sz w:val="32"/>
          <w:szCs w:val="32"/>
        </w:rPr>
      </w:pPr>
      <w:bookmarkStart w:id="38" w:name="_Toc24838"/>
      <w:bookmarkStart w:id="39" w:name="_Toc8515"/>
      <w:r>
        <w:rPr>
          <w:rFonts w:hint="eastAsia" w:ascii="黑体" w:hAnsi="方正黑体_GBK" w:eastAsia="黑体" w:cs="方正黑体_GBK"/>
          <w:sz w:val="32"/>
          <w:szCs w:val="32"/>
        </w:rPr>
        <w:t>奋力实施教育提质工程，教育优质发展迈上新台阶</w:t>
      </w:r>
      <w:bookmarkEnd w:id="38"/>
      <w:bookmarkEnd w:id="39"/>
    </w:p>
    <w:p>
      <w:pPr>
        <w:pStyle w:val="4"/>
        <w:keepNext w:val="0"/>
        <w:keepLines w:val="0"/>
        <w:numPr>
          <w:ilvl w:val="0"/>
          <w:numId w:val="4"/>
        </w:numPr>
        <w:adjustRightInd w:val="0"/>
        <w:snapToGrid w:val="0"/>
        <w:spacing w:before="0" w:after="0" w:line="576" w:lineRule="exact"/>
        <w:ind w:left="0" w:leftChars="0" w:firstLine="640" w:firstLineChars="200"/>
        <w:rPr>
          <w:rFonts w:hint="eastAsia" w:ascii="仿宋_GB2312" w:hAnsi="方正仿宋_GBK" w:eastAsia="仿宋_GB2312" w:cs="方正仿宋_GBK"/>
          <w:b w:val="0"/>
          <w:szCs w:val="32"/>
        </w:rPr>
      </w:pPr>
      <w:bookmarkStart w:id="40" w:name="_Toc5714"/>
      <w:bookmarkStart w:id="41" w:name="_Toc9520"/>
      <w:r>
        <w:rPr>
          <w:rFonts w:ascii="楷体_GB2312" w:hAnsi="方正仿宋_GBK" w:eastAsia="楷体_GB2312" w:cs="方正仿宋_GBK"/>
          <w:b w:val="0"/>
          <w:bCs/>
          <w:szCs w:val="32"/>
        </w:rPr>
        <w:t>基础教育实现新发展</w:t>
      </w:r>
      <w:r>
        <w:rPr>
          <w:rFonts w:hint="eastAsia" w:ascii="楷体_GB2312" w:hAnsi="方正仿宋_GBK" w:eastAsia="楷体_GB2312" w:cs="方正仿宋_GBK"/>
          <w:b w:val="0"/>
          <w:bCs/>
          <w:szCs w:val="32"/>
        </w:rPr>
        <w:t>。</w:t>
      </w:r>
      <w:r>
        <w:rPr>
          <w:rFonts w:hint="eastAsia" w:ascii="仿宋_GB2312" w:hAnsi="方正仿宋_GBK" w:eastAsia="仿宋_GB2312" w:cs="方正仿宋_GBK"/>
          <w:b w:val="0"/>
          <w:szCs w:val="32"/>
        </w:rPr>
        <w:t>新评审三星级以上幼儿园8所</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落实公办幼儿园（普惠性民办园）生均公用经费350元/年。学前三年毛入园率93％，普惠性学前教育资源覆盖率90.3％，公办园在园幼儿占比56.57%，“80、50”成效持续巩固。启动义务教育优质均衡发展示范县创建工作。加快</w:t>
      </w:r>
      <w:r>
        <w:rPr>
          <w:rFonts w:ascii="仿宋_GB2312" w:hAnsi="方正仿宋_GBK" w:eastAsia="仿宋_GB2312" w:cs="方正仿宋_GBK"/>
          <w:b w:val="0"/>
          <w:szCs w:val="32"/>
        </w:rPr>
        <w:t>推进实施特殊教育</w:t>
      </w:r>
      <w:r>
        <w:rPr>
          <w:rFonts w:hint="eastAsia" w:ascii="仿宋_GB2312" w:hAnsi="方正仿宋_GBK" w:eastAsia="仿宋_GB2312" w:cs="方正仿宋_GBK"/>
          <w:b w:val="0"/>
          <w:szCs w:val="32"/>
        </w:rPr>
        <w:t>暖心工程建设，推进特殊教育向学前和高中阶段延伸，全市建成特教资源教室77间，全面落实“一人一案”特殊学生教学安置措施。</w:t>
      </w:r>
      <w:r>
        <w:rPr>
          <w:rFonts w:ascii="仿宋_GB2312" w:hAnsi="方正仿宋_GBK" w:eastAsia="仿宋_GB2312" w:cs="方正仿宋_GBK"/>
          <w:b w:val="0"/>
          <w:szCs w:val="32"/>
        </w:rPr>
        <w:t>全市</w:t>
      </w:r>
      <w:r>
        <w:rPr>
          <w:rFonts w:hint="eastAsia" w:ascii="仿宋_GB2312" w:hAnsi="方正仿宋_GBK" w:eastAsia="仿宋_GB2312" w:cs="方正仿宋_GBK"/>
          <w:b w:val="0"/>
          <w:szCs w:val="32"/>
        </w:rPr>
        <w:t>适龄儿童少年在户籍所在地学校就近入学、常住人口义务教育基本</w:t>
      </w:r>
      <w:r>
        <w:rPr>
          <w:rFonts w:ascii="仿宋_GB2312" w:hAnsi="方正仿宋_GBK" w:eastAsia="仿宋_GB2312" w:cs="方正仿宋_GBK"/>
          <w:b w:val="0"/>
          <w:szCs w:val="32"/>
        </w:rPr>
        <w:t>实现</w:t>
      </w:r>
      <w:r>
        <w:rPr>
          <w:rFonts w:hint="eastAsia" w:ascii="仿宋_GB2312" w:hAnsi="方正仿宋_GBK" w:eastAsia="仿宋_GB2312" w:cs="方正仿宋_GBK"/>
          <w:b w:val="0"/>
          <w:szCs w:val="32"/>
        </w:rPr>
        <w:t>全覆盖</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义务教育</w:t>
      </w:r>
      <w:r>
        <w:rPr>
          <w:rFonts w:ascii="仿宋_GB2312" w:hAnsi="方正仿宋_GBK" w:eastAsia="仿宋_GB2312" w:cs="方正仿宋_GBK"/>
          <w:b w:val="0"/>
          <w:szCs w:val="32"/>
        </w:rPr>
        <w:t>阶段</w:t>
      </w:r>
      <w:r>
        <w:rPr>
          <w:rFonts w:hint="eastAsia" w:ascii="仿宋_GB2312" w:hAnsi="方正仿宋_GBK" w:eastAsia="仿宋_GB2312" w:cs="方正仿宋_GBK"/>
          <w:b w:val="0"/>
          <w:szCs w:val="32"/>
        </w:rPr>
        <w:t>残疾儿童入学率达96.93%。</w:t>
      </w:r>
      <w:bookmarkEnd w:id="40"/>
      <w:bookmarkEnd w:id="41"/>
    </w:p>
    <w:p>
      <w:pPr>
        <w:pStyle w:val="4"/>
        <w:keepNext w:val="0"/>
        <w:keepLines w:val="0"/>
        <w:numPr>
          <w:ilvl w:val="0"/>
          <w:numId w:val="4"/>
        </w:numPr>
        <w:adjustRightInd w:val="0"/>
        <w:snapToGrid w:val="0"/>
        <w:spacing w:before="0" w:after="0" w:line="576" w:lineRule="exact"/>
        <w:ind w:left="0" w:leftChars="0" w:firstLine="640" w:firstLineChars="200"/>
        <w:rPr>
          <w:rFonts w:hint="eastAsia" w:ascii="仿宋_GB2312" w:hAnsi="方正仿宋_GBK" w:eastAsia="仿宋_GB2312" w:cs="方正仿宋_GBK"/>
          <w:b w:val="0"/>
          <w:szCs w:val="32"/>
        </w:rPr>
      </w:pPr>
      <w:bookmarkStart w:id="42" w:name="_Toc5705"/>
      <w:bookmarkStart w:id="43" w:name="_Toc32310"/>
      <w:r>
        <w:rPr>
          <w:rFonts w:ascii="楷体_GB2312" w:hAnsi="方正仿宋_GBK" w:eastAsia="楷体_GB2312" w:cs="方正仿宋_GBK"/>
          <w:b w:val="0"/>
          <w:bCs/>
          <w:szCs w:val="32"/>
        </w:rPr>
        <w:t>高中</w:t>
      </w:r>
      <w:r>
        <w:rPr>
          <w:rFonts w:hint="eastAsia" w:ascii="楷体_GB2312" w:hAnsi="方正仿宋_GBK" w:eastAsia="楷体_GB2312" w:cs="方正仿宋_GBK"/>
          <w:b w:val="0"/>
          <w:bCs/>
          <w:szCs w:val="32"/>
        </w:rPr>
        <w:t>教育实现新突破。</w:t>
      </w:r>
      <w:r>
        <w:rPr>
          <w:rFonts w:hint="eastAsia" w:ascii="仿宋_GB2312" w:hAnsi="方正仿宋_GBK" w:eastAsia="仿宋_GB2312" w:cs="方正仿宋_GBK"/>
          <w:b w:val="0"/>
          <w:szCs w:val="32"/>
        </w:rPr>
        <w:t>市委市政府出台《支持广元中学高质量发展六条措施》，青川县、朝天区研究出台支持高中教育发展系列措施，元坝中学与四川东辰教育集团达成合作办学协议，苍溪县、剑阁县撤并4所乡镇薄弱普通高中</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广元外国语学校、剑门关高中</w:t>
      </w:r>
      <w:r>
        <w:rPr>
          <w:rFonts w:ascii="仿宋_GB2312" w:hAnsi="方正仿宋_GBK" w:eastAsia="仿宋_GB2312" w:cs="方正仿宋_GBK"/>
          <w:b w:val="0"/>
          <w:szCs w:val="32"/>
        </w:rPr>
        <w:t>积极创建</w:t>
      </w:r>
      <w:r>
        <w:rPr>
          <w:rFonts w:hint="eastAsia" w:ascii="仿宋_GB2312" w:hAnsi="方正仿宋_GBK" w:eastAsia="仿宋_GB2312" w:cs="方正仿宋_GBK"/>
          <w:b w:val="0"/>
          <w:szCs w:val="32"/>
        </w:rPr>
        <w:t>省级示范性高中</w:t>
      </w:r>
      <w:r>
        <w:rPr>
          <w:rFonts w:ascii="仿宋_GB2312" w:hAnsi="方正仿宋_GBK" w:eastAsia="仿宋_GB2312" w:cs="方正仿宋_GBK"/>
          <w:b w:val="0"/>
          <w:szCs w:val="32"/>
        </w:rPr>
        <w:t>，全市高中教育质量整体提升</w:t>
      </w:r>
      <w:r>
        <w:rPr>
          <w:rFonts w:hint="eastAsia" w:ascii="仿宋_GB2312" w:hAnsi="方正仿宋_GBK" w:eastAsia="仿宋_GB2312" w:cs="方正仿宋_GBK"/>
          <w:b w:val="0"/>
          <w:szCs w:val="32"/>
        </w:rPr>
        <w:t>。今年高考文化及专业本科上线连续10年万人以上，“双一流”大学录取672人，完成目标任务的112%。</w:t>
      </w:r>
      <w:bookmarkEnd w:id="42"/>
      <w:bookmarkEnd w:id="43"/>
    </w:p>
    <w:p>
      <w:pPr>
        <w:pStyle w:val="4"/>
        <w:keepNext w:val="0"/>
        <w:keepLines w:val="0"/>
        <w:numPr>
          <w:ilvl w:val="0"/>
          <w:numId w:val="4"/>
        </w:numPr>
        <w:adjustRightInd w:val="0"/>
        <w:snapToGrid w:val="0"/>
        <w:spacing w:before="0" w:after="0" w:line="576" w:lineRule="exact"/>
        <w:ind w:left="0" w:leftChars="0" w:firstLine="640" w:firstLineChars="200"/>
        <w:rPr>
          <w:rFonts w:hint="eastAsia" w:ascii="仿宋_GB2312" w:hAnsi="方正仿宋_GBK" w:eastAsia="仿宋_GB2312" w:cs="方正仿宋_GBK"/>
          <w:b w:val="0"/>
          <w:szCs w:val="32"/>
        </w:rPr>
      </w:pPr>
      <w:bookmarkStart w:id="44" w:name="_Toc12177"/>
      <w:bookmarkStart w:id="45" w:name="_Toc8228"/>
      <w:r>
        <w:rPr>
          <w:rFonts w:hint="eastAsia" w:ascii="楷体_GB2312" w:hAnsi="方正仿宋_GBK" w:eastAsia="楷体_GB2312" w:cs="方正仿宋_GBK"/>
          <w:b w:val="0"/>
          <w:bCs/>
          <w:szCs w:val="32"/>
        </w:rPr>
        <w:t>职业教育</w:t>
      </w:r>
      <w:r>
        <w:rPr>
          <w:rFonts w:ascii="楷体_GB2312" w:hAnsi="方正仿宋_GBK" w:eastAsia="楷体_GB2312" w:cs="方正仿宋_GBK"/>
          <w:b w:val="0"/>
          <w:bCs/>
          <w:szCs w:val="32"/>
        </w:rPr>
        <w:t>显现新优势</w:t>
      </w:r>
      <w:r>
        <w:rPr>
          <w:rFonts w:hint="eastAsia" w:ascii="楷体_GB2312" w:hAnsi="方正仿宋_GBK" w:eastAsia="楷体_GB2312" w:cs="方正仿宋_GBK"/>
          <w:b w:val="0"/>
          <w:bCs/>
          <w:szCs w:val="32"/>
        </w:rPr>
        <w:t>。</w:t>
      </w:r>
      <w:r>
        <w:rPr>
          <w:rFonts w:hint="eastAsia" w:ascii="仿宋_GB2312" w:hAnsi="方正仿宋_GBK" w:eastAsia="仿宋_GB2312" w:cs="方正仿宋_GBK"/>
          <w:b w:val="0"/>
          <w:bCs/>
          <w:szCs w:val="32"/>
        </w:rPr>
        <w:t>编制完成《三江职教园项目建议书和概念性规划》</w:t>
      </w:r>
      <w:r>
        <w:rPr>
          <w:rFonts w:ascii="仿宋_GB2312" w:hAnsi="方正仿宋_GBK" w:eastAsia="仿宋_GB2312" w:cs="方正仿宋_GBK"/>
          <w:b w:val="0"/>
          <w:bCs/>
          <w:szCs w:val="32"/>
        </w:rPr>
        <w:t>。</w:t>
      </w:r>
      <w:r>
        <w:rPr>
          <w:rFonts w:ascii="仿宋_GB2312" w:hAnsi="方正仿宋_GBK" w:eastAsia="仿宋_GB2312" w:cs="方正仿宋_GBK"/>
          <w:b w:val="0"/>
          <w:szCs w:val="32"/>
        </w:rPr>
        <w:t>高中阶段招生</w:t>
      </w:r>
      <w:r>
        <w:rPr>
          <w:rFonts w:hint="eastAsia" w:ascii="仿宋_GB2312" w:hAnsi="方正仿宋_GBK" w:eastAsia="仿宋_GB2312" w:cs="方正仿宋_GBK"/>
          <w:b w:val="0"/>
          <w:szCs w:val="32"/>
        </w:rPr>
        <w:t>职普比达4</w:t>
      </w:r>
      <w:r>
        <w:rPr>
          <w:rFonts w:ascii="仿宋_GB2312" w:hAnsi="方正仿宋_GBK" w:eastAsia="仿宋_GB2312" w:cs="方正仿宋_GBK"/>
          <w:b w:val="0"/>
          <w:szCs w:val="32"/>
        </w:rPr>
        <w:t>4</w:t>
      </w:r>
      <w:r>
        <w:rPr>
          <w:rFonts w:hint="eastAsia" w:ascii="仿宋_GB2312" w:hAnsi="方正仿宋_GBK" w:eastAsia="仿宋_GB2312" w:cs="方正仿宋_GBK"/>
          <w:b w:val="0"/>
          <w:szCs w:val="32"/>
        </w:rPr>
        <w:t>:5</w:t>
      </w:r>
      <w:r>
        <w:rPr>
          <w:rFonts w:ascii="仿宋_GB2312" w:hAnsi="方正仿宋_GBK" w:eastAsia="仿宋_GB2312" w:cs="方正仿宋_GBK"/>
          <w:b w:val="0"/>
          <w:szCs w:val="32"/>
        </w:rPr>
        <w:t>6</w:t>
      </w:r>
      <w:r>
        <w:rPr>
          <w:rFonts w:hint="eastAsia" w:ascii="仿宋_GB2312" w:hAnsi="方正仿宋_GBK" w:eastAsia="仿宋_GB2312" w:cs="方正仿宋_GBK"/>
          <w:b w:val="0"/>
          <w:szCs w:val="32"/>
        </w:rPr>
        <w:t>，职业教育招生实现新突破</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7所学校申报省级“三名工程”建设项目，5</w:t>
      </w:r>
      <w:r>
        <w:rPr>
          <w:rFonts w:ascii="仿宋_GB2312" w:hAnsi="方正仿宋_GBK" w:eastAsia="仿宋_GB2312" w:cs="方正仿宋_GBK"/>
          <w:b w:val="0"/>
          <w:szCs w:val="32"/>
        </w:rPr>
        <w:t>个</w:t>
      </w:r>
      <w:r>
        <w:rPr>
          <w:rFonts w:hint="eastAsia" w:ascii="仿宋_GB2312" w:hAnsi="方正仿宋_GBK" w:eastAsia="仿宋_GB2312" w:cs="方正仿宋_GBK"/>
          <w:b w:val="0"/>
          <w:szCs w:val="32"/>
        </w:rPr>
        <w:t>省级“双示范”建设项目完成市级核查。四川信息职业技术学院被认定为省级“双高计划”项目建设学校。</w:t>
      </w:r>
      <w:r>
        <w:rPr>
          <w:rFonts w:ascii="仿宋_GB2312" w:hAnsi="方正仿宋_GBK" w:eastAsia="仿宋_GB2312" w:cs="方正仿宋_GBK"/>
          <w:b w:val="0"/>
          <w:szCs w:val="32"/>
        </w:rPr>
        <w:t>创建</w:t>
      </w:r>
      <w:r>
        <w:rPr>
          <w:rFonts w:hint="eastAsia" w:ascii="仿宋_GB2312" w:hAnsi="方正仿宋_GBK" w:eastAsia="仿宋_GB2312" w:cs="方正仿宋_GBK"/>
          <w:b w:val="0"/>
          <w:szCs w:val="32"/>
        </w:rPr>
        <w:t>广元电力建设职业技术学院、川北幼儿师范学院</w:t>
      </w:r>
      <w:r>
        <w:rPr>
          <w:rFonts w:ascii="仿宋_GB2312" w:hAnsi="方正仿宋_GBK" w:eastAsia="仿宋_GB2312" w:cs="方正仿宋_GBK"/>
          <w:b w:val="0"/>
          <w:szCs w:val="32"/>
        </w:rPr>
        <w:t>项目已</w:t>
      </w:r>
      <w:r>
        <w:rPr>
          <w:rFonts w:hint="eastAsia" w:ascii="仿宋_GB2312" w:hAnsi="方正仿宋_GBK" w:eastAsia="仿宋_GB2312" w:cs="方正仿宋_GBK"/>
          <w:b w:val="0"/>
          <w:szCs w:val="32"/>
        </w:rPr>
        <w:t>报教育部。</w:t>
      </w:r>
      <w:r>
        <w:rPr>
          <w:rFonts w:ascii="仿宋_GB2312" w:hAnsi="方正仿宋_GBK" w:eastAsia="仿宋_GB2312" w:cs="方正仿宋_GBK"/>
          <w:b w:val="0"/>
          <w:szCs w:val="32"/>
        </w:rPr>
        <w:t>启动</w:t>
      </w:r>
      <w:r>
        <w:rPr>
          <w:rFonts w:hint="eastAsia" w:ascii="仿宋_GB2312" w:hAnsi="方正仿宋_GBK" w:eastAsia="仿宋_GB2312" w:cs="方正仿宋_GBK"/>
          <w:b w:val="0"/>
          <w:bCs/>
          <w:szCs w:val="32"/>
        </w:rPr>
        <w:t>广元中核职业技术学院、四川水利水电技师学院扩建项目</w:t>
      </w:r>
      <w:r>
        <w:rPr>
          <w:rFonts w:ascii="仿宋_GB2312" w:hAnsi="方正仿宋_GBK" w:eastAsia="仿宋_GB2312" w:cs="方正仿宋_GBK"/>
          <w:b w:val="0"/>
          <w:bCs/>
          <w:szCs w:val="32"/>
        </w:rPr>
        <w:t>。今年</w:t>
      </w:r>
      <w:r>
        <w:rPr>
          <w:rFonts w:hint="eastAsia" w:ascii="仿宋_GB2312" w:hAnsi="方正仿宋_GBK" w:eastAsia="仿宋_GB2312" w:cs="方正仿宋_GBK"/>
          <w:b w:val="0"/>
          <w:szCs w:val="32"/>
        </w:rPr>
        <w:t>职教高考上线率98.9%，</w:t>
      </w:r>
      <w:r>
        <w:rPr>
          <w:rFonts w:ascii="仿宋_GB2312" w:hAnsi="方正仿宋_GBK" w:eastAsia="仿宋_GB2312" w:cs="方正仿宋_GBK"/>
          <w:b w:val="0"/>
          <w:szCs w:val="32"/>
        </w:rPr>
        <w:t>中职</w:t>
      </w:r>
      <w:r>
        <w:rPr>
          <w:rFonts w:hint="eastAsia" w:ascii="仿宋_GB2312" w:hAnsi="方正仿宋_GBK" w:eastAsia="仿宋_GB2312" w:cs="方正仿宋_GBK"/>
          <w:b w:val="0"/>
          <w:szCs w:val="32"/>
        </w:rPr>
        <w:t>学生就业率</w:t>
      </w:r>
      <w:r>
        <w:rPr>
          <w:rFonts w:ascii="仿宋_GB2312" w:hAnsi="方正仿宋_GBK" w:eastAsia="仿宋_GB2312" w:cs="方正仿宋_GBK"/>
          <w:b w:val="0"/>
          <w:szCs w:val="32"/>
        </w:rPr>
        <w:t>达</w:t>
      </w:r>
      <w:r>
        <w:rPr>
          <w:rFonts w:hint="eastAsia" w:ascii="仿宋_GB2312" w:hAnsi="方正仿宋_GBK" w:eastAsia="仿宋_GB2312" w:cs="方正仿宋_GBK"/>
          <w:b w:val="0"/>
          <w:szCs w:val="32"/>
        </w:rPr>
        <w:t>98.</w:t>
      </w:r>
      <w:r>
        <w:rPr>
          <w:rFonts w:ascii="仿宋_GB2312" w:hAnsi="方正仿宋_GBK" w:eastAsia="仿宋_GB2312" w:cs="方正仿宋_GBK"/>
          <w:b w:val="0"/>
          <w:szCs w:val="32"/>
        </w:rPr>
        <w:t>1</w:t>
      </w:r>
      <w:r>
        <w:rPr>
          <w:rFonts w:hint="eastAsia" w:ascii="仿宋_GB2312" w:hAnsi="方正仿宋_GBK" w:eastAsia="仿宋_GB2312" w:cs="方正仿宋_GBK"/>
          <w:b w:val="0"/>
          <w:szCs w:val="32"/>
        </w:rPr>
        <w:t>1%。</w:t>
      </w:r>
      <w:bookmarkEnd w:id="44"/>
      <w:bookmarkEnd w:id="45"/>
    </w:p>
    <w:p>
      <w:pPr>
        <w:pStyle w:val="4"/>
        <w:keepNext w:val="0"/>
        <w:keepLines w:val="0"/>
        <w:numPr>
          <w:ilvl w:val="0"/>
          <w:numId w:val="4"/>
        </w:numPr>
        <w:adjustRightInd w:val="0"/>
        <w:snapToGrid w:val="0"/>
        <w:spacing w:before="0" w:after="0" w:line="576" w:lineRule="exact"/>
        <w:ind w:left="0" w:leftChars="0" w:firstLine="640" w:firstLineChars="200"/>
        <w:rPr>
          <w:rFonts w:hint="eastAsia" w:ascii="仿宋_GB2312" w:hAnsi="方正仿宋_GBK" w:eastAsia="仿宋_GB2312" w:cs="方正仿宋_GBK"/>
          <w:b w:val="0"/>
          <w:szCs w:val="32"/>
        </w:rPr>
      </w:pPr>
      <w:bookmarkStart w:id="46" w:name="_Toc13424"/>
      <w:bookmarkStart w:id="47" w:name="_Toc6844"/>
      <w:r>
        <w:rPr>
          <w:rFonts w:ascii="楷体_GB2312" w:hAnsi="方正仿宋_GBK" w:eastAsia="楷体_GB2312" w:cs="方正仿宋_GBK"/>
          <w:b w:val="0"/>
          <w:bCs/>
          <w:szCs w:val="32"/>
        </w:rPr>
        <w:t>终身教育取得新进展。</w:t>
      </w:r>
      <w:r>
        <w:rPr>
          <w:rFonts w:hint="eastAsia" w:ascii="仿宋_GB2312" w:hAnsi="方正仿宋_GBK" w:eastAsia="仿宋_GB2312" w:cs="方正仿宋_GBK"/>
          <w:b w:val="0"/>
          <w:szCs w:val="32"/>
        </w:rPr>
        <w:t>推进学习型社会城市建设，</w:t>
      </w:r>
      <w:r>
        <w:rPr>
          <w:rFonts w:ascii="仿宋_GB2312" w:hAnsi="方正仿宋_GBK" w:eastAsia="仿宋_GB2312" w:cs="方正仿宋_GBK"/>
          <w:b w:val="0"/>
          <w:szCs w:val="32"/>
        </w:rPr>
        <w:t>不断</w:t>
      </w:r>
      <w:r>
        <w:rPr>
          <w:rFonts w:hint="eastAsia" w:ascii="仿宋_GB2312" w:hAnsi="方正仿宋_GBK" w:eastAsia="仿宋_GB2312" w:cs="方正仿宋_GBK"/>
          <w:b w:val="0"/>
          <w:szCs w:val="32"/>
        </w:rPr>
        <w:t>完善社区教育四级网络体系，实现社区教育四县三区全覆盖</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组织职业学校开设老年教育专业，形成“党政主导、多方参与、社会支持”的办学新格局。完成广元开放大学更名，</w:t>
      </w:r>
      <w:r>
        <w:rPr>
          <w:rFonts w:ascii="仿宋_GB2312" w:hAnsi="方正仿宋_GBK" w:eastAsia="仿宋_GB2312" w:cs="方正仿宋_GBK"/>
          <w:b w:val="0"/>
          <w:szCs w:val="32"/>
        </w:rPr>
        <w:t>同步推进县区建立广元开放大学分校。</w:t>
      </w:r>
      <w:r>
        <w:rPr>
          <w:rFonts w:hint="eastAsia" w:ascii="仿宋_GB2312" w:hAnsi="方正仿宋_GBK" w:eastAsia="仿宋_GB2312" w:cs="方正仿宋_GBK"/>
          <w:b w:val="0"/>
          <w:szCs w:val="32"/>
        </w:rPr>
        <w:t>表彰市级</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百姓学习之星</w:t>
      </w:r>
      <w:r>
        <w:rPr>
          <w:rFonts w:ascii="仿宋_GB2312" w:hAnsi="方正仿宋_GBK" w:eastAsia="仿宋_GB2312" w:cs="方正仿宋_GBK"/>
          <w:b w:val="0"/>
          <w:szCs w:val="32"/>
        </w:rPr>
        <w:t>”等先进个人20</w:t>
      </w:r>
      <w:r>
        <w:rPr>
          <w:rFonts w:hint="eastAsia" w:ascii="仿宋_GB2312" w:hAnsi="方正仿宋_GBK" w:eastAsia="仿宋_GB2312" w:cs="方正仿宋_GBK"/>
          <w:b w:val="0"/>
          <w:szCs w:val="32"/>
        </w:rPr>
        <w:t>名</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优秀成人继续教育院校1个</w:t>
      </w:r>
      <w:r>
        <w:rPr>
          <w:rFonts w:ascii="仿宋_GB2312" w:hAnsi="方正仿宋_GBK" w:eastAsia="仿宋_GB2312" w:cs="方正仿宋_GBK"/>
          <w:b w:val="0"/>
          <w:szCs w:val="32"/>
        </w:rPr>
        <w:t>，新命名</w:t>
      </w:r>
      <w:r>
        <w:rPr>
          <w:rFonts w:hint="eastAsia" w:ascii="仿宋_GB2312" w:hAnsi="方正仿宋_GBK" w:eastAsia="仿宋_GB2312" w:cs="方正仿宋_GBK"/>
          <w:b w:val="0"/>
          <w:szCs w:val="32"/>
        </w:rPr>
        <w:t>终身学习品牌项目3个。</w:t>
      </w:r>
      <w:bookmarkEnd w:id="46"/>
      <w:bookmarkEnd w:id="47"/>
    </w:p>
    <w:p>
      <w:pPr>
        <w:pStyle w:val="4"/>
        <w:keepNext w:val="0"/>
        <w:keepLines w:val="0"/>
        <w:numPr>
          <w:ilvl w:val="0"/>
          <w:numId w:val="4"/>
        </w:numPr>
        <w:adjustRightInd w:val="0"/>
        <w:snapToGrid w:val="0"/>
        <w:spacing w:before="0" w:after="0" w:line="576" w:lineRule="exact"/>
        <w:ind w:left="0" w:leftChars="0" w:firstLine="640" w:firstLineChars="200"/>
        <w:rPr>
          <w:rFonts w:hint="eastAsia" w:ascii="仿宋_GB2312" w:hAnsi="方正仿宋_GBK" w:eastAsia="仿宋_GB2312" w:cs="方正仿宋_GBK"/>
          <w:b w:val="0"/>
          <w:bCs/>
          <w:szCs w:val="32"/>
        </w:rPr>
      </w:pPr>
      <w:bookmarkStart w:id="48" w:name="_Toc571"/>
      <w:bookmarkStart w:id="49" w:name="_Toc12380"/>
      <w:r>
        <w:rPr>
          <w:rFonts w:ascii="楷体_GB2312" w:hAnsi="方正仿宋_GBK" w:eastAsia="楷体_GB2312" w:cs="方正仿宋_GBK"/>
          <w:b w:val="0"/>
          <w:bCs/>
          <w:szCs w:val="32"/>
        </w:rPr>
        <w:t>五育并举取得新成果</w:t>
      </w:r>
      <w:r>
        <w:rPr>
          <w:rFonts w:hint="eastAsia" w:ascii="楷体_GB2312" w:hAnsi="方正仿宋_GBK" w:eastAsia="楷体_GB2312" w:cs="方正仿宋_GBK"/>
          <w:b w:val="0"/>
          <w:bCs/>
          <w:szCs w:val="32"/>
        </w:rPr>
        <w:t>。</w:t>
      </w:r>
      <w:r>
        <w:rPr>
          <w:rFonts w:ascii="仿宋_GB2312" w:hAnsi="仿宋_GB2312" w:eastAsia="仿宋_GB2312" w:cs="仿宋_GB2312"/>
          <w:b w:val="0"/>
          <w:bCs/>
          <w:szCs w:val="32"/>
        </w:rPr>
        <w:t>大力推动社会主义核心价值观进教材进课堂进头脑，评选10名广元市“新时代好少年”。</w:t>
      </w:r>
      <w:r>
        <w:rPr>
          <w:rFonts w:hint="eastAsia" w:ascii="仿宋_GB2312" w:hAnsi="方正仿宋_GBK" w:eastAsia="仿宋_GB2312" w:cs="方正仿宋_GBK"/>
          <w:b w:val="0"/>
          <w:bCs/>
          <w:szCs w:val="32"/>
        </w:rPr>
        <w:t>74名师生</w:t>
      </w:r>
      <w:r>
        <w:rPr>
          <w:rFonts w:ascii="仿宋_GB2312" w:hAnsi="方正仿宋_GBK" w:eastAsia="仿宋_GB2312" w:cs="方正仿宋_GBK"/>
          <w:b w:val="0"/>
          <w:bCs/>
          <w:szCs w:val="32"/>
        </w:rPr>
        <w:t>在全国</w:t>
      </w:r>
      <w:r>
        <w:rPr>
          <w:rFonts w:hint="eastAsia" w:ascii="仿宋_GB2312" w:hAnsi="方正仿宋_GBK" w:eastAsia="仿宋_GB2312" w:cs="方正仿宋_GBK"/>
          <w:b w:val="0"/>
          <w:bCs/>
          <w:szCs w:val="32"/>
        </w:rPr>
        <w:t>青少年爱国主义读书教育活动</w:t>
      </w:r>
      <w:r>
        <w:rPr>
          <w:rFonts w:ascii="仿宋_GB2312" w:hAnsi="方正仿宋_GBK" w:eastAsia="仿宋_GB2312" w:cs="方正仿宋_GBK"/>
          <w:b w:val="0"/>
          <w:bCs/>
          <w:szCs w:val="32"/>
        </w:rPr>
        <w:t>中获奖</w:t>
      </w:r>
      <w:r>
        <w:rPr>
          <w:rFonts w:hint="eastAsia" w:ascii="仿宋_GB2312" w:hAnsi="方正仿宋_GBK" w:eastAsia="仿宋_GB2312" w:cs="方正仿宋_GBK"/>
          <w:b w:val="0"/>
          <w:bCs/>
          <w:szCs w:val="32"/>
        </w:rPr>
        <w:t>，市教育局</w:t>
      </w:r>
      <w:r>
        <w:rPr>
          <w:rFonts w:ascii="仿宋_GB2312" w:hAnsi="方正仿宋_GBK" w:eastAsia="仿宋_GB2312" w:cs="方正仿宋_GBK"/>
          <w:b w:val="0"/>
          <w:bCs/>
          <w:szCs w:val="32"/>
        </w:rPr>
        <w:t>获</w:t>
      </w:r>
      <w:r>
        <w:rPr>
          <w:rFonts w:hint="eastAsia" w:ascii="仿宋_GB2312" w:hAnsi="方正仿宋_GBK" w:eastAsia="仿宋_GB2312" w:cs="方正仿宋_GBK"/>
          <w:b w:val="0"/>
          <w:bCs/>
          <w:szCs w:val="32"/>
        </w:rPr>
        <w:t>全国组织特等奖。</w:t>
      </w:r>
      <w:r>
        <w:rPr>
          <w:rFonts w:ascii="仿宋_GB2312" w:hAnsi="仿宋_GB2312" w:eastAsia="仿宋_GB2312" w:cs="仿宋_GB2312"/>
          <w:b w:val="0"/>
          <w:bCs/>
          <w:szCs w:val="32"/>
        </w:rPr>
        <w:t>旺苍县刘瑞龙红军小学“红色+”德育工作经验被评为全国中小学德育工作典型经验。</w:t>
      </w:r>
      <w:r>
        <w:rPr>
          <w:rFonts w:hint="eastAsia" w:ascii="仿宋_GB2312" w:hAnsi="方正仿宋_GBK" w:eastAsia="仿宋_GB2312" w:cs="方正仿宋_GBK"/>
          <w:b w:val="0"/>
          <w:bCs/>
          <w:szCs w:val="32"/>
        </w:rPr>
        <w:t>2021年全市</w:t>
      </w:r>
      <w:r>
        <w:rPr>
          <w:rFonts w:ascii="仿宋_GB2312" w:hAnsi="方正仿宋_GBK" w:eastAsia="仿宋_GB2312" w:cs="方正仿宋_GBK"/>
          <w:b w:val="0"/>
          <w:bCs/>
          <w:szCs w:val="32"/>
        </w:rPr>
        <w:t>体考</w:t>
      </w:r>
      <w:r>
        <w:rPr>
          <w:rFonts w:hint="eastAsia" w:ascii="仿宋_GB2312" w:hAnsi="方正仿宋_GBK" w:eastAsia="仿宋_GB2312" w:cs="方正仿宋_GBK"/>
          <w:b w:val="0"/>
          <w:bCs/>
          <w:szCs w:val="32"/>
        </w:rPr>
        <w:t>优良率同比增加4.97</w:t>
      </w:r>
      <w:r>
        <w:rPr>
          <w:rFonts w:ascii="仿宋_GB2312" w:hAnsi="方正仿宋_GBK" w:eastAsia="仿宋_GB2312" w:cs="方正仿宋_GBK"/>
          <w:b w:val="0"/>
          <w:bCs/>
          <w:szCs w:val="32"/>
        </w:rPr>
        <w:t>%</w:t>
      </w:r>
      <w:r>
        <w:rPr>
          <w:rFonts w:hint="eastAsia" w:ascii="仿宋_GB2312" w:hAnsi="方正仿宋_GBK" w:eastAsia="仿宋_GB2312" w:cs="方正仿宋_GBK"/>
          <w:b w:val="0"/>
          <w:bCs/>
          <w:szCs w:val="32"/>
          <w:shd w:val="clear" w:color="auto" w:fill="FFFFFF"/>
        </w:rPr>
        <w:t>。</w:t>
      </w:r>
      <w:r>
        <w:rPr>
          <w:rFonts w:hint="eastAsia" w:ascii="仿宋_GB2312" w:hAnsi="仿宋_GB2312" w:eastAsia="仿宋_GB2312" w:cs="仿宋_GB2312"/>
          <w:b w:val="0"/>
          <w:bCs/>
          <w:szCs w:val="32"/>
        </w:rPr>
        <w:t>240名运动员参加全省青少年校园足球最佳阵容遴选。</w:t>
      </w:r>
      <w:r>
        <w:rPr>
          <w:rFonts w:hint="eastAsia" w:ascii="仿宋_GB2312" w:hAnsi="仿宋_GB2312" w:eastAsia="仿宋_GB2312" w:cs="仿宋_GB2312"/>
          <w:b w:val="0"/>
          <w:bCs/>
          <w:szCs w:val="32"/>
          <w:shd w:val="clear" w:color="auto" w:fill="FFFFFF"/>
        </w:rPr>
        <w:t>广元天立学校高中男队获四川省第一届“贡嘎杯”青少年校园足球联赛亚军</w:t>
      </w:r>
      <w:r>
        <w:rPr>
          <w:rFonts w:ascii="仿宋_GB2312" w:hAnsi="仿宋_GB2312" w:eastAsia="仿宋_GB2312" w:cs="仿宋_GB2312"/>
          <w:b w:val="0"/>
          <w:bCs/>
          <w:szCs w:val="32"/>
          <w:shd w:val="clear" w:color="auto" w:fill="FFFFFF"/>
        </w:rPr>
        <w:t>。</w:t>
      </w:r>
      <w:r>
        <w:rPr>
          <w:rFonts w:ascii="仿宋_GB2312" w:hAnsi="仿宋_GB2312" w:eastAsia="仿宋_GB2312" w:cs="仿宋_GB2312"/>
          <w:b w:val="0"/>
          <w:bCs/>
          <w:szCs w:val="32"/>
        </w:rPr>
        <w:t>全</w:t>
      </w:r>
      <w:r>
        <w:rPr>
          <w:rFonts w:hint="eastAsia" w:ascii="仿宋_GB2312" w:hAnsi="仿宋_GB2312" w:eastAsia="仿宋_GB2312" w:cs="仿宋_GB2312"/>
          <w:b w:val="0"/>
          <w:bCs/>
          <w:szCs w:val="32"/>
        </w:rPr>
        <w:t>市第十届中小学生艺术展演活动</w:t>
      </w:r>
      <w:r>
        <w:rPr>
          <w:rFonts w:ascii="仿宋_GB2312" w:hAnsi="仿宋_GB2312" w:eastAsia="仿宋_GB2312" w:cs="仿宋_GB2312"/>
          <w:b w:val="0"/>
          <w:bCs/>
          <w:szCs w:val="32"/>
        </w:rPr>
        <w:t>集中</w:t>
      </w:r>
      <w:r>
        <w:rPr>
          <w:rFonts w:hint="eastAsia" w:ascii="仿宋_GB2312" w:hAnsi="仿宋_GB2312" w:eastAsia="仿宋_GB2312" w:cs="仿宋_GB2312"/>
          <w:b w:val="0"/>
          <w:bCs/>
          <w:szCs w:val="32"/>
        </w:rPr>
        <w:t>展示艺术工作坊20个、艺术作品200件、艺术节目61个</w:t>
      </w:r>
      <w:r>
        <w:rPr>
          <w:rFonts w:ascii="仿宋_GB2312" w:hAnsi="仿宋_GB2312" w:eastAsia="仿宋_GB2312" w:cs="仿宋_GB2312"/>
          <w:b w:val="0"/>
          <w:bCs/>
          <w:szCs w:val="32"/>
        </w:rPr>
        <w:t>，受到社会广泛好评</w:t>
      </w:r>
      <w:r>
        <w:rPr>
          <w:rFonts w:hint="eastAsia" w:ascii="仿宋_GB2312" w:hAnsi="仿宋_GB2312" w:eastAsia="仿宋_GB2312" w:cs="仿宋_GB2312"/>
          <w:b w:val="0"/>
          <w:bCs/>
          <w:szCs w:val="32"/>
        </w:rPr>
        <w:t>。</w:t>
      </w:r>
      <w:r>
        <w:rPr>
          <w:rFonts w:hint="eastAsia" w:ascii="仿宋_GB2312" w:hAnsi="仿宋_GB2312" w:eastAsia="仿宋_GB2312" w:cs="仿宋_GB2312"/>
          <w:b w:val="0"/>
          <w:bCs/>
          <w:szCs w:val="32"/>
          <w:shd w:val="clear" w:color="auto" w:fill="FFFFFF"/>
        </w:rPr>
        <w:t>成功创评全国校园足球特色学校（幼儿园）1</w:t>
      </w:r>
      <w:r>
        <w:rPr>
          <w:rFonts w:ascii="仿宋_GB2312" w:hAnsi="仿宋_GB2312" w:eastAsia="仿宋_GB2312" w:cs="仿宋_GB2312"/>
          <w:b w:val="0"/>
          <w:bCs/>
          <w:szCs w:val="32"/>
          <w:shd w:val="clear" w:color="auto" w:fill="FFFFFF"/>
        </w:rPr>
        <w:t>1</w:t>
      </w:r>
      <w:r>
        <w:rPr>
          <w:rFonts w:hint="eastAsia" w:ascii="仿宋_GB2312" w:hAnsi="仿宋_GB2312" w:eastAsia="仿宋_GB2312" w:cs="仿宋_GB2312"/>
          <w:b w:val="0"/>
          <w:bCs/>
          <w:szCs w:val="32"/>
          <w:shd w:val="clear" w:color="auto" w:fill="FFFFFF"/>
        </w:rPr>
        <w:t>所</w:t>
      </w:r>
      <w:r>
        <w:rPr>
          <w:rFonts w:ascii="仿宋_GB2312" w:hAnsi="方正仿宋_GBK" w:eastAsia="仿宋_GB2312" w:cs="方正仿宋_GBK"/>
          <w:b w:val="0"/>
          <w:bCs/>
          <w:szCs w:val="32"/>
        </w:rPr>
        <w:t>、</w:t>
      </w:r>
      <w:r>
        <w:rPr>
          <w:rFonts w:hint="eastAsia" w:ascii="仿宋_GB2312" w:hAnsi="方正仿宋_GBK" w:eastAsia="仿宋_GB2312" w:cs="方正仿宋_GBK"/>
          <w:b w:val="0"/>
          <w:bCs/>
          <w:szCs w:val="32"/>
        </w:rPr>
        <w:t>全国中小学中华优秀传统文化传承学校2所。</w:t>
      </w:r>
      <w:bookmarkEnd w:id="48"/>
      <w:bookmarkEnd w:id="49"/>
    </w:p>
    <w:p>
      <w:pPr>
        <w:numPr>
          <w:ilvl w:val="0"/>
          <w:numId w:val="2"/>
        </w:numPr>
        <w:adjustRightInd w:val="0"/>
        <w:snapToGrid w:val="0"/>
        <w:spacing w:line="576" w:lineRule="exact"/>
        <w:ind w:left="0" w:leftChars="0" w:firstLine="420" w:firstLineChars="0"/>
        <w:outlineLvl w:val="0"/>
        <w:rPr>
          <w:rFonts w:hint="eastAsia" w:ascii="黑体" w:hAnsi="方正黑体_GBK" w:eastAsia="黑体" w:cs="方正黑体_GBK"/>
          <w:sz w:val="32"/>
          <w:szCs w:val="32"/>
        </w:rPr>
      </w:pPr>
      <w:bookmarkStart w:id="50" w:name="_Toc7322"/>
      <w:bookmarkStart w:id="51" w:name="_Toc26347"/>
      <w:r>
        <w:rPr>
          <w:rFonts w:hint="eastAsia" w:ascii="黑体" w:hAnsi="方正黑体_GBK" w:eastAsia="黑体" w:cs="方正黑体_GBK"/>
          <w:sz w:val="32"/>
          <w:szCs w:val="32"/>
        </w:rPr>
        <w:t>大力提升教育民生水平，教育高地建设呈现新优势</w:t>
      </w:r>
      <w:bookmarkEnd w:id="50"/>
      <w:bookmarkEnd w:id="51"/>
    </w:p>
    <w:p>
      <w:pPr>
        <w:pStyle w:val="4"/>
        <w:keepNext w:val="0"/>
        <w:keepLines w:val="0"/>
        <w:numPr>
          <w:ilvl w:val="0"/>
          <w:numId w:val="5"/>
        </w:numPr>
        <w:adjustRightInd w:val="0"/>
        <w:snapToGrid w:val="0"/>
        <w:spacing w:before="0" w:after="0" w:line="576" w:lineRule="exact"/>
        <w:ind w:left="0" w:leftChars="0" w:firstLine="640" w:firstLineChars="200"/>
        <w:rPr>
          <w:rFonts w:hint="eastAsia" w:ascii="仿宋_GB2312" w:hAnsi="方正仿宋_GBK" w:eastAsia="仿宋_GB2312" w:cs="方正仿宋_GBK"/>
          <w:b w:val="0"/>
          <w:szCs w:val="32"/>
        </w:rPr>
      </w:pPr>
      <w:bookmarkStart w:id="52" w:name="_Toc5843"/>
      <w:bookmarkStart w:id="53" w:name="_Toc9846"/>
      <w:r>
        <w:rPr>
          <w:rFonts w:ascii="楷体_GB2312" w:hAnsi="方正仿宋_GBK" w:eastAsia="楷体_GB2312" w:cs="方正仿宋_GBK"/>
          <w:b w:val="0"/>
          <w:bCs/>
          <w:szCs w:val="32"/>
        </w:rPr>
        <w:t>科学规划</w:t>
      </w:r>
      <w:r>
        <w:rPr>
          <w:rFonts w:hint="eastAsia" w:ascii="楷体_GB2312" w:hAnsi="方正仿宋_GBK" w:eastAsia="楷体_GB2312" w:cs="方正仿宋_GBK"/>
          <w:b w:val="0"/>
          <w:bCs/>
          <w:szCs w:val="32"/>
        </w:rPr>
        <w:t>教育</w:t>
      </w:r>
      <w:r>
        <w:rPr>
          <w:rFonts w:ascii="楷体_GB2312" w:hAnsi="方正仿宋_GBK" w:eastAsia="楷体_GB2312" w:cs="方正仿宋_GBK"/>
          <w:b w:val="0"/>
          <w:bCs/>
          <w:szCs w:val="32"/>
        </w:rPr>
        <w:t>发展</w:t>
      </w:r>
      <w:r>
        <w:rPr>
          <w:rFonts w:hint="eastAsia" w:ascii="楷体_GB2312" w:hAnsi="方正仿宋_GBK" w:eastAsia="楷体_GB2312" w:cs="方正仿宋_GBK"/>
          <w:b w:val="0"/>
          <w:bCs/>
          <w:szCs w:val="32"/>
        </w:rPr>
        <w:t>。</w:t>
      </w:r>
      <w:r>
        <w:rPr>
          <w:rFonts w:ascii="仿宋_GB2312" w:hAnsi="方正仿宋_GBK" w:eastAsia="仿宋_GB2312" w:cs="方正仿宋_GBK"/>
          <w:b w:val="0"/>
          <w:szCs w:val="32"/>
        </w:rPr>
        <w:t>市第八次党代会把“教育提质”纳入全市社会经济发展“四大工程”。</w:t>
      </w:r>
      <w:r>
        <w:rPr>
          <w:rFonts w:hint="eastAsia" w:ascii="仿宋_GB2312" w:hAnsi="方正仿宋_GBK" w:eastAsia="仿宋_GB2312" w:cs="方正仿宋_GBK"/>
          <w:b w:val="0"/>
          <w:szCs w:val="32"/>
        </w:rPr>
        <w:t>编制《广元教育现代化2035行动纲要》《广元市“十四五”教育事业发展规划》《广元市基础教育学校建设规划》</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研制《广元市实施教育提质工程工作方案》《广元市职业教育高质量发展行动计划（2020-2025）》</w:t>
      </w:r>
      <w:r>
        <w:rPr>
          <w:rFonts w:ascii="仿宋_GB2312" w:hAnsi="方正仿宋_GBK" w:eastAsia="仿宋_GB2312" w:cs="方正仿宋_GBK"/>
          <w:b w:val="0"/>
          <w:szCs w:val="32"/>
        </w:rPr>
        <w:t>等</w:t>
      </w:r>
      <w:r>
        <w:rPr>
          <w:rFonts w:hint="eastAsia" w:ascii="仿宋_GB2312" w:hAnsi="方正仿宋_GBK" w:eastAsia="仿宋_GB2312" w:cs="方正仿宋_GBK"/>
          <w:b w:val="0"/>
          <w:szCs w:val="32"/>
        </w:rPr>
        <w:t>，</w:t>
      </w:r>
      <w:r>
        <w:rPr>
          <w:rFonts w:ascii="仿宋_GB2312" w:hAnsi="方正仿宋_GBK" w:eastAsia="仿宋_GB2312" w:cs="方正仿宋_GBK"/>
          <w:b w:val="0"/>
          <w:szCs w:val="32"/>
        </w:rPr>
        <w:t>科学规划全市教育事业改革发展</w:t>
      </w:r>
      <w:r>
        <w:rPr>
          <w:rFonts w:hint="eastAsia" w:ascii="仿宋_GB2312" w:hAnsi="方正仿宋_GBK" w:eastAsia="仿宋_GB2312" w:cs="方正仿宋_GBK"/>
          <w:b w:val="0"/>
          <w:szCs w:val="32"/>
        </w:rPr>
        <w:t>。</w:t>
      </w:r>
      <w:bookmarkEnd w:id="52"/>
      <w:bookmarkEnd w:id="53"/>
    </w:p>
    <w:p>
      <w:pPr>
        <w:pStyle w:val="4"/>
        <w:keepNext w:val="0"/>
        <w:keepLines w:val="0"/>
        <w:numPr>
          <w:ilvl w:val="0"/>
          <w:numId w:val="5"/>
        </w:numPr>
        <w:adjustRightInd w:val="0"/>
        <w:snapToGrid w:val="0"/>
        <w:spacing w:before="0" w:after="0" w:line="576" w:lineRule="exact"/>
        <w:ind w:left="0" w:leftChars="0" w:firstLine="640" w:firstLineChars="200"/>
        <w:rPr>
          <w:rFonts w:ascii="仿宋_GB2312" w:hAnsi="方正仿宋_GBK" w:eastAsia="仿宋_GB2312" w:cs="方正仿宋_GBK"/>
          <w:b w:val="0"/>
          <w:szCs w:val="32"/>
        </w:rPr>
      </w:pPr>
      <w:bookmarkStart w:id="54" w:name="_Toc22430"/>
      <w:bookmarkStart w:id="55" w:name="_Toc22617"/>
      <w:r>
        <w:rPr>
          <w:rFonts w:hint="eastAsia" w:ascii="楷体_GB2312" w:hAnsi="方正仿宋_GBK" w:eastAsia="楷体_GB2312" w:cs="方正仿宋_GBK"/>
          <w:b w:val="0"/>
          <w:bCs/>
          <w:szCs w:val="32"/>
        </w:rPr>
        <w:t>办学条件</w:t>
      </w:r>
      <w:r>
        <w:rPr>
          <w:rFonts w:ascii="楷体_GB2312" w:hAnsi="方正仿宋_GBK" w:eastAsia="楷体_GB2312" w:cs="方正仿宋_GBK"/>
          <w:b w:val="0"/>
          <w:bCs/>
          <w:szCs w:val="32"/>
        </w:rPr>
        <w:t>有效</w:t>
      </w:r>
      <w:r>
        <w:rPr>
          <w:rFonts w:hint="eastAsia" w:ascii="楷体_GB2312" w:hAnsi="方正仿宋_GBK" w:eastAsia="楷体_GB2312" w:cs="方正仿宋_GBK"/>
          <w:b w:val="0"/>
          <w:bCs/>
          <w:szCs w:val="32"/>
        </w:rPr>
        <w:t>改善。</w:t>
      </w:r>
      <w:r>
        <w:rPr>
          <w:rFonts w:ascii="仿宋_GB2312" w:hAnsi="方正仿宋_GBK" w:eastAsia="仿宋_GB2312" w:cs="方正仿宋_GBK"/>
          <w:b w:val="0"/>
          <w:szCs w:val="32"/>
        </w:rPr>
        <w:t>实施</w:t>
      </w:r>
      <w:r>
        <w:rPr>
          <w:rFonts w:hint="eastAsia" w:ascii="仿宋_GB2312" w:hAnsi="方正仿宋_GBK" w:eastAsia="仿宋_GB2312" w:cs="方正仿宋_GBK"/>
          <w:b w:val="0"/>
          <w:szCs w:val="32"/>
        </w:rPr>
        <w:t>新改扩建</w:t>
      </w:r>
      <w:r>
        <w:rPr>
          <w:rFonts w:ascii="仿宋_GB2312" w:hAnsi="方正仿宋_GBK" w:eastAsia="仿宋_GB2312" w:cs="方正仿宋_GBK"/>
          <w:b w:val="0"/>
          <w:szCs w:val="32"/>
        </w:rPr>
        <w:t>项目91个，市城区</w:t>
      </w:r>
      <w:r>
        <w:rPr>
          <w:rFonts w:hint="eastAsia" w:ascii="仿宋_GB2312" w:hAnsi="方正仿宋_GBK" w:eastAsia="仿宋_GB2312" w:cs="方正仿宋_GBK"/>
          <w:b w:val="0"/>
          <w:szCs w:val="32"/>
        </w:rPr>
        <w:t>兴安中学</w:t>
      </w:r>
      <w:r>
        <w:rPr>
          <w:rFonts w:ascii="仿宋_GB2312" w:hAnsi="方正仿宋_GBK" w:eastAsia="仿宋_GB2312" w:cs="方正仿宋_GBK"/>
          <w:b w:val="0"/>
          <w:szCs w:val="32"/>
        </w:rPr>
        <w:t>、红军小学、南河一幼投入使用。全市</w:t>
      </w:r>
      <w:r>
        <w:rPr>
          <w:rFonts w:hint="eastAsia" w:ascii="仿宋_GB2312" w:hAnsi="方正仿宋_GBK" w:eastAsia="仿宋_GB2312" w:cs="方正仿宋_GBK"/>
          <w:b w:val="0"/>
          <w:szCs w:val="32"/>
        </w:rPr>
        <w:t>新增</w:t>
      </w:r>
      <w:r>
        <w:rPr>
          <w:rFonts w:ascii="仿宋_GB2312" w:hAnsi="方正仿宋_GBK" w:eastAsia="仿宋_GB2312" w:cs="方正仿宋_GBK"/>
          <w:b w:val="0"/>
          <w:szCs w:val="32"/>
        </w:rPr>
        <w:t>基础教育</w:t>
      </w:r>
      <w:r>
        <w:rPr>
          <w:rFonts w:hint="eastAsia" w:ascii="仿宋_GB2312" w:hAnsi="方正仿宋_GBK" w:eastAsia="仿宋_GB2312" w:cs="方正仿宋_GBK"/>
          <w:b w:val="0"/>
          <w:szCs w:val="32"/>
        </w:rPr>
        <w:t>学位</w:t>
      </w:r>
      <w:r>
        <w:rPr>
          <w:rFonts w:ascii="仿宋_GB2312" w:hAnsi="方正仿宋_GBK" w:eastAsia="仿宋_GB2312" w:cs="方正仿宋_GBK"/>
          <w:b w:val="0"/>
          <w:szCs w:val="32"/>
        </w:rPr>
        <w:t>7300</w:t>
      </w:r>
      <w:r>
        <w:rPr>
          <w:rFonts w:hint="eastAsia" w:ascii="仿宋_GB2312" w:hAnsi="方正仿宋_GBK" w:eastAsia="仿宋_GB2312" w:cs="方正仿宋_GBK"/>
          <w:b w:val="0"/>
          <w:szCs w:val="32"/>
        </w:rPr>
        <w:t>个。</w:t>
      </w:r>
      <w:r>
        <w:rPr>
          <w:rFonts w:ascii="仿宋_GB2312" w:hAnsi="方正仿宋_GBK" w:eastAsia="仿宋_GB2312" w:cs="方正仿宋_GBK"/>
          <w:b w:val="0"/>
          <w:szCs w:val="32"/>
        </w:rPr>
        <w:t>投入1.73亿元，新改扩建中小学校食堂、宿舍、厕所12.3万平方米。全市706个学校食堂全部完成“明厨亮灶”工程建设，10%完成</w:t>
      </w:r>
      <w:r>
        <w:rPr>
          <w:rFonts w:hint="eastAsia" w:ascii="仿宋_GB2312" w:hAnsi="仿宋" w:eastAsia="仿宋_GB2312" w:cs="仿宋"/>
          <w:b w:val="0"/>
          <w:bCs/>
          <w:szCs w:val="32"/>
        </w:rPr>
        <w:t>智能化管理系统建设</w:t>
      </w:r>
      <w:r>
        <w:rPr>
          <w:rFonts w:ascii="仿宋_GB2312" w:hAnsi="方正仿宋_GBK" w:eastAsia="仿宋_GB2312" w:cs="方正仿宋_GBK"/>
          <w:b w:val="0"/>
          <w:szCs w:val="32"/>
        </w:rPr>
        <w:t>。</w:t>
      </w:r>
      <w:r>
        <w:rPr>
          <w:rFonts w:ascii="仿宋_GB2312" w:hAnsi="仿宋" w:eastAsia="仿宋_GB2312" w:cs="仿宋"/>
          <w:b w:val="0"/>
          <w:bCs/>
          <w:szCs w:val="32"/>
        </w:rPr>
        <w:t>677所学校完成校园封闭式管理等校园安防建设6个100%任务</w:t>
      </w:r>
      <w:r>
        <w:rPr>
          <w:rFonts w:hint="eastAsia" w:ascii="仿宋_GB2312" w:hAnsi="仿宋" w:eastAsia="仿宋_GB2312" w:cs="仿宋"/>
          <w:b w:val="0"/>
          <w:bCs/>
          <w:szCs w:val="32"/>
        </w:rPr>
        <w:t>。</w:t>
      </w:r>
      <w:r>
        <w:rPr>
          <w:rFonts w:hint="eastAsia" w:ascii="仿宋_GB2312" w:hAnsi="方正仿宋_GBK" w:eastAsia="仿宋_GB2312" w:cs="方正仿宋_GBK"/>
          <w:b w:val="0"/>
          <w:szCs w:val="32"/>
        </w:rPr>
        <w:t>437所学校在线注册网络学习空间，</w:t>
      </w:r>
      <w:r>
        <w:rPr>
          <w:rFonts w:ascii="仿宋_GB2312" w:hAnsi="方正仿宋_GBK" w:eastAsia="仿宋_GB2312" w:cs="方正仿宋_GBK"/>
          <w:b w:val="0"/>
          <w:szCs w:val="32"/>
        </w:rPr>
        <w:t>3所学校</w:t>
      </w:r>
      <w:r>
        <w:rPr>
          <w:rFonts w:hint="eastAsia" w:ascii="仿宋_GB2312" w:hAnsi="方正仿宋_GBK" w:eastAsia="仿宋_GB2312" w:cs="方正仿宋_GBK"/>
          <w:b w:val="0"/>
          <w:szCs w:val="32"/>
        </w:rPr>
        <w:t>获</w:t>
      </w:r>
      <w:r>
        <w:rPr>
          <w:rFonts w:ascii="仿宋_GB2312" w:hAnsi="方正仿宋_GBK" w:eastAsia="仿宋_GB2312" w:cs="方正仿宋_GBK"/>
          <w:b w:val="0"/>
          <w:szCs w:val="32"/>
        </w:rPr>
        <w:t>评全国、全省</w:t>
      </w:r>
      <w:r>
        <w:rPr>
          <w:rFonts w:hint="eastAsia" w:ascii="仿宋_GB2312" w:hAnsi="方正仿宋_GBK" w:eastAsia="仿宋_GB2312" w:cs="方正仿宋_GBK"/>
          <w:b w:val="0"/>
          <w:szCs w:val="32"/>
        </w:rPr>
        <w:t>网络学习空间优秀学校。广元市获</w:t>
      </w:r>
      <w:r>
        <w:rPr>
          <w:rFonts w:ascii="仿宋_GB2312" w:hAnsi="方正仿宋_GBK" w:eastAsia="仿宋_GB2312" w:cs="方正仿宋_GBK"/>
          <w:b w:val="0"/>
          <w:szCs w:val="32"/>
        </w:rPr>
        <w:t>评“全国</w:t>
      </w:r>
      <w:r>
        <w:rPr>
          <w:rFonts w:hint="eastAsia" w:ascii="仿宋_GB2312" w:hAnsi="方正仿宋_GBK" w:eastAsia="仿宋_GB2312" w:cs="方正仿宋_GBK"/>
          <w:b w:val="0"/>
          <w:szCs w:val="32"/>
        </w:rPr>
        <w:t>网络学习空间优秀区域</w:t>
      </w:r>
      <w:r>
        <w:rPr>
          <w:rFonts w:ascii="仿宋_GB2312" w:hAnsi="方正仿宋_GBK" w:eastAsia="仿宋_GB2312" w:cs="方正仿宋_GBK"/>
          <w:b w:val="0"/>
          <w:szCs w:val="32"/>
        </w:rPr>
        <w:t>”。</w:t>
      </w:r>
      <w:bookmarkEnd w:id="54"/>
      <w:bookmarkEnd w:id="55"/>
    </w:p>
    <w:p>
      <w:pPr>
        <w:pStyle w:val="4"/>
        <w:keepNext w:val="0"/>
        <w:keepLines w:val="0"/>
        <w:numPr>
          <w:ilvl w:val="0"/>
          <w:numId w:val="5"/>
        </w:numPr>
        <w:adjustRightInd w:val="0"/>
        <w:snapToGrid w:val="0"/>
        <w:spacing w:before="0" w:after="0" w:line="576" w:lineRule="exact"/>
        <w:ind w:left="0" w:leftChars="0" w:firstLine="640" w:firstLineChars="200"/>
        <w:rPr>
          <w:rFonts w:hint="eastAsia" w:ascii="仿宋_GB2312" w:hAnsi="方正仿宋_GBK" w:eastAsia="仿宋_GB2312" w:cs="方正仿宋_GBK"/>
          <w:b w:val="0"/>
          <w:szCs w:val="32"/>
        </w:rPr>
      </w:pPr>
      <w:bookmarkStart w:id="56" w:name="_Toc26747"/>
      <w:bookmarkStart w:id="57" w:name="_Toc7847"/>
      <w:r>
        <w:rPr>
          <w:rFonts w:hint="eastAsia" w:ascii="楷体_GB2312" w:hAnsi="方正仿宋_GBK" w:eastAsia="楷体_GB2312" w:cs="方正仿宋_GBK"/>
          <w:b w:val="0"/>
          <w:bCs/>
          <w:szCs w:val="32"/>
        </w:rPr>
        <w:t>惠民政策全面落实。</w:t>
      </w:r>
      <w:r>
        <w:rPr>
          <w:rFonts w:hint="eastAsia" w:ascii="仿宋_GB2312" w:hAnsi="方正仿宋_GBK" w:eastAsia="仿宋_GB2312" w:cs="方正仿宋_GBK"/>
          <w:b w:val="0"/>
          <w:szCs w:val="32"/>
        </w:rPr>
        <w:t>推行课后托管服务，全市386所中小学校开展课后服务，</w:t>
      </w:r>
      <w:r>
        <w:rPr>
          <w:rFonts w:ascii="仿宋_GB2312" w:hAnsi="方正仿宋_GBK" w:eastAsia="仿宋_GB2312" w:cs="方正仿宋_GBK"/>
          <w:b w:val="0"/>
          <w:szCs w:val="32"/>
        </w:rPr>
        <w:t>学生参与率达99%</w:t>
      </w:r>
      <w:r>
        <w:rPr>
          <w:rFonts w:hint="eastAsia" w:ascii="仿宋_GB2312" w:hAnsi="方正仿宋_GBK" w:eastAsia="仿宋_GB2312" w:cs="方正仿宋_GBK"/>
          <w:b w:val="0"/>
          <w:szCs w:val="32"/>
        </w:rPr>
        <w:t>。落实各类</w:t>
      </w:r>
      <w:r>
        <w:rPr>
          <w:rFonts w:ascii="仿宋_GB2312" w:hAnsi="方正仿宋_GBK" w:eastAsia="仿宋_GB2312" w:cs="方正仿宋_GBK"/>
          <w:b w:val="0"/>
          <w:szCs w:val="32"/>
        </w:rPr>
        <w:t>教育</w:t>
      </w:r>
      <w:r>
        <w:rPr>
          <w:rFonts w:hint="eastAsia" w:ascii="仿宋_GB2312" w:hAnsi="方正仿宋_GBK" w:eastAsia="仿宋_GB2312" w:cs="方正仿宋_GBK"/>
          <w:b w:val="0"/>
          <w:szCs w:val="32"/>
        </w:rPr>
        <w:t>资助金和农村义务教育阶段营养改善计划补助资金4.99亿元，惠及学生91.32万人次。</w:t>
      </w:r>
      <w:r>
        <w:rPr>
          <w:rFonts w:ascii="仿宋_GB2312" w:hAnsi="方正仿宋_GBK" w:eastAsia="仿宋_GB2312" w:cs="方正仿宋_GBK"/>
          <w:b w:val="0"/>
          <w:szCs w:val="32"/>
        </w:rPr>
        <w:t>募集爱心资金1140万元，</w:t>
      </w:r>
      <w:r>
        <w:rPr>
          <w:rFonts w:hint="eastAsia" w:ascii="仿宋_GB2312" w:hAnsi="方正仿宋_GBK" w:eastAsia="仿宋_GB2312" w:cs="方正仿宋_GBK"/>
          <w:b w:val="0"/>
          <w:szCs w:val="32"/>
        </w:rPr>
        <w:t>资助家庭贫困学生17246人次，奖励、慰问优秀教师和贫困病重教师339人</w:t>
      </w:r>
      <w:r>
        <w:rPr>
          <w:rFonts w:ascii="仿宋_GB2312" w:hAnsi="方正仿宋_GBK" w:eastAsia="仿宋_GB2312" w:cs="方正仿宋_GBK"/>
          <w:b w:val="0"/>
          <w:szCs w:val="32"/>
        </w:rPr>
        <w:t>次</w:t>
      </w:r>
      <w:r>
        <w:rPr>
          <w:rFonts w:hint="eastAsia" w:ascii="仿宋_GB2312" w:hAnsi="方正仿宋_GBK" w:eastAsia="仿宋_GB2312" w:cs="方正仿宋_GBK"/>
          <w:b w:val="0"/>
          <w:szCs w:val="32"/>
        </w:rPr>
        <w:t>。</w:t>
      </w:r>
      <w:bookmarkEnd w:id="56"/>
      <w:bookmarkEnd w:id="57"/>
    </w:p>
    <w:p>
      <w:pPr>
        <w:pStyle w:val="4"/>
        <w:keepNext w:val="0"/>
        <w:keepLines w:val="0"/>
        <w:numPr>
          <w:ilvl w:val="0"/>
          <w:numId w:val="5"/>
        </w:numPr>
        <w:adjustRightInd w:val="0"/>
        <w:snapToGrid w:val="0"/>
        <w:spacing w:before="0" w:after="0" w:line="576" w:lineRule="exact"/>
        <w:ind w:left="0" w:leftChars="0" w:firstLine="640" w:firstLineChars="200"/>
        <w:rPr>
          <w:rFonts w:ascii="仿宋_GB2312" w:hAnsi="仿宋" w:eastAsia="仿宋_GB2312" w:cs="仿宋"/>
          <w:b w:val="0"/>
          <w:bCs/>
          <w:szCs w:val="32"/>
        </w:rPr>
      </w:pPr>
      <w:bookmarkStart w:id="58" w:name="_Toc6351"/>
      <w:bookmarkStart w:id="59" w:name="_Toc11734"/>
      <w:r>
        <w:rPr>
          <w:rFonts w:ascii="楷体_GB2312" w:hAnsi="方正仿宋_GBK" w:eastAsia="楷体_GB2312" w:cs="方正仿宋_GBK"/>
          <w:b w:val="0"/>
          <w:bCs/>
          <w:szCs w:val="32"/>
        </w:rPr>
        <w:t>服务保障规范精细。</w:t>
      </w:r>
      <w:r>
        <w:rPr>
          <w:rFonts w:hint="eastAsia" w:ascii="仿宋_GB2312" w:hAnsi="仿宋" w:eastAsia="仿宋_GB2312" w:cs="仿宋"/>
          <w:b w:val="0"/>
          <w:bCs/>
          <w:szCs w:val="32"/>
        </w:rPr>
        <w:t>印发《关于加强学校食堂财务管理及成本核算的实施意见》《关于规范学校食堂外包服务采购的通知》，严格执行中小学校服备案审查、招标采购、公开公示等制度。</w:t>
      </w:r>
      <w:r>
        <w:rPr>
          <w:rFonts w:ascii="仿宋_GB2312" w:hAnsi="仿宋" w:eastAsia="仿宋_GB2312" w:cs="仿宋"/>
          <w:b w:val="0"/>
          <w:bCs/>
          <w:szCs w:val="32"/>
        </w:rPr>
        <w:t>将环境保护纳入大中小学教学内容，广泛开展“讲好环保一堂课”“环保微视频展播”等活动，实现学校生态文明和</w:t>
      </w:r>
      <w:r>
        <w:rPr>
          <w:rFonts w:hint="eastAsia" w:ascii="仿宋_GB2312" w:hAnsi="仿宋" w:eastAsia="仿宋_GB2312" w:cs="仿宋"/>
          <w:b w:val="0"/>
          <w:bCs/>
          <w:szCs w:val="32"/>
        </w:rPr>
        <w:t>生活</w:t>
      </w:r>
      <w:r>
        <w:rPr>
          <w:rFonts w:ascii="仿宋_GB2312" w:hAnsi="仿宋" w:eastAsia="仿宋_GB2312" w:cs="仿宋"/>
          <w:b w:val="0"/>
          <w:bCs/>
          <w:szCs w:val="32"/>
        </w:rPr>
        <w:t>垃圾分类教育全覆盖。185所学校创建成绿色学校，绿化覆盖率达40.68%。</w:t>
      </w:r>
      <w:r>
        <w:rPr>
          <w:rFonts w:hint="eastAsia" w:ascii="仿宋_GB2312" w:hAnsi="仿宋" w:eastAsia="仿宋_GB2312" w:cs="仿宋"/>
          <w:b w:val="0"/>
          <w:bCs/>
          <w:szCs w:val="32"/>
        </w:rPr>
        <w:t>全市学校</w:t>
      </w:r>
      <w:r>
        <w:rPr>
          <w:rFonts w:ascii="仿宋_GB2312" w:hAnsi="仿宋" w:eastAsia="仿宋_GB2312" w:cs="仿宋"/>
          <w:b w:val="0"/>
          <w:bCs/>
          <w:szCs w:val="32"/>
        </w:rPr>
        <w:t>完成</w:t>
      </w:r>
      <w:r>
        <w:rPr>
          <w:rFonts w:hint="eastAsia" w:ascii="仿宋_GB2312" w:hAnsi="仿宋" w:eastAsia="仿宋_GB2312" w:cs="仿宋"/>
          <w:b w:val="0"/>
          <w:bCs/>
          <w:szCs w:val="32"/>
        </w:rPr>
        <w:t>特色农产品</w:t>
      </w:r>
      <w:r>
        <w:rPr>
          <w:rFonts w:ascii="仿宋_GB2312" w:hAnsi="仿宋" w:eastAsia="仿宋_GB2312" w:cs="仿宋"/>
          <w:b w:val="0"/>
          <w:bCs/>
          <w:szCs w:val="32"/>
        </w:rPr>
        <w:t>采购任务1.36</w:t>
      </w:r>
      <w:r>
        <w:rPr>
          <w:rFonts w:hint="eastAsia" w:ascii="仿宋_GB2312" w:hAnsi="仿宋" w:eastAsia="仿宋_GB2312" w:cs="仿宋"/>
          <w:b w:val="0"/>
          <w:bCs/>
          <w:szCs w:val="32"/>
        </w:rPr>
        <w:t>亿</w:t>
      </w:r>
      <w:r>
        <w:rPr>
          <w:rFonts w:ascii="仿宋_GB2312" w:hAnsi="仿宋" w:eastAsia="仿宋_GB2312" w:cs="仿宋"/>
          <w:b w:val="0"/>
          <w:bCs/>
          <w:szCs w:val="32"/>
        </w:rPr>
        <w:t>元</w:t>
      </w:r>
      <w:r>
        <w:rPr>
          <w:rFonts w:hint="eastAsia" w:ascii="仿宋_GB2312" w:hAnsi="仿宋" w:eastAsia="仿宋_GB2312" w:cs="仿宋"/>
          <w:b w:val="0"/>
          <w:bCs/>
          <w:szCs w:val="32"/>
        </w:rPr>
        <w:t>。</w:t>
      </w:r>
      <w:r>
        <w:rPr>
          <w:rFonts w:ascii="仿宋_GB2312" w:hAnsi="仿宋" w:eastAsia="仿宋_GB2312" w:cs="仿宋"/>
          <w:b w:val="0"/>
          <w:bCs/>
          <w:szCs w:val="32"/>
        </w:rPr>
        <w:t>全年为各类招生考试服务16次，服务考生14.27万余人次。</w:t>
      </w:r>
      <w:bookmarkEnd w:id="58"/>
      <w:bookmarkEnd w:id="59"/>
    </w:p>
    <w:p>
      <w:pPr>
        <w:pStyle w:val="4"/>
        <w:keepNext w:val="0"/>
        <w:keepLines w:val="0"/>
        <w:numPr>
          <w:ilvl w:val="0"/>
          <w:numId w:val="5"/>
        </w:numPr>
        <w:adjustRightInd w:val="0"/>
        <w:snapToGrid w:val="0"/>
        <w:spacing w:before="0" w:after="0" w:line="576" w:lineRule="exact"/>
        <w:ind w:left="0" w:leftChars="0" w:firstLine="640" w:firstLineChars="200"/>
        <w:rPr>
          <w:rFonts w:hint="eastAsia" w:ascii="仿宋_GB2312" w:hAnsi="仿宋" w:eastAsia="仿宋_GB2312" w:cs="仿宋"/>
          <w:b w:val="0"/>
          <w:bCs/>
          <w:szCs w:val="32"/>
        </w:rPr>
      </w:pPr>
      <w:bookmarkStart w:id="60" w:name="_Toc14868"/>
      <w:bookmarkStart w:id="61" w:name="_Toc1823"/>
      <w:r>
        <w:rPr>
          <w:rFonts w:ascii="楷体_GB2312" w:hAnsi="方正仿宋_GBK" w:eastAsia="楷体_GB2312" w:cs="方正仿宋_GBK"/>
          <w:b w:val="0"/>
          <w:bCs/>
          <w:szCs w:val="32"/>
        </w:rPr>
        <w:t>教育系统安全稳定。</w:t>
      </w:r>
      <w:r>
        <w:rPr>
          <w:rFonts w:hint="eastAsia" w:ascii="仿宋_GB2312" w:hAnsi="仿宋" w:eastAsia="仿宋_GB2312" w:cs="仿宋"/>
          <w:b w:val="0"/>
          <w:bCs/>
          <w:szCs w:val="32"/>
        </w:rPr>
        <w:t>印发《广元市未成年人保护同育共管办法》，</w:t>
      </w:r>
      <w:r>
        <w:rPr>
          <w:rFonts w:ascii="仿宋_GB2312" w:hAnsi="仿宋" w:eastAsia="仿宋_GB2312" w:cs="仿宋"/>
          <w:b w:val="0"/>
          <w:bCs/>
          <w:szCs w:val="32"/>
        </w:rPr>
        <w:t>实施学生安全管理</w:t>
      </w:r>
      <w:r>
        <w:rPr>
          <w:rFonts w:hint="eastAsia" w:ascii="仿宋_GB2312" w:hAnsi="仿宋" w:eastAsia="仿宋_GB2312" w:cs="仿宋"/>
          <w:b w:val="0"/>
          <w:bCs/>
          <w:szCs w:val="32"/>
        </w:rPr>
        <w:t>“三大</w:t>
      </w:r>
      <w:r>
        <w:rPr>
          <w:rFonts w:ascii="仿宋_GB2312" w:hAnsi="仿宋" w:eastAsia="仿宋_GB2312" w:cs="仿宋"/>
          <w:b w:val="0"/>
          <w:bCs/>
          <w:szCs w:val="32"/>
        </w:rPr>
        <w:t>护卫</w:t>
      </w:r>
      <w:r>
        <w:rPr>
          <w:rFonts w:hint="eastAsia" w:ascii="仿宋_GB2312" w:hAnsi="仿宋" w:eastAsia="仿宋_GB2312" w:cs="仿宋"/>
          <w:b w:val="0"/>
          <w:bCs/>
          <w:szCs w:val="32"/>
        </w:rPr>
        <w:t>行动”</w:t>
      </w:r>
      <w:r>
        <w:rPr>
          <w:rFonts w:ascii="仿宋_GB2312" w:hAnsi="仿宋" w:eastAsia="仿宋_GB2312" w:cs="仿宋"/>
          <w:b w:val="0"/>
          <w:bCs/>
          <w:szCs w:val="32"/>
        </w:rPr>
        <w:t>，不断提高物防、技防、人防水平，全覆盖购买</w:t>
      </w:r>
      <w:r>
        <w:rPr>
          <w:rFonts w:hint="eastAsia" w:ascii="仿宋_GB2312" w:hAnsi="仿宋" w:eastAsia="仿宋_GB2312" w:cs="仿宋"/>
          <w:b w:val="0"/>
          <w:bCs/>
          <w:szCs w:val="32"/>
        </w:rPr>
        <w:t>校方责任保险</w:t>
      </w:r>
      <w:r>
        <w:rPr>
          <w:rFonts w:ascii="仿宋_GB2312" w:hAnsi="仿宋" w:eastAsia="仿宋_GB2312" w:cs="仿宋"/>
          <w:b w:val="0"/>
          <w:bCs/>
          <w:szCs w:val="32"/>
        </w:rPr>
        <w:t>，</w:t>
      </w:r>
      <w:r>
        <w:rPr>
          <w:rFonts w:hint="eastAsia" w:ascii="仿宋_GB2312" w:hAnsi="仿宋" w:eastAsia="仿宋_GB2312" w:cs="仿宋"/>
          <w:b w:val="0"/>
          <w:bCs/>
          <w:szCs w:val="32"/>
        </w:rPr>
        <w:t>开展应急演练</w:t>
      </w:r>
      <w:r>
        <w:rPr>
          <w:rFonts w:ascii="仿宋_GB2312" w:hAnsi="仿宋" w:eastAsia="仿宋_GB2312" w:cs="仿宋"/>
          <w:b w:val="0"/>
          <w:bCs/>
          <w:szCs w:val="32"/>
        </w:rPr>
        <w:t>3</w:t>
      </w:r>
      <w:r>
        <w:rPr>
          <w:rFonts w:hint="eastAsia" w:ascii="仿宋_GB2312" w:hAnsi="仿宋" w:eastAsia="仿宋_GB2312" w:cs="仿宋"/>
          <w:b w:val="0"/>
          <w:bCs/>
          <w:szCs w:val="32"/>
        </w:rPr>
        <w:t>000余场次</w:t>
      </w:r>
      <w:r>
        <w:rPr>
          <w:rFonts w:ascii="仿宋_GB2312" w:hAnsi="仿宋" w:eastAsia="仿宋_GB2312" w:cs="仿宋"/>
          <w:b w:val="0"/>
          <w:bCs/>
          <w:szCs w:val="32"/>
        </w:rPr>
        <w:t>，排查整改各类</w:t>
      </w:r>
      <w:r>
        <w:rPr>
          <w:rFonts w:hint="eastAsia" w:ascii="仿宋_GB2312" w:hAnsi="仿宋" w:eastAsia="仿宋_GB2312" w:cs="仿宋"/>
          <w:b w:val="0"/>
          <w:bCs/>
          <w:szCs w:val="32"/>
        </w:rPr>
        <w:t>隐患</w:t>
      </w:r>
      <w:r>
        <w:rPr>
          <w:rFonts w:ascii="仿宋_GB2312" w:hAnsi="仿宋" w:eastAsia="仿宋_GB2312" w:cs="仿宋"/>
          <w:b w:val="0"/>
          <w:bCs/>
          <w:szCs w:val="32"/>
        </w:rPr>
        <w:t>763起，全年</w:t>
      </w:r>
      <w:r>
        <w:rPr>
          <w:rFonts w:hint="eastAsia" w:ascii="仿宋_GB2312" w:hAnsi="仿宋" w:eastAsia="仿宋_GB2312" w:cs="仿宋"/>
          <w:b w:val="0"/>
          <w:bCs/>
          <w:szCs w:val="32"/>
        </w:rPr>
        <w:t>无重大</w:t>
      </w:r>
      <w:r>
        <w:rPr>
          <w:rFonts w:ascii="仿宋_GB2312" w:hAnsi="仿宋" w:eastAsia="仿宋_GB2312" w:cs="仿宋"/>
          <w:b w:val="0"/>
          <w:bCs/>
          <w:szCs w:val="32"/>
        </w:rPr>
        <w:t>安全</w:t>
      </w:r>
      <w:r>
        <w:rPr>
          <w:rFonts w:hint="eastAsia" w:ascii="仿宋_GB2312" w:hAnsi="仿宋" w:eastAsia="仿宋_GB2312" w:cs="仿宋"/>
          <w:b w:val="0"/>
          <w:bCs/>
          <w:szCs w:val="32"/>
        </w:rPr>
        <w:t>责任事故发生</w:t>
      </w:r>
      <w:r>
        <w:rPr>
          <w:rFonts w:ascii="仿宋_GB2312" w:hAnsi="仿宋" w:eastAsia="仿宋_GB2312" w:cs="仿宋"/>
          <w:b w:val="0"/>
          <w:bCs/>
          <w:szCs w:val="32"/>
        </w:rPr>
        <w:t>。对</w:t>
      </w:r>
      <w:r>
        <w:rPr>
          <w:rFonts w:hint="eastAsia" w:ascii="仿宋_GB2312" w:hAnsi="仿宋" w:eastAsia="仿宋_GB2312" w:cs="仿宋"/>
          <w:b w:val="0"/>
          <w:bCs/>
          <w:szCs w:val="32"/>
        </w:rPr>
        <w:t>全市426所中小学校27.5万余名学生全覆盖开展心理健康筛查</w:t>
      </w:r>
      <w:r>
        <w:rPr>
          <w:rFonts w:ascii="仿宋_GB2312" w:hAnsi="仿宋" w:eastAsia="仿宋_GB2312" w:cs="仿宋"/>
          <w:b w:val="0"/>
          <w:bCs/>
          <w:szCs w:val="32"/>
        </w:rPr>
        <w:t>，在</w:t>
      </w:r>
      <w:r>
        <w:rPr>
          <w:rFonts w:hint="eastAsia" w:ascii="仿宋_GB2312" w:hAnsi="仿宋" w:eastAsia="仿宋_GB2312" w:cs="仿宋"/>
          <w:b w:val="0"/>
          <w:bCs/>
          <w:szCs w:val="32"/>
        </w:rPr>
        <w:t>“广元家长网上学堂”举办专题讲座12期</w:t>
      </w:r>
      <w:r>
        <w:rPr>
          <w:rFonts w:ascii="仿宋_GB2312" w:hAnsi="仿宋" w:eastAsia="仿宋_GB2312" w:cs="仿宋"/>
          <w:b w:val="0"/>
          <w:bCs/>
          <w:szCs w:val="32"/>
        </w:rPr>
        <w:t>。</w:t>
      </w:r>
      <w:r>
        <w:rPr>
          <w:rFonts w:hint="eastAsia" w:ascii="仿宋_GB2312" w:hAnsi="仿宋" w:eastAsia="仿宋_GB2312" w:cs="仿宋"/>
          <w:b w:val="0"/>
          <w:bCs/>
          <w:szCs w:val="32"/>
        </w:rPr>
        <w:t>严格落实疫情常态化防控措施，</w:t>
      </w:r>
      <w:r>
        <w:rPr>
          <w:rFonts w:ascii="仿宋_GB2312" w:hAnsi="仿宋" w:eastAsia="仿宋_GB2312" w:cs="仿宋"/>
          <w:b w:val="0"/>
          <w:bCs/>
          <w:szCs w:val="32"/>
        </w:rPr>
        <w:t>有序</w:t>
      </w:r>
      <w:r>
        <w:rPr>
          <w:rFonts w:hint="eastAsia" w:ascii="仿宋_GB2312" w:hAnsi="仿宋" w:eastAsia="仿宋_GB2312" w:cs="仿宋"/>
          <w:b w:val="0"/>
          <w:bCs/>
          <w:szCs w:val="32"/>
        </w:rPr>
        <w:t>推进师生员工新冠病毒疫苗接种</w:t>
      </w:r>
      <w:r>
        <w:rPr>
          <w:rFonts w:ascii="仿宋_GB2312" w:hAnsi="仿宋" w:eastAsia="仿宋_GB2312" w:cs="仿宋"/>
          <w:b w:val="0"/>
          <w:bCs/>
          <w:szCs w:val="32"/>
        </w:rPr>
        <w:t>，</w:t>
      </w:r>
      <w:r>
        <w:rPr>
          <w:rFonts w:hint="eastAsia" w:ascii="仿宋_GB2312" w:hAnsi="仿宋" w:eastAsia="仿宋_GB2312" w:cs="仿宋"/>
          <w:b w:val="0"/>
          <w:bCs/>
          <w:szCs w:val="32"/>
        </w:rPr>
        <w:t>全系统“零</w:t>
      </w:r>
      <w:r>
        <w:rPr>
          <w:rFonts w:ascii="仿宋_GB2312" w:hAnsi="仿宋" w:eastAsia="仿宋_GB2312" w:cs="仿宋"/>
          <w:b w:val="0"/>
          <w:bCs/>
          <w:szCs w:val="32"/>
        </w:rPr>
        <w:t>疫情</w:t>
      </w:r>
      <w:r>
        <w:rPr>
          <w:rFonts w:hint="eastAsia" w:ascii="仿宋_GB2312" w:hAnsi="仿宋" w:eastAsia="仿宋_GB2312" w:cs="仿宋"/>
          <w:b w:val="0"/>
          <w:bCs/>
          <w:szCs w:val="32"/>
        </w:rPr>
        <w:t>”“零感染”。</w:t>
      </w:r>
      <w:r>
        <w:rPr>
          <w:rFonts w:ascii="仿宋_GB2312" w:hAnsi="仿宋" w:eastAsia="仿宋_GB2312" w:cs="仿宋"/>
          <w:b w:val="0"/>
          <w:bCs/>
          <w:szCs w:val="32"/>
        </w:rPr>
        <w:t>市教育局</w:t>
      </w:r>
      <w:r>
        <w:rPr>
          <w:rFonts w:hint="eastAsia" w:ascii="仿宋_GB2312" w:hAnsi="仿宋" w:eastAsia="仿宋_GB2312" w:cs="仿宋"/>
          <w:b w:val="0"/>
          <w:bCs/>
          <w:szCs w:val="32"/>
        </w:rPr>
        <w:t>办理信访件321件，办结率100%，满意率99%。</w:t>
      </w:r>
      <w:r>
        <w:rPr>
          <w:rFonts w:ascii="仿宋_GB2312" w:hAnsi="仿宋" w:eastAsia="仿宋_GB2312" w:cs="仿宋"/>
          <w:b w:val="0"/>
          <w:bCs/>
          <w:szCs w:val="32"/>
        </w:rPr>
        <w:t>3所</w:t>
      </w:r>
      <w:r>
        <w:rPr>
          <w:rFonts w:hint="eastAsia" w:ascii="仿宋_GB2312" w:hAnsi="仿宋" w:eastAsia="仿宋_GB2312" w:cs="仿宋"/>
          <w:b w:val="0"/>
          <w:bCs/>
          <w:szCs w:val="32"/>
        </w:rPr>
        <w:t>学校</w:t>
      </w:r>
      <w:r>
        <w:rPr>
          <w:rFonts w:ascii="仿宋_GB2312" w:hAnsi="仿宋" w:eastAsia="仿宋_GB2312" w:cs="仿宋"/>
          <w:b w:val="0"/>
          <w:bCs/>
          <w:szCs w:val="32"/>
        </w:rPr>
        <w:t>创建为</w:t>
      </w:r>
      <w:r>
        <w:rPr>
          <w:rFonts w:hint="eastAsia" w:ascii="仿宋_GB2312" w:hAnsi="仿宋" w:eastAsia="仿宋_GB2312" w:cs="仿宋"/>
          <w:b w:val="0"/>
          <w:bCs/>
          <w:szCs w:val="32"/>
        </w:rPr>
        <w:t>省级防震减灾科普示范</w:t>
      </w:r>
      <w:r>
        <w:rPr>
          <w:rFonts w:ascii="仿宋_GB2312" w:hAnsi="仿宋" w:eastAsia="仿宋_GB2312" w:cs="仿宋"/>
          <w:b w:val="0"/>
          <w:bCs/>
          <w:szCs w:val="32"/>
        </w:rPr>
        <w:t>校，</w:t>
      </w:r>
      <w:r>
        <w:rPr>
          <w:rFonts w:hint="eastAsia" w:ascii="仿宋_GB2312" w:hAnsi="仿宋" w:eastAsia="仿宋_GB2312" w:cs="仿宋"/>
          <w:b w:val="0"/>
          <w:bCs/>
          <w:szCs w:val="32"/>
        </w:rPr>
        <w:t>市教育局被评为“全市‘安全生产月’活动先进单位”。</w:t>
      </w:r>
      <w:bookmarkEnd w:id="60"/>
      <w:bookmarkEnd w:id="61"/>
    </w:p>
    <w:p>
      <w:pPr>
        <w:numPr>
          <w:ilvl w:val="0"/>
          <w:numId w:val="2"/>
        </w:numPr>
        <w:adjustRightInd w:val="0"/>
        <w:snapToGrid w:val="0"/>
        <w:spacing w:line="576" w:lineRule="exact"/>
        <w:ind w:left="0" w:leftChars="0" w:firstLine="420" w:firstLineChars="0"/>
        <w:outlineLvl w:val="0"/>
        <w:rPr>
          <w:rFonts w:hint="eastAsia" w:ascii="黑体" w:hAnsi="方正黑体_GBK" w:eastAsia="黑体" w:cs="方正黑体_GBK"/>
          <w:sz w:val="32"/>
          <w:szCs w:val="32"/>
        </w:rPr>
      </w:pPr>
      <w:bookmarkStart w:id="62" w:name="_Toc2986"/>
      <w:bookmarkStart w:id="63" w:name="_Toc572"/>
      <w:r>
        <w:rPr>
          <w:rFonts w:hint="eastAsia" w:ascii="黑体" w:hAnsi="方正黑体_GBK" w:eastAsia="黑体" w:cs="方正黑体_GBK"/>
          <w:sz w:val="32"/>
          <w:szCs w:val="32"/>
        </w:rPr>
        <w:t>切实加强教师队伍建设，教育师资队伍展现新作为</w:t>
      </w:r>
      <w:bookmarkEnd w:id="62"/>
      <w:bookmarkEnd w:id="63"/>
    </w:p>
    <w:p>
      <w:pPr>
        <w:pStyle w:val="4"/>
        <w:keepNext w:val="0"/>
        <w:keepLines w:val="0"/>
        <w:numPr>
          <w:ilvl w:val="0"/>
          <w:numId w:val="6"/>
        </w:numPr>
        <w:adjustRightInd w:val="0"/>
        <w:snapToGrid w:val="0"/>
        <w:spacing w:before="0" w:after="0" w:line="576" w:lineRule="exact"/>
        <w:ind w:left="0" w:leftChars="0" w:firstLine="640" w:firstLineChars="200"/>
        <w:rPr>
          <w:rFonts w:ascii="仿宋_GB2312" w:hAnsi="CESI仿宋-GB2312" w:eastAsia="仿宋_GB2312"/>
          <w:b w:val="0"/>
          <w:szCs w:val="32"/>
        </w:rPr>
      </w:pPr>
      <w:bookmarkStart w:id="64" w:name="_Toc21577"/>
      <w:bookmarkStart w:id="65" w:name="_Toc26500"/>
      <w:r>
        <w:rPr>
          <w:rFonts w:hint="eastAsia" w:ascii="楷体_GB2312" w:hAnsi="方正仿宋_GBK" w:eastAsia="楷体_GB2312" w:cs="方正仿宋_GBK"/>
          <w:b w:val="0"/>
          <w:bCs/>
          <w:szCs w:val="32"/>
        </w:rPr>
        <w:t>师德师风全面加强。</w:t>
      </w:r>
      <w:r>
        <w:rPr>
          <w:rFonts w:hint="eastAsia" w:ascii="仿宋_GB2312" w:hAnsi="CESI仿宋-GB2312" w:eastAsia="仿宋_GB2312"/>
          <w:b w:val="0"/>
          <w:szCs w:val="32"/>
        </w:rPr>
        <w:t>坚持师德</w:t>
      </w:r>
      <w:r>
        <w:rPr>
          <w:rFonts w:ascii="仿宋_GB2312" w:hAnsi="CESI仿宋-GB2312" w:eastAsia="仿宋_GB2312"/>
          <w:b w:val="0"/>
          <w:szCs w:val="32"/>
        </w:rPr>
        <w:t>师风</w:t>
      </w:r>
      <w:r>
        <w:rPr>
          <w:rFonts w:hint="eastAsia" w:ascii="仿宋_GB2312" w:hAnsi="CESI仿宋-GB2312" w:eastAsia="仿宋_GB2312"/>
          <w:b w:val="0"/>
          <w:szCs w:val="32"/>
        </w:rPr>
        <w:t>第一标准，深入开展“学党史、正师风、强师魂”专项治理活动和师德师风建设“四大行动”</w:t>
      </w:r>
      <w:r>
        <w:rPr>
          <w:rFonts w:ascii="仿宋_GB2312" w:hAnsi="CESI仿宋-GB2312" w:eastAsia="仿宋_GB2312"/>
          <w:b w:val="0"/>
          <w:szCs w:val="32"/>
        </w:rPr>
        <w:t>。全覆盖开展</w:t>
      </w:r>
      <w:r>
        <w:rPr>
          <w:rFonts w:hint="eastAsia" w:ascii="仿宋_GB2312" w:hAnsi="CESI仿宋-GB2312" w:eastAsia="仿宋_GB2312"/>
          <w:b w:val="0"/>
          <w:szCs w:val="32"/>
        </w:rPr>
        <w:t>教职员工违法犯罪记录</w:t>
      </w:r>
      <w:r>
        <w:rPr>
          <w:rFonts w:ascii="仿宋_GB2312" w:hAnsi="CESI仿宋-GB2312" w:eastAsia="仿宋_GB2312"/>
          <w:b w:val="0"/>
          <w:szCs w:val="32"/>
        </w:rPr>
        <w:t>排查，全市</w:t>
      </w:r>
      <w:r>
        <w:rPr>
          <w:rFonts w:hint="eastAsia" w:ascii="仿宋_GB2312" w:hAnsi="CESI仿宋-GB2312" w:eastAsia="仿宋_GB2312"/>
          <w:b w:val="0"/>
          <w:szCs w:val="32"/>
        </w:rPr>
        <w:t>3.5</w:t>
      </w:r>
      <w:r>
        <w:rPr>
          <w:rFonts w:ascii="仿宋_GB2312" w:hAnsi="CESI仿宋-GB2312" w:eastAsia="仿宋_GB2312"/>
          <w:b w:val="0"/>
          <w:szCs w:val="32"/>
        </w:rPr>
        <w:t>万</w:t>
      </w:r>
      <w:r>
        <w:rPr>
          <w:rFonts w:hint="eastAsia" w:ascii="仿宋_GB2312" w:hAnsi="CESI仿宋-GB2312" w:eastAsia="仿宋_GB2312"/>
          <w:b w:val="0"/>
          <w:szCs w:val="32"/>
        </w:rPr>
        <w:t>名教职员工</w:t>
      </w:r>
      <w:r>
        <w:rPr>
          <w:rFonts w:ascii="仿宋_GB2312" w:hAnsi="CESI仿宋-GB2312" w:eastAsia="仿宋_GB2312"/>
          <w:b w:val="0"/>
          <w:szCs w:val="32"/>
        </w:rPr>
        <w:t>无</w:t>
      </w:r>
      <w:r>
        <w:rPr>
          <w:rFonts w:hint="eastAsia" w:ascii="仿宋_GB2312" w:hAnsi="CESI仿宋-GB2312" w:eastAsia="仿宋_GB2312"/>
          <w:b w:val="0"/>
          <w:szCs w:val="32"/>
        </w:rPr>
        <w:t>性侵、虐待、拐卖、暴力伤害等</w:t>
      </w:r>
      <w:r>
        <w:rPr>
          <w:rFonts w:ascii="仿宋_GB2312" w:hAnsi="CESI仿宋-GB2312" w:eastAsia="仿宋_GB2312"/>
          <w:b w:val="0"/>
          <w:szCs w:val="32"/>
        </w:rPr>
        <w:t>四类</w:t>
      </w:r>
      <w:r>
        <w:rPr>
          <w:rFonts w:hint="eastAsia" w:ascii="仿宋_GB2312" w:hAnsi="CESI仿宋-GB2312" w:eastAsia="仿宋_GB2312"/>
          <w:b w:val="0"/>
          <w:szCs w:val="32"/>
        </w:rPr>
        <w:t>违法犯罪记录</w:t>
      </w:r>
      <w:r>
        <w:rPr>
          <w:rFonts w:ascii="仿宋_GB2312" w:hAnsi="CESI仿宋-GB2312" w:eastAsia="仿宋_GB2312"/>
          <w:b w:val="0"/>
          <w:szCs w:val="32"/>
        </w:rPr>
        <w:t>。评选</w:t>
      </w:r>
      <w:r>
        <w:rPr>
          <w:rFonts w:hint="eastAsia" w:ascii="仿宋_GB2312" w:hAnsi="CESI仿宋-GB2312" w:eastAsia="仿宋_GB2312"/>
          <w:b w:val="0"/>
          <w:szCs w:val="32"/>
        </w:rPr>
        <w:t>表彰农村学校优秀教师</w:t>
      </w:r>
      <w:r>
        <w:rPr>
          <w:rFonts w:ascii="仿宋_GB2312" w:hAnsi="CESI仿宋-GB2312" w:eastAsia="仿宋_GB2312"/>
          <w:b w:val="0"/>
          <w:szCs w:val="32"/>
        </w:rPr>
        <w:t>（</w:t>
      </w:r>
      <w:r>
        <w:rPr>
          <w:rFonts w:hint="eastAsia" w:ascii="仿宋_GB2312" w:hAnsi="CESI仿宋-GB2312" w:eastAsia="仿宋_GB2312"/>
          <w:b w:val="0"/>
          <w:szCs w:val="32"/>
        </w:rPr>
        <w:t>校长</w:t>
      </w:r>
      <w:r>
        <w:rPr>
          <w:rFonts w:ascii="仿宋_GB2312" w:hAnsi="CESI仿宋-GB2312" w:eastAsia="仿宋_GB2312"/>
          <w:b w:val="0"/>
          <w:szCs w:val="32"/>
        </w:rPr>
        <w:t>）、</w:t>
      </w:r>
      <w:r>
        <w:rPr>
          <w:rFonts w:hint="eastAsia" w:ascii="仿宋_GB2312" w:hAnsi="CESI仿宋-GB2312" w:eastAsia="仿宋_GB2312"/>
          <w:b w:val="0"/>
          <w:szCs w:val="32"/>
        </w:rPr>
        <w:t>立德树人关爱学生好老师</w:t>
      </w:r>
      <w:r>
        <w:rPr>
          <w:rFonts w:ascii="仿宋_GB2312" w:hAnsi="CESI仿宋-GB2312" w:eastAsia="仿宋_GB2312"/>
          <w:b w:val="0"/>
          <w:szCs w:val="32"/>
        </w:rPr>
        <w:t>等优秀先进典型</w:t>
      </w:r>
      <w:r>
        <w:rPr>
          <w:rFonts w:hint="eastAsia" w:ascii="仿宋_GB2312" w:hAnsi="CESI仿宋-GB2312" w:eastAsia="仿宋_GB2312"/>
          <w:b w:val="0"/>
          <w:szCs w:val="32"/>
        </w:rPr>
        <w:t>280名</w:t>
      </w:r>
      <w:r>
        <w:rPr>
          <w:rFonts w:ascii="仿宋_GB2312" w:hAnsi="CESI仿宋-GB2312" w:eastAsia="仿宋_GB2312"/>
          <w:b w:val="0"/>
          <w:szCs w:val="32"/>
        </w:rPr>
        <w:t>。</w:t>
      </w:r>
      <w:bookmarkEnd w:id="64"/>
      <w:bookmarkEnd w:id="65"/>
    </w:p>
    <w:p>
      <w:pPr>
        <w:pStyle w:val="4"/>
        <w:keepNext w:val="0"/>
        <w:keepLines w:val="0"/>
        <w:numPr>
          <w:ilvl w:val="0"/>
          <w:numId w:val="6"/>
        </w:numPr>
        <w:adjustRightInd w:val="0"/>
        <w:snapToGrid w:val="0"/>
        <w:spacing w:before="0" w:after="0" w:line="576" w:lineRule="exact"/>
        <w:ind w:left="0" w:leftChars="0" w:firstLine="640" w:firstLineChars="200"/>
        <w:rPr>
          <w:rFonts w:ascii="仿宋_GB2312" w:hAnsi="CESI仿宋-GB2312" w:eastAsia="仿宋_GB2312"/>
          <w:b w:val="0"/>
          <w:szCs w:val="32"/>
        </w:rPr>
      </w:pPr>
      <w:bookmarkStart w:id="66" w:name="_Toc1910"/>
      <w:bookmarkStart w:id="67" w:name="_Toc4930"/>
      <w:r>
        <w:rPr>
          <w:rFonts w:ascii="楷体_GB2312" w:hAnsi="方正仿宋_GBK" w:eastAsia="楷体_GB2312" w:cs="方正仿宋_GBK"/>
          <w:b w:val="0"/>
          <w:bCs/>
          <w:szCs w:val="32"/>
        </w:rPr>
        <w:t>教学能力</w:t>
      </w:r>
      <w:r>
        <w:rPr>
          <w:rFonts w:hint="eastAsia" w:ascii="楷体_GB2312" w:hAnsi="方正仿宋_GBK" w:eastAsia="楷体_GB2312" w:cs="方正仿宋_GBK"/>
          <w:b w:val="0"/>
          <w:bCs/>
          <w:szCs w:val="32"/>
        </w:rPr>
        <w:t>有效提升。</w:t>
      </w:r>
      <w:r>
        <w:rPr>
          <w:rFonts w:ascii="仿宋_GB2312" w:hAnsi="CESI仿宋-GB2312" w:eastAsia="仿宋_GB2312"/>
          <w:b w:val="0"/>
          <w:szCs w:val="32"/>
        </w:rPr>
        <w:t>深入实施</w:t>
      </w:r>
      <w:r>
        <w:rPr>
          <w:rFonts w:hint="eastAsia" w:ascii="仿宋_GB2312" w:hAnsi="CESI仿宋-GB2312" w:eastAsia="仿宋_GB2312"/>
          <w:b w:val="0"/>
          <w:szCs w:val="32"/>
        </w:rPr>
        <w:t>“</w:t>
      </w:r>
      <w:r>
        <w:rPr>
          <w:rFonts w:ascii="仿宋_GB2312" w:hAnsi="CESI仿宋-GB2312" w:eastAsia="仿宋_GB2312"/>
          <w:b w:val="0"/>
          <w:szCs w:val="32"/>
        </w:rPr>
        <w:t>名师工程</w:t>
      </w:r>
      <w:r>
        <w:rPr>
          <w:rFonts w:hint="eastAsia" w:ascii="仿宋_GB2312" w:hAnsi="CESI仿宋-GB2312" w:eastAsia="仿宋_GB2312"/>
          <w:b w:val="0"/>
          <w:szCs w:val="32"/>
        </w:rPr>
        <w:t>”</w:t>
      </w:r>
      <w:r>
        <w:rPr>
          <w:rFonts w:ascii="仿宋_GB2312" w:hAnsi="CESI仿宋-GB2312" w:eastAsia="仿宋_GB2312"/>
          <w:b w:val="0"/>
          <w:szCs w:val="32"/>
        </w:rPr>
        <w:t>，新命名广元名师99名，组建名师工作室105个，名师</w:t>
      </w:r>
      <w:r>
        <w:rPr>
          <w:rFonts w:hint="eastAsia" w:ascii="仿宋_GB2312" w:hAnsi="CESI仿宋-GB2312" w:eastAsia="仿宋_GB2312"/>
          <w:b w:val="0"/>
          <w:szCs w:val="32"/>
        </w:rPr>
        <w:t>结对帮扶乡村学校200余所</w:t>
      </w:r>
      <w:r>
        <w:rPr>
          <w:rFonts w:ascii="仿宋_GB2312" w:hAnsi="CESI仿宋-GB2312" w:eastAsia="仿宋_GB2312"/>
          <w:b w:val="0"/>
          <w:szCs w:val="32"/>
        </w:rPr>
        <w:t>、</w:t>
      </w:r>
      <w:r>
        <w:rPr>
          <w:rFonts w:hint="eastAsia" w:ascii="仿宋_GB2312" w:hAnsi="CESI仿宋-GB2312" w:eastAsia="仿宋_GB2312"/>
          <w:b w:val="0"/>
          <w:szCs w:val="32"/>
        </w:rPr>
        <w:t>教师2万余人次。组建专兼结合、覆盖14个学科的学科中心组，打造市区一体的联合教研体10个，实施</w:t>
      </w:r>
      <w:r>
        <w:rPr>
          <w:rFonts w:ascii="仿宋_GB2312" w:hAnsi="CESI仿宋-GB2312" w:eastAsia="仿宋_GB2312"/>
          <w:b w:val="0"/>
          <w:szCs w:val="32"/>
        </w:rPr>
        <w:t>各类</w:t>
      </w:r>
      <w:r>
        <w:rPr>
          <w:rFonts w:hint="eastAsia" w:ascii="仿宋_GB2312" w:hAnsi="CESI仿宋-GB2312" w:eastAsia="仿宋_GB2312"/>
          <w:b w:val="0"/>
          <w:szCs w:val="32"/>
        </w:rPr>
        <w:t>师培项目43个，</w:t>
      </w:r>
      <w:r>
        <w:rPr>
          <w:rFonts w:ascii="仿宋_GB2312" w:hAnsi="方正仿宋_GBK" w:eastAsia="仿宋_GB2312" w:cs="方正仿宋_GBK"/>
          <w:b w:val="0"/>
          <w:szCs w:val="32"/>
        </w:rPr>
        <w:t>实现</w:t>
      </w:r>
      <w:r>
        <w:rPr>
          <w:rFonts w:ascii="仿宋_GB2312" w:hAnsi="CESI仿宋-GB2312" w:eastAsia="仿宋_GB2312"/>
          <w:b w:val="0"/>
          <w:szCs w:val="32"/>
        </w:rPr>
        <w:t>教师提能培训全覆盖</w:t>
      </w:r>
      <w:r>
        <w:rPr>
          <w:rFonts w:hint="eastAsia" w:ascii="仿宋_GB2312" w:hAnsi="CESI仿宋-GB2312" w:eastAsia="仿宋_GB2312"/>
          <w:b w:val="0"/>
          <w:szCs w:val="32"/>
        </w:rPr>
        <w:t>。职业院校</w:t>
      </w:r>
      <w:r>
        <w:rPr>
          <w:rFonts w:ascii="仿宋_GB2312" w:hAnsi="CESI仿宋-GB2312" w:eastAsia="仿宋_GB2312"/>
          <w:b w:val="0"/>
          <w:szCs w:val="32"/>
        </w:rPr>
        <w:t>编写的</w:t>
      </w:r>
      <w:r>
        <w:rPr>
          <w:rFonts w:hint="eastAsia" w:ascii="仿宋_GB2312" w:hAnsi="CESI仿宋-GB2312" w:eastAsia="仿宋_GB2312"/>
          <w:b w:val="0"/>
          <w:szCs w:val="32"/>
        </w:rPr>
        <w:t>4本教材参评全省职教规划教材</w:t>
      </w:r>
      <w:r>
        <w:rPr>
          <w:rFonts w:ascii="仿宋_GB2312" w:hAnsi="CESI仿宋-GB2312" w:eastAsia="仿宋_GB2312"/>
          <w:b w:val="0"/>
          <w:szCs w:val="32"/>
        </w:rPr>
        <w:t>，师生</w:t>
      </w:r>
      <w:r>
        <w:rPr>
          <w:rFonts w:hint="eastAsia" w:ascii="仿宋_GB2312" w:hAnsi="CESI仿宋-GB2312" w:eastAsia="仿宋_GB2312"/>
          <w:b w:val="0"/>
          <w:szCs w:val="32"/>
        </w:rPr>
        <w:t>获全国、全省职业技能大赛奖</w:t>
      </w:r>
      <w:r>
        <w:rPr>
          <w:rFonts w:ascii="仿宋_GB2312" w:hAnsi="CESI仿宋-GB2312" w:eastAsia="仿宋_GB2312"/>
          <w:b w:val="0"/>
          <w:szCs w:val="32"/>
        </w:rPr>
        <w:t>217</w:t>
      </w:r>
      <w:r>
        <w:rPr>
          <w:rFonts w:hint="eastAsia" w:ascii="仿宋_GB2312" w:hAnsi="CESI仿宋-GB2312" w:eastAsia="仿宋_GB2312"/>
          <w:b w:val="0"/>
          <w:szCs w:val="32"/>
        </w:rPr>
        <w:t>项。申报省级教育课题34项，</w:t>
      </w:r>
      <w:r>
        <w:rPr>
          <w:rFonts w:ascii="仿宋_GB2312" w:hAnsi="CESI仿宋-GB2312" w:eastAsia="仿宋_GB2312"/>
          <w:b w:val="0"/>
          <w:szCs w:val="32"/>
        </w:rPr>
        <w:t>获</w:t>
      </w:r>
      <w:r>
        <w:rPr>
          <w:rFonts w:hint="eastAsia" w:ascii="仿宋_GB2312" w:hAnsi="CESI仿宋-GB2312" w:eastAsia="仿宋_GB2312"/>
          <w:b w:val="0"/>
          <w:szCs w:val="32"/>
        </w:rPr>
        <w:t>省教学成果奖</w:t>
      </w:r>
      <w:r>
        <w:rPr>
          <w:rFonts w:ascii="仿宋_GB2312" w:hAnsi="CESI仿宋-GB2312" w:eastAsia="仿宋_GB2312"/>
          <w:b w:val="0"/>
          <w:szCs w:val="32"/>
        </w:rPr>
        <w:t>29项，14人获</w:t>
      </w:r>
      <w:r>
        <w:rPr>
          <w:rFonts w:hint="eastAsia" w:ascii="仿宋_GB2312" w:hAnsi="CESI仿宋-GB2312" w:eastAsia="仿宋_GB2312"/>
          <w:b w:val="0"/>
          <w:szCs w:val="32"/>
        </w:rPr>
        <w:t>省特级教师</w:t>
      </w:r>
      <w:r>
        <w:rPr>
          <w:rFonts w:ascii="仿宋_GB2312" w:hAnsi="CESI仿宋-GB2312" w:eastAsia="仿宋_GB2312"/>
          <w:b w:val="0"/>
          <w:szCs w:val="32"/>
        </w:rPr>
        <w:t>称号，</w:t>
      </w:r>
      <w:r>
        <w:rPr>
          <w:rFonts w:hint="eastAsia" w:ascii="仿宋_GB2312" w:hAnsi="CESI仿宋-GB2312" w:eastAsia="仿宋_GB2312"/>
          <w:b w:val="0"/>
          <w:szCs w:val="32"/>
        </w:rPr>
        <w:t>4</w:t>
      </w:r>
      <w:r>
        <w:rPr>
          <w:rFonts w:ascii="仿宋_GB2312" w:hAnsi="CESI仿宋-GB2312" w:eastAsia="仿宋_GB2312"/>
          <w:b w:val="0"/>
          <w:szCs w:val="32"/>
        </w:rPr>
        <w:t>人获全市</w:t>
      </w:r>
      <w:r>
        <w:rPr>
          <w:rFonts w:hint="eastAsia" w:ascii="仿宋_GB2312" w:hAnsi="CESI仿宋-GB2312" w:eastAsia="仿宋_GB2312"/>
          <w:b w:val="0"/>
          <w:szCs w:val="32"/>
        </w:rPr>
        <w:t>先进工作者</w:t>
      </w:r>
      <w:r>
        <w:rPr>
          <w:rFonts w:ascii="仿宋_GB2312" w:hAnsi="CESI仿宋-GB2312" w:eastAsia="仿宋_GB2312"/>
          <w:b w:val="0"/>
          <w:szCs w:val="32"/>
        </w:rPr>
        <w:t>表彰。</w:t>
      </w:r>
      <w:bookmarkEnd w:id="66"/>
      <w:bookmarkEnd w:id="67"/>
    </w:p>
    <w:p>
      <w:pPr>
        <w:pStyle w:val="4"/>
        <w:keepNext w:val="0"/>
        <w:keepLines w:val="0"/>
        <w:numPr>
          <w:ilvl w:val="0"/>
          <w:numId w:val="6"/>
        </w:numPr>
        <w:adjustRightInd w:val="0"/>
        <w:snapToGrid w:val="0"/>
        <w:spacing w:before="0" w:after="0" w:line="576" w:lineRule="exact"/>
        <w:ind w:left="0" w:leftChars="0" w:firstLine="640" w:firstLineChars="200"/>
        <w:rPr>
          <w:rFonts w:ascii="仿宋_GB2312" w:eastAsia="仿宋_GB2312"/>
        </w:rPr>
      </w:pPr>
      <w:bookmarkStart w:id="68" w:name="_Toc32084"/>
      <w:bookmarkStart w:id="69" w:name="_Toc22760"/>
      <w:r>
        <w:rPr>
          <w:rFonts w:hint="eastAsia" w:ascii="楷体_GB2312" w:hAnsi="方正仿宋_GBK" w:eastAsia="楷体_GB2312" w:cs="方正仿宋_GBK"/>
          <w:b w:val="0"/>
          <w:bCs/>
          <w:szCs w:val="32"/>
        </w:rPr>
        <w:t>教师待遇保障</w:t>
      </w:r>
      <w:r>
        <w:rPr>
          <w:rFonts w:ascii="楷体_GB2312" w:hAnsi="方正仿宋_GBK" w:eastAsia="楷体_GB2312" w:cs="方正仿宋_GBK"/>
          <w:b w:val="0"/>
          <w:bCs/>
          <w:szCs w:val="32"/>
        </w:rPr>
        <w:t>到位</w:t>
      </w:r>
      <w:r>
        <w:rPr>
          <w:rFonts w:hint="eastAsia" w:ascii="楷体_GB2312" w:hAnsi="方正仿宋_GBK" w:eastAsia="楷体_GB2312" w:cs="方正仿宋_GBK"/>
          <w:b w:val="0"/>
          <w:bCs/>
          <w:szCs w:val="32"/>
        </w:rPr>
        <w:t>。</w:t>
      </w:r>
      <w:r>
        <w:rPr>
          <w:rFonts w:hint="eastAsia" w:ascii="仿宋_GB2312" w:hAnsi="CESI仿宋-GB2312" w:eastAsia="仿宋_GB2312"/>
          <w:b w:val="0"/>
          <w:szCs w:val="32"/>
        </w:rPr>
        <w:t>建立义务教育教师工资不低于当地公务员平均工资水平保障机制和义务教育教师工资收入随当地公务员待遇调整的联动机制，落实</w:t>
      </w:r>
      <w:r>
        <w:rPr>
          <w:rFonts w:ascii="仿宋_GB2312" w:hAnsi="CESI仿宋-GB2312" w:eastAsia="仿宋_GB2312"/>
          <w:b w:val="0"/>
          <w:szCs w:val="32"/>
        </w:rPr>
        <w:t>乡村教师生活补助</w:t>
      </w:r>
      <w:r>
        <w:rPr>
          <w:rFonts w:hint="eastAsia" w:ascii="仿宋_GB2312" w:hAnsi="CESI仿宋-GB2312" w:eastAsia="仿宋_GB2312"/>
          <w:b w:val="0"/>
          <w:szCs w:val="32"/>
        </w:rPr>
        <w:t>每人每月400-800元。广泛开展“</w:t>
      </w:r>
      <w:r>
        <w:rPr>
          <w:rFonts w:ascii="仿宋_GB2312" w:hAnsi="CESI仿宋-GB2312" w:eastAsia="仿宋_GB2312"/>
          <w:b w:val="0"/>
          <w:szCs w:val="32"/>
        </w:rPr>
        <w:t>教师节</w:t>
      </w:r>
      <w:r>
        <w:rPr>
          <w:rFonts w:hint="eastAsia" w:ascii="仿宋_GB2312" w:hAnsi="CESI仿宋-GB2312" w:eastAsia="仿宋_GB2312"/>
          <w:b w:val="0"/>
          <w:szCs w:val="32"/>
        </w:rPr>
        <w:t>为教师亮灯”和优秀教师先进事迹宣传活动</w:t>
      </w:r>
      <w:r>
        <w:rPr>
          <w:rFonts w:ascii="仿宋_GB2312" w:hAnsi="CESI仿宋-GB2312" w:eastAsia="仿宋_GB2312"/>
          <w:b w:val="0"/>
          <w:szCs w:val="32"/>
        </w:rPr>
        <w:t>，营造尊师重教浓厚氛围。推进职工之家建设，畅通教职工合理诉求渠道，及时为教职工排忧解难。农村教师</w:t>
      </w:r>
      <w:r>
        <w:rPr>
          <w:rFonts w:hint="eastAsia" w:ascii="仿宋_GB2312" w:hAnsi="CESI仿宋-GB2312" w:eastAsia="仿宋_GB2312"/>
          <w:b w:val="0"/>
          <w:szCs w:val="32"/>
        </w:rPr>
        <w:t>按照基层标准评定中高级职称575名，任教满30年不受岗位比例</w:t>
      </w:r>
      <w:r>
        <w:rPr>
          <w:rFonts w:ascii="仿宋_GB2312" w:hAnsi="CESI仿宋-GB2312" w:eastAsia="仿宋_GB2312"/>
          <w:b w:val="0"/>
          <w:szCs w:val="32"/>
        </w:rPr>
        <w:t>限制晋升高一级</w:t>
      </w:r>
      <w:r>
        <w:rPr>
          <w:rFonts w:hint="eastAsia" w:ascii="仿宋_GB2312" w:hAnsi="CESI仿宋-GB2312" w:eastAsia="仿宋_GB2312"/>
          <w:b w:val="0"/>
          <w:szCs w:val="32"/>
        </w:rPr>
        <w:t>职称161人</w:t>
      </w:r>
      <w:r>
        <w:rPr>
          <w:rFonts w:ascii="仿宋_GB2312" w:hAnsi="CESI仿宋-GB2312" w:eastAsia="仿宋_GB2312"/>
          <w:b w:val="0"/>
          <w:szCs w:val="32"/>
        </w:rPr>
        <w:t>。</w:t>
      </w:r>
      <w:bookmarkEnd w:id="68"/>
      <w:bookmarkEnd w:id="69"/>
    </w:p>
    <w:p>
      <w:pPr>
        <w:numPr>
          <w:ilvl w:val="0"/>
          <w:numId w:val="2"/>
        </w:numPr>
        <w:adjustRightInd w:val="0"/>
        <w:snapToGrid w:val="0"/>
        <w:spacing w:line="576" w:lineRule="exact"/>
        <w:ind w:left="0" w:leftChars="0" w:firstLine="420" w:firstLineChars="0"/>
        <w:outlineLvl w:val="0"/>
        <w:rPr>
          <w:rFonts w:hint="eastAsia" w:ascii="黑体" w:hAnsi="方正黑体_GBK" w:eastAsia="黑体" w:cs="方正黑体_GBK"/>
          <w:sz w:val="32"/>
          <w:szCs w:val="32"/>
        </w:rPr>
      </w:pPr>
      <w:bookmarkStart w:id="70" w:name="_Toc23156"/>
      <w:bookmarkStart w:id="71" w:name="_Toc2570"/>
      <w:r>
        <w:rPr>
          <w:rFonts w:hint="eastAsia" w:ascii="黑体" w:hAnsi="方正黑体_GBK" w:eastAsia="黑体" w:cs="方正黑体_GBK"/>
          <w:sz w:val="32"/>
          <w:szCs w:val="32"/>
        </w:rPr>
        <w:t>持续深化教育综合改革，教育科学发展迸发新活力</w:t>
      </w:r>
      <w:bookmarkEnd w:id="70"/>
      <w:bookmarkEnd w:id="71"/>
    </w:p>
    <w:p>
      <w:pPr>
        <w:pStyle w:val="4"/>
        <w:keepNext w:val="0"/>
        <w:keepLines w:val="0"/>
        <w:numPr>
          <w:ilvl w:val="0"/>
          <w:numId w:val="7"/>
        </w:numPr>
        <w:adjustRightInd w:val="0"/>
        <w:snapToGrid w:val="0"/>
        <w:spacing w:before="0" w:after="0" w:line="576" w:lineRule="exact"/>
        <w:ind w:left="0" w:leftChars="0" w:firstLine="640" w:firstLineChars="200"/>
        <w:rPr>
          <w:rFonts w:ascii="仿宋_GB2312" w:hAnsi="CESI仿宋-GB2312" w:eastAsia="仿宋_GB2312"/>
          <w:b w:val="0"/>
          <w:szCs w:val="32"/>
        </w:rPr>
      </w:pPr>
      <w:bookmarkStart w:id="72" w:name="_Toc4039"/>
      <w:bookmarkStart w:id="73" w:name="_Toc2726"/>
      <w:r>
        <w:rPr>
          <w:rFonts w:hint="eastAsia" w:ascii="楷体_GB2312" w:hAnsi="方正仿宋_GBK" w:eastAsia="楷体_GB2312" w:cs="方正仿宋_GBK"/>
          <w:b w:val="0"/>
          <w:bCs/>
          <w:szCs w:val="32"/>
        </w:rPr>
        <w:t>教育资源配置</w:t>
      </w:r>
      <w:r>
        <w:rPr>
          <w:rFonts w:ascii="楷体_GB2312" w:hAnsi="方正仿宋_GBK" w:eastAsia="楷体_GB2312" w:cs="方正仿宋_GBK"/>
          <w:b w:val="0"/>
          <w:bCs/>
          <w:szCs w:val="32"/>
        </w:rPr>
        <w:t>不断</w:t>
      </w:r>
      <w:r>
        <w:rPr>
          <w:rFonts w:hint="eastAsia" w:ascii="楷体_GB2312" w:hAnsi="方正仿宋_GBK" w:eastAsia="楷体_GB2312" w:cs="方正仿宋_GBK"/>
          <w:b w:val="0"/>
          <w:bCs/>
          <w:szCs w:val="32"/>
        </w:rPr>
        <w:t>优化。</w:t>
      </w:r>
      <w:r>
        <w:rPr>
          <w:rFonts w:ascii="仿宋_GB2312" w:hAnsi="CESI仿宋-GB2312" w:eastAsia="仿宋_GB2312"/>
          <w:b w:val="0"/>
          <w:szCs w:val="32"/>
        </w:rPr>
        <w:t>切实做好</w:t>
      </w:r>
      <w:r>
        <w:rPr>
          <w:rFonts w:hint="eastAsia" w:ascii="仿宋_GB2312" w:hAnsi="CESI仿宋-GB2312" w:eastAsia="仿宋_GB2312"/>
          <w:b w:val="0"/>
          <w:szCs w:val="32"/>
        </w:rPr>
        <w:t>两项改革“后半篇”文章，</w:t>
      </w:r>
      <w:r>
        <w:rPr>
          <w:rFonts w:ascii="仿宋_GB2312" w:hAnsi="CESI仿宋-GB2312" w:eastAsia="仿宋_GB2312"/>
          <w:b w:val="0"/>
          <w:szCs w:val="32"/>
        </w:rPr>
        <w:t>稳妥推进</w:t>
      </w:r>
      <w:r>
        <w:rPr>
          <w:rFonts w:hint="eastAsia" w:ascii="仿宋_GB2312" w:hAnsi="CESI仿宋-GB2312" w:eastAsia="仿宋_GB2312"/>
          <w:b w:val="0"/>
          <w:szCs w:val="32"/>
        </w:rPr>
        <w:t>学校布局调整</w:t>
      </w:r>
      <w:r>
        <w:rPr>
          <w:rFonts w:ascii="仿宋_GB2312" w:hAnsi="CESI仿宋-GB2312" w:eastAsia="仿宋_GB2312"/>
          <w:b w:val="0"/>
          <w:szCs w:val="32"/>
        </w:rPr>
        <w:t>，推行市区同城一体化运行</w:t>
      </w:r>
      <w:r>
        <w:rPr>
          <w:rFonts w:hint="eastAsia" w:ascii="仿宋_GB2312" w:hAnsi="CESI仿宋-GB2312" w:eastAsia="仿宋_GB2312"/>
          <w:b w:val="0"/>
          <w:szCs w:val="32"/>
        </w:rPr>
        <w:t>。</w:t>
      </w:r>
      <w:r>
        <w:rPr>
          <w:rFonts w:hint="eastAsia" w:ascii="仿宋_GB2312" w:hAnsi="方正仿宋_GBK" w:eastAsia="仿宋_GB2312" w:cs="方正仿宋_GBK"/>
          <w:b w:val="0"/>
          <w:szCs w:val="32"/>
        </w:rPr>
        <w:t>全市撤并整合空心校点、生源严重萎缩的小规模学校（园）257个</w:t>
      </w:r>
      <w:r>
        <w:rPr>
          <w:rFonts w:ascii="仿宋_GB2312" w:hAnsi="方正仿宋_GBK" w:eastAsia="仿宋_GB2312" w:cs="方正仿宋_GBK"/>
          <w:b w:val="0"/>
          <w:szCs w:val="32"/>
        </w:rPr>
        <w:t>，调整中职学校3所。</w:t>
      </w:r>
      <w:r>
        <w:rPr>
          <w:rFonts w:ascii="仿宋_GB2312" w:hAnsi="CESI仿宋-GB2312" w:eastAsia="仿宋_GB2312"/>
          <w:b w:val="0"/>
          <w:szCs w:val="32"/>
        </w:rPr>
        <w:t>我市</w:t>
      </w:r>
      <w:r>
        <w:rPr>
          <w:rFonts w:hint="eastAsia" w:ascii="仿宋_GB2312" w:hAnsi="方正仿宋_GBK" w:eastAsia="仿宋_GB2312" w:cs="方正仿宋_GBK"/>
          <w:b w:val="0"/>
          <w:szCs w:val="32"/>
        </w:rPr>
        <w:t>基础教育学校布局调整工作做法在10月8日</w:t>
      </w:r>
      <w:r>
        <w:rPr>
          <w:rFonts w:hint="eastAsia" w:ascii="仿宋_GB2312" w:hAnsi="方正仿宋_GBK" w:eastAsia="仿宋_GB2312" w:cs="方正仿宋_GBK"/>
          <w:b w:val="0"/>
          <w:szCs w:val="32"/>
          <w:shd w:val="clear" w:color="auto" w:fill="FFFFFF"/>
        </w:rPr>
        <w:t>全省基础教育学校布局调整规划和建设规划工作会议作交流</w:t>
      </w:r>
      <w:r>
        <w:rPr>
          <w:rFonts w:ascii="仿宋_GB2312" w:hAnsi="方正仿宋_GBK" w:eastAsia="仿宋_GB2312" w:cs="方正仿宋_GBK"/>
          <w:b w:val="0"/>
          <w:szCs w:val="32"/>
          <w:shd w:val="clear" w:color="auto" w:fill="FFFFFF"/>
        </w:rPr>
        <w:t>。</w:t>
      </w:r>
      <w:r>
        <w:rPr>
          <w:rFonts w:ascii="仿宋_GB2312" w:hAnsi="CESI仿宋-GB2312" w:eastAsia="仿宋_GB2312"/>
          <w:b w:val="0"/>
          <w:szCs w:val="32"/>
        </w:rPr>
        <w:t>启动</w:t>
      </w:r>
      <w:r>
        <w:rPr>
          <w:rFonts w:hint="eastAsia" w:ascii="仿宋_GB2312" w:hAnsi="CESI仿宋-GB2312" w:eastAsia="仿宋_GB2312"/>
          <w:b w:val="0"/>
          <w:szCs w:val="32"/>
        </w:rPr>
        <w:t>整合</w:t>
      </w:r>
      <w:r>
        <w:rPr>
          <w:rFonts w:ascii="仿宋_GB2312" w:hAnsi="CESI仿宋-GB2312" w:eastAsia="仿宋_GB2312"/>
          <w:b w:val="0"/>
          <w:szCs w:val="32"/>
        </w:rPr>
        <w:t>职业教育优质资源创建</w:t>
      </w:r>
      <w:r>
        <w:rPr>
          <w:rFonts w:hint="eastAsia" w:ascii="仿宋_GB2312" w:hAnsi="CESI仿宋-GB2312" w:eastAsia="仿宋_GB2312"/>
          <w:b w:val="0"/>
          <w:szCs w:val="32"/>
        </w:rPr>
        <w:t>广元职业技术学院</w:t>
      </w:r>
      <w:r>
        <w:rPr>
          <w:rFonts w:ascii="仿宋_GB2312" w:hAnsi="CESI仿宋-GB2312" w:eastAsia="仿宋_GB2312"/>
          <w:b w:val="0"/>
          <w:szCs w:val="32"/>
        </w:rPr>
        <w:t>工作</w:t>
      </w:r>
      <w:r>
        <w:rPr>
          <w:rFonts w:hint="eastAsia" w:ascii="仿宋_GB2312" w:hAnsi="CESI仿宋-GB2312" w:eastAsia="仿宋_GB2312"/>
          <w:b w:val="0"/>
          <w:szCs w:val="32"/>
        </w:rPr>
        <w:t>。</w:t>
      </w:r>
      <w:bookmarkEnd w:id="72"/>
      <w:bookmarkEnd w:id="73"/>
    </w:p>
    <w:p>
      <w:pPr>
        <w:pStyle w:val="4"/>
        <w:keepNext w:val="0"/>
        <w:keepLines w:val="0"/>
        <w:numPr>
          <w:ilvl w:val="0"/>
          <w:numId w:val="7"/>
        </w:numPr>
        <w:adjustRightInd w:val="0"/>
        <w:snapToGrid w:val="0"/>
        <w:spacing w:before="0" w:after="0" w:line="576" w:lineRule="exact"/>
        <w:ind w:left="0" w:leftChars="0" w:firstLine="640" w:firstLineChars="200"/>
        <w:rPr>
          <w:rFonts w:hint="eastAsia" w:ascii="仿宋_GB2312" w:eastAsia="仿宋_GB2312"/>
        </w:rPr>
      </w:pPr>
      <w:bookmarkStart w:id="74" w:name="_Toc32650"/>
      <w:bookmarkStart w:id="75" w:name="_Toc28055"/>
      <w:r>
        <w:rPr>
          <w:rFonts w:hint="eastAsia" w:ascii="楷体_GB2312" w:hAnsi="方正仿宋_GBK" w:eastAsia="楷体_GB2312" w:cs="方正仿宋_GBK"/>
          <w:b w:val="0"/>
          <w:bCs/>
          <w:szCs w:val="32"/>
        </w:rPr>
        <w:t>“双规双减”落实有力。</w:t>
      </w:r>
      <w:r>
        <w:rPr>
          <w:rFonts w:ascii="仿宋_GB2312" w:hAnsi="CESI仿宋-GB2312" w:eastAsia="仿宋_GB2312"/>
          <w:b w:val="0"/>
          <w:szCs w:val="32"/>
        </w:rPr>
        <w:t>贯彻落实国家、省、市关于</w:t>
      </w:r>
      <w:r>
        <w:rPr>
          <w:rFonts w:hint="eastAsia" w:ascii="仿宋_GB2312" w:hAnsi="CESI仿宋-GB2312" w:eastAsia="仿宋_GB2312"/>
          <w:b w:val="0"/>
          <w:szCs w:val="32"/>
        </w:rPr>
        <w:t>“五项管理”“</w:t>
      </w:r>
      <w:r>
        <w:rPr>
          <w:rFonts w:ascii="仿宋_GB2312" w:hAnsi="CESI仿宋-GB2312" w:eastAsia="仿宋_GB2312"/>
          <w:b w:val="0"/>
          <w:szCs w:val="32"/>
        </w:rPr>
        <w:t>双规双减</w:t>
      </w:r>
      <w:r>
        <w:rPr>
          <w:rFonts w:hint="eastAsia" w:ascii="仿宋_GB2312" w:hAnsi="CESI仿宋-GB2312" w:eastAsia="仿宋_GB2312"/>
          <w:b w:val="0"/>
          <w:szCs w:val="32"/>
        </w:rPr>
        <w:t>”</w:t>
      </w:r>
      <w:r>
        <w:rPr>
          <w:rFonts w:ascii="仿宋_GB2312" w:hAnsi="CESI仿宋-GB2312" w:eastAsia="仿宋_GB2312"/>
          <w:b w:val="0"/>
          <w:szCs w:val="32"/>
        </w:rPr>
        <w:t>的政策要求和安排部署，将工作推进情况</w:t>
      </w:r>
      <w:r>
        <w:rPr>
          <w:rFonts w:hint="eastAsia" w:ascii="仿宋_GB2312" w:hAnsi="CESI仿宋-GB2312" w:eastAsia="仿宋_GB2312"/>
          <w:b w:val="0"/>
          <w:szCs w:val="32"/>
        </w:rPr>
        <w:t>纳入挂牌督导</w:t>
      </w:r>
      <w:r>
        <w:rPr>
          <w:rFonts w:ascii="仿宋_GB2312" w:hAnsi="CESI仿宋-GB2312" w:eastAsia="仿宋_GB2312"/>
          <w:b w:val="0"/>
          <w:szCs w:val="32"/>
        </w:rPr>
        <w:t>。出台加强中小学生</w:t>
      </w:r>
      <w:r>
        <w:rPr>
          <w:rFonts w:hint="eastAsia" w:ascii="仿宋_GB2312" w:hAnsi="CESI仿宋-GB2312" w:eastAsia="仿宋_GB2312"/>
          <w:b w:val="0"/>
          <w:szCs w:val="32"/>
        </w:rPr>
        <w:t>“</w:t>
      </w:r>
      <w:r>
        <w:rPr>
          <w:rFonts w:ascii="仿宋_GB2312" w:hAnsi="CESI仿宋-GB2312" w:eastAsia="仿宋_GB2312"/>
          <w:b w:val="0"/>
          <w:szCs w:val="32"/>
        </w:rPr>
        <w:t>五项管理</w:t>
      </w:r>
      <w:r>
        <w:rPr>
          <w:rFonts w:hint="eastAsia" w:ascii="仿宋_GB2312" w:hAnsi="CESI仿宋-GB2312" w:eastAsia="仿宋_GB2312"/>
          <w:b w:val="0"/>
          <w:szCs w:val="32"/>
        </w:rPr>
        <w:t>”</w:t>
      </w:r>
      <w:r>
        <w:rPr>
          <w:rFonts w:ascii="仿宋_GB2312" w:hAnsi="CESI仿宋-GB2312" w:eastAsia="仿宋_GB2312"/>
          <w:b w:val="0"/>
          <w:szCs w:val="32"/>
        </w:rPr>
        <w:t>二十条措施，学生和家长对校内减负满意度均达98%。出台</w:t>
      </w:r>
      <w:r>
        <w:rPr>
          <w:rFonts w:hint="eastAsia" w:ascii="仿宋_GB2312" w:hAnsi="CESI仿宋-GB2312" w:eastAsia="仿宋_GB2312"/>
          <w:b w:val="0"/>
          <w:szCs w:val="32"/>
        </w:rPr>
        <w:t>校外培训机构办学行为“九条禁令”，引导全市2</w:t>
      </w:r>
      <w:r>
        <w:rPr>
          <w:rFonts w:ascii="仿宋_GB2312" w:hAnsi="CESI仿宋-GB2312" w:eastAsia="仿宋_GB2312"/>
          <w:b w:val="0"/>
          <w:szCs w:val="32"/>
        </w:rPr>
        <w:t>1</w:t>
      </w:r>
      <w:r>
        <w:rPr>
          <w:rFonts w:hint="eastAsia" w:ascii="仿宋_GB2312" w:hAnsi="CESI仿宋-GB2312" w:eastAsia="仿宋_GB2312"/>
          <w:b w:val="0"/>
          <w:szCs w:val="32"/>
        </w:rPr>
        <w:t>3家学科类培训机构转型转向发展，切实规范校外培训行为，减轻学生课外培训负担。</w:t>
      </w:r>
      <w:bookmarkEnd w:id="74"/>
      <w:bookmarkEnd w:id="75"/>
    </w:p>
    <w:p>
      <w:pPr>
        <w:pStyle w:val="4"/>
        <w:keepNext w:val="0"/>
        <w:keepLines w:val="0"/>
        <w:numPr>
          <w:ilvl w:val="0"/>
          <w:numId w:val="7"/>
        </w:numPr>
        <w:adjustRightInd w:val="0"/>
        <w:snapToGrid w:val="0"/>
        <w:spacing w:before="0" w:after="0" w:line="576" w:lineRule="exact"/>
        <w:ind w:left="0" w:leftChars="0" w:firstLine="640" w:firstLineChars="200"/>
        <w:rPr>
          <w:rFonts w:hint="eastAsia" w:ascii="仿宋_GB2312" w:hAnsi="仿宋_GB2312" w:eastAsia="仿宋_GB2312" w:cs="仿宋_GB2312"/>
          <w:b w:val="0"/>
          <w:szCs w:val="32"/>
        </w:rPr>
      </w:pPr>
      <w:bookmarkStart w:id="76" w:name="_Toc15339"/>
      <w:bookmarkStart w:id="77" w:name="_Toc6073"/>
      <w:r>
        <w:rPr>
          <w:rFonts w:hint="eastAsia" w:ascii="楷体_GB2312" w:hAnsi="方正仿宋_GBK" w:eastAsia="楷体_GB2312" w:cs="方正仿宋_GBK"/>
          <w:b w:val="0"/>
          <w:bCs/>
          <w:szCs w:val="32"/>
        </w:rPr>
        <w:t>教育改革</w:t>
      </w:r>
      <w:r>
        <w:rPr>
          <w:rFonts w:ascii="楷体_GB2312" w:hAnsi="方正仿宋_GBK" w:eastAsia="楷体_GB2312" w:cs="方正仿宋_GBK"/>
          <w:b w:val="0"/>
          <w:bCs/>
          <w:szCs w:val="32"/>
        </w:rPr>
        <w:t>成果拓展巩固</w:t>
      </w:r>
      <w:r>
        <w:rPr>
          <w:rFonts w:hint="eastAsia" w:ascii="楷体_GB2312" w:hAnsi="方正仿宋_GBK" w:eastAsia="楷体_GB2312" w:cs="方正仿宋_GBK"/>
          <w:b w:val="0"/>
          <w:bCs/>
          <w:szCs w:val="32"/>
        </w:rPr>
        <w:t>。</w:t>
      </w:r>
      <w:r>
        <w:rPr>
          <w:rFonts w:ascii="仿宋_GB2312" w:hAnsi="CESI仿宋-GB2312" w:eastAsia="仿宋_GB2312"/>
          <w:b w:val="0"/>
          <w:szCs w:val="32"/>
        </w:rPr>
        <w:t>持续深化</w:t>
      </w:r>
      <w:r>
        <w:rPr>
          <w:rFonts w:hint="eastAsia" w:ascii="仿宋_GB2312" w:hAnsi="CESI仿宋-GB2312" w:eastAsia="仿宋_GB2312"/>
          <w:b w:val="0"/>
          <w:szCs w:val="32"/>
        </w:rPr>
        <w:t>新时代教育体制</w:t>
      </w:r>
      <w:r>
        <w:rPr>
          <w:rFonts w:ascii="仿宋_GB2312" w:hAnsi="CESI仿宋-GB2312" w:eastAsia="仿宋_GB2312"/>
          <w:b w:val="0"/>
          <w:szCs w:val="32"/>
        </w:rPr>
        <w:t>机制、</w:t>
      </w:r>
      <w:r>
        <w:rPr>
          <w:rFonts w:hint="eastAsia" w:ascii="仿宋_GB2312" w:hAnsi="CESI仿宋-GB2312" w:eastAsia="仿宋_GB2312"/>
          <w:b w:val="0"/>
          <w:szCs w:val="32"/>
        </w:rPr>
        <w:t>教育督导体制机制</w:t>
      </w:r>
      <w:r>
        <w:rPr>
          <w:rFonts w:ascii="仿宋_GB2312" w:hAnsi="CESI仿宋-GB2312" w:eastAsia="仿宋_GB2312"/>
          <w:b w:val="0"/>
          <w:szCs w:val="32"/>
        </w:rPr>
        <w:t>、</w:t>
      </w:r>
      <w:r>
        <w:rPr>
          <w:rFonts w:hint="eastAsia" w:ascii="仿宋_GB2312" w:hAnsi="CESI仿宋-GB2312" w:eastAsia="仿宋_GB2312"/>
          <w:b w:val="0"/>
          <w:szCs w:val="32"/>
        </w:rPr>
        <w:t>教师队伍建设</w:t>
      </w:r>
      <w:r>
        <w:rPr>
          <w:rFonts w:ascii="仿宋_GB2312" w:hAnsi="CESI仿宋-GB2312" w:eastAsia="仿宋_GB2312"/>
          <w:b w:val="0"/>
          <w:szCs w:val="32"/>
        </w:rPr>
        <w:t>等</w:t>
      </w:r>
      <w:r>
        <w:rPr>
          <w:rFonts w:hint="eastAsia" w:ascii="仿宋_GB2312" w:hAnsi="CESI仿宋-GB2312" w:eastAsia="仿宋_GB2312"/>
          <w:b w:val="0"/>
          <w:szCs w:val="32"/>
        </w:rPr>
        <w:t>改革</w:t>
      </w:r>
      <w:r>
        <w:rPr>
          <w:rFonts w:ascii="仿宋_GB2312" w:hAnsi="CESI仿宋-GB2312" w:eastAsia="仿宋_GB2312"/>
          <w:b w:val="0"/>
          <w:szCs w:val="32"/>
        </w:rPr>
        <w:t>项目，有序推进</w:t>
      </w:r>
      <w:r>
        <w:rPr>
          <w:rFonts w:hint="eastAsia" w:ascii="仿宋_GB2312" w:hAnsi="CESI仿宋-GB2312" w:eastAsia="仿宋_GB2312"/>
          <w:b w:val="0"/>
          <w:szCs w:val="32"/>
        </w:rPr>
        <w:t>“1+</w:t>
      </w:r>
      <w:r>
        <w:rPr>
          <w:rFonts w:ascii="仿宋_GB2312" w:hAnsi="CESI仿宋-GB2312" w:eastAsia="仿宋_GB2312"/>
          <w:b w:val="0"/>
          <w:szCs w:val="32"/>
          <w:lang w:val="en"/>
        </w:rPr>
        <w:t>X</w:t>
      </w:r>
      <w:r>
        <w:rPr>
          <w:rFonts w:hint="eastAsia" w:ascii="仿宋_GB2312" w:hAnsi="CESI仿宋-GB2312" w:eastAsia="仿宋_GB2312"/>
          <w:b w:val="0"/>
          <w:szCs w:val="32"/>
        </w:rPr>
        <w:t>”职业证书制度</w:t>
      </w:r>
      <w:r>
        <w:rPr>
          <w:rFonts w:ascii="仿宋_GB2312" w:hAnsi="CESI仿宋-GB2312" w:eastAsia="仿宋_GB2312"/>
          <w:b w:val="0"/>
          <w:szCs w:val="32"/>
        </w:rPr>
        <w:t>、</w:t>
      </w:r>
      <w:r>
        <w:rPr>
          <w:rFonts w:hint="eastAsia" w:ascii="仿宋_GB2312" w:hAnsi="CESI仿宋-GB2312" w:eastAsia="仿宋_GB2312"/>
          <w:b w:val="0"/>
          <w:szCs w:val="32"/>
        </w:rPr>
        <w:t>促进乡村教育发展体系建设</w:t>
      </w:r>
      <w:r>
        <w:rPr>
          <w:rFonts w:ascii="仿宋_GB2312" w:hAnsi="CESI仿宋-GB2312" w:eastAsia="仿宋_GB2312"/>
          <w:b w:val="0"/>
          <w:szCs w:val="32"/>
        </w:rPr>
        <w:t>等重大</w:t>
      </w:r>
      <w:r>
        <w:rPr>
          <w:rFonts w:hint="eastAsia" w:ascii="仿宋_GB2312" w:hAnsi="CESI仿宋-GB2312" w:eastAsia="仿宋_GB2312"/>
          <w:b w:val="0"/>
          <w:szCs w:val="32"/>
        </w:rPr>
        <w:t>改革试点</w:t>
      </w:r>
      <w:r>
        <w:rPr>
          <w:rFonts w:ascii="仿宋_GB2312" w:hAnsi="CESI仿宋-GB2312" w:eastAsia="仿宋_GB2312"/>
          <w:b w:val="0"/>
          <w:szCs w:val="32"/>
        </w:rPr>
        <w:t>项目，</w:t>
      </w:r>
      <w:r>
        <w:rPr>
          <w:rFonts w:hint="eastAsia" w:ascii="仿宋_GB2312" w:hAnsi="CESI仿宋-GB2312" w:eastAsia="仿宋_GB2312"/>
          <w:b w:val="0"/>
          <w:szCs w:val="32"/>
        </w:rPr>
        <w:t>持</w:t>
      </w:r>
      <w:r>
        <w:rPr>
          <w:rFonts w:ascii="仿宋_GB2312" w:hAnsi="仿宋_GB2312" w:eastAsia="仿宋_GB2312" w:cs="仿宋_GB2312"/>
          <w:b w:val="0"/>
          <w:szCs w:val="32"/>
        </w:rPr>
        <w:t>续巩固</w:t>
      </w:r>
      <w:r>
        <w:rPr>
          <w:rFonts w:hint="eastAsia" w:ascii="仿宋_GB2312" w:hAnsi="CESI仿宋-GB2312" w:eastAsia="仿宋_GB2312"/>
          <w:b w:val="0"/>
          <w:szCs w:val="32"/>
        </w:rPr>
        <w:t>法治教育“三养”模式、“一会七员”学生膳食管理、“3+3+N”产教融合等教育改革成果</w:t>
      </w:r>
      <w:r>
        <w:rPr>
          <w:rFonts w:hint="eastAsia" w:ascii="仿宋_GB2312" w:hAnsi="仿宋_GB2312" w:eastAsia="仿宋_GB2312" w:cs="仿宋_GB2312"/>
          <w:b w:val="0"/>
          <w:szCs w:val="32"/>
        </w:rPr>
        <w:t>。</w:t>
      </w:r>
      <w:bookmarkEnd w:id="76"/>
      <w:bookmarkEnd w:id="77"/>
    </w:p>
    <w:p>
      <w:pPr>
        <w:pStyle w:val="4"/>
        <w:keepNext w:val="0"/>
        <w:keepLines w:val="0"/>
        <w:numPr>
          <w:ilvl w:val="0"/>
          <w:numId w:val="7"/>
        </w:numPr>
        <w:adjustRightInd w:val="0"/>
        <w:snapToGrid w:val="0"/>
        <w:spacing w:before="0" w:after="0" w:line="576" w:lineRule="exact"/>
        <w:ind w:left="0" w:leftChars="0" w:firstLine="640" w:firstLineChars="200"/>
        <w:rPr>
          <w:rFonts w:ascii="仿宋_GB2312" w:hAnsi="方正仿宋_GBK" w:eastAsia="仿宋_GB2312" w:cs="方正仿宋_GBK"/>
          <w:b w:val="0"/>
          <w:szCs w:val="32"/>
        </w:rPr>
      </w:pPr>
      <w:bookmarkStart w:id="78" w:name="_Toc30734"/>
      <w:bookmarkStart w:id="79" w:name="_Toc22483"/>
      <w:r>
        <w:rPr>
          <w:rFonts w:ascii="楷体_GB2312" w:hAnsi="方正仿宋_GBK" w:eastAsia="楷体_GB2312" w:cs="方正仿宋_GBK"/>
          <w:b w:val="0"/>
          <w:bCs/>
          <w:szCs w:val="32"/>
        </w:rPr>
        <w:t>教育营商环境持续优化。</w:t>
      </w:r>
      <w:r>
        <w:rPr>
          <w:rFonts w:ascii="仿宋_GB2312" w:hAnsi="方正仿宋_GBK" w:eastAsia="仿宋_GB2312" w:cs="方正仿宋_GBK"/>
          <w:b w:val="0"/>
          <w:szCs w:val="32"/>
        </w:rPr>
        <w:t>持续深化“放管服”改革，推进四川政务服务网一体化平台、“互联网+监管”平台线上工作高效运行，研发便民小程序1个，</w:t>
      </w:r>
      <w:r>
        <w:rPr>
          <w:rFonts w:hint="eastAsia" w:ascii="仿宋_GB2312" w:hAnsi="仿宋_GB2312" w:eastAsia="仿宋_GB2312" w:cs="仿宋_GB2312"/>
          <w:b w:val="0"/>
          <w:bCs/>
          <w:szCs w:val="32"/>
        </w:rPr>
        <w:t>11</w:t>
      </w:r>
      <w:r>
        <w:rPr>
          <w:rFonts w:ascii="仿宋_GB2312" w:hAnsi="仿宋_GB2312" w:eastAsia="仿宋_GB2312" w:cs="仿宋_GB2312"/>
          <w:b w:val="0"/>
          <w:bCs/>
          <w:szCs w:val="32"/>
        </w:rPr>
        <w:t>个</w:t>
      </w:r>
      <w:r>
        <w:rPr>
          <w:rFonts w:hint="eastAsia" w:ascii="仿宋_GB2312" w:hAnsi="仿宋_GB2312" w:eastAsia="仿宋_GB2312" w:cs="仿宋_GB2312"/>
          <w:b w:val="0"/>
          <w:bCs/>
          <w:szCs w:val="32"/>
        </w:rPr>
        <w:t>涉及行政许可</w:t>
      </w:r>
      <w:r>
        <w:rPr>
          <w:rFonts w:ascii="仿宋_GB2312" w:hAnsi="仿宋_GB2312" w:eastAsia="仿宋_GB2312" w:cs="仿宋_GB2312"/>
          <w:b w:val="0"/>
          <w:bCs/>
          <w:szCs w:val="32"/>
        </w:rPr>
        <w:t>项目</w:t>
      </w:r>
      <w:r>
        <w:rPr>
          <w:rFonts w:hint="eastAsia" w:ascii="仿宋_GB2312" w:hAnsi="仿宋_GB2312" w:eastAsia="仿宋_GB2312" w:cs="仿宋_GB2312"/>
          <w:b w:val="0"/>
          <w:bCs/>
          <w:szCs w:val="32"/>
        </w:rPr>
        <w:t>全面推行电子证照</w:t>
      </w:r>
      <w:r>
        <w:rPr>
          <w:rFonts w:ascii="仿宋_GB2312" w:hAnsi="仿宋_GB2312" w:eastAsia="仿宋_GB2312" w:cs="仿宋_GB2312"/>
          <w:b w:val="0"/>
          <w:bCs/>
          <w:szCs w:val="32"/>
        </w:rPr>
        <w:t>。</w:t>
      </w:r>
      <w:r>
        <w:rPr>
          <w:rFonts w:ascii="仿宋_GB2312" w:hAnsi="方正仿宋_GBK" w:eastAsia="仿宋_GB2312" w:cs="方正仿宋_GBK"/>
          <w:b w:val="0"/>
          <w:szCs w:val="32"/>
        </w:rPr>
        <w:t>25个依申请类事项全部入驻政务中心，全程网办率达96.65%。帮助5家</w:t>
      </w:r>
      <w:r>
        <w:rPr>
          <w:rFonts w:hint="eastAsia" w:ascii="仿宋_GB2312" w:hAnsi="方正仿宋_GBK" w:eastAsia="仿宋_GB2312" w:cs="方正仿宋_GBK"/>
          <w:b w:val="0"/>
          <w:szCs w:val="32"/>
        </w:rPr>
        <w:t>限上批零住餐企业入库，培育规上服务业企业</w:t>
      </w:r>
      <w:r>
        <w:rPr>
          <w:rFonts w:ascii="仿宋_GB2312" w:hAnsi="方正仿宋_GBK" w:eastAsia="仿宋_GB2312" w:cs="方正仿宋_GBK"/>
          <w:b w:val="0"/>
          <w:szCs w:val="32"/>
        </w:rPr>
        <w:t>1</w:t>
      </w:r>
      <w:r>
        <w:rPr>
          <w:rFonts w:hint="eastAsia" w:ascii="仿宋_GB2312" w:hAnsi="方正仿宋_GBK" w:eastAsia="仿宋_GB2312" w:cs="方正仿宋_GBK"/>
          <w:b w:val="0"/>
          <w:szCs w:val="32"/>
        </w:rPr>
        <w:t>户。</w:t>
      </w:r>
      <w:r>
        <w:rPr>
          <w:rFonts w:ascii="仿宋_GB2312" w:hAnsi="方正仿宋_GBK" w:eastAsia="仿宋_GB2312" w:cs="方正仿宋_GBK"/>
          <w:b w:val="0"/>
          <w:szCs w:val="32"/>
        </w:rPr>
        <w:t>市教育局在“四上企业”对我市优化营商环境工作评价中“非常满意”率34.3%，排名第三。</w:t>
      </w:r>
      <w:bookmarkEnd w:id="78"/>
      <w:bookmarkEnd w:id="79"/>
    </w:p>
    <w:p>
      <w:pPr>
        <w:pStyle w:val="4"/>
        <w:keepNext w:val="0"/>
        <w:keepLines w:val="0"/>
        <w:numPr>
          <w:ilvl w:val="0"/>
          <w:numId w:val="7"/>
        </w:numPr>
        <w:adjustRightInd w:val="0"/>
        <w:snapToGrid w:val="0"/>
        <w:spacing w:before="0" w:after="0" w:line="576" w:lineRule="exact"/>
        <w:ind w:left="0" w:leftChars="0" w:firstLine="640" w:firstLineChars="200"/>
        <w:rPr>
          <w:rFonts w:ascii="仿宋_GB2312" w:hAnsi="方正仿宋_GBK" w:eastAsia="仿宋_GB2312" w:cs="方正仿宋_GBK"/>
          <w:b w:val="0"/>
          <w:szCs w:val="32"/>
        </w:rPr>
      </w:pPr>
      <w:bookmarkStart w:id="80" w:name="_Toc26752"/>
      <w:bookmarkStart w:id="81" w:name="_Toc122"/>
      <w:r>
        <w:rPr>
          <w:rFonts w:ascii="楷体_GB2312" w:hAnsi="方正仿宋_GBK" w:eastAsia="楷体_GB2312" w:cs="方正仿宋_GBK"/>
          <w:b w:val="0"/>
          <w:bCs/>
          <w:szCs w:val="32"/>
        </w:rPr>
        <w:t>对外交流</w:t>
      </w:r>
      <w:r>
        <w:rPr>
          <w:rFonts w:hint="eastAsia" w:ascii="楷体_GB2312" w:hAnsi="方正仿宋_GBK" w:eastAsia="楷体_GB2312" w:cs="方正仿宋_GBK"/>
          <w:b w:val="0"/>
          <w:bCs/>
          <w:szCs w:val="32"/>
        </w:rPr>
        <w:t>合作更加紧密。</w:t>
      </w:r>
      <w:r>
        <w:rPr>
          <w:rFonts w:hint="eastAsia" w:ascii="仿宋_GB2312" w:hAnsi="方正仿宋_GBK" w:eastAsia="仿宋_GB2312" w:cs="方正仿宋_GBK"/>
          <w:b w:val="0"/>
          <w:szCs w:val="32"/>
        </w:rPr>
        <w:t>推进广元教育积极融入成渝地区双城经济圈，参与川东北经济区的教育合作交流，深入</w:t>
      </w:r>
      <w:r>
        <w:rPr>
          <w:rFonts w:ascii="仿宋_GB2312" w:hAnsi="方正仿宋_GBK" w:eastAsia="仿宋_GB2312" w:cs="方正仿宋_GBK"/>
          <w:b w:val="0"/>
          <w:szCs w:val="32"/>
        </w:rPr>
        <w:t>东西部</w:t>
      </w:r>
      <w:r>
        <w:rPr>
          <w:rFonts w:hint="eastAsia" w:ascii="仿宋_GB2312" w:hAnsi="方正仿宋_GBK" w:eastAsia="仿宋_GB2312" w:cs="方正仿宋_GBK"/>
          <w:b w:val="0"/>
          <w:szCs w:val="32"/>
        </w:rPr>
        <w:t>浙广、杭广教育协作</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在教育管理、课程改革、人才培养等方面开展多层次交流合作。</w:t>
      </w:r>
      <w:r>
        <w:rPr>
          <w:rFonts w:ascii="仿宋_GB2312" w:hAnsi="方正仿宋_GBK" w:eastAsia="仿宋_GB2312" w:cs="方正仿宋_GBK"/>
          <w:b w:val="0"/>
          <w:szCs w:val="32"/>
        </w:rPr>
        <w:t>市内</w:t>
      </w:r>
      <w:r>
        <w:rPr>
          <w:rFonts w:hint="eastAsia" w:ascii="仿宋_GB2312" w:hAnsi="方正仿宋_GBK" w:eastAsia="仿宋_GB2312" w:cs="方正仿宋_GBK"/>
          <w:b w:val="0"/>
          <w:szCs w:val="32"/>
        </w:rPr>
        <w:t>8所中职学校与成渝地区16所高校合作开展23个专业的中高职贯通培养</w:t>
      </w:r>
      <w:r>
        <w:rPr>
          <w:rFonts w:ascii="仿宋_GB2312" w:hAnsi="方正仿宋_GBK" w:eastAsia="仿宋_GB2312" w:cs="方正仿宋_GBK"/>
          <w:b w:val="0"/>
          <w:szCs w:val="32"/>
        </w:rPr>
        <w:t>，市内3所</w:t>
      </w:r>
      <w:r>
        <w:rPr>
          <w:rFonts w:hint="eastAsia" w:ascii="仿宋_GB2312" w:hAnsi="方正仿宋_GBK" w:eastAsia="仿宋_GB2312" w:cs="方正仿宋_GBK"/>
          <w:b w:val="0"/>
          <w:szCs w:val="32"/>
        </w:rPr>
        <w:t>高校与16所高校开展合作办学</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市特校与四川师范大学特教系</w:t>
      </w:r>
      <w:r>
        <w:rPr>
          <w:rFonts w:ascii="仿宋_GB2312" w:hAnsi="方正仿宋_GBK" w:eastAsia="仿宋_GB2312" w:cs="方正仿宋_GBK"/>
          <w:b w:val="0"/>
          <w:szCs w:val="32"/>
        </w:rPr>
        <w:t>签订合作</w:t>
      </w:r>
      <w:r>
        <w:rPr>
          <w:rFonts w:hint="eastAsia" w:ascii="仿宋_GB2312" w:hAnsi="方正仿宋_GBK" w:eastAsia="仿宋_GB2312" w:cs="方正仿宋_GBK"/>
          <w:b w:val="0"/>
          <w:szCs w:val="32"/>
        </w:rPr>
        <w:t>协议</w:t>
      </w:r>
      <w:r>
        <w:rPr>
          <w:rFonts w:ascii="仿宋_GB2312" w:hAnsi="方正仿宋_GBK" w:eastAsia="仿宋_GB2312" w:cs="方正仿宋_GBK"/>
          <w:b w:val="0"/>
          <w:szCs w:val="32"/>
        </w:rPr>
        <w:t>。我市</w:t>
      </w:r>
      <w:r>
        <w:rPr>
          <w:rFonts w:hint="eastAsia" w:ascii="仿宋_GB2312" w:hAnsi="方正仿宋_GBK" w:eastAsia="仿宋_GB2312" w:cs="方正仿宋_GBK"/>
          <w:b w:val="0"/>
          <w:szCs w:val="32"/>
        </w:rPr>
        <w:t>与杭州市签署对口帮扶教育工作框架协议，苍溪县</w:t>
      </w:r>
      <w:r>
        <w:rPr>
          <w:rFonts w:ascii="仿宋_GB2312" w:hAnsi="方正仿宋_GBK" w:eastAsia="仿宋_GB2312" w:cs="方正仿宋_GBK"/>
          <w:b w:val="0"/>
          <w:szCs w:val="32"/>
        </w:rPr>
        <w:t>等6个县区</w:t>
      </w:r>
      <w:r>
        <w:rPr>
          <w:rFonts w:hint="eastAsia" w:ascii="仿宋_GB2312" w:hAnsi="方正仿宋_GBK" w:eastAsia="仿宋_GB2312" w:cs="方正仿宋_GBK"/>
          <w:b w:val="0"/>
          <w:szCs w:val="32"/>
        </w:rPr>
        <w:t>分别</w:t>
      </w:r>
      <w:r>
        <w:rPr>
          <w:rFonts w:ascii="仿宋_GB2312" w:hAnsi="方正仿宋_GBK" w:eastAsia="仿宋_GB2312" w:cs="方正仿宋_GBK"/>
          <w:b w:val="0"/>
          <w:szCs w:val="32"/>
        </w:rPr>
        <w:t>与</w:t>
      </w:r>
      <w:r>
        <w:rPr>
          <w:rFonts w:hint="eastAsia" w:ascii="仿宋_GB2312" w:hAnsi="方正仿宋_GBK" w:eastAsia="仿宋_GB2312" w:cs="方正仿宋_GBK"/>
          <w:b w:val="0"/>
          <w:szCs w:val="32"/>
        </w:rPr>
        <w:t>杭州市余杭区</w:t>
      </w:r>
      <w:r>
        <w:rPr>
          <w:rFonts w:ascii="仿宋_GB2312" w:hAnsi="方正仿宋_GBK" w:eastAsia="仿宋_GB2312" w:cs="方正仿宋_GBK"/>
          <w:b w:val="0"/>
          <w:szCs w:val="32"/>
        </w:rPr>
        <w:t>等6个区签署后续教育合作协议。广元开放大学与国家教育行政学院签订校校合作协议。</w:t>
      </w:r>
      <w:bookmarkEnd w:id="80"/>
      <w:bookmarkEnd w:id="81"/>
    </w:p>
    <w:p>
      <w:pPr>
        <w:numPr>
          <w:ilvl w:val="0"/>
          <w:numId w:val="2"/>
        </w:numPr>
        <w:adjustRightInd w:val="0"/>
        <w:snapToGrid w:val="0"/>
        <w:spacing w:line="576" w:lineRule="exact"/>
        <w:ind w:left="0" w:leftChars="0" w:firstLine="420" w:firstLineChars="0"/>
        <w:outlineLvl w:val="0"/>
        <w:rPr>
          <w:rFonts w:hint="eastAsia" w:ascii="黑体" w:hAnsi="方正黑体_GBK" w:eastAsia="黑体" w:cs="方正黑体_GBK"/>
          <w:sz w:val="32"/>
          <w:szCs w:val="32"/>
        </w:rPr>
      </w:pPr>
      <w:bookmarkStart w:id="82" w:name="_Toc7766"/>
      <w:bookmarkStart w:id="83" w:name="_Toc32389"/>
      <w:r>
        <w:rPr>
          <w:rFonts w:hint="eastAsia" w:ascii="黑体" w:hAnsi="方正黑体_GBK" w:eastAsia="黑体" w:cs="方正黑体_GBK"/>
          <w:sz w:val="32"/>
          <w:szCs w:val="32"/>
        </w:rPr>
        <w:t>主动服务经济社会发展，教育综合效益得到新提升</w:t>
      </w:r>
      <w:bookmarkEnd w:id="82"/>
      <w:bookmarkEnd w:id="83"/>
    </w:p>
    <w:p>
      <w:pPr>
        <w:pStyle w:val="4"/>
        <w:keepNext w:val="0"/>
        <w:keepLines w:val="0"/>
        <w:numPr>
          <w:ilvl w:val="0"/>
          <w:numId w:val="8"/>
        </w:numPr>
        <w:adjustRightInd w:val="0"/>
        <w:snapToGrid w:val="0"/>
        <w:spacing w:before="0" w:after="0" w:line="576" w:lineRule="exact"/>
        <w:ind w:left="0" w:leftChars="0" w:firstLine="640" w:firstLineChars="200"/>
        <w:rPr>
          <w:rFonts w:hint="eastAsia" w:ascii="仿宋_GB2312" w:hAnsi="方正仿宋_GBK" w:eastAsia="仿宋_GB2312" w:cs="方正仿宋_GBK"/>
          <w:b w:val="0"/>
          <w:szCs w:val="32"/>
        </w:rPr>
      </w:pPr>
      <w:bookmarkStart w:id="84" w:name="_Toc17725"/>
      <w:bookmarkStart w:id="85" w:name="_Toc17561"/>
      <w:r>
        <w:rPr>
          <w:rFonts w:hint="eastAsia" w:ascii="楷体_GB2312" w:hAnsi="方正仿宋_GBK" w:eastAsia="楷体_GB2312" w:cs="方正仿宋_GBK"/>
          <w:b w:val="0"/>
          <w:bCs/>
          <w:szCs w:val="32"/>
        </w:rPr>
        <w:t>教育帮扶民族地区成效明显。</w:t>
      </w:r>
      <w:r>
        <w:rPr>
          <w:rFonts w:ascii="仿宋_GB2312" w:hAnsi="方正仿宋_GBK" w:eastAsia="仿宋_GB2312" w:cs="方正仿宋_GBK"/>
          <w:b w:val="0"/>
          <w:szCs w:val="32"/>
        </w:rPr>
        <w:t>全</w:t>
      </w:r>
      <w:r>
        <w:rPr>
          <w:rFonts w:hint="eastAsia" w:ascii="仿宋_GB2312" w:hAnsi="方正仿宋_GBK" w:eastAsia="仿宋_GB2312" w:cs="方正仿宋_GBK"/>
          <w:b w:val="0"/>
          <w:szCs w:val="32"/>
        </w:rPr>
        <w:t>市现有“青海玉树班”学生1085人，“9+3”学生</w:t>
      </w:r>
      <w:r>
        <w:rPr>
          <w:rFonts w:ascii="仿宋_GB2312" w:hAnsi="方正仿宋_GBK" w:eastAsia="仿宋_GB2312" w:cs="方正仿宋_GBK"/>
          <w:b w:val="0"/>
          <w:szCs w:val="32"/>
        </w:rPr>
        <w:t>3234</w:t>
      </w:r>
      <w:r>
        <w:rPr>
          <w:rFonts w:hint="eastAsia" w:ascii="仿宋_GB2312" w:hAnsi="方正仿宋_GBK" w:eastAsia="仿宋_GB2312" w:cs="方正仿宋_GBK"/>
          <w:b w:val="0"/>
          <w:szCs w:val="32"/>
        </w:rPr>
        <w:t>人</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实现了对</w:t>
      </w:r>
      <w:r>
        <w:rPr>
          <w:rFonts w:ascii="仿宋_GB2312" w:hAnsi="方正仿宋_GBK" w:eastAsia="仿宋_GB2312" w:cs="方正仿宋_GBK"/>
          <w:b w:val="0"/>
          <w:szCs w:val="32"/>
        </w:rPr>
        <w:t>民族地区</w:t>
      </w:r>
      <w:r>
        <w:rPr>
          <w:rFonts w:hint="eastAsia" w:ascii="仿宋_GB2312" w:hAnsi="方正仿宋_GBK" w:eastAsia="仿宋_GB2312" w:cs="方正仿宋_GBK"/>
          <w:b w:val="0"/>
          <w:szCs w:val="32"/>
        </w:rPr>
        <w:t>义务教育、高中教育、职业教育的教育帮扶全覆盖。通过强化机制建设、关爱帮扶、文化交融等方式，促进民族交往交流交融</w:t>
      </w:r>
      <w:r>
        <w:rPr>
          <w:rFonts w:ascii="仿宋_GB2312" w:hAnsi="方正仿宋_GBK" w:eastAsia="仿宋_GB2312" w:cs="方正仿宋_GBK"/>
          <w:b w:val="0"/>
          <w:szCs w:val="32"/>
        </w:rPr>
        <w:t>和少数民族学生全面发展</w:t>
      </w:r>
      <w:r>
        <w:rPr>
          <w:rFonts w:hint="eastAsia" w:ascii="仿宋_GB2312" w:hAnsi="方正仿宋_GBK" w:eastAsia="仿宋_GB2312" w:cs="方正仿宋_GBK"/>
          <w:b w:val="0"/>
          <w:szCs w:val="32"/>
        </w:rPr>
        <w:t>。</w:t>
      </w:r>
      <w:r>
        <w:rPr>
          <w:rFonts w:hint="eastAsia" w:ascii="仿宋_GB2312" w:hAnsi="仿宋_GB2312" w:eastAsia="仿宋_GB2312" w:cs="仿宋_GB2312"/>
          <w:b w:val="0"/>
          <w:szCs w:val="32"/>
        </w:rPr>
        <w:t>市树人中学“青海玉树班”高考任务完成率在全国12所举办“玉树班”的学校中排名第二</w:t>
      </w:r>
      <w:r>
        <w:rPr>
          <w:rFonts w:ascii="仿宋_GB2312" w:hAnsi="仿宋_GB2312" w:eastAsia="仿宋_GB2312" w:cs="仿宋_GB2312"/>
          <w:b w:val="0"/>
          <w:szCs w:val="32"/>
        </w:rPr>
        <w:t>，</w:t>
      </w:r>
      <w:r>
        <w:rPr>
          <w:rFonts w:hint="eastAsia" w:ascii="仿宋_GB2312" w:hAnsi="仿宋_GB2312" w:eastAsia="仿宋_GB2312" w:cs="仿宋_GB2312"/>
          <w:b w:val="0"/>
          <w:szCs w:val="32"/>
        </w:rPr>
        <w:t>广元外国语学校“贵州纳雍班”本科上线率96.8 %</w:t>
      </w:r>
      <w:r>
        <w:rPr>
          <w:rFonts w:ascii="仿宋_GB2312" w:hAnsi="仿宋_GB2312" w:eastAsia="仿宋_GB2312" w:cs="仿宋_GB2312"/>
          <w:b w:val="0"/>
          <w:szCs w:val="32"/>
        </w:rPr>
        <w:t>，</w:t>
      </w:r>
      <w:r>
        <w:rPr>
          <w:rFonts w:hint="eastAsia" w:ascii="仿宋_GB2312" w:hAnsi="方正仿宋_GBK" w:eastAsia="仿宋_GB2312" w:cs="方正仿宋_GBK"/>
          <w:b w:val="0"/>
          <w:szCs w:val="32"/>
        </w:rPr>
        <w:t>“9+3”毕业生就业率91.33%。</w:t>
      </w:r>
      <w:bookmarkEnd w:id="84"/>
      <w:bookmarkEnd w:id="85"/>
    </w:p>
    <w:p>
      <w:pPr>
        <w:pStyle w:val="4"/>
        <w:keepNext w:val="0"/>
        <w:keepLines w:val="0"/>
        <w:numPr>
          <w:ilvl w:val="0"/>
          <w:numId w:val="8"/>
        </w:numPr>
        <w:adjustRightInd w:val="0"/>
        <w:snapToGrid w:val="0"/>
        <w:spacing w:before="0" w:after="0" w:line="576" w:lineRule="exact"/>
        <w:ind w:left="0" w:leftChars="0" w:firstLine="640" w:firstLineChars="200"/>
        <w:rPr>
          <w:rFonts w:ascii="仿宋_GB2312" w:hAnsi="方正仿宋_GBK" w:eastAsia="仿宋_GB2312" w:cs="方正仿宋_GBK"/>
          <w:b w:val="0"/>
          <w:szCs w:val="32"/>
        </w:rPr>
      </w:pPr>
      <w:bookmarkStart w:id="86" w:name="_Toc14147"/>
      <w:bookmarkStart w:id="87" w:name="_Toc24422"/>
      <w:r>
        <w:rPr>
          <w:rFonts w:hint="eastAsia" w:ascii="楷体_GB2312" w:hAnsi="方正仿宋_GBK" w:eastAsia="楷体_GB2312" w:cs="方正仿宋_GBK"/>
          <w:b w:val="0"/>
          <w:bCs/>
          <w:szCs w:val="32"/>
        </w:rPr>
        <w:t>服务社会发展能力</w:t>
      </w:r>
      <w:r>
        <w:rPr>
          <w:rFonts w:ascii="楷体_GB2312" w:hAnsi="方正仿宋_GBK" w:eastAsia="楷体_GB2312" w:cs="方正仿宋_GBK"/>
          <w:b w:val="0"/>
          <w:bCs/>
          <w:szCs w:val="32"/>
        </w:rPr>
        <w:t>明显</w:t>
      </w:r>
      <w:r>
        <w:rPr>
          <w:rFonts w:hint="eastAsia" w:ascii="楷体_GB2312" w:hAnsi="方正仿宋_GBK" w:eastAsia="楷体_GB2312" w:cs="方正仿宋_GBK"/>
          <w:b w:val="0"/>
          <w:bCs/>
          <w:szCs w:val="32"/>
        </w:rPr>
        <w:t>增强。</w:t>
      </w:r>
      <w:r>
        <w:rPr>
          <w:rFonts w:ascii="仿宋_GB2312" w:hAnsi="方正仿宋_GBK" w:eastAsia="仿宋_GB2312" w:cs="方正仿宋_GBK"/>
          <w:b w:val="0"/>
          <w:szCs w:val="32"/>
        </w:rPr>
        <w:t>职业学校主动发挥技能人才和教研优势，</w:t>
      </w:r>
      <w:r>
        <w:rPr>
          <w:rFonts w:hint="eastAsia" w:ascii="仿宋_GB2312" w:hAnsi="方正仿宋_GBK" w:eastAsia="仿宋_GB2312" w:cs="方正仿宋_GBK"/>
          <w:b w:val="0"/>
          <w:szCs w:val="32"/>
        </w:rPr>
        <w:t>持续深化产教融合，与吉利控股集团等147家企业</w:t>
      </w:r>
      <w:r>
        <w:rPr>
          <w:rFonts w:ascii="仿宋_GB2312" w:hAnsi="方正仿宋_GBK" w:eastAsia="仿宋_GB2312" w:cs="方正仿宋_GBK"/>
          <w:b w:val="0"/>
          <w:szCs w:val="32"/>
        </w:rPr>
        <w:t>开展</w:t>
      </w:r>
      <w:r>
        <w:rPr>
          <w:rFonts w:hint="eastAsia" w:ascii="仿宋_GB2312" w:hAnsi="方正仿宋_GBK" w:eastAsia="仿宋_GB2312" w:cs="方正仿宋_GBK"/>
          <w:b w:val="0"/>
          <w:szCs w:val="32"/>
        </w:rPr>
        <w:t>校企合作</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新成立卫生健康、餐饮</w:t>
      </w:r>
      <w:r>
        <w:rPr>
          <w:rFonts w:ascii="仿宋_GB2312" w:hAnsi="方正仿宋_GBK" w:eastAsia="仿宋_GB2312" w:cs="方正仿宋_GBK"/>
          <w:b w:val="0"/>
          <w:szCs w:val="32"/>
        </w:rPr>
        <w:t>2</w:t>
      </w:r>
      <w:r>
        <w:rPr>
          <w:rFonts w:hint="eastAsia" w:ascii="仿宋_GB2312" w:hAnsi="方正仿宋_GBK" w:eastAsia="仿宋_GB2312" w:cs="方正仿宋_GBK"/>
          <w:b w:val="0"/>
          <w:szCs w:val="32"/>
        </w:rPr>
        <w:t>个产教联盟和广元家政护工培训中心</w:t>
      </w:r>
      <w:r>
        <w:rPr>
          <w:rFonts w:ascii="仿宋_GB2312" w:hAnsi="方正仿宋_GBK" w:eastAsia="仿宋_GB2312" w:cs="方正仿宋_GBK"/>
          <w:b w:val="0"/>
          <w:szCs w:val="32"/>
        </w:rPr>
        <w:t>，为</w:t>
      </w:r>
      <w:r>
        <w:rPr>
          <w:rFonts w:hint="eastAsia" w:ascii="仿宋_GB2312" w:hAnsi="方正仿宋_GBK" w:eastAsia="仿宋_GB2312" w:cs="方正仿宋_GBK"/>
          <w:b w:val="0"/>
          <w:szCs w:val="32"/>
        </w:rPr>
        <w:t>农林牧渔业、采矿业等15个行业和企业职工、贫困劳动力等8个重点人群开展职业技能培训</w:t>
      </w:r>
      <w:r>
        <w:rPr>
          <w:rFonts w:ascii="仿宋_GB2312" w:hAnsi="方正仿宋_GBK" w:eastAsia="仿宋_GB2312" w:cs="方正仿宋_GBK"/>
          <w:b w:val="0"/>
          <w:szCs w:val="32"/>
        </w:rPr>
        <w:t>4.3万余</w:t>
      </w:r>
      <w:r>
        <w:rPr>
          <w:rFonts w:hint="eastAsia" w:ascii="仿宋_GB2312" w:hAnsi="方正仿宋_GBK" w:eastAsia="仿宋_GB2312" w:cs="方正仿宋_GBK"/>
          <w:b w:val="0"/>
          <w:szCs w:val="32"/>
        </w:rPr>
        <w:t>人次</w:t>
      </w:r>
      <w:r>
        <w:rPr>
          <w:rFonts w:ascii="仿宋_GB2312" w:hAnsi="方正仿宋_GBK" w:eastAsia="仿宋_GB2312" w:cs="方正仿宋_GBK"/>
          <w:b w:val="0"/>
          <w:szCs w:val="32"/>
        </w:rPr>
        <w:t>，促进地方增收5000余万元。</w:t>
      </w:r>
      <w:bookmarkEnd w:id="86"/>
      <w:bookmarkEnd w:id="87"/>
    </w:p>
    <w:p>
      <w:pPr>
        <w:pStyle w:val="4"/>
        <w:keepNext w:val="0"/>
        <w:keepLines w:val="0"/>
        <w:numPr>
          <w:ilvl w:val="0"/>
          <w:numId w:val="8"/>
        </w:numPr>
        <w:adjustRightInd w:val="0"/>
        <w:snapToGrid w:val="0"/>
        <w:spacing w:before="0" w:after="0" w:line="576" w:lineRule="exact"/>
        <w:ind w:left="0" w:leftChars="0" w:firstLine="640" w:firstLineChars="200"/>
        <w:rPr>
          <w:rFonts w:hint="eastAsia" w:ascii="仿宋_GB2312" w:hAnsi="方正仿宋_GBK" w:eastAsia="仿宋_GB2312" w:cs="方正仿宋_GBK"/>
          <w:b w:val="0"/>
          <w:szCs w:val="32"/>
        </w:rPr>
      </w:pPr>
      <w:bookmarkStart w:id="88" w:name="_Toc30612"/>
      <w:bookmarkStart w:id="89" w:name="_Toc13423"/>
      <w:r>
        <w:rPr>
          <w:rFonts w:hint="eastAsia" w:ascii="楷体_GB2312" w:hAnsi="方正仿宋_GBK" w:eastAsia="楷体_GB2312" w:cs="方正仿宋_GBK"/>
          <w:b w:val="0"/>
          <w:bCs/>
          <w:szCs w:val="32"/>
        </w:rPr>
        <w:t>综合实践教育示范效应</w:t>
      </w:r>
      <w:r>
        <w:rPr>
          <w:rFonts w:ascii="楷体_GB2312" w:hAnsi="方正仿宋_GBK" w:eastAsia="楷体_GB2312" w:cs="方正仿宋_GBK"/>
          <w:b w:val="0"/>
          <w:bCs/>
          <w:szCs w:val="32"/>
        </w:rPr>
        <w:t>显现</w:t>
      </w:r>
      <w:r>
        <w:rPr>
          <w:rFonts w:hint="eastAsia" w:ascii="楷体_GB2312" w:hAnsi="方正仿宋_GBK" w:eastAsia="楷体_GB2312" w:cs="方正仿宋_GBK"/>
          <w:b w:val="0"/>
          <w:bCs/>
          <w:szCs w:val="32"/>
        </w:rPr>
        <w:t>。</w:t>
      </w:r>
      <w:r>
        <w:rPr>
          <w:rFonts w:hint="eastAsia" w:ascii="仿宋_GB2312" w:hAnsi="方正仿宋_GBK" w:eastAsia="仿宋_GB2312" w:cs="方正仿宋_GBK"/>
          <w:b w:val="0"/>
          <w:szCs w:val="32"/>
        </w:rPr>
        <w:t>研发综合实践教育活动课程30余个</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编写综合实践教育活动课程读本10余</w:t>
      </w:r>
      <w:r>
        <w:rPr>
          <w:rFonts w:ascii="仿宋_GB2312" w:hAnsi="方正仿宋_GBK" w:eastAsia="仿宋_GB2312" w:cs="方正仿宋_GBK"/>
          <w:b w:val="0"/>
          <w:szCs w:val="32"/>
        </w:rPr>
        <w:t>本，</w:t>
      </w:r>
      <w:r>
        <w:rPr>
          <w:rFonts w:hint="eastAsia" w:ascii="仿宋_GB2312" w:hAnsi="方正仿宋_GBK" w:eastAsia="仿宋_GB2312" w:cs="方正仿宋_GBK"/>
          <w:b w:val="0"/>
          <w:szCs w:val="32"/>
        </w:rPr>
        <w:t>评选市级示范性劳动教育基地28个，接待市内外考察团队</w:t>
      </w:r>
      <w:r>
        <w:rPr>
          <w:rFonts w:ascii="仿宋_GB2312" w:hAnsi="方正仿宋_GBK" w:eastAsia="仿宋_GB2312" w:cs="方正仿宋_GBK"/>
          <w:b w:val="0"/>
          <w:szCs w:val="32"/>
        </w:rPr>
        <w:t>50</w:t>
      </w:r>
      <w:r>
        <w:rPr>
          <w:rFonts w:hint="eastAsia" w:ascii="仿宋_GB2312" w:hAnsi="方正仿宋_GBK" w:eastAsia="仿宋_GB2312" w:cs="方正仿宋_GBK"/>
          <w:b w:val="0"/>
          <w:szCs w:val="32"/>
        </w:rPr>
        <w:t>余个</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中小学生</w:t>
      </w:r>
      <w:r>
        <w:rPr>
          <w:rFonts w:ascii="仿宋_GB2312" w:hAnsi="方正仿宋_GBK" w:eastAsia="仿宋_GB2312" w:cs="方正仿宋_GBK"/>
          <w:b w:val="0"/>
          <w:szCs w:val="32"/>
        </w:rPr>
        <w:t>19</w:t>
      </w:r>
      <w:r>
        <w:rPr>
          <w:rFonts w:hint="eastAsia" w:ascii="仿宋_GB2312" w:hAnsi="方正仿宋_GBK" w:eastAsia="仿宋_GB2312" w:cs="方正仿宋_GBK"/>
          <w:b w:val="0"/>
          <w:szCs w:val="32"/>
        </w:rPr>
        <w:t>万余人次。市示范性综合实践基地入选教育部“十四五”支持的32家营地之一。利州区被</w:t>
      </w:r>
      <w:r>
        <w:rPr>
          <w:rFonts w:ascii="仿宋_GB2312" w:hAnsi="方正仿宋_GBK" w:eastAsia="仿宋_GB2312" w:cs="方正仿宋_GBK"/>
          <w:b w:val="0"/>
          <w:szCs w:val="32"/>
        </w:rPr>
        <w:t>确定</w:t>
      </w:r>
      <w:r>
        <w:rPr>
          <w:rFonts w:hint="eastAsia" w:ascii="仿宋_GB2312" w:hAnsi="方正仿宋_GBK" w:eastAsia="仿宋_GB2312" w:cs="方正仿宋_GBK"/>
          <w:b w:val="0"/>
          <w:szCs w:val="32"/>
        </w:rPr>
        <w:t>为全国中小学劳动教育试验区。全省研学旅行实践工作培训会暨全省文旅科教工作培训会、全省研学实践骨干教师培训会在</w:t>
      </w:r>
      <w:r>
        <w:rPr>
          <w:rFonts w:ascii="仿宋_GB2312" w:hAnsi="方正仿宋_GBK" w:eastAsia="仿宋_GB2312" w:cs="方正仿宋_GBK"/>
          <w:b w:val="0"/>
          <w:szCs w:val="32"/>
        </w:rPr>
        <w:t>我市</w:t>
      </w:r>
      <w:r>
        <w:rPr>
          <w:rFonts w:hint="eastAsia" w:ascii="仿宋_GB2312" w:hAnsi="方正仿宋_GBK" w:eastAsia="仿宋_GB2312" w:cs="方正仿宋_GBK"/>
          <w:b w:val="0"/>
          <w:szCs w:val="32"/>
        </w:rPr>
        <w:t>召开。</w:t>
      </w:r>
      <w:bookmarkEnd w:id="88"/>
      <w:bookmarkEnd w:id="89"/>
    </w:p>
    <w:p>
      <w:pPr>
        <w:widowControl/>
        <w:jc w:val="left"/>
        <w:rPr>
          <w:rFonts w:ascii="仿宋" w:hAnsi="仿宋" w:eastAsia="仿宋"/>
          <w:color w:val="auto"/>
          <w:kern w:val="0"/>
          <w:sz w:val="32"/>
          <w:szCs w:val="32"/>
          <w:highlight w:val="none"/>
        </w:rPr>
      </w:pPr>
    </w:p>
    <w:p>
      <w:pPr>
        <w:pStyle w:val="2"/>
        <w:adjustRightInd w:val="0"/>
        <w:snapToGrid w:val="0"/>
        <w:spacing w:before="93" w:line="600" w:lineRule="exact"/>
        <w:ind w:firstLine="672" w:firstLineChars="210"/>
        <w:outlineLvl w:val="9"/>
        <w:rPr>
          <w:rFonts w:hint="eastAsia" w:ascii="仿宋" w:hAnsi="仿宋" w:eastAsia="仿宋"/>
          <w:bCs/>
          <w:color w:val="auto"/>
          <w:sz w:val="32"/>
          <w:szCs w:val="32"/>
          <w:highlight w:val="none"/>
        </w:rPr>
      </w:pPr>
    </w:p>
    <w:p>
      <w:pPr>
        <w:pStyle w:val="4"/>
        <w:rPr>
          <w:rStyle w:val="28"/>
          <w:b w:val="0"/>
          <w:bCs w:val="0"/>
          <w:color w:val="auto"/>
          <w:highlight w:val="none"/>
        </w:rPr>
      </w:pPr>
      <w:bookmarkStart w:id="90" w:name="_Toc15377200"/>
      <w:bookmarkStart w:id="91" w:name="_Toc15396601"/>
      <w:bookmarkStart w:id="92" w:name="_Toc27873"/>
      <w:r>
        <w:rPr>
          <w:rFonts w:hint="eastAsia" w:ascii="黑体" w:eastAsia="黑体"/>
          <w:b w:val="0"/>
          <w:color w:val="auto"/>
          <w:highlight w:val="none"/>
        </w:rPr>
        <w:t>二、</w:t>
      </w:r>
      <w:r>
        <w:rPr>
          <w:rFonts w:hint="eastAsia" w:ascii="黑体" w:hAnsi="黑体" w:eastAsia="黑体"/>
          <w:b w:val="0"/>
          <w:color w:val="auto"/>
          <w:highlight w:val="none"/>
        </w:rPr>
        <w:t>机</w:t>
      </w:r>
      <w:r>
        <w:rPr>
          <w:rStyle w:val="28"/>
          <w:rFonts w:hint="eastAsia" w:ascii="黑体" w:hAnsi="黑体" w:eastAsia="黑体"/>
          <w:b w:val="0"/>
          <w:bCs w:val="0"/>
          <w:color w:val="auto"/>
          <w:highlight w:val="none"/>
        </w:rPr>
        <w:t>构设置</w:t>
      </w:r>
      <w:bookmarkEnd w:id="90"/>
      <w:bookmarkEnd w:id="91"/>
      <w:bookmarkEnd w:id="92"/>
    </w:p>
    <w:p>
      <w:pPr>
        <w:ind w:firstLine="800" w:firstLineChars="250"/>
        <w:rPr>
          <w:rFonts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广元市教育局</w:t>
      </w:r>
      <w:r>
        <w:rPr>
          <w:rFonts w:hint="eastAsia" w:ascii="仿宋" w:hAnsi="仿宋" w:eastAsia="仿宋"/>
          <w:color w:val="auto"/>
          <w:sz w:val="32"/>
          <w:szCs w:val="32"/>
          <w:highlight w:val="none"/>
        </w:rPr>
        <w:t>下属二级单位</w:t>
      </w:r>
      <w:r>
        <w:rPr>
          <w:rFonts w:hint="eastAsia" w:ascii="仿宋" w:hAnsi="仿宋" w:eastAsia="仿宋"/>
          <w:color w:val="auto"/>
          <w:sz w:val="32"/>
          <w:szCs w:val="32"/>
          <w:highlight w:val="none"/>
          <w:lang w:val="en-US" w:eastAsia="zh-CN"/>
        </w:rPr>
        <w:t>19</w:t>
      </w:r>
      <w:r>
        <w:rPr>
          <w:rFonts w:hint="eastAsia" w:ascii="仿宋" w:hAnsi="仿宋" w:eastAsia="仿宋"/>
          <w:color w:val="auto"/>
          <w:sz w:val="32"/>
          <w:szCs w:val="32"/>
          <w:highlight w:val="none"/>
        </w:rPr>
        <w:t>个，其中行政单位</w:t>
      </w:r>
      <w:r>
        <w:rPr>
          <w:rFonts w:hint="eastAsia" w:ascii="仿宋" w:hAnsi="仿宋" w:eastAsia="仿宋"/>
          <w:color w:val="auto"/>
          <w:sz w:val="32"/>
          <w:szCs w:val="32"/>
          <w:highlight w:val="none"/>
          <w:lang w:val="en-US" w:eastAsia="zh-CN"/>
        </w:rPr>
        <w:t>1</w:t>
      </w:r>
      <w:r>
        <w:rPr>
          <w:rFonts w:hint="eastAsia" w:ascii="仿宋" w:hAnsi="仿宋" w:eastAsia="仿宋"/>
          <w:color w:val="auto"/>
          <w:sz w:val="32"/>
          <w:szCs w:val="32"/>
          <w:highlight w:val="none"/>
        </w:rPr>
        <w:t>个，参照公务员法管理的事业单位</w:t>
      </w:r>
      <w:r>
        <w:rPr>
          <w:rFonts w:hint="eastAsia" w:ascii="仿宋" w:hAnsi="仿宋" w:eastAsia="仿宋"/>
          <w:bCs/>
          <w:color w:val="auto"/>
          <w:sz w:val="32"/>
          <w:szCs w:val="32"/>
          <w:highlight w:val="none"/>
          <w:lang w:val="en-US" w:eastAsia="zh-CN"/>
        </w:rPr>
        <w:t>0</w:t>
      </w:r>
      <w:r>
        <w:rPr>
          <w:rFonts w:hint="eastAsia" w:ascii="仿宋" w:hAnsi="仿宋" w:eastAsia="仿宋"/>
          <w:color w:val="auto"/>
          <w:sz w:val="32"/>
          <w:szCs w:val="32"/>
          <w:highlight w:val="none"/>
        </w:rPr>
        <w:t>个，其他事业单位</w:t>
      </w:r>
      <w:r>
        <w:rPr>
          <w:rFonts w:hint="eastAsia" w:ascii="仿宋" w:hAnsi="仿宋" w:eastAsia="仿宋"/>
          <w:color w:val="auto"/>
          <w:sz w:val="32"/>
          <w:szCs w:val="32"/>
          <w:highlight w:val="none"/>
          <w:lang w:val="en-US" w:eastAsia="zh-CN"/>
        </w:rPr>
        <w:t>18</w:t>
      </w:r>
      <w:r>
        <w:rPr>
          <w:rFonts w:hint="eastAsia" w:ascii="仿宋" w:hAnsi="仿宋" w:eastAsia="仿宋"/>
          <w:color w:val="auto"/>
          <w:sz w:val="32"/>
          <w:szCs w:val="32"/>
          <w:highlight w:val="none"/>
        </w:rPr>
        <w:t>个。</w:t>
      </w:r>
    </w:p>
    <w:p>
      <w:pPr>
        <w:pStyle w:val="2"/>
        <w:adjustRightInd w:val="0"/>
        <w:snapToGrid w:val="0"/>
        <w:spacing w:before="93" w:line="600" w:lineRule="exact"/>
        <w:ind w:firstLine="672" w:firstLineChars="210"/>
        <w:rPr>
          <w:rFonts w:ascii="仿宋" w:hAnsi="仿宋" w:eastAsia="仿宋"/>
          <w:color w:val="auto"/>
          <w:sz w:val="32"/>
          <w:szCs w:val="32"/>
          <w:highlight w:val="none"/>
        </w:rPr>
      </w:pPr>
      <w:r>
        <w:rPr>
          <w:rFonts w:hint="eastAsia" w:ascii="仿宋" w:hAnsi="仿宋" w:eastAsia="仿宋"/>
          <w:color w:val="auto"/>
          <w:sz w:val="32"/>
          <w:szCs w:val="32"/>
          <w:highlight w:val="none"/>
        </w:rPr>
        <w:t>纳入</w:t>
      </w:r>
      <w:r>
        <w:rPr>
          <w:rFonts w:hint="eastAsia" w:ascii="仿宋" w:hAnsi="仿宋" w:eastAsia="仿宋"/>
          <w:color w:val="auto"/>
          <w:sz w:val="32"/>
          <w:szCs w:val="32"/>
          <w:highlight w:val="none"/>
          <w:lang w:val="en-US" w:eastAsia="zh-CN"/>
        </w:rPr>
        <w:t>市教育局</w:t>
      </w: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年度部门决算编制范围的二级预算单位包括：</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lang w:val="en-US" w:eastAsia="zh-CN"/>
        </w:rPr>
        <w:t>广元市教育局（本级）</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rPr>
        <w:t>广元市利州中等专业学校（二级）</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rPr>
        <w:t>广元市职业高级中学校（二级）</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rPr>
        <w:t>广元中学（二级）</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rPr>
        <w:t>广元市实验中学（二级）</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rPr>
        <w:t>广元市821中学（二级）</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rPr>
        <w:t>广元市树人中学（二级）</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rPr>
        <w:t>广元市081中学（二级）</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rPr>
        <w:t>广元市利州中学（二级）</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rPr>
        <w:t>广元市外国语学校（二级）</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rPr>
        <w:t>广元市实验小学校（二级）</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rPr>
        <w:t>广元市市级机关幼儿园（二级）</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rPr>
        <w:t>广元市树人幼儿园（二级）</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rPr>
        <w:t>广元市招生考试中心（二级）</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rPr>
        <w:t>广元市教育技术</w:t>
      </w:r>
      <w:r>
        <w:rPr>
          <w:rFonts w:hint="eastAsia" w:ascii="仿宋_GB2312" w:hAnsi="方正仿宋_GBK" w:eastAsia="仿宋_GB2312" w:cs="方正仿宋_GBK"/>
          <w:color w:val="000000"/>
          <w:sz w:val="32"/>
          <w:szCs w:val="32"/>
          <w:lang w:val="en-US" w:eastAsia="zh-CN"/>
        </w:rPr>
        <w:t>与电化教育中心（</w:t>
      </w:r>
      <w:r>
        <w:rPr>
          <w:rFonts w:hint="eastAsia" w:ascii="仿宋_GB2312" w:hAnsi="方正仿宋_GBK" w:eastAsia="仿宋_GB2312" w:cs="方正仿宋_GBK"/>
          <w:color w:val="000000"/>
          <w:sz w:val="32"/>
          <w:szCs w:val="32"/>
        </w:rPr>
        <w:t>二级）</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rPr>
        <w:t>广元市教育科学研究所（二级）</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rPr>
        <w:t>广元市教师发展中心（二级）</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rPr>
        <w:t>广元市示范性综合实践基地管理中心（二级）</w:t>
      </w:r>
    </w:p>
    <w:p>
      <w:pPr>
        <w:numPr>
          <w:ilvl w:val="0"/>
          <w:numId w:val="9"/>
        </w:numPr>
        <w:spacing w:line="360" w:lineRule="auto"/>
        <w:ind w:left="0" w:leftChars="0" w:right="23" w:rightChars="11" w:firstLine="420" w:firstLineChars="0"/>
        <w:jc w:val="both"/>
        <w:rPr>
          <w:rFonts w:hint="eastAsia" w:ascii="仿宋_GB2312" w:hAnsi="方正仿宋_GBK" w:eastAsia="仿宋_GB2312" w:cs="方正仿宋_GBK"/>
          <w:color w:val="000000"/>
          <w:sz w:val="32"/>
          <w:szCs w:val="32"/>
        </w:rPr>
      </w:pPr>
      <w:r>
        <w:rPr>
          <w:rFonts w:hint="eastAsia" w:ascii="仿宋_GB2312" w:hAnsi="方正仿宋_GBK" w:eastAsia="仿宋_GB2312" w:cs="方正仿宋_GBK"/>
          <w:color w:val="000000"/>
          <w:sz w:val="32"/>
          <w:szCs w:val="32"/>
        </w:rPr>
        <w:t>广元市教育服务中心（二级）</w:t>
      </w:r>
    </w:p>
    <w:p>
      <w:pPr>
        <w:widowControl/>
        <w:jc w:val="left"/>
        <w:rPr>
          <w:rFonts w:ascii="仿宋" w:hAnsi="仿宋" w:eastAsia="仿宋"/>
          <w:color w:val="auto"/>
          <w:kern w:val="0"/>
          <w:sz w:val="32"/>
          <w:szCs w:val="32"/>
          <w:highlight w:val="none"/>
        </w:rPr>
      </w:pPr>
    </w:p>
    <w:p>
      <w:pPr>
        <w:pStyle w:val="3"/>
        <w:ind w:right="440"/>
        <w:jc w:val="center"/>
        <w:rPr>
          <w:rStyle w:val="27"/>
          <w:rFonts w:ascii="黑体" w:hAnsi="黑体" w:eastAsia="黑体"/>
          <w:b w:val="0"/>
          <w:bCs/>
          <w:color w:val="auto"/>
          <w:highlight w:val="none"/>
        </w:rPr>
      </w:pPr>
      <w:bookmarkStart w:id="93" w:name="_Toc15396602"/>
      <w:bookmarkStart w:id="94" w:name="_Toc15377204"/>
      <w:bookmarkStart w:id="95" w:name="_Toc30365"/>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2021年度</w:t>
      </w:r>
      <w:r>
        <w:rPr>
          <w:rStyle w:val="27"/>
          <w:rFonts w:hint="eastAsia" w:ascii="黑体" w:hAnsi="黑体" w:eastAsia="黑体"/>
          <w:b w:val="0"/>
          <w:bCs/>
          <w:color w:val="auto"/>
          <w:highlight w:val="none"/>
        </w:rPr>
        <w:t>部门决算情况说明</w:t>
      </w:r>
      <w:bookmarkEnd w:id="93"/>
      <w:bookmarkEnd w:id="94"/>
      <w:bookmarkEnd w:id="95"/>
    </w:p>
    <w:p>
      <w:pPr>
        <w:rPr>
          <w:color w:val="auto"/>
          <w:highlight w:val="none"/>
        </w:rPr>
      </w:pPr>
    </w:p>
    <w:p>
      <w:pPr>
        <w:pStyle w:val="26"/>
        <w:numPr>
          <w:ilvl w:val="0"/>
          <w:numId w:val="10"/>
        </w:numPr>
        <w:spacing w:line="600" w:lineRule="exact"/>
        <w:ind w:firstLineChars="0"/>
        <w:outlineLvl w:val="1"/>
        <w:rPr>
          <w:rStyle w:val="28"/>
          <w:rFonts w:ascii="黑体" w:hAnsi="黑体" w:eastAsia="黑体"/>
          <w:b w:val="0"/>
          <w:color w:val="auto"/>
          <w:highlight w:val="none"/>
        </w:rPr>
      </w:pPr>
      <w:bookmarkStart w:id="96" w:name="_Toc15396603"/>
      <w:bookmarkStart w:id="97" w:name="_Toc15377205"/>
      <w:bookmarkStart w:id="98" w:name="_Toc14173"/>
      <w:r>
        <w:rPr>
          <w:rFonts w:hint="eastAsia" w:ascii="黑体" w:hAnsi="黑体" w:eastAsia="黑体"/>
          <w:color w:val="auto"/>
          <w:sz w:val="32"/>
          <w:szCs w:val="32"/>
          <w:highlight w:val="none"/>
        </w:rPr>
        <w:t>收</w:t>
      </w:r>
      <w:r>
        <w:rPr>
          <w:rStyle w:val="28"/>
          <w:rFonts w:hint="eastAsia" w:ascii="黑体" w:hAnsi="黑体" w:eastAsia="黑体"/>
          <w:b w:val="0"/>
          <w:color w:val="auto"/>
          <w:highlight w:val="none"/>
        </w:rPr>
        <w:t>入支出决算总体情况说明</w:t>
      </w:r>
      <w:bookmarkEnd w:id="96"/>
      <w:bookmarkEnd w:id="97"/>
      <w:bookmarkEnd w:id="98"/>
    </w:p>
    <w:p>
      <w:pPr>
        <w:spacing w:line="6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年度收、支总计61429.04万元。与20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年相比，收、支总计各增加</w:t>
      </w:r>
      <w:r>
        <w:rPr>
          <w:rFonts w:hint="eastAsia" w:ascii="仿宋" w:hAnsi="仿宋" w:eastAsia="仿宋"/>
          <w:color w:val="auto"/>
          <w:sz w:val="32"/>
          <w:szCs w:val="32"/>
          <w:highlight w:val="none"/>
          <w:lang w:val="en-US" w:eastAsia="zh-CN"/>
        </w:rPr>
        <w:t>1219.45</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1.96</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。主要变动原因是年初结转和结余</w:t>
      </w:r>
      <w:r>
        <w:rPr>
          <w:rFonts w:hint="eastAsia" w:ascii="仿宋" w:hAnsi="仿宋" w:eastAsia="仿宋"/>
          <w:color w:val="auto"/>
          <w:sz w:val="32"/>
          <w:szCs w:val="32"/>
          <w:highlight w:val="none"/>
          <w:lang w:val="en-US" w:eastAsia="zh-CN"/>
        </w:rPr>
        <w:t>增加904.8万元，本年收入总体增加，其中一般公共预算财政拨款收入增加2182.45万元，事业收入增加131.29万元，政府性基金预算财政拨款增加355.25万元，其他收入减少2354.33万元。</w:t>
      </w:r>
    </w:p>
    <w:p>
      <w:pPr>
        <w:pStyle w:val="2"/>
        <w:jc w:val="center"/>
      </w:pPr>
      <w:r>
        <w:drawing>
          <wp:inline distT="0" distB="0" distL="114300" distR="114300">
            <wp:extent cx="4575175" cy="2819400"/>
            <wp:effectExtent l="4445" t="4445" r="11430" b="1460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spacing w:line="600" w:lineRule="exact"/>
        <w:ind w:firstLine="640" w:firstLineChars="200"/>
        <w:jc w:val="center"/>
        <w:rPr>
          <w:rFonts w:ascii="仿宋_GB2312" w:eastAsia="仿宋_GB2312"/>
          <w:color w:val="auto"/>
          <w:sz w:val="32"/>
          <w:szCs w:val="32"/>
          <w:highlight w:val="none"/>
        </w:rPr>
      </w:pP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w:t>
      </w:r>
    </w:p>
    <w:p>
      <w:pPr>
        <w:pStyle w:val="26"/>
        <w:numPr>
          <w:ilvl w:val="0"/>
          <w:numId w:val="10"/>
        </w:numPr>
        <w:spacing w:line="600" w:lineRule="exact"/>
        <w:ind w:firstLineChars="0"/>
        <w:outlineLvl w:val="1"/>
        <w:rPr>
          <w:rStyle w:val="28"/>
          <w:rFonts w:ascii="黑体" w:hAnsi="黑体" w:eastAsia="黑体"/>
          <w:b w:val="0"/>
          <w:color w:val="auto"/>
          <w:highlight w:val="none"/>
        </w:rPr>
      </w:pPr>
      <w:bookmarkStart w:id="99" w:name="_Toc13745"/>
      <w:bookmarkStart w:id="100" w:name="_Toc15377206"/>
      <w:bookmarkStart w:id="101" w:name="_Toc15396604"/>
      <w:r>
        <w:rPr>
          <w:rFonts w:hint="eastAsia" w:ascii="黑体" w:hAnsi="黑体" w:eastAsia="黑体"/>
          <w:color w:val="auto"/>
          <w:sz w:val="32"/>
          <w:szCs w:val="32"/>
          <w:highlight w:val="none"/>
        </w:rPr>
        <w:t>收</w:t>
      </w:r>
      <w:r>
        <w:rPr>
          <w:rStyle w:val="28"/>
          <w:rFonts w:hint="eastAsia" w:ascii="黑体" w:hAnsi="黑体" w:eastAsia="黑体"/>
          <w:b w:val="0"/>
          <w:color w:val="auto"/>
          <w:highlight w:val="none"/>
        </w:rPr>
        <w:t>入决算情况说</w:t>
      </w:r>
      <w:bookmarkEnd w:id="99"/>
      <w:bookmarkEnd w:id="100"/>
      <w:bookmarkEnd w:id="101"/>
      <w:r>
        <w:rPr>
          <w:rStyle w:val="28"/>
          <w:rFonts w:hint="eastAsia" w:ascii="黑体" w:hAnsi="黑体" w:eastAsia="黑体"/>
          <w:b w:val="0"/>
          <w:color w:val="auto"/>
          <w:highlight w:val="none"/>
          <w:lang w:val="en-US" w:eastAsia="zh-CN"/>
        </w:rPr>
        <w:t>明</w:t>
      </w:r>
    </w:p>
    <w:p>
      <w:pPr>
        <w:spacing w:line="600" w:lineRule="exact"/>
        <w:ind w:firstLine="640" w:firstLineChars="200"/>
        <w:outlineLvl w:val="1"/>
        <w:rPr>
          <w:rFonts w:ascii="仿宋" w:hAnsi="仿宋" w:eastAsia="仿宋"/>
          <w:color w:val="auto"/>
          <w:sz w:val="32"/>
          <w:szCs w:val="32"/>
          <w:highlight w:val="none"/>
        </w:rPr>
      </w:pPr>
      <w:bookmarkStart w:id="102" w:name="_Toc10666"/>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年本年收入合计49135.3</w:t>
      </w:r>
      <w:r>
        <w:rPr>
          <w:rFonts w:hint="eastAsia" w:ascii="仿宋" w:hAnsi="仿宋" w:eastAsia="仿宋"/>
          <w:color w:val="auto"/>
          <w:sz w:val="32"/>
          <w:szCs w:val="32"/>
          <w:highlight w:val="none"/>
          <w:lang w:val="en-US" w:eastAsia="zh-CN"/>
        </w:rPr>
        <w:t>2</w:t>
      </w:r>
      <w:r>
        <w:rPr>
          <w:rFonts w:hint="eastAsia" w:ascii="仿宋" w:hAnsi="仿宋" w:eastAsia="仿宋"/>
          <w:color w:val="auto"/>
          <w:sz w:val="32"/>
          <w:szCs w:val="32"/>
          <w:highlight w:val="none"/>
        </w:rPr>
        <w:t>万元，其中：一般公共预算财政拨款收入43361.68万元，占</w:t>
      </w:r>
      <w:r>
        <w:rPr>
          <w:rFonts w:hint="eastAsia" w:ascii="仿宋" w:hAnsi="仿宋" w:eastAsia="仿宋"/>
          <w:color w:val="auto"/>
          <w:sz w:val="32"/>
          <w:szCs w:val="32"/>
          <w:highlight w:val="none"/>
          <w:lang w:val="en-US" w:eastAsia="zh-CN"/>
        </w:rPr>
        <w:t>88.25</w:t>
      </w:r>
      <w:r>
        <w:rPr>
          <w:rFonts w:ascii="仿宋" w:hAnsi="仿宋" w:eastAsia="仿宋"/>
          <w:color w:val="auto"/>
          <w:sz w:val="32"/>
          <w:szCs w:val="32"/>
          <w:highlight w:val="none"/>
        </w:rPr>
        <w:t>%</w:t>
      </w:r>
      <w:r>
        <w:rPr>
          <w:rFonts w:hint="eastAsia" w:ascii="仿宋" w:hAnsi="仿宋" w:eastAsia="仿宋"/>
          <w:color w:val="auto"/>
          <w:sz w:val="32"/>
          <w:szCs w:val="32"/>
          <w:highlight w:val="none"/>
        </w:rPr>
        <w:t>；政府性基金预算财政拨款收入950.5万元，占</w:t>
      </w:r>
      <w:r>
        <w:rPr>
          <w:rFonts w:hint="eastAsia" w:ascii="仿宋" w:hAnsi="仿宋" w:eastAsia="仿宋"/>
          <w:color w:val="auto"/>
          <w:sz w:val="32"/>
          <w:szCs w:val="32"/>
          <w:highlight w:val="none"/>
          <w:lang w:val="en-US" w:eastAsia="zh-CN"/>
        </w:rPr>
        <w:t>1.93</w:t>
      </w:r>
      <w:r>
        <w:rPr>
          <w:rFonts w:ascii="仿宋" w:hAnsi="仿宋" w:eastAsia="仿宋"/>
          <w:color w:val="auto"/>
          <w:sz w:val="32"/>
          <w:szCs w:val="32"/>
          <w:highlight w:val="none"/>
        </w:rPr>
        <w:t>%</w:t>
      </w:r>
      <w:r>
        <w:rPr>
          <w:rFonts w:hint="eastAsia" w:ascii="仿宋" w:hAnsi="仿宋" w:eastAsia="仿宋"/>
          <w:color w:val="auto"/>
          <w:sz w:val="32"/>
          <w:szCs w:val="32"/>
          <w:highlight w:val="none"/>
        </w:rPr>
        <w:t>；事业收入3716.42万元，占</w:t>
      </w:r>
      <w:r>
        <w:rPr>
          <w:rFonts w:hint="eastAsia" w:ascii="仿宋" w:hAnsi="仿宋" w:eastAsia="仿宋"/>
          <w:color w:val="auto"/>
          <w:sz w:val="32"/>
          <w:szCs w:val="32"/>
          <w:highlight w:val="none"/>
          <w:lang w:val="en-US" w:eastAsia="zh-CN"/>
        </w:rPr>
        <w:t>7.53</w:t>
      </w:r>
      <w:r>
        <w:rPr>
          <w:rFonts w:ascii="仿宋" w:hAnsi="仿宋" w:eastAsia="仿宋"/>
          <w:color w:val="auto"/>
          <w:sz w:val="32"/>
          <w:szCs w:val="32"/>
          <w:highlight w:val="none"/>
        </w:rPr>
        <w:t>%</w:t>
      </w:r>
      <w:r>
        <w:rPr>
          <w:rFonts w:hint="eastAsia" w:ascii="仿宋" w:hAnsi="仿宋" w:eastAsia="仿宋"/>
          <w:color w:val="auto"/>
          <w:sz w:val="32"/>
          <w:szCs w:val="32"/>
          <w:highlight w:val="none"/>
        </w:rPr>
        <w:t>；其他收入1106.73万元，占</w:t>
      </w:r>
      <w:r>
        <w:rPr>
          <w:rFonts w:hint="eastAsia" w:ascii="仿宋" w:hAnsi="仿宋" w:eastAsia="仿宋"/>
          <w:color w:val="auto"/>
          <w:sz w:val="32"/>
          <w:szCs w:val="32"/>
          <w:highlight w:val="none"/>
          <w:lang w:val="en-US" w:eastAsia="zh-CN"/>
        </w:rPr>
        <w:t>2.25</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bookmarkEnd w:id="102"/>
    </w:p>
    <w:p>
      <w:pPr>
        <w:pStyle w:val="2"/>
        <w:jc w:val="center"/>
      </w:pPr>
      <w:r>
        <w:drawing>
          <wp:inline distT="0" distB="0" distL="114300" distR="114300">
            <wp:extent cx="4572000" cy="2814320"/>
            <wp:effectExtent l="4445" t="4445" r="14605" b="1968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spacing w:line="600" w:lineRule="exact"/>
        <w:ind w:firstLine="640" w:firstLineChars="200"/>
        <w:jc w:val="center"/>
        <w:rPr>
          <w:rFonts w:ascii="仿宋_GB2312" w:eastAsia="仿宋_GB2312"/>
          <w:color w:val="auto"/>
          <w:sz w:val="32"/>
          <w:szCs w:val="32"/>
          <w:highlight w:val="none"/>
        </w:rPr>
      </w:pPr>
      <w:r>
        <w:rPr>
          <w:rFonts w:hint="eastAsia" w:ascii="仿宋" w:hAnsi="仿宋" w:eastAsia="仿宋"/>
          <w:color w:val="auto"/>
          <w:sz w:val="32"/>
          <w:szCs w:val="32"/>
          <w:highlight w:val="none"/>
        </w:rPr>
        <w:t>（图2：收入决算结构图）</w:t>
      </w:r>
    </w:p>
    <w:p>
      <w:pPr>
        <w:pStyle w:val="26"/>
        <w:numPr>
          <w:ilvl w:val="0"/>
          <w:numId w:val="10"/>
        </w:numPr>
        <w:spacing w:line="600" w:lineRule="exact"/>
        <w:ind w:firstLineChars="0"/>
        <w:outlineLvl w:val="1"/>
        <w:rPr>
          <w:rStyle w:val="28"/>
          <w:rFonts w:ascii="黑体" w:hAnsi="黑体" w:eastAsia="黑体"/>
          <w:b w:val="0"/>
          <w:color w:val="auto"/>
          <w:highlight w:val="none"/>
        </w:rPr>
      </w:pPr>
      <w:bookmarkStart w:id="103" w:name="_Toc15377207"/>
      <w:bookmarkStart w:id="104" w:name="_Toc11991"/>
      <w:bookmarkStart w:id="105" w:name="_Toc15396605"/>
      <w:r>
        <w:rPr>
          <w:rFonts w:hint="eastAsia" w:ascii="黑体" w:hAnsi="黑体" w:eastAsia="黑体"/>
          <w:color w:val="auto"/>
          <w:sz w:val="32"/>
          <w:szCs w:val="32"/>
          <w:highlight w:val="none"/>
        </w:rPr>
        <w:t>支</w:t>
      </w:r>
      <w:r>
        <w:rPr>
          <w:rStyle w:val="28"/>
          <w:rFonts w:hint="eastAsia" w:ascii="黑体" w:hAnsi="黑体" w:eastAsia="黑体"/>
          <w:b w:val="0"/>
          <w:color w:val="auto"/>
          <w:highlight w:val="none"/>
        </w:rPr>
        <w:t>出决算情况说明</w:t>
      </w:r>
      <w:bookmarkEnd w:id="103"/>
      <w:bookmarkEnd w:id="104"/>
      <w:bookmarkEnd w:id="105"/>
    </w:p>
    <w:p>
      <w:pPr>
        <w:spacing w:line="600" w:lineRule="exact"/>
        <w:ind w:firstLine="420" w:firstLineChars="200"/>
        <w:outlineLvl w:val="1"/>
        <w:rPr>
          <w:rFonts w:hint="eastAsia"/>
        </w:rPr>
      </w:pPr>
      <w:bookmarkStart w:id="106" w:name="_Toc12856"/>
      <w:r>
        <w:drawing>
          <wp:anchor distT="0" distB="0" distL="114300" distR="114300" simplePos="0" relativeHeight="251660288" behindDoc="0" locked="0" layoutInCell="1" allowOverlap="1">
            <wp:simplePos x="0" y="0"/>
            <wp:positionH relativeFrom="column">
              <wp:posOffset>227330</wp:posOffset>
            </wp:positionH>
            <wp:positionV relativeFrom="paragraph">
              <wp:posOffset>1181100</wp:posOffset>
            </wp:positionV>
            <wp:extent cx="5024755" cy="2653030"/>
            <wp:effectExtent l="4445" t="4445" r="19050" b="9525"/>
            <wp:wrapSquare wrapText="bothSides"/>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年本年支出合计52400.88万元，其中：基本支出37253.01万元，占</w:t>
      </w:r>
      <w:r>
        <w:rPr>
          <w:rFonts w:hint="eastAsia" w:ascii="仿宋" w:hAnsi="仿宋" w:eastAsia="仿宋"/>
          <w:color w:val="auto"/>
          <w:sz w:val="32"/>
          <w:szCs w:val="32"/>
          <w:highlight w:val="none"/>
          <w:lang w:val="en-US" w:eastAsia="zh-CN"/>
        </w:rPr>
        <w:t>71.09</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15147.86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28.91</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bookmarkEnd w:id="106"/>
    </w:p>
    <w:p>
      <w:pPr>
        <w:spacing w:line="600" w:lineRule="exact"/>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（图3：支出决算结构图）</w:t>
      </w:r>
    </w:p>
    <w:p>
      <w:pPr>
        <w:spacing w:line="600" w:lineRule="exact"/>
        <w:ind w:firstLine="640" w:firstLineChars="200"/>
        <w:rPr>
          <w:rFonts w:ascii="仿宋_GB2312" w:eastAsia="仿宋_GB2312"/>
          <w:color w:val="auto"/>
          <w:sz w:val="32"/>
          <w:szCs w:val="32"/>
          <w:highlight w:val="none"/>
        </w:rPr>
      </w:pPr>
    </w:p>
    <w:p>
      <w:pPr>
        <w:spacing w:line="600" w:lineRule="exact"/>
        <w:ind w:firstLine="640" w:firstLineChars="200"/>
        <w:outlineLvl w:val="1"/>
        <w:rPr>
          <w:rStyle w:val="28"/>
          <w:rFonts w:ascii="黑体" w:hAnsi="黑体" w:eastAsia="黑体"/>
          <w:b w:val="0"/>
          <w:color w:val="auto"/>
          <w:highlight w:val="none"/>
        </w:rPr>
      </w:pPr>
      <w:bookmarkStart w:id="107" w:name="_Toc3274"/>
      <w:bookmarkStart w:id="108" w:name="_Toc15396606"/>
      <w:bookmarkStart w:id="109" w:name="_Toc15377208"/>
      <w:r>
        <w:rPr>
          <w:rFonts w:hint="eastAsia" w:ascii="黑体" w:hAnsi="黑体" w:eastAsia="黑体"/>
          <w:color w:val="auto"/>
          <w:sz w:val="32"/>
          <w:szCs w:val="32"/>
          <w:highlight w:val="none"/>
        </w:rPr>
        <w:t>四、财</w:t>
      </w:r>
      <w:r>
        <w:rPr>
          <w:rStyle w:val="28"/>
          <w:rFonts w:hint="eastAsia" w:ascii="黑体" w:hAnsi="黑体" w:eastAsia="黑体"/>
          <w:b w:val="0"/>
          <w:color w:val="auto"/>
          <w:highlight w:val="none"/>
        </w:rPr>
        <w:t>政拨款收入支出决算总体情况说明</w:t>
      </w:r>
      <w:bookmarkEnd w:id="107"/>
      <w:bookmarkEnd w:id="108"/>
      <w:bookmarkEnd w:id="109"/>
    </w:p>
    <w:p>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年财政拨款收、支总计55391.7万元。与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年相比，财政拨款收、支总计各增加</w:t>
      </w:r>
      <w:r>
        <w:rPr>
          <w:rFonts w:hint="eastAsia" w:ascii="仿宋" w:hAnsi="仿宋" w:eastAsia="仿宋"/>
          <w:color w:val="auto"/>
          <w:sz w:val="32"/>
          <w:szCs w:val="32"/>
          <w:highlight w:val="none"/>
          <w:lang w:val="en-US" w:eastAsia="zh-CN"/>
        </w:rPr>
        <w:t>3026.57</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5.5</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年末在职教职工人数增加，一般公共预算、政府性基金预算财政拨款拨款增加；城乡社区支出增加，社会保障和就业支出增加，卫生健康支出增加，其他支出增加。</w:t>
      </w:r>
    </w:p>
    <w:p>
      <w:pPr>
        <w:pStyle w:val="2"/>
        <w:jc w:val="center"/>
      </w:pPr>
      <w:r>
        <w:drawing>
          <wp:inline distT="0" distB="0" distL="114300" distR="114300">
            <wp:extent cx="4575175" cy="2819400"/>
            <wp:effectExtent l="4445" t="4445" r="11430" b="14605"/>
            <wp:docPr id="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（图4：财政拨款收、支决算总计变动情况）</w:t>
      </w:r>
    </w:p>
    <w:p>
      <w:pPr>
        <w:spacing w:line="600" w:lineRule="exact"/>
        <w:ind w:firstLine="640"/>
        <w:rPr>
          <w:rFonts w:ascii="仿宋" w:hAnsi="仿宋" w:eastAsia="仿宋"/>
          <w:b/>
          <w:color w:val="auto"/>
          <w:sz w:val="32"/>
          <w:szCs w:val="32"/>
          <w:highlight w:val="none"/>
        </w:rPr>
      </w:pPr>
    </w:p>
    <w:p>
      <w:pPr>
        <w:spacing w:line="600" w:lineRule="exact"/>
        <w:ind w:firstLine="640" w:firstLineChars="200"/>
        <w:outlineLvl w:val="1"/>
        <w:rPr>
          <w:rStyle w:val="28"/>
          <w:rFonts w:ascii="黑体" w:hAnsi="黑体" w:eastAsia="黑体"/>
          <w:b w:val="0"/>
          <w:color w:val="auto"/>
          <w:highlight w:val="none"/>
        </w:rPr>
      </w:pPr>
      <w:bookmarkStart w:id="110" w:name="_Toc15377209"/>
      <w:bookmarkStart w:id="111" w:name="_Toc13986"/>
      <w:bookmarkStart w:id="112" w:name="_Toc15396607"/>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8"/>
          <w:rFonts w:hint="eastAsia" w:ascii="黑体" w:hAnsi="黑体" w:eastAsia="黑体"/>
          <w:b w:val="0"/>
          <w:color w:val="auto"/>
          <w:highlight w:val="none"/>
        </w:rPr>
        <w:t>般公共预算财政拨款支出决算情况说明</w:t>
      </w:r>
      <w:bookmarkEnd w:id="110"/>
      <w:bookmarkEnd w:id="111"/>
      <w:bookmarkEnd w:id="112"/>
    </w:p>
    <w:p>
      <w:pPr>
        <w:spacing w:line="600" w:lineRule="exact"/>
        <w:ind w:firstLine="643" w:firstLineChars="200"/>
        <w:outlineLvl w:val="2"/>
        <w:rPr>
          <w:rFonts w:ascii="仿宋" w:hAnsi="仿宋" w:eastAsia="仿宋"/>
          <w:b/>
          <w:color w:val="auto"/>
          <w:sz w:val="32"/>
          <w:szCs w:val="32"/>
          <w:highlight w:val="none"/>
        </w:rPr>
      </w:pPr>
      <w:bookmarkStart w:id="113" w:name="_Toc5473"/>
      <w:bookmarkStart w:id="114" w:name="_Toc15377210"/>
      <w:r>
        <w:rPr>
          <w:rFonts w:hint="eastAsia" w:ascii="仿宋" w:hAnsi="仿宋" w:eastAsia="仿宋"/>
          <w:b/>
          <w:color w:val="auto"/>
          <w:sz w:val="32"/>
          <w:szCs w:val="32"/>
          <w:highlight w:val="none"/>
        </w:rPr>
        <w:t>（一）一般公共预算财政拨款支出决算总体情况</w:t>
      </w:r>
      <w:bookmarkEnd w:id="113"/>
      <w:bookmarkEnd w:id="114"/>
    </w:p>
    <w:p>
      <w:pPr>
        <w:spacing w:line="600" w:lineRule="exact"/>
        <w:ind w:firstLine="640" w:firstLineChars="200"/>
        <w:rPr>
          <w:rFonts w:hint="default" w:ascii="仿宋" w:hAnsi="仿宋" w:eastAsia="仿宋"/>
          <w:color w:val="auto"/>
          <w:sz w:val="32"/>
          <w:szCs w:val="32"/>
          <w:highlight w:val="yellow"/>
          <w:lang w:val="en-US"/>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年一般公共预算财政拨款支出46654.31万元，占本年支出合计的</w:t>
      </w:r>
      <w:r>
        <w:rPr>
          <w:rFonts w:hint="eastAsia" w:ascii="仿宋" w:hAnsi="仿宋" w:eastAsia="仿宋"/>
          <w:color w:val="auto"/>
          <w:sz w:val="32"/>
          <w:szCs w:val="32"/>
          <w:highlight w:val="none"/>
          <w:lang w:val="en-US" w:eastAsia="zh-CN"/>
        </w:rPr>
        <w:t>89.03</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val="en-US" w:eastAsia="zh-CN"/>
        </w:rPr>
        <w:t>6321.39</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15.67</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本年项目支出增加，2021年年末在职教职工人数增加，基本支出中人员工资、社会保险支出和商品服务支出同时增加。</w:t>
      </w:r>
    </w:p>
    <w:p>
      <w:pPr>
        <w:spacing w:line="240" w:lineRule="auto"/>
        <w:jc w:val="center"/>
        <w:rPr>
          <w:rFonts w:ascii="仿宋" w:hAnsi="仿宋" w:eastAsia="仿宋"/>
          <w:color w:val="auto"/>
          <w:sz w:val="32"/>
          <w:szCs w:val="32"/>
          <w:highlight w:val="none"/>
        </w:rPr>
      </w:pPr>
      <w:r>
        <w:drawing>
          <wp:inline distT="0" distB="0" distL="114300" distR="114300">
            <wp:extent cx="3918585" cy="2040890"/>
            <wp:effectExtent l="4445" t="4445" r="20320" b="12065"/>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line="600" w:lineRule="exact"/>
        <w:ind w:firstLine="640" w:firstLineChars="200"/>
      </w:pPr>
      <w:r>
        <w:rPr>
          <w:rFonts w:hint="eastAsia" w:ascii="仿宋" w:hAnsi="仿宋" w:eastAsia="仿宋"/>
          <w:color w:val="auto"/>
          <w:sz w:val="32"/>
          <w:szCs w:val="32"/>
          <w:highlight w:val="none"/>
        </w:rPr>
        <w:t>（图5：一般公共预算财政拨款支出决算变动情况）</w:t>
      </w:r>
    </w:p>
    <w:p>
      <w:pPr>
        <w:spacing w:line="600" w:lineRule="exact"/>
        <w:ind w:firstLine="643" w:firstLineChars="200"/>
        <w:outlineLvl w:val="2"/>
        <w:rPr>
          <w:rFonts w:ascii="仿宋" w:hAnsi="仿宋" w:eastAsia="仿宋"/>
          <w:b/>
          <w:color w:val="auto"/>
          <w:sz w:val="32"/>
          <w:szCs w:val="32"/>
          <w:highlight w:val="none"/>
        </w:rPr>
      </w:pPr>
      <w:bookmarkStart w:id="115" w:name="_Toc2431"/>
      <w:bookmarkStart w:id="116" w:name="_Toc15377211"/>
      <w:r>
        <w:rPr>
          <w:rFonts w:hint="eastAsia" w:ascii="仿宋" w:hAnsi="仿宋" w:eastAsia="仿宋"/>
          <w:b/>
          <w:color w:val="auto"/>
          <w:sz w:val="32"/>
          <w:szCs w:val="32"/>
          <w:highlight w:val="none"/>
        </w:rPr>
        <w:t>（二）一般公共预算财政拨款支出决算结构情况</w:t>
      </w:r>
      <w:bookmarkEnd w:id="115"/>
      <w:bookmarkEnd w:id="116"/>
    </w:p>
    <w:p>
      <w:pPr>
        <w:spacing w:line="600" w:lineRule="exact"/>
        <w:ind w:firstLine="640"/>
        <w:rPr>
          <w:rFonts w:ascii="仿宋" w:hAnsi="仿宋" w:eastAsia="仿宋"/>
          <w:color w:val="auto"/>
          <w:sz w:val="32"/>
          <w:szCs w:val="32"/>
          <w:highlight w:val="none"/>
        </w:rPr>
      </w:pPr>
      <w:r>
        <w:drawing>
          <wp:anchor distT="0" distB="0" distL="114935" distR="114935" simplePos="0" relativeHeight="251659264" behindDoc="0" locked="0" layoutInCell="1" allowOverlap="1">
            <wp:simplePos x="0" y="0"/>
            <wp:positionH relativeFrom="column">
              <wp:posOffset>352425</wp:posOffset>
            </wp:positionH>
            <wp:positionV relativeFrom="paragraph">
              <wp:posOffset>2326640</wp:posOffset>
            </wp:positionV>
            <wp:extent cx="4572000" cy="1966595"/>
            <wp:effectExtent l="4445" t="4445" r="14605" b="10160"/>
            <wp:wrapTopAndBottom/>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年一般公共预算财政拨款支出46654.31万元，主要用于以下方面</w:t>
      </w:r>
      <w:r>
        <w:rPr>
          <w:rFonts w:ascii="仿宋" w:hAnsi="仿宋" w:eastAsia="仿宋"/>
          <w:color w:val="auto"/>
          <w:sz w:val="32"/>
          <w:szCs w:val="32"/>
          <w:highlight w:val="none"/>
        </w:rPr>
        <w:t>:</w:t>
      </w:r>
      <w:r>
        <w:rPr>
          <w:rFonts w:hint="eastAsia" w:ascii="仿宋" w:hAnsi="仿宋" w:eastAsia="仿宋"/>
          <w:b/>
          <w:color w:val="auto"/>
          <w:sz w:val="32"/>
          <w:szCs w:val="32"/>
          <w:highlight w:val="none"/>
        </w:rPr>
        <w:t>教育支出</w:t>
      </w:r>
      <w:r>
        <w:rPr>
          <w:rFonts w:hint="eastAsia" w:ascii="仿宋" w:hAnsi="仿宋" w:eastAsia="仿宋"/>
          <w:color w:val="auto"/>
          <w:sz w:val="32"/>
          <w:szCs w:val="32"/>
          <w:highlight w:val="none"/>
        </w:rPr>
        <w:t>37138.18万元，占</w:t>
      </w:r>
      <w:r>
        <w:rPr>
          <w:rFonts w:hint="eastAsia" w:ascii="仿宋" w:hAnsi="仿宋" w:eastAsia="仿宋"/>
          <w:color w:val="auto"/>
          <w:sz w:val="32"/>
          <w:szCs w:val="32"/>
          <w:highlight w:val="none"/>
          <w:lang w:val="en-US" w:eastAsia="zh-CN"/>
        </w:rPr>
        <w:t>79.6</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社会保障和就业</w:t>
      </w:r>
      <w:r>
        <w:rPr>
          <w:rFonts w:hint="eastAsia" w:ascii="仿宋" w:hAnsi="仿宋" w:eastAsia="仿宋"/>
          <w:color w:val="auto"/>
          <w:sz w:val="32"/>
          <w:szCs w:val="32"/>
          <w:highlight w:val="none"/>
        </w:rPr>
        <w:t>支出3648.59万元，占</w:t>
      </w:r>
      <w:r>
        <w:rPr>
          <w:rFonts w:hint="eastAsia" w:ascii="仿宋" w:hAnsi="仿宋" w:eastAsia="仿宋"/>
          <w:color w:val="auto"/>
          <w:sz w:val="32"/>
          <w:szCs w:val="32"/>
          <w:highlight w:val="none"/>
          <w:lang w:val="en-US" w:eastAsia="zh-CN"/>
        </w:rPr>
        <w:t>7.82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rPr>
        <w:t>1322.14万元，占</w:t>
      </w:r>
      <w:r>
        <w:rPr>
          <w:rFonts w:hint="eastAsia" w:ascii="仿宋" w:hAnsi="仿宋" w:eastAsia="仿宋"/>
          <w:color w:val="auto"/>
          <w:sz w:val="32"/>
          <w:szCs w:val="32"/>
          <w:highlight w:val="none"/>
          <w:lang w:val="en-US" w:eastAsia="zh-CN"/>
        </w:rPr>
        <w:t>2.83</w:t>
      </w:r>
      <w:r>
        <w:rPr>
          <w:rFonts w:ascii="仿宋" w:hAnsi="仿宋" w:eastAsia="仿宋"/>
          <w:color w:val="auto"/>
          <w:sz w:val="32"/>
          <w:szCs w:val="32"/>
          <w:highlight w:val="none"/>
        </w:rPr>
        <w:t>%</w:t>
      </w:r>
      <w:r>
        <w:rPr>
          <w:rFonts w:hint="eastAsia" w:ascii="仿宋" w:hAnsi="仿宋" w:eastAsia="仿宋"/>
          <w:color w:val="auto"/>
          <w:sz w:val="32"/>
          <w:szCs w:val="32"/>
          <w:highlight w:val="none"/>
        </w:rPr>
        <w:t>；住房保障支出2526.06万元，占</w:t>
      </w:r>
      <w:r>
        <w:rPr>
          <w:rFonts w:hint="eastAsia" w:ascii="仿宋" w:hAnsi="仿宋" w:eastAsia="仿宋"/>
          <w:color w:val="auto"/>
          <w:sz w:val="32"/>
          <w:szCs w:val="32"/>
          <w:highlight w:val="none"/>
          <w:lang w:val="en-US" w:eastAsia="zh-CN"/>
        </w:rPr>
        <w:t>5.41</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灾害防治及应急管理支出</w:t>
      </w:r>
      <w:r>
        <w:rPr>
          <w:rFonts w:hint="eastAsia" w:ascii="仿宋" w:hAnsi="仿宋" w:eastAsia="仿宋"/>
          <w:color w:val="auto"/>
          <w:sz w:val="32"/>
          <w:szCs w:val="32"/>
          <w:highlight w:val="none"/>
        </w:rPr>
        <w:t>18.5</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0.04</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r>
        <w:rPr>
          <w:rFonts w:hint="eastAsia" w:ascii="仿宋" w:hAnsi="仿宋" w:eastAsia="仿宋"/>
          <w:b/>
          <w:color w:val="auto"/>
          <w:sz w:val="32"/>
          <w:szCs w:val="32"/>
          <w:highlight w:val="none"/>
          <w:lang w:eastAsia="zh-CN"/>
        </w:rPr>
        <w:t>其他支出</w:t>
      </w:r>
      <w:r>
        <w:rPr>
          <w:rFonts w:hint="eastAsia" w:ascii="仿宋" w:hAnsi="仿宋" w:eastAsia="仿宋"/>
          <w:color w:val="auto"/>
          <w:sz w:val="32"/>
          <w:szCs w:val="32"/>
          <w:highlight w:val="none"/>
          <w:lang w:eastAsia="zh-CN"/>
        </w:rPr>
        <w:t>2000.85，</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4.29</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pPr>
        <w:spacing w:line="600" w:lineRule="exact"/>
        <w:jc w:val="center"/>
      </w:pPr>
      <w:r>
        <w:rPr>
          <w:rFonts w:hint="eastAsia" w:ascii="仿宋" w:hAnsi="仿宋" w:eastAsia="仿宋"/>
          <w:color w:val="auto"/>
          <w:sz w:val="32"/>
          <w:szCs w:val="32"/>
          <w:highlight w:val="none"/>
        </w:rPr>
        <w:t>（图6：一般公共预算财政拨款支出决算结构）</w:t>
      </w:r>
    </w:p>
    <w:p>
      <w:pPr>
        <w:spacing w:line="600" w:lineRule="exact"/>
        <w:ind w:firstLine="643" w:firstLineChars="200"/>
        <w:outlineLvl w:val="2"/>
        <w:rPr>
          <w:rFonts w:ascii="仿宋" w:hAnsi="仿宋" w:eastAsia="仿宋"/>
          <w:b/>
          <w:color w:val="auto"/>
          <w:sz w:val="32"/>
          <w:szCs w:val="32"/>
          <w:highlight w:val="none"/>
        </w:rPr>
      </w:pPr>
      <w:bookmarkStart w:id="117" w:name="_Toc19591"/>
      <w:bookmarkStart w:id="118" w:name="_Toc15377212"/>
      <w:r>
        <w:rPr>
          <w:rFonts w:hint="eastAsia" w:ascii="仿宋" w:hAnsi="仿宋" w:eastAsia="仿宋"/>
          <w:b/>
          <w:color w:val="auto"/>
          <w:sz w:val="32"/>
          <w:szCs w:val="32"/>
          <w:highlight w:val="none"/>
        </w:rPr>
        <w:t>（三）一般公共预算财政拨款支出决算具体情况</w:t>
      </w:r>
      <w:bookmarkEnd w:id="117"/>
      <w:bookmarkEnd w:id="118"/>
    </w:p>
    <w:p>
      <w:pPr>
        <w:spacing w:line="600" w:lineRule="exact"/>
        <w:ind w:firstLine="643" w:firstLineChars="200"/>
        <w:outlineLvl w:val="2"/>
        <w:rPr>
          <w:rFonts w:ascii="仿宋" w:hAnsi="仿宋" w:eastAsia="仿宋"/>
          <w:color w:val="auto"/>
          <w:sz w:val="32"/>
          <w:szCs w:val="32"/>
          <w:highlight w:val="none"/>
        </w:rPr>
      </w:pPr>
      <w:bookmarkStart w:id="119" w:name="_Toc15378460"/>
      <w:bookmarkStart w:id="120" w:name="_Toc15377213"/>
      <w:bookmarkStart w:id="121" w:name="_Toc15377444"/>
      <w:bookmarkStart w:id="122" w:name="_Toc29685"/>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21</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般公共预算支出决算数为46654.31</w:t>
      </w:r>
      <w:r>
        <w:rPr>
          <w:rFonts w:hint="eastAsia" w:ascii="仿宋" w:hAnsi="仿宋" w:eastAsia="仿宋"/>
          <w:b/>
          <w:color w:val="auto"/>
          <w:sz w:val="32"/>
          <w:szCs w:val="32"/>
          <w:highlight w:val="none"/>
          <w:lang w:val="en-US" w:eastAsia="zh-CN"/>
        </w:rPr>
        <w:t>万元</w:t>
      </w:r>
      <w:r>
        <w:rPr>
          <w:rFonts w:hint="eastAsia" w:ascii="仿宋" w:hAnsi="仿宋" w:eastAsia="仿宋"/>
          <w:color w:val="auto"/>
          <w:sz w:val="32"/>
          <w:szCs w:val="32"/>
          <w:highlight w:val="none"/>
        </w:rPr>
        <w:t>，</w:t>
      </w:r>
      <w:r>
        <w:rPr>
          <w:rStyle w:val="17"/>
          <w:rFonts w:hint="eastAsia" w:ascii="仿宋" w:hAnsi="仿宋" w:eastAsia="仿宋"/>
          <w:bCs/>
          <w:color w:val="auto"/>
          <w:sz w:val="32"/>
          <w:szCs w:val="32"/>
          <w:highlight w:val="none"/>
        </w:rPr>
        <w:t>完成预算</w:t>
      </w:r>
      <w:r>
        <w:rPr>
          <w:rStyle w:val="17"/>
          <w:rFonts w:hint="eastAsia" w:ascii="仿宋" w:hAnsi="仿宋" w:eastAsia="仿宋"/>
          <w:bCs/>
          <w:color w:val="auto"/>
          <w:sz w:val="32"/>
          <w:szCs w:val="32"/>
          <w:highlight w:val="none"/>
          <w:lang w:val="en-US" w:eastAsia="zh-CN"/>
        </w:rPr>
        <w:t>85.7</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。其中：</w:t>
      </w:r>
      <w:bookmarkEnd w:id="119"/>
      <w:bookmarkEnd w:id="120"/>
      <w:bookmarkEnd w:id="121"/>
      <w:bookmarkEnd w:id="122"/>
    </w:p>
    <w:p>
      <w:pPr>
        <w:numPr>
          <w:ilvl w:val="0"/>
          <w:numId w:val="11"/>
        </w:numPr>
        <w:spacing w:line="600" w:lineRule="exact"/>
        <w:ind w:firstLine="643" w:firstLineChars="200"/>
        <w:rPr>
          <w:rStyle w:val="17"/>
          <w:rFonts w:hint="eastAsia" w:ascii="仿宋" w:hAnsi="仿宋" w:eastAsia="仿宋"/>
          <w:b w:val="0"/>
          <w:bCs/>
          <w:color w:val="auto"/>
          <w:sz w:val="32"/>
          <w:szCs w:val="32"/>
          <w:highlight w:val="none"/>
        </w:rPr>
      </w:pPr>
      <w:r>
        <w:rPr>
          <w:rStyle w:val="17"/>
          <w:rFonts w:hint="eastAsia" w:ascii="仿宋" w:hAnsi="仿宋" w:eastAsia="仿宋"/>
          <w:bCs/>
          <w:color w:val="auto"/>
          <w:sz w:val="32"/>
          <w:szCs w:val="32"/>
          <w:highlight w:val="none"/>
        </w:rPr>
        <w:t>教育支出（类）教育管理事务（款）行政运行（项）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支出决算为835.07万元，完成预算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p>
    <w:p>
      <w:pPr>
        <w:numPr>
          <w:ilvl w:val="0"/>
          <w:numId w:val="0"/>
        </w:numPr>
        <w:spacing w:line="600" w:lineRule="exact"/>
        <w:ind w:firstLine="643" w:firstLineChars="200"/>
        <w:rPr>
          <w:rStyle w:val="17"/>
          <w:rFonts w:hint="default" w:ascii="仿宋" w:hAnsi="仿宋" w:eastAsia="仿宋"/>
          <w:b w:val="0"/>
          <w:bCs/>
          <w:color w:val="auto"/>
          <w:sz w:val="32"/>
          <w:szCs w:val="32"/>
          <w:highlight w:val="none"/>
          <w:lang w:val="en-US" w:eastAsia="zh-CN"/>
        </w:rPr>
      </w:pPr>
      <w:r>
        <w:rPr>
          <w:rStyle w:val="17"/>
          <w:rFonts w:ascii="仿宋" w:hAnsi="仿宋" w:eastAsia="仿宋"/>
          <w:bCs/>
          <w:color w:val="auto"/>
          <w:sz w:val="32"/>
          <w:szCs w:val="32"/>
          <w:highlight w:val="none"/>
        </w:rPr>
        <w:t>2.</w:t>
      </w:r>
      <w:r>
        <w:rPr>
          <w:rStyle w:val="17"/>
          <w:rFonts w:hint="eastAsia" w:ascii="仿宋" w:hAnsi="仿宋" w:eastAsia="仿宋"/>
          <w:bCs/>
          <w:color w:val="auto"/>
          <w:sz w:val="32"/>
          <w:szCs w:val="32"/>
          <w:highlight w:val="none"/>
        </w:rPr>
        <w:t>教育支出（类）教育管理事务（款）一般行政管理事务（项）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支出决算为1024.32万元，完成预算</w:t>
      </w:r>
      <w:r>
        <w:rPr>
          <w:rStyle w:val="17"/>
          <w:rFonts w:hint="eastAsia" w:ascii="仿宋" w:hAnsi="仿宋" w:eastAsia="仿宋"/>
          <w:b w:val="0"/>
          <w:bCs/>
          <w:color w:val="auto"/>
          <w:sz w:val="32"/>
          <w:szCs w:val="32"/>
          <w:highlight w:val="none"/>
          <w:lang w:val="en-US" w:eastAsia="zh-CN"/>
        </w:rPr>
        <w:t>93.25</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，决算数小于预算数的主要原因是</w:t>
      </w:r>
      <w:r>
        <w:rPr>
          <w:rStyle w:val="17"/>
          <w:rFonts w:hint="eastAsia" w:ascii="仿宋" w:hAnsi="仿宋" w:eastAsia="仿宋"/>
          <w:b w:val="0"/>
          <w:bCs/>
          <w:color w:val="auto"/>
          <w:sz w:val="32"/>
          <w:szCs w:val="32"/>
          <w:highlight w:val="none"/>
          <w:lang w:val="en-US" w:eastAsia="zh-CN"/>
        </w:rPr>
        <w:t>受疫情影响，部分项目尚未竣工，项目资金有结余。</w:t>
      </w:r>
    </w:p>
    <w:p>
      <w:pPr>
        <w:numPr>
          <w:ilvl w:val="0"/>
          <w:numId w:val="0"/>
        </w:numPr>
        <w:spacing w:line="600" w:lineRule="exact"/>
        <w:ind w:firstLine="643" w:firstLineChars="200"/>
        <w:rPr>
          <w:rFonts w:ascii="仿宋" w:hAnsi="仿宋" w:eastAsia="仿宋"/>
          <w:b/>
          <w:color w:val="auto"/>
          <w:sz w:val="32"/>
          <w:szCs w:val="32"/>
          <w:highlight w:val="none"/>
        </w:rPr>
      </w:pPr>
      <w:r>
        <w:rPr>
          <w:rStyle w:val="17"/>
          <w:rFonts w:ascii="仿宋" w:hAnsi="仿宋" w:eastAsia="仿宋"/>
          <w:bCs/>
          <w:color w:val="auto"/>
          <w:sz w:val="32"/>
          <w:szCs w:val="32"/>
          <w:highlight w:val="none"/>
        </w:rPr>
        <w:t>3.</w:t>
      </w:r>
      <w:r>
        <w:rPr>
          <w:rStyle w:val="17"/>
          <w:rFonts w:hint="eastAsia" w:ascii="仿宋" w:hAnsi="仿宋" w:eastAsia="仿宋"/>
          <w:bCs/>
          <w:color w:val="auto"/>
          <w:sz w:val="32"/>
          <w:szCs w:val="32"/>
          <w:highlight w:val="none"/>
        </w:rPr>
        <w:t>教育支出（类）教育管理事务（款）其他教育管理事务支出（项）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支出决算为37.53万元，完成预算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p>
    <w:p>
      <w:pPr>
        <w:spacing w:line="600" w:lineRule="exact"/>
        <w:ind w:firstLine="643" w:firstLineChars="200"/>
        <w:rPr>
          <w:rStyle w:val="17"/>
          <w:rFonts w:hint="eastAsia" w:ascii="仿宋" w:hAnsi="仿宋" w:eastAsia="仿宋"/>
          <w:b w:val="0"/>
          <w:bCs/>
          <w:color w:val="auto"/>
          <w:sz w:val="32"/>
          <w:szCs w:val="32"/>
          <w:highlight w:val="none"/>
          <w:lang w:val="en-US" w:eastAsia="zh-CN"/>
        </w:rPr>
      </w:pPr>
      <w:r>
        <w:rPr>
          <w:rStyle w:val="17"/>
          <w:rFonts w:ascii="仿宋" w:hAnsi="仿宋" w:eastAsia="仿宋"/>
          <w:bCs/>
          <w:color w:val="auto"/>
          <w:sz w:val="32"/>
          <w:szCs w:val="32"/>
          <w:highlight w:val="none"/>
        </w:rPr>
        <w:t>4.</w:t>
      </w:r>
      <w:r>
        <w:rPr>
          <w:rStyle w:val="17"/>
          <w:rFonts w:hint="eastAsia" w:ascii="仿宋" w:hAnsi="仿宋" w:eastAsia="仿宋"/>
          <w:bCs/>
          <w:color w:val="auto"/>
          <w:sz w:val="32"/>
          <w:szCs w:val="32"/>
          <w:highlight w:val="none"/>
        </w:rPr>
        <w:t>教育支出</w:t>
      </w:r>
      <w:r>
        <w:rPr>
          <w:rStyle w:val="17"/>
          <w:rFonts w:hint="eastAsia" w:ascii="仿宋" w:hAnsi="仿宋" w:eastAsia="仿宋"/>
          <w:bCs/>
          <w:color w:val="auto"/>
          <w:sz w:val="32"/>
          <w:szCs w:val="32"/>
          <w:highlight w:val="none"/>
          <w:lang w:eastAsia="zh-CN"/>
        </w:rPr>
        <w:t>（</w:t>
      </w:r>
      <w:r>
        <w:rPr>
          <w:rStyle w:val="17"/>
          <w:rFonts w:hint="eastAsia" w:ascii="仿宋" w:hAnsi="仿宋" w:eastAsia="仿宋"/>
          <w:bCs/>
          <w:color w:val="auto"/>
          <w:sz w:val="32"/>
          <w:szCs w:val="32"/>
          <w:highlight w:val="none"/>
        </w:rPr>
        <w:t>类</w:t>
      </w:r>
      <w:r>
        <w:rPr>
          <w:rStyle w:val="17"/>
          <w:rFonts w:hint="eastAsia" w:ascii="仿宋" w:hAnsi="仿宋" w:eastAsia="仿宋"/>
          <w:bCs/>
          <w:color w:val="auto"/>
          <w:sz w:val="32"/>
          <w:szCs w:val="32"/>
          <w:highlight w:val="none"/>
          <w:lang w:eastAsia="zh-CN"/>
        </w:rPr>
        <w:t>）</w:t>
      </w:r>
      <w:r>
        <w:rPr>
          <w:rStyle w:val="17"/>
          <w:rFonts w:hint="eastAsia" w:ascii="仿宋" w:hAnsi="仿宋" w:eastAsia="仿宋"/>
          <w:bCs/>
          <w:color w:val="auto"/>
          <w:sz w:val="32"/>
          <w:szCs w:val="32"/>
          <w:highlight w:val="none"/>
        </w:rPr>
        <w:t>普通教育（款）学前教育（项）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1221.25</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85.93</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，决算数小于预算数的主要原因是</w:t>
      </w:r>
      <w:r>
        <w:rPr>
          <w:rStyle w:val="17"/>
          <w:rFonts w:hint="eastAsia" w:ascii="仿宋" w:hAnsi="仿宋" w:eastAsia="仿宋"/>
          <w:b w:val="0"/>
          <w:bCs/>
          <w:color w:val="auto"/>
          <w:sz w:val="32"/>
          <w:szCs w:val="32"/>
          <w:highlight w:val="none"/>
          <w:lang w:val="en-US" w:eastAsia="zh-CN"/>
        </w:rPr>
        <w:t>学前教育类资金正常结转。</w:t>
      </w:r>
    </w:p>
    <w:p>
      <w:pPr>
        <w:spacing w:line="600" w:lineRule="exact"/>
        <w:ind w:firstLine="643" w:firstLineChars="200"/>
      </w:pPr>
      <w:r>
        <w:rPr>
          <w:rStyle w:val="17"/>
          <w:rFonts w:hint="eastAsia" w:ascii="仿宋" w:hAnsi="仿宋" w:eastAsia="仿宋"/>
          <w:bCs/>
          <w:color w:val="auto"/>
          <w:sz w:val="32"/>
          <w:szCs w:val="32"/>
          <w:highlight w:val="none"/>
          <w:lang w:val="en-US" w:eastAsia="zh-CN"/>
        </w:rPr>
        <w:t>5</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教育支出（类）普通教育（款）小学教育（项）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2654.03</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65.75</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，决算数小于预算数的主要原因是</w:t>
      </w:r>
      <w:r>
        <w:rPr>
          <w:rStyle w:val="17"/>
          <w:rFonts w:hint="eastAsia" w:ascii="仿宋" w:hAnsi="仿宋" w:eastAsia="仿宋"/>
          <w:b w:val="0"/>
          <w:bCs/>
          <w:color w:val="auto"/>
          <w:sz w:val="32"/>
          <w:szCs w:val="32"/>
          <w:highlight w:val="none"/>
          <w:lang w:val="en-US" w:eastAsia="zh-CN"/>
        </w:rPr>
        <w:t>受疫情影响，项目建设进度较慢，部分项目当年未竣工。</w:t>
      </w:r>
    </w:p>
    <w:p>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auto"/>
          <w:sz w:val="32"/>
          <w:szCs w:val="32"/>
          <w:highlight w:val="none"/>
          <w:lang w:val="en-US" w:eastAsia="zh-CN"/>
        </w:rPr>
        <w:t>6</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教育支出（类）普通教育（款）初中教育（项）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3662.14</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84.85</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，决算数小于预算数的主要原因是</w:t>
      </w:r>
      <w:r>
        <w:rPr>
          <w:rStyle w:val="17"/>
          <w:rFonts w:hint="eastAsia" w:ascii="仿宋" w:hAnsi="仿宋" w:eastAsia="仿宋"/>
          <w:b w:val="0"/>
          <w:bCs/>
          <w:color w:val="auto"/>
          <w:sz w:val="32"/>
          <w:szCs w:val="32"/>
          <w:highlight w:val="none"/>
          <w:lang w:val="en-US" w:eastAsia="zh-CN"/>
        </w:rPr>
        <w:t>部分项目未竣工，项目资金有结余</w:t>
      </w:r>
      <w:r>
        <w:rPr>
          <w:rStyle w:val="17"/>
          <w:rFonts w:hint="eastAsia" w:ascii="仿宋" w:hAnsi="仿宋" w:eastAsia="仿宋"/>
          <w:b w:val="0"/>
          <w:bCs/>
          <w:color w:val="auto"/>
          <w:sz w:val="32"/>
          <w:szCs w:val="32"/>
          <w:highlight w:val="none"/>
        </w:rPr>
        <w:t>。</w:t>
      </w:r>
    </w:p>
    <w:p>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auto"/>
          <w:sz w:val="32"/>
          <w:szCs w:val="32"/>
          <w:highlight w:val="none"/>
          <w:lang w:val="en-US" w:eastAsia="zh-CN"/>
        </w:rPr>
        <w:t>7</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教育支出（类）普通教育（款）高中教育（项）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支出决算为17812.15万元，完成预算</w:t>
      </w:r>
      <w:r>
        <w:rPr>
          <w:rStyle w:val="17"/>
          <w:rFonts w:hint="eastAsia" w:ascii="仿宋" w:hAnsi="仿宋" w:eastAsia="仿宋"/>
          <w:b w:val="0"/>
          <w:bCs/>
          <w:color w:val="auto"/>
          <w:sz w:val="32"/>
          <w:szCs w:val="32"/>
          <w:highlight w:val="none"/>
          <w:lang w:val="en-US" w:eastAsia="zh-CN"/>
        </w:rPr>
        <w:t>88.73</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，决算数小于预算数的主要原因是</w:t>
      </w:r>
      <w:r>
        <w:rPr>
          <w:rStyle w:val="17"/>
          <w:rFonts w:hint="eastAsia" w:ascii="仿宋" w:hAnsi="仿宋" w:eastAsia="仿宋"/>
          <w:b w:val="0"/>
          <w:bCs/>
          <w:color w:val="auto"/>
          <w:sz w:val="32"/>
          <w:szCs w:val="32"/>
          <w:highlight w:val="none"/>
          <w:lang w:val="en-US" w:eastAsia="zh-CN"/>
        </w:rPr>
        <w:t>受疫情影响，项目建设进度较慢，部分项目当年未竣工。</w:t>
      </w:r>
    </w:p>
    <w:p>
      <w:pPr>
        <w:pStyle w:val="2"/>
        <w:ind w:firstLine="643" w:firstLineChars="200"/>
        <w:rPr>
          <w:rStyle w:val="17"/>
          <w:rFonts w:hint="eastAsia" w:ascii="仿宋" w:hAnsi="仿宋" w:eastAsia="仿宋"/>
          <w:b w:val="0"/>
          <w:bCs/>
          <w:color w:val="auto"/>
          <w:sz w:val="32"/>
          <w:szCs w:val="32"/>
          <w:highlight w:val="none"/>
        </w:rPr>
      </w:pPr>
      <w:r>
        <w:rPr>
          <w:rStyle w:val="17"/>
          <w:rFonts w:hint="eastAsia" w:ascii="仿宋" w:hAnsi="仿宋" w:eastAsia="仿宋"/>
          <w:bCs/>
          <w:color w:val="auto"/>
          <w:sz w:val="32"/>
          <w:szCs w:val="32"/>
          <w:highlight w:val="none"/>
          <w:lang w:val="en-US" w:eastAsia="zh-CN"/>
        </w:rPr>
        <w:t>8</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教育支出（类）普通教育（款）其他普通教育支出（项）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支出决算为3</w:t>
      </w:r>
      <w:r>
        <w:rPr>
          <w:rStyle w:val="17"/>
          <w:rFonts w:hint="eastAsia" w:ascii="仿宋" w:hAnsi="仿宋" w:eastAsia="仿宋"/>
          <w:b w:val="0"/>
          <w:bCs/>
          <w:color w:val="auto"/>
          <w:sz w:val="32"/>
          <w:szCs w:val="32"/>
          <w:highlight w:val="none"/>
          <w:lang w:val="en-US" w:eastAsia="zh-CN"/>
        </w:rPr>
        <w:t>0</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p>
    <w:p>
      <w:pPr>
        <w:pStyle w:val="2"/>
        <w:ind w:firstLine="643" w:firstLineChars="200"/>
        <w:rPr>
          <w:rStyle w:val="17"/>
          <w:rFonts w:hint="eastAsia" w:ascii="仿宋" w:hAnsi="仿宋" w:eastAsia="仿宋"/>
          <w:b w:val="0"/>
          <w:bCs/>
          <w:color w:val="auto"/>
          <w:sz w:val="32"/>
          <w:szCs w:val="32"/>
          <w:highlight w:val="none"/>
        </w:rPr>
      </w:pPr>
      <w:r>
        <w:rPr>
          <w:rStyle w:val="17"/>
          <w:rFonts w:hint="eastAsia" w:ascii="仿宋" w:hAnsi="仿宋" w:eastAsia="仿宋"/>
          <w:bCs/>
          <w:color w:val="auto"/>
          <w:sz w:val="32"/>
          <w:szCs w:val="32"/>
          <w:highlight w:val="none"/>
          <w:lang w:val="en-US" w:eastAsia="zh-CN"/>
        </w:rPr>
        <w:t>9</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教育支出（类）职业教育（款）初等职业教育（项）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1</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p>
    <w:p>
      <w:pPr>
        <w:pStyle w:val="2"/>
        <w:ind w:firstLine="643" w:firstLineChars="200"/>
        <w:rPr>
          <w:rStyle w:val="17"/>
          <w:rFonts w:hint="eastAsia" w:ascii="仿宋" w:hAnsi="仿宋" w:eastAsia="仿宋"/>
          <w:b w:val="0"/>
          <w:bCs/>
          <w:color w:val="auto"/>
          <w:sz w:val="32"/>
          <w:szCs w:val="32"/>
          <w:highlight w:val="none"/>
        </w:rPr>
      </w:pPr>
      <w:r>
        <w:rPr>
          <w:rStyle w:val="17"/>
          <w:rFonts w:hint="eastAsia" w:ascii="仿宋" w:hAnsi="仿宋" w:eastAsia="仿宋"/>
          <w:bCs/>
          <w:color w:val="auto"/>
          <w:sz w:val="32"/>
          <w:szCs w:val="32"/>
          <w:highlight w:val="none"/>
          <w:lang w:val="en-US" w:eastAsia="zh-CN"/>
        </w:rPr>
        <w:t>10</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教育支出（类）职业教育（款）中等职业教育（项）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支出决算为9221.9万元，完成预算</w:t>
      </w:r>
      <w:r>
        <w:rPr>
          <w:rStyle w:val="17"/>
          <w:rFonts w:hint="eastAsia" w:ascii="仿宋" w:hAnsi="仿宋" w:eastAsia="仿宋"/>
          <w:b w:val="0"/>
          <w:bCs/>
          <w:color w:val="auto"/>
          <w:sz w:val="32"/>
          <w:szCs w:val="32"/>
          <w:highlight w:val="none"/>
          <w:lang w:val="en-US" w:eastAsia="zh-CN"/>
        </w:rPr>
        <w:t>80.66</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，决算数小于预算数的主要原因是</w:t>
      </w:r>
      <w:r>
        <w:rPr>
          <w:rStyle w:val="17"/>
          <w:rFonts w:hint="eastAsia" w:ascii="仿宋" w:hAnsi="仿宋" w:eastAsia="仿宋"/>
          <w:b w:val="0"/>
          <w:bCs/>
          <w:color w:val="auto"/>
          <w:sz w:val="32"/>
          <w:szCs w:val="32"/>
          <w:highlight w:val="none"/>
          <w:lang w:val="en-US" w:eastAsia="zh-CN"/>
        </w:rPr>
        <w:t>项目建设进度受疫情影响，部分项目未竣工</w:t>
      </w:r>
      <w:r>
        <w:rPr>
          <w:rStyle w:val="17"/>
          <w:rFonts w:hint="eastAsia" w:ascii="仿宋" w:hAnsi="仿宋" w:eastAsia="仿宋"/>
          <w:b w:val="0"/>
          <w:bCs/>
          <w:color w:val="auto"/>
          <w:sz w:val="32"/>
          <w:szCs w:val="32"/>
          <w:highlight w:val="none"/>
        </w:rPr>
        <w:t>。</w:t>
      </w:r>
    </w:p>
    <w:p>
      <w:pPr>
        <w:pStyle w:val="2"/>
        <w:ind w:firstLine="643" w:firstLineChars="200"/>
        <w:rPr>
          <w:rStyle w:val="17"/>
          <w:rFonts w:hint="eastAsia" w:ascii="仿宋" w:hAnsi="仿宋" w:eastAsia="仿宋"/>
          <w:b w:val="0"/>
          <w:bCs/>
          <w:color w:val="auto"/>
          <w:sz w:val="32"/>
          <w:szCs w:val="32"/>
          <w:highlight w:val="none"/>
        </w:rPr>
      </w:pPr>
      <w:r>
        <w:rPr>
          <w:rStyle w:val="17"/>
          <w:rFonts w:hint="eastAsia" w:ascii="仿宋" w:hAnsi="仿宋" w:eastAsia="仿宋"/>
          <w:bCs/>
          <w:color w:val="auto"/>
          <w:sz w:val="32"/>
          <w:szCs w:val="32"/>
          <w:highlight w:val="none"/>
          <w:lang w:val="en-US" w:eastAsia="zh-CN"/>
        </w:rPr>
        <w:t>11</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教育支出（类）职业教育（款）其他职业教育支出（项）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支出决算为102.14万元，完成预算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p>
    <w:p>
      <w:pPr>
        <w:pStyle w:val="2"/>
        <w:ind w:firstLine="643" w:firstLineChars="200"/>
        <w:rPr>
          <w:rStyle w:val="17"/>
          <w:rFonts w:hint="eastAsia" w:ascii="仿宋" w:hAnsi="仿宋" w:eastAsia="仿宋"/>
          <w:b w:val="0"/>
          <w:bCs/>
          <w:color w:val="auto"/>
          <w:sz w:val="32"/>
          <w:szCs w:val="32"/>
          <w:highlight w:val="none"/>
        </w:rPr>
      </w:pPr>
      <w:r>
        <w:rPr>
          <w:rStyle w:val="17"/>
          <w:rFonts w:hint="eastAsia" w:ascii="仿宋" w:hAnsi="仿宋" w:eastAsia="仿宋"/>
          <w:bCs/>
          <w:color w:val="auto"/>
          <w:sz w:val="32"/>
          <w:szCs w:val="32"/>
          <w:highlight w:val="none"/>
          <w:lang w:val="en-US" w:eastAsia="zh-CN"/>
        </w:rPr>
        <w:t>12</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教育支出（类）进修及培训（款）教师进修（项）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支出决算为322.21万元，完成预算</w:t>
      </w:r>
      <w:r>
        <w:rPr>
          <w:rStyle w:val="17"/>
          <w:rFonts w:hint="eastAsia" w:ascii="仿宋" w:hAnsi="仿宋" w:eastAsia="仿宋"/>
          <w:b w:val="0"/>
          <w:bCs/>
          <w:color w:val="auto"/>
          <w:sz w:val="32"/>
          <w:szCs w:val="32"/>
          <w:highlight w:val="none"/>
          <w:lang w:val="en-US" w:eastAsia="zh-CN"/>
        </w:rPr>
        <w:t>99.03</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，决算数小于预算数的主要原因是</w:t>
      </w:r>
      <w:r>
        <w:rPr>
          <w:rStyle w:val="17"/>
          <w:rFonts w:hint="eastAsia" w:ascii="仿宋" w:hAnsi="仿宋" w:eastAsia="仿宋"/>
          <w:b w:val="0"/>
          <w:bCs/>
          <w:color w:val="auto"/>
          <w:sz w:val="32"/>
          <w:szCs w:val="32"/>
          <w:highlight w:val="none"/>
          <w:lang w:val="en-US" w:eastAsia="zh-CN"/>
        </w:rPr>
        <w:t>教师进修及培训类部分项目未完成</w:t>
      </w:r>
      <w:r>
        <w:rPr>
          <w:rStyle w:val="17"/>
          <w:rFonts w:hint="eastAsia" w:ascii="仿宋" w:hAnsi="仿宋" w:eastAsia="仿宋"/>
          <w:b w:val="0"/>
          <w:bCs/>
          <w:color w:val="auto"/>
          <w:sz w:val="32"/>
          <w:szCs w:val="32"/>
          <w:highlight w:val="none"/>
        </w:rPr>
        <w:t>。</w:t>
      </w:r>
    </w:p>
    <w:p>
      <w:pPr>
        <w:spacing w:line="600" w:lineRule="exact"/>
        <w:ind w:firstLine="643" w:firstLineChars="200"/>
        <w:rPr>
          <w:rStyle w:val="17"/>
          <w:rFonts w:hint="eastAsia" w:ascii="仿宋" w:hAnsi="仿宋" w:eastAsia="仿宋"/>
          <w:b w:val="0"/>
          <w:bCs/>
          <w:color w:val="auto"/>
          <w:sz w:val="32"/>
          <w:szCs w:val="32"/>
          <w:highlight w:val="none"/>
          <w:lang w:val="en-US" w:eastAsia="zh-CN"/>
        </w:rPr>
      </w:pPr>
      <w:r>
        <w:rPr>
          <w:rStyle w:val="17"/>
          <w:rFonts w:hint="eastAsia" w:ascii="仿宋" w:hAnsi="仿宋" w:eastAsia="仿宋"/>
          <w:bCs/>
          <w:color w:val="auto"/>
          <w:sz w:val="32"/>
          <w:szCs w:val="32"/>
          <w:highlight w:val="none"/>
          <w:lang w:val="en-US" w:eastAsia="zh-CN"/>
        </w:rPr>
        <w:t>13</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教育支出（类）其他教育支出（款）其他教育支出（项）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支出决算为214.44万元，完成预算</w:t>
      </w:r>
      <w:r>
        <w:rPr>
          <w:rStyle w:val="17"/>
          <w:rFonts w:hint="eastAsia" w:ascii="仿宋" w:hAnsi="仿宋" w:eastAsia="仿宋"/>
          <w:b w:val="0"/>
          <w:bCs/>
          <w:color w:val="auto"/>
          <w:sz w:val="32"/>
          <w:szCs w:val="32"/>
          <w:highlight w:val="none"/>
          <w:lang w:val="en-US" w:eastAsia="zh-CN"/>
        </w:rPr>
        <w:t>55.5</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，决算数小于预算数的主要原因是</w:t>
      </w:r>
      <w:r>
        <w:rPr>
          <w:rStyle w:val="17"/>
          <w:rFonts w:hint="eastAsia" w:ascii="仿宋" w:hAnsi="仿宋" w:eastAsia="仿宋"/>
          <w:b w:val="0"/>
          <w:bCs/>
          <w:color w:val="auto"/>
          <w:sz w:val="32"/>
          <w:szCs w:val="32"/>
          <w:highlight w:val="none"/>
          <w:lang w:val="en-US" w:eastAsia="zh-CN"/>
        </w:rPr>
        <w:t>受疫情影响，项目建设进度较慢，部分项目当年未竣工。</w:t>
      </w:r>
    </w:p>
    <w:p>
      <w:pPr>
        <w:spacing w:line="600" w:lineRule="exact"/>
        <w:ind w:firstLine="643" w:firstLineChars="200"/>
        <w:rPr>
          <w:rStyle w:val="17"/>
          <w:rFonts w:hint="eastAsia" w:ascii="仿宋" w:hAnsi="仿宋" w:eastAsia="仿宋"/>
          <w:b w:val="0"/>
          <w:bCs/>
          <w:color w:val="auto"/>
          <w:sz w:val="32"/>
          <w:szCs w:val="32"/>
          <w:highlight w:val="none"/>
        </w:rPr>
      </w:pPr>
      <w:r>
        <w:rPr>
          <w:rStyle w:val="17"/>
          <w:rFonts w:hint="eastAsia" w:ascii="仿宋" w:hAnsi="仿宋" w:eastAsia="仿宋"/>
          <w:bCs/>
          <w:color w:val="auto"/>
          <w:sz w:val="32"/>
          <w:szCs w:val="32"/>
          <w:highlight w:val="none"/>
          <w:lang w:val="en-US" w:eastAsia="zh-CN"/>
        </w:rPr>
        <w:t>14</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社会保障和就业（类）人力资源和社会保障管理事务（款）其他人力资源和社会保障管理事务支出（项）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46.5</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98.73</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，决算数小于预算数的主要原因是</w:t>
      </w:r>
      <w:r>
        <w:rPr>
          <w:rStyle w:val="17"/>
          <w:rFonts w:hint="eastAsia" w:ascii="仿宋" w:hAnsi="仿宋" w:eastAsia="仿宋"/>
          <w:b w:val="0"/>
          <w:bCs/>
          <w:color w:val="auto"/>
          <w:sz w:val="32"/>
          <w:szCs w:val="32"/>
          <w:highlight w:val="none"/>
          <w:lang w:val="en-US" w:eastAsia="zh-CN"/>
        </w:rPr>
        <w:t>资金正常结转</w:t>
      </w:r>
      <w:r>
        <w:rPr>
          <w:rStyle w:val="17"/>
          <w:rFonts w:hint="eastAsia" w:ascii="仿宋" w:hAnsi="仿宋" w:eastAsia="仿宋"/>
          <w:b w:val="0"/>
          <w:bCs/>
          <w:color w:val="auto"/>
          <w:sz w:val="32"/>
          <w:szCs w:val="32"/>
          <w:highlight w:val="none"/>
        </w:rPr>
        <w:t>。</w:t>
      </w:r>
    </w:p>
    <w:p>
      <w:pPr>
        <w:spacing w:line="600" w:lineRule="exact"/>
        <w:ind w:firstLine="643" w:firstLineChars="200"/>
        <w:rPr>
          <w:rStyle w:val="17"/>
          <w:rFonts w:hint="eastAsia" w:ascii="仿宋" w:hAnsi="仿宋" w:eastAsia="仿宋"/>
          <w:b w:val="0"/>
          <w:bCs/>
          <w:color w:val="auto"/>
          <w:sz w:val="32"/>
          <w:szCs w:val="32"/>
          <w:highlight w:val="none"/>
        </w:rPr>
      </w:pPr>
      <w:r>
        <w:rPr>
          <w:rStyle w:val="17"/>
          <w:rFonts w:hint="eastAsia" w:ascii="仿宋" w:hAnsi="仿宋" w:eastAsia="仿宋"/>
          <w:bCs/>
          <w:color w:val="auto"/>
          <w:sz w:val="32"/>
          <w:szCs w:val="32"/>
          <w:highlight w:val="none"/>
          <w:lang w:val="en-US" w:eastAsia="zh-CN"/>
        </w:rPr>
        <w:t>1</w:t>
      </w:r>
      <w:r>
        <w:rPr>
          <w:rStyle w:val="17"/>
          <w:rFonts w:ascii="仿宋" w:hAnsi="仿宋" w:eastAsia="仿宋"/>
          <w:bCs/>
          <w:color w:val="auto"/>
          <w:sz w:val="32"/>
          <w:szCs w:val="32"/>
          <w:highlight w:val="none"/>
        </w:rPr>
        <w:t>5.</w:t>
      </w:r>
      <w:r>
        <w:rPr>
          <w:rStyle w:val="17"/>
          <w:rFonts w:hint="eastAsia" w:ascii="仿宋" w:hAnsi="仿宋" w:eastAsia="仿宋"/>
          <w:bCs/>
          <w:color w:val="auto"/>
          <w:sz w:val="32"/>
          <w:szCs w:val="32"/>
          <w:highlight w:val="none"/>
        </w:rPr>
        <w:t>社会保障和就业（类）行政事业单位养老支出（款）行政单位离退休（项）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33.4</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p>
    <w:p>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auto"/>
          <w:sz w:val="32"/>
          <w:szCs w:val="32"/>
          <w:highlight w:val="none"/>
          <w:lang w:val="en-US" w:eastAsia="zh-CN"/>
        </w:rPr>
        <w:t>16</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社会保障和就业（类）行政事业单位养老支出（款）事业单位离退休（项）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11.55</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p>
    <w:p>
      <w:pPr>
        <w:spacing w:line="600" w:lineRule="exact"/>
        <w:ind w:firstLine="643" w:firstLineChars="200"/>
      </w:pPr>
      <w:r>
        <w:rPr>
          <w:rStyle w:val="17"/>
          <w:rFonts w:hint="eastAsia" w:ascii="仿宋" w:hAnsi="仿宋" w:eastAsia="仿宋"/>
          <w:bCs/>
          <w:color w:val="auto"/>
          <w:sz w:val="32"/>
          <w:szCs w:val="32"/>
          <w:highlight w:val="none"/>
          <w:lang w:val="en-US" w:eastAsia="zh-CN"/>
        </w:rPr>
        <w:t>17</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社会保障和就业（类）行政事业单位养老支出（款）机关事业单位基本养老保险缴费支出（项）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支出决算为2508.08万元，完成预算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p>
    <w:p>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auto"/>
          <w:sz w:val="32"/>
          <w:szCs w:val="32"/>
          <w:highlight w:val="none"/>
          <w:lang w:val="en-US" w:eastAsia="zh-CN"/>
        </w:rPr>
        <w:t>18</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社会保障和就业（类）行政事业单位养老支出（款） 机关事业单位职业年金缴费支出（项）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支出决算为309.04万元，完成预算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p>
    <w:p>
      <w:pPr>
        <w:spacing w:line="600" w:lineRule="exact"/>
        <w:ind w:firstLine="643" w:firstLineChars="200"/>
        <w:rPr>
          <w:rStyle w:val="17"/>
          <w:rFonts w:hint="eastAsia" w:ascii="仿宋" w:hAnsi="仿宋" w:eastAsia="仿宋"/>
          <w:b w:val="0"/>
          <w:bCs/>
          <w:color w:val="auto"/>
          <w:sz w:val="32"/>
          <w:szCs w:val="32"/>
          <w:highlight w:val="none"/>
        </w:rPr>
      </w:pPr>
      <w:r>
        <w:rPr>
          <w:rStyle w:val="17"/>
          <w:rFonts w:hint="eastAsia" w:ascii="仿宋" w:hAnsi="仿宋" w:eastAsia="仿宋"/>
          <w:bCs/>
          <w:color w:val="auto"/>
          <w:sz w:val="32"/>
          <w:szCs w:val="32"/>
          <w:highlight w:val="none"/>
          <w:lang w:val="en-US" w:eastAsia="zh-CN"/>
        </w:rPr>
        <w:t>19</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社会保障和就业支出（类）抚恤（款）</w:t>
      </w:r>
      <w:r>
        <w:rPr>
          <w:rStyle w:val="17"/>
          <w:rFonts w:hint="eastAsia" w:ascii="仿宋" w:hAnsi="仿宋" w:eastAsia="仿宋"/>
          <w:bCs/>
          <w:color w:val="auto"/>
          <w:sz w:val="32"/>
          <w:szCs w:val="32"/>
          <w:highlight w:val="none"/>
          <w:lang w:val="en-US" w:eastAsia="zh-CN"/>
        </w:rPr>
        <w:t>死亡抚恤</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支出决算为84.62万元，完成预算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p>
    <w:p>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auto"/>
          <w:sz w:val="32"/>
          <w:szCs w:val="32"/>
          <w:highlight w:val="none"/>
          <w:lang w:val="en-US" w:eastAsia="zh-CN"/>
        </w:rPr>
        <w:t>20</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社会保障和就业支出（类）</w:t>
      </w:r>
      <w:r>
        <w:rPr>
          <w:rStyle w:val="17"/>
          <w:rFonts w:hint="eastAsia" w:ascii="仿宋" w:hAnsi="仿宋" w:eastAsia="仿宋"/>
          <w:bCs/>
          <w:color w:val="auto"/>
          <w:sz w:val="32"/>
          <w:szCs w:val="32"/>
          <w:highlight w:val="none"/>
          <w:lang w:val="en-US" w:eastAsia="zh-CN"/>
        </w:rPr>
        <w:t>其他社会保障和就业支出</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其他社会保障和就业</w:t>
      </w:r>
      <w:r>
        <w:rPr>
          <w:rStyle w:val="17"/>
          <w:rFonts w:hint="eastAsia" w:ascii="仿宋" w:hAnsi="仿宋" w:eastAsia="仿宋"/>
          <w:bCs/>
          <w:color w:val="auto"/>
          <w:sz w:val="32"/>
          <w:szCs w:val="32"/>
          <w:highlight w:val="none"/>
        </w:rPr>
        <w:t>支出（项）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支出决算为655.4万元，完成预算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p>
    <w:p>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auto"/>
          <w:sz w:val="32"/>
          <w:szCs w:val="32"/>
          <w:highlight w:val="none"/>
          <w:lang w:val="en-US" w:eastAsia="zh-CN"/>
        </w:rPr>
        <w:t>21</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卫生健康支出（类）</w:t>
      </w:r>
      <w:r>
        <w:rPr>
          <w:rStyle w:val="17"/>
          <w:rFonts w:hint="eastAsia" w:ascii="仿宋" w:hAnsi="仿宋" w:eastAsia="仿宋"/>
          <w:bCs/>
          <w:color w:val="auto"/>
          <w:sz w:val="32"/>
          <w:szCs w:val="32"/>
          <w:highlight w:val="none"/>
          <w:lang w:val="en-US" w:eastAsia="zh-CN"/>
        </w:rPr>
        <w:t>行政事业单位医疗</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行政单位医疗</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支出决算为38.6万元，完成预算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p>
    <w:p>
      <w:pPr>
        <w:spacing w:line="600" w:lineRule="exact"/>
        <w:ind w:firstLine="643" w:firstLineChars="200"/>
      </w:pPr>
      <w:r>
        <w:rPr>
          <w:rStyle w:val="17"/>
          <w:rFonts w:hint="eastAsia" w:ascii="仿宋" w:hAnsi="仿宋" w:eastAsia="仿宋"/>
          <w:bCs/>
          <w:color w:val="auto"/>
          <w:sz w:val="32"/>
          <w:szCs w:val="32"/>
          <w:highlight w:val="none"/>
          <w:lang w:val="en-US" w:eastAsia="zh-CN"/>
        </w:rPr>
        <w:t>22</w:t>
      </w:r>
      <w:r>
        <w:rPr>
          <w:rStyle w:val="17"/>
          <w:rFonts w:ascii="仿宋" w:hAnsi="仿宋" w:eastAsia="仿宋"/>
          <w:bCs/>
          <w:color w:val="auto"/>
          <w:sz w:val="32"/>
          <w:szCs w:val="32"/>
          <w:highlight w:val="none"/>
        </w:rPr>
        <w:t>.</w:t>
      </w:r>
      <w:r>
        <w:rPr>
          <w:rStyle w:val="17"/>
          <w:rFonts w:hint="eastAsia" w:ascii="仿宋" w:hAnsi="仿宋" w:eastAsia="仿宋"/>
          <w:bCs/>
          <w:color w:val="auto"/>
          <w:sz w:val="32"/>
          <w:szCs w:val="32"/>
          <w:highlight w:val="none"/>
        </w:rPr>
        <w:t>卫生健康支出（类）</w:t>
      </w:r>
      <w:r>
        <w:rPr>
          <w:rStyle w:val="17"/>
          <w:rFonts w:hint="eastAsia" w:ascii="仿宋" w:hAnsi="仿宋" w:eastAsia="仿宋"/>
          <w:bCs/>
          <w:color w:val="auto"/>
          <w:sz w:val="32"/>
          <w:szCs w:val="32"/>
          <w:highlight w:val="none"/>
          <w:lang w:val="en-US" w:eastAsia="zh-CN"/>
        </w:rPr>
        <w:t>行政事业单位医疗</w:t>
      </w:r>
      <w:r>
        <w:rPr>
          <w:rStyle w:val="17"/>
          <w:rFonts w:hint="eastAsia" w:ascii="仿宋" w:hAnsi="仿宋" w:eastAsia="仿宋"/>
          <w:bCs/>
          <w:color w:val="auto"/>
          <w:sz w:val="32"/>
          <w:szCs w:val="32"/>
          <w:highlight w:val="none"/>
        </w:rPr>
        <w:t>（款）</w:t>
      </w:r>
      <w:r>
        <w:rPr>
          <w:rStyle w:val="17"/>
          <w:rFonts w:hint="eastAsia" w:ascii="仿宋" w:hAnsi="仿宋" w:eastAsia="仿宋"/>
          <w:bCs/>
          <w:color w:val="auto"/>
          <w:sz w:val="32"/>
          <w:szCs w:val="32"/>
          <w:highlight w:val="none"/>
          <w:lang w:val="en-US" w:eastAsia="zh-CN"/>
        </w:rPr>
        <w:t>事业单位医疗</w:t>
      </w:r>
      <w:r>
        <w:rPr>
          <w:rStyle w:val="17"/>
          <w:rFonts w:hint="eastAsia" w:ascii="仿宋" w:hAnsi="仿宋" w:eastAsia="仿宋"/>
          <w:bCs/>
          <w:color w:val="auto"/>
          <w:sz w:val="32"/>
          <w:szCs w:val="32"/>
          <w:highlight w:val="none"/>
        </w:rPr>
        <w:t>（项）</w:t>
      </w:r>
      <w:r>
        <w:rPr>
          <w:rStyle w:val="17"/>
          <w:rFonts w:ascii="仿宋" w:hAnsi="仿宋" w:eastAsia="仿宋"/>
          <w:bCs/>
          <w:color w:val="auto"/>
          <w:sz w:val="32"/>
          <w:szCs w:val="32"/>
          <w:highlight w:val="none"/>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支出决算为1283.54万元，完成预算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p>
    <w:p>
      <w:pPr>
        <w:spacing w:line="600" w:lineRule="exact"/>
        <w:ind w:firstLine="643" w:firstLineChars="200"/>
        <w:rPr>
          <w:rStyle w:val="17"/>
          <w:rFonts w:hint="eastAsia" w:ascii="仿宋" w:hAnsi="仿宋" w:eastAsia="仿宋"/>
          <w:b w:val="0"/>
          <w:bCs/>
          <w:color w:val="auto"/>
          <w:sz w:val="32"/>
          <w:szCs w:val="32"/>
          <w:highlight w:val="none"/>
        </w:rPr>
      </w:pPr>
      <w:r>
        <w:rPr>
          <w:rStyle w:val="17"/>
          <w:rFonts w:hint="eastAsia" w:ascii="仿宋" w:hAnsi="仿宋" w:eastAsia="仿宋"/>
          <w:bCs/>
          <w:color w:val="auto"/>
          <w:sz w:val="32"/>
          <w:szCs w:val="32"/>
          <w:highlight w:val="none"/>
          <w:lang w:val="en-US" w:eastAsia="zh-CN"/>
        </w:rPr>
        <w:t>23</w:t>
      </w:r>
      <w:r>
        <w:rPr>
          <w:rStyle w:val="17"/>
          <w:rFonts w:ascii="仿宋" w:hAnsi="仿宋" w:eastAsia="仿宋"/>
          <w:bCs/>
          <w:color w:val="auto"/>
          <w:sz w:val="32"/>
          <w:szCs w:val="32"/>
          <w:highlight w:val="none"/>
        </w:rPr>
        <w:t>.</w:t>
      </w:r>
      <w:r>
        <w:rPr>
          <w:rFonts w:hint="eastAsia" w:ascii="仿宋" w:hAnsi="仿宋" w:eastAsia="仿宋"/>
          <w:b/>
          <w:bCs/>
          <w:color w:val="auto"/>
          <w:sz w:val="32"/>
          <w:szCs w:val="32"/>
          <w:highlight w:val="none"/>
        </w:rPr>
        <w:t>住房保障支出</w:t>
      </w:r>
      <w:r>
        <w:rPr>
          <w:rStyle w:val="17"/>
          <w:rFonts w:hint="eastAsia" w:ascii="仿宋" w:hAnsi="仿宋" w:eastAsia="仿宋"/>
          <w:bCs/>
          <w:color w:val="auto"/>
          <w:sz w:val="32"/>
          <w:szCs w:val="32"/>
          <w:highlight w:val="none"/>
        </w:rPr>
        <w:t>（类）住房改革支出（款）住房公积金（项）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支出决算为2518.06万元，完成预算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p>
    <w:p>
      <w:pPr>
        <w:spacing w:line="600" w:lineRule="exact"/>
        <w:ind w:firstLine="643" w:firstLineChars="200"/>
        <w:rPr>
          <w:rStyle w:val="17"/>
          <w:rFonts w:hint="eastAsia" w:ascii="仿宋" w:hAnsi="仿宋" w:eastAsia="仿宋"/>
          <w:b w:val="0"/>
          <w:bCs/>
          <w:color w:val="auto"/>
          <w:sz w:val="32"/>
          <w:szCs w:val="32"/>
          <w:highlight w:val="none"/>
        </w:rPr>
      </w:pPr>
      <w:r>
        <w:rPr>
          <w:rStyle w:val="17"/>
          <w:rFonts w:hint="eastAsia" w:ascii="仿宋" w:hAnsi="仿宋" w:eastAsia="仿宋"/>
          <w:bCs/>
          <w:color w:val="auto"/>
          <w:sz w:val="32"/>
          <w:szCs w:val="32"/>
          <w:highlight w:val="none"/>
          <w:lang w:val="en-US" w:eastAsia="zh-CN"/>
        </w:rPr>
        <w:t>24</w:t>
      </w:r>
      <w:r>
        <w:rPr>
          <w:rStyle w:val="17"/>
          <w:rFonts w:ascii="仿宋" w:hAnsi="仿宋" w:eastAsia="仿宋"/>
          <w:bCs/>
          <w:color w:val="auto"/>
          <w:sz w:val="32"/>
          <w:szCs w:val="32"/>
          <w:highlight w:val="none"/>
        </w:rPr>
        <w:t>.</w:t>
      </w:r>
      <w:r>
        <w:rPr>
          <w:rFonts w:hint="eastAsia" w:ascii="仿宋" w:hAnsi="仿宋" w:eastAsia="仿宋"/>
          <w:b/>
          <w:bCs/>
          <w:color w:val="auto"/>
          <w:sz w:val="32"/>
          <w:szCs w:val="32"/>
          <w:highlight w:val="none"/>
        </w:rPr>
        <w:t>住房保障支出</w:t>
      </w:r>
      <w:r>
        <w:rPr>
          <w:rStyle w:val="17"/>
          <w:rFonts w:hint="eastAsia" w:ascii="仿宋" w:hAnsi="仿宋" w:eastAsia="仿宋"/>
          <w:bCs/>
          <w:color w:val="auto"/>
          <w:sz w:val="32"/>
          <w:szCs w:val="32"/>
          <w:highlight w:val="none"/>
        </w:rPr>
        <w:t>（类）住房改革支出（款）购房补贴（项）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8</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，决算数等于预算数。</w:t>
      </w:r>
    </w:p>
    <w:p>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auto"/>
          <w:sz w:val="32"/>
          <w:szCs w:val="32"/>
          <w:highlight w:val="none"/>
          <w:lang w:val="en-US" w:eastAsia="zh-CN"/>
        </w:rPr>
        <w:t>25</w:t>
      </w:r>
      <w:r>
        <w:rPr>
          <w:rStyle w:val="17"/>
          <w:rFonts w:ascii="仿宋" w:hAnsi="仿宋" w:eastAsia="仿宋"/>
          <w:bCs/>
          <w:color w:val="auto"/>
          <w:sz w:val="32"/>
          <w:szCs w:val="32"/>
          <w:highlight w:val="none"/>
        </w:rPr>
        <w:t>.</w:t>
      </w:r>
      <w:r>
        <w:rPr>
          <w:rFonts w:hint="eastAsia" w:ascii="仿宋" w:hAnsi="仿宋" w:eastAsia="仿宋"/>
          <w:b/>
          <w:bCs/>
          <w:color w:val="auto"/>
          <w:sz w:val="32"/>
          <w:szCs w:val="32"/>
          <w:highlight w:val="none"/>
        </w:rPr>
        <w:t>灾害防治及应急管理支出</w:t>
      </w:r>
      <w:r>
        <w:rPr>
          <w:rStyle w:val="17"/>
          <w:rFonts w:hint="eastAsia" w:ascii="仿宋" w:hAnsi="仿宋" w:eastAsia="仿宋"/>
          <w:bCs/>
          <w:color w:val="auto"/>
          <w:sz w:val="32"/>
          <w:szCs w:val="32"/>
          <w:highlight w:val="none"/>
        </w:rPr>
        <w:t>（类）自然灾害救灾及恢复重建支出（款）其他自然灾害救灾及恢复重建支出（项）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支出决算为18.5万元，完成预算</w:t>
      </w:r>
      <w:r>
        <w:rPr>
          <w:rStyle w:val="17"/>
          <w:rFonts w:hint="eastAsia" w:ascii="仿宋" w:hAnsi="仿宋" w:eastAsia="仿宋"/>
          <w:b w:val="0"/>
          <w:bCs/>
          <w:color w:val="auto"/>
          <w:sz w:val="32"/>
          <w:szCs w:val="32"/>
          <w:highlight w:val="none"/>
          <w:lang w:val="en-US" w:eastAsia="zh-CN"/>
        </w:rPr>
        <w:t>92.48</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，决算数小于预算数的主要原因</w:t>
      </w:r>
      <w:r>
        <w:rPr>
          <w:rStyle w:val="17"/>
          <w:rFonts w:hint="eastAsia" w:ascii="仿宋" w:hAnsi="仿宋" w:eastAsia="仿宋"/>
          <w:b w:val="0"/>
          <w:bCs/>
          <w:color w:val="auto"/>
          <w:sz w:val="32"/>
          <w:szCs w:val="32"/>
          <w:highlight w:val="none"/>
          <w:lang w:val="en-US" w:eastAsia="zh-CN"/>
        </w:rPr>
        <w:t>项目建设尾款待支付，资金正常结转</w:t>
      </w:r>
      <w:r>
        <w:rPr>
          <w:rStyle w:val="17"/>
          <w:rFonts w:hint="eastAsia" w:ascii="仿宋" w:hAnsi="仿宋" w:eastAsia="仿宋"/>
          <w:b w:val="0"/>
          <w:bCs/>
          <w:color w:val="auto"/>
          <w:sz w:val="32"/>
          <w:szCs w:val="32"/>
          <w:highlight w:val="none"/>
        </w:rPr>
        <w:t>。</w:t>
      </w:r>
    </w:p>
    <w:p>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auto"/>
          <w:sz w:val="32"/>
          <w:szCs w:val="32"/>
          <w:highlight w:val="none"/>
          <w:lang w:val="en-US" w:eastAsia="zh-CN"/>
        </w:rPr>
        <w:t>26</w:t>
      </w:r>
      <w:r>
        <w:rPr>
          <w:rStyle w:val="17"/>
          <w:rFonts w:ascii="仿宋" w:hAnsi="仿宋" w:eastAsia="仿宋"/>
          <w:bCs/>
          <w:color w:val="auto"/>
          <w:sz w:val="32"/>
          <w:szCs w:val="32"/>
          <w:highlight w:val="none"/>
        </w:rPr>
        <w:t>.</w:t>
      </w:r>
      <w:r>
        <w:rPr>
          <w:rFonts w:hint="eastAsia" w:ascii="仿宋" w:hAnsi="仿宋" w:eastAsia="仿宋"/>
          <w:b/>
          <w:bCs/>
          <w:color w:val="auto"/>
          <w:sz w:val="32"/>
          <w:szCs w:val="32"/>
          <w:highlight w:val="none"/>
        </w:rPr>
        <w:t>其他支出</w:t>
      </w:r>
      <w:r>
        <w:rPr>
          <w:rStyle w:val="17"/>
          <w:rFonts w:hint="eastAsia" w:ascii="仿宋" w:hAnsi="仿宋" w:eastAsia="仿宋"/>
          <w:bCs/>
          <w:color w:val="auto"/>
          <w:sz w:val="32"/>
          <w:szCs w:val="32"/>
          <w:highlight w:val="none"/>
        </w:rPr>
        <w:t>（类）其他支出（款）其他支出（项）</w:t>
      </w:r>
      <w:r>
        <w:rPr>
          <w:rStyle w:val="17"/>
          <w:rFonts w:ascii="仿宋" w:hAnsi="仿宋" w:eastAsia="仿宋"/>
          <w:bCs/>
          <w:color w:val="auto"/>
          <w:sz w:val="32"/>
          <w:szCs w:val="32"/>
          <w:highlight w:val="none"/>
        </w:rPr>
        <w:t>:</w:t>
      </w:r>
      <w:r>
        <w:rPr>
          <w:rStyle w:val="17"/>
          <w:rFonts w:hint="eastAsia" w:ascii="仿宋" w:hAnsi="仿宋" w:eastAsia="仿宋"/>
          <w:b w:val="0"/>
          <w:bCs/>
          <w:color w:val="auto"/>
          <w:sz w:val="32"/>
          <w:szCs w:val="32"/>
          <w:highlight w:val="none"/>
        </w:rPr>
        <w:t>支出决算为2000.85万元，完成预算</w:t>
      </w:r>
      <w:r>
        <w:rPr>
          <w:rStyle w:val="17"/>
          <w:rFonts w:hint="eastAsia" w:ascii="仿宋" w:hAnsi="仿宋" w:eastAsia="仿宋"/>
          <w:b w:val="0"/>
          <w:bCs/>
          <w:color w:val="auto"/>
          <w:sz w:val="32"/>
          <w:szCs w:val="32"/>
          <w:highlight w:val="none"/>
          <w:lang w:val="en-US" w:eastAsia="zh-CN"/>
        </w:rPr>
        <w:t>70.79</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，决算数小于</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等于预算数的主要原因是</w:t>
      </w:r>
      <w:r>
        <w:rPr>
          <w:rStyle w:val="17"/>
          <w:rFonts w:hint="eastAsia" w:ascii="仿宋" w:hAnsi="仿宋" w:eastAsia="仿宋"/>
          <w:b w:val="0"/>
          <w:bCs/>
          <w:color w:val="auto"/>
          <w:sz w:val="32"/>
          <w:szCs w:val="32"/>
          <w:highlight w:val="none"/>
          <w:lang w:val="en-US" w:eastAsia="zh-CN"/>
        </w:rPr>
        <w:t>受疫情影响，项目建设进度较慢，部分项目当年未竣工，资金正常结转至下年使用。</w:t>
      </w:r>
    </w:p>
    <w:p>
      <w:pPr>
        <w:tabs>
          <w:tab w:val="right" w:pos="8306"/>
        </w:tabs>
        <w:spacing w:line="600" w:lineRule="exact"/>
        <w:ind w:firstLine="640"/>
        <w:outlineLvl w:val="1"/>
        <w:rPr>
          <w:rStyle w:val="28"/>
          <w:color w:val="auto"/>
          <w:highlight w:val="none"/>
        </w:rPr>
      </w:pPr>
      <w:bookmarkStart w:id="123" w:name="_Toc15"/>
      <w:bookmarkStart w:id="124" w:name="_Toc15377214"/>
      <w:bookmarkStart w:id="125" w:name="_Toc15396608"/>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8"/>
          <w:rFonts w:hint="eastAsia" w:ascii="黑体" w:hAnsi="黑体" w:eastAsia="黑体"/>
          <w:b w:val="0"/>
          <w:color w:val="auto"/>
          <w:highlight w:val="none"/>
        </w:rPr>
        <w:t>般公共预算财政拨款基本支出决算情况说明</w:t>
      </w:r>
      <w:bookmarkEnd w:id="123"/>
      <w:bookmarkEnd w:id="124"/>
      <w:bookmarkEnd w:id="125"/>
      <w:r>
        <w:rPr>
          <w:rStyle w:val="28"/>
          <w:rFonts w:ascii="黑体" w:hAnsi="黑体" w:eastAsia="黑体"/>
          <w:b w:val="0"/>
          <w:color w:val="auto"/>
          <w:highlight w:val="none"/>
        </w:rPr>
        <w:tab/>
      </w:r>
    </w:p>
    <w:p>
      <w:pPr>
        <w:spacing w:line="600" w:lineRule="exact"/>
        <w:ind w:firstLine="645"/>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年一般公共预算财政拨款基本支出34313.15万元，其中：</w:t>
      </w:r>
    </w:p>
    <w:p>
      <w:pPr>
        <w:spacing w:line="600" w:lineRule="exact"/>
        <w:ind w:firstLine="645"/>
        <w:rPr>
          <w:rFonts w:ascii="仿宋" w:hAnsi="仿宋" w:eastAsia="仿宋"/>
          <w:b/>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30380.67</w:t>
      </w:r>
      <w:r>
        <w:rPr>
          <w:rFonts w:hint="eastAsia" w:ascii="仿宋" w:hAnsi="仿宋" w:eastAsia="仿宋"/>
          <w:color w:val="auto"/>
          <w:sz w:val="32"/>
          <w:szCs w:val="32"/>
          <w:highlight w:val="none"/>
        </w:rPr>
        <w:t>万元，主要包括：基本工资、津贴补贴、奖金、伙食补助费、绩效工资、机关事业单位基本养老保险缴费、职业年金缴费、职工基本医疗保险缴费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其他社会保障缴费、住房公积金、医疗费、其他工资福利支出、抚恤金、生活补助、</w:t>
      </w:r>
      <w:r>
        <w:rPr>
          <w:rFonts w:hint="eastAsia" w:ascii="仿宋" w:hAnsi="仿宋" w:eastAsia="仿宋"/>
          <w:color w:val="auto"/>
          <w:sz w:val="32"/>
          <w:szCs w:val="32"/>
          <w:highlight w:val="none"/>
          <w:lang w:val="en-US" w:eastAsia="zh-CN"/>
        </w:rPr>
        <w:t>助学金、</w:t>
      </w:r>
      <w:r>
        <w:rPr>
          <w:rFonts w:hint="eastAsia" w:ascii="仿宋" w:hAnsi="仿宋" w:eastAsia="仿宋"/>
          <w:color w:val="auto"/>
          <w:sz w:val="32"/>
          <w:szCs w:val="32"/>
          <w:highlight w:val="none"/>
        </w:rPr>
        <w:t>奖励金、其他对个人和家庭的补助支出等。</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rPr>
        <w:t>　　公用经费</w:t>
      </w:r>
      <w:r>
        <w:rPr>
          <w:rFonts w:hint="eastAsia" w:ascii="仿宋" w:hAnsi="仿宋" w:eastAsia="仿宋"/>
          <w:color w:val="auto"/>
          <w:sz w:val="32"/>
          <w:szCs w:val="32"/>
          <w:highlight w:val="none"/>
          <w:lang w:val="en-US" w:eastAsia="zh-CN"/>
        </w:rPr>
        <w:t>3932.48</w:t>
      </w:r>
      <w:r>
        <w:rPr>
          <w:rFonts w:hint="eastAsia" w:ascii="仿宋" w:hAnsi="仿宋" w:eastAsia="仿宋"/>
          <w:color w:val="auto"/>
          <w:sz w:val="32"/>
          <w:szCs w:val="32"/>
          <w:highlight w:val="none"/>
        </w:rPr>
        <w:t>万元，主要包括：办公费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印刷费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咨询费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手续费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水费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电费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邮电费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物业管理费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差旅费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维修（护）费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租赁费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会议费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培训费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公务接待费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专用材料费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劳务费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工会经费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福利费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公务用车运行维护费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其他交通费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用其他商品和服务支出等。</w:t>
      </w:r>
    </w:p>
    <w:p>
      <w:pPr>
        <w:spacing w:line="600" w:lineRule="exact"/>
        <w:ind w:firstLine="640"/>
        <w:outlineLvl w:val="1"/>
        <w:rPr>
          <w:rStyle w:val="28"/>
          <w:rFonts w:ascii="黑体" w:hAnsi="黑体" w:eastAsia="黑体"/>
          <w:b w:val="0"/>
          <w:color w:val="auto"/>
          <w:highlight w:val="none"/>
        </w:rPr>
      </w:pPr>
      <w:bookmarkStart w:id="126" w:name="_Toc15377215"/>
      <w:bookmarkStart w:id="127" w:name="_Toc15396609"/>
      <w:bookmarkStart w:id="128" w:name="_Toc6343"/>
      <w:r>
        <w:rPr>
          <w:rFonts w:hint="eastAsia" w:ascii="黑体" w:eastAsia="黑体"/>
          <w:color w:val="auto"/>
          <w:sz w:val="32"/>
          <w:szCs w:val="32"/>
          <w:highlight w:val="none"/>
        </w:rPr>
        <w:t>七、</w:t>
      </w:r>
      <w:r>
        <w:rPr>
          <w:rStyle w:val="28"/>
          <w:rFonts w:hint="eastAsia" w:ascii="黑体" w:hAnsi="黑体" w:eastAsia="黑体"/>
          <w:color w:val="auto"/>
          <w:highlight w:val="none"/>
        </w:rPr>
        <w:t>“</w:t>
      </w:r>
      <w:r>
        <w:rPr>
          <w:rStyle w:val="28"/>
          <w:rFonts w:hint="eastAsia" w:ascii="黑体" w:hAnsi="黑体" w:eastAsia="黑体"/>
          <w:b w:val="0"/>
          <w:color w:val="auto"/>
          <w:highlight w:val="none"/>
        </w:rPr>
        <w:t>三公”经费财政拨款支出决算情况说明</w:t>
      </w:r>
      <w:bookmarkEnd w:id="126"/>
      <w:bookmarkEnd w:id="127"/>
      <w:bookmarkEnd w:id="128"/>
    </w:p>
    <w:p>
      <w:pPr>
        <w:spacing w:line="600" w:lineRule="exact"/>
        <w:ind w:firstLine="640"/>
        <w:outlineLvl w:val="2"/>
        <w:rPr>
          <w:rFonts w:ascii="仿宋" w:hAnsi="仿宋" w:eastAsia="仿宋"/>
          <w:b/>
          <w:color w:val="auto"/>
          <w:sz w:val="32"/>
          <w:szCs w:val="32"/>
          <w:highlight w:val="none"/>
        </w:rPr>
      </w:pPr>
      <w:bookmarkStart w:id="129" w:name="_Toc15377216"/>
      <w:bookmarkStart w:id="130" w:name="_Toc2812"/>
      <w:r>
        <w:rPr>
          <w:rFonts w:hint="eastAsia" w:ascii="仿宋" w:hAnsi="仿宋" w:eastAsia="仿宋"/>
          <w:b/>
          <w:color w:val="auto"/>
          <w:sz w:val="32"/>
          <w:szCs w:val="32"/>
          <w:highlight w:val="none"/>
        </w:rPr>
        <w:t>（一）“三公”经费财政拨款支出决算总体情况说明</w:t>
      </w:r>
      <w:bookmarkEnd w:id="129"/>
      <w:bookmarkEnd w:id="130"/>
    </w:p>
    <w:p>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19.86</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65.72</w:t>
      </w:r>
      <w:r>
        <w:rPr>
          <w:rFonts w:ascii="仿宋" w:hAnsi="仿宋" w:eastAsia="仿宋"/>
          <w:color w:val="auto"/>
          <w:sz w:val="32"/>
          <w:szCs w:val="32"/>
          <w:highlight w:val="none"/>
        </w:rPr>
        <w:t>%</w:t>
      </w:r>
      <w:r>
        <w:rPr>
          <w:rFonts w:hint="eastAsia" w:ascii="仿宋" w:hAnsi="仿宋" w:eastAsia="仿宋"/>
          <w:color w:val="auto"/>
          <w:sz w:val="32"/>
          <w:szCs w:val="32"/>
          <w:highlight w:val="none"/>
        </w:rPr>
        <w:t>，决算数小于预算数的主要原因是</w:t>
      </w:r>
      <w:r>
        <w:rPr>
          <w:rFonts w:hint="eastAsia" w:ascii="仿宋" w:hAnsi="仿宋" w:eastAsia="仿宋"/>
          <w:color w:val="auto"/>
          <w:sz w:val="32"/>
          <w:szCs w:val="32"/>
          <w:highlight w:val="none"/>
          <w:lang w:val="en-US" w:eastAsia="zh-CN"/>
        </w:rPr>
        <w:t>受疫情影响，公务活动出行较少，公车运行维护费支出减少；坚持厉行节约，当年未安排因公出国（境）活动，项目招商、学习考察活动等接待批次减少，公务接待费支出减少</w:t>
      </w:r>
      <w:r>
        <w:rPr>
          <w:rFonts w:hint="eastAsia" w:ascii="仿宋" w:hAnsi="仿宋" w:eastAsia="仿宋"/>
          <w:color w:val="auto"/>
          <w:sz w:val="32"/>
          <w:szCs w:val="32"/>
          <w:highlight w:val="none"/>
        </w:rPr>
        <w:t>。</w:t>
      </w:r>
    </w:p>
    <w:p>
      <w:pPr>
        <w:spacing w:line="600" w:lineRule="exact"/>
        <w:ind w:firstLine="640"/>
        <w:outlineLvl w:val="2"/>
        <w:rPr>
          <w:rFonts w:ascii="仿宋" w:hAnsi="仿宋" w:eastAsia="仿宋"/>
          <w:b/>
          <w:color w:val="auto"/>
          <w:sz w:val="32"/>
          <w:szCs w:val="32"/>
          <w:highlight w:val="none"/>
        </w:rPr>
      </w:pPr>
      <w:bookmarkStart w:id="131" w:name="_Toc25844"/>
      <w:bookmarkStart w:id="132" w:name="_Toc15377217"/>
      <w:r>
        <w:rPr>
          <w:rFonts w:hint="eastAsia" w:ascii="仿宋" w:hAnsi="仿宋" w:eastAsia="仿宋"/>
          <w:b/>
          <w:color w:val="auto"/>
          <w:sz w:val="32"/>
          <w:szCs w:val="32"/>
          <w:highlight w:val="none"/>
        </w:rPr>
        <w:t>（二）“三公”经费财政拨款支出决算具体情况说明</w:t>
      </w:r>
      <w:bookmarkEnd w:id="131"/>
      <w:bookmarkEnd w:id="132"/>
    </w:p>
    <w:p>
      <w:pPr>
        <w:spacing w:line="600" w:lineRule="exact"/>
        <w:ind w:firstLine="640"/>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14.9</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75.03</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4.96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24.97</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pPr>
        <w:pStyle w:val="2"/>
        <w:jc w:val="center"/>
      </w:pPr>
      <w:r>
        <w:drawing>
          <wp:inline distT="0" distB="0" distL="114300" distR="114300">
            <wp:extent cx="4572000" cy="2743200"/>
            <wp:effectExtent l="4445" t="4445" r="14605" b="14605"/>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600" w:lineRule="exact"/>
        <w:ind w:firstLine="640"/>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w:t>
      </w:r>
    </w:p>
    <w:p>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lang w:val="en-US" w:eastAsia="zh-CN"/>
        </w:rPr>
        <w:t>。因公出国（境）支出决算较2020年无变化</w:t>
      </w:r>
      <w:r>
        <w:rPr>
          <w:rFonts w:hint="eastAsia" w:ascii="仿宋_GB2312" w:eastAsia="仿宋_GB2312"/>
          <w:color w:val="auto"/>
          <w:sz w:val="32"/>
          <w:szCs w:val="32"/>
          <w:highlight w:val="none"/>
        </w:rPr>
        <w:t>。</w:t>
      </w:r>
    </w:p>
    <w:p>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14.9</w:t>
      </w:r>
      <w:r>
        <w:rPr>
          <w:rFonts w:hint="eastAsia" w:ascii="仿宋_GB2312" w:eastAsia="仿宋_GB2312"/>
          <w:color w:val="auto"/>
          <w:sz w:val="32"/>
          <w:szCs w:val="32"/>
          <w:highlight w:val="none"/>
        </w:rPr>
        <w:t>万元,</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82.69</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lang w:val="en-US" w:eastAsia="zh-CN"/>
        </w:rPr>
        <w:t>。</w:t>
      </w:r>
      <w:r>
        <w:rPr>
          <w:rFonts w:hint="eastAsia" w:ascii="仿宋_GB2312" w:eastAsia="仿宋_GB2312"/>
          <w:color w:val="auto"/>
          <w:sz w:val="32"/>
          <w:szCs w:val="32"/>
          <w:highlight w:val="none"/>
        </w:rPr>
        <w:t>公务用车购置及运行维护费支出决算比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1.25</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7.74</w:t>
      </w:r>
      <w:r>
        <w:rPr>
          <w:rFonts w:ascii="仿宋_GB2312" w:eastAsia="仿宋_GB2312"/>
          <w:color w:val="auto"/>
          <w:sz w:val="32"/>
          <w:szCs w:val="32"/>
          <w:highlight w:val="none"/>
        </w:rPr>
        <w:t>%</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受</w:t>
      </w:r>
      <w:r>
        <w:rPr>
          <w:rFonts w:hint="eastAsia" w:ascii="仿宋_GB2312" w:eastAsia="仿宋_GB2312"/>
          <w:color w:val="auto"/>
          <w:sz w:val="32"/>
          <w:szCs w:val="32"/>
          <w:highlight w:val="none"/>
        </w:rPr>
        <w:t>疫情和厉行节约要求</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减少了</w:t>
      </w:r>
      <w:r>
        <w:rPr>
          <w:rFonts w:hint="eastAsia" w:ascii="仿宋_GB2312" w:eastAsia="仿宋_GB2312"/>
          <w:color w:val="auto"/>
          <w:sz w:val="32"/>
          <w:szCs w:val="32"/>
          <w:highlight w:val="none"/>
          <w:lang w:val="en-US" w:eastAsia="zh-CN"/>
        </w:rPr>
        <w:t>教育工作</w:t>
      </w:r>
      <w:r>
        <w:rPr>
          <w:rFonts w:hint="eastAsia" w:ascii="仿宋_GB2312" w:eastAsia="仿宋_GB2312"/>
          <w:color w:val="auto"/>
          <w:sz w:val="32"/>
          <w:szCs w:val="32"/>
          <w:highlight w:val="none"/>
        </w:rPr>
        <w:t>公务</w:t>
      </w:r>
      <w:r>
        <w:rPr>
          <w:rFonts w:hint="eastAsia" w:ascii="仿宋_GB2312" w:eastAsia="仿宋_GB2312"/>
          <w:color w:val="auto"/>
          <w:sz w:val="32"/>
          <w:szCs w:val="32"/>
          <w:highlight w:val="none"/>
          <w:lang w:val="en-US" w:eastAsia="zh-CN"/>
        </w:rPr>
        <w:t>出行，公务</w:t>
      </w:r>
      <w:r>
        <w:rPr>
          <w:rFonts w:hint="eastAsia" w:ascii="仿宋_GB2312" w:eastAsia="仿宋_GB2312"/>
          <w:color w:val="auto"/>
          <w:sz w:val="32"/>
          <w:szCs w:val="32"/>
          <w:highlight w:val="none"/>
        </w:rPr>
        <w:t>用车运行使用</w:t>
      </w:r>
      <w:r>
        <w:rPr>
          <w:rFonts w:hint="eastAsia" w:ascii="仿宋_GB2312" w:eastAsia="仿宋_GB2312"/>
          <w:color w:val="auto"/>
          <w:sz w:val="32"/>
          <w:szCs w:val="32"/>
          <w:highlight w:val="none"/>
          <w:lang w:val="en-US" w:eastAsia="zh-CN"/>
        </w:rPr>
        <w:t>费用减少</w:t>
      </w:r>
      <w:r>
        <w:rPr>
          <w:rFonts w:hint="eastAsia" w:ascii="仿宋_GB2312" w:eastAsia="仿宋_GB2312"/>
          <w:color w:val="auto"/>
          <w:sz w:val="32"/>
          <w:szCs w:val="32"/>
          <w:highlight w:val="none"/>
        </w:rPr>
        <w:t>。</w:t>
      </w:r>
    </w:p>
    <w:p>
      <w:pPr>
        <w:spacing w:line="600" w:lineRule="exact"/>
        <w:ind w:firstLine="640" w:firstLineChars="200"/>
        <w:rPr>
          <w:rFonts w:ascii="仿宋_GB2312" w:eastAsia="仿宋_GB2312"/>
          <w:b/>
          <w:color w:val="auto"/>
          <w:sz w:val="32"/>
          <w:szCs w:val="32"/>
          <w:highlight w:val="yellow"/>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年初未安排预算。</w:t>
      </w:r>
      <w:r>
        <w:rPr>
          <w:rFonts w:hint="eastAsia" w:ascii="仿宋_GB2312" w:eastAsia="仿宋_GB2312"/>
          <w:color w:val="auto"/>
          <w:sz w:val="32"/>
          <w:szCs w:val="32"/>
          <w:highlight w:val="none"/>
        </w:rPr>
        <w:t>全年按规定更新购置公务用车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月底，单位共有公务用车</w:t>
      </w:r>
      <w:r>
        <w:rPr>
          <w:rFonts w:hint="eastAsia" w:ascii="仿宋_GB2312" w:eastAsia="仿宋_GB2312"/>
          <w:color w:val="auto"/>
          <w:sz w:val="32"/>
          <w:szCs w:val="32"/>
          <w:highlight w:val="none"/>
          <w:lang w:val="en-US" w:eastAsia="zh-CN"/>
        </w:rPr>
        <w:t>9</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8</w:t>
      </w:r>
      <w:r>
        <w:rPr>
          <w:rFonts w:hint="eastAsia" w:ascii="仿宋_GB2312" w:eastAsia="仿宋_GB2312"/>
          <w:color w:val="auto"/>
          <w:sz w:val="32"/>
          <w:szCs w:val="32"/>
          <w:highlight w:val="none"/>
        </w:rPr>
        <w:t>辆、越野车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w:t>
      </w:r>
    </w:p>
    <w:p>
      <w:pPr>
        <w:spacing w:line="560" w:lineRule="exact"/>
        <w:ind w:firstLine="640"/>
        <w:rPr>
          <w:rFonts w:ascii="仿宋_GB2312" w:eastAsia="仿宋_GB2312"/>
          <w:color w:val="000000"/>
          <w:sz w:val="32"/>
          <w:szCs w:val="32"/>
          <w:highlight w:val="none"/>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14.9</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主要用于</w:t>
      </w:r>
      <w:r>
        <w:rPr>
          <w:rFonts w:hint="eastAsia" w:ascii="仿宋_GB2312" w:eastAsia="仿宋_GB2312" w:cs="仿宋_GB2312"/>
          <w:sz w:val="32"/>
          <w:szCs w:val="32"/>
          <w:highlight w:val="none"/>
        </w:rPr>
        <w:t>教师招聘、教师遴选、引进人才、中高考巡视、安全后勤检查、教育教学研究、义务教育均衡发展督导检查、教育综合体制改革、健康职业学院项目建设</w:t>
      </w:r>
      <w:r>
        <w:rPr>
          <w:rFonts w:hint="eastAsia" w:ascii="仿宋_GB2312" w:eastAsia="仿宋_GB2312" w:cs="仿宋_GB2312"/>
          <w:color w:val="000000"/>
          <w:sz w:val="32"/>
          <w:szCs w:val="32"/>
          <w:highlight w:val="none"/>
        </w:rPr>
        <w:t>等所需的公务用车燃料费、维修费、过路过桥费、保险费等支出。</w:t>
      </w:r>
    </w:p>
    <w:p>
      <w:pPr>
        <w:spacing w:line="600" w:lineRule="exact"/>
        <w:ind w:firstLine="640"/>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4.96</w:t>
      </w:r>
      <w:r>
        <w:rPr>
          <w:rFonts w:hint="eastAsia" w:ascii="仿宋_GB2312" w:eastAsia="仿宋_GB2312"/>
          <w:color w:val="auto"/>
          <w:sz w:val="32"/>
          <w:szCs w:val="32"/>
          <w:highlight w:val="none"/>
        </w:rPr>
        <w:t>万元，</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46.36</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lang w:val="en-US" w:eastAsia="zh-CN"/>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0.14</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2.9</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受</w:t>
      </w:r>
      <w:r>
        <w:rPr>
          <w:rFonts w:hint="eastAsia" w:ascii="仿宋_GB2312" w:eastAsia="仿宋_GB2312" w:cs="仿宋_GB2312"/>
          <w:color w:val="000000"/>
          <w:sz w:val="32"/>
          <w:szCs w:val="32"/>
          <w:highlight w:val="none"/>
          <w:lang w:eastAsia="zh-CN"/>
        </w:rPr>
        <w:t>疫情影响本级及直属单位</w:t>
      </w:r>
      <w:r>
        <w:rPr>
          <w:rFonts w:hint="eastAsia" w:ascii="仿宋_GB2312" w:eastAsia="仿宋_GB2312" w:cs="仿宋_GB2312"/>
          <w:color w:val="000000"/>
          <w:sz w:val="32"/>
          <w:szCs w:val="32"/>
          <w:highlight w:val="none"/>
          <w:lang w:val="en-US" w:eastAsia="zh-CN"/>
        </w:rPr>
        <w:t>项目</w:t>
      </w:r>
      <w:r>
        <w:rPr>
          <w:rFonts w:hint="eastAsia" w:ascii="仿宋_GB2312" w:eastAsia="仿宋_GB2312" w:cs="仿宋_GB2312"/>
          <w:color w:val="000000"/>
          <w:sz w:val="32"/>
          <w:szCs w:val="32"/>
          <w:highlight w:val="none"/>
          <w:lang w:eastAsia="zh-CN"/>
        </w:rPr>
        <w:t>招商活动</w:t>
      </w:r>
      <w:r>
        <w:rPr>
          <w:rFonts w:hint="eastAsia" w:ascii="仿宋_GB2312" w:eastAsia="仿宋_GB2312" w:cs="仿宋_GB2312"/>
          <w:color w:val="000000"/>
          <w:sz w:val="32"/>
          <w:szCs w:val="32"/>
          <w:highlight w:val="none"/>
          <w:lang w:val="en-US" w:eastAsia="zh-CN"/>
        </w:rPr>
        <w:t>开展较少，教育教学活动</w:t>
      </w:r>
      <w:r>
        <w:rPr>
          <w:rFonts w:hint="eastAsia" w:ascii="仿宋_GB2312" w:eastAsia="仿宋_GB2312" w:cs="仿宋_GB2312"/>
          <w:color w:val="000000"/>
          <w:sz w:val="32"/>
          <w:szCs w:val="32"/>
          <w:highlight w:val="none"/>
          <w:lang w:eastAsia="zh-CN"/>
        </w:rPr>
        <w:t>实施</w:t>
      </w:r>
      <w:r>
        <w:rPr>
          <w:rFonts w:hint="eastAsia" w:ascii="仿宋_GB2312" w:eastAsia="仿宋_GB2312" w:cs="仿宋_GB2312"/>
          <w:color w:val="000000"/>
          <w:sz w:val="32"/>
          <w:szCs w:val="32"/>
          <w:highlight w:val="none"/>
          <w:lang w:val="en-US" w:eastAsia="zh-CN"/>
        </w:rPr>
        <w:t>较少</w:t>
      </w:r>
      <w:r>
        <w:rPr>
          <w:rFonts w:hint="eastAsia" w:ascii="仿宋_GB2312" w:eastAsia="仿宋_GB2312" w:cs="仿宋_GB2312"/>
          <w:color w:val="000000"/>
          <w:sz w:val="32"/>
          <w:szCs w:val="32"/>
          <w:highlight w:val="none"/>
          <w:lang w:eastAsia="zh-CN"/>
        </w:rPr>
        <w:t>，</w:t>
      </w:r>
      <w:r>
        <w:rPr>
          <w:rFonts w:hint="eastAsia" w:ascii="仿宋_GB2312" w:eastAsia="仿宋_GB2312" w:cs="仿宋_GB2312"/>
          <w:color w:val="000000"/>
          <w:sz w:val="32"/>
          <w:szCs w:val="32"/>
          <w:highlight w:val="none"/>
          <w:lang w:val="en-US" w:eastAsia="zh-CN"/>
        </w:rPr>
        <w:t>本年</w:t>
      </w:r>
      <w:r>
        <w:rPr>
          <w:rFonts w:hint="eastAsia" w:ascii="仿宋_GB2312" w:eastAsia="仿宋_GB2312" w:cs="仿宋_GB2312"/>
          <w:color w:val="000000"/>
          <w:sz w:val="32"/>
          <w:szCs w:val="32"/>
          <w:highlight w:val="none"/>
          <w:lang w:eastAsia="zh-CN"/>
        </w:rPr>
        <w:t>公务接待</w:t>
      </w:r>
      <w:r>
        <w:rPr>
          <w:rFonts w:hint="eastAsia" w:ascii="仿宋_GB2312" w:eastAsia="仿宋_GB2312" w:cs="仿宋_GB2312"/>
          <w:color w:val="000000"/>
          <w:sz w:val="32"/>
          <w:szCs w:val="32"/>
          <w:highlight w:val="none"/>
          <w:lang w:val="en-US" w:eastAsia="zh-CN"/>
        </w:rPr>
        <w:t>费支出</w:t>
      </w:r>
      <w:r>
        <w:rPr>
          <w:rFonts w:hint="eastAsia" w:ascii="仿宋_GB2312" w:eastAsia="仿宋_GB2312" w:cs="仿宋_GB2312"/>
          <w:color w:val="000000"/>
          <w:sz w:val="32"/>
          <w:szCs w:val="32"/>
          <w:highlight w:val="none"/>
          <w:lang w:eastAsia="zh-CN"/>
        </w:rPr>
        <w:t>减少</w:t>
      </w:r>
      <w:r>
        <w:rPr>
          <w:rFonts w:hint="eastAsia" w:ascii="仿宋_GB2312" w:eastAsia="仿宋_GB2312"/>
          <w:color w:val="auto"/>
          <w:sz w:val="32"/>
          <w:szCs w:val="32"/>
          <w:highlight w:val="none"/>
        </w:rPr>
        <w:t>。其中：</w:t>
      </w:r>
    </w:p>
    <w:p>
      <w:pPr>
        <w:spacing w:line="600" w:lineRule="exact"/>
        <w:ind w:firstLine="640"/>
        <w:rPr>
          <w:rFonts w:ascii="仿宋_GB2312" w:eastAsia="仿宋_GB2312"/>
          <w:color w:val="auto"/>
          <w:sz w:val="32"/>
          <w:szCs w:val="32"/>
          <w:highlight w:val="none"/>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4.96</w:t>
      </w:r>
      <w:r>
        <w:rPr>
          <w:rFonts w:hint="eastAsia" w:ascii="仿宋_GB2312" w:eastAsia="仿宋_GB2312"/>
          <w:color w:val="auto"/>
          <w:sz w:val="32"/>
          <w:szCs w:val="32"/>
          <w:highlight w:val="none"/>
        </w:rPr>
        <w:t>万元，主要用于执行公务、开展业务活动开支的交通费、住宿费、用餐费等。国内公务接待</w:t>
      </w:r>
      <w:r>
        <w:rPr>
          <w:rFonts w:hint="eastAsia" w:ascii="仿宋_GB2312" w:eastAsia="仿宋_GB2312"/>
          <w:color w:val="auto"/>
          <w:sz w:val="32"/>
          <w:szCs w:val="32"/>
          <w:highlight w:val="none"/>
          <w:lang w:val="en-US" w:eastAsia="zh-CN"/>
        </w:rPr>
        <w:t>50</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503</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4.96</w:t>
      </w:r>
      <w:r>
        <w:rPr>
          <w:rFonts w:hint="eastAsia" w:ascii="仿宋_GB2312" w:eastAsia="仿宋_GB2312"/>
          <w:color w:val="auto"/>
          <w:sz w:val="32"/>
          <w:szCs w:val="32"/>
          <w:highlight w:val="none"/>
        </w:rPr>
        <w:t>万元，具体内容包括：</w:t>
      </w:r>
      <w:r>
        <w:rPr>
          <w:rFonts w:hint="eastAsia" w:ascii="仿宋_GB2312" w:eastAsia="仿宋_GB2312"/>
          <w:color w:val="auto"/>
          <w:sz w:val="32"/>
          <w:szCs w:val="32"/>
          <w:highlight w:val="none"/>
          <w:lang w:val="en-US" w:eastAsia="zh-CN"/>
        </w:rPr>
        <w:t>研学活动0.15万元、思政大赛0.04万元、学习考察1.49万元、教育扶贫工作0.03万元、省考试院巡考及高考综合改革0.44万元、教育项目建设、项目招商2.82万元。</w:t>
      </w:r>
    </w:p>
    <w:p>
      <w:pPr>
        <w:spacing w:line="600" w:lineRule="exact"/>
        <w:ind w:firstLine="640"/>
        <w:rPr>
          <w:rFonts w:ascii="仿宋_GB2312" w:eastAsia="仿宋_GB2312"/>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年初未安排预算，</w:t>
      </w:r>
      <w:r>
        <w:rPr>
          <w:rStyle w:val="17"/>
          <w:rFonts w:hint="eastAsia" w:ascii="仿宋" w:hAnsi="仿宋" w:eastAsia="仿宋" w:cstheme="minorBidi"/>
          <w:b w:val="0"/>
          <w:bCs/>
          <w:color w:val="auto"/>
          <w:sz w:val="32"/>
          <w:szCs w:val="32"/>
          <w:highlight w:val="none"/>
          <w:lang w:val="en-US" w:eastAsia="zh-CN"/>
        </w:rPr>
        <w:t>支出决算较2020年无变化</w:t>
      </w:r>
      <w:r>
        <w:rPr>
          <w:rFonts w:hint="eastAsia" w:ascii="仿宋_GB2312" w:eastAsia="仿宋_GB2312"/>
          <w:color w:val="auto"/>
          <w:sz w:val="32"/>
          <w:szCs w:val="32"/>
          <w:highlight w:val="none"/>
          <w:lang w:val="en-US" w:eastAsia="zh-CN"/>
        </w:rPr>
        <w:t>。</w:t>
      </w:r>
    </w:p>
    <w:p>
      <w:pPr>
        <w:spacing w:line="600" w:lineRule="exact"/>
        <w:ind w:firstLine="640"/>
        <w:outlineLvl w:val="1"/>
        <w:rPr>
          <w:rStyle w:val="28"/>
          <w:rFonts w:ascii="黑体" w:hAnsi="黑体" w:eastAsia="黑体"/>
          <w:color w:val="auto"/>
          <w:highlight w:val="none"/>
        </w:rPr>
      </w:pPr>
      <w:bookmarkStart w:id="133" w:name="_Toc15377218"/>
      <w:bookmarkStart w:id="134" w:name="_Toc21558"/>
      <w:bookmarkStart w:id="135" w:name="_Toc15396610"/>
      <w:r>
        <w:rPr>
          <w:rFonts w:hint="eastAsia" w:ascii="黑体" w:eastAsia="黑体"/>
          <w:color w:val="auto"/>
          <w:sz w:val="32"/>
          <w:szCs w:val="32"/>
          <w:highlight w:val="none"/>
        </w:rPr>
        <w:t>八、</w:t>
      </w:r>
      <w:r>
        <w:rPr>
          <w:rStyle w:val="28"/>
          <w:rFonts w:hint="eastAsia" w:ascii="黑体" w:hAnsi="黑体" w:eastAsia="黑体"/>
          <w:b w:val="0"/>
          <w:color w:val="auto"/>
          <w:highlight w:val="none"/>
        </w:rPr>
        <w:t>政府性基金预算支出决算情况说明</w:t>
      </w:r>
      <w:bookmarkEnd w:id="133"/>
      <w:bookmarkEnd w:id="134"/>
      <w:bookmarkEnd w:id="135"/>
    </w:p>
    <w:p>
      <w:pPr>
        <w:spacing w:line="600" w:lineRule="exact"/>
        <w:ind w:firstLine="640"/>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700.5</w:t>
      </w:r>
      <w:r>
        <w:rPr>
          <w:rFonts w:hint="eastAsia" w:ascii="仿宋_GB2312" w:eastAsia="仿宋_GB2312"/>
          <w:color w:val="auto"/>
          <w:sz w:val="32"/>
          <w:szCs w:val="32"/>
          <w:highlight w:val="none"/>
        </w:rPr>
        <w:t>万元。202</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年本单位未在政府性基金预算拨款安排“三公经费”支出。</w:t>
      </w:r>
    </w:p>
    <w:p>
      <w:pPr>
        <w:numPr>
          <w:ilvl w:val="0"/>
          <w:numId w:val="12"/>
        </w:numPr>
        <w:spacing w:line="600" w:lineRule="exact"/>
        <w:ind w:firstLine="640"/>
        <w:outlineLvl w:val="1"/>
        <w:rPr>
          <w:rStyle w:val="28"/>
          <w:rFonts w:ascii="黑体" w:hAnsi="黑体" w:eastAsia="黑体"/>
          <w:b w:val="0"/>
          <w:color w:val="auto"/>
          <w:highlight w:val="none"/>
        </w:rPr>
      </w:pPr>
      <w:bookmarkStart w:id="136" w:name="_Toc15396611"/>
      <w:bookmarkStart w:id="137" w:name="_Toc15377219"/>
      <w:bookmarkStart w:id="138" w:name="_Toc8735"/>
      <w:r>
        <w:rPr>
          <w:rStyle w:val="28"/>
          <w:rFonts w:hint="eastAsia" w:ascii="黑体" w:hAnsi="黑体" w:eastAsia="黑体"/>
          <w:b w:val="0"/>
          <w:color w:val="auto"/>
          <w:highlight w:val="none"/>
        </w:rPr>
        <w:t>国有资本经营预算支出决算情况说明</w:t>
      </w:r>
      <w:bookmarkEnd w:id="136"/>
      <w:bookmarkEnd w:id="137"/>
      <w:bookmarkEnd w:id="138"/>
    </w:p>
    <w:p>
      <w:pPr>
        <w:spacing w:line="600" w:lineRule="exact"/>
        <w:ind w:firstLine="640"/>
        <w:rPr>
          <w:rFonts w:hint="eastAsia"/>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bookmarkStart w:id="139" w:name="_Toc15377221"/>
      <w:bookmarkStart w:id="140" w:name="_Toc15396612"/>
      <w:r>
        <w:rPr>
          <w:rFonts w:hint="eastAsia" w:ascii="仿宋_GB2312" w:eastAsia="仿宋_GB2312"/>
          <w:color w:val="auto"/>
          <w:sz w:val="32"/>
          <w:szCs w:val="32"/>
          <w:highlight w:val="none"/>
        </w:rPr>
        <w:t>0万元，年初未安排预算。</w:t>
      </w:r>
    </w:p>
    <w:p>
      <w:pPr>
        <w:numPr>
          <w:ilvl w:val="0"/>
          <w:numId w:val="12"/>
        </w:numPr>
        <w:spacing w:line="600" w:lineRule="exact"/>
        <w:ind w:firstLine="640"/>
        <w:outlineLvl w:val="1"/>
        <w:rPr>
          <w:rStyle w:val="28"/>
          <w:rFonts w:hint="eastAsia" w:ascii="黑体" w:hAnsi="黑体" w:eastAsia="黑体"/>
          <w:b w:val="0"/>
          <w:color w:val="auto"/>
          <w:highlight w:val="none"/>
        </w:rPr>
      </w:pPr>
      <w:bookmarkStart w:id="141" w:name="_Toc27592"/>
      <w:r>
        <w:rPr>
          <w:rStyle w:val="28"/>
          <w:rFonts w:hint="eastAsia" w:ascii="黑体" w:hAnsi="黑体" w:eastAsia="黑体"/>
          <w:b w:val="0"/>
          <w:color w:val="auto"/>
          <w:highlight w:val="none"/>
          <w:lang w:val="en-US" w:eastAsia="zh-CN"/>
        </w:rPr>
        <w:t>预算绩效管理情况</w:t>
      </w:r>
      <w:bookmarkEnd w:id="141"/>
    </w:p>
    <w:p>
      <w:pPr>
        <w:numPr>
          <w:ilvl w:val="0"/>
          <w:numId w:val="0"/>
        </w:numPr>
        <w:spacing w:line="600" w:lineRule="exact"/>
        <w:ind w:firstLine="640" w:firstLineChars="200"/>
        <w:outlineLvl w:val="1"/>
        <w:rPr>
          <w:rFonts w:hint="eastAsia"/>
        </w:rPr>
      </w:pPr>
      <w:bookmarkStart w:id="142" w:name="_Toc8530"/>
      <w:r>
        <w:rPr>
          <w:rFonts w:hint="eastAsia" w:ascii="仿宋_GB2312" w:hAnsi="仿宋_GB2312" w:eastAsia="仿宋_GB2312" w:cs="仿宋_GB2312"/>
          <w:color w:val="auto"/>
          <w:sz w:val="32"/>
          <w:szCs w:val="32"/>
          <w:highlight w:val="none"/>
        </w:rPr>
        <w:t>根据预算绩效管理要求，本部门在</w:t>
      </w:r>
      <w:r>
        <w:rPr>
          <w:rFonts w:hint="eastAsia" w:ascii="仿宋_GB2312" w:hAnsi="仿宋_GB2312" w:eastAsia="仿宋_GB2312" w:cs="仿宋_GB2312"/>
          <w:color w:val="auto"/>
          <w:sz w:val="32"/>
          <w:szCs w:val="32"/>
          <w:highlight w:val="none"/>
          <w:lang w:val="en-US" w:eastAsia="zh-CN"/>
        </w:rPr>
        <w:t>2021年度</w:t>
      </w:r>
      <w:r>
        <w:rPr>
          <w:rFonts w:hint="eastAsia" w:ascii="仿宋_GB2312" w:hAnsi="仿宋_GB2312" w:eastAsia="仿宋_GB2312" w:cs="仿宋_GB2312"/>
          <w:color w:val="auto"/>
          <w:sz w:val="32"/>
          <w:szCs w:val="32"/>
          <w:highlight w:val="none"/>
        </w:rPr>
        <w:t>预算编制阶段，组织对</w:t>
      </w:r>
      <w:r>
        <w:rPr>
          <w:rFonts w:hint="eastAsia" w:ascii="仿宋_GB2312" w:hAnsi="仿宋_GB2312" w:eastAsia="仿宋_GB2312" w:cs="仿宋_GB2312"/>
          <w:color w:val="auto"/>
          <w:sz w:val="32"/>
          <w:szCs w:val="32"/>
          <w:highlight w:val="none"/>
          <w:lang w:eastAsia="zh-CN"/>
        </w:rPr>
        <w:t>等</w:t>
      </w:r>
      <w:r>
        <w:rPr>
          <w:rFonts w:hint="eastAsia" w:ascii="仿宋_GB2312" w:hAnsi="仿宋_GB2312" w:eastAsia="仿宋_GB2312" w:cs="仿宋_GB2312"/>
          <w:color w:val="auto"/>
          <w:sz w:val="32"/>
          <w:szCs w:val="32"/>
          <w:highlight w:val="none"/>
          <w:lang w:val="en-US" w:eastAsia="zh-CN"/>
        </w:rPr>
        <w:t>教育教学质量研讨个项目</w:t>
      </w:r>
      <w:r>
        <w:rPr>
          <w:rFonts w:hint="eastAsia" w:ascii="仿宋_GB2312" w:hAnsi="仿宋_GB2312" w:eastAsia="仿宋_GB2312" w:cs="仿宋_GB2312"/>
          <w:color w:val="auto"/>
          <w:sz w:val="32"/>
          <w:szCs w:val="32"/>
          <w:highlight w:val="none"/>
        </w:rPr>
        <w:t>开展了预算事前绩效评估，对</w:t>
      </w:r>
      <w:r>
        <w:rPr>
          <w:rFonts w:hint="eastAsia" w:ascii="仿宋_GB2312" w:hAnsi="仿宋_GB2312" w:eastAsia="仿宋_GB2312" w:cs="仿宋_GB2312"/>
          <w:color w:val="auto"/>
          <w:sz w:val="32"/>
          <w:szCs w:val="32"/>
          <w:highlight w:val="none"/>
          <w:lang w:val="en-US" w:eastAsia="zh-CN"/>
        </w:rPr>
        <w:t>37</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个项目开展绩效监控，年终执行完毕后，对</w:t>
      </w:r>
      <w:r>
        <w:rPr>
          <w:rFonts w:hint="eastAsia" w:ascii="仿宋_GB2312" w:hAnsi="仿宋_GB2312" w:eastAsia="仿宋_GB2312" w:cs="仿宋_GB2312"/>
          <w:color w:val="auto"/>
          <w:sz w:val="32"/>
          <w:szCs w:val="32"/>
          <w:highlight w:val="none"/>
          <w:lang w:val="en-US" w:eastAsia="zh-CN"/>
        </w:rPr>
        <w:t>26</w:t>
      </w:r>
      <w:r>
        <w:rPr>
          <w:rFonts w:hint="eastAsia" w:ascii="仿宋_GB2312" w:hAnsi="仿宋_GB2312" w:eastAsia="仿宋_GB2312" w:cs="仿宋_GB2312"/>
          <w:color w:val="auto"/>
          <w:sz w:val="32"/>
          <w:szCs w:val="32"/>
          <w:highlight w:val="none"/>
        </w:rPr>
        <w:t>个项目开展了绩效自评</w:t>
      </w:r>
      <w:r>
        <w:rPr>
          <w:rFonts w:hint="eastAsia" w:ascii="仿宋_GB2312" w:hAnsi="仿宋_GB2312" w:eastAsia="仿宋_GB2312" w:cs="仿宋_GB2312"/>
          <w:color w:val="auto"/>
          <w:sz w:val="32"/>
          <w:szCs w:val="32"/>
          <w:highlight w:val="none"/>
          <w:lang w:eastAsia="zh-CN"/>
        </w:rPr>
        <w:t>。同时，</w:t>
      </w:r>
      <w:r>
        <w:rPr>
          <w:rFonts w:hint="eastAsia" w:ascii="仿宋_GB2312" w:hAnsi="仿宋_GB2312" w:eastAsia="仿宋_GB2312" w:cs="仿宋_GB2312"/>
          <w:color w:val="auto"/>
          <w:sz w:val="32"/>
          <w:szCs w:val="32"/>
          <w:highlight w:val="none"/>
        </w:rPr>
        <w:t>本部门对20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年部门整体开展绩效自评，《202</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广元市教育局</w:t>
      </w:r>
      <w:r>
        <w:rPr>
          <w:rFonts w:hint="eastAsia" w:ascii="仿宋_GB2312" w:hAnsi="仿宋_GB2312" w:eastAsia="仿宋_GB2312" w:cs="仿宋_GB2312"/>
          <w:color w:val="auto"/>
          <w:sz w:val="32"/>
          <w:szCs w:val="32"/>
          <w:highlight w:val="none"/>
        </w:rPr>
        <w:t>部门整体绩效评价报告》见附件（</w:t>
      </w:r>
      <w:r>
        <w:rPr>
          <w:rFonts w:hint="eastAsia" w:ascii="仿宋_GB2312" w:hAnsi="仿宋_GB2312" w:eastAsia="仿宋_GB2312" w:cs="仿宋_GB2312"/>
          <w:color w:val="auto"/>
          <w:sz w:val="32"/>
          <w:szCs w:val="32"/>
          <w:highlight w:val="none"/>
          <w:lang w:eastAsia="zh-CN"/>
        </w:rPr>
        <w:t>第四部分</w:t>
      </w:r>
      <w:r>
        <w:rPr>
          <w:rFonts w:hint="eastAsia" w:ascii="仿宋_GB2312" w:hAnsi="仿宋_GB2312" w:eastAsia="仿宋_GB2312" w:cs="仿宋_GB2312"/>
          <w:color w:val="auto"/>
          <w:sz w:val="32"/>
          <w:szCs w:val="32"/>
          <w:highlight w:val="none"/>
        </w:rPr>
        <w:t>）。</w:t>
      </w:r>
      <w:bookmarkEnd w:id="142"/>
    </w:p>
    <w:p>
      <w:pPr>
        <w:numPr>
          <w:ilvl w:val="0"/>
          <w:numId w:val="12"/>
        </w:numPr>
        <w:spacing w:line="600" w:lineRule="exact"/>
        <w:ind w:firstLine="640"/>
        <w:outlineLvl w:val="1"/>
        <w:rPr>
          <w:rStyle w:val="28"/>
          <w:rFonts w:hint="eastAsia" w:ascii="黑体" w:hAnsi="黑体" w:eastAsia="黑体"/>
          <w:b w:val="0"/>
          <w:color w:val="auto"/>
          <w:highlight w:val="none"/>
        </w:rPr>
      </w:pPr>
      <w:bookmarkStart w:id="143" w:name="_Toc786"/>
      <w:r>
        <w:rPr>
          <w:rStyle w:val="28"/>
          <w:rFonts w:hint="eastAsia" w:ascii="黑体" w:hAnsi="黑体" w:eastAsia="黑体"/>
          <w:b w:val="0"/>
          <w:color w:val="auto"/>
          <w:highlight w:val="none"/>
        </w:rPr>
        <w:t>其他重要事项的情况说明</w:t>
      </w:r>
      <w:bookmarkEnd w:id="139"/>
      <w:bookmarkEnd w:id="140"/>
      <w:bookmarkEnd w:id="143"/>
    </w:p>
    <w:p>
      <w:pPr>
        <w:spacing w:line="600" w:lineRule="exact"/>
        <w:ind w:firstLine="643" w:firstLineChars="200"/>
        <w:outlineLvl w:val="2"/>
        <w:rPr>
          <w:rFonts w:ascii="仿宋" w:hAnsi="仿宋" w:eastAsia="仿宋"/>
          <w:color w:val="auto"/>
          <w:sz w:val="32"/>
          <w:szCs w:val="32"/>
          <w:highlight w:val="none"/>
        </w:rPr>
      </w:pPr>
      <w:bookmarkStart w:id="144" w:name="_Toc15377222"/>
      <w:bookmarkStart w:id="145" w:name="_Toc26856"/>
      <w:r>
        <w:rPr>
          <w:rFonts w:hint="eastAsia" w:ascii="仿宋" w:hAnsi="仿宋" w:eastAsia="仿宋"/>
          <w:b/>
          <w:color w:val="auto"/>
          <w:sz w:val="32"/>
          <w:szCs w:val="32"/>
          <w:highlight w:val="none"/>
        </w:rPr>
        <w:t>（一）机关运行经费支出情况</w:t>
      </w:r>
      <w:bookmarkEnd w:id="144"/>
      <w:bookmarkEnd w:id="145"/>
    </w:p>
    <w:p>
      <w:pPr>
        <w:spacing w:line="600" w:lineRule="exact"/>
        <w:ind w:firstLine="640" w:firstLineChars="200"/>
        <w:rPr>
          <w:rFonts w:ascii="仿宋_GB2312" w:eastAsia="仿宋_GB2312"/>
          <w:color w:val="auto"/>
          <w:sz w:val="32"/>
          <w:szCs w:val="32"/>
          <w:highlight w:val="yellow"/>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市教育局</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196.61</w:t>
      </w:r>
      <w:r>
        <w:rPr>
          <w:rFonts w:hint="eastAsia" w:ascii="仿宋_GB2312" w:eastAsia="仿宋_GB2312"/>
          <w:color w:val="auto"/>
          <w:sz w:val="32"/>
          <w:szCs w:val="32"/>
          <w:highlight w:val="none"/>
        </w:rPr>
        <w:t>万元，比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1.52</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0.77</w:t>
      </w:r>
      <w:r>
        <w:rPr>
          <w:rFonts w:ascii="仿宋_GB2312" w:eastAsia="仿宋_GB2312"/>
          <w:color w:val="auto"/>
          <w:sz w:val="32"/>
          <w:szCs w:val="32"/>
          <w:highlight w:val="none"/>
        </w:rPr>
        <w:t>%</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2021年职工人数减少，职工就餐问题得到缓解，机关运行费用相对减少。</w:t>
      </w:r>
    </w:p>
    <w:p>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146" w:name="_Toc8090"/>
      <w:bookmarkStart w:id="147" w:name="_Toc15377223"/>
      <w:r>
        <w:rPr>
          <w:rFonts w:hint="eastAsia" w:ascii="仿宋" w:hAnsi="仿宋" w:eastAsia="仿宋"/>
          <w:b/>
          <w:color w:val="auto"/>
          <w:sz w:val="32"/>
          <w:szCs w:val="32"/>
          <w:highlight w:val="none"/>
        </w:rPr>
        <w:t>（二）政府采购支出情况</w:t>
      </w:r>
      <w:bookmarkEnd w:id="146"/>
      <w:bookmarkEnd w:id="147"/>
    </w:p>
    <w:p>
      <w:pPr>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市教育局</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2003.75</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1889.54</w:t>
      </w:r>
      <w:r>
        <w:rPr>
          <w:rFonts w:hint="eastAsia" w:ascii="仿宋_GB2312" w:eastAsia="仿宋_GB2312"/>
          <w:color w:val="auto"/>
          <w:sz w:val="32"/>
          <w:szCs w:val="32"/>
          <w:highlight w:val="none"/>
        </w:rPr>
        <w:t>万元、政府采购工程支出</w:t>
      </w:r>
      <w:r>
        <w:rPr>
          <w:rFonts w:hint="eastAsia" w:ascii="仿宋_GB2312" w:eastAsia="仿宋_GB2312"/>
          <w:color w:val="auto"/>
          <w:sz w:val="32"/>
          <w:szCs w:val="32"/>
          <w:highlight w:val="none"/>
          <w:lang w:val="en-US" w:eastAsia="zh-CN"/>
        </w:rPr>
        <w:t>78.95</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32.26</w:t>
      </w:r>
      <w:r>
        <w:rPr>
          <w:rFonts w:hint="eastAsia" w:ascii="仿宋_GB2312" w:eastAsia="仿宋_GB2312"/>
          <w:color w:val="auto"/>
          <w:sz w:val="32"/>
          <w:szCs w:val="32"/>
          <w:highlight w:val="none"/>
        </w:rPr>
        <w:t>万元。主要用于</w:t>
      </w:r>
      <w:r>
        <w:rPr>
          <w:rFonts w:hint="eastAsia" w:ascii="仿宋_GB2312" w:eastAsia="仿宋_GB2312"/>
          <w:color w:val="auto"/>
          <w:sz w:val="32"/>
          <w:szCs w:val="32"/>
          <w:highlight w:val="none"/>
          <w:lang w:val="en-US" w:eastAsia="zh-CN"/>
        </w:rPr>
        <w:t>局机关购置办公用品1.72万元；</w:t>
      </w:r>
      <w:r>
        <w:rPr>
          <w:rFonts w:hint="eastAsia" w:ascii="仿宋_GB2312" w:eastAsia="仿宋_GB2312"/>
          <w:color w:val="auto"/>
          <w:sz w:val="32"/>
          <w:szCs w:val="32"/>
          <w:highlight w:val="none"/>
        </w:rPr>
        <w:t>树人中学采购课桌椅及床41.53万元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零八一中学小学部食堂及教辅用房建设项目勘察设计费27</w:t>
      </w:r>
      <w:r>
        <w:rPr>
          <w:rFonts w:hint="eastAsia" w:ascii="仿宋_GB2312" w:eastAsia="仿宋_GB2312"/>
          <w:color w:val="auto"/>
          <w:sz w:val="32"/>
          <w:szCs w:val="32"/>
          <w:highlight w:val="none"/>
          <w:lang w:val="en-US" w:eastAsia="zh-CN"/>
        </w:rPr>
        <w:t>.</w:t>
      </w:r>
      <w:r>
        <w:rPr>
          <w:rFonts w:hint="eastAsia" w:ascii="仿宋_GB2312" w:eastAsia="仿宋_GB2312"/>
          <w:color w:val="auto"/>
          <w:sz w:val="32"/>
          <w:szCs w:val="32"/>
          <w:highlight w:val="none"/>
        </w:rPr>
        <w:t>45元</w:t>
      </w:r>
      <w:r>
        <w:rPr>
          <w:rFonts w:hint="eastAsia" w:ascii="仿宋_GB2312" w:eastAsia="仿宋_GB2312"/>
          <w:color w:val="auto"/>
          <w:sz w:val="32"/>
          <w:szCs w:val="32"/>
          <w:highlight w:val="none"/>
          <w:lang w:eastAsia="zh-CN"/>
        </w:rPr>
        <w:t>；教育科学研究所试卷印刷费</w:t>
      </w:r>
      <w:r>
        <w:rPr>
          <w:rFonts w:hint="eastAsia" w:ascii="仿宋_GB2312" w:eastAsia="仿宋_GB2312"/>
          <w:color w:val="auto"/>
          <w:sz w:val="32"/>
          <w:szCs w:val="32"/>
          <w:highlight w:val="none"/>
          <w:lang w:val="en-US" w:eastAsia="zh-CN"/>
        </w:rPr>
        <w:t>34.56万元</w:t>
      </w:r>
      <w:r>
        <w:rPr>
          <w:rFonts w:hint="eastAsia" w:ascii="仿宋_GB2312" w:eastAsia="仿宋_GB2312"/>
          <w:color w:val="auto"/>
          <w:sz w:val="32"/>
          <w:szCs w:val="32"/>
          <w:highlight w:val="none"/>
          <w:lang w:eastAsia="zh-CN"/>
        </w:rPr>
        <w:t>、购文件柜</w:t>
      </w:r>
      <w:r>
        <w:rPr>
          <w:rFonts w:hint="eastAsia" w:ascii="仿宋_GB2312" w:eastAsia="仿宋_GB2312"/>
          <w:color w:val="auto"/>
          <w:sz w:val="32"/>
          <w:szCs w:val="32"/>
          <w:highlight w:val="none"/>
          <w:lang w:val="en-US" w:eastAsia="zh-CN"/>
        </w:rPr>
        <w:t>0.11万元；市实验中学政府采购支出总额73.02万元，其中购置空调2台0.84万元，教师办公桌椅16套2.81万元，学生寝室家具56套15.12万元，学生课桌椅100套2.75万元，校大门维修改建工程51.5万元；利卅中专2021年政府采购总金额为1105.64万元，货物采购1085.64万元，其中课桌椅采购77.39万元、现代服务产教融合基地325.98万元、专业技能教学配套设备及安装采购626.42万元、数字化校园系统完善55.85万元，服务采购支出20万元，为5#学生宿舍地勘设计；市示范性综合实践基地2021年政府采购15.26万</w:t>
      </w:r>
      <w:r>
        <w:rPr>
          <w:rFonts w:hint="eastAsia" w:ascii="仿宋_GB2312" w:eastAsia="仿宋_GB2312"/>
          <w:color w:val="000000" w:themeColor="text1"/>
          <w:sz w:val="32"/>
          <w:szCs w:val="32"/>
          <w:highlight w:val="none"/>
          <w:lang w:val="en-US" w:eastAsia="zh-CN"/>
          <w14:textFill>
            <w14:solidFill>
              <w14:schemeClr w14:val="tx1"/>
            </w14:solidFill>
          </w14:textFill>
        </w:rPr>
        <w:t>元，其中：购仓库货架0.52万元，办公打印机0.93万元，中高空安全防护网安装3.22万元，办公家具7.73万元，购教学钢琴2.86万元；市八二一中学，2021年决算政府采购支出合计656.37万元，其中采购高考综合改革教学仪器323.75万元，功能室建设295.66万元，高考综合改革电子版牌及实验器材36.96万元；市机关幼儿园购置空调、打印机1.3万元；市实验小学购置学生课桌椅39.05万元；市树人幼儿园政府采购空调设备7.74万元(空调12台)。</w:t>
      </w:r>
      <w:r>
        <w:rPr>
          <w:rFonts w:hint="eastAsia" w:ascii="仿宋_GB2312" w:eastAsia="仿宋_GB2312"/>
          <w:color w:val="000000" w:themeColor="text1"/>
          <w:sz w:val="32"/>
          <w:szCs w:val="32"/>
          <w:highlight w:val="none"/>
          <w14:textFill>
            <w14:solidFill>
              <w14:schemeClr w14:val="tx1"/>
            </w14:solidFill>
          </w14:textFill>
        </w:rPr>
        <w:t>授予中小企业合同金额</w:t>
      </w:r>
      <w:r>
        <w:rPr>
          <w:rFonts w:hint="eastAsia" w:ascii="仿宋_GB2312" w:eastAsia="仿宋_GB2312"/>
          <w:color w:val="000000" w:themeColor="text1"/>
          <w:sz w:val="32"/>
          <w:szCs w:val="32"/>
          <w:highlight w:val="none"/>
          <w:lang w:val="en-US" w:eastAsia="zh-CN"/>
          <w14:textFill>
            <w14:solidFill>
              <w14:schemeClr w14:val="tx1"/>
            </w14:solidFill>
          </w14:textFill>
        </w:rPr>
        <w:t>753.66</w:t>
      </w:r>
      <w:r>
        <w:rPr>
          <w:rFonts w:hint="eastAsia" w:ascii="仿宋_GB2312" w:eastAsia="仿宋_GB2312"/>
          <w:color w:val="000000" w:themeColor="text1"/>
          <w:sz w:val="32"/>
          <w:szCs w:val="32"/>
          <w:highlight w:val="none"/>
          <w14:textFill>
            <w14:solidFill>
              <w14:schemeClr w14:val="tx1"/>
            </w14:solidFill>
          </w14:textFill>
        </w:rPr>
        <w:t>万元，占政府采购支出总额的</w:t>
      </w:r>
      <w:r>
        <w:rPr>
          <w:rFonts w:hint="eastAsia" w:ascii="仿宋_GB2312" w:eastAsia="仿宋_GB2312"/>
          <w:color w:val="000000" w:themeColor="text1"/>
          <w:sz w:val="32"/>
          <w:szCs w:val="32"/>
          <w:highlight w:val="none"/>
          <w:lang w:val="en-US" w:eastAsia="zh-CN"/>
          <w14:textFill>
            <w14:solidFill>
              <w14:schemeClr w14:val="tx1"/>
            </w14:solidFill>
          </w14:textFill>
        </w:rPr>
        <w:t>37.61</w:t>
      </w:r>
      <w:r>
        <w:rPr>
          <w:rFonts w:ascii="仿宋_GB2312" w:eastAsia="仿宋_GB2312"/>
          <w:color w:val="000000" w:themeColor="text1"/>
          <w:sz w:val="32"/>
          <w:szCs w:val="32"/>
          <w:highlight w:val="none"/>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，其中：授予小微企业合同金额</w:t>
      </w:r>
      <w:r>
        <w:rPr>
          <w:rFonts w:hint="eastAsia" w:ascii="仿宋_GB2312" w:eastAsia="仿宋_GB2312"/>
          <w:color w:val="000000" w:themeColor="text1"/>
          <w:sz w:val="32"/>
          <w:szCs w:val="32"/>
          <w:highlight w:val="none"/>
          <w:lang w:val="en-US" w:eastAsia="zh-CN"/>
          <w14:textFill>
            <w14:solidFill>
              <w14:schemeClr w14:val="tx1"/>
            </w14:solidFill>
          </w14:textFill>
        </w:rPr>
        <w:t>658</w:t>
      </w:r>
      <w:r>
        <w:rPr>
          <w:rFonts w:hint="eastAsia" w:ascii="仿宋_GB2312" w:eastAsia="仿宋_GB2312"/>
          <w:color w:val="auto"/>
          <w:sz w:val="32"/>
          <w:szCs w:val="32"/>
          <w:highlight w:val="none"/>
          <w:lang w:val="en-US" w:eastAsia="zh-CN"/>
        </w:rPr>
        <w:t>.08</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32.84</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148" w:name="_Toc26260"/>
      <w:bookmarkStart w:id="149" w:name="_Toc15377224"/>
      <w:r>
        <w:rPr>
          <w:rFonts w:hint="eastAsia" w:ascii="仿宋" w:hAnsi="仿宋" w:eastAsia="仿宋"/>
          <w:b/>
          <w:color w:val="auto"/>
          <w:sz w:val="32"/>
          <w:szCs w:val="32"/>
          <w:highlight w:val="none"/>
        </w:rPr>
        <w:t>（三）国有资产占有使用情况</w:t>
      </w:r>
      <w:bookmarkEnd w:id="148"/>
      <w:bookmarkEnd w:id="149"/>
    </w:p>
    <w:p>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val="en-US" w:eastAsia="zh-CN"/>
        </w:rPr>
        <w:t>市教育局</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9</w:t>
      </w:r>
      <w:r>
        <w:rPr>
          <w:rFonts w:hint="eastAsia" w:ascii="仿宋_GB2312" w:eastAsia="仿宋_GB2312"/>
          <w:color w:val="auto"/>
          <w:sz w:val="32"/>
          <w:szCs w:val="32"/>
          <w:highlight w:val="none"/>
        </w:rPr>
        <w:t>辆，其中：其他用车</w:t>
      </w:r>
      <w:r>
        <w:rPr>
          <w:rFonts w:hint="eastAsia" w:ascii="仿宋_GB2312" w:eastAsia="仿宋_GB2312"/>
          <w:color w:val="auto"/>
          <w:sz w:val="32"/>
          <w:szCs w:val="32"/>
          <w:highlight w:val="none"/>
          <w:lang w:val="en-US" w:eastAsia="zh-CN"/>
        </w:rPr>
        <w:t>9</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主要是用于教师招聘、教师遴选、引进人才中高考巡视、安全后勤检查、教育教学研究、义务教育均衡发展督导检查、教育综合体制改革、项目招引建设、脱贫攻坚等公务出行。单价</w:t>
      </w:r>
      <w:r>
        <w:rPr>
          <w:rFonts w:ascii="仿宋_GB2312" w:eastAsia="仿宋_GB2312"/>
          <w:color w:val="auto"/>
          <w:sz w:val="32"/>
          <w:szCs w:val="32"/>
          <w:highlight w:val="none"/>
        </w:rPr>
        <w:t>50</w:t>
      </w:r>
      <w:r>
        <w:rPr>
          <w:rFonts w:hint="eastAsia" w:ascii="仿宋_GB2312" w:eastAsia="仿宋_GB2312"/>
          <w:color w:val="auto"/>
          <w:sz w:val="32"/>
          <w:szCs w:val="32"/>
          <w:highlight w:val="none"/>
        </w:rPr>
        <w:t>万元以上通用设备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pPr>
        <w:widowControl/>
        <w:jc w:val="left"/>
        <w:rPr>
          <w:rFonts w:ascii="仿宋_GB2312" w:eastAsia="仿宋_GB2312"/>
          <w:b/>
          <w:color w:val="auto"/>
          <w:sz w:val="32"/>
          <w:szCs w:val="32"/>
          <w:highlight w:val="none"/>
        </w:rPr>
      </w:pPr>
      <w:r>
        <w:rPr>
          <w:rFonts w:ascii="仿宋_GB2312" w:eastAsia="仿宋_GB2312"/>
          <w:b/>
          <w:color w:val="auto"/>
          <w:sz w:val="32"/>
          <w:szCs w:val="32"/>
          <w:highlight w:val="none"/>
        </w:rPr>
        <w:br w:type="page"/>
      </w:r>
    </w:p>
    <w:p>
      <w:pPr>
        <w:numPr>
          <w:ilvl w:val="0"/>
          <w:numId w:val="13"/>
        </w:numPr>
        <w:spacing w:line="600" w:lineRule="exact"/>
        <w:ind w:firstLine="660" w:firstLineChars="150"/>
        <w:jc w:val="center"/>
        <w:outlineLvl w:val="0"/>
        <w:rPr>
          <w:rStyle w:val="27"/>
          <w:rFonts w:ascii="黑体" w:hAnsi="黑体" w:eastAsia="黑体"/>
          <w:b w:val="0"/>
          <w:color w:val="auto"/>
          <w:highlight w:val="none"/>
        </w:rPr>
      </w:pPr>
      <w:bookmarkStart w:id="150" w:name="_Toc9573"/>
      <w:bookmarkStart w:id="151" w:name="_Toc15377225"/>
      <w:bookmarkStart w:id="152" w:name="_Toc15396613"/>
      <w:r>
        <w:rPr>
          <w:rFonts w:hint="eastAsia" w:ascii="黑体" w:hAnsi="黑体" w:eastAsia="黑体"/>
          <w:color w:val="auto"/>
          <w:sz w:val="44"/>
          <w:szCs w:val="44"/>
          <w:highlight w:val="none"/>
        </w:rPr>
        <w:t>名</w:t>
      </w:r>
      <w:r>
        <w:rPr>
          <w:rStyle w:val="27"/>
          <w:rFonts w:hint="eastAsia" w:ascii="黑体" w:hAnsi="黑体" w:eastAsia="黑体"/>
          <w:b w:val="0"/>
          <w:color w:val="auto"/>
          <w:highlight w:val="none"/>
        </w:rPr>
        <w:t>词解释</w:t>
      </w:r>
      <w:bookmarkEnd w:id="150"/>
      <w:bookmarkEnd w:id="151"/>
      <w:bookmarkEnd w:id="152"/>
    </w:p>
    <w:p>
      <w:pPr>
        <w:spacing w:line="600" w:lineRule="exact"/>
        <w:jc w:val="left"/>
        <w:rPr>
          <w:rFonts w:ascii="宋体"/>
          <w:b/>
          <w:color w:val="auto"/>
          <w:sz w:val="44"/>
          <w:szCs w:val="44"/>
          <w:highlight w:val="none"/>
        </w:rPr>
      </w:pPr>
    </w:p>
    <w:p>
      <w:pPr>
        <w:pStyle w:val="25"/>
        <w:numPr>
          <w:ilvl w:val="0"/>
          <w:numId w:val="14"/>
        </w:numPr>
        <w:spacing w:line="560" w:lineRule="exact"/>
        <w:ind w:left="0" w:leftChars="0"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财政拨款收入：指单位从同级财政部门取得的财政预算资金。</w:t>
      </w:r>
    </w:p>
    <w:p>
      <w:pPr>
        <w:pStyle w:val="25"/>
        <w:numPr>
          <w:ilvl w:val="0"/>
          <w:numId w:val="14"/>
        </w:numPr>
        <w:spacing w:line="560" w:lineRule="exact"/>
        <w:ind w:left="0" w:leftChars="0"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事业收入：指事业单位开展专业业务活动及辅助活动取得的收入。</w:t>
      </w:r>
      <w:r>
        <w:rPr>
          <w:rFonts w:hint="eastAsia" w:ascii="仿宋_GB2312" w:eastAsia="仿宋_GB2312" w:cs="仿宋_GB2312"/>
          <w:sz w:val="32"/>
          <w:szCs w:val="32"/>
          <w:highlight w:val="none"/>
        </w:rPr>
        <w:t>如</w:t>
      </w:r>
      <w:r>
        <w:rPr>
          <w:rFonts w:hint="eastAsia" w:ascii="仿宋_GB2312" w:eastAsia="仿宋_GB2312" w:cs="仿宋_GB2312"/>
          <w:color w:val="auto"/>
          <w:sz w:val="32"/>
          <w:szCs w:val="32"/>
          <w:highlight w:val="none"/>
        </w:rPr>
        <w:t>幼儿园幼儿保教费、</w:t>
      </w:r>
      <w:r>
        <w:rPr>
          <w:rFonts w:hint="eastAsia" w:ascii="仿宋_GB2312" w:eastAsia="仿宋_GB2312" w:cs="仿宋_GB2312"/>
          <w:color w:val="auto"/>
          <w:sz w:val="32"/>
          <w:szCs w:val="32"/>
          <w:highlight w:val="none"/>
          <w:lang w:val="en-US" w:eastAsia="zh-CN"/>
        </w:rPr>
        <w:t>高中学生学费、</w:t>
      </w:r>
      <w:r>
        <w:rPr>
          <w:rFonts w:hint="eastAsia" w:ascii="仿宋_GB2312" w:eastAsia="仿宋_GB2312" w:cs="仿宋_GB2312"/>
          <w:color w:val="auto"/>
          <w:sz w:val="32"/>
          <w:szCs w:val="32"/>
          <w:highlight w:val="none"/>
        </w:rPr>
        <w:t>住宿费</w:t>
      </w:r>
      <w:r>
        <w:rPr>
          <w:rFonts w:hint="eastAsia" w:ascii="仿宋_GB2312" w:eastAsia="仿宋_GB2312" w:cs="仿宋_GB2312"/>
          <w:sz w:val="32"/>
          <w:szCs w:val="32"/>
          <w:highlight w:val="none"/>
        </w:rPr>
        <w:t>等</w:t>
      </w:r>
      <w:r>
        <w:rPr>
          <w:rFonts w:hint="eastAsia" w:ascii="仿宋_GB2312" w:eastAsia="仿宋_GB2312"/>
          <w:color w:val="auto"/>
          <w:sz w:val="32"/>
          <w:szCs w:val="32"/>
          <w:highlight w:val="none"/>
        </w:rPr>
        <w:t>。</w:t>
      </w:r>
    </w:p>
    <w:p>
      <w:pPr>
        <w:pStyle w:val="25"/>
        <w:numPr>
          <w:ilvl w:val="0"/>
          <w:numId w:val="14"/>
        </w:numPr>
        <w:spacing w:line="560" w:lineRule="exact"/>
        <w:ind w:left="0" w:leftChars="0"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其他收入：指单位取得的除上述收入以外的各项收入。主要是</w:t>
      </w:r>
      <w:r>
        <w:rPr>
          <w:rFonts w:hint="eastAsia" w:ascii="仿宋_GB2312" w:eastAsia="仿宋_GB2312"/>
          <w:color w:val="auto"/>
          <w:sz w:val="32"/>
          <w:szCs w:val="32"/>
          <w:highlight w:val="none"/>
          <w:lang w:val="en-US" w:eastAsia="zh-CN"/>
        </w:rPr>
        <w:t>银行利息、教育收费、本级横向转拨财政款（各学校免学费资金、人才补助）、非本级财政拨款研学资金（财政部）</w:t>
      </w:r>
      <w:r>
        <w:rPr>
          <w:rFonts w:hint="eastAsia" w:ascii="仿宋_GB2312" w:eastAsia="仿宋_GB2312"/>
          <w:color w:val="auto"/>
          <w:sz w:val="32"/>
          <w:szCs w:val="32"/>
          <w:highlight w:val="none"/>
        </w:rPr>
        <w:t>等。</w:t>
      </w:r>
      <w:r>
        <w:rPr>
          <w:rFonts w:ascii="仿宋_GB2312" w:eastAsia="仿宋_GB2312"/>
          <w:color w:val="auto"/>
          <w:sz w:val="32"/>
          <w:szCs w:val="32"/>
          <w:highlight w:val="none"/>
        </w:rPr>
        <w:t xml:space="preserve">  </w:t>
      </w:r>
    </w:p>
    <w:p>
      <w:pPr>
        <w:pStyle w:val="25"/>
        <w:numPr>
          <w:ilvl w:val="0"/>
          <w:numId w:val="14"/>
        </w:numPr>
        <w:spacing w:line="560" w:lineRule="exact"/>
        <w:ind w:left="0" w:leftChars="0"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pPr>
        <w:pStyle w:val="25"/>
        <w:numPr>
          <w:ilvl w:val="0"/>
          <w:numId w:val="14"/>
        </w:numPr>
        <w:spacing w:line="560" w:lineRule="exact"/>
        <w:ind w:left="0" w:leftChars="0"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年末结转和结余：指单位按有关规定结转到下年或以后年度继续使用的资金。</w:t>
      </w:r>
    </w:p>
    <w:p>
      <w:pPr>
        <w:numPr>
          <w:ilvl w:val="0"/>
          <w:numId w:val="14"/>
        </w:numPr>
        <w:spacing w:line="600" w:lineRule="exact"/>
        <w:ind w:left="0" w:leftChars="0" w:firstLine="640" w:firstLineChars="200"/>
        <w:rPr>
          <w:rStyle w:val="17"/>
          <w:rFonts w:hint="default" w:ascii="仿宋" w:hAnsi="仿宋" w:eastAsia="仿宋"/>
          <w:b w:val="0"/>
          <w:bCs/>
          <w:color w:val="auto"/>
          <w:sz w:val="32"/>
          <w:szCs w:val="32"/>
          <w:highlight w:val="none"/>
          <w:lang w:val="en-US"/>
        </w:rPr>
      </w:pPr>
      <w:r>
        <w:rPr>
          <w:rFonts w:hint="eastAsia" w:ascii="仿宋_GB2312" w:eastAsia="仿宋_GB2312"/>
          <w:color w:val="auto"/>
          <w:sz w:val="32"/>
          <w:szCs w:val="32"/>
          <w:highlight w:val="none"/>
        </w:rPr>
        <w:t>教育支出（类）教育管理事务（款）行政运行（项）:</w:t>
      </w:r>
      <w:r>
        <w:rPr>
          <w:rStyle w:val="17"/>
          <w:rFonts w:ascii="仿宋" w:hAnsi="仿宋" w:eastAsia="仿宋"/>
          <w:b w:val="0"/>
          <w:bCs/>
          <w:color w:val="auto"/>
          <w:sz w:val="32"/>
          <w:szCs w:val="32"/>
          <w:highlight w:val="none"/>
        </w:rPr>
        <w:t xml:space="preserve"> </w:t>
      </w:r>
      <w:r>
        <w:rPr>
          <w:rFonts w:hint="eastAsia" w:ascii="仿宋_GB2312" w:eastAsia="仿宋_GB2312"/>
          <w:color w:val="auto"/>
          <w:sz w:val="32"/>
          <w:szCs w:val="32"/>
          <w:highlight w:val="none"/>
          <w:lang w:val="en-US" w:eastAsia="zh-CN"/>
        </w:rPr>
        <w:t>指反映行政单位（包括实行公务员管理的事业单位）的基本支出。</w:t>
      </w:r>
    </w:p>
    <w:p>
      <w:pPr>
        <w:numPr>
          <w:ilvl w:val="0"/>
          <w:numId w:val="14"/>
        </w:numPr>
        <w:spacing w:line="600" w:lineRule="exact"/>
        <w:ind w:left="0" w:leftChars="0" w:firstLine="640" w:firstLineChars="200"/>
        <w:rPr>
          <w:rFonts w:hint="default" w:ascii="仿宋_GB2312" w:eastAsia="仿宋_GB2312"/>
          <w:color w:val="auto"/>
          <w:sz w:val="32"/>
          <w:szCs w:val="32"/>
          <w:highlight w:val="none"/>
          <w:lang w:val="en-US"/>
        </w:rPr>
      </w:pPr>
      <w:r>
        <w:rPr>
          <w:rFonts w:hint="eastAsia" w:ascii="仿宋_GB2312" w:eastAsia="仿宋_GB2312"/>
          <w:color w:val="auto"/>
          <w:sz w:val="32"/>
          <w:szCs w:val="32"/>
          <w:highlight w:val="none"/>
        </w:rPr>
        <w:t xml:space="preserve">教育支出（类）教育管理事务（款）一般行政管理事务（项）: </w:t>
      </w:r>
      <w:r>
        <w:rPr>
          <w:rFonts w:hint="eastAsia" w:ascii="仿宋_GB2312" w:eastAsia="仿宋_GB2312"/>
          <w:color w:val="auto"/>
          <w:sz w:val="32"/>
          <w:szCs w:val="32"/>
          <w:highlight w:val="none"/>
          <w:lang w:val="en-US" w:eastAsia="zh-CN"/>
        </w:rPr>
        <w:t>指反映行政单位（包括实行公务员管理的事业单位）未单独设置项级科目的其他项目支出。</w:t>
      </w:r>
    </w:p>
    <w:p>
      <w:pPr>
        <w:numPr>
          <w:ilvl w:val="0"/>
          <w:numId w:val="14"/>
        </w:numPr>
        <w:spacing w:line="600" w:lineRule="exact"/>
        <w:ind w:left="0" w:leftChars="0" w:firstLine="640" w:firstLineChars="200"/>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rPr>
        <w:t xml:space="preserve">教育支出（类）教育管理事务（款）其他教育管理事务支出（项）: </w:t>
      </w:r>
      <w:r>
        <w:rPr>
          <w:rFonts w:hint="eastAsia" w:ascii="仿宋_GB2312" w:eastAsia="仿宋_GB2312"/>
          <w:color w:val="auto"/>
          <w:sz w:val="32"/>
          <w:szCs w:val="32"/>
          <w:highlight w:val="none"/>
          <w:lang w:val="en-US" w:eastAsia="zh-CN"/>
        </w:rPr>
        <w:t>指反映除上述项目以外其他用于教育管理事务方面的支出。</w:t>
      </w:r>
    </w:p>
    <w:p>
      <w:pPr>
        <w:numPr>
          <w:ilvl w:val="0"/>
          <w:numId w:val="14"/>
        </w:numPr>
        <w:spacing w:line="600" w:lineRule="exact"/>
        <w:ind w:left="0" w:leftChars="0" w:firstLine="640" w:firstLineChars="200"/>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rPr>
        <w:t>教育支出</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类）普通教育（款）学前教育（项）:</w:t>
      </w:r>
      <w:r>
        <w:rPr>
          <w:rFonts w:hint="eastAsia" w:ascii="仿宋_GB2312" w:eastAsia="仿宋_GB2312"/>
          <w:color w:val="auto"/>
          <w:sz w:val="32"/>
          <w:szCs w:val="32"/>
          <w:highlight w:val="none"/>
          <w:lang w:val="en-US" w:eastAsia="zh-CN"/>
        </w:rPr>
        <w:t>指反映各部门举办的学前教育支出。政府各部门对社会组织等举办的幼儿园的资助，如捐赠、补贴等，也在科目中反映。</w:t>
      </w:r>
    </w:p>
    <w:p>
      <w:pPr>
        <w:numPr>
          <w:ilvl w:val="0"/>
          <w:numId w:val="14"/>
        </w:numPr>
        <w:spacing w:line="600" w:lineRule="exact"/>
        <w:ind w:left="0" w:leftChars="0"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教育支出（类）普通教育（款）小学教育（项）:</w:t>
      </w:r>
      <w:r>
        <w:rPr>
          <w:rFonts w:hint="eastAsia" w:ascii="仿宋_GB2312" w:eastAsia="仿宋_GB2312"/>
          <w:color w:val="auto"/>
          <w:sz w:val="32"/>
          <w:szCs w:val="32"/>
          <w:highlight w:val="none"/>
          <w:lang w:val="en-US" w:eastAsia="zh-CN"/>
        </w:rPr>
        <w:t>指反映各部门举办的小学教育支出。政府各部</w:t>
      </w:r>
      <w:r>
        <w:rPr>
          <w:rFonts w:hint="eastAsia" w:ascii="仿宋_GB2312" w:eastAsia="仿宋_GB2312"/>
          <w:color w:val="auto"/>
          <w:sz w:val="32"/>
          <w:szCs w:val="32"/>
          <w:highlight w:val="none"/>
        </w:rPr>
        <w:t>门对社会组织等举办的小学的资助</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如捐赠、补贴等，也在科目中反映。</w:t>
      </w:r>
    </w:p>
    <w:p>
      <w:pPr>
        <w:numPr>
          <w:ilvl w:val="0"/>
          <w:numId w:val="14"/>
        </w:numPr>
        <w:spacing w:line="600" w:lineRule="exact"/>
        <w:ind w:left="0" w:leftChars="0" w:firstLine="400" w:firstLineChars="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rPr>
        <w:t>教育支出（类）普通教育（款）初中教育（项）:</w:t>
      </w:r>
      <w:r>
        <w:rPr>
          <w:rFonts w:hint="eastAsia" w:ascii="仿宋_GB2312" w:eastAsia="仿宋_GB2312"/>
          <w:color w:val="auto"/>
          <w:sz w:val="32"/>
          <w:szCs w:val="32"/>
          <w:highlight w:val="none"/>
          <w:lang w:val="en-US" w:eastAsia="zh-CN"/>
        </w:rPr>
        <w:t>指反映各部门举办的初中教育支出。政府各部门对社会组织等举办的初中的资助，如捐赠、补贴等，也在科目中反映。</w:t>
      </w:r>
    </w:p>
    <w:p>
      <w:pPr>
        <w:numPr>
          <w:ilvl w:val="0"/>
          <w:numId w:val="14"/>
        </w:numPr>
        <w:spacing w:line="600" w:lineRule="exact"/>
        <w:ind w:left="0" w:leftChars="0" w:firstLine="400" w:firstLineChars="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rPr>
        <w:t>教育支出（类）普通教育（款）高中教育（项）:</w:t>
      </w:r>
      <w:r>
        <w:rPr>
          <w:rFonts w:hint="eastAsia" w:ascii="仿宋_GB2312" w:eastAsia="仿宋_GB2312"/>
          <w:color w:val="auto"/>
          <w:sz w:val="32"/>
          <w:szCs w:val="32"/>
          <w:highlight w:val="none"/>
          <w:lang w:val="en-US" w:eastAsia="zh-CN"/>
        </w:rPr>
        <w:t>指反映各部门举办的普通高中教育支出。政府各部门对社会组织等举办的普通高中的资助，如捐赠、补贴等，也在科目中反映。</w:t>
      </w:r>
    </w:p>
    <w:p>
      <w:pPr>
        <w:numPr>
          <w:ilvl w:val="0"/>
          <w:numId w:val="14"/>
        </w:numPr>
        <w:spacing w:line="600" w:lineRule="exact"/>
        <w:ind w:left="0" w:leftChars="0" w:firstLine="400" w:firstLineChars="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rPr>
        <w:t xml:space="preserve">教育支出（类）普通教育（款）其他普通教育支出（项）: </w:t>
      </w:r>
      <w:r>
        <w:rPr>
          <w:rFonts w:hint="eastAsia" w:ascii="仿宋_GB2312" w:eastAsia="仿宋_GB2312"/>
          <w:color w:val="auto"/>
          <w:sz w:val="32"/>
          <w:szCs w:val="32"/>
          <w:highlight w:val="none"/>
          <w:lang w:val="en-US" w:eastAsia="zh-CN"/>
        </w:rPr>
        <w:t>指反映除上述项目以外其他用于普通教育方面的支出。</w:t>
      </w:r>
    </w:p>
    <w:p>
      <w:pPr>
        <w:numPr>
          <w:ilvl w:val="0"/>
          <w:numId w:val="14"/>
        </w:numPr>
        <w:spacing w:line="600" w:lineRule="exact"/>
        <w:ind w:left="0" w:leftChars="0" w:firstLine="400" w:firstLineChars="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教育支出（类）职业教育（款）初等职业教育（项）:</w:t>
      </w:r>
      <w:r>
        <w:rPr>
          <w:rFonts w:hint="eastAsia" w:ascii="仿宋_GB2312" w:eastAsia="仿宋_GB2312"/>
          <w:color w:val="auto"/>
          <w:sz w:val="32"/>
          <w:szCs w:val="32"/>
          <w:highlight w:val="none"/>
          <w:lang w:val="en-US" w:eastAsia="zh-CN"/>
        </w:rPr>
        <w:t>指反映各部门举办的初等职业教育支出。政府各部门对社会组织等举办的初等职业学校的资助，如捐赠、补贴等，也在科目中反映。</w:t>
      </w:r>
    </w:p>
    <w:p>
      <w:pPr>
        <w:numPr>
          <w:ilvl w:val="0"/>
          <w:numId w:val="14"/>
        </w:numPr>
        <w:spacing w:line="600" w:lineRule="exact"/>
        <w:ind w:left="0" w:leftChars="0" w:firstLine="400" w:firstLineChars="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教育支出（类）职业教育（款）中等职业教育（项）:指反映各部门举办的</w:t>
      </w:r>
      <w:r>
        <w:rPr>
          <w:rFonts w:hint="eastAsia" w:ascii="仿宋_GB2312" w:eastAsia="仿宋_GB2312"/>
          <w:color w:val="auto"/>
          <w:sz w:val="32"/>
          <w:szCs w:val="32"/>
          <w:highlight w:val="none"/>
          <w:lang w:val="en-US" w:eastAsia="zh-CN"/>
        </w:rPr>
        <w:t>中</w:t>
      </w:r>
      <w:r>
        <w:rPr>
          <w:rFonts w:hint="eastAsia" w:ascii="仿宋_GB2312" w:eastAsia="仿宋_GB2312"/>
          <w:color w:val="auto"/>
          <w:sz w:val="32"/>
          <w:szCs w:val="32"/>
          <w:highlight w:val="none"/>
        </w:rPr>
        <w:t>等职业教育支出。政府各部门对社会组织等举办的</w:t>
      </w:r>
      <w:r>
        <w:rPr>
          <w:rFonts w:hint="eastAsia" w:ascii="仿宋_GB2312" w:eastAsia="仿宋_GB2312"/>
          <w:color w:val="auto"/>
          <w:sz w:val="32"/>
          <w:szCs w:val="32"/>
          <w:highlight w:val="none"/>
          <w:lang w:val="en-US" w:eastAsia="zh-CN"/>
        </w:rPr>
        <w:t>中</w:t>
      </w:r>
      <w:r>
        <w:rPr>
          <w:rFonts w:hint="eastAsia" w:ascii="仿宋_GB2312" w:eastAsia="仿宋_GB2312"/>
          <w:color w:val="auto"/>
          <w:sz w:val="32"/>
          <w:szCs w:val="32"/>
          <w:highlight w:val="none"/>
        </w:rPr>
        <w:t xml:space="preserve">等职业学校的资助，如捐赠、补贴等，也在科目中反映。 </w:t>
      </w:r>
    </w:p>
    <w:p>
      <w:pPr>
        <w:numPr>
          <w:ilvl w:val="0"/>
          <w:numId w:val="14"/>
        </w:numPr>
        <w:spacing w:line="600" w:lineRule="exact"/>
        <w:ind w:left="0" w:leftChars="0" w:firstLine="400" w:firstLineChars="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教育支出（类）职业教育（款）其他职业教育支出（项）:指反映除上述项目以外其他用于</w:t>
      </w:r>
      <w:r>
        <w:rPr>
          <w:rFonts w:hint="eastAsia" w:ascii="仿宋_GB2312" w:eastAsia="仿宋_GB2312"/>
          <w:color w:val="auto"/>
          <w:sz w:val="32"/>
          <w:szCs w:val="32"/>
          <w:highlight w:val="none"/>
          <w:lang w:val="en-US" w:eastAsia="zh-CN"/>
        </w:rPr>
        <w:t>职业</w:t>
      </w:r>
      <w:r>
        <w:rPr>
          <w:rFonts w:hint="eastAsia" w:ascii="仿宋_GB2312" w:eastAsia="仿宋_GB2312"/>
          <w:color w:val="auto"/>
          <w:sz w:val="32"/>
          <w:szCs w:val="32"/>
          <w:highlight w:val="none"/>
        </w:rPr>
        <w:t>教育方面的支出。</w:t>
      </w:r>
    </w:p>
    <w:p>
      <w:pPr>
        <w:numPr>
          <w:ilvl w:val="0"/>
          <w:numId w:val="14"/>
        </w:numPr>
        <w:spacing w:line="600" w:lineRule="exact"/>
        <w:ind w:left="0" w:leftChars="0" w:firstLine="400" w:firstLineChars="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教育支出（类）进修及培训（款）教师进修（项）: </w:t>
      </w:r>
      <w:r>
        <w:rPr>
          <w:rFonts w:hint="eastAsia" w:ascii="仿宋_GB2312" w:eastAsia="仿宋_GB2312"/>
          <w:color w:val="auto"/>
          <w:sz w:val="32"/>
          <w:szCs w:val="32"/>
          <w:highlight w:val="none"/>
          <w:lang w:val="en-US" w:eastAsia="zh-CN"/>
        </w:rPr>
        <w:t>指反映教师进修、师资培训支出</w:t>
      </w:r>
      <w:r>
        <w:rPr>
          <w:rFonts w:hint="eastAsia" w:ascii="仿宋_GB2312" w:eastAsia="仿宋_GB2312"/>
          <w:color w:val="auto"/>
          <w:sz w:val="32"/>
          <w:szCs w:val="32"/>
          <w:highlight w:val="none"/>
        </w:rPr>
        <w:t>。</w:t>
      </w:r>
    </w:p>
    <w:p>
      <w:pPr>
        <w:numPr>
          <w:ilvl w:val="0"/>
          <w:numId w:val="14"/>
        </w:numPr>
        <w:spacing w:line="600" w:lineRule="exact"/>
        <w:ind w:left="0" w:leftChars="0" w:firstLine="400" w:firstLineChars="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教育支出（类）其他教育支出（款）其他教育支出（项）: </w:t>
      </w:r>
      <w:r>
        <w:rPr>
          <w:rFonts w:hint="eastAsia" w:ascii="仿宋_GB2312" w:eastAsia="仿宋_GB2312"/>
          <w:color w:val="auto"/>
          <w:sz w:val="32"/>
          <w:szCs w:val="32"/>
          <w:highlight w:val="none"/>
          <w:lang w:val="en-US" w:eastAsia="zh-CN"/>
        </w:rPr>
        <w:t>指反映出上述项目以外其他用于教育方面的支出</w:t>
      </w:r>
      <w:r>
        <w:rPr>
          <w:rFonts w:hint="eastAsia" w:ascii="仿宋_GB2312" w:eastAsia="仿宋_GB2312"/>
          <w:color w:val="auto"/>
          <w:sz w:val="32"/>
          <w:szCs w:val="32"/>
          <w:highlight w:val="none"/>
        </w:rPr>
        <w:t>。</w:t>
      </w:r>
    </w:p>
    <w:p>
      <w:pPr>
        <w:numPr>
          <w:ilvl w:val="0"/>
          <w:numId w:val="14"/>
        </w:numPr>
        <w:spacing w:line="600" w:lineRule="exact"/>
        <w:ind w:left="0" w:leftChars="0" w:firstLine="400" w:firstLineChars="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rPr>
        <w:t>社会保障和就业（类）行政事业单位养老支出（款）行政单位离退休（项）:</w:t>
      </w:r>
      <w:r>
        <w:rPr>
          <w:rFonts w:hint="eastAsia" w:ascii="仿宋_GB2312" w:eastAsia="仿宋_GB2312"/>
          <w:color w:val="auto"/>
          <w:sz w:val="32"/>
          <w:szCs w:val="32"/>
          <w:highlight w:val="none"/>
          <w:lang w:val="en-US" w:eastAsia="zh-CN"/>
        </w:rPr>
        <w:t>指反映行政单位（包括实行公务员管理的事业单位）开支的离退休经费。</w:t>
      </w:r>
    </w:p>
    <w:p>
      <w:pPr>
        <w:numPr>
          <w:ilvl w:val="0"/>
          <w:numId w:val="14"/>
        </w:numPr>
        <w:spacing w:line="600" w:lineRule="exact"/>
        <w:ind w:left="0" w:leftChars="0" w:firstLine="400" w:firstLineChars="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社会保障和就业（类）人力资源和社会保障管理事务（款）其他人力资源和社会保障管理事务支出（项）: </w:t>
      </w:r>
      <w:r>
        <w:rPr>
          <w:rFonts w:hint="eastAsia" w:ascii="仿宋_GB2312" w:eastAsia="仿宋_GB2312"/>
          <w:color w:val="auto"/>
          <w:sz w:val="32"/>
          <w:szCs w:val="32"/>
          <w:highlight w:val="none"/>
          <w:lang w:val="en-US" w:eastAsia="zh-CN"/>
        </w:rPr>
        <w:t>指反映除上述项目以外其他用于人力资源和社会保障管理事务方面的支出</w:t>
      </w:r>
      <w:r>
        <w:rPr>
          <w:rFonts w:hint="eastAsia" w:ascii="仿宋_GB2312" w:eastAsia="仿宋_GB2312"/>
          <w:color w:val="auto"/>
          <w:sz w:val="32"/>
          <w:szCs w:val="32"/>
          <w:highlight w:val="none"/>
        </w:rPr>
        <w:t>。</w:t>
      </w:r>
    </w:p>
    <w:p>
      <w:pPr>
        <w:numPr>
          <w:ilvl w:val="0"/>
          <w:numId w:val="14"/>
        </w:numPr>
        <w:spacing w:line="600" w:lineRule="exact"/>
        <w:ind w:left="0" w:leftChars="0" w:firstLine="400" w:firstLineChars="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rPr>
        <w:t xml:space="preserve">社会保障和就业（类）行政事业单位养老支出（款）事业单位离退休（项）: </w:t>
      </w:r>
      <w:r>
        <w:rPr>
          <w:rFonts w:hint="eastAsia" w:ascii="仿宋_GB2312" w:eastAsia="仿宋_GB2312"/>
          <w:color w:val="auto"/>
          <w:sz w:val="32"/>
          <w:szCs w:val="32"/>
          <w:highlight w:val="none"/>
          <w:lang w:val="en-US" w:eastAsia="zh-CN"/>
        </w:rPr>
        <w:t>指反映事业单位开支的离退休经费。</w:t>
      </w:r>
    </w:p>
    <w:p>
      <w:pPr>
        <w:numPr>
          <w:ilvl w:val="0"/>
          <w:numId w:val="14"/>
        </w:numPr>
        <w:spacing w:line="600" w:lineRule="exact"/>
        <w:ind w:left="0" w:leftChars="0" w:firstLine="400" w:firstLineChars="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社会保障和就业（类）行政事业单位养老支出（款）机关事业单位基本养老保险缴费支出（项）: </w:t>
      </w:r>
      <w:r>
        <w:rPr>
          <w:rFonts w:hint="eastAsia" w:ascii="仿宋_GB2312" w:eastAsia="仿宋_GB2312"/>
          <w:color w:val="auto"/>
          <w:sz w:val="32"/>
          <w:szCs w:val="32"/>
          <w:highlight w:val="none"/>
          <w:lang w:val="en-US" w:eastAsia="zh-CN"/>
        </w:rPr>
        <w:t>指反映机关事业单位实施养老保险制度由单位缴纳的基本养老保险费支出</w:t>
      </w:r>
      <w:r>
        <w:rPr>
          <w:rFonts w:hint="eastAsia" w:ascii="仿宋_GB2312" w:eastAsia="仿宋_GB2312"/>
          <w:color w:val="auto"/>
          <w:sz w:val="32"/>
          <w:szCs w:val="32"/>
          <w:highlight w:val="none"/>
        </w:rPr>
        <w:t>。</w:t>
      </w:r>
    </w:p>
    <w:p>
      <w:pPr>
        <w:numPr>
          <w:ilvl w:val="0"/>
          <w:numId w:val="14"/>
        </w:numPr>
        <w:spacing w:line="600" w:lineRule="exact"/>
        <w:ind w:left="0" w:leftChars="0" w:firstLine="400" w:firstLineChars="0"/>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rPr>
        <w:t xml:space="preserve">社会保障和就业（类）行政事业单位养老支出（款） 机关事业单位职业年金缴费支出（项）: </w:t>
      </w:r>
      <w:r>
        <w:rPr>
          <w:rFonts w:hint="eastAsia" w:ascii="仿宋_GB2312" w:eastAsia="仿宋_GB2312"/>
          <w:color w:val="auto"/>
          <w:sz w:val="32"/>
          <w:szCs w:val="32"/>
          <w:highlight w:val="none"/>
          <w:lang w:val="en-US" w:eastAsia="zh-CN"/>
        </w:rPr>
        <w:t>指</w:t>
      </w:r>
      <w:r>
        <w:rPr>
          <w:rFonts w:hint="eastAsia" w:ascii="仿宋_GB2312" w:eastAsia="仿宋_GB2312"/>
          <w:color w:val="auto"/>
          <w:sz w:val="32"/>
          <w:szCs w:val="32"/>
          <w:highlight w:val="none"/>
        </w:rPr>
        <w:t>反映机关事业单位实施养老保险制度由单位</w:t>
      </w:r>
      <w:r>
        <w:rPr>
          <w:rFonts w:hint="eastAsia" w:ascii="仿宋_GB2312" w:eastAsia="仿宋_GB2312"/>
          <w:color w:val="auto"/>
          <w:sz w:val="32"/>
          <w:szCs w:val="32"/>
          <w:highlight w:val="none"/>
          <w:lang w:val="en-US" w:eastAsia="zh-CN"/>
        </w:rPr>
        <w:t>实际</w:t>
      </w:r>
      <w:r>
        <w:rPr>
          <w:rFonts w:hint="eastAsia" w:ascii="仿宋_GB2312" w:eastAsia="仿宋_GB2312"/>
          <w:color w:val="auto"/>
          <w:sz w:val="32"/>
          <w:szCs w:val="32"/>
          <w:highlight w:val="none"/>
        </w:rPr>
        <w:t>缴纳的</w:t>
      </w:r>
      <w:r>
        <w:rPr>
          <w:rFonts w:hint="eastAsia" w:ascii="仿宋_GB2312" w:eastAsia="仿宋_GB2312"/>
          <w:color w:val="auto"/>
          <w:sz w:val="32"/>
          <w:szCs w:val="32"/>
          <w:highlight w:val="none"/>
          <w:lang w:val="en-US" w:eastAsia="zh-CN"/>
        </w:rPr>
        <w:t>职业年金</w:t>
      </w:r>
      <w:r>
        <w:rPr>
          <w:rFonts w:hint="eastAsia" w:ascii="仿宋_GB2312" w:eastAsia="仿宋_GB2312"/>
          <w:color w:val="auto"/>
          <w:sz w:val="32"/>
          <w:szCs w:val="32"/>
          <w:highlight w:val="none"/>
        </w:rPr>
        <w:t>支出</w:t>
      </w:r>
      <w:r>
        <w:rPr>
          <w:rFonts w:hint="eastAsia" w:ascii="仿宋_GB2312" w:eastAsia="仿宋_GB2312"/>
          <w:color w:val="auto"/>
          <w:sz w:val="32"/>
          <w:szCs w:val="32"/>
          <w:highlight w:val="none"/>
          <w:lang w:eastAsia="zh-CN"/>
        </w:rPr>
        <w:t>。</w:t>
      </w:r>
    </w:p>
    <w:p>
      <w:pPr>
        <w:numPr>
          <w:ilvl w:val="0"/>
          <w:numId w:val="14"/>
        </w:numPr>
        <w:spacing w:line="600" w:lineRule="exact"/>
        <w:ind w:left="0" w:leftChars="0" w:firstLine="400" w:firstLineChars="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社会保障和就业支出（类）抚恤（款）</w:t>
      </w:r>
      <w:r>
        <w:rPr>
          <w:rFonts w:hint="eastAsia" w:ascii="仿宋_GB2312" w:eastAsia="仿宋_GB2312"/>
          <w:color w:val="auto"/>
          <w:sz w:val="32"/>
          <w:szCs w:val="32"/>
          <w:highlight w:val="none"/>
          <w:lang w:val="en-US" w:eastAsia="zh-CN"/>
        </w:rPr>
        <w:t>死亡抚恤</w:t>
      </w:r>
      <w:r>
        <w:rPr>
          <w:rFonts w:hint="eastAsia" w:ascii="仿宋_GB2312" w:eastAsia="仿宋_GB2312"/>
          <w:color w:val="auto"/>
          <w:sz w:val="32"/>
          <w:szCs w:val="32"/>
          <w:highlight w:val="none"/>
        </w:rPr>
        <w:t xml:space="preserve">（项）: </w:t>
      </w:r>
      <w:r>
        <w:rPr>
          <w:rFonts w:hint="eastAsia" w:ascii="仿宋_GB2312" w:eastAsia="仿宋_GB2312"/>
          <w:color w:val="auto"/>
          <w:sz w:val="32"/>
          <w:szCs w:val="32"/>
          <w:highlight w:val="none"/>
          <w:lang w:val="en-US" w:eastAsia="zh-CN"/>
        </w:rPr>
        <w:t>指</w:t>
      </w:r>
      <w:r>
        <w:rPr>
          <w:rFonts w:hint="eastAsia" w:ascii="仿宋_GB2312" w:eastAsia="仿宋_GB2312"/>
          <w:color w:val="auto"/>
          <w:sz w:val="32"/>
          <w:szCs w:val="32"/>
          <w:highlight w:val="none"/>
        </w:rPr>
        <w:t>反映按规定用于烈士和牺牲、病故人员家属的一次性和定期抚恤金以及丧葬补助费。</w:t>
      </w:r>
    </w:p>
    <w:p>
      <w:pPr>
        <w:numPr>
          <w:ilvl w:val="0"/>
          <w:numId w:val="14"/>
        </w:numPr>
        <w:spacing w:line="600" w:lineRule="exact"/>
        <w:ind w:left="0" w:leftChars="0" w:firstLine="400" w:firstLineChars="0"/>
        <w:rPr>
          <w:rFonts w:hint="eastAsia"/>
        </w:rPr>
      </w:pPr>
      <w:r>
        <w:rPr>
          <w:rFonts w:hint="eastAsia" w:ascii="仿宋_GB2312" w:eastAsia="仿宋_GB2312"/>
          <w:color w:val="auto"/>
          <w:sz w:val="32"/>
          <w:szCs w:val="32"/>
          <w:highlight w:val="none"/>
        </w:rPr>
        <w:t>社会保障和就业支出（类）</w:t>
      </w:r>
      <w:r>
        <w:rPr>
          <w:rFonts w:hint="eastAsia" w:ascii="仿宋_GB2312" w:eastAsia="仿宋_GB2312"/>
          <w:color w:val="auto"/>
          <w:sz w:val="32"/>
          <w:szCs w:val="32"/>
          <w:highlight w:val="none"/>
          <w:lang w:val="en-US" w:eastAsia="zh-CN"/>
        </w:rPr>
        <w:t>其他社会保障和就业支出</w:t>
      </w:r>
      <w:r>
        <w:rPr>
          <w:rFonts w:hint="eastAsia" w:ascii="仿宋_GB2312" w:eastAsia="仿宋_GB2312"/>
          <w:color w:val="auto"/>
          <w:sz w:val="32"/>
          <w:szCs w:val="32"/>
          <w:highlight w:val="none"/>
        </w:rPr>
        <w:t>（款）</w:t>
      </w:r>
      <w:r>
        <w:rPr>
          <w:rFonts w:hint="eastAsia" w:ascii="仿宋_GB2312" w:eastAsia="仿宋_GB2312"/>
          <w:color w:val="auto"/>
          <w:sz w:val="32"/>
          <w:szCs w:val="32"/>
          <w:highlight w:val="none"/>
          <w:lang w:val="en-US" w:eastAsia="zh-CN"/>
        </w:rPr>
        <w:t>其他社会保障和就业</w:t>
      </w:r>
      <w:r>
        <w:rPr>
          <w:rFonts w:hint="eastAsia" w:ascii="仿宋_GB2312" w:eastAsia="仿宋_GB2312"/>
          <w:color w:val="auto"/>
          <w:sz w:val="32"/>
          <w:szCs w:val="32"/>
          <w:highlight w:val="none"/>
        </w:rPr>
        <w:t xml:space="preserve">支出（项）: </w:t>
      </w:r>
      <w:r>
        <w:rPr>
          <w:rFonts w:hint="eastAsia" w:ascii="仿宋_GB2312" w:eastAsia="仿宋_GB2312"/>
          <w:color w:val="auto"/>
          <w:sz w:val="32"/>
          <w:szCs w:val="32"/>
          <w:highlight w:val="none"/>
          <w:lang w:val="en-US" w:eastAsia="zh-CN"/>
        </w:rPr>
        <w:t>指反映除上述项目以外其他用于社会保障和就业方面的支出</w:t>
      </w:r>
      <w:r>
        <w:rPr>
          <w:rFonts w:hint="eastAsia" w:ascii="仿宋_GB2312" w:eastAsia="仿宋_GB2312"/>
          <w:color w:val="auto"/>
          <w:sz w:val="32"/>
          <w:szCs w:val="32"/>
          <w:highlight w:val="none"/>
        </w:rPr>
        <w:t>。</w:t>
      </w:r>
    </w:p>
    <w:p>
      <w:pPr>
        <w:numPr>
          <w:ilvl w:val="0"/>
          <w:numId w:val="14"/>
        </w:numPr>
        <w:spacing w:line="600" w:lineRule="exact"/>
        <w:ind w:left="0" w:leftChars="0" w:firstLine="400" w:firstLineChars="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卫生健康支出（类）</w:t>
      </w:r>
      <w:r>
        <w:rPr>
          <w:rFonts w:hint="eastAsia" w:ascii="仿宋_GB2312" w:eastAsia="仿宋_GB2312"/>
          <w:color w:val="auto"/>
          <w:sz w:val="32"/>
          <w:szCs w:val="32"/>
          <w:highlight w:val="none"/>
          <w:lang w:val="en-US" w:eastAsia="zh-CN"/>
        </w:rPr>
        <w:t>行政事业单位医疗</w:t>
      </w:r>
      <w:r>
        <w:rPr>
          <w:rFonts w:hint="eastAsia" w:ascii="仿宋_GB2312" w:eastAsia="仿宋_GB2312"/>
          <w:color w:val="auto"/>
          <w:sz w:val="32"/>
          <w:szCs w:val="32"/>
          <w:highlight w:val="none"/>
        </w:rPr>
        <w:t>（款）</w:t>
      </w:r>
      <w:r>
        <w:rPr>
          <w:rFonts w:hint="eastAsia" w:ascii="仿宋_GB2312" w:eastAsia="仿宋_GB2312"/>
          <w:color w:val="auto"/>
          <w:sz w:val="32"/>
          <w:szCs w:val="32"/>
          <w:highlight w:val="none"/>
          <w:lang w:val="en-US" w:eastAsia="zh-CN"/>
        </w:rPr>
        <w:t>行政单位医疗</w:t>
      </w:r>
      <w:r>
        <w:rPr>
          <w:rFonts w:hint="eastAsia" w:ascii="仿宋_GB2312" w:eastAsia="仿宋_GB2312"/>
          <w:color w:val="auto"/>
          <w:sz w:val="32"/>
          <w:szCs w:val="32"/>
          <w:highlight w:val="none"/>
        </w:rPr>
        <w:t xml:space="preserve">（项）: </w:t>
      </w:r>
      <w:r>
        <w:rPr>
          <w:rFonts w:hint="eastAsia" w:ascii="仿宋_GB2312" w:eastAsia="仿宋_GB2312"/>
          <w:color w:val="auto"/>
          <w:sz w:val="32"/>
          <w:szCs w:val="32"/>
          <w:highlight w:val="none"/>
          <w:lang w:val="en-US" w:eastAsia="zh-CN"/>
        </w:rPr>
        <w:t>指</w:t>
      </w:r>
      <w:r>
        <w:rPr>
          <w:rFonts w:hint="eastAsia" w:ascii="仿宋_GB2312" w:eastAsia="仿宋_GB2312"/>
          <w:color w:val="auto"/>
          <w:sz w:val="32"/>
          <w:szCs w:val="32"/>
          <w:highlight w:val="none"/>
        </w:rPr>
        <w:t>反映财政部门安排的行政单位</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包括实行公务员管理的事业单位，下同）</w:t>
      </w:r>
      <w:r>
        <w:rPr>
          <w:rFonts w:hint="eastAsia" w:ascii="仿宋_GB2312" w:eastAsia="仿宋_GB2312"/>
          <w:color w:val="auto"/>
          <w:sz w:val="32"/>
          <w:szCs w:val="32"/>
          <w:highlight w:val="none"/>
        </w:rPr>
        <w:t>基本医疗保险缴费经费，未参加医疗保险的行政单位的公费医疗经费，按国家规定享受离退休人员、红军老战士待遇人员的医疗经费。</w:t>
      </w:r>
    </w:p>
    <w:p>
      <w:pPr>
        <w:numPr>
          <w:ilvl w:val="0"/>
          <w:numId w:val="14"/>
        </w:numPr>
        <w:spacing w:line="600" w:lineRule="exact"/>
        <w:ind w:left="0" w:leftChars="0" w:firstLine="400" w:firstLineChars="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卫生健康支出（类）</w:t>
      </w:r>
      <w:r>
        <w:rPr>
          <w:rFonts w:hint="eastAsia" w:ascii="仿宋_GB2312" w:eastAsia="仿宋_GB2312"/>
          <w:color w:val="auto"/>
          <w:sz w:val="32"/>
          <w:szCs w:val="32"/>
          <w:highlight w:val="none"/>
          <w:lang w:val="en-US" w:eastAsia="zh-CN"/>
        </w:rPr>
        <w:t>行政事业单位医疗</w:t>
      </w:r>
      <w:r>
        <w:rPr>
          <w:rFonts w:hint="eastAsia" w:ascii="仿宋_GB2312" w:eastAsia="仿宋_GB2312"/>
          <w:color w:val="auto"/>
          <w:sz w:val="32"/>
          <w:szCs w:val="32"/>
          <w:highlight w:val="none"/>
        </w:rPr>
        <w:t>（款）</w:t>
      </w:r>
      <w:r>
        <w:rPr>
          <w:rFonts w:hint="eastAsia" w:ascii="仿宋_GB2312" w:eastAsia="仿宋_GB2312"/>
          <w:color w:val="auto"/>
          <w:sz w:val="32"/>
          <w:szCs w:val="32"/>
          <w:highlight w:val="none"/>
          <w:lang w:val="en-US" w:eastAsia="zh-CN"/>
        </w:rPr>
        <w:t>事业单位医疗</w:t>
      </w:r>
      <w:r>
        <w:rPr>
          <w:rFonts w:hint="eastAsia" w:ascii="仿宋_GB2312" w:eastAsia="仿宋_GB2312"/>
          <w:color w:val="auto"/>
          <w:sz w:val="32"/>
          <w:szCs w:val="32"/>
          <w:highlight w:val="none"/>
        </w:rPr>
        <w:t xml:space="preserve">（项）: </w:t>
      </w:r>
      <w:r>
        <w:rPr>
          <w:rFonts w:hint="eastAsia" w:ascii="仿宋_GB2312" w:eastAsia="仿宋_GB2312"/>
          <w:color w:val="auto"/>
          <w:sz w:val="32"/>
          <w:szCs w:val="32"/>
          <w:highlight w:val="none"/>
          <w:lang w:val="en-US" w:eastAsia="zh-CN"/>
        </w:rPr>
        <w:t>指</w:t>
      </w:r>
      <w:r>
        <w:rPr>
          <w:rFonts w:hint="eastAsia" w:ascii="仿宋_GB2312" w:eastAsia="仿宋_GB2312"/>
          <w:color w:val="auto"/>
          <w:sz w:val="32"/>
          <w:szCs w:val="32"/>
          <w:highlight w:val="none"/>
        </w:rPr>
        <w:t>反映财政部门安排的事业单位基本医疗保险缴费经费，未参加医疗保险的事业单位的公费医疗经费，按国家规定享受离休人员待遇的医疗经费。</w:t>
      </w:r>
    </w:p>
    <w:p>
      <w:pPr>
        <w:numPr>
          <w:ilvl w:val="0"/>
          <w:numId w:val="14"/>
        </w:numPr>
        <w:spacing w:line="600" w:lineRule="exact"/>
        <w:ind w:left="0" w:leftChars="0" w:firstLine="400" w:firstLineChars="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住房保障支出（类）住房改革支出（款）住房公积金（项）:</w:t>
      </w:r>
      <w:r>
        <w:rPr>
          <w:rFonts w:hint="eastAsia" w:ascii="仿宋_GB2312" w:eastAsia="仿宋_GB2312"/>
          <w:color w:val="auto"/>
          <w:sz w:val="32"/>
          <w:szCs w:val="32"/>
          <w:highlight w:val="none"/>
          <w:lang w:val="en-US" w:eastAsia="zh-CN"/>
        </w:rPr>
        <w:t>指</w:t>
      </w:r>
      <w:r>
        <w:rPr>
          <w:rFonts w:hint="eastAsia" w:ascii="仿宋_GB2312" w:eastAsia="仿宋_GB2312"/>
          <w:color w:val="auto"/>
          <w:sz w:val="32"/>
          <w:szCs w:val="32"/>
          <w:highlight w:val="none"/>
        </w:rPr>
        <w:t>反映行政事业单位按人力资源和社会保障部、财政部规定的基本工资和津贴补贴以及规定比例为职工缴纳的住房公积金。</w:t>
      </w:r>
    </w:p>
    <w:p>
      <w:pPr>
        <w:numPr>
          <w:ilvl w:val="0"/>
          <w:numId w:val="14"/>
        </w:numPr>
        <w:spacing w:line="600" w:lineRule="exact"/>
        <w:ind w:left="0" w:leftChars="0" w:firstLine="400" w:firstLineChars="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住房保障支出（类）住房改革支出（款）购房补贴（项）:</w:t>
      </w:r>
      <w:r>
        <w:rPr>
          <w:rFonts w:hint="eastAsia" w:ascii="仿宋_GB2312" w:eastAsia="仿宋_GB2312"/>
          <w:color w:val="auto"/>
          <w:sz w:val="32"/>
          <w:szCs w:val="32"/>
          <w:highlight w:val="none"/>
          <w:lang w:val="en-US" w:eastAsia="zh-CN"/>
        </w:rPr>
        <w:t>指反映按房改政策规定，行政事业单位向符合条件职工（含离退休人员）、军队（含武警）向转役复员离退休人员发放的用于购买住房的补贴</w:t>
      </w:r>
      <w:r>
        <w:rPr>
          <w:rFonts w:hint="eastAsia" w:ascii="仿宋_GB2312" w:eastAsia="仿宋_GB2312"/>
          <w:color w:val="auto"/>
          <w:sz w:val="32"/>
          <w:szCs w:val="32"/>
          <w:highlight w:val="none"/>
        </w:rPr>
        <w:t>。</w:t>
      </w:r>
    </w:p>
    <w:p>
      <w:pPr>
        <w:numPr>
          <w:ilvl w:val="0"/>
          <w:numId w:val="14"/>
        </w:numPr>
        <w:spacing w:line="600" w:lineRule="exact"/>
        <w:ind w:left="0" w:leftChars="0" w:firstLine="400" w:firstLineChars="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灾害防治及应急管理支出（类）自然灾害救灾及恢复重建支出（款）其他自然灾害救灾及恢复重建支出（项）:</w:t>
      </w:r>
      <w:r>
        <w:rPr>
          <w:rFonts w:hint="eastAsia" w:ascii="仿宋_GB2312" w:eastAsia="仿宋_GB2312"/>
          <w:color w:val="auto"/>
          <w:sz w:val="32"/>
          <w:szCs w:val="32"/>
          <w:highlight w:val="none"/>
          <w:lang w:val="en-US" w:eastAsia="zh-CN"/>
        </w:rPr>
        <w:t>指反映除上述项目以外其他用于</w:t>
      </w:r>
      <w:r>
        <w:rPr>
          <w:rFonts w:hint="eastAsia" w:ascii="仿宋_GB2312" w:eastAsia="仿宋_GB2312"/>
          <w:color w:val="auto"/>
          <w:sz w:val="32"/>
          <w:szCs w:val="32"/>
          <w:highlight w:val="none"/>
        </w:rPr>
        <w:t>自然灾害救灾</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灾后</w:t>
      </w:r>
      <w:r>
        <w:rPr>
          <w:rFonts w:hint="eastAsia" w:ascii="仿宋_GB2312" w:eastAsia="仿宋_GB2312"/>
          <w:color w:val="auto"/>
          <w:sz w:val="32"/>
          <w:szCs w:val="32"/>
          <w:highlight w:val="none"/>
        </w:rPr>
        <w:t>恢复重建</w:t>
      </w:r>
      <w:r>
        <w:rPr>
          <w:rFonts w:hint="eastAsia" w:ascii="仿宋_GB2312" w:eastAsia="仿宋_GB2312"/>
          <w:color w:val="auto"/>
          <w:sz w:val="32"/>
          <w:szCs w:val="32"/>
          <w:highlight w:val="none"/>
          <w:lang w:val="en-US" w:eastAsia="zh-CN"/>
        </w:rPr>
        <w:t>等方面的支出</w:t>
      </w:r>
      <w:r>
        <w:rPr>
          <w:rFonts w:hint="eastAsia" w:ascii="仿宋_GB2312" w:eastAsia="仿宋_GB2312"/>
          <w:color w:val="auto"/>
          <w:sz w:val="32"/>
          <w:szCs w:val="32"/>
          <w:highlight w:val="none"/>
        </w:rPr>
        <w:t>。</w:t>
      </w:r>
    </w:p>
    <w:p>
      <w:pPr>
        <w:numPr>
          <w:ilvl w:val="0"/>
          <w:numId w:val="14"/>
        </w:numPr>
        <w:spacing w:line="600" w:lineRule="exact"/>
        <w:ind w:left="0" w:leftChars="0" w:firstLine="400" w:firstLineChars="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其他支出（类）其他支出（款）其他支出（项）:</w:t>
      </w:r>
      <w:r>
        <w:rPr>
          <w:rFonts w:hint="eastAsia" w:ascii="仿宋_GB2312" w:eastAsia="仿宋_GB2312"/>
          <w:color w:val="auto"/>
          <w:sz w:val="32"/>
          <w:szCs w:val="32"/>
          <w:highlight w:val="none"/>
          <w:lang w:val="en-US" w:eastAsia="zh-CN"/>
        </w:rPr>
        <w:t>指反映除上述项目以外其他不能划分到具体功能科目中的支出项目</w:t>
      </w:r>
      <w:r>
        <w:rPr>
          <w:rFonts w:hint="eastAsia" w:ascii="仿宋_GB2312" w:eastAsia="仿宋_GB2312"/>
          <w:color w:val="auto"/>
          <w:sz w:val="32"/>
          <w:szCs w:val="32"/>
          <w:highlight w:val="none"/>
        </w:rPr>
        <w:t>。</w:t>
      </w:r>
    </w:p>
    <w:p>
      <w:pPr>
        <w:numPr>
          <w:ilvl w:val="0"/>
          <w:numId w:val="14"/>
        </w:numPr>
        <w:spacing w:line="600" w:lineRule="exact"/>
        <w:ind w:left="0" w:leftChars="0" w:firstLine="400" w:firstLineChars="0"/>
        <w:rPr>
          <w:rFonts w:hint="eastAsia" w:ascii="仿宋_GB2312" w:hAnsi="Times New Roman" w:eastAsia="仿宋_GB2312" w:cs="Times New Roman"/>
          <w:b w:val="0"/>
          <w:bCs w:val="0"/>
          <w:color w:val="auto"/>
          <w:kern w:val="2"/>
          <w:sz w:val="32"/>
          <w:szCs w:val="32"/>
          <w:highlight w:val="none"/>
          <w:lang w:val="en-US" w:eastAsia="zh-CN" w:bidi="ar-SA"/>
        </w:rPr>
      </w:pPr>
      <w:r>
        <w:rPr>
          <w:rFonts w:hint="eastAsia" w:ascii="仿宋_GB2312" w:hAnsi="Times New Roman" w:eastAsia="仿宋_GB2312" w:cs="Times New Roman"/>
          <w:b w:val="0"/>
          <w:bCs w:val="0"/>
          <w:color w:val="auto"/>
          <w:kern w:val="2"/>
          <w:sz w:val="32"/>
          <w:szCs w:val="32"/>
          <w:highlight w:val="none"/>
          <w:lang w:val="en-US" w:eastAsia="zh-CN" w:bidi="ar-SA"/>
        </w:rPr>
        <w:t>城乡社区支出（类）国有土地使用权出让收入安排的支出（款）征地和拆迁补偿支出（项）:指反映新疆生产建设兵团和地方政府在征地和收购土地过程中支付的土地补偿费、安置补偿费、地上附着和青苗补偿费、拆迁补偿费支出。</w:t>
      </w:r>
    </w:p>
    <w:p>
      <w:pPr>
        <w:numPr>
          <w:ilvl w:val="0"/>
          <w:numId w:val="14"/>
        </w:numPr>
        <w:spacing w:line="600" w:lineRule="exact"/>
        <w:ind w:left="0" w:leftChars="0" w:firstLine="400" w:firstLineChars="0"/>
        <w:rPr>
          <w:rFonts w:ascii="仿宋_GB2312" w:eastAsia="仿宋_GB2312"/>
          <w:color w:val="auto"/>
          <w:sz w:val="32"/>
          <w:szCs w:val="32"/>
          <w:highlight w:val="none"/>
        </w:rPr>
      </w:pPr>
      <w:r>
        <w:rPr>
          <w:rFonts w:hint="eastAsia" w:ascii="仿宋_GB2312" w:hAnsi="Times New Roman" w:eastAsia="仿宋_GB2312" w:cs="Times New Roman"/>
          <w:b w:val="0"/>
          <w:bCs w:val="0"/>
          <w:color w:val="auto"/>
          <w:kern w:val="2"/>
          <w:sz w:val="32"/>
          <w:szCs w:val="32"/>
          <w:highlight w:val="none"/>
          <w:lang w:val="en-US" w:eastAsia="zh-CN" w:bidi="ar-SA"/>
        </w:rPr>
        <w:t>城乡社区支出（类）国有土地使用权出让收入安排的支出（款） 城市建设支出（项）:指反映土地出让收入用于完善国有土地使用功能的配套设施建设和城市基础设施建设支出。</w:t>
      </w:r>
      <w:bookmarkStart w:id="153" w:name="_Toc28391"/>
    </w:p>
    <w:p>
      <w:pPr>
        <w:numPr>
          <w:ilvl w:val="0"/>
          <w:numId w:val="14"/>
        </w:numPr>
        <w:spacing w:line="600" w:lineRule="exact"/>
        <w:ind w:left="0" w:leftChars="0" w:firstLine="400" w:firstLineChars="0"/>
        <w:rPr>
          <w:rFonts w:ascii="仿宋_GB2312" w:eastAsia="仿宋_GB2312"/>
          <w:color w:val="auto"/>
          <w:sz w:val="32"/>
          <w:szCs w:val="32"/>
          <w:highlight w:val="none"/>
        </w:rPr>
      </w:pPr>
      <w:r>
        <w:rPr>
          <w:rFonts w:hint="eastAsia" w:ascii="仿宋_GB2312" w:hAnsi="Times New Roman" w:eastAsia="仿宋_GB2312" w:cs="Times New Roman"/>
          <w:b w:val="0"/>
          <w:bCs w:val="0"/>
          <w:color w:val="auto"/>
          <w:kern w:val="2"/>
          <w:sz w:val="32"/>
          <w:szCs w:val="32"/>
          <w:highlight w:val="none"/>
          <w:lang w:val="en-US" w:eastAsia="zh-CN" w:bidi="ar-SA"/>
        </w:rPr>
        <w:t>城乡社区支出（类）城市基础设施配套费安排的支出（款）城市公共设施（项）:指反映城市基础设施配套费安排用于城市道路、桥涵、公共交通、道路照明、供排水、燃气、供热等公共设施维护、建设和管理方面的支出。</w:t>
      </w:r>
      <w:bookmarkEnd w:id="153"/>
    </w:p>
    <w:p>
      <w:pPr>
        <w:pStyle w:val="4"/>
        <w:numPr>
          <w:ilvl w:val="0"/>
          <w:numId w:val="14"/>
        </w:numPr>
        <w:ind w:left="0" w:leftChars="0" w:firstLine="400" w:firstLineChars="0"/>
        <w:rPr>
          <w:rFonts w:hint="eastAsia" w:ascii="仿宋_GB2312" w:hAnsi="Times New Roman" w:eastAsia="仿宋_GB2312" w:cs="Times New Roman"/>
          <w:b w:val="0"/>
          <w:bCs w:val="0"/>
          <w:color w:val="auto"/>
          <w:kern w:val="2"/>
          <w:sz w:val="32"/>
          <w:szCs w:val="32"/>
          <w:highlight w:val="none"/>
          <w:lang w:val="en-US" w:eastAsia="zh-CN" w:bidi="ar-SA"/>
        </w:rPr>
      </w:pPr>
      <w:bookmarkStart w:id="154" w:name="_Toc31988"/>
      <w:r>
        <w:rPr>
          <w:rFonts w:hint="eastAsia" w:ascii="仿宋_GB2312" w:hAnsi="Times New Roman" w:eastAsia="仿宋_GB2312" w:cs="Times New Roman"/>
          <w:b w:val="0"/>
          <w:bCs w:val="0"/>
          <w:color w:val="auto"/>
          <w:kern w:val="2"/>
          <w:sz w:val="32"/>
          <w:szCs w:val="32"/>
          <w:highlight w:val="none"/>
          <w:lang w:val="en-US" w:eastAsia="zh-CN" w:bidi="ar-SA"/>
        </w:rPr>
        <w:t>基本支出：指为保障机构正常运转、完成日常工作任务而发生的人员支出和公用支出。</w:t>
      </w:r>
      <w:bookmarkEnd w:id="154"/>
    </w:p>
    <w:p>
      <w:pPr>
        <w:numPr>
          <w:ilvl w:val="0"/>
          <w:numId w:val="14"/>
        </w:numPr>
        <w:ind w:left="0" w:leftChars="0" w:firstLine="400" w:firstLineChars="0"/>
        <w:rPr>
          <w:rFonts w:ascii="仿宋_GB2312" w:eastAsia="仿宋_GB2312"/>
          <w:color w:val="auto"/>
          <w:sz w:val="32"/>
          <w:szCs w:val="32"/>
          <w:highlight w:val="none"/>
        </w:rPr>
      </w:pPr>
      <w:r>
        <w:rPr>
          <w:rFonts w:hint="eastAsia" w:ascii="仿宋_GB2312" w:eastAsia="仿宋_GB2312"/>
          <w:color w:val="auto"/>
          <w:sz w:val="32"/>
          <w:szCs w:val="32"/>
          <w:highlight w:val="none"/>
        </w:rPr>
        <w:t>项目支出：指在基本支出之外为完成特定行政任务和事业发展目标所发生的支出。</w:t>
      </w:r>
      <w:r>
        <w:rPr>
          <w:rFonts w:ascii="仿宋_GB2312" w:eastAsia="仿宋_GB2312"/>
          <w:color w:val="auto"/>
          <w:sz w:val="32"/>
          <w:szCs w:val="32"/>
          <w:highlight w:val="none"/>
        </w:rPr>
        <w:t xml:space="preserve"> </w:t>
      </w:r>
    </w:p>
    <w:p>
      <w:pPr>
        <w:pStyle w:val="25"/>
        <w:numPr>
          <w:ilvl w:val="0"/>
          <w:numId w:val="14"/>
        </w:numPr>
        <w:spacing w:line="560" w:lineRule="exact"/>
        <w:ind w:left="0" w:leftChars="0" w:firstLine="400" w:firstLineChars="0"/>
        <w:rPr>
          <w:rFonts w:ascii="仿宋_GB2312" w:eastAsia="仿宋_GB2312"/>
          <w:color w:val="auto"/>
          <w:sz w:val="32"/>
          <w:szCs w:val="32"/>
          <w:highlight w:val="none"/>
        </w:rPr>
      </w:pPr>
      <w:r>
        <w:rPr>
          <w:rFonts w:hint="eastAsia" w:ascii="仿宋_GB2312" w:eastAsia="仿宋_GB2312"/>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5"/>
        <w:numPr>
          <w:ilvl w:val="0"/>
          <w:numId w:val="14"/>
        </w:numPr>
        <w:spacing w:line="560" w:lineRule="exact"/>
        <w:ind w:left="0" w:leftChars="0" w:firstLine="400" w:firstLineChars="0"/>
        <w:rPr>
          <w:rFonts w:ascii="仿宋_GB2312" w:eastAsia="仿宋_GB2312"/>
          <w:color w:val="auto"/>
          <w:sz w:val="32"/>
          <w:szCs w:val="32"/>
          <w:highlight w:val="none"/>
        </w:rPr>
      </w:pP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物业管理费、公务用车运行维护费以及其他费用。</w:t>
      </w:r>
    </w:p>
    <w:p>
      <w:pPr>
        <w:spacing w:line="600" w:lineRule="exact"/>
        <w:jc w:val="center"/>
        <w:outlineLvl w:val="9"/>
        <w:rPr>
          <w:rFonts w:hint="eastAsia" w:ascii="黑体" w:hAnsi="黑体" w:eastAsia="黑体"/>
          <w:color w:val="auto"/>
          <w:sz w:val="44"/>
          <w:szCs w:val="44"/>
          <w:highlight w:val="none"/>
        </w:rPr>
      </w:pPr>
      <w:bookmarkStart w:id="155" w:name="_Toc15396614"/>
      <w:bookmarkStart w:id="156" w:name="_Toc15377226"/>
    </w:p>
    <w:p>
      <w:pPr>
        <w:spacing w:line="600" w:lineRule="exact"/>
        <w:jc w:val="center"/>
        <w:outlineLvl w:val="9"/>
        <w:rPr>
          <w:rFonts w:hint="eastAsia" w:ascii="黑体" w:hAnsi="黑体" w:eastAsia="黑体"/>
          <w:color w:val="auto"/>
          <w:sz w:val="44"/>
          <w:szCs w:val="44"/>
          <w:highlight w:val="none"/>
        </w:rPr>
      </w:pPr>
    </w:p>
    <w:p>
      <w:pPr>
        <w:spacing w:line="600" w:lineRule="exact"/>
        <w:jc w:val="center"/>
        <w:outlineLvl w:val="9"/>
        <w:rPr>
          <w:rFonts w:hint="eastAsia" w:ascii="黑体" w:hAnsi="黑体" w:eastAsia="黑体"/>
          <w:color w:val="auto"/>
          <w:sz w:val="44"/>
          <w:szCs w:val="44"/>
          <w:highlight w:val="none"/>
        </w:rPr>
      </w:pPr>
    </w:p>
    <w:p>
      <w:pPr>
        <w:pStyle w:val="6"/>
        <w:rPr>
          <w:rFonts w:hint="eastAsia" w:ascii="黑体" w:hAnsi="黑体" w:eastAsia="黑体"/>
          <w:color w:val="auto"/>
          <w:sz w:val="44"/>
          <w:szCs w:val="44"/>
          <w:highlight w:val="none"/>
        </w:rPr>
      </w:pPr>
    </w:p>
    <w:p>
      <w:pPr>
        <w:rPr>
          <w:rFonts w:hint="eastAsia" w:ascii="黑体" w:hAnsi="黑体" w:eastAsia="黑体"/>
          <w:color w:val="auto"/>
          <w:sz w:val="44"/>
          <w:szCs w:val="44"/>
          <w:highlight w:val="none"/>
        </w:rPr>
      </w:pPr>
    </w:p>
    <w:p>
      <w:pPr>
        <w:pStyle w:val="6"/>
        <w:rPr>
          <w:rFonts w:hint="eastAsia" w:ascii="黑体" w:hAnsi="黑体" w:eastAsia="黑体"/>
          <w:color w:val="auto"/>
          <w:sz w:val="44"/>
          <w:szCs w:val="44"/>
          <w:highlight w:val="none"/>
        </w:rPr>
      </w:pPr>
    </w:p>
    <w:p>
      <w:pPr>
        <w:rPr>
          <w:rFonts w:hint="eastAsia" w:ascii="黑体" w:hAnsi="黑体" w:eastAsia="黑体"/>
          <w:color w:val="auto"/>
          <w:sz w:val="44"/>
          <w:szCs w:val="44"/>
          <w:highlight w:val="none"/>
        </w:rPr>
      </w:pPr>
    </w:p>
    <w:p>
      <w:pPr>
        <w:pStyle w:val="6"/>
        <w:rPr>
          <w:rFonts w:hint="eastAsia" w:ascii="黑体" w:hAnsi="黑体" w:eastAsia="黑体"/>
          <w:color w:val="auto"/>
          <w:sz w:val="44"/>
          <w:szCs w:val="44"/>
          <w:highlight w:val="none"/>
        </w:rPr>
      </w:pPr>
    </w:p>
    <w:p>
      <w:pPr>
        <w:rPr>
          <w:rFonts w:hint="eastAsia"/>
        </w:rPr>
      </w:pPr>
    </w:p>
    <w:p>
      <w:pPr>
        <w:spacing w:line="600" w:lineRule="exact"/>
        <w:jc w:val="center"/>
        <w:outlineLvl w:val="9"/>
        <w:rPr>
          <w:rFonts w:hint="eastAsia" w:ascii="黑体" w:hAnsi="黑体" w:eastAsia="黑体"/>
          <w:color w:val="auto"/>
          <w:sz w:val="44"/>
          <w:szCs w:val="44"/>
          <w:highlight w:val="none"/>
        </w:rPr>
      </w:pPr>
    </w:p>
    <w:p>
      <w:pPr>
        <w:spacing w:line="600" w:lineRule="exact"/>
        <w:jc w:val="center"/>
        <w:outlineLvl w:val="0"/>
        <w:rPr>
          <w:rStyle w:val="27"/>
          <w:rFonts w:hint="eastAsia" w:ascii="黑体" w:hAnsi="黑体" w:eastAsia="黑体"/>
          <w:b w:val="0"/>
          <w:color w:val="auto"/>
          <w:highlight w:val="none"/>
          <w:lang w:eastAsia="zh-CN"/>
        </w:rPr>
      </w:pPr>
      <w:bookmarkStart w:id="157" w:name="_Toc24003"/>
      <w:r>
        <w:rPr>
          <w:rFonts w:hint="eastAsia" w:ascii="黑体" w:hAnsi="黑体" w:eastAsia="黑体"/>
          <w:color w:val="auto"/>
          <w:sz w:val="44"/>
          <w:szCs w:val="44"/>
          <w:highlight w:val="none"/>
        </w:rPr>
        <w:t>第</w:t>
      </w:r>
      <w:r>
        <w:rPr>
          <w:rStyle w:val="27"/>
          <w:rFonts w:hint="eastAsia" w:ascii="黑体" w:hAnsi="黑体" w:eastAsia="黑体"/>
          <w:b w:val="0"/>
          <w:color w:val="auto"/>
          <w:highlight w:val="none"/>
        </w:rPr>
        <w:t>四部分 附件</w:t>
      </w:r>
      <w:bookmarkEnd w:id="155"/>
      <w:bookmarkEnd w:id="157"/>
    </w:p>
    <w:p>
      <w:pPr>
        <w:keepNext w:val="0"/>
        <w:keepLines w:val="0"/>
        <w:pageBreakBefore w:val="0"/>
        <w:kinsoku/>
        <w:wordWrap/>
        <w:overflowPunct/>
        <w:topLinePunct w:val="0"/>
        <w:autoSpaceDE/>
        <w:autoSpaceDN/>
        <w:bidi w:val="0"/>
        <w:spacing w:line="572" w:lineRule="exact"/>
        <w:jc w:val="left"/>
        <w:textAlignment w:val="auto"/>
        <w:outlineLvl w:val="0"/>
        <w:rPr>
          <w:rFonts w:ascii="方正小标宋简体" w:hAnsi="方正小标宋简体" w:eastAsia="方正小标宋简体" w:cs="方正小标宋简体"/>
          <w:color w:val="auto"/>
          <w:sz w:val="44"/>
          <w:szCs w:val="44"/>
          <w:highlight w:val="none"/>
        </w:rPr>
      </w:pPr>
      <w:bookmarkStart w:id="158" w:name="_Toc31329"/>
      <w:r>
        <w:rPr>
          <w:rFonts w:hint="eastAsia" w:ascii="黑体" w:hAnsi="黑体" w:eastAsia="黑体" w:cs="黑体"/>
          <w:color w:val="auto"/>
          <w:sz w:val="32"/>
          <w:szCs w:val="32"/>
          <w:highlight w:val="none"/>
        </w:rPr>
        <w:t>附件</w:t>
      </w:r>
      <w:bookmarkEnd w:id="158"/>
    </w:p>
    <w:p>
      <w:pPr>
        <w:spacing w:line="700" w:lineRule="exact"/>
        <w:jc w:val="center"/>
        <w:rPr>
          <w:rFonts w:ascii="方正小标宋_GBK" w:hAnsi="方正小标宋简体" w:eastAsia="方正小标宋_GBK"/>
          <w:sz w:val="40"/>
          <w:szCs w:val="40"/>
          <w:shd w:val="clear" w:color="auto" w:fill="FFFFFF"/>
        </w:rPr>
      </w:pPr>
      <w:r>
        <w:rPr>
          <w:rFonts w:ascii="方正小标宋_GBK" w:hAnsi="黑体" w:eastAsia="方正小标宋_GBK" w:cs="方正小标宋_GBK"/>
          <w:sz w:val="40"/>
          <w:szCs w:val="40"/>
          <w:shd w:val="clear" w:color="auto" w:fill="FFFFFF"/>
        </w:rPr>
        <w:t>2021</w:t>
      </w:r>
      <w:r>
        <w:rPr>
          <w:rFonts w:hint="eastAsia" w:ascii="方正小标宋_GBK" w:hAnsi="黑体" w:eastAsia="方正小标宋_GBK" w:cs="方正小标宋_GBK"/>
          <w:sz w:val="40"/>
          <w:szCs w:val="40"/>
          <w:shd w:val="clear" w:color="auto" w:fill="FFFFFF"/>
        </w:rPr>
        <w:t>年广元市教育局整体支出绩效评价报告</w:t>
      </w:r>
    </w:p>
    <w:p>
      <w:pPr>
        <w:adjustRightInd w:val="0"/>
        <w:snapToGrid w:val="0"/>
        <w:spacing w:line="596" w:lineRule="exact"/>
        <w:ind w:firstLine="420" w:firstLineChars="200"/>
        <w:rPr>
          <w:rFonts w:ascii="仿宋_GB2312" w:hAnsi="宋体"/>
          <w:color w:val="000000"/>
          <w:kern w:val="0"/>
          <w:shd w:val="clear" w:color="auto" w:fill="FFFFFF"/>
        </w:rPr>
      </w:pPr>
    </w:p>
    <w:p>
      <w:pPr>
        <w:adjustRightInd w:val="0"/>
        <w:snapToGrid w:val="0"/>
        <w:spacing w:line="596" w:lineRule="exact"/>
        <w:ind w:firstLine="640" w:firstLineChars="200"/>
        <w:outlineLvl w:val="1"/>
        <w:rPr>
          <w:rFonts w:hint="eastAsia" w:ascii="方正楷体_GB2312" w:hAnsi="方正楷体_GB2312" w:eastAsia="方正楷体_GB2312" w:cs="方正楷体_GB2312"/>
          <w:color w:val="000000"/>
          <w:kern w:val="0"/>
          <w:sz w:val="32"/>
          <w:szCs w:val="40"/>
          <w:shd w:val="clear" w:color="auto" w:fill="FFFFFF"/>
          <w:lang w:val="zh-CN"/>
        </w:rPr>
      </w:pPr>
      <w:bookmarkStart w:id="159" w:name="_Toc6773"/>
      <w:bookmarkStart w:id="160" w:name="_Toc1944"/>
      <w:r>
        <w:rPr>
          <w:rFonts w:hint="eastAsia" w:ascii="方正楷体_GB2312" w:hAnsi="方正楷体_GB2312" w:eastAsia="方正楷体_GB2312" w:cs="方正楷体_GB2312"/>
          <w:color w:val="000000"/>
          <w:kern w:val="0"/>
          <w:sz w:val="32"/>
          <w:szCs w:val="40"/>
          <w:shd w:val="clear" w:color="auto" w:fill="FFFFFF"/>
        </w:rPr>
        <w:t>一、</w:t>
      </w:r>
      <w:r>
        <w:rPr>
          <w:rFonts w:hint="eastAsia" w:ascii="方正楷体_GB2312" w:hAnsi="方正楷体_GB2312" w:eastAsia="方正楷体_GB2312" w:cs="方正楷体_GB2312"/>
          <w:color w:val="000000"/>
          <w:kern w:val="0"/>
          <w:sz w:val="32"/>
          <w:szCs w:val="40"/>
          <w:shd w:val="clear" w:color="auto" w:fill="FFFFFF"/>
          <w:lang w:val="zh-CN"/>
        </w:rPr>
        <w:t>部门（单位）概况</w:t>
      </w:r>
      <w:bookmarkEnd w:id="159"/>
      <w:bookmarkEnd w:id="160"/>
    </w:p>
    <w:p>
      <w:pPr>
        <w:spacing w:line="596" w:lineRule="exact"/>
        <w:ind w:firstLine="640" w:firstLineChars="200"/>
        <w:rPr>
          <w:rFonts w:hint="eastAsia" w:ascii="方正楷体_GB2312" w:hAnsi="方正楷体_GB2312" w:eastAsia="方正楷体_GB2312" w:cs="方正楷体_GB2312"/>
          <w:bCs/>
          <w:color w:val="000000"/>
          <w:kern w:val="0"/>
          <w:sz w:val="32"/>
          <w:szCs w:val="40"/>
          <w:shd w:val="clear" w:color="auto" w:fill="FFFFFF"/>
          <w:lang w:val="zh-CN"/>
        </w:rPr>
      </w:pPr>
      <w:r>
        <w:rPr>
          <w:rFonts w:hint="eastAsia" w:ascii="方正楷体_GB2312" w:hAnsi="方正楷体_GB2312" w:eastAsia="方正楷体_GB2312" w:cs="方正楷体_GB2312"/>
          <w:bCs/>
          <w:color w:val="000000"/>
          <w:kern w:val="0"/>
          <w:sz w:val="32"/>
          <w:szCs w:val="40"/>
          <w:shd w:val="clear" w:color="auto" w:fill="FFFFFF"/>
          <w:lang w:val="zh-CN"/>
        </w:rPr>
        <w:t>（一）机构组成</w:t>
      </w:r>
    </w:p>
    <w:p>
      <w:pPr>
        <w:spacing w:line="596" w:lineRule="exact"/>
        <w:ind w:right="23" w:rightChars="11"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广元市教育局下属二级预算单位18个，</w:t>
      </w:r>
      <w:r>
        <w:rPr>
          <w:rFonts w:hint="eastAsia" w:ascii="方正楷体_GB2312" w:hAnsi="方正楷体_GB2312" w:eastAsia="方正楷体_GB2312" w:cs="方正楷体_GB2312"/>
          <w:color w:val="333333"/>
          <w:kern w:val="0"/>
          <w:sz w:val="32"/>
          <w:szCs w:val="40"/>
          <w:shd w:val="clear" w:color="auto" w:fill="FFFFFF"/>
        </w:rPr>
        <w:t>其中行政单位0个，参照公务员法管理的事业单位0个，</w:t>
      </w:r>
      <w:r>
        <w:rPr>
          <w:rFonts w:hint="eastAsia" w:ascii="方正楷体_GB2312" w:hAnsi="方正楷体_GB2312" w:eastAsia="方正楷体_GB2312" w:cs="方正楷体_GB2312"/>
          <w:color w:val="000000"/>
          <w:sz w:val="32"/>
          <w:szCs w:val="40"/>
        </w:rPr>
        <w:t>其他事业单位（学校）18个（市招生考试中心、市教育技术与电化教育中心、市教育科学研究所、市教师发展中心、市示范性综合实践基地管理中心、市教育服务中心、利州中等专业学校、广元职业高级中学校、广元中学、市实验中学、市821中学、市树人中学、市081中学、市利州中学、广元外国语学校、市实验小学校、市级机关幼儿园、市树人幼儿园）</w:t>
      </w:r>
    </w:p>
    <w:p>
      <w:pPr>
        <w:spacing w:line="596" w:lineRule="exact"/>
        <w:ind w:firstLine="640" w:firstLineChars="200"/>
        <w:rPr>
          <w:rFonts w:hint="eastAsia" w:ascii="方正楷体_GB2312" w:hAnsi="方正楷体_GB2312" w:eastAsia="方正楷体_GB2312" w:cs="方正楷体_GB2312"/>
          <w:bCs/>
          <w:color w:val="000000"/>
          <w:kern w:val="0"/>
          <w:sz w:val="32"/>
          <w:szCs w:val="40"/>
          <w:shd w:val="clear" w:color="auto" w:fill="FFFFFF"/>
          <w:lang w:val="zh-CN"/>
        </w:rPr>
      </w:pPr>
      <w:r>
        <w:rPr>
          <w:rFonts w:hint="eastAsia" w:ascii="方正楷体_GB2312" w:hAnsi="方正楷体_GB2312" w:eastAsia="方正楷体_GB2312" w:cs="方正楷体_GB2312"/>
          <w:bCs/>
          <w:color w:val="000000"/>
          <w:kern w:val="0"/>
          <w:sz w:val="32"/>
          <w:szCs w:val="40"/>
          <w:shd w:val="clear" w:color="auto" w:fill="FFFFFF"/>
          <w:lang w:val="zh-CN"/>
        </w:rPr>
        <w:t>（二）机构职能</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1.贯彻执行中央和省有关教育工作的方针、政策、法律和法规，研究制定全市教育发展战略，草拟教育工作的政策和规范性文件并监督执行。</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2.编制全市教育事业的发展规划和年度计划，拟定教育事业发展重点、规模、速度和步骤，指导、协调教育规划、计划的实施。</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3.综合管理全市的基础教育，指导各县（区）各部门的教育工作，负责教育督导与评估。组织和指导全市教育改革，统筹规划、协调指导教育体制和办学体制的改革，理顺教育内部和外部的关系，建立适应社会主义市场经济体制和政治体制以及科技体制需要的教育体制和运行机制。</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4.按照党中央、国务院确定的教育经费“三个增长”的原则，监测各县（区）贯彻“三个增长”的执行情况，会同有关部门制定筹措教育经费、教育拨款、教育基建投资的政策和措施。归口管理国外对我市的教育援助和贷款。</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5.组织实施各类教育民生项目的编报、项目实施工作，开展项目安全、质量、进度和审计督查。</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6.统筹指导各县（区）农村义务教育学生营养改善计划工作，组织人员培训、开展供餐模式学习考察和创新探索，加强食堂安全、资金安全督查。</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7.会同有关部门制定教育系统劳动工资及人事管理工作的有关政策和规章制度，指导学校内部管理体制改革，统筹规划并指导各级各类教师和教育行政干部队伍的建设；按照省、市有关部门的统一规定，管理学校教师职务的评聘工作；参与指导教师资格考试、资格认定和证书管理工作。</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8.归口管理全市的学历教育及考试工作，规划、指导大、中专继续教育工作、成人自学考试工作和扫除青壮年文盲工作。指导各级各类学校的思想政治工作、德育工作、体育卫生与美育工作、国防教育工作。会同有关部门改革师范类毕业生就业分配制度，组织实施师范类毕业生就业分配计划。</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9.规划并管理全市教育管理情报，统计资料及信息系统的开发和建设工作；指导教育方针政策的宣传和舆论监督工作。</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10.承担市语言文字工作委员会的日常工作。指导全市教育系统</w:t>
      </w:r>
      <w:r>
        <w:rPr>
          <w:rFonts w:hint="eastAsia" w:ascii="方正楷体_GB2312" w:hAnsi="方正楷体_GB2312" w:eastAsia="方正楷体_GB2312" w:cs="方正楷体_GB2312"/>
          <w:color w:val="000000"/>
          <w:sz w:val="32"/>
          <w:szCs w:val="40"/>
          <w:lang w:val="en-US" w:eastAsia="zh-CN"/>
        </w:rPr>
        <w:t>地</w:t>
      </w:r>
      <w:r>
        <w:rPr>
          <w:rFonts w:hint="eastAsia" w:ascii="方正楷体_GB2312" w:hAnsi="方正楷体_GB2312" w:eastAsia="方正楷体_GB2312" w:cs="方正楷体_GB2312"/>
          <w:color w:val="000000"/>
          <w:sz w:val="32"/>
          <w:szCs w:val="40"/>
        </w:rPr>
        <w:t>学会、基金会等社团组织的管理工作。</w:t>
      </w:r>
    </w:p>
    <w:p>
      <w:pPr>
        <w:pStyle w:val="6"/>
        <w:spacing w:line="596" w:lineRule="exact"/>
        <w:ind w:firstLine="640" w:firstLineChars="200"/>
        <w:rPr>
          <w:rFonts w:hint="eastAsia" w:ascii="方正楷体_GB2312" w:hAnsi="方正楷体_GB2312" w:eastAsia="方正楷体_GB2312" w:cs="方正楷体_GB2312"/>
          <w:color w:val="000000"/>
          <w:sz w:val="32"/>
          <w:szCs w:val="40"/>
          <w:lang w:val="zh-CN"/>
        </w:rPr>
      </w:pPr>
      <w:r>
        <w:rPr>
          <w:rFonts w:hint="eastAsia" w:ascii="方正楷体_GB2312" w:hAnsi="方正楷体_GB2312" w:eastAsia="方正楷体_GB2312" w:cs="方正楷体_GB2312"/>
          <w:color w:val="000000"/>
          <w:sz w:val="32"/>
          <w:szCs w:val="40"/>
        </w:rPr>
        <w:t>11.完成市委、市政府交办的其他事项。</w:t>
      </w:r>
    </w:p>
    <w:p>
      <w:pPr>
        <w:spacing w:line="596" w:lineRule="exact"/>
        <w:ind w:firstLine="640" w:firstLineChars="200"/>
        <w:rPr>
          <w:rFonts w:hint="eastAsia" w:ascii="方正楷体_GB2312" w:hAnsi="方正楷体_GB2312" w:eastAsia="方正楷体_GB2312" w:cs="方正楷体_GB2312"/>
          <w:bCs/>
          <w:color w:val="000000"/>
          <w:kern w:val="0"/>
          <w:sz w:val="32"/>
          <w:szCs w:val="40"/>
          <w:shd w:val="clear" w:color="auto" w:fill="FFFFFF"/>
          <w:lang w:val="zh-CN"/>
        </w:rPr>
      </w:pPr>
      <w:r>
        <w:rPr>
          <w:rFonts w:hint="eastAsia" w:ascii="方正楷体_GB2312" w:hAnsi="方正楷体_GB2312" w:eastAsia="方正楷体_GB2312" w:cs="方正楷体_GB2312"/>
          <w:bCs/>
          <w:color w:val="000000"/>
          <w:kern w:val="0"/>
          <w:sz w:val="32"/>
          <w:szCs w:val="40"/>
          <w:shd w:val="clear" w:color="auto" w:fill="FFFFFF"/>
          <w:lang w:val="zh-CN"/>
        </w:rPr>
        <w:t>（三）人员概况</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市教育局内设科室14个，议事协调机构1个，直属全额拨款事业单位17个，直属民办学校1所。局机关及直属事业单位2021年底实有在职职工2060人（行政人员49人，事业人员2011人），在校学生人数35664人，退休职工964人，遗属22人。</w:t>
      </w:r>
    </w:p>
    <w:p>
      <w:pPr>
        <w:pStyle w:val="6"/>
        <w:spacing w:line="596" w:lineRule="exact"/>
        <w:ind w:firstLine="640" w:firstLineChars="200"/>
        <w:rPr>
          <w:rFonts w:hint="eastAsia" w:ascii="方正楷体_GB2312" w:hAnsi="方正楷体_GB2312" w:eastAsia="方正楷体_GB2312" w:cs="方正楷体_GB2312"/>
          <w:color w:val="000000"/>
          <w:sz w:val="32"/>
          <w:szCs w:val="40"/>
          <w:lang w:val="zh-CN"/>
        </w:rPr>
      </w:pPr>
      <w:r>
        <w:rPr>
          <w:rFonts w:hint="eastAsia" w:ascii="方正楷体_GB2312" w:hAnsi="方正楷体_GB2312" w:eastAsia="方正楷体_GB2312" w:cs="方正楷体_GB2312"/>
          <w:color w:val="000000"/>
          <w:sz w:val="32"/>
          <w:szCs w:val="40"/>
        </w:rPr>
        <w:t>教育局机关下设：办公室、基础教育科（广元市语言文字工作委员会办公室）、计划财务科、人事科（退休人员管理科）、职业与成人教育科（高等教育科）、体育卫生艺术教育科、教育督导委办公室、学校后勤与产业管理科、政策法规与综合改革科（社会力量办学管理办公室）、学校德育工作科、安全稳定与信访科、督察审计科、教育工委办公室、机关党委办公室14个科室。议事协调机构为市委教育工作领导小组秘书组秘书科。</w:t>
      </w:r>
    </w:p>
    <w:p>
      <w:pPr>
        <w:adjustRightInd w:val="0"/>
        <w:snapToGrid w:val="0"/>
        <w:spacing w:line="596" w:lineRule="exact"/>
        <w:ind w:firstLine="640" w:firstLineChars="200"/>
        <w:outlineLvl w:val="1"/>
        <w:rPr>
          <w:rFonts w:hint="eastAsia" w:ascii="方正楷体_GB2312" w:hAnsi="方正楷体_GB2312" w:eastAsia="方正楷体_GB2312" w:cs="方正楷体_GB2312"/>
          <w:color w:val="000000"/>
          <w:kern w:val="0"/>
          <w:sz w:val="32"/>
          <w:szCs w:val="40"/>
          <w:shd w:val="clear" w:color="auto" w:fill="FFFFFF"/>
        </w:rPr>
      </w:pPr>
      <w:bookmarkStart w:id="161" w:name="_Toc24525"/>
      <w:bookmarkStart w:id="162" w:name="_Toc5679"/>
      <w:r>
        <w:rPr>
          <w:rFonts w:hint="eastAsia" w:ascii="方正楷体_GB2312" w:hAnsi="方正楷体_GB2312" w:eastAsia="方正楷体_GB2312" w:cs="方正楷体_GB2312"/>
          <w:color w:val="000000"/>
          <w:kern w:val="0"/>
          <w:sz w:val="32"/>
          <w:szCs w:val="40"/>
          <w:shd w:val="clear" w:color="auto" w:fill="FFFFFF"/>
        </w:rPr>
        <w:t>二、部门财政资金收支情况</w:t>
      </w:r>
      <w:bookmarkEnd w:id="161"/>
      <w:bookmarkEnd w:id="162"/>
    </w:p>
    <w:p>
      <w:pPr>
        <w:spacing w:line="596" w:lineRule="exact"/>
        <w:ind w:firstLine="640" w:firstLineChars="200"/>
        <w:rPr>
          <w:rFonts w:hint="eastAsia" w:ascii="方正楷体_GB2312" w:hAnsi="方正楷体_GB2312" w:eastAsia="方正楷体_GB2312" w:cs="方正楷体_GB2312"/>
          <w:bCs/>
          <w:color w:val="000000"/>
          <w:kern w:val="0"/>
          <w:sz w:val="32"/>
          <w:szCs w:val="40"/>
          <w:shd w:val="clear" w:color="auto" w:fill="FFFFFF"/>
          <w:lang w:val="zh-CN"/>
        </w:rPr>
      </w:pPr>
      <w:r>
        <w:rPr>
          <w:rFonts w:hint="eastAsia" w:ascii="方正楷体_GB2312" w:hAnsi="方正楷体_GB2312" w:eastAsia="方正楷体_GB2312" w:cs="方正楷体_GB2312"/>
          <w:bCs/>
          <w:color w:val="000000"/>
          <w:kern w:val="0"/>
          <w:sz w:val="32"/>
          <w:szCs w:val="40"/>
          <w:shd w:val="clear" w:color="auto" w:fill="FFFFFF"/>
          <w:lang w:val="zh-CN"/>
        </w:rPr>
        <w:t>（一）部门财政资金收入情况</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2021年部门总收入61429.04万元。其中：一般公共预算财政拨款收入43361.68万元，政府性基金预算财政拨款收入950.50万元，事业收入3716.42万元，其他收入1106.73万元，上年结转资金12293.72万元。</w:t>
      </w:r>
    </w:p>
    <w:p>
      <w:pPr>
        <w:spacing w:line="596" w:lineRule="exact"/>
        <w:ind w:firstLine="640" w:firstLineChars="200"/>
        <w:rPr>
          <w:rFonts w:hint="eastAsia" w:ascii="方正楷体_GB2312" w:hAnsi="方正楷体_GB2312" w:eastAsia="方正楷体_GB2312" w:cs="方正楷体_GB2312"/>
          <w:bCs/>
          <w:color w:val="000000"/>
          <w:kern w:val="0"/>
          <w:sz w:val="32"/>
          <w:szCs w:val="40"/>
          <w:shd w:val="clear" w:color="auto" w:fill="FFFFFF"/>
          <w:lang w:val="zh-CN"/>
        </w:rPr>
      </w:pPr>
      <w:r>
        <w:rPr>
          <w:rFonts w:hint="eastAsia" w:ascii="方正楷体_GB2312" w:hAnsi="方正楷体_GB2312" w:eastAsia="方正楷体_GB2312" w:cs="方正楷体_GB2312"/>
          <w:bCs/>
          <w:color w:val="000000"/>
          <w:kern w:val="0"/>
          <w:sz w:val="32"/>
          <w:szCs w:val="40"/>
          <w:shd w:val="clear" w:color="auto" w:fill="FFFFFF"/>
          <w:lang w:val="zh-CN"/>
        </w:rPr>
        <w:t>（二）部门财政资金支出情况</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333333"/>
          <w:sz w:val="32"/>
          <w:szCs w:val="40"/>
        </w:rPr>
        <w:t>2</w:t>
      </w:r>
      <w:r>
        <w:rPr>
          <w:rFonts w:hint="eastAsia" w:ascii="方正楷体_GB2312" w:hAnsi="方正楷体_GB2312" w:eastAsia="方正楷体_GB2312" w:cs="方正楷体_GB2312"/>
          <w:color w:val="000000"/>
          <w:sz w:val="32"/>
          <w:szCs w:val="40"/>
        </w:rPr>
        <w:t>021年部门总支出52400.88万元。其中：工资福利支出28707.96万元（基本工资9721.80万元，津贴补贴1007.33万元，奖金949.05万元，伙食补助费2.60万元，绩效工资6349.93万元，机关事业养老保险缴费2508.08万元，职业年金缴费309.04万元，职工基本医疗缴费1,323.52万元，其他社会保障缴费240.82万元，住房公积金2520.29万元，医疗费7.98万元，其他工资福利支出3767.52万元）；</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商品和服务支出10906.14万元（办公费373.96万元，印刷费253.79万元，咨询费85.33万元，手续费1.96万元，水费364.12万元，电费614.99万元，邮电费127.08万元，物业管理费398.53万元,差旅费528.11万元，因公出国〈境〉费用0元，维修〈护〉费1437.22万元，租赁费57.07万元，会议费62.81万元，培训费666.25万元，公务接待费15.67万元，专用材料费146.47万元,劳务费1402.71万元,委托业务费31.2万元，工会经费312.77万元，福利费285.53万元，公务用车运行维护费27.19万元，其他交通费358.29万元，税金及附加费用2.27万元，其他商品服务支出3352.81万元）；</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对个人及家庭补助支出4082.66万元（退休费56.62万元，抚恤金84.62万元，生活补助1372.67万元，助学金1665.25万元，奖励金456.17万元，其他对个人和家庭补助支出447.33万元）；</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资本性支出（基本建设）2753.20万元（房屋建筑物购建2562.28万元，专用设备购置143.00万元，基础设施建设22.89万元，其他基本建设支出25.03万元）；</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资本性支出5950.93万元（房屋建筑物购建1085.39万元，办公设备购置561.17万元，专用设备购置1573.06万元，基础设施建设1186.19万元，大型修缮251.45万元，信息网络及软件购置更新877.95万元，拆迁补偿342.76万元，其他资本性支出72.96万元）；</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年末结余结转9028.16万元。</w:t>
      </w:r>
    </w:p>
    <w:p>
      <w:pPr>
        <w:adjustRightInd w:val="0"/>
        <w:snapToGrid w:val="0"/>
        <w:spacing w:line="596" w:lineRule="exact"/>
        <w:ind w:firstLine="640" w:firstLineChars="200"/>
        <w:outlineLvl w:val="1"/>
        <w:rPr>
          <w:rFonts w:hint="eastAsia" w:ascii="方正楷体_GB2312" w:hAnsi="方正楷体_GB2312" w:eastAsia="方正楷体_GB2312" w:cs="方正楷体_GB2312"/>
          <w:color w:val="000000"/>
          <w:kern w:val="0"/>
          <w:sz w:val="32"/>
          <w:szCs w:val="40"/>
          <w:shd w:val="clear" w:color="auto" w:fill="FFFFFF"/>
        </w:rPr>
      </w:pPr>
      <w:bookmarkStart w:id="163" w:name="_Toc26980"/>
      <w:bookmarkStart w:id="164" w:name="_Toc27345"/>
      <w:r>
        <w:rPr>
          <w:rFonts w:hint="eastAsia" w:ascii="方正楷体_GB2312" w:hAnsi="方正楷体_GB2312" w:eastAsia="方正楷体_GB2312" w:cs="方正楷体_GB2312"/>
          <w:color w:val="000000"/>
          <w:kern w:val="0"/>
          <w:sz w:val="32"/>
          <w:szCs w:val="40"/>
          <w:shd w:val="clear" w:color="auto" w:fill="FFFFFF"/>
        </w:rPr>
        <w:t>三、部门整体预算绩效管理情况</w:t>
      </w:r>
      <w:bookmarkEnd w:id="163"/>
      <w:bookmarkEnd w:id="164"/>
    </w:p>
    <w:p>
      <w:pPr>
        <w:spacing w:line="596" w:lineRule="exact"/>
        <w:ind w:firstLine="640" w:firstLineChars="200"/>
        <w:rPr>
          <w:rFonts w:hint="eastAsia" w:ascii="方正楷体_GB2312" w:hAnsi="方正楷体_GB2312" w:eastAsia="方正楷体_GB2312" w:cs="方正楷体_GB2312"/>
          <w:bCs/>
          <w:color w:val="000000"/>
          <w:kern w:val="0"/>
          <w:sz w:val="32"/>
          <w:szCs w:val="40"/>
          <w:shd w:val="clear" w:color="auto" w:fill="FFFFFF"/>
          <w:lang w:val="zh-CN"/>
        </w:rPr>
      </w:pPr>
      <w:r>
        <w:rPr>
          <w:rFonts w:hint="eastAsia" w:ascii="方正楷体_GB2312" w:hAnsi="方正楷体_GB2312" w:eastAsia="方正楷体_GB2312" w:cs="方正楷体_GB2312"/>
          <w:bCs/>
          <w:color w:val="000000"/>
          <w:kern w:val="0"/>
          <w:sz w:val="32"/>
          <w:szCs w:val="40"/>
          <w:shd w:val="clear" w:color="auto" w:fill="FFFFFF"/>
          <w:lang w:val="zh-CN"/>
        </w:rPr>
        <w:t>（一）部门预算项目绩效管理</w:t>
      </w:r>
    </w:p>
    <w:p>
      <w:pPr>
        <w:pStyle w:val="6"/>
        <w:spacing w:line="596" w:lineRule="exact"/>
        <w:ind w:firstLine="640" w:firstLineChars="200"/>
        <w:rPr>
          <w:rFonts w:hint="eastAsia" w:ascii="方正楷体_GB2312" w:hAnsi="方正楷体_GB2312" w:eastAsia="方正楷体_GB2312" w:cs="方正楷体_GB2312"/>
          <w:color w:val="000000"/>
          <w:sz w:val="32"/>
          <w:szCs w:val="40"/>
        </w:rPr>
      </w:pPr>
      <w:r>
        <w:rPr>
          <w:rFonts w:hint="eastAsia" w:ascii="方正楷体_GB2312" w:hAnsi="方正楷体_GB2312" w:eastAsia="方正楷体_GB2312" w:cs="方正楷体_GB2312"/>
          <w:color w:val="000000"/>
          <w:sz w:val="32"/>
          <w:szCs w:val="40"/>
        </w:rPr>
        <w:t>2021年，市教育局坚持以习近平新时代中国特色社会主义思想为指引，深入贯彻党的十九大及历次全会精神和习近平总书记关于教育的重要论述，认真落实全国全省全市教育大会精神和省、市教育工作部署要求，拥护“两个确定”、增强“四个意识”、坚定“四个自信”、做到“两个维护”，围绕建设四川知名教育高地战略部署，以办人民满意教育为宗旨，全面实施教育提质工程，普惠发展学前教育、均衡发展义务教育、优质发展高中教育、多元发展职业教育、稳步发展高等教育、规范发展民办教育，各项工作取得了新成绩，圆满完成政府部门工作目标。</w:t>
      </w:r>
    </w:p>
    <w:p>
      <w:pPr>
        <w:numPr>
          <w:ilvl w:val="0"/>
          <w:numId w:val="15"/>
        </w:numPr>
        <w:spacing w:line="596" w:lineRule="exact"/>
        <w:ind w:firstLine="640" w:firstLineChars="200"/>
        <w:rPr>
          <w:rFonts w:hint="eastAsia" w:ascii="方正楷体_GB2312" w:hAnsi="方正楷体_GB2312" w:eastAsia="方正楷体_GB2312" w:cs="方正楷体_GB2312"/>
          <w:sz w:val="32"/>
          <w:szCs w:val="40"/>
        </w:rPr>
      </w:pPr>
      <w:r>
        <w:rPr>
          <w:rFonts w:hint="eastAsia" w:ascii="方正楷体_GB2312" w:hAnsi="方正楷体_GB2312" w:eastAsia="方正楷体_GB2312" w:cs="方正楷体_GB2312"/>
          <w:sz w:val="32"/>
          <w:szCs w:val="40"/>
        </w:rPr>
        <w:t>绩效目标制定。2021年部门绩效目标制定按照产出指标、效益指标、满意度指标三类一级指标，每一类一级指标细分为若干二级指标、三级指标，分别设定具体的指标值；各指标值根据预算项目尽量细化、量化，可量化的用数值描述，不可量化的以定性描述。</w:t>
      </w:r>
    </w:p>
    <w:p>
      <w:pPr>
        <w:numPr>
          <w:ilvl w:val="0"/>
          <w:numId w:val="15"/>
        </w:numPr>
        <w:spacing w:line="596" w:lineRule="exact"/>
        <w:ind w:firstLine="640" w:firstLineChars="200"/>
        <w:rPr>
          <w:rFonts w:hint="eastAsia" w:ascii="方正楷体_GB2312" w:hAnsi="方正楷体_GB2312" w:eastAsia="方正楷体_GB2312" w:cs="方正楷体_GB2312"/>
          <w:sz w:val="32"/>
          <w:szCs w:val="40"/>
        </w:rPr>
      </w:pPr>
      <w:r>
        <w:rPr>
          <w:rFonts w:hint="eastAsia" w:ascii="方正楷体_GB2312" w:hAnsi="方正楷体_GB2312" w:eastAsia="方正楷体_GB2312" w:cs="方正楷体_GB2312"/>
          <w:sz w:val="32"/>
          <w:szCs w:val="40"/>
        </w:rPr>
        <w:t>绩效运行管理。预算执行中，我局对预算执行情况和绩效目标实现程度开展的监督、控制和管理：一是对预计产出的完成进度、预计效果的实现进度以及服务对象满意度进行信息收集、汇总和分析。二是根据预算资金执行情况，包括预算资金拨付情况、实际支出情况以及预计结转结余情况，对执行率较低、绩效水平不高、管理薄弱的项目予以重点监控，对可能偏离绩效目标的项目进行原因分析，并督促预算执行单位采取纠偏措施。三是对重点政策和重大项目的具体工作任务开展、发展趋势、实施计划调整等情况进行延伸监控，保障项目实施合法合规，提高项目资金使用效益。2021年9月，我局根据《广元市财政局关于开展2021年预算绩效运行监控的通知（广财绩〔2021〕7号）要求，报送了2021年部门年初预算、追加预算项目绩效运行监控情况汇总表和各个项目绩效监控分析表，各项表格报送规范且完整。</w:t>
      </w:r>
    </w:p>
    <w:p>
      <w:pPr>
        <w:numPr>
          <w:ilvl w:val="0"/>
          <w:numId w:val="15"/>
        </w:numPr>
        <w:spacing w:line="596" w:lineRule="exact"/>
        <w:ind w:firstLine="640" w:firstLineChars="200"/>
        <w:rPr>
          <w:rFonts w:hint="eastAsia" w:ascii="方正楷体_GB2312" w:hAnsi="方正楷体_GB2312" w:eastAsia="方正楷体_GB2312" w:cs="方正楷体_GB2312"/>
          <w:sz w:val="32"/>
          <w:szCs w:val="40"/>
        </w:rPr>
      </w:pPr>
      <w:r>
        <w:rPr>
          <w:rFonts w:hint="eastAsia" w:ascii="方正楷体_GB2312" w:hAnsi="方正楷体_GB2312" w:eastAsia="方正楷体_GB2312" w:cs="方正楷体_GB2312"/>
          <w:kern w:val="0"/>
          <w:sz w:val="32"/>
          <w:szCs w:val="40"/>
          <w:shd w:val="clear" w:color="auto" w:fill="FFFFFF"/>
        </w:rPr>
        <w:t>绩效</w:t>
      </w:r>
      <w:r>
        <w:rPr>
          <w:rFonts w:hint="eastAsia" w:ascii="方正楷体_GB2312" w:hAnsi="方正楷体_GB2312" w:eastAsia="方正楷体_GB2312" w:cs="方正楷体_GB2312"/>
          <w:kern w:val="0"/>
          <w:sz w:val="32"/>
          <w:szCs w:val="40"/>
          <w:shd w:val="clear" w:color="auto" w:fill="FFFFFF"/>
          <w:lang w:val="zh-CN"/>
        </w:rPr>
        <w:t>目标实现。</w:t>
      </w:r>
      <w:r>
        <w:rPr>
          <w:rFonts w:hint="eastAsia" w:ascii="方正楷体_GB2312" w:hAnsi="方正楷体_GB2312" w:eastAsia="方正楷体_GB2312" w:cs="方正楷体_GB2312"/>
          <w:kern w:val="0"/>
          <w:sz w:val="32"/>
          <w:szCs w:val="40"/>
          <w:shd w:val="clear" w:color="auto" w:fill="FFFFFF"/>
        </w:rPr>
        <w:t>2021年，</w:t>
      </w:r>
      <w:r>
        <w:rPr>
          <w:rFonts w:hint="eastAsia" w:ascii="方正楷体_GB2312" w:hAnsi="方正楷体_GB2312" w:eastAsia="方正楷体_GB2312" w:cs="方正楷体_GB2312"/>
          <w:sz w:val="32"/>
          <w:szCs w:val="40"/>
        </w:rPr>
        <w:t>我局提升推进开展各项工作，着力推动义务教育优质均衡发展，持续提高普通高中教育质量，多元发展职业教育，稳妥推进“双规范双减”落地落实，全面加快教育强市建设。我局按政策</w:t>
      </w:r>
      <w:r>
        <w:rPr>
          <w:rFonts w:hint="eastAsia" w:ascii="方正楷体_GB2312" w:hAnsi="方正楷体_GB2312" w:eastAsia="方正楷体_GB2312" w:cs="方正楷体_GB2312"/>
          <w:kern w:val="0"/>
          <w:sz w:val="32"/>
          <w:szCs w:val="40"/>
          <w:shd w:val="clear" w:color="auto" w:fill="FFFFFF"/>
        </w:rPr>
        <w:t>保障了</w:t>
      </w:r>
      <w:r>
        <w:rPr>
          <w:rFonts w:hint="eastAsia" w:ascii="方正楷体_GB2312" w:hAnsi="方正楷体_GB2312" w:eastAsia="方正楷体_GB2312" w:cs="方正楷体_GB2312"/>
          <w:sz w:val="32"/>
          <w:szCs w:val="40"/>
        </w:rPr>
        <w:t>在职职工2060人的工资待遇，以及964名退休职工和22名遗属的生活补助。按照标准足额发放城乡义务教育补助和学生资助，减免符合要求的学前教育阶段幼儿保教费。同时，大力推进教育项目建设，各项目经费用于改扩建学校，改善办学条件，新增学位200个，缓解“入学难、大班额”等问题。深化推进产教融合、校企合作，加快推进三江职教园规划建设。完成全市“十四五”教育事业发展规划、基础教育学校布局调整规划和建设规划编制等。全年人员经费、公用经费、项目经费无超预算、无预算支出。</w:t>
      </w:r>
    </w:p>
    <w:p>
      <w:pPr>
        <w:numPr>
          <w:ilvl w:val="0"/>
          <w:numId w:val="15"/>
        </w:numPr>
        <w:spacing w:line="596" w:lineRule="exact"/>
        <w:ind w:firstLine="640" w:firstLineChars="200"/>
        <w:rPr>
          <w:rFonts w:hint="eastAsia" w:ascii="方正楷体_GB2312" w:hAnsi="方正楷体_GB2312" w:eastAsia="方正楷体_GB2312" w:cs="方正楷体_GB2312"/>
          <w:sz w:val="32"/>
          <w:szCs w:val="40"/>
        </w:rPr>
      </w:pPr>
      <w:r>
        <w:rPr>
          <w:rFonts w:hint="eastAsia" w:ascii="方正楷体_GB2312" w:hAnsi="方正楷体_GB2312" w:eastAsia="方正楷体_GB2312" w:cs="方正楷体_GB2312"/>
          <w:sz w:val="32"/>
          <w:szCs w:val="40"/>
          <w:lang w:val="zh-CN"/>
        </w:rPr>
        <w:t>预算完成情况。</w:t>
      </w:r>
      <w:r>
        <w:rPr>
          <w:rFonts w:hint="eastAsia" w:ascii="方正楷体_GB2312" w:hAnsi="方正楷体_GB2312" w:eastAsia="方正楷体_GB2312" w:cs="方正楷体_GB2312"/>
          <w:sz w:val="32"/>
          <w:szCs w:val="40"/>
        </w:rPr>
        <w:t>根据市财政局要求时效编制和报送2021年预决算。预算编制基础信息和科目使用准确、完整。预决算批复后，二十日内向社会公开本部门预决算（含“三公”经费、机关运行费等）。全年预算执行中无违规使用、挪用资金、超预算支出等情况。</w:t>
      </w:r>
    </w:p>
    <w:p>
      <w:pPr>
        <w:numPr>
          <w:ilvl w:val="0"/>
          <w:numId w:val="15"/>
        </w:numPr>
        <w:spacing w:line="596" w:lineRule="exact"/>
        <w:ind w:firstLine="640" w:firstLineChars="200"/>
        <w:rPr>
          <w:rFonts w:hint="eastAsia" w:ascii="方正楷体_GB2312" w:hAnsi="方正楷体_GB2312" w:eastAsia="方正楷体_GB2312" w:cs="方正楷体_GB2312"/>
          <w:sz w:val="32"/>
          <w:szCs w:val="40"/>
        </w:rPr>
      </w:pPr>
      <w:r>
        <w:rPr>
          <w:rFonts w:hint="eastAsia" w:ascii="方正楷体_GB2312" w:hAnsi="方正楷体_GB2312" w:eastAsia="方正楷体_GB2312" w:cs="方正楷体_GB2312"/>
          <w:sz w:val="32"/>
          <w:szCs w:val="40"/>
        </w:rPr>
        <w:t>结余结转情况。2021年年末我局结余结转资金大多为项目资金，已结转至2022年使用。因项目建设时间跨度较大，加之学校为疫情防控的重点场所，项目推进及验收滞后，项目经费指标下达时间晚，导致部分项目资金结余结转至下年。2022年我局加大力度推进，倒排工期，抢抓进度，根据项目推进情况按约支付，部分结余结转资金已完成拨付。2021年我局无</w:t>
      </w:r>
      <w:r>
        <w:rPr>
          <w:rFonts w:hint="eastAsia" w:ascii="方正楷体_GB2312" w:hAnsi="方正楷体_GB2312" w:eastAsia="方正楷体_GB2312" w:cs="方正楷体_GB2312"/>
          <w:sz w:val="32"/>
          <w:szCs w:val="40"/>
          <w:lang w:val="zh-CN"/>
        </w:rPr>
        <w:t>低效、无效率</w:t>
      </w:r>
      <w:r>
        <w:rPr>
          <w:rFonts w:hint="eastAsia" w:ascii="方正楷体_GB2312" w:hAnsi="方正楷体_GB2312" w:eastAsia="方正楷体_GB2312" w:cs="方正楷体_GB2312"/>
          <w:sz w:val="32"/>
          <w:szCs w:val="40"/>
        </w:rPr>
        <w:t>结余结转资金和</w:t>
      </w:r>
      <w:r>
        <w:rPr>
          <w:rFonts w:hint="eastAsia" w:ascii="方正楷体_GB2312" w:hAnsi="方正楷体_GB2312" w:eastAsia="方正楷体_GB2312" w:cs="方正楷体_GB2312"/>
          <w:sz w:val="32"/>
          <w:szCs w:val="40"/>
          <w:lang w:val="zh-CN"/>
        </w:rPr>
        <w:t>违规记录等情况。</w:t>
      </w:r>
    </w:p>
    <w:p>
      <w:pPr>
        <w:spacing w:line="596" w:lineRule="exact"/>
        <w:ind w:firstLine="640" w:firstLineChars="200"/>
        <w:rPr>
          <w:rFonts w:hint="eastAsia" w:ascii="方正楷体_GB2312" w:hAnsi="方正楷体_GB2312" w:eastAsia="方正楷体_GB2312" w:cs="方正楷体_GB2312"/>
          <w:bCs/>
          <w:color w:val="000000"/>
          <w:kern w:val="0"/>
          <w:sz w:val="32"/>
          <w:szCs w:val="40"/>
          <w:shd w:val="clear" w:color="auto" w:fill="FFFFFF"/>
          <w:lang w:val="zh-CN"/>
        </w:rPr>
      </w:pPr>
      <w:r>
        <w:rPr>
          <w:rFonts w:hint="eastAsia" w:ascii="方正楷体_GB2312" w:hAnsi="方正楷体_GB2312" w:eastAsia="方正楷体_GB2312" w:cs="方正楷体_GB2312"/>
          <w:bCs/>
          <w:color w:val="000000"/>
          <w:kern w:val="0"/>
          <w:sz w:val="32"/>
          <w:szCs w:val="40"/>
          <w:shd w:val="clear" w:color="auto" w:fill="FFFFFF"/>
          <w:lang w:val="zh-CN"/>
        </w:rPr>
        <w:t>（二）结果应用情况</w:t>
      </w:r>
    </w:p>
    <w:p>
      <w:pPr>
        <w:spacing w:line="596" w:lineRule="exact"/>
        <w:ind w:firstLine="640" w:firstLineChars="200"/>
        <w:rPr>
          <w:rFonts w:hint="eastAsia" w:ascii="方正楷体_GB2312" w:hAnsi="方正楷体_GB2312" w:eastAsia="方正楷体_GB2312" w:cs="方正楷体_GB2312"/>
          <w:sz w:val="32"/>
          <w:szCs w:val="40"/>
        </w:rPr>
      </w:pPr>
      <w:r>
        <w:rPr>
          <w:rFonts w:hint="eastAsia" w:ascii="方正楷体_GB2312" w:hAnsi="方正楷体_GB2312" w:eastAsia="方正楷体_GB2312" w:cs="方正楷体_GB2312"/>
          <w:sz w:val="32"/>
          <w:szCs w:val="40"/>
        </w:rPr>
        <w:t>2021年市财政局委托第三方机构对我局部门整体支出执行情况及效果开展绩效评价，评价结果等级为优，得分为92.36。2022年1月我局根据市财政局《关于开展2021年度全市预算绩效管理工作考核的通知》（广财绩〔2022〕2号）要求开展了2021年绩效预算管理工作自查自评，并根据绩效评价结果及反馈意见中所涉及的问题和建议进行整改，整改报告及时报送市财政局。</w:t>
      </w:r>
    </w:p>
    <w:p>
      <w:pPr>
        <w:spacing w:line="596" w:lineRule="exact"/>
        <w:ind w:firstLine="640" w:firstLineChars="200"/>
        <w:rPr>
          <w:rFonts w:hint="eastAsia" w:ascii="方正楷体_GB2312" w:hAnsi="方正楷体_GB2312" w:eastAsia="方正楷体_GB2312" w:cs="方正楷体_GB2312"/>
          <w:sz w:val="32"/>
          <w:szCs w:val="40"/>
        </w:rPr>
      </w:pPr>
      <w:r>
        <w:rPr>
          <w:rFonts w:hint="eastAsia" w:ascii="方正楷体_GB2312" w:hAnsi="方正楷体_GB2312" w:eastAsia="方正楷体_GB2312" w:cs="方正楷体_GB2312"/>
          <w:sz w:val="32"/>
          <w:szCs w:val="40"/>
        </w:rPr>
        <w:t>我局重视强化结果运用，推动工作落实，提高绩效实效。一是优化预算编制质量，确保财政资金效益。2022年预算编制中，严格按预算编制科目划分及部门年度履职工作计划，编制具体、客观、科学且符合实际的部门年度预算，同时对财政预算资金的流向和流量形成动态监控，减少年底结余资金。二是强化部门整体绩效目标管理。从投入、过程、产出及效益四方面，要求预算执行单位将绩效目标细化为具体的、可实现的、可衡量且可量化的绩效指标，并按照“谁支出，谁负责”的原则，开展预算绩效日常监控，拓宽绩效监控覆盖面。发现项目偏离绩效目标，及时采取纠偏措施。同时，加强绩效监控结果应用，将绩效监控结果作为以后年度预算安排和政策制定的参考。三是加快预算执行进度。压紧压实财政资金使用主体责任，强化责任约束，做好内部提醒敦促，督促各类资金执行进度，全方位着力提高财政资金使用效益。</w:t>
      </w:r>
    </w:p>
    <w:p>
      <w:pPr>
        <w:spacing w:line="596" w:lineRule="exact"/>
        <w:ind w:firstLine="640" w:firstLineChars="200"/>
        <w:rPr>
          <w:rFonts w:hint="eastAsia" w:ascii="方正楷体_GB2312" w:hAnsi="方正楷体_GB2312" w:eastAsia="方正楷体_GB2312" w:cs="方正楷体_GB2312"/>
          <w:bCs/>
          <w:color w:val="000000"/>
          <w:kern w:val="0"/>
          <w:sz w:val="32"/>
          <w:szCs w:val="40"/>
          <w:shd w:val="clear" w:color="auto" w:fill="FFFFFF"/>
          <w:lang w:val="zh-CN"/>
        </w:rPr>
      </w:pPr>
      <w:r>
        <w:rPr>
          <w:rFonts w:hint="eastAsia" w:ascii="方正楷体_GB2312" w:hAnsi="方正楷体_GB2312" w:eastAsia="方正楷体_GB2312" w:cs="方正楷体_GB2312"/>
          <w:bCs/>
          <w:color w:val="000000"/>
          <w:kern w:val="0"/>
          <w:sz w:val="32"/>
          <w:szCs w:val="40"/>
          <w:shd w:val="clear" w:color="auto" w:fill="FFFFFF"/>
          <w:lang w:val="zh-CN"/>
        </w:rPr>
        <w:t>（三）自评质量</w:t>
      </w:r>
    </w:p>
    <w:p>
      <w:pPr>
        <w:spacing w:line="596" w:lineRule="exact"/>
        <w:ind w:firstLine="640" w:firstLineChars="200"/>
        <w:rPr>
          <w:rFonts w:hint="eastAsia" w:ascii="方正楷体_GB2312" w:hAnsi="方正楷体_GB2312" w:eastAsia="方正楷体_GB2312" w:cs="方正楷体_GB2312"/>
          <w:sz w:val="32"/>
          <w:szCs w:val="40"/>
        </w:rPr>
      </w:pPr>
      <w:r>
        <w:rPr>
          <w:rFonts w:hint="eastAsia" w:ascii="方正楷体_GB2312" w:hAnsi="方正楷体_GB2312" w:eastAsia="方正楷体_GB2312" w:cs="方正楷体_GB2312"/>
          <w:sz w:val="32"/>
          <w:szCs w:val="40"/>
        </w:rPr>
        <w:t>严格按照《2022年市级部门整体支出绩效评价指标体系》从目标制定、问题整改、目标完成情况等进行自评，自评得分91.25分，自评覆盖面广，自评质量较好。</w:t>
      </w:r>
    </w:p>
    <w:p>
      <w:pPr>
        <w:adjustRightInd w:val="0"/>
        <w:snapToGrid w:val="0"/>
        <w:spacing w:line="596" w:lineRule="exact"/>
        <w:ind w:firstLine="640" w:firstLineChars="200"/>
        <w:outlineLvl w:val="1"/>
        <w:rPr>
          <w:rFonts w:hint="eastAsia" w:ascii="方正楷体_GB2312" w:hAnsi="方正楷体_GB2312" w:eastAsia="方正楷体_GB2312" w:cs="方正楷体_GB2312"/>
          <w:color w:val="000000"/>
          <w:kern w:val="0"/>
          <w:sz w:val="32"/>
          <w:szCs w:val="40"/>
          <w:shd w:val="clear" w:color="auto" w:fill="FFFFFF"/>
        </w:rPr>
      </w:pPr>
      <w:bookmarkStart w:id="165" w:name="_Toc19"/>
      <w:bookmarkStart w:id="166" w:name="_Toc19912"/>
      <w:r>
        <w:rPr>
          <w:rFonts w:hint="eastAsia" w:ascii="方正楷体_GB2312" w:hAnsi="方正楷体_GB2312" w:eastAsia="方正楷体_GB2312" w:cs="方正楷体_GB2312"/>
          <w:color w:val="000000"/>
          <w:kern w:val="0"/>
          <w:sz w:val="32"/>
          <w:szCs w:val="40"/>
          <w:shd w:val="clear" w:color="auto" w:fill="FFFFFF"/>
        </w:rPr>
        <w:t>四、评价结论及建议</w:t>
      </w:r>
      <w:bookmarkEnd w:id="165"/>
      <w:bookmarkEnd w:id="166"/>
    </w:p>
    <w:p>
      <w:pPr>
        <w:spacing w:line="596" w:lineRule="exact"/>
        <w:ind w:firstLine="640" w:firstLineChars="200"/>
        <w:rPr>
          <w:rFonts w:hint="eastAsia" w:ascii="方正楷体_GB2312" w:hAnsi="方正楷体_GB2312" w:eastAsia="方正楷体_GB2312" w:cs="方正楷体_GB2312"/>
          <w:bCs/>
          <w:color w:val="000000"/>
          <w:kern w:val="0"/>
          <w:sz w:val="32"/>
          <w:szCs w:val="40"/>
          <w:shd w:val="clear" w:color="auto" w:fill="FFFFFF"/>
          <w:lang w:val="zh-CN"/>
        </w:rPr>
      </w:pPr>
      <w:r>
        <w:rPr>
          <w:rFonts w:hint="eastAsia" w:ascii="方正楷体_GB2312" w:hAnsi="方正楷体_GB2312" w:eastAsia="方正楷体_GB2312" w:cs="方正楷体_GB2312"/>
          <w:bCs/>
          <w:color w:val="000000"/>
          <w:kern w:val="0"/>
          <w:sz w:val="32"/>
          <w:szCs w:val="40"/>
          <w:shd w:val="clear" w:color="auto" w:fill="FFFFFF"/>
          <w:lang w:val="zh-CN"/>
        </w:rPr>
        <w:t>（一）评价结论</w:t>
      </w:r>
    </w:p>
    <w:p>
      <w:pPr>
        <w:spacing w:line="596" w:lineRule="exact"/>
        <w:ind w:firstLine="640" w:firstLineChars="200"/>
        <w:rPr>
          <w:rFonts w:hint="eastAsia" w:ascii="方正楷体_GB2312" w:hAnsi="方正楷体_GB2312" w:eastAsia="方正楷体_GB2312" w:cs="方正楷体_GB2312"/>
          <w:sz w:val="32"/>
          <w:szCs w:val="40"/>
          <w:lang w:val="zh-CN"/>
        </w:rPr>
      </w:pPr>
      <w:r>
        <w:rPr>
          <w:rFonts w:hint="eastAsia" w:ascii="方正楷体_GB2312" w:hAnsi="方正楷体_GB2312" w:eastAsia="方正楷体_GB2312" w:cs="方正楷体_GB2312"/>
          <w:sz w:val="32"/>
          <w:szCs w:val="40"/>
        </w:rPr>
        <w:t>我局按时编制、报送和公开预决算，基础信息和科目使用准确、完整，并按绩效管理要求进行了年度绩效目标申报、绩效监控、绩效评价。一是部门整体绩效目标和项目绩效目标编制明确、细化、量化；二是分析运行监控信息，及时采取纠偏措施；三是按时向财政归口科室报送绩效自评表以及自评报告；四是根据2021年评价反馈问题进行整改，将反馈问题作为以后年度绩效工作的风险防控点，强化部门绩效管理工作。</w:t>
      </w:r>
    </w:p>
    <w:p>
      <w:pPr>
        <w:spacing w:line="596" w:lineRule="exact"/>
        <w:ind w:firstLine="640" w:firstLineChars="200"/>
        <w:rPr>
          <w:rFonts w:hint="eastAsia" w:ascii="方正楷体_GB2312" w:hAnsi="方正楷体_GB2312" w:eastAsia="方正楷体_GB2312" w:cs="方正楷体_GB2312"/>
          <w:bCs/>
          <w:color w:val="000000"/>
          <w:kern w:val="0"/>
          <w:sz w:val="32"/>
          <w:szCs w:val="40"/>
          <w:shd w:val="clear" w:color="auto" w:fill="FFFFFF"/>
          <w:lang w:val="zh-CN"/>
        </w:rPr>
      </w:pPr>
      <w:r>
        <w:rPr>
          <w:rFonts w:hint="eastAsia" w:ascii="方正楷体_GB2312" w:hAnsi="方正楷体_GB2312" w:eastAsia="方正楷体_GB2312" w:cs="方正楷体_GB2312"/>
          <w:bCs/>
          <w:color w:val="000000"/>
          <w:kern w:val="0"/>
          <w:sz w:val="32"/>
          <w:szCs w:val="40"/>
          <w:shd w:val="clear" w:color="auto" w:fill="FFFFFF"/>
          <w:lang w:val="zh-CN"/>
        </w:rPr>
        <w:t>（二）存在问题</w:t>
      </w:r>
    </w:p>
    <w:p>
      <w:pPr>
        <w:numPr>
          <w:ilvl w:val="0"/>
          <w:numId w:val="16"/>
        </w:numPr>
        <w:spacing w:line="596" w:lineRule="exact"/>
        <w:ind w:firstLine="640" w:firstLineChars="200"/>
        <w:rPr>
          <w:rFonts w:hint="eastAsia" w:ascii="方正楷体_GB2312" w:hAnsi="方正楷体_GB2312" w:eastAsia="方正楷体_GB2312" w:cs="方正楷体_GB2312"/>
          <w:kern w:val="0"/>
          <w:sz w:val="32"/>
          <w:szCs w:val="40"/>
        </w:rPr>
      </w:pPr>
      <w:r>
        <w:rPr>
          <w:rFonts w:hint="eastAsia" w:ascii="方正楷体_GB2312" w:hAnsi="方正楷体_GB2312" w:eastAsia="方正楷体_GB2312" w:cs="方正楷体_GB2312"/>
          <w:sz w:val="32"/>
          <w:szCs w:val="40"/>
        </w:rPr>
        <w:t>项目预算执行进度较慢，结余结转资金额度较大。</w:t>
      </w:r>
    </w:p>
    <w:p>
      <w:pPr>
        <w:numPr>
          <w:ilvl w:val="0"/>
          <w:numId w:val="16"/>
        </w:numPr>
        <w:spacing w:line="596" w:lineRule="exact"/>
        <w:ind w:firstLine="640" w:firstLineChars="200"/>
        <w:rPr>
          <w:rFonts w:hint="eastAsia" w:ascii="方正楷体_GB2312" w:hAnsi="方正楷体_GB2312" w:eastAsia="方正楷体_GB2312" w:cs="方正楷体_GB2312"/>
          <w:sz w:val="32"/>
          <w:szCs w:val="40"/>
        </w:rPr>
      </w:pPr>
      <w:r>
        <w:rPr>
          <w:rFonts w:hint="eastAsia" w:ascii="方正楷体_GB2312" w:hAnsi="方正楷体_GB2312" w:eastAsia="方正楷体_GB2312" w:cs="方正楷体_GB2312"/>
          <w:kern w:val="0"/>
          <w:sz w:val="32"/>
          <w:szCs w:val="40"/>
        </w:rPr>
        <w:t>部分绩效目标指标编制不够科学、细化、合理。</w:t>
      </w:r>
    </w:p>
    <w:p>
      <w:pPr>
        <w:spacing w:line="596" w:lineRule="exact"/>
        <w:ind w:firstLine="640" w:firstLineChars="200"/>
        <w:rPr>
          <w:rFonts w:hint="eastAsia" w:ascii="方正楷体_GB2312" w:hAnsi="方正楷体_GB2312" w:eastAsia="方正楷体_GB2312" w:cs="方正楷体_GB2312"/>
          <w:bCs/>
          <w:color w:val="000000"/>
          <w:kern w:val="0"/>
          <w:sz w:val="32"/>
          <w:szCs w:val="40"/>
          <w:shd w:val="clear" w:color="auto" w:fill="FFFFFF"/>
          <w:lang w:val="zh-CN"/>
        </w:rPr>
      </w:pPr>
      <w:r>
        <w:rPr>
          <w:rFonts w:hint="eastAsia" w:ascii="方正楷体_GB2312" w:hAnsi="方正楷体_GB2312" w:eastAsia="方正楷体_GB2312" w:cs="方正楷体_GB2312"/>
          <w:bCs/>
          <w:color w:val="000000"/>
          <w:kern w:val="0"/>
          <w:sz w:val="32"/>
          <w:szCs w:val="40"/>
          <w:shd w:val="clear" w:color="auto" w:fill="FFFFFF"/>
          <w:lang w:val="zh-CN"/>
        </w:rPr>
        <w:t>（三）改进建议</w:t>
      </w:r>
    </w:p>
    <w:p>
      <w:pPr>
        <w:numPr>
          <w:ilvl w:val="0"/>
          <w:numId w:val="17"/>
        </w:numPr>
        <w:adjustRightInd w:val="0"/>
        <w:snapToGrid w:val="0"/>
        <w:spacing w:line="596" w:lineRule="exact"/>
        <w:ind w:firstLine="640" w:firstLineChars="200"/>
        <w:rPr>
          <w:rFonts w:hint="eastAsia" w:ascii="方正楷体_GB2312" w:hAnsi="方正楷体_GB2312" w:eastAsia="方正楷体_GB2312" w:cs="方正楷体_GB2312"/>
          <w:sz w:val="32"/>
          <w:szCs w:val="40"/>
        </w:rPr>
      </w:pPr>
      <w:r>
        <w:rPr>
          <w:rFonts w:hint="eastAsia" w:ascii="方正楷体_GB2312" w:hAnsi="方正楷体_GB2312" w:eastAsia="方正楷体_GB2312" w:cs="方正楷体_GB2312"/>
          <w:kern w:val="0"/>
          <w:sz w:val="32"/>
          <w:szCs w:val="40"/>
        </w:rPr>
        <w:t>提升绩效能力，增强绩效意识。加强学习绩效指标体系，科学合理编制绩效目标，细化、量化指标值，提高绩效目标编制质量。</w:t>
      </w:r>
    </w:p>
    <w:p>
      <w:pPr>
        <w:numPr>
          <w:ilvl w:val="0"/>
          <w:numId w:val="17"/>
        </w:numPr>
        <w:adjustRightInd w:val="0"/>
        <w:snapToGrid w:val="0"/>
        <w:spacing w:line="596" w:lineRule="exact"/>
        <w:ind w:firstLine="640" w:firstLineChars="200"/>
        <w:rPr>
          <w:rFonts w:hint="eastAsia" w:ascii="方正楷体_GB2312" w:hAnsi="方正楷体_GB2312" w:eastAsia="方正楷体_GB2312" w:cs="方正楷体_GB2312"/>
          <w:sz w:val="32"/>
          <w:szCs w:val="40"/>
        </w:rPr>
      </w:pPr>
      <w:r>
        <w:rPr>
          <w:rFonts w:hint="eastAsia" w:ascii="方正楷体_GB2312" w:hAnsi="方正楷体_GB2312" w:eastAsia="方正楷体_GB2312" w:cs="方正楷体_GB2312"/>
          <w:sz w:val="32"/>
          <w:szCs w:val="40"/>
        </w:rPr>
        <w:t>提高预算执行率。加强编报用款计划的准确率，不断细化和量化各项支出，督促提醒执行进度慢的预算执行单位。加强业务部门和财务部门的沟通，相互协调，建立“部门联动”机制，进一步加快预算资金执行度。</w:t>
      </w:r>
    </w:p>
    <w:p>
      <w:pPr>
        <w:numPr>
          <w:ilvl w:val="0"/>
          <w:numId w:val="17"/>
        </w:numPr>
        <w:adjustRightInd w:val="0"/>
        <w:snapToGrid w:val="0"/>
        <w:spacing w:line="596" w:lineRule="exact"/>
        <w:ind w:firstLine="640" w:firstLineChars="200"/>
        <w:rPr>
          <w:rFonts w:hint="eastAsia" w:ascii="方正楷体_GB2312" w:hAnsi="方正楷体_GB2312" w:eastAsia="方正楷体_GB2312" w:cs="方正楷体_GB2312"/>
          <w:sz w:val="32"/>
          <w:szCs w:val="40"/>
        </w:rPr>
      </w:pPr>
      <w:r>
        <w:rPr>
          <w:rFonts w:hint="eastAsia" w:ascii="方正楷体_GB2312" w:hAnsi="方正楷体_GB2312" w:eastAsia="方正楷体_GB2312" w:cs="方正楷体_GB2312"/>
          <w:sz w:val="32"/>
          <w:szCs w:val="40"/>
        </w:rPr>
        <w:t>提高财政资金拨付效率。建议市财政每年根据预算资金在年初拨付部分项目资金，下半年再拨付到位剩余预算资金，以确保项目按照计划有序组织实施，保障教育工作有序开展，发挥项目资金使用效益。</w:t>
      </w:r>
    </w:p>
    <w:p>
      <w:pPr>
        <w:pStyle w:val="2"/>
        <w:rPr>
          <w:rFonts w:hint="eastAsia" w:hAnsi="宋体" w:cs="宋体"/>
          <w:color w:val="auto"/>
          <w:kern w:val="0"/>
          <w:sz w:val="32"/>
          <w:szCs w:val="32"/>
          <w:highlight w:val="none"/>
          <w:shd w:val="clear" w:color="auto" w:fill="FFFFFF"/>
          <w:lang w:val="zh-CN"/>
        </w:rPr>
      </w:pPr>
    </w:p>
    <w:p>
      <w:pPr>
        <w:pStyle w:val="2"/>
        <w:rPr>
          <w:rFonts w:hint="eastAsia" w:hAnsi="宋体" w:cs="宋体"/>
          <w:color w:val="auto"/>
          <w:kern w:val="0"/>
          <w:sz w:val="32"/>
          <w:szCs w:val="32"/>
          <w:highlight w:val="none"/>
          <w:shd w:val="clear" w:color="auto" w:fill="FFFFFF"/>
          <w:lang w:val="zh-CN"/>
        </w:rPr>
      </w:pPr>
    </w:p>
    <w:p>
      <w:pPr>
        <w:pStyle w:val="2"/>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t>附件</w:t>
      </w:r>
    </w:p>
    <w:p>
      <w:pPr>
        <w:pStyle w:val="3"/>
        <w:keepNext/>
        <w:keepLines/>
        <w:pageBreakBefore w:val="0"/>
        <w:widowControl w:val="0"/>
        <w:kinsoku/>
        <w:wordWrap/>
        <w:overflowPunct/>
        <w:topLinePunct w:val="0"/>
        <w:autoSpaceDE/>
        <w:autoSpaceDN/>
        <w:bidi w:val="0"/>
        <w:adjustRightInd/>
        <w:snapToGrid/>
        <w:spacing w:after="160" w:line="240" w:lineRule="auto"/>
        <w:jc w:val="center"/>
        <w:textAlignment w:val="auto"/>
        <w:rPr>
          <w:rFonts w:hint="eastAsia"/>
          <w:sz w:val="40"/>
          <w:szCs w:val="40"/>
        </w:rPr>
      </w:pPr>
      <w:bookmarkStart w:id="167" w:name="_Toc13765"/>
      <w:r>
        <w:rPr>
          <w:rFonts w:hint="eastAsia"/>
          <w:sz w:val="40"/>
          <w:szCs w:val="40"/>
        </w:rPr>
        <w:t>202</w:t>
      </w:r>
      <w:r>
        <w:rPr>
          <w:rFonts w:hint="eastAsia"/>
          <w:sz w:val="40"/>
          <w:szCs w:val="40"/>
          <w:lang w:val="en-US" w:eastAsia="zh-CN"/>
        </w:rPr>
        <w:t>1</w:t>
      </w:r>
      <w:r>
        <w:rPr>
          <w:rFonts w:hint="eastAsia"/>
          <w:sz w:val="40"/>
          <w:szCs w:val="40"/>
        </w:rPr>
        <w:t>年度</w:t>
      </w:r>
      <w:r>
        <w:rPr>
          <w:rFonts w:hint="eastAsia"/>
          <w:sz w:val="40"/>
          <w:szCs w:val="40"/>
          <w:lang w:val="en-US" w:eastAsia="zh-CN"/>
        </w:rPr>
        <w:t>专项预算项目</w:t>
      </w:r>
      <w:r>
        <w:rPr>
          <w:rFonts w:hint="eastAsia"/>
          <w:sz w:val="40"/>
          <w:szCs w:val="40"/>
        </w:rPr>
        <w:t>支出绩效自评报告</w:t>
      </w:r>
      <w:bookmarkEnd w:id="167"/>
    </w:p>
    <w:p>
      <w:pPr>
        <w:widowControl/>
        <w:spacing w:line="600" w:lineRule="exact"/>
        <w:ind w:firstLine="640" w:firstLineChars="200"/>
        <w:jc w:val="center"/>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（全市教学质量监测评估项目）</w:t>
      </w:r>
    </w:p>
    <w:p>
      <w:pPr>
        <w:adjustRightInd w:val="0"/>
        <w:snapToGrid w:val="0"/>
        <w:spacing w:line="600" w:lineRule="exact"/>
        <w:ind w:firstLine="640" w:firstLineChars="200"/>
        <w:rPr>
          <w:rFonts w:hint="eastAsia" w:ascii="仿宋_GB2312" w:hAnsi="方正小标宋简体" w:eastAsia="仿宋_GB2312" w:cs="方正小标宋简体"/>
          <w:sz w:val="32"/>
          <w:szCs w:val="32"/>
        </w:rPr>
      </w:pPr>
    </w:p>
    <w:p>
      <w:pPr>
        <w:adjustRightInd w:val="0"/>
        <w:snapToGrid w:val="0"/>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一、项目概况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（一）项目基本情况。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仿宋_GB2312" w:hAnsi="宋体" w:eastAsia="仿宋_GB2312" w:cs="Times New Roman"/>
          <w:color w:val="auto"/>
          <w:sz w:val="32"/>
          <w:szCs w:val="32"/>
          <w:highlight w:val="none"/>
          <w:lang w:val="zh-CN" w:eastAsia="zh-CN"/>
        </w:rPr>
      </w:pPr>
      <w:r>
        <w:rPr>
          <w:rFonts w:hint="eastAsia" w:ascii="仿宋_GB2312" w:hAnsi="宋体" w:eastAsia="仿宋_GB2312" w:cs="Times New Roman"/>
          <w:color w:val="auto"/>
          <w:sz w:val="32"/>
          <w:szCs w:val="32"/>
          <w:highlight w:val="none"/>
          <w:lang w:val="zh-CN"/>
        </w:rPr>
        <w:t>1．主管部门在该项目管理中的职能。</w:t>
      </w:r>
      <w:r>
        <w:rPr>
          <w:rFonts w:hint="eastAsia" w:ascii="仿宋_GB2312" w:hAnsi="宋体" w:eastAsia="仿宋_GB2312" w:cs="Times New Roman"/>
          <w:color w:val="auto"/>
          <w:sz w:val="32"/>
          <w:szCs w:val="32"/>
          <w:highlight w:val="none"/>
          <w:lang w:val="en-US" w:eastAsia="zh-CN"/>
        </w:rPr>
        <w:t>2021年</w:t>
      </w:r>
      <w:r>
        <w:rPr>
          <w:rFonts w:hint="eastAsia" w:ascii="仿宋_GB2312" w:hAnsi="仿宋_GB2312" w:eastAsia="仿宋_GB2312" w:cs="仿宋_GB2312"/>
          <w:color w:val="000000"/>
          <w:sz w:val="32"/>
          <w:szCs w:val="32"/>
        </w:rPr>
        <w:t>全市教学质量监测评估项目</w:t>
      </w:r>
      <w:r>
        <w:rPr>
          <w:rFonts w:hint="eastAsia" w:ascii="仿宋_GB2312" w:hAnsi="宋体" w:eastAsia="仿宋_GB2312" w:cs="仿宋_GB2312"/>
          <w:color w:val="000000"/>
          <w:kern w:val="0"/>
          <w:sz w:val="32"/>
          <w:szCs w:val="32"/>
          <w:lang w:val="en-US" w:eastAsia="zh-CN" w:bidi="ar"/>
        </w:rPr>
        <w:t>由</w:t>
      </w:r>
      <w:r>
        <w:rPr>
          <w:rFonts w:hint="eastAsia" w:ascii="仿宋_GB2312" w:hAnsi="宋体" w:eastAsia="仿宋_GB2312" w:cs="Times New Roman"/>
          <w:color w:val="auto"/>
          <w:sz w:val="32"/>
          <w:szCs w:val="32"/>
          <w:highlight w:val="none"/>
          <w:lang w:val="en-US" w:eastAsia="zh-CN"/>
        </w:rPr>
        <w:t>广元市教育科学研究所</w:t>
      </w:r>
      <w:r>
        <w:rPr>
          <w:rFonts w:hint="eastAsia" w:ascii="仿宋_GB2312" w:hAnsi="宋体" w:eastAsia="仿宋_GB2312" w:cs="仿宋_GB2312"/>
          <w:color w:val="000000"/>
          <w:kern w:val="0"/>
          <w:sz w:val="32"/>
          <w:szCs w:val="32"/>
          <w:lang w:val="en-US" w:eastAsia="zh-CN" w:bidi="ar"/>
        </w:rPr>
        <w:t>具体</w:t>
      </w:r>
      <w:r>
        <w:rPr>
          <w:rFonts w:hint="eastAsia" w:ascii="仿宋_GB2312" w:hAnsi="宋体" w:eastAsia="仿宋_GB2312" w:cs="Times New Roman"/>
          <w:color w:val="auto"/>
          <w:sz w:val="32"/>
          <w:szCs w:val="32"/>
          <w:highlight w:val="none"/>
          <w:lang w:val="en-US" w:eastAsia="zh-CN"/>
        </w:rPr>
        <w:t>负责，市教育局对项目实施、项目资金支付等</w:t>
      </w:r>
      <w:r>
        <w:rPr>
          <w:rFonts w:hint="eastAsia" w:ascii="仿宋_GB2312" w:hAnsi="宋体" w:eastAsia="仿宋_GB2312" w:cs="仿宋_GB2312"/>
          <w:color w:val="000000"/>
          <w:kern w:val="0"/>
          <w:sz w:val="32"/>
          <w:szCs w:val="32"/>
          <w:lang w:val="en-US" w:eastAsia="zh-CN" w:bidi="ar"/>
        </w:rPr>
        <w:t>工作进行监督管理。该项目</w:t>
      </w:r>
      <w:r>
        <w:rPr>
          <w:rFonts w:hint="eastAsia" w:ascii="仿宋_GB2312" w:hAnsi="仿宋_GB2312" w:eastAsia="仿宋_GB2312" w:cs="仿宋_GB2312"/>
          <w:color w:val="000000"/>
          <w:sz w:val="32"/>
          <w:szCs w:val="32"/>
        </w:rPr>
        <w:t>根据广元教育实际设计，具体由市教科所负责项目需求调研、征集汇总后，报市教育局分管领导审核，确定为年度重点实施项目，最终提交局党组会审定，审定通过后的年度重点项目由市教科所负责项目的经费预算、统筹管理、组织实施、质量分析评估等工作。</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仿宋_GB2312" w:hAnsi="宋体" w:eastAsia="仿宋_GB2312" w:cs="Times New Roman"/>
          <w:color w:val="auto"/>
          <w:sz w:val="32"/>
          <w:szCs w:val="32"/>
          <w:highlight w:val="none"/>
          <w:lang w:val="zh-CN" w:eastAsia="zh-CN"/>
        </w:rPr>
      </w:pPr>
    </w:p>
    <w:p>
      <w:pPr>
        <w:widowControl/>
        <w:spacing w:line="600" w:lineRule="exact"/>
        <w:ind w:firstLine="640" w:firstLineChars="200"/>
        <w:jc w:val="left"/>
        <w:rPr>
          <w:rFonts w:hint="eastAsia" w:ascii="仿宋_GB2312" w:hAnsi="宋体" w:eastAsia="仿宋_GB2312" w:cs="仿宋_GB2312"/>
          <w:color w:val="000000"/>
          <w:kern w:val="0"/>
          <w:sz w:val="32"/>
          <w:szCs w:val="32"/>
          <w:lang w:eastAsia="zh-CN" w:bidi="ar"/>
        </w:rPr>
      </w:pPr>
      <w:r>
        <w:rPr>
          <w:rFonts w:hint="eastAsia" w:ascii="仿宋_GB2312" w:hAnsi="宋体" w:eastAsia="仿宋_GB2312" w:cs="Times New Roman"/>
          <w:color w:val="auto"/>
          <w:sz w:val="32"/>
          <w:szCs w:val="32"/>
          <w:highlight w:val="none"/>
          <w:lang w:val="zh-CN"/>
        </w:rPr>
        <w:t>2．项目立项、资金申报的依据。</w:t>
      </w:r>
      <w:r>
        <w:rPr>
          <w:rFonts w:hint="eastAsia" w:ascii="仿宋_GB2312" w:eastAsia="仿宋_GB2312"/>
          <w:color w:val="000000"/>
          <w:sz w:val="32"/>
          <w:szCs w:val="32"/>
          <w:lang w:val="en-US" w:eastAsia="zh-CN"/>
        </w:rPr>
        <w:t>根据</w:t>
      </w:r>
      <w:r>
        <w:rPr>
          <w:rFonts w:hint="eastAsia" w:ascii="仿宋_GB2312" w:eastAsia="仿宋_GB2312"/>
          <w:color w:val="000000"/>
          <w:sz w:val="32"/>
          <w:szCs w:val="32"/>
        </w:rPr>
        <w:t>《</w:t>
      </w:r>
      <w:r>
        <w:rPr>
          <w:rFonts w:ascii="仿宋_GB2312" w:hAnsi="宋体" w:eastAsia="仿宋_GB2312" w:cs="仿宋_GB2312"/>
          <w:color w:val="000000"/>
          <w:kern w:val="0"/>
          <w:sz w:val="32"/>
          <w:szCs w:val="32"/>
          <w:lang w:bidi="ar"/>
        </w:rPr>
        <w:t>教育部关于加强和改进新时代基础教育</w:t>
      </w:r>
      <w:r>
        <w:rPr>
          <w:rFonts w:hint="eastAsia" w:ascii="仿宋_GB2312" w:hAnsi="宋体" w:eastAsia="仿宋_GB2312" w:cs="仿宋_GB2312"/>
          <w:color w:val="000000"/>
          <w:kern w:val="0"/>
          <w:sz w:val="32"/>
          <w:szCs w:val="32"/>
          <w:lang w:bidi="ar"/>
        </w:rPr>
        <w:t>教研工作的意见》</w:t>
      </w:r>
      <w:r>
        <w:rPr>
          <w:rFonts w:hint="eastAsia" w:ascii="仿宋_GB2312" w:hAnsi="宋体" w:eastAsia="仿宋_GB2312" w:cs="仿宋_GB2312"/>
          <w:color w:val="000000"/>
          <w:kern w:val="0"/>
          <w:sz w:val="32"/>
          <w:szCs w:val="32"/>
          <w:lang w:val="en-US" w:eastAsia="zh-CN" w:bidi="ar"/>
        </w:rPr>
        <w:t>精神</w:t>
      </w:r>
      <w:r>
        <w:rPr>
          <w:rFonts w:hint="eastAsia" w:ascii="仿宋_GB2312" w:hAnsi="仿宋_GB2312" w:eastAsia="仿宋_GB2312" w:cs="仿宋_GB2312"/>
          <w:color w:val="000000"/>
          <w:kern w:val="0"/>
          <w:sz w:val="32"/>
          <w:szCs w:val="32"/>
          <w:lang w:bidi="ar"/>
        </w:rPr>
        <w:t>，</w:t>
      </w:r>
      <w:r>
        <w:rPr>
          <w:rFonts w:ascii="仿宋_GB2312" w:hAnsi="宋体" w:eastAsia="仿宋_GB2312" w:cs="仿宋_GB2312"/>
          <w:color w:val="000000"/>
          <w:kern w:val="0"/>
          <w:sz w:val="32"/>
          <w:szCs w:val="32"/>
          <w:lang w:bidi="ar"/>
        </w:rPr>
        <w:t>充分发挥推进区域课程教学改革、教</w:t>
      </w:r>
      <w:r>
        <w:rPr>
          <w:rFonts w:hint="eastAsia" w:ascii="仿宋_GB2312" w:hAnsi="宋体" w:eastAsia="仿宋_GB2312" w:cs="仿宋_GB2312"/>
          <w:color w:val="000000"/>
          <w:kern w:val="0"/>
          <w:sz w:val="32"/>
          <w:szCs w:val="32"/>
          <w:lang w:bidi="ar"/>
        </w:rPr>
        <w:t>学诊断与改进、课程教学资源建设、培育推广优秀教学成果等方面的重要作用，深入研究学生学习和成长规律，研究</w:t>
      </w:r>
      <w:r>
        <w:rPr>
          <w:rFonts w:ascii="仿宋_GB2312" w:hAnsi="宋体" w:eastAsia="仿宋_GB2312" w:cs="仿宋_GB2312"/>
          <w:color w:val="000000"/>
          <w:kern w:val="0"/>
          <w:sz w:val="32"/>
          <w:szCs w:val="32"/>
          <w:lang w:bidi="ar"/>
        </w:rPr>
        <w:t>课程、教学、作业和考试评价</w:t>
      </w:r>
      <w:r>
        <w:rPr>
          <w:rFonts w:hint="eastAsia" w:ascii="仿宋_GB2312" w:hAnsi="宋体" w:eastAsia="仿宋_GB2312" w:cs="仿宋_GB2312"/>
          <w:color w:val="000000"/>
          <w:kern w:val="0"/>
          <w:sz w:val="32"/>
          <w:szCs w:val="32"/>
          <w:lang w:bidi="ar"/>
        </w:rPr>
        <w:t>等育人关键环节，加强考试评价改革研究，提高考试命题质量，形成在课程目标引领下的备、教、学、评一体化的教学格局。更好地</w:t>
      </w:r>
      <w:r>
        <w:rPr>
          <w:rFonts w:ascii="仿宋_GB2312" w:hAnsi="宋体" w:eastAsia="仿宋_GB2312" w:cs="仿宋_GB2312"/>
          <w:color w:val="000000"/>
          <w:kern w:val="0"/>
          <w:sz w:val="32"/>
          <w:szCs w:val="32"/>
          <w:lang w:bidi="ar"/>
        </w:rPr>
        <w:t>提升</w:t>
      </w:r>
      <w:r>
        <w:rPr>
          <w:rFonts w:hint="eastAsia" w:ascii="仿宋_GB2312" w:hAnsi="宋体" w:eastAsia="仿宋_GB2312" w:cs="仿宋_GB2312"/>
          <w:color w:val="000000"/>
          <w:kern w:val="0"/>
          <w:sz w:val="32"/>
          <w:szCs w:val="32"/>
          <w:lang w:bidi="ar"/>
        </w:rPr>
        <w:t>我市</w:t>
      </w:r>
      <w:r>
        <w:rPr>
          <w:rFonts w:ascii="仿宋_GB2312" w:hAnsi="宋体" w:eastAsia="仿宋_GB2312" w:cs="仿宋_GB2312"/>
          <w:color w:val="000000"/>
          <w:kern w:val="0"/>
          <w:sz w:val="32"/>
          <w:szCs w:val="32"/>
          <w:lang w:bidi="ar"/>
        </w:rPr>
        <w:t>教育教学质量</w:t>
      </w:r>
      <w:r>
        <w:rPr>
          <w:rFonts w:hint="eastAsia" w:ascii="仿宋_GB2312" w:hAnsi="宋体" w:eastAsia="仿宋_GB2312" w:cs="仿宋_GB2312"/>
          <w:color w:val="000000"/>
          <w:kern w:val="0"/>
          <w:sz w:val="32"/>
          <w:szCs w:val="32"/>
          <w:lang w:eastAsia="zh-CN" w:bidi="ar"/>
        </w:rPr>
        <w:t>。</w:t>
      </w:r>
    </w:p>
    <w:p>
      <w:pPr>
        <w:widowControl/>
        <w:spacing w:line="600" w:lineRule="exact"/>
        <w:ind w:firstLine="640" w:firstLineChars="200"/>
        <w:jc w:val="left"/>
        <w:rPr>
          <w:rFonts w:ascii="方正仿宋_GBK" w:hAnsi="方正仿宋_GBK" w:eastAsia="方正仿宋_GBK" w:cs="方正仿宋_GBK"/>
          <w:i w:val="0"/>
          <w:iCs w:val="0"/>
          <w:caps w:val="0"/>
          <w:color w:val="333333"/>
          <w:spacing w:val="0"/>
          <w:sz w:val="33"/>
          <w:szCs w:val="33"/>
          <w:shd w:val="clear" w:fill="FFFFFF"/>
        </w:rPr>
      </w:pPr>
      <w:r>
        <w:rPr>
          <w:rFonts w:hint="eastAsia" w:ascii="仿宋_GB2312" w:hAnsi="宋体" w:eastAsia="仿宋_GB2312" w:cs="Times New Roman"/>
          <w:color w:val="auto"/>
          <w:sz w:val="32"/>
          <w:szCs w:val="32"/>
          <w:highlight w:val="none"/>
          <w:lang w:val="zh-CN"/>
        </w:rPr>
        <w:t>3．资金管理办法制定情况，资金支持具体项目的条件、范围与支持方式概况。</w:t>
      </w:r>
      <w:r>
        <w:rPr>
          <w:rFonts w:hint="eastAsia" w:ascii="仿宋_GB2312" w:hAnsi="宋体" w:eastAsia="仿宋_GB2312" w:cs="Times New Roman"/>
          <w:color w:val="auto"/>
          <w:sz w:val="32"/>
          <w:szCs w:val="32"/>
          <w:highlight w:val="none"/>
          <w:lang w:val="en-US" w:eastAsia="zh-CN"/>
        </w:rPr>
        <w:t>教科所制定了财务管理制度并按要求严格执行，该项目</w:t>
      </w:r>
      <w:r>
        <w:rPr>
          <w:rFonts w:ascii="方正仿宋_GBK" w:hAnsi="方正仿宋_GBK" w:eastAsia="方正仿宋_GBK" w:cs="方正仿宋_GBK"/>
          <w:i w:val="0"/>
          <w:iCs w:val="0"/>
          <w:caps w:val="0"/>
          <w:color w:val="333333"/>
          <w:spacing w:val="0"/>
          <w:sz w:val="33"/>
          <w:szCs w:val="33"/>
          <w:shd w:val="clear" w:fill="FFFFFF"/>
        </w:rPr>
        <w:t>资金指标下达后，按预算指标</w:t>
      </w:r>
      <w:r>
        <w:rPr>
          <w:rFonts w:hint="eastAsia" w:ascii="方正仿宋_GBK" w:hAnsi="方正仿宋_GBK" w:eastAsia="方正仿宋_GBK" w:cs="方正仿宋_GBK"/>
          <w:i w:val="0"/>
          <w:iCs w:val="0"/>
          <w:caps w:val="0"/>
          <w:color w:val="333333"/>
          <w:spacing w:val="0"/>
          <w:sz w:val="33"/>
          <w:szCs w:val="33"/>
          <w:shd w:val="clear" w:fill="FFFFFF"/>
          <w:lang w:val="en-US" w:eastAsia="zh-CN"/>
        </w:rPr>
        <w:t>合理合规进行开支</w:t>
      </w:r>
      <w:r>
        <w:rPr>
          <w:rFonts w:ascii="方正仿宋_GBK" w:hAnsi="方正仿宋_GBK" w:eastAsia="方正仿宋_GBK" w:cs="方正仿宋_GBK"/>
          <w:i w:val="0"/>
          <w:iCs w:val="0"/>
          <w:caps w:val="0"/>
          <w:color w:val="333333"/>
          <w:spacing w:val="0"/>
          <w:sz w:val="33"/>
          <w:szCs w:val="33"/>
          <w:shd w:val="clear" w:fill="FFFFFF"/>
        </w:rPr>
        <w:t>使用。</w:t>
      </w:r>
    </w:p>
    <w:p>
      <w:pPr>
        <w:widowControl/>
        <w:spacing w:line="60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宋体" w:eastAsia="仿宋_GB2312" w:cs="Times New Roman"/>
          <w:color w:val="auto"/>
          <w:kern w:val="2"/>
          <w:sz w:val="32"/>
          <w:szCs w:val="32"/>
          <w:highlight w:val="none"/>
          <w:lang w:val="en-US" w:eastAsia="zh-CN" w:bidi="ar-SA"/>
        </w:rPr>
        <w:t>4.</w:t>
      </w:r>
      <w:r>
        <w:rPr>
          <w:rFonts w:hint="eastAsia" w:ascii="仿宋_GB2312" w:hAnsi="宋体" w:eastAsia="仿宋_GB2312" w:cs="Times New Roman"/>
          <w:color w:val="auto"/>
          <w:kern w:val="2"/>
          <w:sz w:val="32"/>
          <w:szCs w:val="32"/>
          <w:highlight w:val="none"/>
          <w:lang w:val="zh-CN" w:eastAsia="zh-CN" w:bidi="ar-SA"/>
        </w:rPr>
        <w:t>资金分配的原则及考虑因素。</w:t>
      </w:r>
      <w:r>
        <w:rPr>
          <w:rFonts w:hint="eastAsia" w:ascii="仿宋_GB2312" w:hAnsi="宋体" w:eastAsia="仿宋_GB2312" w:cs="Times New Roman"/>
          <w:color w:val="auto"/>
          <w:kern w:val="2"/>
          <w:sz w:val="32"/>
          <w:szCs w:val="32"/>
          <w:highlight w:val="none"/>
          <w:lang w:val="en-US" w:eastAsia="zh-CN" w:bidi="ar-SA"/>
        </w:rPr>
        <w:t>2021年</w:t>
      </w:r>
      <w:r>
        <w:rPr>
          <w:rFonts w:hint="eastAsia" w:ascii="仿宋_GB2312" w:hAnsi="宋体" w:eastAsia="仿宋_GB2312" w:cs="仿宋_GB2312"/>
          <w:color w:val="000000"/>
          <w:kern w:val="0"/>
          <w:sz w:val="32"/>
          <w:szCs w:val="32"/>
          <w:lang w:val="en-US" w:eastAsia="zh-CN" w:bidi="ar"/>
        </w:rPr>
        <w:t>全市教学质量监测评</w:t>
      </w:r>
      <w:r>
        <w:rPr>
          <w:rFonts w:hint="eastAsia" w:ascii="仿宋_GB2312" w:hAnsi="宋体" w:eastAsia="仿宋_GB2312" w:cs="Times New Roman"/>
          <w:color w:val="auto"/>
          <w:kern w:val="2"/>
          <w:sz w:val="32"/>
          <w:szCs w:val="32"/>
          <w:highlight w:val="none"/>
          <w:lang w:val="en-US" w:eastAsia="zh-CN" w:bidi="ar-SA"/>
        </w:rPr>
        <w:t>项目严格按照教育教学质量监测需要合理合规进行资金分配，</w:t>
      </w:r>
      <w:r>
        <w:rPr>
          <w:rFonts w:hint="eastAsia" w:ascii="仿宋_GB2312" w:hAnsi="仿宋_GB2312" w:eastAsia="仿宋_GB2312" w:cs="仿宋_GB2312"/>
          <w:color w:val="000000"/>
          <w:sz w:val="32"/>
          <w:szCs w:val="32"/>
        </w:rPr>
        <w:t>充分发挥全市教学质量监测评估项目资金使用</w:t>
      </w:r>
      <w:r>
        <w:rPr>
          <w:rFonts w:hint="eastAsia" w:ascii="仿宋_GB2312" w:hAnsi="仿宋_GB2312" w:eastAsia="仿宋_GB2312" w:cs="仿宋_GB2312"/>
          <w:color w:val="000000"/>
          <w:sz w:val="32"/>
          <w:szCs w:val="32"/>
          <w:lang w:val="en-US" w:eastAsia="zh-CN"/>
        </w:rPr>
        <w:t>效益</w:t>
      </w:r>
      <w:r>
        <w:rPr>
          <w:rFonts w:hint="eastAsia" w:ascii="仿宋_GB2312" w:hAnsi="仿宋_GB2312" w:eastAsia="仿宋_GB2312" w:cs="仿宋_GB2312"/>
          <w:bCs/>
          <w:color w:val="000000"/>
          <w:kern w:val="0"/>
          <w:sz w:val="32"/>
          <w:szCs w:val="32"/>
        </w:rPr>
        <w:t>。</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（二）项目绩效目标。</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仿宋_GB2312" w:hAnsi="仿宋_GB2312" w:eastAsia="仿宋_GB2312" w:cs="仿宋_GB2312"/>
          <w:color w:val="000000"/>
          <w:sz w:val="32"/>
          <w:szCs w:val="32"/>
        </w:rPr>
      </w:pPr>
      <w:r>
        <w:rPr>
          <w:rFonts w:hint="eastAsia" w:ascii="仿宋_GB2312" w:hAnsi="宋体" w:eastAsia="仿宋_GB2312" w:cs="Times New Roman"/>
          <w:color w:val="auto"/>
          <w:sz w:val="32"/>
          <w:szCs w:val="32"/>
          <w:highlight w:val="none"/>
          <w:lang w:val="zh-CN"/>
        </w:rPr>
        <w:t>1．项目主要内容。</w:t>
      </w:r>
      <w:r>
        <w:rPr>
          <w:rFonts w:hint="eastAsia" w:ascii="仿宋_GB2312" w:hAnsi="宋体" w:eastAsia="仿宋_GB2312" w:cs="Times New Roman"/>
          <w:color w:val="auto"/>
          <w:sz w:val="32"/>
          <w:szCs w:val="32"/>
          <w:highlight w:val="none"/>
          <w:lang w:val="en-US" w:eastAsia="zh-CN"/>
        </w:rPr>
        <w:t>2021年</w:t>
      </w:r>
      <w:r>
        <w:rPr>
          <w:rFonts w:hint="eastAsia" w:ascii="仿宋_GB2312" w:hAnsi="宋体" w:eastAsia="仿宋_GB2312" w:cs="仿宋_GB2312"/>
          <w:color w:val="000000"/>
          <w:kern w:val="0"/>
          <w:sz w:val="32"/>
          <w:szCs w:val="32"/>
          <w:lang w:val="en-US" w:eastAsia="zh-CN" w:bidi="ar"/>
        </w:rPr>
        <w:t>全市教学质量监测评估项目由</w:t>
      </w:r>
      <w:r>
        <w:rPr>
          <w:rFonts w:hint="eastAsia" w:ascii="仿宋_GB2312" w:hAnsi="宋体" w:eastAsia="仿宋_GB2312" w:cs="Times New Roman"/>
          <w:color w:val="auto"/>
          <w:sz w:val="32"/>
          <w:szCs w:val="32"/>
          <w:highlight w:val="none"/>
          <w:lang w:val="en-US" w:eastAsia="zh-CN"/>
        </w:rPr>
        <w:t>广元市教育科学研究所</w:t>
      </w:r>
      <w:r>
        <w:rPr>
          <w:rFonts w:hint="eastAsia" w:ascii="仿宋_GB2312" w:hAnsi="宋体" w:eastAsia="仿宋_GB2312" w:cs="仿宋_GB2312"/>
          <w:color w:val="000000"/>
          <w:kern w:val="0"/>
          <w:sz w:val="32"/>
          <w:szCs w:val="32"/>
          <w:lang w:val="en-US" w:eastAsia="zh-CN" w:bidi="ar"/>
        </w:rPr>
        <w:t>具体</w:t>
      </w:r>
      <w:r>
        <w:rPr>
          <w:rFonts w:hint="eastAsia" w:ascii="仿宋_GB2312" w:hAnsi="宋体" w:eastAsia="仿宋_GB2312" w:cs="Times New Roman"/>
          <w:color w:val="auto"/>
          <w:sz w:val="32"/>
          <w:szCs w:val="32"/>
          <w:highlight w:val="none"/>
          <w:lang w:val="en-US" w:eastAsia="zh-CN"/>
        </w:rPr>
        <w:t>负责，市教育局对项目实施、项目资金支付等</w:t>
      </w:r>
      <w:r>
        <w:rPr>
          <w:rFonts w:hint="eastAsia" w:ascii="仿宋_GB2312" w:hAnsi="宋体" w:eastAsia="仿宋_GB2312" w:cs="仿宋_GB2312"/>
          <w:color w:val="000000"/>
          <w:kern w:val="0"/>
          <w:sz w:val="32"/>
          <w:szCs w:val="32"/>
          <w:lang w:val="en-US" w:eastAsia="zh-CN" w:bidi="ar"/>
        </w:rPr>
        <w:t>工作进行监督管理。市教科所</w:t>
      </w:r>
      <w:r>
        <w:rPr>
          <w:rFonts w:hint="eastAsia" w:ascii="仿宋_GB2312" w:hAnsi="宋体" w:eastAsia="仿宋_GB2312" w:cs="Times New Roman"/>
          <w:color w:val="auto"/>
          <w:sz w:val="32"/>
          <w:szCs w:val="32"/>
          <w:highlight w:val="none"/>
          <w:lang w:val="en-US" w:eastAsia="zh-CN"/>
        </w:rPr>
        <w:t>以</w:t>
      </w:r>
      <w:r>
        <w:rPr>
          <w:rFonts w:ascii="仿宋_GB2312" w:hAnsi="宋体" w:eastAsia="仿宋_GB2312" w:cs="仿宋_GB2312"/>
          <w:color w:val="000000"/>
          <w:kern w:val="0"/>
          <w:sz w:val="32"/>
          <w:szCs w:val="32"/>
          <w:lang w:bidi="ar"/>
        </w:rPr>
        <w:t>加强</w:t>
      </w:r>
      <w:r>
        <w:rPr>
          <w:rFonts w:hint="eastAsia" w:ascii="仿宋_GB2312" w:hAnsi="宋体" w:eastAsia="仿宋_GB2312" w:cs="仿宋_GB2312"/>
          <w:color w:val="000000"/>
          <w:kern w:val="0"/>
          <w:sz w:val="32"/>
          <w:szCs w:val="32"/>
          <w:lang w:bidi="ar"/>
        </w:rPr>
        <w:t>指导学校和教师不断创新教学组织形式和教育教学方式</w:t>
      </w:r>
      <w:r>
        <w:rPr>
          <w:rFonts w:hint="eastAsia" w:ascii="仿宋_GB2312" w:hAnsi="宋体" w:eastAsia="仿宋_GB2312" w:cs="仿宋_GB2312"/>
          <w:color w:val="000000"/>
          <w:kern w:val="0"/>
          <w:sz w:val="32"/>
          <w:szCs w:val="32"/>
          <w:lang w:val="en-US" w:eastAsia="zh-CN" w:bidi="ar"/>
        </w:rPr>
        <w:t>为目标</w:t>
      </w:r>
      <w:r>
        <w:rPr>
          <w:rFonts w:hint="eastAsia" w:ascii="仿宋_GB2312" w:hAnsi="宋体" w:eastAsia="仿宋_GB2312" w:cs="仿宋_GB2312"/>
          <w:color w:val="000000"/>
          <w:kern w:val="0"/>
          <w:sz w:val="32"/>
          <w:szCs w:val="32"/>
          <w:lang w:bidi="ar"/>
        </w:rPr>
        <w:t>，</w:t>
      </w:r>
      <w:r>
        <w:rPr>
          <w:rFonts w:hint="eastAsia" w:ascii="仿宋_GB2312" w:hAnsi="宋体" w:eastAsia="仿宋_GB2312" w:cs="仿宋_GB2312"/>
          <w:color w:val="000000"/>
          <w:kern w:val="0"/>
          <w:sz w:val="32"/>
          <w:szCs w:val="32"/>
          <w:lang w:val="en-US" w:eastAsia="zh-CN" w:bidi="ar"/>
        </w:rPr>
        <w:t>进一步</w:t>
      </w:r>
      <w:r>
        <w:rPr>
          <w:rFonts w:hint="eastAsia" w:ascii="仿宋_GB2312" w:hAnsi="宋体" w:eastAsia="仿宋_GB2312" w:cs="仿宋_GB2312"/>
          <w:color w:val="000000"/>
          <w:kern w:val="0"/>
          <w:sz w:val="32"/>
          <w:szCs w:val="32"/>
          <w:lang w:bidi="ar"/>
        </w:rPr>
        <w:t>提高教书育人能力</w:t>
      </w:r>
      <w:r>
        <w:rPr>
          <w:rFonts w:hint="eastAsia" w:ascii="仿宋_GB2312" w:hAnsi="宋体" w:eastAsia="仿宋_GB2312" w:cs="仿宋_GB2312"/>
          <w:color w:val="000000"/>
          <w:kern w:val="0"/>
          <w:sz w:val="32"/>
          <w:szCs w:val="32"/>
          <w:lang w:eastAsia="zh-CN" w:bidi="ar"/>
        </w:rPr>
        <w:t>。</w:t>
      </w:r>
      <w:r>
        <w:rPr>
          <w:rFonts w:hint="eastAsia" w:ascii="仿宋_GB2312" w:hAnsi="宋体" w:eastAsia="仿宋_GB2312" w:cs="仿宋_GB2312"/>
          <w:color w:val="000000"/>
          <w:kern w:val="0"/>
          <w:sz w:val="32"/>
          <w:szCs w:val="32"/>
          <w:lang w:val="en-US" w:eastAsia="zh-CN" w:bidi="ar"/>
        </w:rPr>
        <w:t>该项目</w:t>
      </w:r>
      <w:r>
        <w:rPr>
          <w:rFonts w:hint="eastAsia" w:ascii="仿宋_GB2312" w:hAnsi="仿宋_GB2312" w:eastAsia="仿宋_GB2312" w:cs="仿宋_GB2312"/>
          <w:color w:val="000000"/>
          <w:sz w:val="32"/>
          <w:szCs w:val="32"/>
        </w:rPr>
        <w:t>于2021年1至12月期间组织实施完成。</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仿宋_GB2312" w:hAnsi="宋体" w:eastAsia="仿宋_GB2312" w:cs="Times New Roman"/>
          <w:color w:val="auto"/>
          <w:sz w:val="32"/>
          <w:szCs w:val="32"/>
          <w:highlight w:val="none"/>
          <w:lang w:val="zh-CN" w:eastAsia="zh-CN"/>
        </w:rPr>
      </w:pPr>
      <w:r>
        <w:rPr>
          <w:rFonts w:hint="eastAsia" w:ascii="仿宋_GB2312" w:hAnsi="宋体" w:eastAsia="仿宋_GB2312" w:cs="Times New Roman"/>
          <w:color w:val="auto"/>
          <w:sz w:val="32"/>
          <w:szCs w:val="32"/>
          <w:highlight w:val="none"/>
          <w:lang w:val="en-US" w:eastAsia="zh-CN"/>
        </w:rPr>
        <w:t>2.</w:t>
      </w:r>
      <w:r>
        <w:rPr>
          <w:rFonts w:hint="eastAsia" w:ascii="仿宋_GB2312" w:hAnsi="宋体" w:eastAsia="仿宋_GB2312" w:cs="Times New Roman"/>
          <w:color w:val="auto"/>
          <w:sz w:val="32"/>
          <w:szCs w:val="32"/>
          <w:highlight w:val="none"/>
          <w:lang w:val="zh-CN"/>
        </w:rPr>
        <w:t>项目应实现的具体绩效目标。</w:t>
      </w:r>
      <w:r>
        <w:rPr>
          <w:rFonts w:hint="eastAsia" w:ascii="仿宋_GB2312" w:hAnsi="宋体" w:eastAsia="仿宋_GB2312" w:cs="Times New Roman"/>
          <w:color w:val="auto"/>
          <w:sz w:val="32"/>
          <w:szCs w:val="32"/>
          <w:highlight w:val="none"/>
          <w:lang w:val="en-US" w:eastAsia="zh-CN"/>
        </w:rPr>
        <w:t>2021年</w:t>
      </w:r>
      <w:r>
        <w:rPr>
          <w:rFonts w:hint="eastAsia" w:ascii="仿宋_GB2312" w:hAnsi="宋体" w:eastAsia="仿宋_GB2312" w:cs="仿宋_GB2312"/>
          <w:color w:val="000000"/>
          <w:kern w:val="0"/>
          <w:sz w:val="32"/>
          <w:szCs w:val="32"/>
          <w:lang w:val="en-US" w:eastAsia="zh-CN" w:bidi="ar"/>
        </w:rPr>
        <w:t>全市教学质量监测评项目</w:t>
      </w:r>
      <w:r>
        <w:rPr>
          <w:rFonts w:hint="eastAsia" w:ascii="仿宋_GB2312" w:hAnsi="仿宋_GB2312" w:eastAsia="仿宋_GB2312" w:cs="仿宋_GB2312"/>
          <w:color w:val="000000"/>
          <w:sz w:val="32"/>
          <w:szCs w:val="32"/>
        </w:rPr>
        <w:t>是根据广元教育实际设计，具体由市教科所负责项目需求调研、征集汇总</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项目审定后合理进行</w:t>
      </w:r>
      <w:r>
        <w:rPr>
          <w:rFonts w:hint="eastAsia" w:ascii="仿宋_GB2312" w:hAnsi="仿宋_GB2312" w:eastAsia="仿宋_GB2312" w:cs="仿宋_GB2312"/>
          <w:color w:val="000000"/>
          <w:sz w:val="32"/>
          <w:szCs w:val="32"/>
        </w:rPr>
        <w:t>经费预算、统筹管理、组织实施、质量分析评估</w:t>
      </w:r>
      <w:r>
        <w:rPr>
          <w:rFonts w:hint="eastAsia" w:ascii="仿宋_GB2312" w:hAnsi="仿宋_GB2312" w:eastAsia="仿宋_GB2312" w:cs="仿宋_GB2312"/>
          <w:color w:val="000000"/>
          <w:sz w:val="32"/>
          <w:szCs w:val="32"/>
          <w:lang w:eastAsia="zh-CN"/>
        </w:rPr>
        <w:t>，</w:t>
      </w:r>
      <w:r>
        <w:rPr>
          <w:rFonts w:hint="eastAsia" w:ascii="仿宋_GB2312" w:hAnsi="宋体" w:eastAsia="仿宋_GB2312" w:cs="Times New Roman"/>
          <w:color w:val="auto"/>
          <w:sz w:val="32"/>
          <w:szCs w:val="32"/>
          <w:highlight w:val="none"/>
          <w:lang w:val="en-US" w:eastAsia="zh-CN"/>
        </w:rPr>
        <w:t>以</w:t>
      </w:r>
      <w:r>
        <w:rPr>
          <w:rFonts w:ascii="仿宋_GB2312" w:hAnsi="宋体" w:eastAsia="仿宋_GB2312" w:cs="仿宋_GB2312"/>
          <w:color w:val="000000"/>
          <w:kern w:val="0"/>
          <w:sz w:val="32"/>
          <w:szCs w:val="32"/>
          <w:lang w:bidi="ar"/>
        </w:rPr>
        <w:t>加强</w:t>
      </w:r>
      <w:r>
        <w:rPr>
          <w:rFonts w:hint="eastAsia" w:ascii="仿宋_GB2312" w:hAnsi="宋体" w:eastAsia="仿宋_GB2312" w:cs="仿宋_GB2312"/>
          <w:color w:val="000000"/>
          <w:kern w:val="0"/>
          <w:sz w:val="32"/>
          <w:szCs w:val="32"/>
          <w:lang w:bidi="ar"/>
        </w:rPr>
        <w:t>指导学校和教师不断创新教学组织形式和教育教学方式</w:t>
      </w:r>
      <w:r>
        <w:rPr>
          <w:rFonts w:hint="eastAsia" w:ascii="仿宋_GB2312" w:hAnsi="宋体" w:eastAsia="仿宋_GB2312" w:cs="仿宋_GB2312"/>
          <w:color w:val="000000"/>
          <w:kern w:val="0"/>
          <w:sz w:val="32"/>
          <w:szCs w:val="32"/>
          <w:lang w:val="en-US" w:eastAsia="zh-CN" w:bidi="ar"/>
        </w:rPr>
        <w:t>为目标</w:t>
      </w:r>
      <w:r>
        <w:rPr>
          <w:rFonts w:hint="eastAsia" w:ascii="仿宋_GB2312" w:hAnsi="宋体" w:eastAsia="仿宋_GB2312" w:cs="仿宋_GB2312"/>
          <w:color w:val="000000"/>
          <w:kern w:val="0"/>
          <w:sz w:val="32"/>
          <w:szCs w:val="32"/>
          <w:lang w:bidi="ar"/>
        </w:rPr>
        <w:t>，</w:t>
      </w:r>
      <w:r>
        <w:rPr>
          <w:rFonts w:hint="eastAsia" w:ascii="仿宋_GB2312" w:hAnsi="宋体" w:eastAsia="仿宋_GB2312" w:cs="仿宋_GB2312"/>
          <w:color w:val="000000"/>
          <w:kern w:val="0"/>
          <w:sz w:val="32"/>
          <w:szCs w:val="32"/>
          <w:lang w:val="en-US" w:eastAsia="zh-CN" w:bidi="ar"/>
        </w:rPr>
        <w:t>进一步</w:t>
      </w:r>
      <w:r>
        <w:rPr>
          <w:rFonts w:hint="eastAsia" w:ascii="仿宋_GB2312" w:hAnsi="宋体" w:eastAsia="仿宋_GB2312" w:cs="仿宋_GB2312"/>
          <w:color w:val="000000"/>
          <w:kern w:val="0"/>
          <w:sz w:val="32"/>
          <w:szCs w:val="32"/>
          <w:lang w:bidi="ar"/>
        </w:rPr>
        <w:t>提高教书育人能力</w:t>
      </w:r>
      <w:r>
        <w:rPr>
          <w:rFonts w:hint="eastAsia" w:ascii="仿宋_GB2312" w:hAnsi="宋体" w:eastAsia="仿宋_GB2312" w:cs="Times New Roman"/>
          <w:color w:val="auto"/>
          <w:sz w:val="32"/>
          <w:szCs w:val="32"/>
          <w:highlight w:val="none"/>
          <w:lang w:val="en-US" w:eastAsia="zh-CN"/>
        </w:rPr>
        <w:t>，该项目已于2021年实施完成。</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宋体" w:eastAsia="仿宋_GB2312" w:cs="Times New Roman"/>
          <w:color w:val="auto"/>
          <w:sz w:val="32"/>
          <w:szCs w:val="32"/>
          <w:highlight w:val="none"/>
          <w:lang w:val="en-US" w:eastAsia="zh-CN"/>
        </w:rPr>
        <w:t>3.</w:t>
      </w:r>
      <w:r>
        <w:rPr>
          <w:rFonts w:hint="eastAsia" w:ascii="仿宋_GB2312" w:hAnsi="宋体" w:eastAsia="仿宋_GB2312" w:cs="Times New Roman"/>
          <w:color w:val="auto"/>
          <w:sz w:val="32"/>
          <w:szCs w:val="32"/>
          <w:highlight w:val="none"/>
          <w:lang w:val="zh-CN"/>
        </w:rPr>
        <w:t>项目资金与申报项目相符性。</w:t>
      </w:r>
      <w:r>
        <w:rPr>
          <w:rFonts w:hint="eastAsia" w:ascii="仿宋_GB2312" w:hAnsi="仿宋_GB2312" w:eastAsia="仿宋_GB2312" w:cs="仿宋_GB2312"/>
          <w:color w:val="000000"/>
          <w:sz w:val="32"/>
          <w:szCs w:val="32"/>
        </w:rPr>
        <w:t>根据项目支出绩效自评要求，市教科所认真梳理、核实申报实施项目、支出账务等，2021年申报内容</w:t>
      </w:r>
      <w:r>
        <w:rPr>
          <w:rFonts w:hint="eastAsia" w:ascii="仿宋_GB2312" w:hAnsi="仿宋_GB2312" w:eastAsia="仿宋_GB2312" w:cs="仿宋_GB2312"/>
          <w:color w:val="000000"/>
          <w:sz w:val="32"/>
          <w:szCs w:val="32"/>
          <w:lang w:val="en-US" w:eastAsia="zh-CN"/>
        </w:rPr>
        <w:t>相符，</w:t>
      </w:r>
      <w:r>
        <w:rPr>
          <w:rFonts w:hint="eastAsia" w:ascii="仿宋_GB2312" w:hAnsi="仿宋_GB2312" w:eastAsia="仿宋_GB2312" w:cs="仿宋_GB2312"/>
          <w:color w:val="000000"/>
          <w:sz w:val="32"/>
          <w:szCs w:val="32"/>
        </w:rPr>
        <w:t>与</w:t>
      </w:r>
      <w:r>
        <w:rPr>
          <w:rFonts w:hint="eastAsia" w:ascii="仿宋_GB2312" w:hAnsi="仿宋_GB2312" w:eastAsia="仿宋_GB2312" w:cs="仿宋_GB2312"/>
          <w:color w:val="000000"/>
          <w:sz w:val="32"/>
          <w:szCs w:val="32"/>
          <w:lang w:val="en-US" w:eastAsia="zh-CN"/>
        </w:rPr>
        <w:t>申报目标</w:t>
      </w:r>
      <w:r>
        <w:rPr>
          <w:rFonts w:hint="eastAsia" w:ascii="仿宋_GB2312" w:hAnsi="仿宋_GB2312" w:eastAsia="仿宋_GB2312" w:cs="仿宋_GB2312"/>
          <w:color w:val="000000"/>
          <w:sz w:val="32"/>
          <w:szCs w:val="32"/>
        </w:rPr>
        <w:t>基本合理可行。</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（三）项目自评步骤及方法。</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pPr>
      <w:r>
        <w:rPr>
          <w:rFonts w:hint="eastAsia" w:ascii="仿宋_GB2312" w:hAnsi="宋体" w:eastAsia="仿宋_GB2312" w:cs="Times New Roman"/>
          <w:color w:val="auto"/>
          <w:sz w:val="32"/>
          <w:szCs w:val="32"/>
          <w:highlight w:val="none"/>
          <w:lang w:val="zh-CN"/>
        </w:rPr>
        <w:t>项目绩效自评</w:t>
      </w:r>
      <w:r>
        <w:rPr>
          <w:rFonts w:hint="eastAsia" w:ascii="仿宋_GB2312" w:hAnsi="宋体" w:eastAsia="仿宋_GB2312" w:cs="Times New Roman"/>
          <w:color w:val="auto"/>
          <w:sz w:val="32"/>
          <w:szCs w:val="32"/>
          <w:highlight w:val="none"/>
          <w:lang w:val="en-US" w:eastAsia="zh-CN"/>
        </w:rPr>
        <w:t>由主管部门通知开展自评工作，先是单位自评，再由部门复评，逐步开展</w:t>
      </w:r>
      <w:r>
        <w:rPr>
          <w:rFonts w:hint="eastAsia" w:ascii="仿宋_GB2312" w:hAnsi="宋体" w:eastAsia="仿宋_GB2312" w:cs="Times New Roman"/>
          <w:color w:val="auto"/>
          <w:sz w:val="32"/>
          <w:szCs w:val="32"/>
          <w:highlight w:val="none"/>
          <w:lang w:val="zh-CN"/>
        </w:rPr>
        <w:t>组织实施</w:t>
      </w:r>
      <w:r>
        <w:rPr>
          <w:rFonts w:hint="eastAsia" w:ascii="仿宋_GB2312" w:hAnsi="宋体" w:eastAsia="仿宋_GB2312" w:cs="Times New Roman"/>
          <w:color w:val="auto"/>
          <w:sz w:val="32"/>
          <w:szCs w:val="32"/>
          <w:highlight w:val="none"/>
          <w:lang w:val="en-US" w:eastAsia="zh-CN"/>
        </w:rPr>
        <w:t>绩效自评</w:t>
      </w:r>
      <w:r>
        <w:rPr>
          <w:rFonts w:hint="eastAsia" w:ascii="仿宋_GB2312" w:hAnsi="宋体" w:eastAsia="仿宋_GB2312" w:cs="Times New Roman"/>
          <w:color w:val="auto"/>
          <w:sz w:val="32"/>
          <w:szCs w:val="32"/>
          <w:highlight w:val="none"/>
          <w:lang w:val="zh-CN"/>
        </w:rPr>
        <w:t>。</w:t>
      </w:r>
    </w:p>
    <w:p>
      <w:pPr>
        <w:adjustRightInd w:val="0"/>
        <w:snapToGrid w:val="0"/>
        <w:spacing w:line="600" w:lineRule="exact"/>
        <w:ind w:firstLine="640" w:firstLineChars="200"/>
        <w:rPr>
          <w:rFonts w:hint="eastAsia" w:ascii="黑体" w:hAnsi="黑体" w:eastAsia="黑体" w:cs="黑体"/>
          <w:color w:val="000000"/>
          <w:sz w:val="32"/>
          <w:szCs w:val="32"/>
        </w:rPr>
      </w:pPr>
      <w:r>
        <w:rPr>
          <w:rFonts w:hint="eastAsia" w:ascii="黑体" w:hAnsi="黑体" w:eastAsia="黑体" w:cs="黑体"/>
          <w:color w:val="000000"/>
          <w:sz w:val="32"/>
          <w:szCs w:val="32"/>
        </w:rPr>
        <w:t>二、项目的实施及管理情况</w:t>
      </w:r>
    </w:p>
    <w:p>
      <w:pPr>
        <w:numPr>
          <w:ilvl w:val="0"/>
          <w:numId w:val="18"/>
        </w:numPr>
        <w:adjustRightInd w:val="0"/>
        <w:snapToGrid w:val="0"/>
        <w:spacing w:line="600" w:lineRule="exact"/>
        <w:ind w:firstLine="643" w:firstLineChars="200"/>
        <w:rPr>
          <w:rFonts w:hint="eastAsia"/>
        </w:rPr>
      </w:pPr>
      <w:r>
        <w:rPr>
          <w:rFonts w:hint="eastAsia" w:ascii="楷体_GB2312" w:hAnsi="宋体" w:eastAsia="楷体_GB2312" w:cs="Times New Roman"/>
          <w:b/>
          <w:color w:val="auto"/>
          <w:sz w:val="32"/>
          <w:szCs w:val="32"/>
          <w:highlight w:val="none"/>
          <w:lang w:val="zh-CN"/>
        </w:rPr>
        <w:t>项目资金申报及批复情况。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rPr>
      </w:pPr>
      <w:r>
        <w:rPr>
          <w:rFonts w:hint="eastAsia" w:ascii="仿宋_GB2312" w:hAnsi="仿宋_GB2312" w:eastAsia="仿宋_GB2312" w:cs="仿宋_GB2312"/>
          <w:color w:val="000000"/>
          <w:sz w:val="32"/>
          <w:szCs w:val="32"/>
        </w:rPr>
        <w:t>2021年，市教育局安排市教科所统筹规划实施全市教学质量监测评估项目1个。该</w:t>
      </w:r>
      <w:r>
        <w:rPr>
          <w:rFonts w:hint="eastAsia" w:ascii="仿宋_GB2312" w:eastAsia="仿宋_GB2312"/>
          <w:color w:val="000000"/>
          <w:sz w:val="32"/>
          <w:szCs w:val="32"/>
        </w:rPr>
        <w:t>项目按照</w:t>
      </w:r>
      <w:r>
        <w:rPr>
          <w:rFonts w:hint="eastAsia" w:ascii="仿宋_GB2312" w:hAnsi="仿宋_GB2312" w:eastAsia="仿宋_GB2312" w:cs="仿宋_GB2312"/>
          <w:sz w:val="32"/>
          <w:szCs w:val="32"/>
        </w:rPr>
        <w:t>厉行节约、优化支出，运行成本根据已有标准编制预算的</w:t>
      </w:r>
      <w:r>
        <w:rPr>
          <w:rFonts w:hint="eastAsia" w:ascii="仿宋_GB2312" w:eastAsia="仿宋_GB2312"/>
          <w:color w:val="000000"/>
          <w:sz w:val="32"/>
          <w:szCs w:val="32"/>
        </w:rPr>
        <w:t>原则给予预算保障，共</w:t>
      </w:r>
      <w:r>
        <w:rPr>
          <w:rFonts w:hint="eastAsia" w:ascii="仿宋_GB2312" w:hAnsi="仿宋_GB2312" w:eastAsia="仿宋_GB2312" w:cs="仿宋_GB2312"/>
          <w:color w:val="000000"/>
          <w:sz w:val="32"/>
          <w:szCs w:val="32"/>
        </w:rPr>
        <w:t>计年初预算全市教学质量监测评估专项经费150万元，经上报市教育局及市财政局审定同意保障2021年全市教学质量监测评估经费150万元。</w:t>
      </w:r>
    </w:p>
    <w:p>
      <w:pPr>
        <w:numPr>
          <w:ilvl w:val="0"/>
          <w:numId w:val="18"/>
        </w:numPr>
        <w:adjustRightInd w:val="0"/>
        <w:snapToGrid w:val="0"/>
        <w:spacing w:line="600" w:lineRule="exact"/>
        <w:ind w:firstLine="643" w:firstLineChars="200"/>
        <w:rPr>
          <w:rFonts w:hint="eastAsia"/>
        </w:rPr>
      </w:pPr>
      <w:r>
        <w:rPr>
          <w:rFonts w:hint="eastAsia" w:ascii="楷体_GB2312" w:hAnsi="宋体" w:eastAsia="楷体_GB2312" w:cs="Times New Roman"/>
          <w:b/>
          <w:color w:val="auto"/>
          <w:sz w:val="32"/>
          <w:szCs w:val="32"/>
          <w:highlight w:val="none"/>
          <w:lang w:val="zh-CN"/>
        </w:rPr>
        <w:t>资金计划、到位及使用情况。</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资金计划及到位。市财政局根据市教科所上报的全市教学质量监测评估项目预算经费150万元，审定后同意保障全市教学质量监测评估经费150万元，纳入年度市财政预算经费。因疫情原因2020年部分项目未能开展，年末该项目资金结转91.8万元，为充分发挥资金的使用效率，2021年10月向市财政提交调减该项目资金30万元，12月底拨付到位全市教学质量监测评估经费120万元。</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资金使用。市教科所切实加强领导，明确职责，强化监管，严格按照经费的管理、使用规定，合理合规合法使用预算资金，确保每一笔资金使用有理有据。全市教学质量监测评估项目做到精打细算、勤俭节约，严格审查过程资料、审核监测评估实际开支经费，按照局党组会审定同意的经费预算方案报销相关经费。资金主要用于全市教学质量监测评估试卷的命题、审题、阅卷劳务费；接送中考命题人员车辆租用费、食宿费；试卷印刷费；巡考、教学视导差旅费；成绩分析资料打印费；教学研讨会议费等支出。2021年实际到位全市教学质量监测评估经费211.8万元（含2020年财政结转资金），实际支出140.5万元。年末结转约69.7万元。以上项目支付依据合理合规合法，资金支付与预算基本相符。</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w:t>
      </w:r>
      <w:r>
        <w:rPr>
          <w:rFonts w:hint="eastAsia" w:ascii="楷体_GB2312" w:hAnsi="楷体_GB2312" w:eastAsia="楷体_GB2312" w:cs="楷体_GB2312"/>
          <w:b/>
          <w:color w:val="000000"/>
          <w:sz w:val="32"/>
          <w:szCs w:val="32"/>
          <w:lang w:val="en-US" w:eastAsia="zh-CN"/>
        </w:rPr>
        <w:t>三</w:t>
      </w:r>
      <w:r>
        <w:rPr>
          <w:rFonts w:hint="eastAsia" w:ascii="楷体_GB2312" w:hAnsi="楷体_GB2312" w:eastAsia="楷体_GB2312" w:cs="楷体_GB2312"/>
          <w:b/>
          <w:color w:val="000000"/>
          <w:sz w:val="32"/>
          <w:szCs w:val="32"/>
        </w:rPr>
        <w:t>）项目财务管理情况</w:t>
      </w:r>
    </w:p>
    <w:p>
      <w:pPr>
        <w:spacing w:line="600" w:lineRule="exact"/>
        <w:ind w:firstLine="640" w:firstLineChars="200"/>
        <w:outlineLvl w:val="1"/>
        <w:rPr>
          <w:rFonts w:hint="eastAsia" w:ascii="仿宋_GB2312" w:hAnsi="仿宋_GB2312" w:eastAsia="仿宋_GB2312" w:cs="仿宋_GB2312"/>
          <w:sz w:val="32"/>
          <w:szCs w:val="32"/>
        </w:rPr>
      </w:pPr>
      <w:bookmarkStart w:id="168" w:name="_Toc28864"/>
      <w:r>
        <w:rPr>
          <w:rFonts w:hint="eastAsia" w:ascii="仿宋_GB2312" w:hAnsi="仿宋_GB2312" w:eastAsia="仿宋_GB2312" w:cs="仿宋_GB2312"/>
          <w:color w:val="000000"/>
          <w:sz w:val="32"/>
          <w:szCs w:val="32"/>
        </w:rPr>
        <w:t>根据有关财务管理要求，制定了本单位财务管理制度，在不断</w:t>
      </w:r>
      <w:r>
        <w:rPr>
          <w:rFonts w:hint="eastAsia" w:ascii="仿宋_GB2312" w:hAnsi="仿宋_GB2312" w:eastAsia="仿宋_GB2312" w:cs="仿宋_GB2312"/>
          <w:sz w:val="32"/>
          <w:szCs w:val="32"/>
        </w:rPr>
        <w:t>提升财务人员管理能力和水平的同时，明确内部职责分工，</w:t>
      </w:r>
      <w:r>
        <w:rPr>
          <w:rFonts w:hint="eastAsia" w:ascii="仿宋_GB2312" w:hAnsi="仿宋_GB2312" w:eastAsia="仿宋_GB2312" w:cs="仿宋_GB2312"/>
          <w:color w:val="000000"/>
          <w:sz w:val="32"/>
          <w:szCs w:val="32"/>
        </w:rPr>
        <w:t>落实</w:t>
      </w:r>
      <w:r>
        <w:rPr>
          <w:rFonts w:hint="eastAsia" w:ascii="仿宋_GB2312" w:hAnsi="仿宋_GB2312" w:eastAsia="仿宋_GB2312" w:cs="仿宋_GB2312"/>
          <w:sz w:val="32"/>
          <w:szCs w:val="32"/>
        </w:rPr>
        <w:t>责任主体，对单位预算完整性、规范性、真实性以及执行结果、绩效结果负责；对会计工作和会计资料的真实性、完整性负责。做到“一把手”坚决履行第一责任人职责，分管负责人和经办人履行好直接责任。根据《进一步严肃财经纪律加强财务管理的指导意见》有的放矢建立健全财务管理常态长效机制，堵塞漏洞、强化约束，对未纳入预算的不得安排支出，筑牢财政资金资产安全防线。确保财务管理工作规范有序、管控有力。</w:t>
      </w:r>
      <w:bookmarkEnd w:id="168"/>
    </w:p>
    <w:p>
      <w:pPr>
        <w:keepNext w:val="0"/>
        <w:keepLines w:val="0"/>
        <w:pageBreakBefore w:val="0"/>
        <w:numPr>
          <w:ilvl w:val="0"/>
          <w:numId w:val="0"/>
        </w:numPr>
        <w:kinsoku/>
        <w:wordWrap/>
        <w:overflowPunct/>
        <w:topLinePunct w:val="0"/>
        <w:autoSpaceDE/>
        <w:autoSpaceDN/>
        <w:bidi w:val="0"/>
        <w:adjustRightInd w:val="0"/>
        <w:snapToGrid w:val="0"/>
        <w:spacing w:line="600" w:lineRule="exact"/>
        <w:ind w:left="640" w:leftChars="0"/>
        <w:textAlignment w:val="auto"/>
        <w:rPr>
          <w:rFonts w:hint="eastAsia" w:ascii="黑体" w:hAnsi="宋体" w:eastAsia="黑体" w:cs="Times New Roman"/>
          <w:color w:val="auto"/>
          <w:sz w:val="32"/>
          <w:szCs w:val="32"/>
          <w:highlight w:val="none"/>
        </w:rPr>
      </w:pPr>
      <w:r>
        <w:rPr>
          <w:rFonts w:hint="eastAsia" w:ascii="黑体" w:hAnsi="宋体" w:eastAsia="黑体" w:cs="Times New Roman"/>
          <w:color w:val="auto"/>
          <w:sz w:val="32"/>
          <w:szCs w:val="32"/>
          <w:highlight w:val="none"/>
          <w:lang w:val="en-US" w:eastAsia="zh-CN"/>
        </w:rPr>
        <w:t>三、</w:t>
      </w:r>
      <w:r>
        <w:rPr>
          <w:rFonts w:hint="eastAsia" w:ascii="黑体" w:hAnsi="宋体" w:eastAsia="黑体" w:cs="Times New Roman"/>
          <w:color w:val="auto"/>
          <w:sz w:val="32"/>
          <w:szCs w:val="32"/>
          <w:highlight w:val="none"/>
        </w:rPr>
        <w:t>项目实施及管理情况</w:t>
      </w:r>
    </w:p>
    <w:p>
      <w:pPr>
        <w:numPr>
          <w:ilvl w:val="0"/>
          <w:numId w:val="19"/>
        </w:numPr>
        <w:spacing w:line="600" w:lineRule="exact"/>
        <w:ind w:left="0" w:leftChars="0" w:firstLine="420" w:firstLineChars="0"/>
        <w:rPr>
          <w:rFonts w:hint="eastAsia" w:ascii="仿宋_GB2312" w:eastAsia="仿宋_GB2312"/>
          <w:b/>
          <w:bCs/>
          <w:sz w:val="32"/>
          <w:szCs w:val="32"/>
        </w:rPr>
      </w:pPr>
      <w:r>
        <w:rPr>
          <w:rFonts w:hint="eastAsia" w:ascii="仿宋_GB2312" w:eastAsia="仿宋_GB2312"/>
          <w:b/>
          <w:bCs/>
          <w:sz w:val="32"/>
          <w:szCs w:val="32"/>
          <w:lang w:val="zh-CN"/>
        </w:rPr>
        <w:t>项目组织架构及实施流程。</w:t>
      </w:r>
    </w:p>
    <w:p>
      <w:pPr>
        <w:spacing w:line="600" w:lineRule="exact"/>
        <w:ind w:firstLine="640" w:firstLineChars="200"/>
        <w:rPr>
          <w:rFonts w:hint="eastAsia" w:ascii="仿宋_GB2312" w:hAnsi="宋体" w:eastAsia="仿宋_GB2312" w:cs="Times New Roman"/>
          <w:color w:val="auto"/>
          <w:sz w:val="32"/>
          <w:szCs w:val="32"/>
          <w:highlight w:val="none"/>
          <w:lang w:val="en-US" w:eastAsia="zh-CN"/>
        </w:rPr>
      </w:pPr>
      <w:r>
        <w:rPr>
          <w:rFonts w:hint="eastAsia" w:ascii="仿宋_GB2312" w:hAnsi="宋体" w:eastAsia="仿宋_GB2312" w:cs="Times New Roman"/>
          <w:color w:val="auto"/>
          <w:sz w:val="32"/>
          <w:szCs w:val="32"/>
          <w:highlight w:val="none"/>
          <w:lang w:val="en-US" w:eastAsia="zh-CN"/>
        </w:rPr>
        <w:t>市教育局牵头，市教科所负责具体实施，筹划并组织全市教育教学质量监测工作，全面统筹</w:t>
      </w:r>
      <w:r>
        <w:rPr>
          <w:rFonts w:hint="eastAsia" w:ascii="仿宋_GB2312" w:hAnsi="仿宋_GB2312" w:eastAsia="仿宋_GB2312" w:cs="仿宋_GB2312"/>
          <w:color w:val="000000"/>
          <w:sz w:val="32"/>
          <w:szCs w:val="32"/>
        </w:rPr>
        <w:t>经费预算、统筹管理、组织实施、质量分析评估</w:t>
      </w:r>
      <w:r>
        <w:rPr>
          <w:rFonts w:hint="eastAsia" w:ascii="仿宋_GB2312" w:hAnsi="宋体" w:eastAsia="仿宋_GB2312" w:cs="Times New Roman"/>
          <w:color w:val="auto"/>
          <w:sz w:val="32"/>
          <w:szCs w:val="32"/>
          <w:highlight w:val="none"/>
          <w:lang w:val="en-US" w:eastAsia="zh-CN"/>
        </w:rPr>
        <w:t>工作。该</w:t>
      </w:r>
      <w:r>
        <w:rPr>
          <w:rFonts w:hint="eastAsia" w:ascii="仿宋_GB2312" w:hAnsi="仿宋_GB2312" w:eastAsia="仿宋_GB2312" w:cs="仿宋_GB2312"/>
          <w:color w:val="000000"/>
          <w:sz w:val="32"/>
          <w:szCs w:val="32"/>
        </w:rPr>
        <w:t>项目按照</w:t>
      </w:r>
      <w:r>
        <w:rPr>
          <w:rFonts w:hint="eastAsia" w:ascii="仿宋_GB2312" w:eastAsia="仿宋_GB2312"/>
          <w:color w:val="000000"/>
          <w:sz w:val="32"/>
          <w:szCs w:val="32"/>
        </w:rPr>
        <w:t>《</w:t>
      </w:r>
      <w:r>
        <w:rPr>
          <w:rFonts w:ascii="仿宋_GB2312" w:hAnsi="宋体" w:eastAsia="仿宋_GB2312" w:cs="仿宋_GB2312"/>
          <w:color w:val="000000"/>
          <w:kern w:val="0"/>
          <w:sz w:val="32"/>
          <w:szCs w:val="32"/>
          <w:lang w:bidi="ar"/>
        </w:rPr>
        <w:t>教育部关于加强和改进新时代基础教育</w:t>
      </w:r>
      <w:r>
        <w:rPr>
          <w:rFonts w:hint="eastAsia" w:ascii="仿宋_GB2312" w:hAnsi="宋体" w:eastAsia="仿宋_GB2312" w:cs="仿宋_GB2312"/>
          <w:color w:val="000000"/>
          <w:kern w:val="0"/>
          <w:sz w:val="32"/>
          <w:szCs w:val="32"/>
          <w:lang w:bidi="ar"/>
        </w:rPr>
        <w:t>教研工作的意见》</w:t>
      </w:r>
      <w:r>
        <w:rPr>
          <w:rFonts w:hint="eastAsia" w:ascii="仿宋_GB2312" w:hAnsi="仿宋_GB2312" w:eastAsia="仿宋_GB2312" w:cs="仿宋_GB2312"/>
          <w:color w:val="000000"/>
          <w:sz w:val="32"/>
          <w:szCs w:val="32"/>
        </w:rPr>
        <w:t>规定，因疫情原因，结合学校实际</w:t>
      </w:r>
      <w:r>
        <w:rPr>
          <w:rFonts w:hint="eastAsia" w:ascii="仿宋_GB2312" w:eastAsia="仿宋_GB2312"/>
          <w:sz w:val="32"/>
          <w:szCs w:val="32"/>
        </w:rPr>
        <w:t>全方位开展线上、线下课堂教学展评，以赛促教，引领学科课堂教学，促进教师成长；聚力教育改革，加强中、高考改革研究。把握高考新动向，主动对接新高考改革；强化高三复习教学研讨、助力高考备考；保稳定，促发展，稳步推进中考改革相关工作。加强管理、向管理要质量、以规范促提升。进一步加强教学监测“六统一”工作；加强全市高中教学情况和教学质量的监控工作；为此很多学校也将监测评估结果纳入学校考评</w:t>
      </w:r>
      <w:r>
        <w:rPr>
          <w:rFonts w:hint="eastAsia" w:ascii="仿宋_GB2312" w:hAnsi="仿宋_GB2312" w:eastAsia="仿宋_GB2312" w:cs="仿宋_GB2312"/>
          <w:color w:val="000000"/>
          <w:sz w:val="32"/>
          <w:szCs w:val="32"/>
        </w:rPr>
        <w:t>。</w:t>
      </w:r>
    </w:p>
    <w:p>
      <w:pPr>
        <w:numPr>
          <w:ilvl w:val="0"/>
          <w:numId w:val="19"/>
        </w:numPr>
        <w:spacing w:line="600" w:lineRule="exact"/>
        <w:ind w:left="0" w:leftChars="0" w:firstLine="420" w:firstLineChars="0"/>
        <w:rPr>
          <w:rFonts w:hint="eastAsia" w:ascii="仿宋_GB2312" w:eastAsia="仿宋_GB2312"/>
          <w:b/>
          <w:bCs/>
          <w:sz w:val="32"/>
          <w:szCs w:val="32"/>
          <w:lang w:val="zh-CN"/>
        </w:rPr>
      </w:pPr>
      <w:r>
        <w:rPr>
          <w:rFonts w:hint="eastAsia" w:ascii="仿宋_GB2312" w:eastAsia="仿宋_GB2312"/>
          <w:b/>
          <w:bCs/>
          <w:sz w:val="32"/>
          <w:szCs w:val="32"/>
          <w:lang w:val="zh-CN"/>
        </w:rPr>
        <w:t>项目管理情况。</w:t>
      </w:r>
    </w:p>
    <w:p>
      <w:pPr>
        <w:pStyle w:val="33"/>
        <w:numPr>
          <w:ilvl w:val="0"/>
          <w:numId w:val="0"/>
        </w:numPr>
        <w:ind w:firstLine="640" w:firstLineChars="200"/>
        <w:rPr>
          <w:rFonts w:hint="eastAsia" w:ascii="仿宋_GB2312" w:hAnsi="宋体" w:eastAsia="仿宋_GB2312" w:cs="Times New Roman"/>
          <w:color w:val="auto"/>
          <w:sz w:val="32"/>
          <w:szCs w:val="32"/>
          <w:highlight w:val="none"/>
          <w:lang w:val="zh-CN" w:eastAsia="zh-CN"/>
        </w:rPr>
      </w:pPr>
      <w:r>
        <w:rPr>
          <w:rFonts w:hint="eastAsia" w:ascii="仿宋_GB2312" w:hAnsi="宋体" w:eastAsia="仿宋_GB2312" w:cs="Times New Roman"/>
          <w:color w:val="auto"/>
          <w:sz w:val="32"/>
          <w:szCs w:val="32"/>
          <w:highlight w:val="none"/>
          <w:lang w:val="zh-CN" w:eastAsia="zh-CN"/>
        </w:rPr>
        <w:t>项目实施</w:t>
      </w:r>
      <w:r>
        <w:rPr>
          <w:rFonts w:hint="eastAsia" w:ascii="仿宋_GB2312" w:hAnsi="宋体" w:eastAsia="仿宋_GB2312" w:cs="Times New Roman"/>
          <w:color w:val="auto"/>
          <w:sz w:val="32"/>
          <w:szCs w:val="32"/>
          <w:highlight w:val="none"/>
          <w:lang w:val="en-US" w:eastAsia="zh-CN"/>
        </w:rPr>
        <w:t>过程中，严格按照</w:t>
      </w:r>
      <w:r>
        <w:rPr>
          <w:rFonts w:hint="eastAsia" w:ascii="仿宋_GB2312" w:hAnsi="宋体" w:eastAsia="仿宋_GB2312" w:cs="Times New Roman"/>
          <w:color w:val="auto"/>
          <w:sz w:val="32"/>
          <w:szCs w:val="32"/>
          <w:highlight w:val="none"/>
          <w:lang w:val="zh-CN" w:eastAsia="zh-CN"/>
        </w:rPr>
        <w:t>相关法律法规及项目管理制度等</w:t>
      </w:r>
      <w:r>
        <w:rPr>
          <w:rFonts w:hint="eastAsia" w:ascii="仿宋_GB2312" w:hAnsi="宋体" w:eastAsia="仿宋_GB2312" w:cs="Times New Roman"/>
          <w:color w:val="auto"/>
          <w:sz w:val="32"/>
          <w:szCs w:val="32"/>
          <w:highlight w:val="none"/>
          <w:lang w:val="en-US" w:eastAsia="zh-CN"/>
        </w:rPr>
        <w:t>相关规定</w:t>
      </w:r>
      <w:r>
        <w:rPr>
          <w:rFonts w:hint="eastAsia" w:ascii="仿宋_GB2312" w:hAnsi="宋体" w:eastAsia="仿宋_GB2312" w:cs="Times New Roman"/>
          <w:color w:val="auto"/>
          <w:sz w:val="32"/>
          <w:szCs w:val="32"/>
          <w:highlight w:val="none"/>
          <w:lang w:val="zh-CN" w:eastAsia="zh-CN"/>
        </w:rPr>
        <w:t>执行。</w:t>
      </w:r>
    </w:p>
    <w:p>
      <w:pPr>
        <w:pStyle w:val="33"/>
        <w:numPr>
          <w:ilvl w:val="0"/>
          <w:numId w:val="19"/>
        </w:numPr>
        <w:ind w:left="0" w:leftChars="0" w:firstLine="420" w:firstLineChars="0"/>
        <w:rPr>
          <w:rFonts w:hint="eastAsia" w:ascii="仿宋_GB2312" w:hAnsi="仿宋_GB2312" w:eastAsia="仿宋_GB2312" w:cs="仿宋_GB2312"/>
          <w:color w:val="000000"/>
          <w:sz w:val="32"/>
          <w:szCs w:val="32"/>
        </w:rPr>
      </w:pPr>
      <w:r>
        <w:rPr>
          <w:rFonts w:hint="eastAsia" w:ascii="楷体_GB2312" w:hAnsi="宋体" w:eastAsia="楷体_GB2312" w:cs="Times New Roman"/>
          <w:b/>
          <w:color w:val="auto"/>
          <w:sz w:val="32"/>
          <w:szCs w:val="32"/>
          <w:highlight w:val="none"/>
          <w:lang w:val="zh-CN"/>
        </w:rPr>
        <w:t>项目监管情况。</w:t>
      </w:r>
    </w:p>
    <w:p>
      <w:pPr>
        <w:pStyle w:val="33"/>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sz w:val="32"/>
          <w:szCs w:val="32"/>
        </w:rPr>
      </w:pPr>
      <w:r>
        <w:rPr>
          <w:rFonts w:hint="eastAsia" w:ascii="仿宋_GB2312" w:hAnsi="宋体" w:eastAsia="仿宋_GB2312" w:cs="Times New Roman"/>
          <w:color w:val="auto"/>
          <w:sz w:val="32"/>
          <w:szCs w:val="32"/>
          <w:highlight w:val="none"/>
          <w:lang w:val="en-US" w:eastAsia="zh-CN"/>
        </w:rPr>
        <w:t>市教育局</w:t>
      </w:r>
      <w:r>
        <w:rPr>
          <w:rFonts w:hint="eastAsia" w:ascii="仿宋_GB2312" w:hAnsi="宋体" w:eastAsia="仿宋_GB2312" w:cs="Times New Roman"/>
          <w:color w:val="auto"/>
          <w:sz w:val="32"/>
          <w:szCs w:val="32"/>
          <w:highlight w:val="none"/>
          <w:lang w:val="zh-CN"/>
        </w:rPr>
        <w:t>加强</w:t>
      </w:r>
      <w:r>
        <w:rPr>
          <w:rFonts w:hint="eastAsia" w:ascii="仿宋_GB2312" w:hAnsi="宋体" w:eastAsia="仿宋_GB2312" w:cs="Times New Roman"/>
          <w:color w:val="auto"/>
          <w:sz w:val="32"/>
          <w:szCs w:val="32"/>
          <w:highlight w:val="none"/>
          <w:lang w:val="en-US" w:eastAsia="zh-CN"/>
        </w:rPr>
        <w:t>该</w:t>
      </w:r>
      <w:r>
        <w:rPr>
          <w:rFonts w:hint="eastAsia" w:ascii="仿宋_GB2312" w:hAnsi="宋体" w:eastAsia="仿宋_GB2312" w:cs="Times New Roman"/>
          <w:color w:val="auto"/>
          <w:sz w:val="32"/>
          <w:szCs w:val="32"/>
          <w:highlight w:val="none"/>
          <w:lang w:val="zh-CN"/>
        </w:rPr>
        <w:t>项目</w:t>
      </w:r>
      <w:r>
        <w:rPr>
          <w:rFonts w:hint="eastAsia" w:ascii="仿宋_GB2312" w:hAnsi="宋体" w:eastAsia="仿宋_GB2312" w:cs="Times New Roman"/>
          <w:color w:val="auto"/>
          <w:sz w:val="32"/>
          <w:szCs w:val="32"/>
          <w:highlight w:val="none"/>
          <w:lang w:val="en-US" w:eastAsia="zh-CN"/>
        </w:rPr>
        <w:t>实施</w:t>
      </w:r>
      <w:r>
        <w:rPr>
          <w:rFonts w:hint="eastAsia" w:ascii="仿宋_GB2312" w:hAnsi="宋体" w:eastAsia="仿宋_GB2312" w:cs="Times New Roman"/>
          <w:color w:val="auto"/>
          <w:sz w:val="32"/>
          <w:szCs w:val="32"/>
          <w:highlight w:val="none"/>
          <w:lang w:val="zh-CN"/>
        </w:rPr>
        <w:t>管理，</w:t>
      </w:r>
      <w:r>
        <w:rPr>
          <w:rFonts w:hint="eastAsia" w:ascii="仿宋_GB2312" w:hAnsi="宋体" w:eastAsia="仿宋_GB2312" w:cs="Times New Roman"/>
          <w:color w:val="auto"/>
          <w:sz w:val="32"/>
          <w:szCs w:val="32"/>
          <w:highlight w:val="none"/>
          <w:lang w:val="en-US" w:eastAsia="zh-CN"/>
        </w:rPr>
        <w:t>一是重视项目前期审定工作；二是项目执行中资金的使用监督，保障教育监测工作正常开展。该项目在2021年顺利完成，保障了我市教育教学质量监测工作的有序开展，并取得了良好的成效。</w:t>
      </w:r>
    </w:p>
    <w:p>
      <w:pPr>
        <w:numPr>
          <w:ilvl w:val="0"/>
          <w:numId w:val="0"/>
        </w:numPr>
        <w:adjustRightInd w:val="0"/>
        <w:snapToGrid w:val="0"/>
        <w:spacing w:line="600" w:lineRule="exact"/>
        <w:ind w:left="720" w:leftChars="0"/>
        <w:rPr>
          <w:rFonts w:hint="eastAsia" w:ascii="黑体" w:hAnsi="黑体" w:eastAsia="黑体" w:cs="黑体"/>
          <w:color w:val="000000"/>
          <w:sz w:val="32"/>
          <w:szCs w:val="32"/>
        </w:rPr>
      </w:pPr>
      <w:r>
        <w:rPr>
          <w:rFonts w:hint="eastAsia" w:ascii="黑体" w:hAnsi="黑体" w:eastAsia="黑体" w:cs="黑体"/>
          <w:color w:val="000000"/>
          <w:sz w:val="32"/>
          <w:szCs w:val="32"/>
          <w:lang w:val="en-US" w:eastAsia="zh-CN"/>
        </w:rPr>
        <w:t>四</w:t>
      </w:r>
      <w:r>
        <w:rPr>
          <w:rFonts w:hint="eastAsia" w:ascii="黑体" w:hAnsi="黑体" w:eastAsia="黑体" w:cs="黑体"/>
          <w:color w:val="000000"/>
          <w:sz w:val="32"/>
          <w:szCs w:val="32"/>
        </w:rPr>
        <w:t>、项目绩效情况</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（一）项目完成情况</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2021年规划实施重点项目1个，实际实施项目1个。</w:t>
      </w:r>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2021年各学科开展二次及以上教学研究、管理、指导、培训等活动。开展了教育科研课题管理，指导省、市级在研课题各一次；开展全市教学监测评估工作，</w:t>
      </w:r>
      <w:r>
        <w:rPr>
          <w:rFonts w:hint="eastAsia" w:ascii="仿宋_GB2312" w:eastAsia="仿宋_GB2312"/>
          <w:sz w:val="32"/>
          <w:szCs w:val="32"/>
        </w:rPr>
        <w:t>全年完成了3次高三适应性监测、2次高中修业年级期末监测、1次义务教育阶段质量监测、2次职业教育质量监测工作，</w:t>
      </w:r>
      <w:r>
        <w:rPr>
          <w:rFonts w:hint="eastAsia" w:ascii="仿宋_GB2312" w:hAnsi="仿宋_GB2312" w:eastAsia="仿宋_GB2312" w:cs="仿宋_GB2312"/>
          <w:color w:val="000000"/>
          <w:sz w:val="32"/>
          <w:szCs w:val="32"/>
        </w:rPr>
        <w:t>2次直属学校1-9年级义务教育监测评估工作；</w:t>
      </w:r>
      <w:r>
        <w:rPr>
          <w:rFonts w:hint="eastAsia" w:ascii="仿宋_GB2312" w:eastAsia="仿宋_GB2312"/>
          <w:sz w:val="32"/>
          <w:szCs w:val="32"/>
        </w:rPr>
        <w:t>完成了初中学业及高中阶段学校招生统一考试命题审题工作；</w:t>
      </w:r>
      <w:r>
        <w:rPr>
          <w:rFonts w:hint="eastAsia" w:ascii="仿宋_GB2312" w:hAnsi="仿宋_GB2312" w:eastAsia="仿宋_GB2312" w:cs="仿宋_GB2312"/>
          <w:color w:val="000000"/>
          <w:sz w:val="32"/>
          <w:szCs w:val="32"/>
        </w:rPr>
        <w:t>完成教学视导工作2次。完成率达到100%。</w:t>
      </w:r>
      <w:r>
        <w:rPr>
          <w:rFonts w:hint="eastAsia" w:ascii="楷体_GB2312" w:hAnsi="楷体_GB2312" w:eastAsia="楷体_GB2312" w:cs="楷体_GB2312"/>
          <w:sz w:val="24"/>
        </w:rPr>
        <w:t xml:space="preserve"> </w:t>
      </w:r>
    </w:p>
    <w:p>
      <w:pPr>
        <w:numPr>
          <w:ilvl w:val="0"/>
          <w:numId w:val="0"/>
        </w:num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lang w:eastAsia="zh-CN"/>
        </w:rPr>
        <w:t>（</w:t>
      </w:r>
      <w:r>
        <w:rPr>
          <w:rFonts w:hint="eastAsia" w:ascii="楷体_GB2312" w:hAnsi="楷体_GB2312" w:eastAsia="楷体_GB2312" w:cs="楷体_GB2312"/>
          <w:b/>
          <w:color w:val="000000"/>
          <w:sz w:val="32"/>
          <w:szCs w:val="32"/>
          <w:lang w:val="en-US" w:eastAsia="zh-CN"/>
        </w:rPr>
        <w:t>二</w:t>
      </w:r>
      <w:r>
        <w:rPr>
          <w:rFonts w:hint="eastAsia" w:ascii="楷体_GB2312" w:hAnsi="楷体_GB2312" w:eastAsia="楷体_GB2312" w:cs="楷体_GB2312"/>
          <w:b/>
          <w:color w:val="000000"/>
          <w:sz w:val="32"/>
          <w:szCs w:val="32"/>
          <w:lang w:eastAsia="zh-CN"/>
        </w:rPr>
        <w:t>）</w:t>
      </w:r>
      <w:r>
        <w:rPr>
          <w:rFonts w:hint="eastAsia" w:ascii="楷体_GB2312" w:hAnsi="楷体_GB2312" w:eastAsia="楷体_GB2312" w:cs="楷体_GB2312"/>
          <w:b/>
          <w:color w:val="000000"/>
          <w:sz w:val="32"/>
          <w:szCs w:val="32"/>
        </w:rPr>
        <w:t>项目效益情况</w:t>
      </w:r>
    </w:p>
    <w:p>
      <w:pPr>
        <w:spacing w:line="600" w:lineRule="exact"/>
        <w:ind w:firstLine="640" w:firstLineChars="200"/>
        <w:rPr>
          <w:rFonts w:hint="eastAsia"/>
        </w:rPr>
      </w:pPr>
      <w:r>
        <w:rPr>
          <w:rFonts w:hint="eastAsia" w:ascii="仿宋_GB2312" w:hAnsi="仿宋_GB2312" w:eastAsia="仿宋_GB2312" w:cs="仿宋_GB2312"/>
          <w:sz w:val="32"/>
          <w:szCs w:val="32"/>
        </w:rPr>
        <w:t>通过</w:t>
      </w:r>
      <w:r>
        <w:rPr>
          <w:rFonts w:hint="eastAsia" w:ascii="仿宋_GB2312" w:hAnsi="仿宋_GB2312" w:eastAsia="仿宋_GB2312" w:cs="仿宋_GB2312"/>
          <w:color w:val="000000"/>
          <w:sz w:val="32"/>
          <w:szCs w:val="32"/>
        </w:rPr>
        <w:t>全市教学质量监测评估</w:t>
      </w:r>
      <w:r>
        <w:rPr>
          <w:rFonts w:hint="eastAsia" w:ascii="仿宋_GB2312" w:hAnsi="仿宋_GB2312" w:eastAsia="仿宋_GB2312" w:cs="仿宋_GB2312"/>
          <w:sz w:val="32"/>
          <w:szCs w:val="32"/>
        </w:rPr>
        <w:t>，推进全市课程改革深化发展，成果转化、在全市推广，推广面达到100%；促进学生可持续发展，提升教育质量，教学质量稳中有升；改革监测方式和内容，使群众满意率达到90 % 。</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cs="Times New Roman"/>
          <w:color w:val="auto"/>
          <w:sz w:val="32"/>
          <w:szCs w:val="32"/>
          <w:highlight w:val="none"/>
        </w:rPr>
      </w:pPr>
      <w:r>
        <w:rPr>
          <w:rFonts w:hint="eastAsia" w:ascii="黑体" w:hAnsi="宋体" w:eastAsia="黑体" w:cs="Times New Roman"/>
          <w:color w:val="auto"/>
          <w:sz w:val="32"/>
          <w:szCs w:val="32"/>
          <w:highlight w:val="none"/>
        </w:rPr>
        <w:t>五、评价结论及建议</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（一）评价结论。</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lang w:val="zh-CN"/>
        </w:rPr>
      </w:pPr>
      <w:r>
        <w:rPr>
          <w:rFonts w:hint="eastAsia" w:ascii="仿宋_GB2312" w:hAnsi="宋体" w:eastAsia="仿宋_GB2312" w:cs="Times New Roman"/>
          <w:color w:val="auto"/>
          <w:sz w:val="32"/>
          <w:szCs w:val="32"/>
          <w:highlight w:val="none"/>
          <w:lang w:val="en-US" w:eastAsia="zh-CN"/>
        </w:rPr>
        <w:t>该</w:t>
      </w:r>
      <w:r>
        <w:rPr>
          <w:rFonts w:hint="eastAsia" w:ascii="仿宋_GB2312" w:hAnsi="宋体" w:eastAsia="仿宋_GB2312" w:cs="Times New Roman"/>
          <w:color w:val="auto"/>
          <w:sz w:val="32"/>
          <w:szCs w:val="32"/>
          <w:highlight w:val="none"/>
          <w:lang w:val="zh-CN" w:eastAsia="zh-CN"/>
        </w:rPr>
        <w:t>项目的实施确保了</w:t>
      </w:r>
      <w:r>
        <w:rPr>
          <w:rFonts w:hint="eastAsia" w:ascii="仿宋_GB2312" w:hAnsi="宋体" w:eastAsia="仿宋_GB2312" w:cs="Times New Roman"/>
          <w:color w:val="auto"/>
          <w:sz w:val="32"/>
          <w:szCs w:val="32"/>
          <w:highlight w:val="none"/>
          <w:lang w:val="en-US" w:eastAsia="zh-CN"/>
        </w:rPr>
        <w:t>全市教育教学质量监测</w:t>
      </w:r>
      <w:r>
        <w:rPr>
          <w:rFonts w:hint="eastAsia" w:ascii="仿宋_GB2312" w:hAnsi="宋体" w:eastAsia="仿宋_GB2312" w:cs="Times New Roman"/>
          <w:color w:val="auto"/>
          <w:sz w:val="32"/>
          <w:szCs w:val="32"/>
          <w:highlight w:val="none"/>
          <w:lang w:val="zh-CN" w:eastAsia="zh-CN"/>
        </w:rPr>
        <w:t>的顺利进行，群众满意度较高。</w:t>
      </w:r>
    </w:p>
    <w:p>
      <w:pPr>
        <w:keepNext w:val="0"/>
        <w:keepLines w:val="0"/>
        <w:pageBreakBefore w:val="0"/>
        <w:numPr>
          <w:ilvl w:val="0"/>
          <w:numId w:val="20"/>
        </w:numPr>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存在的问题。</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lang w:val="zh-CN"/>
        </w:rPr>
      </w:pPr>
      <w:r>
        <w:rPr>
          <w:rFonts w:hint="eastAsia" w:ascii="仿宋_GB2312" w:hAnsi="仿宋_GB2312" w:eastAsia="仿宋_GB2312" w:cs="仿宋_GB2312"/>
          <w:color w:val="000000"/>
          <w:sz w:val="32"/>
          <w:szCs w:val="32"/>
        </w:rPr>
        <w:t>全市教学质量监测评估项目预算资金拨付与项目实施进度有一定的时间差，导致部分项目资金跨年度使用。</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（三）相关建议。</w:t>
      </w:r>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教科所</w:t>
      </w:r>
      <w:r>
        <w:rPr>
          <w:rFonts w:hint="eastAsia" w:ascii="仿宋_GB2312" w:hAnsi="仿宋_GB2312" w:eastAsia="仿宋_GB2312" w:cs="仿宋_GB2312"/>
          <w:color w:val="000000"/>
          <w:sz w:val="32"/>
          <w:szCs w:val="32"/>
        </w:rPr>
        <w:t>实施该项目由财政全额拨款已10年有余，建议将该项目纳入年初预算，市财政年初下达预算指标，以确保全市教学质量监测评估项目按照规划有序组织实施。</w:t>
      </w:r>
    </w:p>
    <w:p>
      <w:pPr>
        <w:pStyle w:val="6"/>
        <w:rPr>
          <w:rFonts w:hint="eastAsia" w:ascii="仿宋_GB2312" w:hAnsi="仿宋_GB2312" w:eastAsia="仿宋_GB2312" w:cs="仿宋_GB2312"/>
          <w:color w:val="000000"/>
          <w:sz w:val="32"/>
          <w:szCs w:val="32"/>
        </w:rPr>
      </w:pPr>
    </w:p>
    <w:p>
      <w:pPr>
        <w:rPr>
          <w:rFonts w:hint="eastAsia" w:eastAsia="仿宋_GB2312"/>
          <w:lang w:val="en-US" w:eastAsia="zh-CN"/>
        </w:rPr>
      </w:pPr>
      <w:r>
        <w:rPr>
          <w:rFonts w:hint="eastAsia" w:ascii="仿宋_GB2312" w:hAnsi="仿宋_GB2312" w:eastAsia="仿宋_GB2312" w:cs="仿宋_GB2312"/>
          <w:color w:val="000000"/>
          <w:sz w:val="32"/>
          <w:szCs w:val="32"/>
          <w:lang w:val="en-US" w:eastAsia="zh-CN"/>
        </w:rPr>
        <w:t>附表</w:t>
      </w:r>
    </w:p>
    <w:p>
      <w:pPr>
        <w:pStyle w:val="2"/>
        <w:jc w:val="center"/>
        <w:rPr>
          <w:rFonts w:hint="eastAsia" w:hAnsi="宋体" w:cs="宋体"/>
          <w:color w:val="auto"/>
          <w:kern w:val="0"/>
          <w:sz w:val="32"/>
          <w:szCs w:val="32"/>
          <w:highlight w:val="none"/>
          <w:shd w:val="clear" w:color="auto" w:fill="FFFFFF"/>
          <w:lang w:val="zh-CN"/>
        </w:rPr>
      </w:pPr>
      <w:r>
        <w:rPr>
          <w:rFonts w:hint="eastAsia" w:ascii="宋体" w:hAnsi="宋体" w:eastAsia="宋体" w:cs="宋体"/>
          <w:b/>
          <w:i w:val="0"/>
          <w:color w:val="auto"/>
          <w:sz w:val="32"/>
          <w:szCs w:val="32"/>
          <w:highlight w:val="none"/>
          <w:u w:val="none"/>
          <w:lang w:val="en-US" w:eastAsia="zh-CN"/>
        </w:rPr>
        <w:t>2021年部门预算项目绩效目标自评</w:t>
      </w:r>
    </w:p>
    <w:tbl>
      <w:tblPr>
        <w:tblStyle w:val="15"/>
        <w:tblpPr w:leftFromText="180" w:rightFromText="180" w:vertAnchor="text" w:horzAnchor="page" w:tblpX="1201" w:tblpY="651"/>
        <w:tblOverlap w:val="never"/>
        <w:tblW w:w="99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9"/>
        <w:gridCol w:w="840"/>
        <w:gridCol w:w="840"/>
        <w:gridCol w:w="1397"/>
        <w:gridCol w:w="1755"/>
        <w:gridCol w:w="3449"/>
        <w:gridCol w:w="9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4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750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教育专项资金教育质量监测、研讨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4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主管单位</w:t>
            </w:r>
          </w:p>
        </w:tc>
        <w:tc>
          <w:tcPr>
            <w:tcW w:w="1397"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广元市教育局</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实施单位</w:t>
            </w:r>
          </w:p>
        </w:tc>
        <w:tc>
          <w:tcPr>
            <w:tcW w:w="4349"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广元市教育科学研究所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7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执行</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情况</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（万元）</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预算数：</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81.68万元</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执行数：</w:t>
            </w:r>
          </w:p>
        </w:tc>
        <w:tc>
          <w:tcPr>
            <w:tcW w:w="43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140.5万元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其中：财政拨款</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81.68万元</w:t>
            </w:r>
          </w:p>
        </w:tc>
        <w:tc>
          <w:tcPr>
            <w:tcW w:w="1755"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其中：财政拨款</w:t>
            </w:r>
          </w:p>
        </w:tc>
        <w:tc>
          <w:tcPr>
            <w:tcW w:w="43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140.5万元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其他资金</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55"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其他资金</w:t>
            </w:r>
          </w:p>
        </w:tc>
        <w:tc>
          <w:tcPr>
            <w:tcW w:w="43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目标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完成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情况</w:t>
            </w:r>
          </w:p>
        </w:tc>
        <w:tc>
          <w:tcPr>
            <w:tcW w:w="307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预期目标</w:t>
            </w:r>
          </w:p>
        </w:tc>
        <w:tc>
          <w:tcPr>
            <w:tcW w:w="61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07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目标1：完成教学研究、管理、指导、培训等工作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目标2：完成教育科研课题管理、指导工作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目标3：开展全市教学监测评估、研讨工作</w:t>
            </w:r>
          </w:p>
        </w:tc>
        <w:tc>
          <w:tcPr>
            <w:tcW w:w="6104"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目标1：完成教学研究、管理、指导、培训等工作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 xml:space="preserve">目标2：完成教育科研课题管理、指导工作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目标3：开展全市教学监测评估、研讨工作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7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绩效</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完成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情况</w:t>
            </w:r>
          </w:p>
        </w:tc>
        <w:tc>
          <w:tcPr>
            <w:tcW w:w="8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指标值（包含数字及文字描述）</w:t>
            </w:r>
          </w:p>
        </w:tc>
        <w:tc>
          <w:tcPr>
            <w:tcW w:w="3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实际完成指标值（包含数字及文字描述）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未完成原因及改进措施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77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项目完成指标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397"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完成教学研究、管理、指导、培训等工作</w:t>
            </w:r>
          </w:p>
        </w:tc>
        <w:tc>
          <w:tcPr>
            <w:tcW w:w="175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各学科开展一次及以上教学研究活动</w:t>
            </w:r>
          </w:p>
        </w:tc>
        <w:tc>
          <w:tcPr>
            <w:tcW w:w="3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全年共开展集中教学视导31所次;各学科均开展专题研讨活动1次以上</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540" w:hRule="atLeast"/>
        </w:trPr>
        <w:tc>
          <w:tcPr>
            <w:tcW w:w="77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97"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完成教育科研课题管理、指导工作</w:t>
            </w:r>
          </w:p>
        </w:tc>
        <w:tc>
          <w:tcPr>
            <w:tcW w:w="175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指导省、市级在研课题各一次</w:t>
            </w:r>
          </w:p>
        </w:tc>
        <w:tc>
          <w:tcPr>
            <w:tcW w:w="3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申报省级普教科研资助金项目，立项省级课题23项，四川省青年思政教师专项课题3项。四川省教育学会课题立项8项;申报四川省第七届教学成果奖33项，其中12项获省人民政府授予的二等奖。开展广元市第十届教育科研优秀成果评选工作，评出市级成果185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77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97"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开展全市教学监测评估工作</w:t>
            </w:r>
          </w:p>
        </w:tc>
        <w:tc>
          <w:tcPr>
            <w:tcW w:w="175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完成3次高三适应性监测，2次高中修业年级期末监测，1次义务教育阶段质量监测，2次职业教育质量监测工作</w:t>
            </w:r>
          </w:p>
        </w:tc>
        <w:tc>
          <w:tcPr>
            <w:tcW w:w="3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完成3次高三适应性监测，2次高中修业年级期末监测，1次义务教育阶段质量监测，2次职业教育质量监测工作</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77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397"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开展案例成果展示活动</w:t>
            </w:r>
          </w:p>
        </w:tc>
        <w:tc>
          <w:tcPr>
            <w:tcW w:w="175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获奖率100%</w:t>
            </w:r>
          </w:p>
        </w:tc>
        <w:tc>
          <w:tcPr>
            <w:tcW w:w="3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组织和开展了立德树人案例成果展示活动，并参与四川省基础教育鼎新与发展立德树人案例成果评选，推荐的7项创新成果案例分获省一二三等奖。</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77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97"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降低教学研究重心，活动注重实效</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主题明确，研究过程扎实</w:t>
            </w:r>
          </w:p>
        </w:tc>
        <w:tc>
          <w:tcPr>
            <w:tcW w:w="344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优化教学监测“六集中”（集中命题、集中审校、集中监测、集中阅卷、集中分析、集中指导）措施，依托高中学科中心教研组，推进教师专业发展，按质按量完成了高中教学质量监测，创新提升监测效力</w:t>
            </w:r>
          </w:p>
        </w:tc>
        <w:tc>
          <w:tcPr>
            <w:tcW w:w="900" w:type="dxa"/>
            <w:tcBorders>
              <w:top w:val="single" w:color="000000" w:sz="4" w:space="0"/>
              <w:left w:val="single" w:color="000000" w:sz="4" w:space="0"/>
              <w:bottom w:val="nil"/>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7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397"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2021年教育监测完成时间</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2021年完成</w:t>
            </w:r>
          </w:p>
        </w:tc>
        <w:tc>
          <w:tcPr>
            <w:tcW w:w="3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2021年完成</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7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397"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教育质量监测工作经费</w:t>
            </w:r>
          </w:p>
        </w:tc>
        <w:tc>
          <w:tcPr>
            <w:tcW w:w="175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81.68万元</w:t>
            </w:r>
          </w:p>
        </w:tc>
        <w:tc>
          <w:tcPr>
            <w:tcW w:w="3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140.5万元</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7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促进学生可持续发展，提升教育质量</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学校满意率90%</w:t>
            </w:r>
          </w:p>
        </w:tc>
        <w:tc>
          <w:tcPr>
            <w:tcW w:w="3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学校满意率90%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77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突出教育科研课题研究对学校教育工作的引领作用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学校满意率95%</w:t>
            </w:r>
          </w:p>
        </w:tc>
        <w:tc>
          <w:tcPr>
            <w:tcW w:w="3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学校满意率95%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 w:hRule="atLeast"/>
        </w:trPr>
        <w:tc>
          <w:tcPr>
            <w:tcW w:w="77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持续提升广元教育质量</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满意率90 %  </w:t>
            </w:r>
          </w:p>
        </w:tc>
        <w:tc>
          <w:tcPr>
            <w:tcW w:w="3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满意率90 %  </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3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课题研究、指导有力</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完成率90 % </w:t>
            </w:r>
          </w:p>
        </w:tc>
        <w:tc>
          <w:tcPr>
            <w:tcW w:w="3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完成率90 % </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bl>
    <w:p>
      <w:pPr>
        <w:pStyle w:val="2"/>
        <w:rPr>
          <w:rFonts w:hint="eastAsia" w:hAnsi="宋体" w:cs="宋体"/>
          <w:color w:val="auto"/>
          <w:kern w:val="0"/>
          <w:sz w:val="36"/>
          <w:szCs w:val="36"/>
          <w:highlight w:val="none"/>
          <w:shd w:val="clear" w:color="auto" w:fill="FFFFFF"/>
          <w:lang w:val="zh-CN"/>
        </w:rPr>
      </w:pPr>
    </w:p>
    <w:p>
      <w:pPr>
        <w:pStyle w:val="2"/>
        <w:rPr>
          <w:rFonts w:hint="eastAsia" w:hAnsi="宋体" w:cs="宋体"/>
          <w:color w:val="auto"/>
          <w:kern w:val="0"/>
          <w:sz w:val="36"/>
          <w:szCs w:val="36"/>
          <w:highlight w:val="none"/>
          <w:shd w:val="clear" w:color="auto" w:fill="FFFFFF"/>
          <w:lang w:val="zh-CN"/>
        </w:rPr>
      </w:pPr>
    </w:p>
    <w:p>
      <w:pPr>
        <w:keepNext w:val="0"/>
        <w:keepLines w:val="0"/>
        <w:pageBreakBefore w:val="0"/>
        <w:widowControl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color w:val="auto"/>
          <w:kern w:val="2"/>
          <w:sz w:val="44"/>
          <w:szCs w:val="44"/>
          <w:highlight w:val="none"/>
          <w:lang w:val="zh-CN" w:eastAsia="zh-CN" w:bidi="ar-SA"/>
        </w:rPr>
      </w:pPr>
      <w:r>
        <w:rPr>
          <w:rFonts w:hint="eastAsia" w:ascii="方正小标宋简体" w:hAnsi="方正小标宋简体" w:eastAsia="方正小标宋简体" w:cs="方正小标宋简体"/>
          <w:color w:val="auto"/>
          <w:kern w:val="2"/>
          <w:sz w:val="44"/>
          <w:szCs w:val="44"/>
          <w:highlight w:val="none"/>
          <w:lang w:val="en-US" w:eastAsia="zh-CN" w:bidi="ar-SA"/>
        </w:rPr>
        <w:t>2021年度</w:t>
      </w:r>
      <w:r>
        <w:rPr>
          <w:rFonts w:hint="eastAsia" w:ascii="方正小标宋简体" w:hAnsi="方正小标宋简体" w:eastAsia="方正小标宋简体" w:cs="方正小标宋简体"/>
          <w:color w:val="auto"/>
          <w:kern w:val="2"/>
          <w:sz w:val="44"/>
          <w:szCs w:val="44"/>
          <w:highlight w:val="none"/>
          <w:lang w:val="zh-CN" w:eastAsia="zh-CN" w:bidi="ar-SA"/>
        </w:rPr>
        <w:t>专项预算项目支出绩效自评报告</w:t>
      </w:r>
    </w:p>
    <w:p>
      <w:pPr>
        <w:keepNext w:val="0"/>
        <w:keepLines w:val="0"/>
        <w:pageBreakBefore w:val="0"/>
        <w:kinsoku/>
        <w:wordWrap/>
        <w:overflowPunct/>
        <w:topLinePunct w:val="0"/>
        <w:autoSpaceDE/>
        <w:autoSpaceDN/>
        <w:bidi w:val="0"/>
        <w:adjustRightInd w:val="0"/>
        <w:snapToGrid w:val="0"/>
        <w:spacing w:line="600" w:lineRule="exact"/>
        <w:ind w:firstLine="720"/>
        <w:jc w:val="center"/>
        <w:textAlignment w:val="auto"/>
        <w:rPr>
          <w:rFonts w:hint="eastAsia" w:ascii="仿宋_GB2312" w:hAnsi="宋体" w:eastAsia="仿宋_GB2312" w:cs="Times New Roman"/>
          <w:color w:val="auto"/>
          <w:sz w:val="32"/>
          <w:szCs w:val="32"/>
          <w:highlight w:val="none"/>
          <w:lang w:val="en-US" w:eastAsia="zh-CN"/>
        </w:rPr>
      </w:pPr>
      <w:r>
        <w:rPr>
          <w:rFonts w:hint="eastAsia" w:ascii="仿宋_GB2312" w:hAnsi="宋体" w:eastAsia="仿宋_GB2312" w:cs="Times New Roman"/>
          <w:color w:val="auto"/>
          <w:sz w:val="32"/>
          <w:szCs w:val="32"/>
          <w:highlight w:val="none"/>
          <w:lang w:val="en-US" w:eastAsia="zh-CN"/>
        </w:rPr>
        <w:t>(招生考试工作经费及中考制卷项目）</w:t>
      </w:r>
    </w:p>
    <w:p>
      <w:pPr>
        <w:pStyle w:val="6"/>
        <w:rPr>
          <w:rFonts w:hint="default"/>
          <w:lang w:val="en-US" w:eastAsia="zh-CN"/>
        </w:rPr>
      </w:pP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cs="Times New Roman"/>
          <w:color w:val="auto"/>
          <w:sz w:val="32"/>
          <w:szCs w:val="32"/>
          <w:highlight w:val="none"/>
          <w:lang w:val="zh-CN"/>
        </w:rPr>
      </w:pPr>
      <w:r>
        <w:rPr>
          <w:rFonts w:hint="eastAsia" w:ascii="黑体" w:hAnsi="宋体" w:eastAsia="黑体" w:cs="Times New Roman"/>
          <w:color w:val="auto"/>
          <w:sz w:val="32"/>
          <w:szCs w:val="32"/>
          <w:highlight w:val="none"/>
        </w:rPr>
        <w:t>一、</w:t>
      </w:r>
      <w:r>
        <w:rPr>
          <w:rFonts w:hint="eastAsia" w:ascii="黑体" w:hAnsi="宋体" w:eastAsia="黑体" w:cs="Times New Roman"/>
          <w:color w:val="auto"/>
          <w:sz w:val="32"/>
          <w:szCs w:val="32"/>
          <w:highlight w:val="none"/>
          <w:lang w:val="zh-CN"/>
        </w:rPr>
        <w:t>项目概况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（一）项目基本情况。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仿宋_GB2312" w:hAnsi="宋体" w:eastAsia="仿宋_GB2312" w:cs="Times New Roman"/>
          <w:color w:val="auto"/>
          <w:sz w:val="32"/>
          <w:szCs w:val="32"/>
          <w:highlight w:val="none"/>
          <w:lang w:val="zh-CN" w:eastAsia="zh-CN"/>
        </w:rPr>
      </w:pPr>
      <w:r>
        <w:rPr>
          <w:rFonts w:hint="eastAsia" w:ascii="仿宋_GB2312" w:hAnsi="宋体" w:eastAsia="仿宋_GB2312" w:cs="Times New Roman"/>
          <w:color w:val="auto"/>
          <w:sz w:val="32"/>
          <w:szCs w:val="32"/>
          <w:highlight w:val="none"/>
          <w:lang w:val="zh-CN"/>
        </w:rPr>
        <w:t>1．主管部门在该项目管理中的职能。</w:t>
      </w:r>
      <w:r>
        <w:rPr>
          <w:rFonts w:hint="eastAsia" w:ascii="仿宋_GB2312" w:hAnsi="宋体" w:eastAsia="仿宋_GB2312" w:cs="Times New Roman"/>
          <w:color w:val="auto"/>
          <w:sz w:val="32"/>
          <w:szCs w:val="32"/>
          <w:highlight w:val="none"/>
          <w:lang w:val="en-US" w:eastAsia="zh-CN"/>
        </w:rPr>
        <w:t>2021年广元市招生考试中心负责全市教育招生考试工作经费及中考制卷，筹划并组织教育招生考试工作、全市中考组考工作，全面统筹考试考务支出</w:t>
      </w:r>
      <w:r>
        <w:rPr>
          <w:rFonts w:hint="eastAsia" w:ascii="仿宋_GB2312" w:hAnsi="宋体" w:eastAsia="仿宋_GB2312" w:cs="Times New Roman"/>
          <w:color w:val="auto"/>
          <w:sz w:val="32"/>
          <w:szCs w:val="32"/>
          <w:highlight w:val="none"/>
          <w:lang w:val="zh-CN" w:eastAsia="zh-CN"/>
        </w:rPr>
        <w:t>。</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zh-CN"/>
        </w:rPr>
        <w:t>2．项目立项、资金申报的依据。</w:t>
      </w:r>
      <w:r>
        <w:rPr>
          <w:rFonts w:hint="eastAsia" w:ascii="仿宋_GB2312" w:eastAsia="仿宋_GB2312"/>
          <w:color w:val="000000"/>
          <w:sz w:val="32"/>
          <w:szCs w:val="32"/>
          <w:lang w:val="en-US" w:eastAsia="zh-CN"/>
        </w:rPr>
        <w:t>项目资金主要为财政专户管理的资金，其中中考制卷及中考工作经费财政补差7.89万元，招生考试工作经费228.51万元为财政专户管理的资金。</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仿宋_GB2312" w:hAnsi="仿宋_GB2312" w:eastAsia="仿宋_GB2312" w:cs="仿宋_GB2312"/>
          <w:color w:val="000000"/>
          <w:sz w:val="32"/>
          <w:szCs w:val="32"/>
        </w:rPr>
      </w:pPr>
      <w:r>
        <w:rPr>
          <w:rFonts w:hint="eastAsia" w:ascii="仿宋_GB2312" w:hAnsi="宋体" w:eastAsia="仿宋_GB2312" w:cs="Times New Roman"/>
          <w:color w:val="auto"/>
          <w:sz w:val="32"/>
          <w:szCs w:val="32"/>
          <w:highlight w:val="none"/>
          <w:lang w:val="zh-CN"/>
        </w:rPr>
        <w:t>3．资金管理办法制定情况，资金支持具体项目的条件、范围与支持方式概况。</w:t>
      </w:r>
      <w:r>
        <w:rPr>
          <w:rFonts w:hint="eastAsia" w:ascii="仿宋_GB2312" w:hAnsi="宋体" w:eastAsia="仿宋_GB2312" w:cs="Times New Roman"/>
          <w:color w:val="auto"/>
          <w:sz w:val="32"/>
          <w:szCs w:val="32"/>
          <w:highlight w:val="none"/>
          <w:lang w:val="en-US" w:eastAsia="zh-CN"/>
        </w:rPr>
        <w:t>考试中心制定了财务管理制度并按要求严格执行，该项目</w:t>
      </w:r>
      <w:r>
        <w:rPr>
          <w:rFonts w:ascii="方正仿宋_GBK" w:hAnsi="方正仿宋_GBK" w:eastAsia="方正仿宋_GBK" w:cs="方正仿宋_GBK"/>
          <w:i w:val="0"/>
          <w:iCs w:val="0"/>
          <w:caps w:val="0"/>
          <w:color w:val="333333"/>
          <w:spacing w:val="0"/>
          <w:sz w:val="33"/>
          <w:szCs w:val="33"/>
          <w:shd w:val="clear" w:fill="FFFFFF"/>
        </w:rPr>
        <w:t>资金指标下达后，按预算指标</w:t>
      </w:r>
      <w:r>
        <w:rPr>
          <w:rFonts w:hint="eastAsia" w:ascii="方正仿宋_GBK" w:hAnsi="方正仿宋_GBK" w:eastAsia="方正仿宋_GBK" w:cs="方正仿宋_GBK"/>
          <w:i w:val="0"/>
          <w:iCs w:val="0"/>
          <w:caps w:val="0"/>
          <w:color w:val="333333"/>
          <w:spacing w:val="0"/>
          <w:sz w:val="33"/>
          <w:szCs w:val="33"/>
          <w:shd w:val="clear" w:fill="FFFFFF"/>
          <w:lang w:val="en-US" w:eastAsia="zh-CN"/>
        </w:rPr>
        <w:t>合理合规进行开支</w:t>
      </w:r>
      <w:r>
        <w:rPr>
          <w:rFonts w:ascii="方正仿宋_GBK" w:hAnsi="方正仿宋_GBK" w:eastAsia="方正仿宋_GBK" w:cs="方正仿宋_GBK"/>
          <w:i w:val="0"/>
          <w:iCs w:val="0"/>
          <w:caps w:val="0"/>
          <w:color w:val="333333"/>
          <w:spacing w:val="0"/>
          <w:sz w:val="33"/>
          <w:szCs w:val="33"/>
          <w:shd w:val="clear" w:fill="FFFFFF"/>
        </w:rPr>
        <w:t>使用</w:t>
      </w:r>
      <w:r>
        <w:rPr>
          <w:rFonts w:hint="eastAsia" w:ascii="方正仿宋_GBK" w:hAnsi="方正仿宋_GBK" w:eastAsia="方正仿宋_GBK" w:cs="方正仿宋_GBK"/>
          <w:i w:val="0"/>
          <w:iCs w:val="0"/>
          <w:caps w:val="0"/>
          <w:color w:val="333333"/>
          <w:spacing w:val="0"/>
          <w:sz w:val="33"/>
          <w:szCs w:val="33"/>
          <w:shd w:val="clear" w:fill="FFFFFF"/>
          <w:lang w:eastAsia="zh-CN"/>
        </w:rPr>
        <w:t>。</w:t>
      </w:r>
    </w:p>
    <w:p>
      <w:pPr>
        <w:widowControl/>
        <w:spacing w:line="60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宋体" w:eastAsia="仿宋_GB2312" w:cs="Times New Roman"/>
          <w:color w:val="auto"/>
          <w:kern w:val="2"/>
          <w:sz w:val="32"/>
          <w:szCs w:val="32"/>
          <w:highlight w:val="none"/>
          <w:lang w:val="en-US" w:eastAsia="zh-CN" w:bidi="ar-SA"/>
        </w:rPr>
        <w:t>4.</w:t>
      </w:r>
      <w:r>
        <w:rPr>
          <w:rFonts w:hint="eastAsia" w:ascii="仿宋_GB2312" w:hAnsi="宋体" w:eastAsia="仿宋_GB2312" w:cs="Times New Roman"/>
          <w:color w:val="auto"/>
          <w:kern w:val="2"/>
          <w:sz w:val="32"/>
          <w:szCs w:val="32"/>
          <w:highlight w:val="none"/>
          <w:lang w:val="zh-CN" w:eastAsia="zh-CN" w:bidi="ar-SA"/>
        </w:rPr>
        <w:t>资金分配的原则及考虑因素。</w:t>
      </w:r>
      <w:r>
        <w:rPr>
          <w:rFonts w:hint="eastAsia" w:ascii="仿宋_GB2312" w:hAnsi="宋体" w:eastAsia="仿宋_GB2312" w:cs="Times New Roman"/>
          <w:color w:val="auto"/>
          <w:kern w:val="2"/>
          <w:sz w:val="32"/>
          <w:szCs w:val="32"/>
          <w:highlight w:val="none"/>
          <w:lang w:val="en-US" w:eastAsia="zh-CN" w:bidi="ar-SA"/>
        </w:rPr>
        <w:t>2021年招生考试工作经费及中考制卷项目严格按照考试组考工作及制卷需要合理合规进行资金分配，</w:t>
      </w:r>
      <w:r>
        <w:rPr>
          <w:rFonts w:hint="eastAsia" w:ascii="仿宋_GB2312" w:hAnsi="仿宋_GB2312" w:eastAsia="仿宋_GB2312" w:cs="仿宋_GB2312"/>
          <w:color w:val="000000"/>
          <w:sz w:val="32"/>
          <w:szCs w:val="32"/>
        </w:rPr>
        <w:t>充分发挥</w:t>
      </w:r>
      <w:r>
        <w:rPr>
          <w:rFonts w:hint="eastAsia" w:ascii="仿宋_GB2312" w:hAnsi="宋体" w:eastAsia="仿宋_GB2312" w:cs="Times New Roman"/>
          <w:color w:val="auto"/>
          <w:kern w:val="2"/>
          <w:sz w:val="32"/>
          <w:szCs w:val="32"/>
          <w:highlight w:val="none"/>
          <w:lang w:val="en-US" w:eastAsia="zh-CN" w:bidi="ar-SA"/>
        </w:rPr>
        <w:t>招生考试工作经费及中考制卷项目</w:t>
      </w:r>
      <w:r>
        <w:rPr>
          <w:rFonts w:hint="eastAsia" w:ascii="仿宋_GB2312" w:hAnsi="仿宋_GB2312" w:eastAsia="仿宋_GB2312" w:cs="仿宋_GB2312"/>
          <w:color w:val="000000"/>
          <w:sz w:val="32"/>
          <w:szCs w:val="32"/>
        </w:rPr>
        <w:t>资金使用</w:t>
      </w:r>
      <w:r>
        <w:rPr>
          <w:rFonts w:hint="eastAsia" w:ascii="仿宋_GB2312" w:hAnsi="仿宋_GB2312" w:eastAsia="仿宋_GB2312" w:cs="仿宋_GB2312"/>
          <w:color w:val="000000"/>
          <w:sz w:val="32"/>
          <w:szCs w:val="32"/>
          <w:lang w:val="en-US" w:eastAsia="zh-CN"/>
        </w:rPr>
        <w:t>效益</w:t>
      </w:r>
      <w:r>
        <w:rPr>
          <w:rFonts w:hint="eastAsia" w:ascii="仿宋_GB2312" w:hAnsi="仿宋_GB2312" w:eastAsia="仿宋_GB2312" w:cs="仿宋_GB2312"/>
          <w:bCs/>
          <w:color w:val="000000"/>
          <w:kern w:val="0"/>
          <w:sz w:val="32"/>
          <w:szCs w:val="32"/>
        </w:rPr>
        <w:t>。</w:t>
      </w:r>
    </w:p>
    <w:p>
      <w:pPr>
        <w:pStyle w:val="6"/>
        <w:keepNext w:val="0"/>
        <w:keepLines w:val="0"/>
        <w:pageBreakBefore w:val="0"/>
        <w:widowControl w:val="0"/>
        <w:kinsoku/>
        <w:wordWrap/>
        <w:overflowPunct/>
        <w:topLinePunct w:val="0"/>
        <w:autoSpaceDE/>
        <w:autoSpaceDN/>
        <w:bidi w:val="0"/>
        <w:adjustRightInd/>
        <w:snapToGrid/>
        <w:ind w:firstLine="640" w:firstLineChars="200"/>
        <w:textAlignment w:val="baseline"/>
        <w:rPr>
          <w:rFonts w:hint="default" w:ascii="仿宋_GB2312" w:hAnsi="宋体" w:eastAsia="仿宋_GB2312" w:cs="Times New Roman"/>
          <w:color w:val="auto"/>
          <w:kern w:val="2"/>
          <w:sz w:val="32"/>
          <w:szCs w:val="32"/>
          <w:highlight w:val="none"/>
          <w:lang w:val="en-US" w:eastAsia="zh-CN" w:bidi="ar-SA"/>
        </w:rPr>
      </w:pP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（二）项目绩效目标。</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zh-CN"/>
        </w:rPr>
        <w:t>1．项目主要内容。</w:t>
      </w:r>
      <w:r>
        <w:rPr>
          <w:rFonts w:hint="eastAsia" w:ascii="仿宋_GB2312" w:hAnsi="宋体" w:eastAsia="仿宋_GB2312" w:cs="Times New Roman"/>
          <w:color w:val="auto"/>
          <w:sz w:val="32"/>
          <w:szCs w:val="32"/>
          <w:highlight w:val="none"/>
          <w:lang w:val="en-US" w:eastAsia="zh-CN"/>
        </w:rPr>
        <w:t>负责全市教育招生考试工作经费及中考制卷，筹划并组织教育招生考试工作、全市中考组考工作，全面统筹考试考务支出</w:t>
      </w:r>
      <w:r>
        <w:rPr>
          <w:rFonts w:hint="eastAsia" w:ascii="仿宋_GB2312" w:hAnsi="宋体" w:eastAsia="仿宋_GB2312" w:cs="Times New Roman"/>
          <w:color w:val="auto"/>
          <w:sz w:val="32"/>
          <w:szCs w:val="32"/>
          <w:highlight w:val="none"/>
          <w:lang w:val="zh-CN" w:eastAsia="zh-CN"/>
        </w:rPr>
        <w:t>。</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default" w:ascii="仿宋_GB2312" w:hAnsi="宋体" w:eastAsia="仿宋_GB2312" w:cs="Times New Roman"/>
          <w:color w:val="auto"/>
          <w:sz w:val="32"/>
          <w:szCs w:val="32"/>
          <w:highlight w:val="none"/>
          <w:lang w:val="en-US"/>
        </w:rPr>
      </w:pPr>
      <w:r>
        <w:rPr>
          <w:rFonts w:hint="eastAsia" w:ascii="仿宋_GB2312" w:hAnsi="宋体" w:eastAsia="仿宋_GB2312" w:cs="Times New Roman"/>
          <w:color w:val="auto"/>
          <w:sz w:val="32"/>
          <w:szCs w:val="32"/>
          <w:highlight w:val="none"/>
          <w:lang w:val="zh-CN"/>
        </w:rPr>
        <w:t>2．项目应实现的具体绩效目标。</w:t>
      </w:r>
      <w:r>
        <w:rPr>
          <w:rFonts w:hint="eastAsia" w:ascii="仿宋_GB2312" w:hAnsi="宋体" w:eastAsia="仿宋_GB2312" w:cs="Times New Roman"/>
          <w:color w:val="auto"/>
          <w:sz w:val="32"/>
          <w:szCs w:val="32"/>
          <w:highlight w:val="none"/>
          <w:lang w:val="en-US" w:eastAsia="zh-CN"/>
        </w:rPr>
        <w:t>招生考试工作经费及中考制卷费项目根据工作实际，由中心各科室按需求进行上报，征集汇总后由主任办公会确定，主要用于全部考试相关支出，该项目已于2021年实施完成。</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zh-CN"/>
        </w:rPr>
        <w:t>3．</w:t>
      </w:r>
      <w:r>
        <w:rPr>
          <w:rFonts w:hint="eastAsia" w:ascii="仿宋_GB2312" w:hAnsi="宋体" w:eastAsia="仿宋_GB2312" w:cs="Times New Roman"/>
          <w:color w:val="auto"/>
          <w:sz w:val="32"/>
          <w:szCs w:val="32"/>
          <w:highlight w:val="none"/>
          <w:lang w:val="en-US" w:eastAsia="zh-CN"/>
        </w:rPr>
        <w:t>该项目</w:t>
      </w:r>
      <w:r>
        <w:rPr>
          <w:rFonts w:hint="eastAsia" w:ascii="仿宋_GB2312" w:hAnsi="宋体" w:eastAsia="仿宋_GB2312" w:cs="Times New Roman"/>
          <w:color w:val="auto"/>
          <w:sz w:val="32"/>
          <w:szCs w:val="32"/>
          <w:highlight w:val="none"/>
          <w:lang w:val="zh-CN"/>
        </w:rPr>
        <w:t>申报内容与实际相符，申报目标是合理可行。</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（三）项目自评步骤及方法。</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zh-CN"/>
        </w:rPr>
        <w:t>项目绩效自评</w:t>
      </w:r>
      <w:r>
        <w:rPr>
          <w:rFonts w:hint="eastAsia" w:ascii="仿宋_GB2312" w:hAnsi="宋体" w:eastAsia="仿宋_GB2312" w:cs="Times New Roman"/>
          <w:color w:val="auto"/>
          <w:sz w:val="32"/>
          <w:szCs w:val="32"/>
          <w:highlight w:val="none"/>
          <w:lang w:val="en-US" w:eastAsia="zh-CN"/>
        </w:rPr>
        <w:t>由主管部门通知开展自评工作，先是单位自评，再由部门复评，逐步开展</w:t>
      </w:r>
      <w:r>
        <w:rPr>
          <w:rFonts w:hint="eastAsia" w:ascii="仿宋_GB2312" w:hAnsi="宋体" w:eastAsia="仿宋_GB2312" w:cs="Times New Roman"/>
          <w:color w:val="auto"/>
          <w:sz w:val="32"/>
          <w:szCs w:val="32"/>
          <w:highlight w:val="none"/>
          <w:lang w:val="zh-CN"/>
        </w:rPr>
        <w:t>组织实施</w:t>
      </w:r>
      <w:r>
        <w:rPr>
          <w:rFonts w:hint="eastAsia" w:ascii="仿宋_GB2312" w:hAnsi="宋体" w:eastAsia="仿宋_GB2312" w:cs="Times New Roman"/>
          <w:color w:val="auto"/>
          <w:sz w:val="32"/>
          <w:szCs w:val="32"/>
          <w:highlight w:val="none"/>
          <w:lang w:val="en-US" w:eastAsia="zh-CN"/>
        </w:rPr>
        <w:t>绩效自评</w:t>
      </w:r>
      <w:r>
        <w:rPr>
          <w:rFonts w:hint="eastAsia" w:ascii="仿宋_GB2312" w:hAnsi="宋体" w:eastAsia="仿宋_GB2312" w:cs="Times New Roman"/>
          <w:color w:val="auto"/>
          <w:sz w:val="32"/>
          <w:szCs w:val="32"/>
          <w:highlight w:val="none"/>
          <w:lang w:val="zh-CN"/>
        </w:rPr>
        <w:t>。</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cs="Times New Roman"/>
          <w:color w:val="auto"/>
          <w:sz w:val="32"/>
          <w:szCs w:val="32"/>
          <w:highlight w:val="none"/>
        </w:rPr>
      </w:pPr>
      <w:r>
        <w:rPr>
          <w:rFonts w:hint="eastAsia" w:ascii="黑体" w:hAnsi="宋体" w:eastAsia="黑体" w:cs="Times New Roman"/>
          <w:color w:val="auto"/>
          <w:sz w:val="32"/>
          <w:szCs w:val="32"/>
          <w:highlight w:val="none"/>
        </w:rPr>
        <w:t>二、项目资金申报及使用情况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（一）项目资金申报及批复情况。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仿宋_GB2312" w:hAnsi="宋体" w:eastAsia="仿宋_GB2312" w:cs="Times New Roman"/>
          <w:color w:val="auto"/>
          <w:sz w:val="32"/>
          <w:szCs w:val="32"/>
          <w:highlight w:val="none"/>
          <w:lang w:val="zh-CN" w:eastAsia="zh-CN"/>
        </w:rPr>
      </w:pPr>
      <w:r>
        <w:rPr>
          <w:rFonts w:hint="eastAsia" w:ascii="仿宋_GB2312" w:hAnsi="宋体" w:eastAsia="仿宋_GB2312" w:cs="Times New Roman"/>
          <w:color w:val="auto"/>
          <w:sz w:val="32"/>
          <w:szCs w:val="32"/>
          <w:highlight w:val="none"/>
          <w:lang w:val="zh-CN" w:eastAsia="zh-CN"/>
        </w:rPr>
        <w:t>年初财政下达了考试经费财政补差金额</w:t>
      </w:r>
      <w:r>
        <w:rPr>
          <w:rFonts w:hint="eastAsia" w:ascii="仿宋_GB2312" w:hAnsi="宋体" w:eastAsia="仿宋_GB2312" w:cs="Times New Roman"/>
          <w:color w:val="auto"/>
          <w:sz w:val="32"/>
          <w:szCs w:val="32"/>
          <w:highlight w:val="none"/>
          <w:lang w:val="en-US" w:eastAsia="zh-CN"/>
        </w:rPr>
        <w:t>7.89万元，另外下达了财政专户管理资金指标265万元。</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仿宋_GB2312" w:hAnsi="宋体" w:eastAsia="仿宋_GB2312" w:cs="Times New Roman"/>
          <w:color w:val="auto"/>
          <w:sz w:val="32"/>
          <w:szCs w:val="32"/>
          <w:highlight w:val="none"/>
          <w:lang w:val="zh-CN"/>
        </w:rPr>
      </w:pPr>
      <w:r>
        <w:rPr>
          <w:rFonts w:hint="eastAsia" w:ascii="楷体_GB2312" w:hAnsi="宋体" w:eastAsia="楷体_GB2312" w:cs="Times New Roman"/>
          <w:b/>
          <w:color w:val="auto"/>
          <w:sz w:val="32"/>
          <w:szCs w:val="32"/>
          <w:highlight w:val="none"/>
          <w:lang w:val="zh-CN"/>
        </w:rPr>
        <w:t>（二）资金计划、到位及使用情况。</w:t>
      </w:r>
    </w:p>
    <w:p>
      <w:pPr>
        <w:keepNext w:val="0"/>
        <w:keepLines w:val="0"/>
        <w:pageBreakBefore w:val="0"/>
        <w:widowControl w:val="0"/>
        <w:numPr>
          <w:ilvl w:val="0"/>
          <w:numId w:val="21"/>
        </w:numPr>
        <w:kinsoku/>
        <w:wordWrap/>
        <w:overflowPunct/>
        <w:topLinePunct w:val="0"/>
        <w:autoSpaceDE/>
        <w:autoSpaceDN/>
        <w:bidi w:val="0"/>
        <w:adjustRightInd w:val="0"/>
        <w:snapToGrid w:val="0"/>
        <w:spacing w:line="600" w:lineRule="atLeast"/>
        <w:ind w:left="0" w:leftChars="0" w:firstLine="640" w:firstLineChars="200"/>
        <w:textAlignment w:val="auto"/>
        <w:rPr>
          <w:rFonts w:hint="eastAsia" w:ascii="仿宋_GB2312" w:hAnsi="仿宋_GB2312" w:eastAsia="仿宋_GB2312" w:cs="仿宋_GB2312"/>
          <w:color w:val="000000"/>
          <w:sz w:val="32"/>
          <w:szCs w:val="32"/>
          <w:lang w:eastAsia="zh-CN"/>
        </w:rPr>
      </w:pPr>
      <w:r>
        <w:rPr>
          <w:rFonts w:hint="eastAsia" w:ascii="楷体_GB2312" w:hAnsi="宋体" w:eastAsia="楷体_GB2312" w:cs="Times New Roman"/>
          <w:color w:val="auto"/>
          <w:sz w:val="32"/>
          <w:szCs w:val="32"/>
          <w:highlight w:val="none"/>
          <w:lang w:val="zh-CN"/>
        </w:rPr>
        <w:t>资金计划。</w:t>
      </w:r>
      <w:r>
        <w:rPr>
          <w:rFonts w:hint="eastAsia" w:ascii="仿宋_GB2312" w:hAnsi="仿宋_GB2312" w:eastAsia="仿宋_GB2312" w:cs="仿宋_GB2312"/>
          <w:color w:val="000000"/>
          <w:sz w:val="32"/>
          <w:szCs w:val="32"/>
          <w:lang w:eastAsia="zh-CN"/>
        </w:rPr>
        <w:t>年初财政下达了考试经费财政补差金</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atLeas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额</w:t>
      </w:r>
      <w:r>
        <w:rPr>
          <w:rFonts w:hint="eastAsia" w:ascii="仿宋_GB2312" w:hAnsi="仿宋_GB2312" w:eastAsia="仿宋_GB2312" w:cs="仿宋_GB2312"/>
          <w:color w:val="000000"/>
          <w:sz w:val="32"/>
          <w:szCs w:val="32"/>
          <w:lang w:val="en-US" w:eastAsia="zh-CN"/>
        </w:rPr>
        <w:t>7.89万元，另外下达了财政专户管理资金指标265万元。</w:t>
      </w:r>
    </w:p>
    <w:p>
      <w:pPr>
        <w:keepNext w:val="0"/>
        <w:keepLines w:val="0"/>
        <w:pageBreakBefore w:val="0"/>
        <w:widowControl w:val="0"/>
        <w:numPr>
          <w:ilvl w:val="0"/>
          <w:numId w:val="21"/>
        </w:numPr>
        <w:kinsoku/>
        <w:wordWrap/>
        <w:overflowPunct/>
        <w:topLinePunct w:val="0"/>
        <w:autoSpaceDE/>
        <w:autoSpaceDN/>
        <w:bidi w:val="0"/>
        <w:adjustRightInd w:val="0"/>
        <w:snapToGrid w:val="0"/>
        <w:spacing w:line="600" w:lineRule="atLeast"/>
        <w:ind w:left="0" w:leftChars="0" w:firstLine="640" w:firstLineChars="200"/>
        <w:textAlignment w:val="auto"/>
        <w:rPr>
          <w:rFonts w:ascii="仿宋_GB2312" w:hAnsi="宋体" w:eastAsia="仿宋_GB2312" w:cs="Times New Roman"/>
          <w:color w:val="auto"/>
          <w:sz w:val="32"/>
          <w:szCs w:val="32"/>
          <w:highlight w:val="none"/>
          <w:lang w:val="zh-CN"/>
        </w:rPr>
      </w:pPr>
      <w:r>
        <w:rPr>
          <w:rFonts w:hint="eastAsia" w:ascii="仿宋_GB2312" w:hAnsi="仿宋_GB2312" w:eastAsia="仿宋_GB2312" w:cs="仿宋_GB2312"/>
          <w:color w:val="000000"/>
          <w:sz w:val="32"/>
          <w:szCs w:val="32"/>
          <w:lang w:val="zh-CN" w:eastAsia="zh-CN"/>
        </w:rPr>
        <w:t>资金到位。</w:t>
      </w:r>
      <w:r>
        <w:rPr>
          <w:rFonts w:hint="eastAsia" w:ascii="仿宋_GB2312" w:hAnsi="仿宋_GB2312" w:eastAsia="仿宋_GB2312" w:cs="仿宋_GB2312"/>
          <w:color w:val="000000"/>
          <w:sz w:val="32"/>
          <w:szCs w:val="32"/>
          <w:lang w:val="en-US" w:eastAsia="zh-CN"/>
        </w:rPr>
        <w:t>市财政共下达该项目资金7.89万元，财政专户管理资金指标265万元。</w:t>
      </w:r>
    </w:p>
    <w:p>
      <w:pPr>
        <w:keepNext w:val="0"/>
        <w:keepLines w:val="0"/>
        <w:pageBreakBefore w:val="0"/>
        <w:widowControl w:val="0"/>
        <w:numPr>
          <w:ilvl w:val="0"/>
          <w:numId w:val="21"/>
        </w:numPr>
        <w:kinsoku/>
        <w:wordWrap/>
        <w:overflowPunct/>
        <w:topLinePunct w:val="0"/>
        <w:autoSpaceDE/>
        <w:autoSpaceDN/>
        <w:bidi w:val="0"/>
        <w:adjustRightInd w:val="0"/>
        <w:snapToGrid w:val="0"/>
        <w:spacing w:line="600" w:lineRule="atLeast"/>
        <w:ind w:left="0" w:leftChars="0" w:firstLine="640" w:firstLineChars="200"/>
        <w:textAlignment w:val="auto"/>
        <w:rPr>
          <w:rFonts w:ascii="仿宋_GB2312" w:hAnsi="宋体" w:eastAsia="仿宋_GB2312" w:cs="Times New Roman"/>
          <w:color w:val="auto"/>
          <w:sz w:val="32"/>
          <w:szCs w:val="32"/>
          <w:highlight w:val="none"/>
          <w:lang w:val="zh-CN"/>
        </w:rPr>
      </w:pPr>
      <w:r>
        <w:rPr>
          <w:rFonts w:hint="eastAsia" w:ascii="楷体_GB2312" w:hAnsi="宋体" w:eastAsia="楷体_GB2312" w:cs="Times New Roman"/>
          <w:color w:val="auto"/>
          <w:sz w:val="32"/>
          <w:szCs w:val="32"/>
          <w:highlight w:val="none"/>
          <w:lang w:val="zh-CN"/>
        </w:rPr>
        <w:t>资金使用。</w:t>
      </w:r>
      <w:r>
        <w:rPr>
          <w:rFonts w:hint="eastAsia" w:ascii="仿宋_GB2312" w:hAnsi="仿宋_GB2312" w:eastAsia="仿宋_GB2312" w:cs="仿宋_GB2312"/>
          <w:color w:val="000000"/>
          <w:sz w:val="32"/>
          <w:szCs w:val="32"/>
        </w:rPr>
        <w:t>市</w:t>
      </w:r>
      <w:r>
        <w:rPr>
          <w:rFonts w:hint="eastAsia" w:ascii="仿宋_GB2312" w:hAnsi="仿宋_GB2312" w:eastAsia="仿宋_GB2312" w:cs="仿宋_GB2312"/>
          <w:color w:val="000000"/>
          <w:sz w:val="32"/>
          <w:szCs w:val="32"/>
          <w:lang w:eastAsia="zh-CN"/>
        </w:rPr>
        <w:t>招生考试中心</w:t>
      </w:r>
      <w:r>
        <w:rPr>
          <w:rFonts w:hint="eastAsia" w:ascii="仿宋_GB2312" w:hAnsi="仿宋_GB2312" w:eastAsia="仿宋_GB2312" w:cs="仿宋_GB2312"/>
          <w:color w:val="000000"/>
          <w:sz w:val="32"/>
          <w:szCs w:val="32"/>
        </w:rPr>
        <w:t>切实加强领导，明确职责，强化监管，严格按照经费的管理、使用规定，合理合规合法使用预算资金，确保每一笔资金使用有理有据。</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（三）项目财务管理情况。</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根据有关财务管理要求，市</w:t>
      </w:r>
      <w:r>
        <w:rPr>
          <w:rFonts w:hint="eastAsia" w:ascii="仿宋_GB2312" w:hAnsi="仿宋_GB2312" w:eastAsia="仿宋_GB2312" w:cs="仿宋_GB2312"/>
          <w:color w:val="000000"/>
          <w:sz w:val="32"/>
          <w:szCs w:val="32"/>
          <w:lang w:eastAsia="zh-CN"/>
        </w:rPr>
        <w:t>招生考试中心</w:t>
      </w:r>
      <w:r>
        <w:rPr>
          <w:rFonts w:hint="eastAsia" w:ascii="仿宋_GB2312" w:hAnsi="仿宋_GB2312" w:eastAsia="仿宋_GB2312" w:cs="仿宋_GB2312"/>
          <w:color w:val="000000"/>
          <w:sz w:val="32"/>
          <w:szCs w:val="32"/>
        </w:rPr>
        <w:t>制定了财务管理制度。本单位各</w:t>
      </w:r>
      <w:r>
        <w:rPr>
          <w:rFonts w:hint="eastAsia" w:ascii="仿宋_GB2312" w:hAnsi="仿宋_GB2312" w:eastAsia="仿宋_GB2312" w:cs="仿宋_GB2312"/>
          <w:color w:val="000000"/>
          <w:sz w:val="32"/>
          <w:szCs w:val="32"/>
          <w:lang w:eastAsia="zh-CN"/>
        </w:rPr>
        <w:t>项</w:t>
      </w:r>
      <w:r>
        <w:rPr>
          <w:rFonts w:hint="eastAsia" w:ascii="仿宋_GB2312" w:hAnsi="仿宋_GB2312" w:eastAsia="仿宋_GB2312" w:cs="仿宋_GB2312"/>
          <w:color w:val="000000"/>
          <w:sz w:val="32"/>
          <w:szCs w:val="32"/>
        </w:rPr>
        <w:t>费用支出，实行单位具体分管财务领导审批，单位主要负责人审定签字确认。经费拨付使用时</w:t>
      </w:r>
      <w:r>
        <w:rPr>
          <w:rFonts w:hint="eastAsia" w:ascii="仿宋_GB2312" w:hAnsi="仿宋_GB2312" w:eastAsia="仿宋_GB2312" w:cs="仿宋_GB2312"/>
          <w:color w:val="000000"/>
          <w:sz w:val="32"/>
          <w:szCs w:val="32"/>
          <w:lang w:eastAsia="zh-CN"/>
        </w:rPr>
        <w:t>由财务人员</w:t>
      </w:r>
      <w:r>
        <w:rPr>
          <w:rFonts w:hint="eastAsia" w:ascii="仿宋_GB2312" w:hAnsi="仿宋_GB2312" w:eastAsia="仿宋_GB2312" w:cs="仿宋_GB2312"/>
          <w:color w:val="000000"/>
          <w:sz w:val="32"/>
          <w:szCs w:val="32"/>
        </w:rPr>
        <w:t>审核票据真实性</w:t>
      </w:r>
      <w:r>
        <w:rPr>
          <w:rFonts w:hint="eastAsia" w:ascii="仿宋_GB2312" w:hAnsi="仿宋_GB2312" w:eastAsia="仿宋_GB2312" w:cs="仿宋_GB2312"/>
          <w:color w:val="000000"/>
          <w:sz w:val="32"/>
          <w:szCs w:val="32"/>
          <w:lang w:eastAsia="zh-CN"/>
        </w:rPr>
        <w:t>，相关人员</w:t>
      </w:r>
      <w:r>
        <w:rPr>
          <w:rFonts w:hint="eastAsia" w:ascii="仿宋_GB2312" w:hAnsi="仿宋_GB2312" w:eastAsia="仿宋_GB2312" w:cs="仿宋_GB2312"/>
          <w:color w:val="000000"/>
          <w:sz w:val="32"/>
          <w:szCs w:val="32"/>
        </w:rPr>
        <w:t>签字</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签批的完整性，同时审核必备</w:t>
      </w:r>
      <w:r>
        <w:rPr>
          <w:rFonts w:hint="eastAsia" w:ascii="仿宋_GB2312" w:hAnsi="仿宋_GB2312" w:eastAsia="仿宋_GB2312" w:cs="仿宋_GB2312"/>
          <w:color w:val="000000"/>
          <w:sz w:val="32"/>
          <w:szCs w:val="32"/>
          <w:lang w:eastAsia="zh-CN"/>
        </w:rPr>
        <w:t>附件</w:t>
      </w:r>
      <w:r>
        <w:rPr>
          <w:rFonts w:hint="eastAsia" w:ascii="仿宋_GB2312" w:hAnsi="仿宋_GB2312" w:eastAsia="仿宋_GB2312" w:cs="仿宋_GB2312"/>
          <w:color w:val="000000"/>
          <w:sz w:val="32"/>
          <w:szCs w:val="32"/>
        </w:rPr>
        <w:t>佐证材料等。</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cs="Times New Roman"/>
          <w:color w:val="auto"/>
          <w:sz w:val="32"/>
          <w:szCs w:val="32"/>
          <w:highlight w:val="none"/>
        </w:rPr>
      </w:pPr>
      <w:r>
        <w:rPr>
          <w:rFonts w:hint="eastAsia" w:ascii="黑体" w:hAnsi="宋体" w:eastAsia="黑体" w:cs="Times New Roman"/>
          <w:color w:val="auto"/>
          <w:sz w:val="32"/>
          <w:szCs w:val="32"/>
          <w:highlight w:val="none"/>
        </w:rPr>
        <w:t>三、项目实施及管理情况</w:t>
      </w:r>
    </w:p>
    <w:p>
      <w:pPr>
        <w:keepNext w:val="0"/>
        <w:keepLines w:val="0"/>
        <w:pageBreakBefore w:val="0"/>
        <w:widowControl w:val="0"/>
        <w:kinsoku/>
        <w:wordWrap/>
        <w:overflowPunct/>
        <w:topLinePunct w:val="0"/>
        <w:autoSpaceDE/>
        <w:autoSpaceDN/>
        <w:bidi w:val="0"/>
        <w:adjustRightInd w:val="0"/>
        <w:snapToGrid w:val="0"/>
        <w:spacing w:line="600" w:lineRule="atLeast"/>
        <w:ind w:left="0" w:leftChars="0"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按照全省国家教育考试安排，保障全年各项考试的顺利开展。</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一</w:t>
      </w:r>
      <w:r>
        <w:rPr>
          <w:rFonts w:hint="eastAsia" w:ascii="楷体_GB2312" w:hAnsi="宋体" w:eastAsia="楷体_GB2312" w:cs="Times New Roman"/>
          <w:b/>
          <w:color w:val="auto"/>
          <w:sz w:val="32"/>
          <w:szCs w:val="32"/>
          <w:highlight w:val="none"/>
          <w:lang w:val="zh-CN"/>
        </w:rPr>
        <w:t>）项目组织架构及实施流程。</w:t>
      </w:r>
    </w:p>
    <w:p>
      <w:pPr>
        <w:pStyle w:val="33"/>
        <w:numPr>
          <w:ilvl w:val="0"/>
          <w:numId w:val="0"/>
        </w:numPr>
        <w:ind w:firstLine="960" w:firstLineChars="300"/>
        <w:rPr>
          <w:lang w:val="zh-CN"/>
        </w:rPr>
      </w:pPr>
      <w:r>
        <w:rPr>
          <w:rFonts w:hint="eastAsia" w:ascii="仿宋_GB2312" w:hAnsi="宋体" w:eastAsia="仿宋_GB2312" w:cs="Times New Roman"/>
          <w:color w:val="auto"/>
          <w:sz w:val="32"/>
          <w:szCs w:val="32"/>
          <w:highlight w:val="none"/>
          <w:lang w:val="en-US" w:eastAsia="zh-CN"/>
        </w:rPr>
        <w:t>市教育局牵头，市招生考试中心负责具体实施，筹划并组织全市教育招生考试工作以及中考组考工作，全面统筹考试考务支出。</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仿宋_GB2312" w:hAnsi="宋体" w:eastAsia="仿宋_GB2312" w:cs="Times New Roman"/>
          <w:color w:val="auto"/>
          <w:sz w:val="32"/>
          <w:szCs w:val="32"/>
          <w:highlight w:val="none"/>
          <w:lang w:val="zh-CN"/>
        </w:rPr>
      </w:pPr>
      <w:r>
        <w:rPr>
          <w:rFonts w:hint="eastAsia" w:ascii="楷体_GB2312" w:hAnsi="宋体" w:eastAsia="楷体_GB2312" w:cs="Times New Roman"/>
          <w:b/>
          <w:color w:val="auto"/>
          <w:sz w:val="32"/>
          <w:szCs w:val="32"/>
          <w:highlight w:val="none"/>
          <w:lang w:val="zh-CN"/>
        </w:rPr>
        <w:t>（二）项目管理情况。</w:t>
      </w:r>
      <w:r>
        <w:rPr>
          <w:rFonts w:hint="eastAsia" w:ascii="仿宋_GB2312" w:hAnsi="宋体" w:eastAsia="仿宋_GB2312" w:cs="Times New Roman"/>
          <w:color w:val="auto"/>
          <w:sz w:val="32"/>
          <w:szCs w:val="32"/>
          <w:highlight w:val="none"/>
          <w:lang w:val="zh-CN"/>
        </w:rPr>
        <w:t>项目实施</w:t>
      </w:r>
      <w:r>
        <w:rPr>
          <w:rFonts w:hint="eastAsia" w:ascii="仿宋_GB2312" w:hAnsi="宋体" w:eastAsia="仿宋_GB2312" w:cs="Times New Roman"/>
          <w:color w:val="auto"/>
          <w:sz w:val="32"/>
          <w:szCs w:val="32"/>
          <w:highlight w:val="none"/>
          <w:lang w:val="en-US" w:eastAsia="zh-CN"/>
        </w:rPr>
        <w:t>过程中，严格按照</w:t>
      </w:r>
      <w:r>
        <w:rPr>
          <w:rFonts w:hint="eastAsia" w:ascii="仿宋_GB2312" w:hAnsi="宋体" w:eastAsia="仿宋_GB2312" w:cs="Times New Roman"/>
          <w:color w:val="auto"/>
          <w:sz w:val="32"/>
          <w:szCs w:val="32"/>
          <w:highlight w:val="none"/>
          <w:lang w:val="zh-CN"/>
        </w:rPr>
        <w:t>相关法律法规及项目管理制度等</w:t>
      </w:r>
      <w:r>
        <w:rPr>
          <w:rFonts w:hint="eastAsia" w:ascii="仿宋_GB2312" w:hAnsi="宋体" w:eastAsia="仿宋_GB2312" w:cs="Times New Roman"/>
          <w:color w:val="auto"/>
          <w:sz w:val="32"/>
          <w:szCs w:val="32"/>
          <w:highlight w:val="none"/>
          <w:lang w:val="en-US" w:eastAsia="zh-CN"/>
        </w:rPr>
        <w:t>相关规定</w:t>
      </w:r>
      <w:r>
        <w:rPr>
          <w:rFonts w:hint="eastAsia" w:ascii="仿宋_GB2312" w:hAnsi="宋体" w:eastAsia="仿宋_GB2312" w:cs="Times New Roman"/>
          <w:color w:val="auto"/>
          <w:sz w:val="32"/>
          <w:szCs w:val="32"/>
          <w:highlight w:val="none"/>
          <w:lang w:val="zh-CN"/>
        </w:rPr>
        <w:t>执行。</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仿宋_GB2312" w:hAnsi="宋体" w:eastAsia="仿宋_GB2312" w:cs="Times New Roman"/>
          <w:color w:val="auto"/>
          <w:sz w:val="32"/>
          <w:szCs w:val="32"/>
          <w:highlight w:val="none"/>
          <w:lang w:val="en-US" w:eastAsia="zh-CN"/>
        </w:rPr>
      </w:pPr>
      <w:r>
        <w:rPr>
          <w:rFonts w:hint="eastAsia" w:ascii="楷体_GB2312" w:hAnsi="宋体" w:eastAsia="楷体_GB2312" w:cs="Times New Roman"/>
          <w:b/>
          <w:color w:val="auto"/>
          <w:sz w:val="32"/>
          <w:szCs w:val="32"/>
          <w:highlight w:val="none"/>
          <w:lang w:val="zh-CN"/>
        </w:rPr>
        <w:t>（三）项目监管情况。</w:t>
      </w:r>
      <w:r>
        <w:rPr>
          <w:rFonts w:hint="eastAsia" w:ascii="仿宋_GB2312" w:hAnsi="宋体" w:eastAsia="仿宋_GB2312" w:cs="Times New Roman"/>
          <w:color w:val="auto"/>
          <w:sz w:val="32"/>
          <w:szCs w:val="32"/>
          <w:highlight w:val="none"/>
          <w:lang w:val="en-US" w:eastAsia="zh-CN"/>
        </w:rPr>
        <w:t>市教育局</w:t>
      </w:r>
      <w:r>
        <w:rPr>
          <w:rFonts w:hint="eastAsia" w:ascii="仿宋_GB2312" w:hAnsi="宋体" w:eastAsia="仿宋_GB2312" w:cs="Times New Roman"/>
          <w:color w:val="auto"/>
          <w:sz w:val="32"/>
          <w:szCs w:val="32"/>
          <w:highlight w:val="none"/>
          <w:lang w:val="zh-CN"/>
        </w:rPr>
        <w:t>加强</w:t>
      </w:r>
      <w:r>
        <w:rPr>
          <w:rFonts w:hint="eastAsia" w:ascii="仿宋_GB2312" w:hAnsi="宋体" w:eastAsia="仿宋_GB2312" w:cs="Times New Roman"/>
          <w:color w:val="auto"/>
          <w:sz w:val="32"/>
          <w:szCs w:val="32"/>
          <w:highlight w:val="none"/>
          <w:lang w:val="en-US" w:eastAsia="zh-CN"/>
        </w:rPr>
        <w:t>该</w:t>
      </w:r>
      <w:r>
        <w:rPr>
          <w:rFonts w:hint="eastAsia" w:ascii="仿宋_GB2312" w:hAnsi="宋体" w:eastAsia="仿宋_GB2312" w:cs="Times New Roman"/>
          <w:color w:val="auto"/>
          <w:sz w:val="32"/>
          <w:szCs w:val="32"/>
          <w:highlight w:val="none"/>
          <w:lang w:val="zh-CN"/>
        </w:rPr>
        <w:t>项目</w:t>
      </w:r>
      <w:r>
        <w:rPr>
          <w:rFonts w:hint="eastAsia" w:ascii="仿宋_GB2312" w:hAnsi="宋体" w:eastAsia="仿宋_GB2312" w:cs="Times New Roman"/>
          <w:color w:val="auto"/>
          <w:sz w:val="32"/>
          <w:szCs w:val="32"/>
          <w:highlight w:val="none"/>
          <w:lang w:val="en-US" w:eastAsia="zh-CN"/>
        </w:rPr>
        <w:t>实施</w:t>
      </w:r>
      <w:r>
        <w:rPr>
          <w:rFonts w:hint="eastAsia" w:ascii="仿宋_GB2312" w:hAnsi="宋体" w:eastAsia="仿宋_GB2312" w:cs="Times New Roman"/>
          <w:color w:val="auto"/>
          <w:sz w:val="32"/>
          <w:szCs w:val="32"/>
          <w:highlight w:val="none"/>
          <w:lang w:val="zh-CN"/>
        </w:rPr>
        <w:t>管理，</w:t>
      </w:r>
      <w:r>
        <w:rPr>
          <w:rFonts w:hint="eastAsia" w:ascii="仿宋_GB2312" w:hAnsi="宋体" w:eastAsia="仿宋_GB2312" w:cs="Times New Roman"/>
          <w:color w:val="auto"/>
          <w:sz w:val="32"/>
          <w:szCs w:val="32"/>
          <w:highlight w:val="none"/>
          <w:lang w:val="en-US" w:eastAsia="zh-CN"/>
        </w:rPr>
        <w:t>一是前期工作检查巡视检查，做好安全保障；二是考试过程中驻点监督，保障考试工作正常开展；三是事后监督考试结果公平公正，确保考试的公开透明性。该项目在2021年顺利完成，保障了我市招生考试以及中考工作的有序开展，并取得了良好的成效。</w:t>
      </w:r>
    </w:p>
    <w:p>
      <w:pPr>
        <w:numPr>
          <w:ilvl w:val="0"/>
          <w:numId w:val="0"/>
        </w:numPr>
        <w:adjustRightInd w:val="0"/>
        <w:snapToGrid w:val="0"/>
        <w:spacing w:line="600" w:lineRule="exact"/>
        <w:ind w:left="720" w:leftChars="0"/>
        <w:rPr>
          <w:lang w:val="zh-CN"/>
        </w:rPr>
      </w:pPr>
      <w:r>
        <w:rPr>
          <w:rFonts w:hint="eastAsia" w:ascii="黑体" w:hAnsi="黑体" w:eastAsia="黑体" w:cs="黑体"/>
          <w:color w:val="000000"/>
          <w:sz w:val="32"/>
          <w:szCs w:val="32"/>
          <w:lang w:val="en-US" w:eastAsia="zh-CN"/>
        </w:rPr>
        <w:t>四</w:t>
      </w:r>
      <w:r>
        <w:rPr>
          <w:rFonts w:hint="eastAsia" w:ascii="黑体" w:hAnsi="黑体" w:eastAsia="黑体" w:cs="黑体"/>
          <w:color w:val="000000"/>
          <w:sz w:val="32"/>
          <w:szCs w:val="32"/>
        </w:rPr>
        <w:t>、项目绩效情况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（一）项目完成情况。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default" w:ascii="仿宋_GB2312" w:hAnsi="宋体" w:eastAsia="仿宋_GB2312" w:cs="Times New Roman"/>
          <w:color w:val="auto"/>
          <w:sz w:val="32"/>
          <w:szCs w:val="32"/>
          <w:highlight w:val="none"/>
          <w:lang w:val="en-US" w:eastAsia="zh-CN"/>
        </w:rPr>
      </w:pPr>
      <w:r>
        <w:rPr>
          <w:rFonts w:hint="eastAsia" w:ascii="仿宋_GB2312" w:hAnsi="宋体" w:eastAsia="仿宋_GB2312" w:cs="Times New Roman"/>
          <w:color w:val="auto"/>
          <w:sz w:val="32"/>
          <w:szCs w:val="32"/>
          <w:highlight w:val="none"/>
          <w:lang w:val="en-US" w:eastAsia="zh-CN"/>
        </w:rPr>
        <w:t>2021年项目共两个，招生考试工作经费及中考制卷费，全年共举办考试18次，均按照国家教育考试标准完成。</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（二）项目效益情况。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仿宋_GB2312" w:hAnsi="宋体" w:eastAsia="仿宋_GB2312" w:cs="Times New Roman"/>
          <w:color w:val="auto"/>
          <w:sz w:val="32"/>
          <w:szCs w:val="32"/>
          <w:highlight w:val="none"/>
          <w:lang w:val="zh-CN" w:eastAsia="zh-CN"/>
        </w:rPr>
      </w:pPr>
      <w:r>
        <w:rPr>
          <w:rFonts w:hint="eastAsia" w:ascii="仿宋_GB2312" w:hAnsi="宋体" w:eastAsia="仿宋_GB2312" w:cs="Times New Roman"/>
          <w:color w:val="auto"/>
          <w:sz w:val="32"/>
          <w:szCs w:val="32"/>
          <w:highlight w:val="none"/>
          <w:lang w:val="en-US" w:eastAsia="zh-CN"/>
        </w:rPr>
        <w:t>该</w:t>
      </w:r>
      <w:r>
        <w:rPr>
          <w:rFonts w:hint="eastAsia" w:ascii="仿宋_GB2312" w:hAnsi="宋体" w:eastAsia="仿宋_GB2312" w:cs="Times New Roman"/>
          <w:color w:val="auto"/>
          <w:sz w:val="32"/>
          <w:szCs w:val="32"/>
          <w:highlight w:val="none"/>
          <w:lang w:val="zh-CN" w:eastAsia="zh-CN"/>
        </w:rPr>
        <w:t>项目的实施确保了全年各项考试的顺利进行，办考标准一如既往，群众满意度较高。</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cs="Times New Roman"/>
          <w:color w:val="auto"/>
          <w:sz w:val="32"/>
          <w:szCs w:val="32"/>
          <w:highlight w:val="none"/>
        </w:rPr>
      </w:pPr>
      <w:r>
        <w:rPr>
          <w:rFonts w:hint="eastAsia" w:ascii="黑体" w:hAnsi="宋体" w:eastAsia="黑体" w:cs="Times New Roman"/>
          <w:color w:val="auto"/>
          <w:sz w:val="32"/>
          <w:szCs w:val="32"/>
          <w:highlight w:val="none"/>
        </w:rPr>
        <w:t>五、评价结论及建议</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（一）评价结论。</w:t>
      </w:r>
    </w:p>
    <w:p>
      <w:pPr>
        <w:keepNext w:val="0"/>
        <w:keepLines w:val="0"/>
        <w:pageBreakBefore w:val="0"/>
        <w:kinsoku/>
        <w:wordWrap/>
        <w:overflowPunct/>
        <w:topLinePunct w:val="0"/>
        <w:autoSpaceDE/>
        <w:autoSpaceDN/>
        <w:bidi w:val="0"/>
        <w:adjustRightInd w:val="0"/>
        <w:snapToGrid w:val="0"/>
        <w:spacing w:line="600" w:lineRule="exact"/>
        <w:ind w:firstLine="640" w:firstLineChars="200"/>
        <w:textAlignment w:val="auto"/>
        <w:rPr>
          <w:rFonts w:ascii="仿宋_GB2312" w:hAnsi="宋体" w:eastAsia="仿宋_GB2312" w:cs="Times New Roman"/>
          <w:color w:val="auto"/>
          <w:sz w:val="32"/>
          <w:szCs w:val="32"/>
          <w:highlight w:val="none"/>
          <w:bdr w:val="single" w:color="auto" w:sz="4" w:space="0"/>
          <w:lang w:val="zh-CN"/>
        </w:rPr>
      </w:pPr>
      <w:r>
        <w:rPr>
          <w:rFonts w:hint="eastAsia" w:ascii="仿宋_GB2312" w:hAnsi="宋体" w:eastAsia="仿宋_GB2312" w:cs="Times New Roman"/>
          <w:color w:val="auto"/>
          <w:sz w:val="32"/>
          <w:szCs w:val="32"/>
          <w:highlight w:val="none"/>
          <w:lang w:val="en-US" w:eastAsia="zh-CN"/>
        </w:rPr>
        <w:t>该</w:t>
      </w:r>
      <w:r>
        <w:rPr>
          <w:rFonts w:hint="eastAsia" w:ascii="仿宋_GB2312" w:hAnsi="宋体" w:eastAsia="仿宋_GB2312" w:cs="Times New Roman"/>
          <w:color w:val="auto"/>
          <w:sz w:val="32"/>
          <w:szCs w:val="32"/>
          <w:highlight w:val="none"/>
          <w:lang w:val="zh-CN" w:eastAsia="zh-CN"/>
        </w:rPr>
        <w:t>项目的实施确保了全年各项考试的顺利进行，</w:t>
      </w:r>
      <w:r>
        <w:rPr>
          <w:rFonts w:hint="eastAsia" w:ascii="仿宋_GB2312" w:hAnsi="宋体" w:eastAsia="仿宋_GB2312" w:cs="Times New Roman"/>
          <w:color w:val="auto"/>
          <w:sz w:val="32"/>
          <w:szCs w:val="32"/>
          <w:highlight w:val="none"/>
          <w:lang w:val="en-US" w:eastAsia="zh-CN"/>
        </w:rPr>
        <w:t>保障考试支出合理合规，项目支出整体绩效良好</w:t>
      </w:r>
      <w:r>
        <w:rPr>
          <w:rFonts w:hint="eastAsia" w:ascii="仿宋_GB2312" w:hAnsi="宋体" w:eastAsia="仿宋_GB2312" w:cs="Times New Roman"/>
          <w:color w:val="auto"/>
          <w:sz w:val="32"/>
          <w:szCs w:val="32"/>
          <w:highlight w:val="none"/>
          <w:lang w:val="zh-CN"/>
        </w:rPr>
        <w:t>。</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（二）存在的问题。</w:t>
      </w:r>
    </w:p>
    <w:p>
      <w:pPr>
        <w:keepNext w:val="0"/>
        <w:keepLines w:val="0"/>
        <w:pageBreakBefore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宋体" w:eastAsia="仿宋_GB2312" w:cs="Times New Roman"/>
          <w:color w:val="auto"/>
          <w:sz w:val="32"/>
          <w:szCs w:val="32"/>
          <w:highlight w:val="none"/>
          <w:lang w:val="en-US" w:eastAsia="zh-CN"/>
        </w:rPr>
      </w:pPr>
      <w:r>
        <w:rPr>
          <w:rFonts w:hint="eastAsia" w:ascii="仿宋_GB2312" w:hAnsi="宋体" w:eastAsia="仿宋_GB2312" w:cs="Times New Roman"/>
          <w:color w:val="auto"/>
          <w:sz w:val="32"/>
          <w:szCs w:val="32"/>
          <w:highlight w:val="none"/>
          <w:lang w:val="en-US" w:eastAsia="zh-CN"/>
        </w:rPr>
        <w:t>2021年预算申报是对财政专户管理的资金项目进行了合并申报后，进一步提高了预算的准确性，但还需在项目指标上进行细化、量化，准确性上进一步提高。</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（三）相关建议。</w:t>
      </w:r>
    </w:p>
    <w:p>
      <w:pPr>
        <w:pStyle w:val="2"/>
        <w:ind w:firstLine="600" w:firstLineChars="200"/>
        <w:rPr>
          <w:rFonts w:hint="eastAsia" w:ascii="仿宋_GB2312" w:hAnsi="宋体"/>
          <w:b w:val="0"/>
          <w:bCs w:val="0"/>
          <w:highlight w:val="none"/>
          <w:lang w:val="zh-CN"/>
        </w:rPr>
      </w:pPr>
      <w:r>
        <w:rPr>
          <w:rFonts w:hint="eastAsia" w:ascii="仿宋_GB2312" w:hAnsi="宋体"/>
          <w:b w:val="0"/>
          <w:bCs w:val="0"/>
          <w:lang w:val="zh-CN"/>
        </w:rPr>
        <w:t>无相关</w:t>
      </w:r>
      <w:r>
        <w:rPr>
          <w:rFonts w:hint="eastAsia" w:ascii="仿宋_GB2312" w:hAnsi="宋体"/>
          <w:b w:val="0"/>
          <w:bCs w:val="0"/>
          <w:highlight w:val="none"/>
          <w:lang w:val="zh-CN"/>
        </w:rPr>
        <w:t>建议。</w:t>
      </w:r>
    </w:p>
    <w:p>
      <w:pPr>
        <w:pStyle w:val="2"/>
        <w:rPr>
          <w:rFonts w:hint="eastAsia" w:ascii="仿宋_GB2312" w:hAnsi="宋体"/>
          <w:b w:val="0"/>
          <w:bCs w:val="0"/>
          <w:highlight w:val="none"/>
          <w:lang w:val="zh-CN"/>
        </w:rPr>
      </w:pPr>
    </w:p>
    <w:p>
      <w:pPr>
        <w:pStyle w:val="2"/>
        <w:rPr>
          <w:rFonts w:hint="eastAsia" w:ascii="仿宋_GB2312" w:hAnsi="宋体"/>
          <w:b w:val="0"/>
          <w:bCs w:val="0"/>
          <w:highlight w:val="none"/>
          <w:lang w:val="zh-CN"/>
        </w:rPr>
      </w:pPr>
    </w:p>
    <w:p>
      <w:pPr>
        <w:pStyle w:val="2"/>
        <w:rPr>
          <w:rFonts w:hint="eastAsia" w:ascii="仿宋_GB2312" w:hAnsi="宋体"/>
          <w:b w:val="0"/>
          <w:bCs w:val="0"/>
          <w:highlight w:val="none"/>
          <w:lang w:val="zh-CN"/>
        </w:rPr>
      </w:pPr>
    </w:p>
    <w:p>
      <w:pPr>
        <w:pStyle w:val="2"/>
        <w:rPr>
          <w:rFonts w:hint="eastAsia" w:ascii="仿宋_GB2312" w:hAnsi="宋体"/>
          <w:b w:val="0"/>
          <w:bCs w:val="0"/>
          <w:highlight w:val="none"/>
          <w:lang w:val="zh-CN"/>
        </w:rPr>
      </w:pPr>
    </w:p>
    <w:p>
      <w:pPr>
        <w:pStyle w:val="2"/>
        <w:rPr>
          <w:rFonts w:hint="eastAsia" w:ascii="仿宋_GB2312" w:hAnsi="宋体"/>
          <w:b w:val="0"/>
          <w:bCs w:val="0"/>
          <w:highlight w:val="none"/>
          <w:lang w:val="zh-CN"/>
        </w:rPr>
      </w:pPr>
    </w:p>
    <w:p>
      <w:pPr>
        <w:pStyle w:val="2"/>
        <w:rPr>
          <w:rFonts w:hint="eastAsia" w:ascii="仿宋_GB2312" w:hAnsi="宋体"/>
          <w:b w:val="0"/>
          <w:bCs w:val="0"/>
          <w:highlight w:val="none"/>
          <w:lang w:val="zh-CN"/>
        </w:rPr>
      </w:pPr>
    </w:p>
    <w:p>
      <w:pPr>
        <w:pStyle w:val="2"/>
        <w:ind w:firstLine="600" w:firstLineChars="200"/>
        <w:rPr>
          <w:rFonts w:hint="eastAsia" w:ascii="仿宋_GB2312" w:hAnsi="宋体" w:eastAsia="仿宋_GB2312"/>
          <w:b w:val="0"/>
          <w:bCs w:val="0"/>
          <w:highlight w:val="none"/>
          <w:lang w:val="en-US" w:eastAsia="zh-CN"/>
        </w:rPr>
      </w:pPr>
      <w:r>
        <w:rPr>
          <w:rFonts w:hint="eastAsia" w:hAnsi="宋体"/>
          <w:b w:val="0"/>
          <w:bCs w:val="0"/>
          <w:highlight w:val="none"/>
          <w:lang w:val="en-US" w:eastAsia="zh-CN"/>
        </w:rPr>
        <w:t>附表</w:t>
      </w:r>
    </w:p>
    <w:p>
      <w:pPr>
        <w:pStyle w:val="2"/>
        <w:jc w:val="center"/>
        <w:rPr>
          <w:rFonts w:hint="eastAsia"/>
          <w:color w:val="auto"/>
          <w:highlight w:val="none"/>
          <w:lang w:val="zh-CN"/>
        </w:rPr>
      </w:pPr>
      <w:r>
        <w:rPr>
          <w:rFonts w:hint="eastAsia" w:ascii="宋体" w:hAnsi="宋体" w:eastAsia="宋体" w:cs="宋体"/>
          <w:b/>
          <w:i w:val="0"/>
          <w:color w:val="auto"/>
          <w:sz w:val="32"/>
          <w:szCs w:val="32"/>
          <w:highlight w:val="none"/>
          <w:u w:val="none"/>
          <w:lang w:val="en-US" w:eastAsia="zh-CN"/>
        </w:rPr>
        <w:t>2021年部门预算项目绩效目标自评</w:t>
      </w:r>
    </w:p>
    <w:tbl>
      <w:tblPr>
        <w:tblStyle w:val="15"/>
        <w:tblW w:w="86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0"/>
        <w:gridCol w:w="750"/>
        <w:gridCol w:w="750"/>
        <w:gridCol w:w="1725"/>
        <w:gridCol w:w="2085"/>
        <w:gridCol w:w="1860"/>
        <w:gridCol w:w="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2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642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招生考试工作经费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2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主管单位</w:t>
            </w:r>
          </w:p>
        </w:tc>
        <w:tc>
          <w:tcPr>
            <w:tcW w:w="172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广元市教育局</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实施单位</w:t>
            </w:r>
          </w:p>
        </w:tc>
        <w:tc>
          <w:tcPr>
            <w:tcW w:w="2610"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广元市招生考试中心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执行</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情况</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（万元）</w:t>
            </w:r>
          </w:p>
        </w:tc>
        <w:tc>
          <w:tcPr>
            <w:tcW w:w="1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预算数：</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272.89</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执行数：</w:t>
            </w:r>
          </w:p>
        </w:tc>
        <w:tc>
          <w:tcPr>
            <w:tcW w:w="2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218.94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其中：财政拨款</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7.89</w:t>
            </w:r>
          </w:p>
        </w:tc>
        <w:tc>
          <w:tcPr>
            <w:tcW w:w="2085"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其中：财政拨款</w:t>
            </w:r>
          </w:p>
        </w:tc>
        <w:tc>
          <w:tcPr>
            <w:tcW w:w="2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其他资金</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265</w:t>
            </w:r>
          </w:p>
        </w:tc>
        <w:tc>
          <w:tcPr>
            <w:tcW w:w="2085"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其他资金</w:t>
            </w:r>
          </w:p>
        </w:tc>
        <w:tc>
          <w:tcPr>
            <w:tcW w:w="2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目标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完成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情况</w:t>
            </w:r>
          </w:p>
        </w:tc>
        <w:tc>
          <w:tcPr>
            <w:tcW w:w="32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预期目标</w:t>
            </w:r>
          </w:p>
        </w:tc>
        <w:tc>
          <w:tcPr>
            <w:tcW w:w="469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225"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用于全年考试考务支出以及中考制卷及组考。</w:t>
            </w:r>
          </w:p>
        </w:tc>
        <w:tc>
          <w:tcPr>
            <w:tcW w:w="4695"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圆满完成全年各项考试，完成中考制卷及组考工作。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5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绩效</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完成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情况</w:t>
            </w:r>
          </w:p>
        </w:tc>
        <w:tc>
          <w:tcPr>
            <w:tcW w:w="75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指标值（包含数字及文字描述）</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实际完成指标值（包含数字及文字描述）</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未完成原因及改进措施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项目完成指标</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全年高考、成考、中考各一次</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5.3万人次</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52303人参加考试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自考二次</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2.35万科次</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两次共46569科次</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英语等级、计算机等级各二次</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1万人次</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共9632人参考</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研究生考试一次</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4702人次</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2856人参考</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中小学教师资格考试笔试</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笔试1万科次</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两次共19299科次</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书法水平测试</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1.4万人次</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13922人参考</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中考阅卷人员</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180人  4天</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192人 4天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完成2020年印制试卷数</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考生2.3万人次、每考生7科次，共计16.1万份试卷</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共印制试卷16.21万份</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保证试卷印制质量</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印制质量合格</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印制质量合格</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命题、阅卷按期完成</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按期完成各项考试计划</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按时完成试卷印制</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各项考试组考成本</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161.5万元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167.86万元</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印制试卷成本</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共需资金21.1万元(其中财政拨款5.99万元)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实际使用资金14.71万元</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中考命题、阅卷、组考费等</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共需资金28.9万元（其中财政拨款1.9万元）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实际使用资金36.37万元</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中考总费用</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50万元（其中财政补助7.89万元）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除去财政补7.89万元共支出43.19万元</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项目效果指标</w:t>
            </w:r>
          </w:p>
        </w:tc>
        <w:tc>
          <w:tcPr>
            <w:tcW w:w="75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招生考试工作质量</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提高</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中考制卷质量</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提高</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提高</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p>
        </w:tc>
        <w:tc>
          <w:tcPr>
            <w:tcW w:w="75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师生满意度</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社会公众满意度</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bl>
    <w:p>
      <w:pPr>
        <w:pStyle w:val="2"/>
        <w:rPr>
          <w:rFonts w:hint="eastAsia"/>
          <w:color w:val="auto"/>
          <w:highlight w:val="none"/>
          <w:lang w:val="zh-CN"/>
        </w:rPr>
      </w:pPr>
    </w:p>
    <w:p>
      <w:pPr>
        <w:pStyle w:val="2"/>
        <w:rPr>
          <w:rFonts w:hint="eastAsia"/>
          <w:color w:val="auto"/>
          <w:highlight w:val="none"/>
          <w:lang w:val="zh-CN"/>
        </w:rPr>
      </w:pPr>
    </w:p>
    <w:p>
      <w:pPr>
        <w:pStyle w:val="2"/>
        <w:rPr>
          <w:rFonts w:hint="eastAsia"/>
          <w:color w:val="auto"/>
          <w:highlight w:val="none"/>
          <w:lang w:val="zh-CN"/>
        </w:rPr>
      </w:pPr>
    </w:p>
    <w:p>
      <w:pPr>
        <w:pStyle w:val="34"/>
        <w:keepNext w:val="0"/>
        <w:keepLines w:val="0"/>
        <w:pageBreakBefore w:val="0"/>
        <w:widowControl w:val="0"/>
        <w:kinsoku/>
        <w:wordWrap/>
        <w:overflowPunct/>
        <w:topLinePunct w:val="0"/>
        <w:autoSpaceDE/>
        <w:autoSpaceDN/>
        <w:bidi w:val="0"/>
        <w:spacing w:line="576" w:lineRule="exact"/>
        <w:jc w:val="center"/>
        <w:textAlignment w:val="auto"/>
        <w:rPr>
          <w:rFonts w:hint="eastAsia" w:ascii="华文中宋" w:hAnsi="华文中宋" w:eastAsia="华文中宋" w:cs="华文中宋"/>
          <w:b/>
          <w:bCs/>
          <w:sz w:val="44"/>
          <w:szCs w:val="44"/>
        </w:rPr>
      </w:pPr>
      <w:r>
        <w:rPr>
          <w:rFonts w:hint="eastAsia" w:ascii="华文中宋" w:hAnsi="华文中宋" w:eastAsia="华文中宋" w:cs="华文中宋"/>
          <w:b/>
          <w:bCs/>
          <w:sz w:val="44"/>
          <w:szCs w:val="44"/>
          <w:lang w:val="en-US" w:eastAsia="zh-CN"/>
        </w:rPr>
        <w:t>2021年度</w:t>
      </w:r>
      <w:r>
        <w:rPr>
          <w:rFonts w:hint="eastAsia" w:ascii="华文中宋" w:hAnsi="华文中宋" w:eastAsia="华文中宋" w:cs="华文中宋"/>
          <w:b/>
          <w:bCs/>
          <w:sz w:val="44"/>
          <w:szCs w:val="44"/>
          <w:lang w:eastAsia="zh-CN"/>
        </w:rPr>
        <w:t>专项预算项目支出</w:t>
      </w:r>
      <w:r>
        <w:rPr>
          <w:rFonts w:hint="eastAsia" w:ascii="华文中宋" w:hAnsi="华文中宋" w:eastAsia="华文中宋" w:cs="华文中宋"/>
          <w:b/>
          <w:bCs/>
          <w:sz w:val="44"/>
          <w:szCs w:val="44"/>
        </w:rPr>
        <w:t>绩效自评报告</w:t>
      </w:r>
    </w:p>
    <w:p>
      <w:pPr>
        <w:keepNext w:val="0"/>
        <w:keepLines w:val="0"/>
        <w:pageBreakBefore w:val="0"/>
        <w:widowControl w:val="0"/>
        <w:kinsoku/>
        <w:wordWrap/>
        <w:overflowPunct/>
        <w:topLinePunct w:val="0"/>
        <w:autoSpaceDE/>
        <w:autoSpaceDN/>
        <w:bidi w:val="0"/>
        <w:adjustRightInd w:val="0"/>
        <w:snapToGrid w:val="0"/>
        <w:spacing w:line="576" w:lineRule="exact"/>
        <w:ind w:firstLine="720"/>
        <w:jc w:val="center"/>
        <w:textAlignment w:val="auto"/>
        <w:rPr>
          <w:rFonts w:hint="default" w:ascii="方正仿宋_GB2312" w:hAnsi="方正仿宋_GB2312" w:eastAsia="方正仿宋_GB2312" w:cs="方正仿宋_GB2312"/>
          <w:b w:val="0"/>
          <w:bCs w:val="0"/>
          <w:sz w:val="32"/>
          <w:szCs w:val="40"/>
          <w:lang w:val="en-US"/>
        </w:rPr>
      </w:pPr>
      <w:r>
        <w:rPr>
          <w:rFonts w:hint="eastAsia" w:ascii="方正仿宋_GB2312" w:hAnsi="方正仿宋_GB2312" w:eastAsia="方正仿宋_GB2312" w:cs="方正仿宋_GB2312"/>
          <w:b w:val="0"/>
          <w:bCs w:val="0"/>
          <w:sz w:val="32"/>
          <w:szCs w:val="40"/>
          <w:lang w:val="en-US" w:eastAsia="zh-CN"/>
        </w:rPr>
        <w:t>（广元中学博明楼、博美楼维修项目）</w:t>
      </w:r>
    </w:p>
    <w:p>
      <w:pPr>
        <w:pStyle w:val="34"/>
        <w:keepNext w:val="0"/>
        <w:keepLines w:val="0"/>
        <w:pageBreakBefore w:val="0"/>
        <w:widowControl w:val="0"/>
        <w:kinsoku/>
        <w:wordWrap/>
        <w:overflowPunct/>
        <w:topLinePunct w:val="0"/>
        <w:autoSpaceDE/>
        <w:autoSpaceDN/>
        <w:bidi w:val="0"/>
        <w:spacing w:line="576" w:lineRule="exact"/>
        <w:ind w:firstLine="640"/>
        <w:jc w:val="center"/>
        <w:textAlignment w:val="auto"/>
        <w:rPr>
          <w:rFonts w:ascii="宋体" w:hAnsi="宋体"/>
          <w:b w:val="0"/>
          <w:bCs w:val="0"/>
          <w:color w:val="auto"/>
          <w:kern w:val="2"/>
          <w:sz w:val="32"/>
          <w:szCs w:val="32"/>
        </w:rPr>
      </w:pPr>
    </w:p>
    <w:p>
      <w:pPr>
        <w:keepNext w:val="0"/>
        <w:keepLines w:val="0"/>
        <w:pageBreakBefore w:val="0"/>
        <w:widowControl w:val="0"/>
        <w:kinsoku/>
        <w:wordWrap/>
        <w:overflowPunct/>
        <w:topLinePunct w:val="0"/>
        <w:autoSpaceDE/>
        <w:autoSpaceDN/>
        <w:bidi w:val="0"/>
        <w:adjustRightInd w:val="0"/>
        <w:snapToGrid w:val="0"/>
        <w:spacing w:line="576" w:lineRule="exact"/>
        <w:textAlignment w:val="auto"/>
        <w:rPr>
          <w:rFonts w:hint="eastAsia" w:ascii="方正仿宋_GB2312" w:hAnsi="方正仿宋_GB2312" w:eastAsia="方正仿宋_GB2312" w:cs="方正仿宋_GB2312"/>
          <w:b w:val="0"/>
          <w:bCs w:val="0"/>
          <w:sz w:val="32"/>
          <w:szCs w:val="40"/>
          <w:lang w:val="zh-CN"/>
        </w:rPr>
      </w:pPr>
      <w:r>
        <w:rPr>
          <w:rFonts w:hint="eastAsia" w:ascii="方正仿宋_GB2312" w:hAnsi="方正仿宋_GB2312" w:eastAsia="方正仿宋_GB2312" w:cs="方正仿宋_GB2312"/>
          <w:b w:val="0"/>
          <w:bCs w:val="0"/>
          <w:sz w:val="32"/>
          <w:szCs w:val="40"/>
        </w:rPr>
        <w:t>一、</w:t>
      </w:r>
      <w:r>
        <w:rPr>
          <w:rFonts w:hint="eastAsia" w:ascii="方正仿宋_GB2312" w:hAnsi="方正仿宋_GB2312" w:eastAsia="方正仿宋_GB2312" w:cs="方正仿宋_GB2312"/>
          <w:b w:val="0"/>
          <w:bCs w:val="0"/>
          <w:sz w:val="32"/>
          <w:szCs w:val="40"/>
          <w:lang w:val="zh-CN"/>
        </w:rPr>
        <w:t>项目概况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（一）项目基本情况。</w:t>
      </w:r>
    </w:p>
    <w:p>
      <w:pPr>
        <w:keepNext w:val="0"/>
        <w:keepLines w:val="0"/>
        <w:pageBreakBefore w:val="0"/>
        <w:widowControl w:val="0"/>
        <w:kinsoku/>
        <w:wordWrap/>
        <w:overflowPunct/>
        <w:topLinePunct w:val="0"/>
        <w:autoSpaceDE/>
        <w:autoSpaceDN/>
        <w:bidi w:val="0"/>
        <w:adjustRightInd w:val="0"/>
        <w:snapToGrid w:val="0"/>
        <w:spacing w:line="576" w:lineRule="exact"/>
        <w:ind w:firstLine="720"/>
        <w:jc w:val="both"/>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Times New Roman"/>
          <w:color w:val="auto"/>
          <w:sz w:val="32"/>
          <w:szCs w:val="32"/>
          <w:highlight w:val="none"/>
          <w:lang w:val="zh-CN"/>
        </w:rPr>
        <w:t>1．主管部门在该项目管理中的职能。</w:t>
      </w:r>
      <w:r>
        <w:rPr>
          <w:rFonts w:hint="eastAsia" w:ascii="仿宋_GB2312" w:hAnsi="宋体" w:eastAsia="仿宋_GB2312" w:cs="Times New Roman"/>
          <w:color w:val="auto"/>
          <w:sz w:val="32"/>
          <w:szCs w:val="32"/>
          <w:highlight w:val="none"/>
          <w:lang w:val="en-US" w:eastAsia="zh-CN"/>
        </w:rPr>
        <w:t>2021年</w:t>
      </w:r>
      <w:r>
        <w:rPr>
          <w:rFonts w:hint="eastAsia" w:ascii="方正仿宋_GB2312" w:hAnsi="方正仿宋_GB2312" w:eastAsia="方正仿宋_GB2312" w:cs="方正仿宋_GB2312"/>
          <w:b w:val="0"/>
          <w:bCs w:val="0"/>
          <w:sz w:val="32"/>
          <w:szCs w:val="40"/>
          <w:lang w:val="en-US" w:eastAsia="zh-CN"/>
        </w:rPr>
        <w:t>广元中学博明楼、博美楼维修项目</w:t>
      </w:r>
      <w:r>
        <w:rPr>
          <w:rFonts w:hint="eastAsia" w:ascii="仿宋_GB2312" w:hAnsi="宋体" w:eastAsia="仿宋_GB2312" w:cs="仿宋_GB2312"/>
          <w:color w:val="000000"/>
          <w:kern w:val="0"/>
          <w:sz w:val="32"/>
          <w:szCs w:val="32"/>
          <w:lang w:val="en-US" w:eastAsia="zh-CN" w:bidi="ar"/>
        </w:rPr>
        <w:t>由</w:t>
      </w:r>
      <w:r>
        <w:rPr>
          <w:rFonts w:hint="eastAsia" w:ascii="仿宋_GB2312" w:hAnsi="宋体" w:eastAsia="仿宋_GB2312" w:cs="Times New Roman"/>
          <w:color w:val="auto"/>
          <w:sz w:val="32"/>
          <w:szCs w:val="32"/>
          <w:highlight w:val="none"/>
          <w:lang w:val="en-US" w:eastAsia="zh-CN"/>
        </w:rPr>
        <w:t>广元中学</w:t>
      </w:r>
      <w:r>
        <w:rPr>
          <w:rFonts w:hint="eastAsia" w:ascii="仿宋_GB2312" w:hAnsi="宋体" w:eastAsia="仿宋_GB2312" w:cs="仿宋_GB2312"/>
          <w:color w:val="000000"/>
          <w:kern w:val="0"/>
          <w:sz w:val="32"/>
          <w:szCs w:val="32"/>
          <w:lang w:val="en-US" w:eastAsia="zh-CN" w:bidi="ar"/>
        </w:rPr>
        <w:t>具体</w:t>
      </w:r>
      <w:r>
        <w:rPr>
          <w:rFonts w:hint="eastAsia" w:ascii="仿宋_GB2312" w:hAnsi="宋体" w:eastAsia="仿宋_GB2312" w:cs="Times New Roman"/>
          <w:color w:val="auto"/>
          <w:sz w:val="32"/>
          <w:szCs w:val="32"/>
          <w:highlight w:val="none"/>
          <w:lang w:val="en-US" w:eastAsia="zh-CN"/>
        </w:rPr>
        <w:t>负责，市教育局对项目实施、项目资金支付等</w:t>
      </w:r>
      <w:r>
        <w:rPr>
          <w:rFonts w:hint="eastAsia" w:ascii="仿宋_GB2312" w:hAnsi="宋体" w:eastAsia="仿宋_GB2312" w:cs="仿宋_GB2312"/>
          <w:color w:val="000000"/>
          <w:kern w:val="0"/>
          <w:sz w:val="32"/>
          <w:szCs w:val="32"/>
          <w:lang w:val="en-US" w:eastAsia="zh-CN" w:bidi="ar"/>
        </w:rPr>
        <w:t>工作进行监督管理。</w:t>
      </w:r>
    </w:p>
    <w:p>
      <w:pPr>
        <w:keepNext w:val="0"/>
        <w:keepLines w:val="0"/>
        <w:pageBreakBefore w:val="0"/>
        <w:widowControl w:val="0"/>
        <w:kinsoku/>
        <w:wordWrap/>
        <w:overflowPunct/>
        <w:topLinePunct w:val="0"/>
        <w:autoSpaceDE/>
        <w:autoSpaceDN/>
        <w:bidi w:val="0"/>
        <w:adjustRightInd w:val="0"/>
        <w:snapToGrid w:val="0"/>
        <w:spacing w:line="576" w:lineRule="exact"/>
        <w:ind w:firstLine="720"/>
        <w:jc w:val="both"/>
        <w:textAlignment w:val="auto"/>
        <w:rPr>
          <w:rFonts w:hint="eastAsia" w:ascii="方正仿宋_GB2312" w:hAnsi="方正仿宋_GB2312" w:eastAsia="方正仿宋_GB2312" w:cs="方正仿宋_GB2312"/>
          <w:b w:val="0"/>
          <w:bCs w:val="0"/>
          <w:sz w:val="32"/>
          <w:szCs w:val="40"/>
          <w:lang w:val="zh-CN"/>
        </w:rPr>
      </w:pPr>
      <w:r>
        <w:rPr>
          <w:rFonts w:hint="eastAsia" w:ascii="仿宋_GB2312" w:hAnsi="宋体" w:eastAsia="仿宋_GB2312" w:cs="Times New Roman"/>
          <w:color w:val="auto"/>
          <w:sz w:val="32"/>
          <w:szCs w:val="32"/>
          <w:highlight w:val="none"/>
          <w:lang w:val="zh-CN"/>
        </w:rPr>
        <w:t>2．项目立项、资金申报的依据。</w:t>
      </w:r>
      <w:r>
        <w:rPr>
          <w:rFonts w:hint="eastAsia" w:ascii="方正仿宋_GB2312" w:hAnsi="方正仿宋_GB2312" w:eastAsia="方正仿宋_GB2312" w:cs="方正仿宋_GB2312"/>
          <w:b w:val="0"/>
          <w:bCs w:val="0"/>
          <w:sz w:val="32"/>
          <w:szCs w:val="40"/>
          <w:lang w:val="zh-CN"/>
        </w:rPr>
        <w:t>2020年12月15日，邹自景市长在城区调研发现</w:t>
      </w:r>
      <w:r>
        <w:rPr>
          <w:rFonts w:hint="eastAsia" w:ascii="方正仿宋_GB2312" w:hAnsi="方正仿宋_GB2312" w:eastAsia="方正仿宋_GB2312" w:cs="方正仿宋_GB2312"/>
          <w:b w:val="0"/>
          <w:bCs w:val="0"/>
          <w:sz w:val="32"/>
          <w:szCs w:val="40"/>
          <w:lang w:val="en-US" w:eastAsia="zh-CN"/>
        </w:rPr>
        <w:t>学校</w:t>
      </w:r>
      <w:r>
        <w:rPr>
          <w:rFonts w:hint="eastAsia" w:ascii="方正仿宋_GB2312" w:hAnsi="方正仿宋_GB2312" w:eastAsia="方正仿宋_GB2312" w:cs="方正仿宋_GB2312"/>
          <w:b w:val="0"/>
          <w:bCs w:val="0"/>
          <w:sz w:val="32"/>
          <w:szCs w:val="40"/>
          <w:lang w:val="zh-CN"/>
        </w:rPr>
        <w:t>临电子路建筑外墙污损严重，局部脱落，存在安全隐患，且影响市容，指示必须整治，随后市政府副秘书长王华南召集市教育局、住建局、自然资源局、城管局等部门现场研究，会商认为需拆除外墙抹灰重做外墙漆。2021年3月21日，</w:t>
      </w:r>
      <w:r>
        <w:rPr>
          <w:rFonts w:hint="eastAsia" w:ascii="方正仿宋_GB2312" w:hAnsi="方正仿宋_GB2312" w:eastAsia="方正仿宋_GB2312" w:cs="方正仿宋_GB2312"/>
          <w:b w:val="0"/>
          <w:bCs w:val="0"/>
          <w:sz w:val="32"/>
          <w:szCs w:val="40"/>
          <w:lang w:val="en-US" w:eastAsia="zh-CN"/>
        </w:rPr>
        <w:t>我校</w:t>
      </w:r>
      <w:r>
        <w:rPr>
          <w:rFonts w:hint="eastAsia" w:ascii="方正仿宋_GB2312" w:hAnsi="方正仿宋_GB2312" w:eastAsia="方正仿宋_GB2312" w:cs="方正仿宋_GB2312"/>
          <w:b w:val="0"/>
          <w:bCs w:val="0"/>
          <w:sz w:val="32"/>
          <w:szCs w:val="40"/>
          <w:lang w:val="zh-CN"/>
        </w:rPr>
        <w:t>向市教育局报送《关于校舍维修三年计划及资金的请示》，2021年计划完成博明、博美楼的维修。维修主要内容:博明楼外墙拆除，重新抹灰做真石漆，博美楼外墙做真石漆，宿舍贴地板砖，内墙漆翻新，供水管改造，更换灯具，临街更换双层窗等。</w:t>
      </w:r>
    </w:p>
    <w:p>
      <w:pPr>
        <w:widowControl/>
        <w:spacing w:line="600" w:lineRule="exact"/>
        <w:ind w:firstLine="640" w:firstLineChars="200"/>
        <w:jc w:val="left"/>
        <w:rPr>
          <w:rFonts w:hint="eastAsia"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zh-CN"/>
        </w:rPr>
        <w:t>3．资金管理办法制定情况，资金支持具体项目的条件、范围与支持方式概况。</w:t>
      </w:r>
      <w:r>
        <w:rPr>
          <w:rFonts w:hint="eastAsia" w:ascii="仿宋_GB2312" w:hAnsi="宋体" w:eastAsia="仿宋_GB2312" w:cs="Times New Roman"/>
          <w:color w:val="auto"/>
          <w:sz w:val="32"/>
          <w:szCs w:val="32"/>
          <w:highlight w:val="none"/>
          <w:lang w:val="en-US" w:eastAsia="zh-CN"/>
        </w:rPr>
        <w:t>学校制定了财务管理制度并按要求严格执行，该项目</w:t>
      </w:r>
      <w:r>
        <w:rPr>
          <w:rFonts w:hint="eastAsia" w:ascii="仿宋_GB2312" w:hAnsi="宋体" w:eastAsia="仿宋_GB2312" w:cs="Times New Roman"/>
          <w:color w:val="auto"/>
          <w:sz w:val="32"/>
          <w:szCs w:val="32"/>
          <w:highlight w:val="none"/>
          <w:lang w:val="zh-CN"/>
        </w:rPr>
        <w:t>资金指标下达后，按预算指标</w:t>
      </w:r>
      <w:r>
        <w:rPr>
          <w:rFonts w:hint="eastAsia" w:ascii="仿宋_GB2312" w:hAnsi="宋体" w:eastAsia="仿宋_GB2312" w:cs="Times New Roman"/>
          <w:color w:val="auto"/>
          <w:sz w:val="32"/>
          <w:szCs w:val="32"/>
          <w:highlight w:val="none"/>
          <w:lang w:val="en-US" w:eastAsia="zh-CN"/>
        </w:rPr>
        <w:t>合理合规进行开支</w:t>
      </w:r>
      <w:r>
        <w:rPr>
          <w:rFonts w:hint="eastAsia" w:ascii="仿宋_GB2312" w:hAnsi="宋体" w:eastAsia="仿宋_GB2312" w:cs="Times New Roman"/>
          <w:color w:val="auto"/>
          <w:sz w:val="32"/>
          <w:szCs w:val="32"/>
          <w:highlight w:val="none"/>
          <w:lang w:val="zh-CN"/>
        </w:rPr>
        <w:t>使用。</w:t>
      </w:r>
    </w:p>
    <w:p>
      <w:pPr>
        <w:widowControl/>
        <w:spacing w:line="600" w:lineRule="exact"/>
        <w:ind w:firstLine="640" w:firstLineChars="200"/>
        <w:jc w:val="left"/>
        <w:rPr>
          <w:rFonts w:hint="eastAsia"/>
          <w:lang w:val="zh-CN"/>
        </w:rPr>
      </w:pPr>
      <w:r>
        <w:rPr>
          <w:rFonts w:hint="eastAsia" w:ascii="仿宋_GB2312" w:hAnsi="宋体" w:eastAsia="仿宋_GB2312" w:cs="Times New Roman"/>
          <w:color w:val="auto"/>
          <w:kern w:val="2"/>
          <w:sz w:val="32"/>
          <w:szCs w:val="32"/>
          <w:highlight w:val="none"/>
          <w:lang w:val="en-US" w:eastAsia="zh-CN" w:bidi="ar-SA"/>
        </w:rPr>
        <w:t>4.</w:t>
      </w:r>
      <w:r>
        <w:rPr>
          <w:rFonts w:hint="eastAsia" w:ascii="仿宋_GB2312" w:hAnsi="宋体" w:eastAsia="仿宋_GB2312" w:cs="Times New Roman"/>
          <w:color w:val="auto"/>
          <w:kern w:val="2"/>
          <w:sz w:val="32"/>
          <w:szCs w:val="32"/>
          <w:highlight w:val="none"/>
          <w:lang w:val="zh-CN" w:eastAsia="zh-CN" w:bidi="ar-SA"/>
        </w:rPr>
        <w:t>资金分配的原则及考虑因素。</w:t>
      </w:r>
      <w:r>
        <w:rPr>
          <w:rFonts w:hint="eastAsia" w:ascii="仿宋_GB2312" w:hAnsi="宋体" w:eastAsia="仿宋_GB2312" w:cs="Times New Roman"/>
          <w:color w:val="auto"/>
          <w:kern w:val="2"/>
          <w:sz w:val="32"/>
          <w:szCs w:val="32"/>
          <w:highlight w:val="none"/>
          <w:lang w:val="en-US" w:eastAsia="zh-CN" w:bidi="ar-SA"/>
        </w:rPr>
        <w:t>2021年</w:t>
      </w:r>
      <w:r>
        <w:rPr>
          <w:rFonts w:hint="eastAsia" w:ascii="方正仿宋_GB2312" w:hAnsi="方正仿宋_GB2312" w:eastAsia="方正仿宋_GB2312" w:cs="方正仿宋_GB2312"/>
          <w:b w:val="0"/>
          <w:bCs w:val="0"/>
          <w:sz w:val="32"/>
          <w:szCs w:val="40"/>
          <w:lang w:val="en-US" w:eastAsia="zh-CN"/>
        </w:rPr>
        <w:t>广元中学博明楼、博美楼维修项目</w:t>
      </w:r>
      <w:r>
        <w:rPr>
          <w:rFonts w:hint="eastAsia" w:ascii="仿宋_GB2312" w:hAnsi="宋体" w:eastAsia="仿宋_GB2312" w:cs="Times New Roman"/>
          <w:color w:val="auto"/>
          <w:kern w:val="2"/>
          <w:sz w:val="32"/>
          <w:szCs w:val="32"/>
          <w:highlight w:val="none"/>
          <w:lang w:val="en-US" w:eastAsia="zh-CN" w:bidi="ar-SA"/>
        </w:rPr>
        <w:t>严格按照教育教学质量监测需要合理合规进行资金分配，</w:t>
      </w:r>
      <w:r>
        <w:rPr>
          <w:rFonts w:hint="eastAsia" w:ascii="仿宋_GB2312" w:hAnsi="仿宋_GB2312" w:eastAsia="仿宋_GB2312" w:cs="仿宋_GB2312"/>
          <w:color w:val="000000"/>
          <w:sz w:val="32"/>
          <w:szCs w:val="32"/>
        </w:rPr>
        <w:t>充分发挥全市教学质量监测评估项目资金使用</w:t>
      </w:r>
      <w:r>
        <w:rPr>
          <w:rFonts w:hint="eastAsia" w:ascii="仿宋_GB2312" w:hAnsi="仿宋_GB2312" w:eastAsia="仿宋_GB2312" w:cs="仿宋_GB2312"/>
          <w:color w:val="000000"/>
          <w:sz w:val="32"/>
          <w:szCs w:val="32"/>
          <w:lang w:val="en-US" w:eastAsia="zh-CN"/>
        </w:rPr>
        <w:t>效益</w:t>
      </w:r>
      <w:r>
        <w:rPr>
          <w:rFonts w:hint="eastAsia" w:ascii="仿宋_GB2312" w:hAnsi="仿宋_GB2312" w:eastAsia="仿宋_GB2312" w:cs="仿宋_GB2312"/>
          <w:bCs/>
          <w:color w:val="000000"/>
          <w:kern w:val="0"/>
          <w:sz w:val="32"/>
          <w:szCs w:val="32"/>
        </w:rPr>
        <w:t>。</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（二）项目绩效目标。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b w:val="0"/>
          <w:bCs w:val="0"/>
          <w:sz w:val="32"/>
          <w:szCs w:val="40"/>
          <w:lang w:val="en-US" w:eastAsia="zh-CN"/>
        </w:rPr>
      </w:pPr>
      <w:r>
        <w:rPr>
          <w:rFonts w:hint="eastAsia" w:ascii="仿宋_GB2312" w:hAnsi="宋体" w:eastAsia="仿宋_GB2312" w:cs="Times New Roman"/>
          <w:color w:val="auto"/>
          <w:sz w:val="32"/>
          <w:szCs w:val="32"/>
          <w:highlight w:val="none"/>
          <w:lang w:val="zh-CN"/>
        </w:rPr>
        <w:t>1．项目主要内容。</w:t>
      </w:r>
      <w:r>
        <w:rPr>
          <w:rFonts w:hint="eastAsia" w:ascii="方正仿宋_GB2312" w:hAnsi="方正仿宋_GB2312" w:eastAsia="方正仿宋_GB2312" w:cs="方正仿宋_GB2312"/>
          <w:b w:val="0"/>
          <w:bCs w:val="0"/>
          <w:sz w:val="32"/>
          <w:szCs w:val="40"/>
          <w:lang w:val="zh-CN"/>
        </w:rPr>
        <w:t>完成博美楼、博明楼2个公寓楼维修，改善学生居住条件，消除安全隐患，</w:t>
      </w:r>
      <w:r>
        <w:rPr>
          <w:rFonts w:hint="eastAsia" w:ascii="方正仿宋_GB2312" w:hAnsi="方正仿宋_GB2312" w:eastAsia="方正仿宋_GB2312" w:cs="方正仿宋_GB2312"/>
          <w:b w:val="0"/>
          <w:bCs w:val="0"/>
          <w:sz w:val="32"/>
          <w:szCs w:val="40"/>
          <w:lang w:val="en-US" w:eastAsia="zh-CN"/>
        </w:rPr>
        <w:t>降低学校日常维修费用支出，实现节能降耗，提升校容校貌。</w:t>
      </w:r>
    </w:p>
    <w:p>
      <w:pPr>
        <w:pStyle w:val="2"/>
        <w:ind w:firstLine="640" w:firstLineChars="200"/>
        <w:rPr>
          <w:rFonts w:hint="eastAsia"/>
          <w:lang w:val="zh-CN"/>
        </w:rPr>
      </w:pPr>
      <w:r>
        <w:rPr>
          <w:rFonts w:hint="eastAsia" w:ascii="仿宋_GB2312" w:hAnsi="宋体" w:eastAsia="仿宋_GB2312" w:cs="Times New Roman"/>
          <w:color w:val="auto"/>
          <w:sz w:val="32"/>
          <w:szCs w:val="32"/>
          <w:highlight w:val="none"/>
          <w:lang w:val="en-US" w:eastAsia="zh-CN"/>
        </w:rPr>
        <w:t>2.</w:t>
      </w:r>
      <w:r>
        <w:rPr>
          <w:rFonts w:hint="eastAsia" w:ascii="仿宋_GB2312" w:hAnsi="宋体" w:eastAsia="仿宋_GB2312" w:cs="Times New Roman"/>
          <w:color w:val="auto"/>
          <w:sz w:val="32"/>
          <w:szCs w:val="32"/>
          <w:highlight w:val="none"/>
          <w:lang w:val="zh-CN"/>
        </w:rPr>
        <w:t>项目应实现的具体绩效目标。</w:t>
      </w:r>
      <w:r>
        <w:rPr>
          <w:rFonts w:hint="eastAsia" w:ascii="方正仿宋_GB2312" w:hAnsi="方正仿宋_GB2312" w:eastAsia="方正仿宋_GB2312" w:cs="方正仿宋_GB2312"/>
          <w:b w:val="0"/>
          <w:bCs w:val="0"/>
          <w:sz w:val="32"/>
          <w:szCs w:val="40"/>
          <w:lang w:val="zh-CN"/>
        </w:rPr>
        <w:t>2021年计划完成博明、博美楼的维修。维修主要内容:博明楼外墙拆除，重新抹灰做真石漆，博美楼外墙做真石漆，宿舍贴地板砖，内墙漆翻新，供水管改造，更换灯具，临街更换双层窗等。</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方正仿宋_GB2312" w:hAnsi="方正仿宋_GB2312" w:eastAsia="方正仿宋_GB2312" w:cs="方正仿宋_GB2312"/>
          <w:b w:val="0"/>
          <w:bCs w:val="0"/>
          <w:sz w:val="32"/>
          <w:szCs w:val="40"/>
          <w:lang w:val="zh-CN"/>
        </w:rPr>
      </w:pPr>
      <w:r>
        <w:rPr>
          <w:rFonts w:hint="eastAsia" w:ascii="仿宋_GB2312" w:hAnsi="宋体" w:eastAsia="仿宋_GB2312" w:cs="Times New Roman"/>
          <w:color w:val="auto"/>
          <w:sz w:val="32"/>
          <w:szCs w:val="32"/>
          <w:highlight w:val="none"/>
          <w:lang w:val="en-US" w:eastAsia="zh-CN"/>
        </w:rPr>
        <w:t>3.</w:t>
      </w:r>
      <w:r>
        <w:rPr>
          <w:rFonts w:hint="eastAsia" w:ascii="仿宋_GB2312" w:hAnsi="宋体" w:eastAsia="仿宋_GB2312" w:cs="Times New Roman"/>
          <w:color w:val="auto"/>
          <w:sz w:val="32"/>
          <w:szCs w:val="32"/>
          <w:highlight w:val="none"/>
          <w:lang w:val="zh-CN"/>
        </w:rPr>
        <w:t>项目资金与申报项目相符性。</w:t>
      </w:r>
      <w:r>
        <w:rPr>
          <w:rFonts w:hint="eastAsia" w:ascii="方正仿宋_GB2312" w:hAnsi="方正仿宋_GB2312" w:eastAsia="方正仿宋_GB2312" w:cs="方正仿宋_GB2312"/>
          <w:b w:val="0"/>
          <w:bCs w:val="0"/>
          <w:sz w:val="32"/>
          <w:szCs w:val="40"/>
          <w:lang w:val="en-US" w:eastAsia="zh-CN"/>
        </w:rPr>
        <w:t>2021年财政下达专项预算154.78万元，用于博明、博美楼维修，</w:t>
      </w:r>
      <w:r>
        <w:rPr>
          <w:rFonts w:hint="eastAsia" w:ascii="方正仿宋_GB2312" w:hAnsi="方正仿宋_GB2312" w:eastAsia="方正仿宋_GB2312" w:cs="方正仿宋_GB2312"/>
          <w:b w:val="0"/>
          <w:bCs w:val="0"/>
          <w:sz w:val="32"/>
          <w:szCs w:val="40"/>
          <w:lang w:val="zh-CN"/>
        </w:rPr>
        <w:t>项目申报内容与具体实施内容相符、申报目标合理可行。</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（三）项目自评步骤及方法。</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方正仿宋_GB2312" w:hAnsi="方正仿宋_GB2312" w:eastAsia="方正仿宋_GB2312" w:cs="方正仿宋_GB2312"/>
          <w:b w:val="0"/>
          <w:bCs w:val="0"/>
          <w:sz w:val="32"/>
          <w:szCs w:val="40"/>
          <w:lang w:val="zh-CN"/>
        </w:rPr>
      </w:pPr>
      <w:r>
        <w:rPr>
          <w:rFonts w:hint="eastAsia" w:ascii="仿宋_GB2312" w:hAnsi="宋体" w:eastAsia="仿宋_GB2312" w:cs="Times New Roman"/>
          <w:color w:val="auto"/>
          <w:sz w:val="32"/>
          <w:szCs w:val="32"/>
          <w:highlight w:val="none"/>
          <w:lang w:val="zh-CN"/>
        </w:rPr>
        <w:t>项目绩效自评</w:t>
      </w:r>
      <w:r>
        <w:rPr>
          <w:rFonts w:hint="eastAsia" w:ascii="仿宋_GB2312" w:hAnsi="宋体" w:eastAsia="仿宋_GB2312" w:cs="Times New Roman"/>
          <w:color w:val="auto"/>
          <w:sz w:val="32"/>
          <w:szCs w:val="32"/>
          <w:highlight w:val="none"/>
          <w:lang w:val="en-US" w:eastAsia="zh-CN"/>
        </w:rPr>
        <w:t>由主管部门通知开展自评工作，先是单位自评，再由部门复评，逐步开展</w:t>
      </w:r>
      <w:r>
        <w:rPr>
          <w:rFonts w:hint="eastAsia" w:ascii="仿宋_GB2312" w:hAnsi="宋体" w:eastAsia="仿宋_GB2312" w:cs="Times New Roman"/>
          <w:color w:val="auto"/>
          <w:sz w:val="32"/>
          <w:szCs w:val="32"/>
          <w:highlight w:val="none"/>
          <w:lang w:val="zh-CN"/>
        </w:rPr>
        <w:t>组织实施</w:t>
      </w:r>
      <w:r>
        <w:rPr>
          <w:rFonts w:hint="eastAsia" w:ascii="仿宋_GB2312" w:hAnsi="宋体" w:eastAsia="仿宋_GB2312" w:cs="Times New Roman"/>
          <w:color w:val="auto"/>
          <w:sz w:val="32"/>
          <w:szCs w:val="32"/>
          <w:highlight w:val="none"/>
          <w:lang w:val="en-US" w:eastAsia="zh-CN"/>
        </w:rPr>
        <w:t>绩效自评</w:t>
      </w:r>
      <w:r>
        <w:rPr>
          <w:rFonts w:hint="eastAsia" w:ascii="仿宋_GB2312" w:hAnsi="宋体" w:eastAsia="仿宋_GB2312" w:cs="Times New Roman"/>
          <w:color w:val="auto"/>
          <w:sz w:val="32"/>
          <w:szCs w:val="32"/>
          <w:highlight w:val="none"/>
          <w:lang w:val="zh-CN"/>
        </w:rPr>
        <w:t>。</w:t>
      </w:r>
    </w:p>
    <w:p>
      <w:pPr>
        <w:adjustRightInd w:val="0"/>
        <w:snapToGrid w:val="0"/>
        <w:spacing w:line="600" w:lineRule="exact"/>
        <w:ind w:firstLine="640" w:firstLineChars="200"/>
        <w:rPr>
          <w:rFonts w:hint="eastAsia" w:ascii="黑体" w:hAnsi="黑体" w:eastAsia="黑体" w:cs="黑体"/>
          <w:color w:val="000000"/>
          <w:sz w:val="32"/>
          <w:szCs w:val="32"/>
        </w:rPr>
      </w:pPr>
      <w:r>
        <w:rPr>
          <w:rFonts w:hint="eastAsia" w:ascii="黑体" w:hAnsi="黑体" w:eastAsia="黑体" w:cs="黑体"/>
          <w:color w:val="000000"/>
          <w:sz w:val="32"/>
          <w:szCs w:val="32"/>
        </w:rPr>
        <w:t>二、项目的实施及管理情况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一</w:t>
      </w:r>
      <w:r>
        <w:rPr>
          <w:rFonts w:hint="eastAsia" w:ascii="楷体_GB2312" w:hAnsi="宋体" w:eastAsia="楷体_GB2312" w:cs="Times New Roman"/>
          <w:b/>
          <w:color w:val="auto"/>
          <w:sz w:val="32"/>
          <w:szCs w:val="32"/>
          <w:highlight w:val="none"/>
          <w:lang w:val="zh-CN"/>
        </w:rPr>
        <w:t>）项目资金申报及批复情况。</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ascii="方正仿宋_GB2312" w:hAnsi="方正仿宋_GB2312" w:eastAsia="方正仿宋_GB2312" w:cs="方正仿宋_GB2312"/>
          <w:b w:val="0"/>
          <w:bCs w:val="0"/>
          <w:sz w:val="32"/>
          <w:szCs w:val="40"/>
          <w:lang w:val="zh-CN"/>
        </w:rPr>
      </w:pPr>
      <w:r>
        <w:rPr>
          <w:rFonts w:hint="eastAsia" w:ascii="方正仿宋_GB2312" w:hAnsi="方正仿宋_GB2312" w:eastAsia="方正仿宋_GB2312" w:cs="方正仿宋_GB2312"/>
          <w:b w:val="0"/>
          <w:bCs w:val="0"/>
          <w:sz w:val="32"/>
          <w:szCs w:val="40"/>
          <w:lang w:val="en-US" w:eastAsia="zh-CN"/>
        </w:rPr>
        <w:t>根据《广元市财政局关于下达2021年市级教育专项资金预算的通知》（广财教[2021]97号）文件，下达资金154.78万元，实际到位154.78万元，资金到位率100%。</w:t>
      </w:r>
    </w:p>
    <w:p>
      <w:pPr>
        <w:numPr>
          <w:ilvl w:val="0"/>
          <w:numId w:val="0"/>
        </w:numPr>
        <w:adjustRightInd w:val="0"/>
        <w:snapToGrid w:val="0"/>
        <w:spacing w:line="600" w:lineRule="exact"/>
        <w:ind w:firstLine="643" w:firstLineChars="200"/>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）资金计划、到位及使用情况。</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b w:val="0"/>
          <w:bCs w:val="0"/>
          <w:sz w:val="32"/>
          <w:szCs w:val="40"/>
          <w:lang w:val="en-US" w:eastAsia="zh-CN"/>
        </w:rPr>
      </w:pPr>
      <w:r>
        <w:rPr>
          <w:rFonts w:hint="eastAsia" w:ascii="方正仿宋_GB2312" w:hAnsi="方正仿宋_GB2312" w:eastAsia="方正仿宋_GB2312" w:cs="方正仿宋_GB2312"/>
          <w:b w:val="0"/>
          <w:bCs w:val="0"/>
          <w:sz w:val="32"/>
          <w:szCs w:val="40"/>
          <w:lang w:val="en-US" w:eastAsia="zh-CN"/>
        </w:rPr>
        <w:t>该项目下达资金154.78万元，实际到位154.78万元，资金到位率100%，2021年使用154.78万元，执行率100%。</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textAlignment w:val="auto"/>
        <w:rPr>
          <w:rFonts w:hint="eastAsia" w:ascii="方正仿宋_GB2312" w:hAnsi="方正仿宋_GB2312" w:eastAsia="方正仿宋_GB2312" w:cs="方正仿宋_GB2312"/>
          <w:i w:val="0"/>
          <w:iCs w:val="0"/>
          <w:caps w:val="0"/>
          <w:color w:val="333333"/>
          <w:spacing w:val="0"/>
          <w:sz w:val="48"/>
          <w:szCs w:val="48"/>
          <w:shd w:val="clear" w:fill="FFFFFF"/>
        </w:rPr>
      </w:pPr>
      <w:r>
        <w:rPr>
          <w:rFonts w:hint="eastAsia" w:ascii="方正仿宋_GB2312" w:hAnsi="方正仿宋_GB2312" w:eastAsia="方正仿宋_GB2312" w:cs="方正仿宋_GB2312"/>
          <w:b w:val="0"/>
          <w:bCs w:val="0"/>
          <w:sz w:val="32"/>
          <w:szCs w:val="40"/>
          <w:lang w:val="en-US" w:eastAsia="zh-CN"/>
        </w:rPr>
        <w:t>全部用于博明、博美楼维修。资金支付依据合规合法，专款专用，无挪用、违规开支等现象，与预算相符。</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w:t>
      </w:r>
      <w:r>
        <w:rPr>
          <w:rFonts w:hint="eastAsia" w:ascii="楷体_GB2312" w:hAnsi="楷体_GB2312" w:eastAsia="楷体_GB2312" w:cs="楷体_GB2312"/>
          <w:b/>
          <w:color w:val="000000"/>
          <w:sz w:val="32"/>
          <w:szCs w:val="32"/>
          <w:lang w:val="en-US" w:eastAsia="zh-CN"/>
        </w:rPr>
        <w:t>三</w:t>
      </w:r>
      <w:r>
        <w:rPr>
          <w:rFonts w:hint="eastAsia" w:ascii="楷体_GB2312" w:hAnsi="楷体_GB2312" w:eastAsia="楷体_GB2312" w:cs="楷体_GB2312"/>
          <w:b/>
          <w:color w:val="000000"/>
          <w:sz w:val="32"/>
          <w:szCs w:val="32"/>
        </w:rPr>
        <w:t>）项目财务管理情况</w:t>
      </w:r>
    </w:p>
    <w:p>
      <w:pPr>
        <w:keepNext w:val="0"/>
        <w:keepLines w:val="0"/>
        <w:pageBreakBefore w:val="0"/>
        <w:widowControl w:val="0"/>
        <w:kinsoku/>
        <w:wordWrap/>
        <w:overflowPunct/>
        <w:topLinePunct w:val="0"/>
        <w:autoSpaceDE/>
        <w:autoSpaceDN/>
        <w:bidi w:val="0"/>
        <w:adjustRightInd w:val="0"/>
        <w:snapToGrid w:val="0"/>
        <w:spacing w:line="576" w:lineRule="exact"/>
        <w:ind w:firstLine="1134"/>
        <w:textAlignment w:val="auto"/>
        <w:rPr>
          <w:rFonts w:hint="eastAsia" w:ascii="方正仿宋_GB2312" w:hAnsi="方正仿宋_GB2312" w:eastAsia="方正仿宋_GB2312" w:cs="方正仿宋_GB2312"/>
          <w:b w:val="0"/>
          <w:bCs w:val="0"/>
          <w:sz w:val="32"/>
          <w:szCs w:val="40"/>
          <w:lang w:val="zh-CN"/>
        </w:rPr>
      </w:pPr>
      <w:r>
        <w:rPr>
          <w:rFonts w:hint="eastAsia" w:ascii="方正仿宋_GB2312" w:hAnsi="方正仿宋_GB2312" w:eastAsia="方正仿宋_GB2312" w:cs="方正仿宋_GB2312"/>
          <w:b w:val="0"/>
          <w:bCs w:val="0"/>
          <w:sz w:val="32"/>
          <w:szCs w:val="40"/>
          <w:lang w:val="en-US" w:eastAsia="zh-CN"/>
        </w:rPr>
        <w:t>学校严格</w:t>
      </w:r>
      <w:r>
        <w:rPr>
          <w:rFonts w:hint="eastAsia" w:ascii="方正仿宋_GB2312" w:hAnsi="方正仿宋_GB2312" w:eastAsia="方正仿宋_GB2312" w:cs="方正仿宋_GB2312"/>
          <w:b w:val="0"/>
          <w:bCs w:val="0"/>
          <w:sz w:val="32"/>
          <w:szCs w:val="40"/>
          <w:lang w:val="zh-CN"/>
        </w:rPr>
        <w:t>按照合同约定</w:t>
      </w:r>
      <w:r>
        <w:rPr>
          <w:rFonts w:hint="eastAsia" w:ascii="方正仿宋_GB2312" w:hAnsi="方正仿宋_GB2312" w:eastAsia="方正仿宋_GB2312" w:cs="方正仿宋_GB2312"/>
          <w:b w:val="0"/>
          <w:bCs w:val="0"/>
          <w:sz w:val="32"/>
          <w:szCs w:val="40"/>
          <w:lang w:val="en-US" w:eastAsia="zh-CN"/>
        </w:rPr>
        <w:t>执行</w:t>
      </w:r>
      <w:r>
        <w:rPr>
          <w:rFonts w:hint="eastAsia" w:ascii="方正仿宋_GB2312" w:hAnsi="方正仿宋_GB2312" w:eastAsia="方正仿宋_GB2312" w:cs="方正仿宋_GB2312"/>
          <w:b w:val="0"/>
          <w:bCs w:val="0"/>
          <w:sz w:val="32"/>
          <w:szCs w:val="40"/>
          <w:lang w:val="zh-CN"/>
        </w:rPr>
        <w:t>工程进度款的支付，按施工进度完成建设任务并上报</w:t>
      </w:r>
      <w:r>
        <w:rPr>
          <w:rFonts w:hint="eastAsia" w:ascii="方正仿宋_GB2312" w:hAnsi="方正仿宋_GB2312" w:eastAsia="方正仿宋_GB2312" w:cs="方正仿宋_GB2312"/>
          <w:b w:val="0"/>
          <w:bCs w:val="0"/>
          <w:sz w:val="32"/>
          <w:szCs w:val="40"/>
          <w:lang w:val="en-US" w:eastAsia="zh-CN"/>
        </w:rPr>
        <w:t>相关科室</w:t>
      </w:r>
      <w:r>
        <w:rPr>
          <w:rFonts w:hint="eastAsia" w:ascii="方正仿宋_GB2312" w:hAnsi="方正仿宋_GB2312" w:eastAsia="方正仿宋_GB2312" w:cs="方正仿宋_GB2312"/>
          <w:b w:val="0"/>
          <w:bCs w:val="0"/>
          <w:sz w:val="32"/>
          <w:szCs w:val="40"/>
          <w:lang w:val="zh-CN"/>
        </w:rPr>
        <w:t>审批拨款，合同完工后扣留工程质量保证金，支付竣工结算。项目财务管理上按照“专款专用，注重实效”的原则进行管理。严格执行</w:t>
      </w:r>
      <w:r>
        <w:rPr>
          <w:rFonts w:hint="eastAsia" w:ascii="方正仿宋_GB2312" w:hAnsi="方正仿宋_GB2312" w:eastAsia="方正仿宋_GB2312" w:cs="方正仿宋_GB2312"/>
          <w:b w:val="0"/>
          <w:bCs w:val="0"/>
          <w:sz w:val="32"/>
          <w:szCs w:val="40"/>
          <w:lang w:val="en-US" w:eastAsia="zh-CN"/>
        </w:rPr>
        <w:t>财务</w:t>
      </w:r>
      <w:r>
        <w:rPr>
          <w:rFonts w:hint="eastAsia" w:ascii="方正仿宋_GB2312" w:hAnsi="方正仿宋_GB2312" w:eastAsia="方正仿宋_GB2312" w:cs="方正仿宋_GB2312"/>
          <w:b w:val="0"/>
          <w:bCs w:val="0"/>
          <w:sz w:val="32"/>
          <w:szCs w:val="40"/>
          <w:lang w:val="zh-CN"/>
        </w:rPr>
        <w:t>管理及资金支付制度，从制度上为规范资金管理提供保障，促进了资金使用管理的规范性、安全性和有效性。</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left="640" w:leftChars="0"/>
        <w:textAlignment w:val="auto"/>
        <w:rPr>
          <w:rFonts w:hint="eastAsia" w:ascii="黑体" w:hAnsi="宋体" w:eastAsia="黑体" w:cs="Times New Roman"/>
          <w:color w:val="auto"/>
          <w:sz w:val="32"/>
          <w:szCs w:val="32"/>
          <w:highlight w:val="none"/>
          <w:lang w:val="zh-CN"/>
        </w:rPr>
      </w:pPr>
      <w:r>
        <w:rPr>
          <w:rFonts w:hint="eastAsia" w:ascii="黑体" w:hAnsi="宋体" w:eastAsia="黑体" w:cs="Times New Roman"/>
          <w:color w:val="auto"/>
          <w:sz w:val="32"/>
          <w:szCs w:val="32"/>
          <w:highlight w:val="none"/>
          <w:lang w:val="en-US" w:eastAsia="zh-CN"/>
        </w:rPr>
        <w:t>三、</w:t>
      </w:r>
      <w:r>
        <w:rPr>
          <w:rFonts w:hint="eastAsia" w:ascii="黑体" w:hAnsi="宋体" w:eastAsia="黑体" w:cs="Times New Roman"/>
          <w:color w:val="auto"/>
          <w:sz w:val="32"/>
          <w:szCs w:val="32"/>
          <w:highlight w:val="none"/>
        </w:rPr>
        <w:t>项目实施及管理情况</w:t>
      </w:r>
    </w:p>
    <w:p>
      <w:pPr>
        <w:keepNext w:val="0"/>
        <w:keepLines w:val="0"/>
        <w:pageBreakBefore w:val="0"/>
        <w:numPr>
          <w:ilvl w:val="0"/>
          <w:numId w:val="22"/>
        </w:numPr>
        <w:kinsoku/>
        <w:wordWrap/>
        <w:overflowPunct/>
        <w:topLinePunct w:val="0"/>
        <w:autoSpaceDE/>
        <w:autoSpaceDN/>
        <w:bidi w:val="0"/>
        <w:adjustRightInd w:val="0"/>
        <w:snapToGrid w:val="0"/>
        <w:spacing w:line="600" w:lineRule="exact"/>
        <w:ind w:firstLine="720"/>
        <w:textAlignment w:val="auto"/>
        <w:rPr>
          <w:rFonts w:hint="eastAsia"/>
        </w:rPr>
      </w:pPr>
      <w:r>
        <w:rPr>
          <w:rFonts w:hint="eastAsia" w:ascii="楷体_GB2312" w:hAnsi="宋体" w:eastAsia="楷体_GB2312" w:cs="Times New Roman"/>
          <w:b/>
          <w:color w:val="auto"/>
          <w:sz w:val="32"/>
          <w:szCs w:val="32"/>
          <w:highlight w:val="none"/>
          <w:lang w:val="zh-CN"/>
        </w:rPr>
        <w:t>项目组织架构及实施流程。</w:t>
      </w:r>
    </w:p>
    <w:p>
      <w:pPr>
        <w:pStyle w:val="33"/>
        <w:numPr>
          <w:ilvl w:val="0"/>
          <w:numId w:val="0"/>
        </w:numPr>
        <w:ind w:firstLine="640" w:firstLineChars="200"/>
        <w:rPr>
          <w:rFonts w:hint="eastAsia" w:ascii="楷体_GB2312" w:hAnsi="宋体" w:eastAsia="楷体_GB2312" w:cs="Times New Roman"/>
          <w:b/>
          <w:color w:val="auto"/>
          <w:sz w:val="32"/>
          <w:szCs w:val="32"/>
          <w:highlight w:val="none"/>
          <w:lang w:val="zh-CN"/>
        </w:rPr>
      </w:pPr>
      <w:r>
        <w:rPr>
          <w:rFonts w:hint="eastAsia" w:ascii="方正仿宋_GB2312" w:hAnsi="方正仿宋_GB2312" w:eastAsia="方正仿宋_GB2312" w:cs="方正仿宋_GB2312"/>
          <w:b w:val="0"/>
          <w:bCs w:val="0"/>
          <w:kern w:val="2"/>
          <w:sz w:val="32"/>
          <w:szCs w:val="40"/>
          <w:lang w:val="zh-CN" w:eastAsia="zh-CN" w:bidi="ar-SA"/>
        </w:rPr>
        <w:t>2021年4月，市教育局备案审核表，学校委托零八一建筑勘察设计院设计，编制控制价报财评中心</w:t>
      </w:r>
      <w:r>
        <w:rPr>
          <w:rFonts w:hint="eastAsia" w:ascii="方正仿宋_GB2312" w:hAnsi="方正仿宋_GB2312" w:eastAsia="方正仿宋_GB2312" w:cs="方正仿宋_GB2312"/>
          <w:b w:val="0"/>
          <w:bCs w:val="0"/>
          <w:kern w:val="2"/>
          <w:sz w:val="32"/>
          <w:szCs w:val="40"/>
          <w:lang w:val="en-US" w:eastAsia="zh-CN" w:bidi="ar-SA"/>
        </w:rPr>
        <w:t>进行</w:t>
      </w:r>
      <w:r>
        <w:rPr>
          <w:rFonts w:hint="eastAsia" w:ascii="方正仿宋_GB2312" w:hAnsi="方正仿宋_GB2312" w:eastAsia="方正仿宋_GB2312" w:cs="方正仿宋_GB2312"/>
          <w:b w:val="0"/>
          <w:bCs w:val="0"/>
          <w:kern w:val="2"/>
          <w:sz w:val="32"/>
          <w:szCs w:val="40"/>
          <w:lang w:val="zh-CN" w:eastAsia="zh-CN" w:bidi="ar-SA"/>
        </w:rPr>
        <w:t>财评，2021年6月4日，财政局下达《关于广元中学学生公寓博明楼博美楼维修施工图预算控制</w:t>
      </w:r>
      <w:r>
        <w:rPr>
          <w:rFonts w:hint="eastAsia" w:ascii="方正仿宋_GB2312" w:hAnsi="方正仿宋_GB2312" w:eastAsia="方正仿宋_GB2312" w:cs="方正仿宋_GB2312"/>
          <w:b w:val="0"/>
          <w:bCs w:val="0"/>
          <w:sz w:val="32"/>
          <w:szCs w:val="40"/>
          <w:lang w:val="zh-CN"/>
        </w:rPr>
        <w:t>价的函》。6月7日，广元市本级政府采购计划备案表。学校委托四川鑫森项目管理公司进行监理。市政府采购中心进行采购，通过竞争性磋商，7月16日，政府采购中心发</w:t>
      </w:r>
      <w:r>
        <w:rPr>
          <w:rFonts w:hint="eastAsia" w:ascii="方正仿宋_GB2312" w:hAnsi="方正仿宋_GB2312" w:eastAsia="方正仿宋_GB2312" w:cs="方正仿宋_GB2312"/>
          <w:b w:val="0"/>
          <w:bCs w:val="0"/>
          <w:sz w:val="32"/>
          <w:szCs w:val="40"/>
          <w:lang w:val="en-US" w:eastAsia="zh-CN"/>
        </w:rPr>
        <w:t>出</w:t>
      </w:r>
      <w:r>
        <w:rPr>
          <w:rFonts w:hint="eastAsia" w:ascii="方正仿宋_GB2312" w:hAnsi="方正仿宋_GB2312" w:eastAsia="方正仿宋_GB2312" w:cs="方正仿宋_GB2312"/>
          <w:b w:val="0"/>
          <w:bCs w:val="0"/>
          <w:sz w:val="32"/>
          <w:szCs w:val="40"/>
          <w:lang w:val="zh-CN"/>
        </w:rPr>
        <w:t>《成交通知书》(编号2021-024)，四川帅典建筑公司以152.78万元成为成交供应商。2021年7</w:t>
      </w:r>
      <w:r>
        <w:rPr>
          <w:rFonts w:hint="eastAsia" w:ascii="方正仿宋_GB2312" w:hAnsi="方正仿宋_GB2312" w:eastAsia="方正仿宋_GB2312" w:cs="方正仿宋_GB2312"/>
          <w:b w:val="0"/>
          <w:bCs w:val="0"/>
          <w:sz w:val="32"/>
          <w:szCs w:val="40"/>
          <w:lang w:val="en-US" w:eastAsia="zh-CN"/>
        </w:rPr>
        <w:t>月21日签订施工合同，2021年8月25日，进行竣工验收，验收合格，到达预定可使用状态。</w:t>
      </w:r>
    </w:p>
    <w:p>
      <w:pPr>
        <w:keepNext w:val="0"/>
        <w:keepLines w:val="0"/>
        <w:pageBreakBefore w:val="0"/>
        <w:numPr>
          <w:ilvl w:val="0"/>
          <w:numId w:val="22"/>
        </w:numPr>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项目管理情况。</w:t>
      </w:r>
    </w:p>
    <w:p>
      <w:pPr>
        <w:pStyle w:val="33"/>
        <w:numPr>
          <w:ilvl w:val="0"/>
          <w:numId w:val="0"/>
        </w:numPr>
        <w:ind w:firstLine="960" w:firstLineChars="300"/>
        <w:rPr>
          <w:rFonts w:hint="eastAsia" w:ascii="仿宋_GB2312" w:hAnsi="宋体" w:eastAsia="仿宋_GB2312" w:cs="Times New Roman"/>
          <w:color w:val="auto"/>
          <w:sz w:val="32"/>
          <w:szCs w:val="32"/>
          <w:highlight w:val="none"/>
          <w:lang w:val="zh-CN" w:eastAsia="zh-CN"/>
        </w:rPr>
      </w:pPr>
      <w:r>
        <w:rPr>
          <w:rFonts w:hint="eastAsia" w:ascii="仿宋_GB2312" w:hAnsi="宋体" w:eastAsia="仿宋_GB2312" w:cs="Times New Roman"/>
          <w:color w:val="auto"/>
          <w:sz w:val="32"/>
          <w:szCs w:val="32"/>
          <w:highlight w:val="none"/>
          <w:lang w:val="zh-CN" w:eastAsia="zh-CN"/>
        </w:rPr>
        <w:t>项目实施</w:t>
      </w:r>
      <w:r>
        <w:rPr>
          <w:rFonts w:hint="eastAsia" w:ascii="仿宋_GB2312" w:hAnsi="宋体" w:eastAsia="仿宋_GB2312" w:cs="Times New Roman"/>
          <w:color w:val="auto"/>
          <w:sz w:val="32"/>
          <w:szCs w:val="32"/>
          <w:highlight w:val="none"/>
          <w:lang w:val="en-US" w:eastAsia="zh-CN"/>
        </w:rPr>
        <w:t>过程中，严格按照</w:t>
      </w:r>
      <w:r>
        <w:rPr>
          <w:rFonts w:hint="eastAsia" w:ascii="仿宋_GB2312" w:hAnsi="宋体" w:eastAsia="仿宋_GB2312" w:cs="Times New Roman"/>
          <w:color w:val="auto"/>
          <w:sz w:val="32"/>
          <w:szCs w:val="32"/>
          <w:highlight w:val="none"/>
          <w:lang w:val="zh-CN" w:eastAsia="zh-CN"/>
        </w:rPr>
        <w:t>相关法律法规及项目管理制度等</w:t>
      </w:r>
      <w:r>
        <w:rPr>
          <w:rFonts w:hint="eastAsia" w:ascii="仿宋_GB2312" w:hAnsi="宋体" w:eastAsia="仿宋_GB2312" w:cs="Times New Roman"/>
          <w:color w:val="auto"/>
          <w:sz w:val="32"/>
          <w:szCs w:val="32"/>
          <w:highlight w:val="none"/>
          <w:lang w:val="en-US" w:eastAsia="zh-CN"/>
        </w:rPr>
        <w:t>相关规定</w:t>
      </w:r>
      <w:r>
        <w:rPr>
          <w:rFonts w:hint="eastAsia" w:ascii="仿宋_GB2312" w:hAnsi="宋体" w:eastAsia="仿宋_GB2312" w:cs="Times New Roman"/>
          <w:color w:val="auto"/>
          <w:sz w:val="32"/>
          <w:szCs w:val="32"/>
          <w:highlight w:val="none"/>
          <w:lang w:val="zh-CN" w:eastAsia="zh-CN"/>
        </w:rPr>
        <w:t>执行。</w:t>
      </w:r>
    </w:p>
    <w:p>
      <w:pPr>
        <w:keepNext w:val="0"/>
        <w:keepLines w:val="0"/>
        <w:pageBreakBefore w:val="0"/>
        <w:numPr>
          <w:ilvl w:val="0"/>
          <w:numId w:val="22"/>
        </w:numPr>
        <w:kinsoku/>
        <w:wordWrap/>
        <w:overflowPunct/>
        <w:topLinePunct w:val="0"/>
        <w:autoSpaceDE/>
        <w:autoSpaceDN/>
        <w:bidi w:val="0"/>
        <w:adjustRightInd w:val="0"/>
        <w:snapToGrid w:val="0"/>
        <w:spacing w:line="600" w:lineRule="exact"/>
        <w:ind w:firstLine="720"/>
        <w:textAlignment w:val="auto"/>
        <w:rPr>
          <w:rFonts w:hint="eastAsia" w:ascii="方正仿宋_GB2312" w:hAnsi="方正仿宋_GB2312" w:eastAsia="方正仿宋_GB2312" w:cs="方正仿宋_GB2312"/>
          <w:b w:val="0"/>
          <w:bCs w:val="0"/>
          <w:sz w:val="32"/>
          <w:szCs w:val="40"/>
          <w:lang w:val="en-US" w:eastAsia="zh-CN"/>
        </w:rPr>
      </w:pPr>
      <w:r>
        <w:rPr>
          <w:rFonts w:hint="eastAsia" w:ascii="楷体_GB2312" w:hAnsi="宋体" w:eastAsia="楷体_GB2312" w:cs="Times New Roman"/>
          <w:b/>
          <w:color w:val="auto"/>
          <w:kern w:val="2"/>
          <w:sz w:val="32"/>
          <w:szCs w:val="32"/>
          <w:highlight w:val="none"/>
          <w:lang w:val="zh-CN" w:eastAsia="zh-CN" w:bidi="ar-SA"/>
        </w:rPr>
        <w:t>项目监管情况。</w:t>
      </w:r>
      <w:r>
        <w:rPr>
          <w:rFonts w:hint="eastAsia" w:ascii="仿宋_GB2312" w:hAnsi="宋体" w:eastAsia="仿宋_GB2312" w:cs="Times New Roman"/>
          <w:color w:val="auto"/>
          <w:sz w:val="32"/>
          <w:szCs w:val="32"/>
          <w:highlight w:val="none"/>
          <w:lang w:val="en-US" w:eastAsia="zh-CN"/>
        </w:rPr>
        <w:t>市教育局</w:t>
      </w:r>
      <w:r>
        <w:rPr>
          <w:rFonts w:hint="eastAsia" w:ascii="仿宋_GB2312" w:hAnsi="宋体" w:eastAsia="仿宋_GB2312" w:cs="Times New Roman"/>
          <w:color w:val="auto"/>
          <w:sz w:val="32"/>
          <w:szCs w:val="32"/>
          <w:highlight w:val="none"/>
          <w:lang w:val="zh-CN"/>
        </w:rPr>
        <w:t>加强</w:t>
      </w:r>
      <w:r>
        <w:rPr>
          <w:rFonts w:hint="eastAsia" w:ascii="仿宋_GB2312" w:hAnsi="宋体" w:eastAsia="仿宋_GB2312" w:cs="Times New Roman"/>
          <w:color w:val="auto"/>
          <w:sz w:val="32"/>
          <w:szCs w:val="32"/>
          <w:highlight w:val="none"/>
          <w:lang w:val="en-US" w:eastAsia="zh-CN"/>
        </w:rPr>
        <w:t>该</w:t>
      </w:r>
      <w:r>
        <w:rPr>
          <w:rFonts w:hint="eastAsia" w:ascii="仿宋_GB2312" w:hAnsi="宋体" w:eastAsia="仿宋_GB2312" w:cs="Times New Roman"/>
          <w:color w:val="auto"/>
          <w:sz w:val="32"/>
          <w:szCs w:val="32"/>
          <w:highlight w:val="none"/>
          <w:lang w:val="zh-CN"/>
        </w:rPr>
        <w:t>项目</w:t>
      </w:r>
      <w:r>
        <w:rPr>
          <w:rFonts w:hint="eastAsia" w:ascii="仿宋_GB2312" w:hAnsi="宋体" w:eastAsia="仿宋_GB2312" w:cs="Times New Roman"/>
          <w:color w:val="auto"/>
          <w:sz w:val="32"/>
          <w:szCs w:val="32"/>
          <w:highlight w:val="none"/>
          <w:lang w:val="en-US" w:eastAsia="zh-CN"/>
        </w:rPr>
        <w:t>实施</w:t>
      </w:r>
      <w:r>
        <w:rPr>
          <w:rFonts w:hint="eastAsia" w:ascii="仿宋_GB2312" w:hAnsi="宋体" w:eastAsia="仿宋_GB2312" w:cs="Times New Roman"/>
          <w:color w:val="auto"/>
          <w:sz w:val="32"/>
          <w:szCs w:val="32"/>
          <w:highlight w:val="none"/>
          <w:lang w:val="zh-CN"/>
        </w:rPr>
        <w:t>管理，</w:t>
      </w:r>
      <w:r>
        <w:rPr>
          <w:rFonts w:hint="eastAsia" w:ascii="仿宋_GB2312" w:hAnsi="宋体" w:eastAsia="仿宋_GB2312" w:cs="Times New Roman"/>
          <w:color w:val="auto"/>
          <w:sz w:val="32"/>
          <w:szCs w:val="32"/>
          <w:highlight w:val="none"/>
          <w:lang w:val="en-US" w:eastAsia="zh-CN"/>
        </w:rPr>
        <w:t>一是重视项目前期审定工作；二是项目执行中资金的使用监督，保障</w:t>
      </w:r>
      <w:r>
        <w:rPr>
          <w:rFonts w:hint="eastAsia" w:ascii="方正仿宋_GB2312" w:hAnsi="方正仿宋_GB2312" w:eastAsia="方正仿宋_GB2312" w:cs="方正仿宋_GB2312"/>
          <w:b w:val="0"/>
          <w:bCs w:val="0"/>
          <w:kern w:val="2"/>
          <w:sz w:val="32"/>
          <w:szCs w:val="40"/>
          <w:lang w:val="zh-CN" w:eastAsia="zh-CN" w:bidi="ar-SA"/>
        </w:rPr>
        <w:t>博明楼博美楼维修</w:t>
      </w:r>
      <w:r>
        <w:rPr>
          <w:rFonts w:hint="eastAsia" w:ascii="仿宋_GB2312" w:hAnsi="宋体" w:eastAsia="仿宋_GB2312" w:cs="Times New Roman"/>
          <w:color w:val="auto"/>
          <w:sz w:val="32"/>
          <w:szCs w:val="32"/>
          <w:highlight w:val="none"/>
          <w:lang w:val="en-US" w:eastAsia="zh-CN"/>
        </w:rPr>
        <w:t>工作正常开展。该项目在2021年顺利完成，保障了我学校学生住宿安全，以及加强了办学条件及校园环境，取得了良好的成效。</w:t>
      </w:r>
    </w:p>
    <w:p>
      <w:pPr>
        <w:numPr>
          <w:ilvl w:val="0"/>
          <w:numId w:val="0"/>
        </w:numPr>
        <w:adjustRightInd w:val="0"/>
        <w:snapToGrid w:val="0"/>
        <w:spacing w:line="600" w:lineRule="exact"/>
        <w:ind w:left="720" w:leftChars="0"/>
        <w:rPr>
          <w:rFonts w:hint="eastAsia" w:ascii="黑体" w:hAnsi="黑体" w:eastAsia="黑体" w:cs="黑体"/>
          <w:color w:val="000000"/>
          <w:sz w:val="32"/>
          <w:szCs w:val="32"/>
        </w:rPr>
      </w:pPr>
      <w:r>
        <w:rPr>
          <w:rFonts w:hint="eastAsia" w:ascii="黑体" w:hAnsi="黑体" w:eastAsia="黑体" w:cs="黑体"/>
          <w:color w:val="000000"/>
          <w:sz w:val="32"/>
          <w:szCs w:val="32"/>
          <w:lang w:val="en-US" w:eastAsia="zh-CN"/>
        </w:rPr>
        <w:t>四</w:t>
      </w:r>
      <w:r>
        <w:rPr>
          <w:rFonts w:hint="eastAsia" w:ascii="黑体" w:hAnsi="黑体" w:eastAsia="黑体" w:cs="黑体"/>
          <w:color w:val="000000"/>
          <w:sz w:val="32"/>
          <w:szCs w:val="32"/>
        </w:rPr>
        <w:t>、项目绩效情况</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（一）项目完成情况</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ascii="方正仿宋_GB2312" w:hAnsi="方正仿宋_GB2312" w:eastAsia="方正仿宋_GB2312" w:cs="方正仿宋_GB2312"/>
          <w:b w:val="0"/>
          <w:bCs w:val="0"/>
          <w:sz w:val="32"/>
          <w:szCs w:val="40"/>
          <w:lang w:val="en-US" w:eastAsia="zh-CN"/>
        </w:rPr>
      </w:pPr>
      <w:r>
        <w:rPr>
          <w:rFonts w:hint="eastAsia" w:ascii="方正仿宋_GB2312" w:hAnsi="方正仿宋_GB2312" w:eastAsia="方正仿宋_GB2312" w:cs="方正仿宋_GB2312"/>
          <w:b w:val="0"/>
          <w:bCs w:val="0"/>
          <w:sz w:val="32"/>
          <w:szCs w:val="40"/>
          <w:lang w:val="en-US" w:eastAsia="zh-CN"/>
        </w:rPr>
        <w:t>为保障教育教学的正常开展，维修等项目只能在假期进行，博明、博美楼维修项目紧扣时间节点，倒排工期，顺排工序，既保障了工程顺利交付，同时也注重正常教育教学秩序的维护。严格执行投资计划，无超预算、挪用等现象。</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lang w:val="zh-CN"/>
        </w:rPr>
      </w:pPr>
      <w:r>
        <w:rPr>
          <w:rFonts w:hint="eastAsia" w:ascii="楷体_GB2312" w:hAnsi="楷体_GB2312" w:eastAsia="楷体_GB2312" w:cs="楷体_GB2312"/>
          <w:b/>
          <w:color w:val="000000"/>
          <w:sz w:val="32"/>
          <w:szCs w:val="32"/>
          <w:lang w:val="zh-CN"/>
        </w:rPr>
        <w:t>（</w:t>
      </w:r>
      <w:r>
        <w:rPr>
          <w:rFonts w:hint="eastAsia" w:ascii="楷体_GB2312" w:hAnsi="楷体_GB2312" w:eastAsia="楷体_GB2312" w:cs="楷体_GB2312"/>
          <w:b/>
          <w:color w:val="000000"/>
          <w:sz w:val="32"/>
          <w:szCs w:val="32"/>
          <w:lang w:val="en-US" w:eastAsia="zh-CN"/>
        </w:rPr>
        <w:t>二</w:t>
      </w:r>
      <w:r>
        <w:rPr>
          <w:rFonts w:hint="eastAsia" w:ascii="楷体_GB2312" w:hAnsi="楷体_GB2312" w:eastAsia="楷体_GB2312" w:cs="楷体_GB2312"/>
          <w:b/>
          <w:color w:val="000000"/>
          <w:sz w:val="32"/>
          <w:szCs w:val="32"/>
          <w:lang w:val="zh-CN"/>
        </w:rPr>
        <w:t>）项目效益情况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b w:val="0"/>
          <w:bCs w:val="0"/>
          <w:sz w:val="32"/>
          <w:szCs w:val="40"/>
          <w:lang w:val="zh-CN"/>
        </w:rPr>
      </w:pPr>
      <w:r>
        <w:rPr>
          <w:rFonts w:hint="eastAsia" w:ascii="方正仿宋_GB2312" w:hAnsi="方正仿宋_GB2312" w:eastAsia="方正仿宋_GB2312" w:cs="方正仿宋_GB2312"/>
          <w:b w:val="0"/>
          <w:bCs w:val="0"/>
          <w:sz w:val="32"/>
          <w:szCs w:val="40"/>
          <w:lang w:val="en-US" w:eastAsia="zh-CN"/>
        </w:rPr>
        <w:t>维修项目按计划完成，消除了安全隐患，降低了学校日常维修支出，更换临街窗户、供水管道、节能家具，实现节能降耗，市容市貌、校容校貌都得到了改善。学生、家长、社会各方面满意。</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cs="Times New Roman"/>
          <w:color w:val="auto"/>
          <w:sz w:val="32"/>
          <w:szCs w:val="32"/>
          <w:highlight w:val="none"/>
        </w:rPr>
      </w:pPr>
      <w:r>
        <w:rPr>
          <w:rFonts w:hint="eastAsia" w:ascii="黑体" w:hAnsi="宋体" w:eastAsia="黑体" w:cs="Times New Roman"/>
          <w:color w:val="auto"/>
          <w:sz w:val="32"/>
          <w:szCs w:val="32"/>
          <w:highlight w:val="none"/>
        </w:rPr>
        <w:t>五、评价结论及建议</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（一）评价结论。</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lang w:val="zh-CN"/>
        </w:rPr>
      </w:pPr>
      <w:r>
        <w:rPr>
          <w:rFonts w:hint="eastAsia" w:ascii="仿宋_GB2312" w:hAnsi="宋体" w:eastAsia="仿宋_GB2312" w:cs="Times New Roman"/>
          <w:color w:val="auto"/>
          <w:sz w:val="32"/>
          <w:szCs w:val="32"/>
          <w:highlight w:val="none"/>
          <w:lang w:val="en-US" w:eastAsia="zh-CN"/>
        </w:rPr>
        <w:t>该</w:t>
      </w:r>
      <w:r>
        <w:rPr>
          <w:rFonts w:hint="eastAsia" w:ascii="仿宋_GB2312" w:hAnsi="宋体" w:eastAsia="仿宋_GB2312" w:cs="Times New Roman"/>
          <w:color w:val="auto"/>
          <w:sz w:val="32"/>
          <w:szCs w:val="32"/>
          <w:highlight w:val="none"/>
          <w:lang w:val="zh-CN" w:eastAsia="zh-CN"/>
        </w:rPr>
        <w:t>项目的实施确保了</w:t>
      </w:r>
      <w:r>
        <w:rPr>
          <w:rFonts w:hint="eastAsia" w:ascii="仿宋_GB2312" w:hAnsi="宋体" w:eastAsia="仿宋_GB2312" w:cs="Times New Roman"/>
          <w:color w:val="auto"/>
          <w:sz w:val="32"/>
          <w:szCs w:val="32"/>
          <w:highlight w:val="none"/>
          <w:lang w:val="en-US" w:eastAsia="zh-CN"/>
        </w:rPr>
        <w:t>广元中学博明楼博美楼维修改造工作</w:t>
      </w:r>
      <w:r>
        <w:rPr>
          <w:rFonts w:hint="eastAsia" w:ascii="仿宋_GB2312" w:hAnsi="宋体" w:eastAsia="仿宋_GB2312" w:cs="Times New Roman"/>
          <w:color w:val="auto"/>
          <w:sz w:val="32"/>
          <w:szCs w:val="32"/>
          <w:highlight w:val="none"/>
          <w:lang w:val="zh-CN" w:eastAsia="zh-CN"/>
        </w:rPr>
        <w:t>的顺利进行，</w:t>
      </w:r>
      <w:r>
        <w:rPr>
          <w:rFonts w:hint="eastAsia" w:ascii="仿宋_GB2312" w:hAnsi="宋体" w:eastAsia="仿宋_GB2312" w:cs="Times New Roman"/>
          <w:color w:val="auto"/>
          <w:sz w:val="32"/>
          <w:szCs w:val="32"/>
          <w:highlight w:val="none"/>
          <w:lang w:val="en-US" w:eastAsia="zh-CN"/>
        </w:rPr>
        <w:t>学校教职工及</w:t>
      </w:r>
      <w:r>
        <w:rPr>
          <w:rFonts w:hint="eastAsia" w:ascii="仿宋_GB2312" w:hAnsi="宋体" w:eastAsia="仿宋_GB2312" w:cs="Times New Roman"/>
          <w:color w:val="auto"/>
          <w:sz w:val="32"/>
          <w:szCs w:val="32"/>
          <w:highlight w:val="none"/>
          <w:lang w:val="zh-CN" w:eastAsia="zh-CN"/>
        </w:rPr>
        <w:t>群众满意度较高。</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）存在的问题。</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ascii="方正仿宋_GB2312" w:hAnsi="方正仿宋_GB2312" w:eastAsia="方正仿宋_GB2312" w:cs="方正仿宋_GB2312"/>
          <w:b w:val="0"/>
          <w:bCs w:val="0"/>
          <w:sz w:val="32"/>
          <w:szCs w:val="40"/>
          <w:lang w:val="zh-CN"/>
        </w:rPr>
      </w:pPr>
      <w:r>
        <w:rPr>
          <w:rFonts w:hint="eastAsia" w:ascii="方正仿宋_GB2312" w:hAnsi="方正仿宋_GB2312" w:eastAsia="方正仿宋_GB2312" w:cs="方正仿宋_GB2312"/>
          <w:b w:val="0"/>
          <w:bCs w:val="0"/>
          <w:sz w:val="32"/>
          <w:szCs w:val="40"/>
          <w:lang w:val="zh-CN"/>
        </w:rPr>
        <w:t>绩效目标编制有待进一步完善。</w:t>
      </w:r>
      <w:r>
        <w:rPr>
          <w:rFonts w:hint="eastAsia" w:ascii="方正仿宋_GB2312" w:hAnsi="方正仿宋_GB2312" w:eastAsia="方正仿宋_GB2312" w:cs="方正仿宋_GB2312"/>
          <w:b w:val="0"/>
          <w:bCs w:val="0"/>
          <w:sz w:val="32"/>
          <w:szCs w:val="40"/>
          <w:lang w:val="en-US" w:eastAsia="zh-CN"/>
        </w:rPr>
        <w:t>今后要</w:t>
      </w:r>
      <w:r>
        <w:rPr>
          <w:rFonts w:hint="eastAsia" w:ascii="方正仿宋_GB2312" w:hAnsi="方正仿宋_GB2312" w:eastAsia="方正仿宋_GB2312" w:cs="方正仿宋_GB2312"/>
          <w:b w:val="0"/>
          <w:bCs w:val="0"/>
          <w:sz w:val="32"/>
          <w:szCs w:val="40"/>
          <w:lang w:val="zh-CN"/>
        </w:rPr>
        <w:t>完善绩效目标的编制，在编制绩效目标时对绩效指标进行量化，设立清晰、具体可以衡量的绩效指标，以便于进行绩效考核。</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（三）相关建议。</w:t>
      </w:r>
    </w:p>
    <w:p>
      <w:pPr>
        <w:keepNext w:val="0"/>
        <w:keepLines w:val="0"/>
        <w:pageBreakBefore w:val="0"/>
        <w:widowControl w:val="0"/>
        <w:numPr>
          <w:ilvl w:val="0"/>
          <w:numId w:val="23"/>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方正仿宋_GB2312" w:hAnsi="方正仿宋_GB2312" w:eastAsia="方正仿宋_GB2312" w:cs="方正仿宋_GB2312"/>
          <w:b w:val="0"/>
          <w:bCs w:val="0"/>
          <w:sz w:val="32"/>
          <w:szCs w:val="40"/>
          <w:lang w:val="zh-CN"/>
        </w:rPr>
      </w:pPr>
      <w:r>
        <w:rPr>
          <w:rFonts w:hint="eastAsia" w:ascii="方正仿宋_GB2312" w:hAnsi="方正仿宋_GB2312" w:eastAsia="方正仿宋_GB2312" w:cs="方正仿宋_GB2312"/>
          <w:b w:val="0"/>
          <w:bCs w:val="0"/>
          <w:sz w:val="32"/>
          <w:szCs w:val="40"/>
          <w:lang w:val="zh-CN"/>
        </w:rPr>
        <w:t>进一步健全和完善财务管理制度及内部控制制度，创新管理手段，用新思路、新方法，改进完善财务管理。</w:t>
      </w:r>
    </w:p>
    <w:p>
      <w:pPr>
        <w:keepNext w:val="0"/>
        <w:keepLines w:val="0"/>
        <w:pageBreakBefore w:val="0"/>
        <w:widowControl w:val="0"/>
        <w:numPr>
          <w:ilvl w:val="0"/>
          <w:numId w:val="23"/>
        </w:numPr>
        <w:kinsoku/>
        <w:wordWrap/>
        <w:overflowPunct/>
        <w:topLinePunct w:val="0"/>
        <w:autoSpaceDE/>
        <w:autoSpaceDN/>
        <w:bidi w:val="0"/>
        <w:adjustRightInd w:val="0"/>
        <w:snapToGrid w:val="0"/>
        <w:spacing w:line="576" w:lineRule="exact"/>
        <w:ind w:left="0" w:leftChars="0" w:firstLine="640" w:firstLineChars="200"/>
        <w:jc w:val="left"/>
        <w:textAlignment w:val="auto"/>
        <w:rPr>
          <w:rFonts w:hint="eastAsia" w:ascii="方正仿宋_GB2312" w:hAnsi="方正仿宋_GB2312" w:eastAsia="方正仿宋_GB2312" w:cs="方正仿宋_GB2312"/>
          <w:b w:val="0"/>
          <w:bCs w:val="0"/>
          <w:sz w:val="32"/>
          <w:szCs w:val="40"/>
          <w:lang w:val="zh-CN"/>
        </w:rPr>
      </w:pPr>
      <w:r>
        <w:rPr>
          <w:rFonts w:hint="eastAsia" w:ascii="方正仿宋_GB2312" w:hAnsi="方正仿宋_GB2312" w:eastAsia="方正仿宋_GB2312" w:cs="方正仿宋_GB2312"/>
          <w:b w:val="0"/>
          <w:bCs w:val="0"/>
          <w:sz w:val="32"/>
          <w:szCs w:val="40"/>
          <w:lang w:val="zh-CN"/>
        </w:rPr>
        <w:t>按照财政支出绩效管理的要求，建立科学的财政资金效益考评制度体系，不断提高财政资金使用管理的水平和效率。</w:t>
      </w:r>
    </w:p>
    <w:p>
      <w:pPr>
        <w:keepNext w:val="0"/>
        <w:keepLines w:val="0"/>
        <w:pageBreakBefore w:val="0"/>
        <w:widowControl w:val="0"/>
        <w:numPr>
          <w:ilvl w:val="0"/>
          <w:numId w:val="23"/>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方正仿宋_GB2312" w:hAnsi="方正仿宋_GB2312" w:eastAsia="方正仿宋_GB2312" w:cs="方正仿宋_GB2312"/>
          <w:b w:val="0"/>
          <w:bCs w:val="0"/>
          <w:color w:val="auto"/>
          <w:sz w:val="32"/>
          <w:szCs w:val="40"/>
        </w:rPr>
      </w:pPr>
      <w:r>
        <w:rPr>
          <w:rFonts w:hint="eastAsia" w:ascii="方正仿宋_GB2312" w:hAnsi="方正仿宋_GB2312" w:eastAsia="方正仿宋_GB2312" w:cs="方正仿宋_GB2312"/>
          <w:b w:val="0"/>
          <w:bCs w:val="0"/>
          <w:sz w:val="32"/>
          <w:szCs w:val="40"/>
          <w:lang w:val="zh-CN"/>
        </w:rPr>
        <w:t>加强部门预算绩效管理的指导和培训，增强绩效管理</w:t>
      </w:r>
      <w:r>
        <w:rPr>
          <w:rFonts w:hint="eastAsia" w:ascii="方正仿宋_GB2312" w:hAnsi="方正仿宋_GB2312" w:eastAsia="方正仿宋_GB2312" w:cs="方正仿宋_GB2312"/>
          <w:b w:val="0"/>
          <w:bCs w:val="0"/>
          <w:sz w:val="32"/>
          <w:szCs w:val="40"/>
          <w:lang w:val="en-US" w:eastAsia="zh-CN"/>
        </w:rPr>
        <w:t>负责</w:t>
      </w:r>
      <w:r>
        <w:rPr>
          <w:rFonts w:hint="eastAsia" w:ascii="方正仿宋_GB2312" w:hAnsi="方正仿宋_GB2312" w:eastAsia="方正仿宋_GB2312" w:cs="方正仿宋_GB2312"/>
          <w:b w:val="0"/>
          <w:bCs w:val="0"/>
          <w:sz w:val="32"/>
          <w:szCs w:val="40"/>
          <w:lang w:val="zh-CN"/>
        </w:rPr>
        <w:t>人员</w:t>
      </w:r>
      <w:r>
        <w:rPr>
          <w:rFonts w:hint="eastAsia" w:ascii="方正仿宋_GB2312" w:hAnsi="方正仿宋_GB2312" w:eastAsia="方正仿宋_GB2312" w:cs="方正仿宋_GB2312"/>
          <w:b w:val="0"/>
          <w:bCs w:val="0"/>
          <w:sz w:val="32"/>
          <w:szCs w:val="40"/>
          <w:lang w:val="en-US" w:eastAsia="zh-CN"/>
        </w:rPr>
        <w:t>的管理</w:t>
      </w:r>
      <w:r>
        <w:rPr>
          <w:rFonts w:hint="eastAsia" w:ascii="方正仿宋_GB2312" w:hAnsi="方正仿宋_GB2312" w:eastAsia="方正仿宋_GB2312" w:cs="方正仿宋_GB2312"/>
          <w:b w:val="0"/>
          <w:bCs w:val="0"/>
          <w:sz w:val="32"/>
          <w:szCs w:val="40"/>
          <w:lang w:val="zh-CN"/>
        </w:rPr>
        <w:t>能力、专业素质和思想水平。</w:t>
      </w:r>
    </w:p>
    <w:tbl>
      <w:tblPr>
        <w:tblStyle w:val="15"/>
        <w:tblpPr w:leftFromText="180" w:rightFromText="180" w:vertAnchor="text" w:horzAnchor="page" w:tblpX="1290" w:tblpY="301"/>
        <w:tblOverlap w:val="never"/>
        <w:tblW w:w="95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9577" w:type="dxa"/>
            <w:tcBorders>
              <w:top w:val="nil"/>
              <w:left w:val="nil"/>
              <w:bottom w:val="nil"/>
              <w:right w:val="nil"/>
            </w:tcBorders>
            <w:shd w:val="clear" w:color="auto" w:fill="auto"/>
            <w:vAlign w:val="center"/>
          </w:tcPr>
          <w:p>
            <w:pPr>
              <w:pStyle w:val="6"/>
              <w:rPr>
                <w:rFonts w:hint="eastAsia" w:ascii="宋体" w:hAnsi="宋体" w:eastAsia="宋体" w:cs="宋体"/>
                <w:b/>
                <w:i w:val="0"/>
                <w:color w:val="auto"/>
                <w:sz w:val="32"/>
                <w:szCs w:val="32"/>
                <w:highlight w:val="none"/>
                <w:u w:val="none"/>
                <w:lang w:val="en-US" w:eastAsia="zh-CN"/>
              </w:rPr>
            </w:pPr>
          </w:p>
          <w:p>
            <w:pPr>
              <w:rPr>
                <w:rFonts w:hint="eastAsia"/>
                <w:lang w:val="en-US" w:eastAsia="zh-CN"/>
              </w:rPr>
            </w:pPr>
          </w:p>
          <w:p>
            <w:pPr>
              <w:keepNext w:val="0"/>
              <w:keepLines w:val="0"/>
              <w:widowControl/>
              <w:suppressLineNumbers w:val="0"/>
              <w:spacing w:beforeAutospacing="0"/>
              <w:jc w:val="both"/>
              <w:textAlignment w:val="center"/>
              <w:rPr>
                <w:rFonts w:hint="eastAsia" w:ascii="宋体" w:hAnsi="宋体" w:cs="宋体"/>
                <w:b/>
                <w:i w:val="0"/>
                <w:color w:val="auto"/>
                <w:sz w:val="32"/>
                <w:szCs w:val="32"/>
                <w:highlight w:val="none"/>
                <w:u w:val="none"/>
                <w:lang w:val="en-US" w:eastAsia="zh-CN"/>
              </w:rPr>
            </w:pPr>
            <w:r>
              <w:rPr>
                <w:rFonts w:hint="eastAsia" w:ascii="宋体" w:hAnsi="宋体" w:cs="宋体"/>
                <w:b/>
                <w:i w:val="0"/>
                <w:color w:val="auto"/>
                <w:sz w:val="32"/>
                <w:szCs w:val="32"/>
                <w:highlight w:val="none"/>
                <w:u w:val="none"/>
                <w:lang w:val="en-US" w:eastAsia="zh-CN"/>
              </w:rPr>
              <w:t>附表</w:t>
            </w:r>
          </w:p>
          <w:p>
            <w:pPr>
              <w:pStyle w:val="6"/>
              <w:rPr>
                <w:rFonts w:hint="default"/>
                <w:lang w:val="en-US" w:eastAsia="zh-CN"/>
              </w:rPr>
            </w:pPr>
          </w:p>
          <w:p>
            <w:pPr>
              <w:keepNext w:val="0"/>
              <w:keepLines w:val="0"/>
              <w:widowControl/>
              <w:suppressLineNumbers w:val="0"/>
              <w:spacing w:beforeAutospacing="0"/>
              <w:jc w:val="center"/>
              <w:textAlignment w:val="center"/>
              <w:rPr>
                <w:rFonts w:hint="eastAsia" w:ascii="宋体" w:hAnsi="宋体" w:eastAsia="宋体" w:cs="宋体"/>
                <w:b/>
                <w:i w:val="0"/>
                <w:color w:val="auto"/>
                <w:sz w:val="32"/>
                <w:szCs w:val="32"/>
                <w:highlight w:val="none"/>
                <w:u w:val="none"/>
              </w:rPr>
            </w:pPr>
            <w:r>
              <w:rPr>
                <w:rFonts w:hint="eastAsia" w:ascii="宋体" w:hAnsi="宋体" w:eastAsia="宋体" w:cs="宋体"/>
                <w:b/>
                <w:i w:val="0"/>
                <w:color w:val="auto"/>
                <w:sz w:val="32"/>
                <w:szCs w:val="32"/>
                <w:highlight w:val="none"/>
                <w:u w:val="none"/>
                <w:lang w:val="en-US" w:eastAsia="zh-CN"/>
              </w:rPr>
              <w:t>2021年部门预算项目绩效目标自评</w:t>
            </w:r>
          </w:p>
        </w:tc>
      </w:tr>
    </w:tbl>
    <w:tbl>
      <w:tblPr>
        <w:tblStyle w:val="15"/>
        <w:tblpPr w:leftFromText="180" w:rightFromText="180" w:vertAnchor="text" w:horzAnchor="page" w:tblpX="1482" w:tblpY="259"/>
        <w:tblOverlap w:val="never"/>
        <w:tblW w:w="91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1616"/>
        <w:gridCol w:w="1016"/>
        <w:gridCol w:w="2138"/>
        <w:gridCol w:w="1616"/>
        <w:gridCol w:w="1365"/>
        <w:gridCol w:w="7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2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691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博美楼、博明楼维修项目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2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主管单位</w:t>
            </w:r>
          </w:p>
        </w:tc>
        <w:tc>
          <w:tcPr>
            <w:tcW w:w="31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广元市教育局</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实施单位</w:t>
            </w:r>
          </w:p>
        </w:tc>
        <w:tc>
          <w:tcPr>
            <w:tcW w:w="21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四川省广元中学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35"/>
                <w:lang w:val="en-US" w:eastAsia="zh-CN" w:bidi="ar"/>
              </w:rPr>
              <w:t>预算</w:t>
            </w:r>
            <w:r>
              <w:rPr>
                <w:rStyle w:val="36"/>
                <w:rFonts w:eastAsia="宋体"/>
                <w:lang w:val="en-US" w:eastAsia="zh-CN" w:bidi="ar"/>
              </w:rPr>
              <w:br w:type="textWrapping"/>
            </w:r>
            <w:r>
              <w:rPr>
                <w:rStyle w:val="35"/>
                <w:lang w:val="en-US" w:eastAsia="zh-CN" w:bidi="ar"/>
              </w:rPr>
              <w:t>执行</w:t>
            </w:r>
            <w:r>
              <w:rPr>
                <w:rStyle w:val="36"/>
                <w:rFonts w:eastAsia="宋体"/>
                <w:lang w:val="en-US" w:eastAsia="zh-CN" w:bidi="ar"/>
              </w:rPr>
              <w:br w:type="textWrapping"/>
            </w:r>
            <w:r>
              <w:rPr>
                <w:rStyle w:val="35"/>
                <w:lang w:val="en-US" w:eastAsia="zh-CN" w:bidi="ar"/>
              </w:rPr>
              <w:t>情况</w:t>
            </w:r>
            <w:r>
              <w:rPr>
                <w:rStyle w:val="36"/>
                <w:rFonts w:eastAsia="宋体"/>
                <w:lang w:val="en-US" w:eastAsia="zh-CN" w:bidi="ar"/>
              </w:rPr>
              <w:br w:type="textWrapping"/>
            </w:r>
            <w:r>
              <w:rPr>
                <w:rStyle w:val="35"/>
                <w:lang w:val="en-US" w:eastAsia="zh-CN" w:bidi="ar"/>
              </w:rPr>
              <w:t>（万元）</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31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154.78</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21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154.78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其中：财政拨款</w:t>
            </w:r>
          </w:p>
        </w:tc>
        <w:tc>
          <w:tcPr>
            <w:tcW w:w="31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154.78</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其中：财政拨款</w:t>
            </w:r>
          </w:p>
        </w:tc>
        <w:tc>
          <w:tcPr>
            <w:tcW w:w="21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154.78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其它资金</w:t>
            </w:r>
          </w:p>
        </w:tc>
        <w:tc>
          <w:tcPr>
            <w:tcW w:w="31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其它资金</w:t>
            </w:r>
          </w:p>
        </w:tc>
        <w:tc>
          <w:tcPr>
            <w:tcW w:w="21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35"/>
                <w:lang w:val="en-US" w:eastAsia="zh-CN" w:bidi="ar"/>
              </w:rPr>
              <w:t>年度</w:t>
            </w:r>
            <w:r>
              <w:rPr>
                <w:rStyle w:val="36"/>
                <w:rFonts w:eastAsia="宋体"/>
                <w:lang w:val="en-US" w:eastAsia="zh-CN" w:bidi="ar"/>
              </w:rPr>
              <w:br w:type="textWrapping"/>
            </w:r>
            <w:r>
              <w:rPr>
                <w:rStyle w:val="35"/>
                <w:lang w:val="en-US" w:eastAsia="zh-CN" w:bidi="ar"/>
              </w:rPr>
              <w:t>目标</w:t>
            </w:r>
            <w:r>
              <w:rPr>
                <w:rStyle w:val="36"/>
                <w:rFonts w:eastAsia="宋体"/>
                <w:lang w:val="en-US" w:eastAsia="zh-CN" w:bidi="ar"/>
              </w:rPr>
              <w:br w:type="textWrapping"/>
            </w:r>
            <w:r>
              <w:rPr>
                <w:rStyle w:val="35"/>
                <w:lang w:val="en-US" w:eastAsia="zh-CN" w:bidi="ar"/>
              </w:rPr>
              <w:t>完成</w:t>
            </w:r>
            <w:r>
              <w:rPr>
                <w:rStyle w:val="36"/>
                <w:rFonts w:eastAsia="宋体"/>
                <w:lang w:val="en-US" w:eastAsia="zh-CN" w:bidi="ar"/>
              </w:rPr>
              <w:br w:type="textWrapping"/>
            </w:r>
            <w:r>
              <w:rPr>
                <w:rStyle w:val="35"/>
                <w:lang w:val="en-US" w:eastAsia="zh-CN" w:bidi="ar"/>
              </w:rPr>
              <w:t>情况</w:t>
            </w:r>
            <w:r>
              <w:rPr>
                <w:rStyle w:val="37"/>
                <w:lang w:val="en-US" w:eastAsia="zh-CN" w:bidi="ar"/>
              </w:rPr>
              <w:t xml:space="preserve">         </w:t>
            </w:r>
          </w:p>
        </w:tc>
        <w:tc>
          <w:tcPr>
            <w:tcW w:w="47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预期目标</w:t>
            </w:r>
          </w:p>
        </w:tc>
        <w:tc>
          <w:tcPr>
            <w:tcW w:w="376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7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35"/>
                <w:lang w:val="en-US" w:eastAsia="zh-CN" w:bidi="ar"/>
              </w:rPr>
              <w:t>完成博美楼、博明楼</w:t>
            </w:r>
            <w:r>
              <w:rPr>
                <w:rStyle w:val="36"/>
                <w:rFonts w:eastAsia="宋体"/>
                <w:lang w:val="en-US" w:eastAsia="zh-CN" w:bidi="ar"/>
              </w:rPr>
              <w:t>2</w:t>
            </w:r>
            <w:r>
              <w:rPr>
                <w:rStyle w:val="35"/>
                <w:lang w:val="en-US" w:eastAsia="zh-CN" w:bidi="ar"/>
              </w:rPr>
              <w:t>个公寓楼维修。改善学生居住条件，消除安全隐患</w:t>
            </w:r>
          </w:p>
        </w:tc>
        <w:tc>
          <w:tcPr>
            <w:tcW w:w="376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35"/>
                <w:lang w:val="en-US" w:eastAsia="zh-CN" w:bidi="ar"/>
              </w:rPr>
              <w:t>完成博美楼、博明楼</w:t>
            </w:r>
            <w:r>
              <w:rPr>
                <w:rStyle w:val="36"/>
                <w:rFonts w:eastAsia="宋体"/>
                <w:lang w:val="en-US" w:eastAsia="zh-CN" w:bidi="ar"/>
              </w:rPr>
              <w:t>2</w:t>
            </w:r>
            <w:r>
              <w:rPr>
                <w:rStyle w:val="35"/>
                <w:lang w:val="en-US" w:eastAsia="zh-CN" w:bidi="ar"/>
              </w:rPr>
              <w:t>个公寓楼维修。改善学生居住条件，消除安全隐患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61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35"/>
                <w:lang w:val="en-US" w:eastAsia="zh-CN" w:bidi="ar"/>
              </w:rPr>
              <w:t>年度</w:t>
            </w:r>
            <w:r>
              <w:rPr>
                <w:rStyle w:val="36"/>
                <w:rFonts w:eastAsia="宋体"/>
                <w:lang w:val="en-US" w:eastAsia="zh-CN" w:bidi="ar"/>
              </w:rPr>
              <w:br w:type="textWrapping"/>
            </w:r>
            <w:r>
              <w:rPr>
                <w:rStyle w:val="35"/>
                <w:lang w:val="en-US" w:eastAsia="zh-CN" w:bidi="ar"/>
              </w:rPr>
              <w:t>绩效</w:t>
            </w:r>
            <w:r>
              <w:rPr>
                <w:rStyle w:val="36"/>
                <w:rFonts w:eastAsia="宋体"/>
                <w:lang w:val="en-US" w:eastAsia="zh-CN" w:bidi="ar"/>
              </w:rPr>
              <w:br w:type="textWrapping"/>
            </w:r>
            <w:r>
              <w:rPr>
                <w:rStyle w:val="35"/>
                <w:lang w:val="en-US" w:eastAsia="zh-CN" w:bidi="ar"/>
              </w:rPr>
              <w:t>指标</w:t>
            </w:r>
            <w:r>
              <w:rPr>
                <w:rStyle w:val="36"/>
                <w:rFonts w:eastAsia="宋体"/>
                <w:lang w:val="en-US" w:eastAsia="zh-CN" w:bidi="ar"/>
              </w:rPr>
              <w:br w:type="textWrapping"/>
            </w:r>
            <w:r>
              <w:rPr>
                <w:rStyle w:val="35"/>
                <w:lang w:val="en-US" w:eastAsia="zh-CN" w:bidi="ar"/>
              </w:rPr>
              <w:t>完成</w:t>
            </w:r>
            <w:r>
              <w:rPr>
                <w:rStyle w:val="36"/>
                <w:rFonts w:eastAsia="宋体"/>
                <w:lang w:val="en-US" w:eastAsia="zh-CN" w:bidi="ar"/>
              </w:rPr>
              <w:br w:type="textWrapping"/>
            </w:r>
            <w:r>
              <w:rPr>
                <w:rStyle w:val="35"/>
                <w:lang w:val="en-US" w:eastAsia="zh-CN" w:bidi="ar"/>
              </w:rPr>
              <w:t>情况</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指标值（包含数字及文字描述）</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实际完成指标值（包含数字及文字描述）</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35"/>
                <w:lang w:val="en-US" w:eastAsia="zh-CN" w:bidi="ar"/>
              </w:rPr>
              <w:t>未完成原因及</w:t>
            </w:r>
            <w:r>
              <w:rPr>
                <w:rStyle w:val="36"/>
                <w:rFonts w:eastAsia="宋体"/>
                <w:lang w:val="en-US" w:eastAsia="zh-CN" w:bidi="ar"/>
              </w:rPr>
              <w:br w:type="textWrapping"/>
            </w:r>
            <w:r>
              <w:rPr>
                <w:rStyle w:val="35"/>
                <w:lang w:val="en-US" w:eastAsia="zh-CN" w:bidi="ar"/>
              </w:rPr>
              <w:t>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1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35"/>
                <w:lang w:val="en-US" w:eastAsia="zh-CN" w:bidi="ar"/>
              </w:rPr>
              <w:t>项目完成</w:t>
            </w:r>
            <w:r>
              <w:rPr>
                <w:rStyle w:val="36"/>
                <w:rFonts w:eastAsia="宋体"/>
                <w:lang w:val="en-US" w:eastAsia="zh-CN" w:bidi="ar"/>
              </w:rPr>
              <w:br w:type="textWrapping"/>
            </w:r>
            <w:r>
              <w:rPr>
                <w:rStyle w:val="35"/>
                <w:lang w:val="en-US" w:eastAsia="zh-CN" w:bidi="ar"/>
              </w:rPr>
              <w:t>指标</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宿舍楼维修</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36"/>
                <w:rFonts w:eastAsia="宋体"/>
                <w:lang w:val="en-US" w:eastAsia="zh-CN" w:bidi="ar"/>
              </w:rPr>
              <w:t>2</w:t>
            </w:r>
            <w:r>
              <w:rPr>
                <w:rStyle w:val="35"/>
                <w:lang w:val="en-US" w:eastAsia="zh-CN" w:bidi="ar"/>
              </w:rPr>
              <w:t>幢</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36"/>
                <w:rFonts w:eastAsia="宋体"/>
                <w:lang w:val="en-US" w:eastAsia="zh-CN" w:bidi="ar"/>
              </w:rPr>
              <w:t>2</w:t>
            </w:r>
            <w:r>
              <w:rPr>
                <w:rStyle w:val="35"/>
                <w:lang w:val="en-US" w:eastAsia="zh-CN" w:bidi="ar"/>
              </w:rPr>
              <w:t>幢</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16" w:type="dxa"/>
            <w:vMerge w:val="continue"/>
            <w:tcBorders>
              <w:left w:val="single" w:color="000000" w:sz="4" w:space="0"/>
              <w:right w:val="single" w:color="000000" w:sz="4" w:space="0"/>
            </w:tcBorders>
            <w:shd w:val="clear" w:color="auto" w:fill="auto"/>
            <w:noWrap/>
            <w:vAlign w:val="center"/>
          </w:tcPr>
          <w:p>
            <w:pPr>
              <w:jc w:val="center"/>
              <w:rPr>
                <w:rFonts w:hint="default" w:ascii="Arial" w:hAnsi="Arial" w:cs="Arial"/>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w:hAnsi="Arial" w:cs="Arial"/>
                <w:i w:val="0"/>
                <w:iCs w:val="0"/>
                <w:color w:val="000000"/>
                <w:sz w:val="20"/>
                <w:szCs w:val="20"/>
                <w:u w:val="none"/>
              </w:rPr>
            </w:pP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维修总面积</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36"/>
                <w:rFonts w:eastAsia="宋体"/>
                <w:lang w:val="en-US" w:eastAsia="zh-CN" w:bidi="ar"/>
              </w:rPr>
              <w:t>5000</w:t>
            </w:r>
            <w:r>
              <w:rPr>
                <w:rStyle w:val="35"/>
                <w:lang w:val="en-US" w:eastAsia="zh-CN" w:bidi="ar"/>
              </w:rPr>
              <w:t>㎡</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36"/>
                <w:rFonts w:eastAsia="宋体"/>
                <w:lang w:val="en-US" w:eastAsia="zh-CN" w:bidi="ar"/>
              </w:rPr>
              <w:t>5000</w:t>
            </w:r>
            <w:r>
              <w:rPr>
                <w:rStyle w:val="35"/>
                <w:lang w:val="en-US" w:eastAsia="zh-CN"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16" w:type="dxa"/>
            <w:vMerge w:val="continue"/>
            <w:tcBorders>
              <w:left w:val="single" w:color="000000" w:sz="4" w:space="0"/>
              <w:right w:val="single" w:color="000000" w:sz="4" w:space="0"/>
            </w:tcBorders>
            <w:shd w:val="clear" w:color="auto" w:fill="auto"/>
            <w:noWrap/>
            <w:vAlign w:val="center"/>
          </w:tcPr>
          <w:p>
            <w:pPr>
              <w:jc w:val="center"/>
              <w:rPr>
                <w:rFonts w:hint="default" w:ascii="Arial" w:hAnsi="Arial" w:cs="Arial"/>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符合国家行业标准</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严格执行</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严格执行</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16" w:type="dxa"/>
            <w:vMerge w:val="continue"/>
            <w:tcBorders>
              <w:left w:val="single" w:color="000000" w:sz="4" w:space="0"/>
              <w:right w:val="single" w:color="000000" w:sz="4" w:space="0"/>
            </w:tcBorders>
            <w:shd w:val="clear" w:color="auto" w:fill="auto"/>
            <w:noWrap/>
            <w:vAlign w:val="center"/>
          </w:tcPr>
          <w:p>
            <w:pPr>
              <w:jc w:val="center"/>
              <w:rPr>
                <w:rFonts w:hint="default" w:ascii="Arial" w:hAnsi="Arial" w:cs="Arial"/>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w:hAnsi="Arial" w:cs="Arial"/>
                <w:i w:val="0"/>
                <w:iCs w:val="0"/>
                <w:color w:val="000000"/>
                <w:sz w:val="20"/>
                <w:szCs w:val="20"/>
                <w:u w:val="none"/>
              </w:rPr>
            </w:pP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工程验收合格率</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16" w:type="dxa"/>
            <w:vMerge w:val="continue"/>
            <w:tcBorders>
              <w:left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完工时间</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36"/>
                <w:rFonts w:eastAsia="宋体"/>
                <w:lang w:val="en-US" w:eastAsia="zh-CN" w:bidi="ar"/>
              </w:rPr>
              <w:t>2021</w:t>
            </w:r>
            <w:r>
              <w:rPr>
                <w:rStyle w:val="35"/>
                <w:lang w:val="en-US" w:eastAsia="zh-CN" w:bidi="ar"/>
              </w:rPr>
              <w:t>年</w:t>
            </w:r>
            <w:r>
              <w:rPr>
                <w:rStyle w:val="36"/>
                <w:rFonts w:eastAsia="宋体"/>
                <w:lang w:val="en-US" w:eastAsia="zh-CN" w:bidi="ar"/>
              </w:rPr>
              <w:t>8</w:t>
            </w:r>
            <w:r>
              <w:rPr>
                <w:rStyle w:val="35"/>
                <w:lang w:val="en-US" w:eastAsia="zh-CN" w:bidi="ar"/>
              </w:rPr>
              <w:t>月底完工交付</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Style w:val="36"/>
                <w:rFonts w:eastAsia="宋体"/>
                <w:lang w:val="en-US" w:eastAsia="zh-CN" w:bidi="ar"/>
              </w:rPr>
              <w:t>2021</w:t>
            </w:r>
            <w:r>
              <w:rPr>
                <w:rStyle w:val="35"/>
                <w:lang w:val="en-US" w:eastAsia="zh-CN" w:bidi="ar"/>
              </w:rPr>
              <w:t>年</w:t>
            </w:r>
            <w:r>
              <w:rPr>
                <w:rStyle w:val="36"/>
                <w:rFonts w:eastAsia="宋体"/>
                <w:lang w:val="en-US" w:eastAsia="zh-CN" w:bidi="ar"/>
              </w:rPr>
              <w:t>8</w:t>
            </w:r>
            <w:r>
              <w:rPr>
                <w:rStyle w:val="35"/>
                <w:lang w:val="en-US" w:eastAsia="zh-CN" w:bidi="ar"/>
              </w:rPr>
              <w:t>月底完工交付</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16"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default" w:ascii="Arial" w:hAnsi="Arial" w:cs="Arial"/>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执行招投标价格和成本控制</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较好</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较好</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1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35"/>
                <w:lang w:val="en-US" w:eastAsia="zh-CN" w:bidi="ar"/>
              </w:rPr>
              <w:t>项目效果</w:t>
            </w:r>
            <w:r>
              <w:rPr>
                <w:rStyle w:val="36"/>
                <w:rFonts w:eastAsia="宋体"/>
                <w:lang w:val="en-US" w:eastAsia="zh-CN" w:bidi="ar"/>
              </w:rPr>
              <w:br w:type="textWrapping"/>
            </w:r>
            <w:r>
              <w:rPr>
                <w:rStyle w:val="35"/>
                <w:lang w:val="en-US" w:eastAsia="zh-CN" w:bidi="ar"/>
              </w:rPr>
              <w:t>指标</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35"/>
                <w:lang w:val="en-US" w:eastAsia="zh-CN" w:bidi="ar"/>
              </w:rPr>
              <w:t>经济效益</w:t>
            </w:r>
            <w:r>
              <w:rPr>
                <w:rStyle w:val="36"/>
                <w:rFonts w:eastAsia="宋体"/>
                <w:lang w:val="en-US" w:eastAsia="zh-CN" w:bidi="ar"/>
              </w:rPr>
              <w:br w:type="textWrapping"/>
            </w:r>
            <w:r>
              <w:rPr>
                <w:rStyle w:val="35"/>
                <w:lang w:val="en-US" w:eastAsia="zh-CN" w:bidi="ar"/>
              </w:rPr>
              <w:t>指标</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严格按合同约定付款，优化营商环境</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较好</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较好</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16"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35"/>
                <w:lang w:val="en-US" w:eastAsia="zh-CN" w:bidi="ar"/>
              </w:rPr>
              <w:t>社会效益</w:t>
            </w:r>
            <w:r>
              <w:rPr>
                <w:rStyle w:val="36"/>
                <w:rFonts w:eastAsia="宋体"/>
                <w:lang w:val="en-US" w:eastAsia="zh-CN" w:bidi="ar"/>
              </w:rPr>
              <w:br w:type="textWrapping"/>
            </w:r>
            <w:r>
              <w:rPr>
                <w:rStyle w:val="35"/>
                <w:lang w:val="en-US" w:eastAsia="zh-CN" w:bidi="ar"/>
              </w:rPr>
              <w:t>指标</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改善学生居住条件</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较好</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较好</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16"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35"/>
                <w:lang w:val="en-US" w:eastAsia="zh-CN" w:bidi="ar"/>
              </w:rPr>
              <w:t>生态效益</w:t>
            </w:r>
            <w:r>
              <w:rPr>
                <w:rStyle w:val="36"/>
                <w:rFonts w:eastAsia="宋体"/>
                <w:lang w:val="en-US" w:eastAsia="zh-CN" w:bidi="ar"/>
              </w:rPr>
              <w:br w:type="textWrapping"/>
            </w:r>
            <w:r>
              <w:rPr>
                <w:rStyle w:val="35"/>
                <w:lang w:val="en-US" w:eastAsia="zh-CN" w:bidi="ar"/>
              </w:rPr>
              <w:t>指标</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使用绿色环保材料</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较好</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较好</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16"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35"/>
                <w:lang w:val="en-US" w:eastAsia="zh-CN" w:bidi="ar"/>
              </w:rPr>
              <w:t>可持续影响</w:t>
            </w:r>
            <w:r>
              <w:rPr>
                <w:rStyle w:val="36"/>
                <w:rFonts w:eastAsia="宋体"/>
                <w:lang w:val="en-US" w:eastAsia="zh-CN" w:bidi="ar"/>
              </w:rPr>
              <w:br w:type="textWrapping"/>
            </w:r>
            <w:r>
              <w:rPr>
                <w:rStyle w:val="35"/>
                <w:lang w:val="en-US" w:eastAsia="zh-CN" w:bidi="ar"/>
              </w:rPr>
              <w:t>指标</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建立管护制度，延长使用寿命</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较好</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较好</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6"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35"/>
                <w:lang w:val="en-US" w:eastAsia="zh-CN" w:bidi="ar"/>
              </w:rPr>
              <w:t>满意度</w:t>
            </w:r>
            <w:r>
              <w:rPr>
                <w:rStyle w:val="36"/>
                <w:rFonts w:eastAsia="宋体"/>
                <w:lang w:val="en-US" w:eastAsia="zh-CN" w:bidi="ar"/>
              </w:rPr>
              <w:br w:type="textWrapping"/>
            </w:r>
            <w:r>
              <w:rPr>
                <w:rStyle w:val="35"/>
                <w:lang w:val="en-US" w:eastAsia="zh-CN" w:bidi="ar"/>
              </w:rPr>
              <w:t>指标</w:t>
            </w:r>
          </w:p>
        </w:tc>
        <w:tc>
          <w:tcPr>
            <w:tcW w:w="2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学生及家长对居住环境满意度</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≥95%</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98%</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w:hAnsi="Arial" w:cs="Arial"/>
                <w:i w:val="0"/>
                <w:iCs w:val="0"/>
                <w:color w:val="000000"/>
                <w:sz w:val="20"/>
                <w:szCs w:val="20"/>
                <w:u w:val="none"/>
              </w:rPr>
            </w:pPr>
          </w:p>
        </w:tc>
      </w:tr>
    </w:tbl>
    <w:p>
      <w:pPr>
        <w:pStyle w:val="34"/>
        <w:spacing w:line="576" w:lineRule="exact"/>
        <w:jc w:val="both"/>
        <w:rPr>
          <w:rFonts w:hint="eastAsia" w:ascii="方正仿宋_GB2312" w:hAnsi="方正仿宋_GB2312" w:eastAsia="方正仿宋_GB2312" w:cs="方正仿宋_GB2312"/>
          <w:b/>
          <w:bCs/>
          <w:sz w:val="52"/>
          <w:szCs w:val="52"/>
          <w:lang w:val="en-US"/>
        </w:rPr>
      </w:pPr>
    </w:p>
    <w:p>
      <w:pPr>
        <w:pStyle w:val="34"/>
        <w:spacing w:line="576" w:lineRule="exact"/>
        <w:jc w:val="center"/>
        <w:rPr>
          <w:rFonts w:hint="eastAsia" w:ascii="方正仿宋_GB2312" w:hAnsi="方正仿宋_GB2312" w:eastAsia="方正仿宋_GB2312" w:cs="方正仿宋_GB2312"/>
          <w:b/>
          <w:bCs/>
          <w:color w:val="auto"/>
          <w:kern w:val="2"/>
          <w:sz w:val="32"/>
          <w:szCs w:val="32"/>
        </w:rPr>
      </w:pPr>
      <w:r>
        <w:rPr>
          <w:rFonts w:hint="eastAsia" w:ascii="方正仿宋_GB2312" w:hAnsi="方正仿宋_GB2312" w:eastAsia="方正仿宋_GB2312" w:cs="方正仿宋_GB2312"/>
          <w:b/>
          <w:bCs/>
          <w:sz w:val="44"/>
          <w:szCs w:val="44"/>
          <w:lang w:val="en-US"/>
        </w:rPr>
        <w:t>202</w:t>
      </w:r>
      <w:r>
        <w:rPr>
          <w:rFonts w:hint="eastAsia" w:ascii="方正仿宋_GB2312" w:hAnsi="方正仿宋_GB2312" w:eastAsia="方正仿宋_GB2312" w:cs="方正仿宋_GB2312"/>
          <w:b/>
          <w:bCs/>
          <w:sz w:val="44"/>
          <w:szCs w:val="44"/>
          <w:lang w:val="en-US" w:eastAsia="zh-CN"/>
        </w:rPr>
        <w:t>1</w:t>
      </w:r>
      <w:r>
        <w:rPr>
          <w:rFonts w:hint="eastAsia" w:ascii="方正仿宋_GB2312" w:hAnsi="方正仿宋_GB2312" w:eastAsia="方正仿宋_GB2312" w:cs="方正仿宋_GB2312"/>
          <w:b/>
          <w:bCs/>
          <w:sz w:val="44"/>
          <w:szCs w:val="44"/>
          <w:lang w:val="en-US"/>
        </w:rPr>
        <w:t>年</w:t>
      </w:r>
      <w:r>
        <w:rPr>
          <w:rFonts w:hint="eastAsia" w:ascii="方正仿宋_GB2312" w:hAnsi="方正仿宋_GB2312" w:eastAsia="方正仿宋_GB2312" w:cs="方正仿宋_GB2312"/>
          <w:b/>
          <w:bCs/>
          <w:sz w:val="44"/>
          <w:szCs w:val="44"/>
          <w:lang w:val="en-US" w:eastAsia="zh-CN"/>
        </w:rPr>
        <w:t>度</w:t>
      </w:r>
      <w:r>
        <w:rPr>
          <w:rFonts w:hint="eastAsia" w:ascii="方正仿宋_GB2312" w:hAnsi="方正仿宋_GB2312" w:eastAsia="方正仿宋_GB2312" w:cs="方正仿宋_GB2312"/>
          <w:b/>
          <w:bCs/>
          <w:sz w:val="44"/>
          <w:szCs w:val="44"/>
        </w:rPr>
        <w:t>专项预算项目支出绩效自评报告</w:t>
      </w:r>
    </w:p>
    <w:p>
      <w:pPr>
        <w:pStyle w:val="34"/>
        <w:spacing w:line="576" w:lineRule="exact"/>
        <w:jc w:val="center"/>
        <w:rPr>
          <w:rFonts w:hint="eastAsia" w:ascii="方正仿宋_GB2312" w:hAnsi="方正仿宋_GB2312" w:eastAsia="方正仿宋_GB2312" w:cs="方正仿宋_GB2312"/>
          <w:color w:val="auto"/>
          <w:kern w:val="2"/>
          <w:sz w:val="36"/>
          <w:szCs w:val="36"/>
        </w:rPr>
      </w:pPr>
      <w:r>
        <w:rPr>
          <w:rFonts w:hint="eastAsia" w:ascii="方正仿宋_GB2312" w:hAnsi="方正仿宋_GB2312" w:eastAsia="方正仿宋_GB2312" w:cs="方正仿宋_GB2312"/>
          <w:color w:val="auto"/>
          <w:kern w:val="2"/>
          <w:sz w:val="36"/>
          <w:szCs w:val="36"/>
        </w:rPr>
        <w:t>（市树人中学玉树学生之家和民族团结广场项目）</w:t>
      </w:r>
    </w:p>
    <w:p>
      <w:pPr>
        <w:pStyle w:val="34"/>
        <w:spacing w:line="576" w:lineRule="exact"/>
        <w:ind w:firstLine="640"/>
        <w:jc w:val="center"/>
        <w:rPr>
          <w:rFonts w:hint="eastAsia" w:ascii="方正仿宋_GB2312" w:hAnsi="方正仿宋_GB2312" w:eastAsia="方正仿宋_GB2312" w:cs="方正仿宋_GB2312"/>
          <w:color w:val="auto"/>
          <w:kern w:val="2"/>
          <w:sz w:val="48"/>
          <w:szCs w:val="48"/>
        </w:rPr>
      </w:pPr>
    </w:p>
    <w:p>
      <w:pPr>
        <w:numPr>
          <w:ilvl w:val="0"/>
          <w:numId w:val="24"/>
        </w:numPr>
        <w:adjustRightInd w:val="0"/>
        <w:snapToGrid w:val="0"/>
        <w:spacing w:line="576" w:lineRule="exact"/>
        <w:ind w:firstLine="720"/>
        <w:rPr>
          <w:rFonts w:hint="eastAsia" w:ascii="方正仿宋_GB2312" w:hAnsi="方正仿宋_GB2312" w:eastAsia="方正仿宋_GB2312" w:cs="方正仿宋_GB2312"/>
          <w:b/>
          <w:bCs/>
          <w:sz w:val="32"/>
          <w:szCs w:val="40"/>
          <w:lang w:val="zh-CN"/>
        </w:rPr>
      </w:pPr>
      <w:r>
        <w:rPr>
          <w:rFonts w:hint="eastAsia" w:ascii="方正仿宋_GB2312" w:hAnsi="方正仿宋_GB2312" w:eastAsia="方正仿宋_GB2312" w:cs="方正仿宋_GB2312"/>
          <w:b/>
          <w:bCs/>
          <w:sz w:val="32"/>
          <w:szCs w:val="40"/>
          <w:lang w:val="zh-CN"/>
        </w:rPr>
        <w:t>项目概况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lang w:val="zh-CN"/>
        </w:rPr>
      </w:pPr>
      <w:r>
        <w:rPr>
          <w:rFonts w:hint="eastAsia" w:ascii="楷体_GB2312" w:hAnsi="宋体" w:eastAsia="楷体_GB2312" w:cs="Times New Roman"/>
          <w:b/>
          <w:color w:val="auto"/>
          <w:sz w:val="32"/>
          <w:szCs w:val="32"/>
          <w:highlight w:val="none"/>
          <w:lang w:val="zh-CN"/>
        </w:rPr>
        <w:t>（一）项目基本情况。</w:t>
      </w:r>
    </w:p>
    <w:p>
      <w:pPr>
        <w:adjustRightInd w:val="0"/>
        <w:snapToGrid w:val="0"/>
        <w:spacing w:line="576" w:lineRule="exact"/>
        <w:ind w:firstLine="720"/>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Times New Roman"/>
          <w:color w:val="auto"/>
          <w:sz w:val="32"/>
          <w:szCs w:val="32"/>
          <w:highlight w:val="none"/>
          <w:lang w:val="zh-CN"/>
        </w:rPr>
        <w:t>1．主管部门在该项目管理中的职能。</w:t>
      </w:r>
      <w:r>
        <w:rPr>
          <w:rFonts w:hint="eastAsia" w:ascii="仿宋_GB2312" w:hAnsi="宋体" w:eastAsia="仿宋_GB2312" w:cs="Times New Roman"/>
          <w:color w:val="auto"/>
          <w:sz w:val="32"/>
          <w:szCs w:val="32"/>
          <w:highlight w:val="none"/>
          <w:lang w:val="en-US" w:eastAsia="zh-CN"/>
        </w:rPr>
        <w:t>2021年玉树学生之家和民族团结广场项目由广元市市树人中学具体负责，市教育局对项目实施、项目资金支付等</w:t>
      </w:r>
      <w:r>
        <w:rPr>
          <w:rFonts w:hint="eastAsia" w:ascii="仿宋_GB2312" w:hAnsi="宋体" w:eastAsia="仿宋_GB2312" w:cs="仿宋_GB2312"/>
          <w:color w:val="000000"/>
          <w:kern w:val="0"/>
          <w:sz w:val="32"/>
          <w:szCs w:val="32"/>
          <w:lang w:val="en-US" w:eastAsia="zh-CN" w:bidi="ar"/>
        </w:rPr>
        <w:t>工作进行监督管理。</w:t>
      </w:r>
    </w:p>
    <w:p>
      <w:pPr>
        <w:adjustRightInd w:val="0"/>
        <w:snapToGrid w:val="0"/>
        <w:spacing w:line="576" w:lineRule="exact"/>
        <w:ind w:firstLine="720"/>
        <w:rPr>
          <w:rFonts w:hint="eastAsia" w:ascii="方正仿宋_GB2312" w:hAnsi="方正仿宋_GB2312" w:eastAsia="方正仿宋_GB2312" w:cs="方正仿宋_GB2312"/>
          <w:sz w:val="32"/>
          <w:szCs w:val="40"/>
          <w:lang w:val="zh-CN"/>
        </w:rPr>
      </w:pPr>
      <w:r>
        <w:rPr>
          <w:rFonts w:hint="eastAsia" w:ascii="仿宋_GB2312" w:hAnsi="宋体" w:eastAsia="仿宋_GB2312" w:cs="Times New Roman"/>
          <w:color w:val="auto"/>
          <w:sz w:val="32"/>
          <w:szCs w:val="32"/>
          <w:highlight w:val="none"/>
          <w:lang w:val="zh-CN"/>
        </w:rPr>
        <w:t>2．项目立项、资金申报的依据。</w:t>
      </w:r>
      <w:r>
        <w:rPr>
          <w:rFonts w:hint="eastAsia" w:ascii="方正仿宋_GB2312" w:hAnsi="方正仿宋_GB2312" w:eastAsia="方正仿宋_GB2312" w:cs="方正仿宋_GB2312"/>
          <w:sz w:val="32"/>
          <w:szCs w:val="40"/>
          <w:lang w:val="zh-CN"/>
        </w:rPr>
        <w:t>2021年3月22日，四川省广元市树人中学召开关于“四川省城市民族工作会﹒树人中学参观点准备工作”，会议主要内容为：1.将全校校园文化建设破损的地方全部修复；2.新增部分校园文化建设；3.校门内侧拆除围网，打造部分文化景观、民族文化长廊、广场、教学楼建玉树学生之家。</w:t>
      </w:r>
    </w:p>
    <w:p>
      <w:pPr>
        <w:widowControl/>
        <w:spacing w:line="600" w:lineRule="exact"/>
        <w:ind w:firstLine="640" w:firstLineChars="200"/>
        <w:jc w:val="left"/>
        <w:rPr>
          <w:rFonts w:hint="eastAsia" w:ascii="仿宋_GB2312" w:hAnsi="宋体" w:eastAsia="仿宋_GB2312" w:cs="Times New Roman"/>
          <w:color w:val="auto"/>
          <w:sz w:val="32"/>
          <w:szCs w:val="32"/>
          <w:highlight w:val="none"/>
          <w:lang w:val="zh-CN"/>
        </w:rPr>
      </w:pPr>
      <w:r>
        <w:rPr>
          <w:rFonts w:hint="eastAsia" w:ascii="方正仿宋_GB2312" w:hAnsi="方正仿宋_GB2312" w:eastAsia="方正仿宋_GB2312" w:cs="方正仿宋_GB2312"/>
          <w:sz w:val="32"/>
          <w:szCs w:val="40"/>
          <w:lang w:val="en-US" w:eastAsia="zh-CN"/>
        </w:rPr>
        <w:t xml:space="preserve">3. </w:t>
      </w:r>
      <w:r>
        <w:rPr>
          <w:rFonts w:hint="eastAsia" w:ascii="仿宋_GB2312" w:hAnsi="宋体" w:eastAsia="仿宋_GB2312" w:cs="Times New Roman"/>
          <w:color w:val="auto"/>
          <w:sz w:val="32"/>
          <w:szCs w:val="32"/>
          <w:highlight w:val="none"/>
          <w:lang w:val="zh-CN"/>
        </w:rPr>
        <w:t>资金管理办法制定情况，资金支持具体项目的条件、范围与支持方式概况。</w:t>
      </w:r>
      <w:r>
        <w:rPr>
          <w:rFonts w:hint="eastAsia" w:ascii="仿宋_GB2312" w:hAnsi="宋体" w:eastAsia="仿宋_GB2312" w:cs="Times New Roman"/>
          <w:color w:val="auto"/>
          <w:sz w:val="32"/>
          <w:szCs w:val="32"/>
          <w:highlight w:val="none"/>
          <w:lang w:val="en-US" w:eastAsia="zh-CN"/>
        </w:rPr>
        <w:t>树人中学制定了财务管理制度并按要求严格执行，该项目</w:t>
      </w:r>
      <w:r>
        <w:rPr>
          <w:rFonts w:hint="eastAsia" w:ascii="仿宋_GB2312" w:hAnsi="宋体" w:eastAsia="仿宋_GB2312" w:cs="Times New Roman"/>
          <w:color w:val="auto"/>
          <w:sz w:val="32"/>
          <w:szCs w:val="32"/>
          <w:highlight w:val="none"/>
          <w:lang w:val="zh-CN"/>
        </w:rPr>
        <w:t>资金指标下达后，按预算指标</w:t>
      </w:r>
      <w:r>
        <w:rPr>
          <w:rFonts w:hint="eastAsia" w:ascii="仿宋_GB2312" w:hAnsi="宋体" w:eastAsia="仿宋_GB2312" w:cs="Times New Roman"/>
          <w:color w:val="auto"/>
          <w:sz w:val="32"/>
          <w:szCs w:val="32"/>
          <w:highlight w:val="none"/>
          <w:lang w:val="en-US" w:eastAsia="zh-CN"/>
        </w:rPr>
        <w:t>合理合规进行开支</w:t>
      </w:r>
      <w:r>
        <w:rPr>
          <w:rFonts w:hint="eastAsia" w:ascii="仿宋_GB2312" w:hAnsi="宋体" w:eastAsia="仿宋_GB2312" w:cs="Times New Roman"/>
          <w:color w:val="auto"/>
          <w:sz w:val="32"/>
          <w:szCs w:val="32"/>
          <w:highlight w:val="none"/>
          <w:lang w:val="zh-CN"/>
        </w:rPr>
        <w:t>使用。</w:t>
      </w:r>
    </w:p>
    <w:p>
      <w:pPr>
        <w:widowControl/>
        <w:spacing w:line="60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宋体" w:eastAsia="仿宋_GB2312" w:cs="Times New Roman"/>
          <w:color w:val="auto"/>
          <w:kern w:val="2"/>
          <w:sz w:val="32"/>
          <w:szCs w:val="32"/>
          <w:highlight w:val="none"/>
          <w:lang w:val="en-US" w:eastAsia="zh-CN" w:bidi="ar-SA"/>
        </w:rPr>
        <w:t>4.</w:t>
      </w:r>
      <w:r>
        <w:rPr>
          <w:rFonts w:hint="eastAsia" w:ascii="仿宋_GB2312" w:hAnsi="宋体" w:eastAsia="仿宋_GB2312" w:cs="Times New Roman"/>
          <w:color w:val="auto"/>
          <w:kern w:val="2"/>
          <w:sz w:val="32"/>
          <w:szCs w:val="32"/>
          <w:highlight w:val="none"/>
          <w:lang w:val="zh-CN" w:eastAsia="zh-CN" w:bidi="ar-SA"/>
        </w:rPr>
        <w:t>资金分配的原则及考虑因素。</w:t>
      </w:r>
      <w:r>
        <w:rPr>
          <w:rFonts w:hint="eastAsia" w:ascii="仿宋_GB2312" w:hAnsi="宋体" w:eastAsia="仿宋_GB2312" w:cs="Times New Roman"/>
          <w:color w:val="auto"/>
          <w:kern w:val="2"/>
          <w:sz w:val="32"/>
          <w:szCs w:val="32"/>
          <w:highlight w:val="none"/>
          <w:lang w:val="en-US" w:eastAsia="zh-CN" w:bidi="ar-SA"/>
        </w:rPr>
        <w:t>2021年</w:t>
      </w:r>
      <w:r>
        <w:rPr>
          <w:rFonts w:hint="eastAsia" w:ascii="仿宋_GB2312" w:hAnsi="宋体" w:eastAsia="仿宋_GB2312" w:cs="Times New Roman"/>
          <w:color w:val="auto"/>
          <w:sz w:val="32"/>
          <w:szCs w:val="32"/>
          <w:highlight w:val="none"/>
          <w:lang w:val="en-US" w:eastAsia="zh-CN"/>
        </w:rPr>
        <w:t>玉树学生之家和民族团结广场项目</w:t>
      </w:r>
      <w:r>
        <w:rPr>
          <w:rFonts w:hint="eastAsia" w:ascii="仿宋_GB2312" w:hAnsi="宋体" w:eastAsia="仿宋_GB2312" w:cs="Times New Roman"/>
          <w:color w:val="auto"/>
          <w:kern w:val="2"/>
          <w:sz w:val="32"/>
          <w:szCs w:val="32"/>
          <w:highlight w:val="none"/>
          <w:lang w:val="en-US" w:eastAsia="zh-CN" w:bidi="ar-SA"/>
        </w:rPr>
        <w:t>严格按照</w:t>
      </w:r>
      <w:r>
        <w:rPr>
          <w:rFonts w:hint="eastAsia" w:ascii="仿宋_GB2312" w:hAnsi="宋体" w:eastAsia="仿宋_GB2312" w:cs="Times New Roman"/>
          <w:color w:val="auto"/>
          <w:sz w:val="32"/>
          <w:szCs w:val="32"/>
          <w:highlight w:val="none"/>
          <w:lang w:val="en-US" w:eastAsia="zh-CN"/>
        </w:rPr>
        <w:t>玉树学生之家和民族团结广场项目</w:t>
      </w:r>
      <w:r>
        <w:rPr>
          <w:rFonts w:hint="eastAsia" w:ascii="仿宋_GB2312" w:hAnsi="宋体" w:eastAsia="仿宋_GB2312" w:cs="Times New Roman"/>
          <w:color w:val="auto"/>
          <w:kern w:val="2"/>
          <w:sz w:val="32"/>
          <w:szCs w:val="32"/>
          <w:highlight w:val="none"/>
          <w:lang w:val="en-US" w:eastAsia="zh-CN" w:bidi="ar-SA"/>
        </w:rPr>
        <w:t>需要合理合规进行资金分配，</w:t>
      </w:r>
      <w:r>
        <w:rPr>
          <w:rFonts w:hint="eastAsia" w:ascii="仿宋_GB2312" w:hAnsi="仿宋_GB2312" w:eastAsia="仿宋_GB2312" w:cs="仿宋_GB2312"/>
          <w:color w:val="000000"/>
          <w:sz w:val="32"/>
          <w:szCs w:val="32"/>
        </w:rPr>
        <w:t>充分发挥</w:t>
      </w:r>
      <w:r>
        <w:rPr>
          <w:rFonts w:hint="eastAsia" w:ascii="仿宋_GB2312" w:hAnsi="宋体" w:eastAsia="仿宋_GB2312" w:cs="Times New Roman"/>
          <w:color w:val="auto"/>
          <w:sz w:val="32"/>
          <w:szCs w:val="32"/>
          <w:highlight w:val="none"/>
          <w:lang w:val="en-US" w:eastAsia="zh-CN"/>
        </w:rPr>
        <w:t>玉树学生之家和民族团结广场项目</w:t>
      </w:r>
      <w:r>
        <w:rPr>
          <w:rFonts w:hint="eastAsia" w:ascii="仿宋_GB2312" w:hAnsi="仿宋_GB2312" w:eastAsia="仿宋_GB2312" w:cs="仿宋_GB2312"/>
          <w:color w:val="000000"/>
          <w:sz w:val="32"/>
          <w:szCs w:val="32"/>
        </w:rPr>
        <w:t>资金使用</w:t>
      </w:r>
      <w:r>
        <w:rPr>
          <w:rFonts w:hint="eastAsia" w:ascii="仿宋_GB2312" w:hAnsi="仿宋_GB2312" w:eastAsia="仿宋_GB2312" w:cs="仿宋_GB2312"/>
          <w:color w:val="000000"/>
          <w:sz w:val="32"/>
          <w:szCs w:val="32"/>
          <w:lang w:val="en-US" w:eastAsia="zh-CN"/>
        </w:rPr>
        <w:t>效益</w:t>
      </w:r>
      <w:r>
        <w:rPr>
          <w:rFonts w:hint="eastAsia" w:ascii="仿宋_GB2312" w:hAnsi="仿宋_GB2312" w:eastAsia="仿宋_GB2312" w:cs="仿宋_GB2312"/>
          <w:bCs/>
          <w:color w:val="000000"/>
          <w:kern w:val="0"/>
          <w:sz w:val="32"/>
          <w:szCs w:val="32"/>
        </w:rPr>
        <w:t>。</w:t>
      </w:r>
    </w:p>
    <w:p>
      <w:pPr>
        <w:adjustRightInd w:val="0"/>
        <w:snapToGrid w:val="0"/>
        <w:spacing w:line="576" w:lineRule="exact"/>
        <w:ind w:firstLine="720"/>
        <w:rPr>
          <w:rFonts w:hint="eastAsia" w:ascii="方正仿宋_GB2312" w:hAnsi="方正仿宋_GB2312" w:eastAsia="方正仿宋_GB2312" w:cs="方正仿宋_GB2312"/>
          <w:sz w:val="32"/>
          <w:szCs w:val="40"/>
          <w:lang w:val="zh-CN"/>
        </w:rPr>
      </w:pP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（二）项目绩效目标。</w:t>
      </w:r>
    </w:p>
    <w:p>
      <w:pPr>
        <w:adjustRightInd w:val="0"/>
        <w:snapToGrid w:val="0"/>
        <w:spacing w:line="576" w:lineRule="exact"/>
        <w:ind w:firstLine="720"/>
        <w:rPr>
          <w:rFonts w:hint="eastAsia" w:ascii="方正仿宋_GB2312" w:hAnsi="方正仿宋_GB2312" w:eastAsia="方正仿宋_GB2312" w:cs="方正仿宋_GB2312"/>
          <w:sz w:val="32"/>
          <w:szCs w:val="40"/>
          <w:lang w:val="zh-CN"/>
        </w:rPr>
      </w:pPr>
      <w:r>
        <w:rPr>
          <w:rFonts w:hint="eastAsia" w:ascii="仿宋_GB2312" w:hAnsi="宋体" w:eastAsia="仿宋_GB2312" w:cs="Times New Roman"/>
          <w:color w:val="auto"/>
          <w:sz w:val="32"/>
          <w:szCs w:val="32"/>
          <w:highlight w:val="none"/>
          <w:lang w:val="zh-CN"/>
        </w:rPr>
        <w:t>1．项目主要内容。</w:t>
      </w:r>
      <w:r>
        <w:rPr>
          <w:rFonts w:hint="eastAsia" w:ascii="方正仿宋_GB2312" w:hAnsi="方正仿宋_GB2312" w:eastAsia="方正仿宋_GB2312" w:cs="方正仿宋_GB2312"/>
          <w:sz w:val="32"/>
          <w:szCs w:val="40"/>
          <w:lang w:val="zh-CN"/>
        </w:rPr>
        <w:t>2021年3月23日，四川省广元市树人中学编制了该项目实施方案并经中共广元市树人中学委员会同意，具体内容如下：项目名称：树人中学“玉树学生之家和民族团结广场”建设项目；项目规划建设周期2个月；整体资金概算：估算总投资38.5万元；资金来源及使用计划：四川省民族事业发展专项资金</w:t>
      </w:r>
      <w:r>
        <w:rPr>
          <w:rFonts w:hint="eastAsia" w:ascii="方正仿宋_GB2312" w:hAnsi="方正仿宋_GB2312" w:eastAsia="方正仿宋_GB2312" w:cs="方正仿宋_GB2312"/>
          <w:sz w:val="32"/>
          <w:szCs w:val="40"/>
        </w:rPr>
        <w:t>15万元，</w:t>
      </w:r>
      <w:r>
        <w:rPr>
          <w:rFonts w:hint="eastAsia" w:ascii="方正仿宋_GB2312" w:hAnsi="方正仿宋_GB2312" w:eastAsia="方正仿宋_GB2312" w:cs="方正仿宋_GB2312"/>
          <w:sz w:val="32"/>
          <w:szCs w:val="40"/>
          <w:lang w:val="zh-CN"/>
        </w:rPr>
        <w:t>四川省慈善总会捐赠</w:t>
      </w:r>
      <w:r>
        <w:rPr>
          <w:rFonts w:hint="eastAsia" w:ascii="方正仿宋_GB2312" w:hAnsi="方正仿宋_GB2312" w:eastAsia="方正仿宋_GB2312" w:cs="方正仿宋_GB2312"/>
          <w:sz w:val="32"/>
          <w:szCs w:val="40"/>
        </w:rPr>
        <w:t>23</w:t>
      </w:r>
      <w:r>
        <w:rPr>
          <w:rFonts w:hint="eastAsia" w:ascii="方正仿宋_GB2312" w:hAnsi="方正仿宋_GB2312" w:eastAsia="方正仿宋_GB2312" w:cs="方正仿宋_GB2312"/>
          <w:sz w:val="32"/>
          <w:szCs w:val="40"/>
          <w:lang w:val="zh-CN"/>
        </w:rPr>
        <w:t>万元（通过广元市教育基金会），不足部分学校自筹解决。</w:t>
      </w:r>
    </w:p>
    <w:p>
      <w:pPr>
        <w:adjustRightInd w:val="0"/>
        <w:snapToGrid w:val="0"/>
        <w:spacing w:line="576" w:lineRule="exact"/>
        <w:ind w:firstLine="720"/>
        <w:rPr>
          <w:rFonts w:hint="eastAsia" w:ascii="方正仿宋_GB2312" w:hAnsi="方正仿宋_GB2312" w:eastAsia="方正仿宋_GB2312" w:cs="方正仿宋_GB2312"/>
          <w:sz w:val="32"/>
          <w:szCs w:val="40"/>
          <w:lang w:val="zh-CN"/>
        </w:rPr>
      </w:pPr>
      <w:r>
        <w:rPr>
          <w:rFonts w:hint="eastAsia" w:ascii="仿宋_GB2312" w:hAnsi="宋体" w:eastAsia="仿宋_GB2312" w:cs="Times New Roman"/>
          <w:color w:val="auto"/>
          <w:sz w:val="32"/>
          <w:szCs w:val="32"/>
          <w:highlight w:val="none"/>
          <w:lang w:val="en-US" w:eastAsia="zh-CN"/>
        </w:rPr>
        <w:t>2.</w:t>
      </w:r>
      <w:r>
        <w:rPr>
          <w:rFonts w:hint="eastAsia" w:ascii="仿宋_GB2312" w:hAnsi="宋体" w:eastAsia="仿宋_GB2312" w:cs="Times New Roman"/>
          <w:color w:val="auto"/>
          <w:sz w:val="32"/>
          <w:szCs w:val="32"/>
          <w:highlight w:val="none"/>
          <w:lang w:val="zh-CN"/>
        </w:rPr>
        <w:t>项目应实现的具体绩效目标。</w:t>
      </w:r>
      <w:r>
        <w:rPr>
          <w:rFonts w:hint="eastAsia" w:ascii="方正仿宋_GB2312" w:hAnsi="方正仿宋_GB2312" w:eastAsia="方正仿宋_GB2312" w:cs="方正仿宋_GB2312"/>
          <w:sz w:val="32"/>
          <w:szCs w:val="40"/>
          <w:lang w:val="en-US" w:eastAsia="zh-CN"/>
        </w:rPr>
        <w:t>该项目主要围绕以下几点目标：1.</w:t>
      </w:r>
      <w:r>
        <w:rPr>
          <w:rFonts w:hint="eastAsia" w:ascii="方正仿宋_GB2312" w:hAnsi="方正仿宋_GB2312" w:eastAsia="方正仿宋_GB2312" w:cs="方正仿宋_GB2312"/>
          <w:sz w:val="32"/>
          <w:szCs w:val="40"/>
          <w:lang w:val="zh-CN"/>
        </w:rPr>
        <w:t>将全校校园文化建设破损的地方全部修复；2.新增部分校园文化建设；3.校门内侧拆除围网，打造部分文化景观、民族文化长廊、广场、教学楼建玉树学生之家。</w:t>
      </w:r>
    </w:p>
    <w:p>
      <w:p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宋体" w:eastAsia="仿宋_GB2312" w:cs="Times New Roman"/>
          <w:color w:val="auto"/>
          <w:sz w:val="32"/>
          <w:szCs w:val="32"/>
          <w:highlight w:val="none"/>
          <w:lang w:val="en-US" w:eastAsia="zh-CN"/>
        </w:rPr>
        <w:t>3.</w:t>
      </w:r>
      <w:r>
        <w:rPr>
          <w:rFonts w:hint="eastAsia" w:ascii="仿宋_GB2312" w:hAnsi="宋体" w:eastAsia="仿宋_GB2312" w:cs="Times New Roman"/>
          <w:color w:val="auto"/>
          <w:sz w:val="32"/>
          <w:szCs w:val="32"/>
          <w:highlight w:val="none"/>
          <w:lang w:val="zh-CN"/>
        </w:rPr>
        <w:t>项目资金与申报项目相符性。</w:t>
      </w:r>
      <w:r>
        <w:rPr>
          <w:rFonts w:hint="eastAsia" w:ascii="方正仿宋_GB2312" w:hAnsi="方正仿宋_GB2312" w:eastAsia="方正仿宋_GB2312" w:cs="方正仿宋_GB2312"/>
          <w:sz w:val="32"/>
          <w:szCs w:val="40"/>
          <w:lang w:val="zh-CN"/>
        </w:rPr>
        <w:t>在资金使用过程中，根据建设资金管理使用相关规定，严格根据施工进度向市财政申请拨付。申报时由施工企业根据完成进度提出申报计划，学校组织进行现场核实，对有超前申报的一律核减，形成拟申报金额提交学校党委会集体决策后再报市财政审核拨付。申报内容与具体实施内容相符、申报目标合理可行。</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（三）项目自评步骤及方法。</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zh-CN"/>
        </w:rPr>
        <w:t>项目绩效自评</w:t>
      </w:r>
      <w:r>
        <w:rPr>
          <w:rFonts w:hint="eastAsia" w:ascii="仿宋_GB2312" w:hAnsi="宋体" w:eastAsia="仿宋_GB2312" w:cs="Times New Roman"/>
          <w:color w:val="auto"/>
          <w:sz w:val="32"/>
          <w:szCs w:val="32"/>
          <w:highlight w:val="none"/>
          <w:lang w:val="en-US" w:eastAsia="zh-CN"/>
        </w:rPr>
        <w:t>由主管部门通知开展自评工作，先是单位自评，再由部门复评，逐步开展</w:t>
      </w:r>
      <w:r>
        <w:rPr>
          <w:rFonts w:hint="eastAsia" w:ascii="仿宋_GB2312" w:hAnsi="宋体" w:eastAsia="仿宋_GB2312" w:cs="Times New Roman"/>
          <w:color w:val="auto"/>
          <w:sz w:val="32"/>
          <w:szCs w:val="32"/>
          <w:highlight w:val="none"/>
          <w:lang w:val="zh-CN"/>
        </w:rPr>
        <w:t>组织实施</w:t>
      </w:r>
      <w:r>
        <w:rPr>
          <w:rFonts w:hint="eastAsia" w:ascii="仿宋_GB2312" w:hAnsi="宋体" w:eastAsia="仿宋_GB2312" w:cs="Times New Roman"/>
          <w:color w:val="auto"/>
          <w:sz w:val="32"/>
          <w:szCs w:val="32"/>
          <w:highlight w:val="none"/>
          <w:lang w:val="en-US" w:eastAsia="zh-CN"/>
        </w:rPr>
        <w:t>绩效自评</w:t>
      </w:r>
      <w:r>
        <w:rPr>
          <w:rFonts w:hint="eastAsia" w:ascii="仿宋_GB2312" w:hAnsi="宋体" w:eastAsia="仿宋_GB2312" w:cs="Times New Roman"/>
          <w:color w:val="auto"/>
          <w:sz w:val="32"/>
          <w:szCs w:val="32"/>
          <w:highlight w:val="none"/>
          <w:lang w:val="zh-CN"/>
        </w:rPr>
        <w:t>。</w:t>
      </w:r>
    </w:p>
    <w:p>
      <w:pPr>
        <w:adjustRightInd w:val="0"/>
        <w:snapToGrid w:val="0"/>
        <w:spacing w:line="600" w:lineRule="exact"/>
        <w:ind w:firstLine="640" w:firstLineChars="200"/>
        <w:rPr>
          <w:rFonts w:hint="eastAsia"/>
          <w:lang w:val="zh-CN"/>
        </w:rPr>
      </w:pPr>
      <w:r>
        <w:rPr>
          <w:rFonts w:hint="eastAsia" w:ascii="黑体" w:hAnsi="黑体" w:eastAsia="黑体" w:cs="黑体"/>
          <w:color w:val="000000"/>
          <w:sz w:val="32"/>
          <w:szCs w:val="32"/>
        </w:rPr>
        <w:t>二、项目的实施及管理情况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（一）项目资金申报及批复情况。</w:t>
      </w:r>
    </w:p>
    <w:p>
      <w:pPr>
        <w:adjustRightInd w:val="0"/>
        <w:snapToGrid w:val="0"/>
        <w:spacing w:line="576" w:lineRule="exact"/>
        <w:ind w:firstLine="720"/>
        <w:rPr>
          <w:rFonts w:hint="eastAsia" w:ascii="方正仿宋_GB2312" w:hAnsi="方正仿宋_GB2312" w:eastAsia="方正仿宋_GB2312" w:cs="方正仿宋_GB2312"/>
          <w:sz w:val="32"/>
          <w:szCs w:val="40"/>
        </w:rPr>
      </w:pPr>
      <w:r>
        <w:rPr>
          <w:rFonts w:hint="eastAsia" w:ascii="方正仿宋_GB2312" w:hAnsi="方正仿宋_GB2312" w:eastAsia="方正仿宋_GB2312" w:cs="方正仿宋_GB2312"/>
          <w:sz w:val="32"/>
          <w:szCs w:val="40"/>
          <w:lang w:val="zh-CN"/>
        </w:rPr>
        <w:t>2021年3月23日，学校发布该项目竞争性谈判公告，最高限价为38</w:t>
      </w:r>
      <w:r>
        <w:rPr>
          <w:rFonts w:hint="eastAsia" w:ascii="方正仿宋_GB2312" w:hAnsi="方正仿宋_GB2312" w:eastAsia="方正仿宋_GB2312" w:cs="方正仿宋_GB2312"/>
          <w:sz w:val="32"/>
          <w:szCs w:val="40"/>
        </w:rPr>
        <w:t>.</w:t>
      </w:r>
      <w:r>
        <w:rPr>
          <w:rFonts w:hint="eastAsia" w:ascii="方正仿宋_GB2312" w:hAnsi="方正仿宋_GB2312" w:eastAsia="方正仿宋_GB2312" w:cs="方正仿宋_GB2312"/>
          <w:sz w:val="32"/>
          <w:szCs w:val="40"/>
          <w:lang w:val="zh-CN"/>
        </w:rPr>
        <w:t>494573万元。2021年3月26日在学校举行竞争性谈判会议，经竞争性谈判，广元颢景建筑工程有限公司中标，2021年3月26日，学校出具中标通知书，中标金额37</w:t>
      </w:r>
      <w:r>
        <w:rPr>
          <w:rFonts w:hint="eastAsia" w:ascii="方正仿宋_GB2312" w:hAnsi="方正仿宋_GB2312" w:eastAsia="方正仿宋_GB2312" w:cs="方正仿宋_GB2312"/>
          <w:sz w:val="32"/>
          <w:szCs w:val="40"/>
        </w:rPr>
        <w:t>.</w:t>
      </w:r>
      <w:r>
        <w:rPr>
          <w:rFonts w:hint="eastAsia" w:ascii="方正仿宋_GB2312" w:hAnsi="方正仿宋_GB2312" w:eastAsia="方正仿宋_GB2312" w:cs="方正仿宋_GB2312"/>
          <w:sz w:val="32"/>
          <w:szCs w:val="40"/>
          <w:lang w:val="zh-CN"/>
        </w:rPr>
        <w:t>856865万元。根据合同约定及时拨付了工程进度款，</w:t>
      </w:r>
      <w:r>
        <w:rPr>
          <w:rFonts w:hint="eastAsia" w:ascii="方正仿宋_GB2312" w:hAnsi="方正仿宋_GB2312" w:eastAsia="方正仿宋_GB2312" w:cs="方正仿宋_GB2312"/>
          <w:sz w:val="32"/>
          <w:szCs w:val="40"/>
        </w:rPr>
        <w:t>无论是资金的下达还是使用均符合资金管理办法规定。</w:t>
      </w:r>
    </w:p>
    <w:p>
      <w:pPr>
        <w:numPr>
          <w:ilvl w:val="0"/>
          <w:numId w:val="0"/>
        </w:numPr>
        <w:adjustRightInd w:val="0"/>
        <w:snapToGrid w:val="0"/>
        <w:spacing w:line="600" w:lineRule="exact"/>
        <w:ind w:firstLine="643" w:firstLineChars="200"/>
        <w:rPr>
          <w:rFonts w:hint="eastAsia"/>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）资金计划、到位及使用情况。</w:t>
      </w:r>
    </w:p>
    <w:p>
      <w:pPr>
        <w:pStyle w:val="2"/>
        <w:ind w:firstLine="640" w:firstLineChars="200"/>
        <w:rPr>
          <w:rFonts w:hint="eastAsia" w:ascii="方正仿宋_GB2312" w:hAnsi="方正仿宋_GB2312" w:eastAsia="方正仿宋_GB2312" w:cs="方正仿宋_GB2312"/>
          <w:sz w:val="32"/>
          <w:szCs w:val="40"/>
          <w:lang w:val="zh-CN"/>
        </w:rPr>
      </w:pPr>
      <w:r>
        <w:rPr>
          <w:rFonts w:hint="eastAsia" w:ascii="仿宋_GB2312" w:hAnsi="仿宋_GB2312" w:eastAsia="仿宋_GB2312" w:cs="仿宋_GB2312"/>
          <w:color w:val="000000"/>
          <w:sz w:val="32"/>
          <w:szCs w:val="32"/>
        </w:rPr>
        <w:t>1.资金计划及到位。</w:t>
      </w:r>
      <w:r>
        <w:rPr>
          <w:rFonts w:hint="eastAsia" w:ascii="方正仿宋_GB2312" w:hAnsi="方正仿宋_GB2312" w:eastAsia="方正仿宋_GB2312" w:cs="方正仿宋_GB2312"/>
          <w:sz w:val="32"/>
          <w:szCs w:val="40"/>
          <w:lang w:val="zh-CN"/>
        </w:rPr>
        <w:t>该项目整体资金概算总投资38.5万元，资金来源及使用计划为四川省民族事业发展专项资金</w:t>
      </w:r>
      <w:r>
        <w:rPr>
          <w:rFonts w:hint="eastAsia" w:ascii="方正仿宋_GB2312" w:hAnsi="方正仿宋_GB2312" w:eastAsia="方正仿宋_GB2312" w:cs="方正仿宋_GB2312"/>
          <w:sz w:val="32"/>
          <w:szCs w:val="40"/>
        </w:rPr>
        <w:t>15万元，</w:t>
      </w:r>
      <w:r>
        <w:rPr>
          <w:rFonts w:hint="eastAsia" w:ascii="方正仿宋_GB2312" w:hAnsi="方正仿宋_GB2312" w:eastAsia="方正仿宋_GB2312" w:cs="方正仿宋_GB2312"/>
          <w:sz w:val="32"/>
          <w:szCs w:val="40"/>
          <w:lang w:val="zh-CN"/>
        </w:rPr>
        <w:t>四川省慈善总会捐赠</w:t>
      </w:r>
      <w:r>
        <w:rPr>
          <w:rFonts w:hint="eastAsia" w:ascii="方正仿宋_GB2312" w:hAnsi="方正仿宋_GB2312" w:eastAsia="方正仿宋_GB2312" w:cs="方正仿宋_GB2312"/>
          <w:sz w:val="32"/>
          <w:szCs w:val="40"/>
        </w:rPr>
        <w:t>23</w:t>
      </w:r>
      <w:r>
        <w:rPr>
          <w:rFonts w:hint="eastAsia" w:ascii="方正仿宋_GB2312" w:hAnsi="方正仿宋_GB2312" w:eastAsia="方正仿宋_GB2312" w:cs="方正仿宋_GB2312"/>
          <w:sz w:val="32"/>
          <w:szCs w:val="40"/>
          <w:lang w:val="zh-CN"/>
        </w:rPr>
        <w:t>万元（通过广元市教育基金会），不足部分学校自筹解决。所有资金均已按时到位并及时实现支付。</w:t>
      </w:r>
    </w:p>
    <w:p>
      <w:pPr>
        <w:pStyle w:val="2"/>
        <w:ind w:firstLine="640" w:firstLineChars="200"/>
        <w:rPr>
          <w:rFonts w:hint="eastAsia" w:ascii="方正仿宋_GB2312" w:hAnsi="方正仿宋_GB2312" w:eastAsia="方正仿宋_GB2312" w:cs="方正仿宋_GB2312"/>
          <w:sz w:val="32"/>
          <w:szCs w:val="40"/>
          <w:lang w:val="zh-CN"/>
        </w:rPr>
      </w:pPr>
      <w:r>
        <w:rPr>
          <w:rFonts w:hint="eastAsia" w:ascii="仿宋_GB2312" w:hAnsi="仿宋_GB2312" w:eastAsia="仿宋_GB2312" w:cs="仿宋_GB2312"/>
          <w:color w:val="000000"/>
          <w:sz w:val="32"/>
          <w:szCs w:val="32"/>
        </w:rPr>
        <w:t>2.资金使用。</w:t>
      </w:r>
      <w:r>
        <w:rPr>
          <w:rFonts w:hint="eastAsia" w:ascii="方正仿宋_GB2312" w:hAnsi="方正仿宋_GB2312" w:eastAsia="方正仿宋_GB2312" w:cs="方正仿宋_GB2312"/>
          <w:sz w:val="32"/>
          <w:szCs w:val="40"/>
          <w:lang w:val="zh-CN"/>
        </w:rPr>
        <w:t>该项目实际使用财政资金</w:t>
      </w:r>
      <w:r>
        <w:rPr>
          <w:rFonts w:hint="eastAsia" w:ascii="方正仿宋_GB2312" w:hAnsi="方正仿宋_GB2312" w:eastAsia="方正仿宋_GB2312" w:cs="方正仿宋_GB2312"/>
          <w:sz w:val="32"/>
          <w:szCs w:val="40"/>
        </w:rPr>
        <w:t>38.238306万元，包括待摊费用0.7万元和建安工程款37.538306万元。每笔资金的申报和使用均按相关文件要求和合同执行。申报进度、方式、范围、标准、程序以及审核和审批均合规合法，</w:t>
      </w:r>
      <w:r>
        <w:rPr>
          <w:rFonts w:hint="eastAsia" w:ascii="方正仿宋_GB2312" w:hAnsi="方正仿宋_GB2312" w:eastAsia="方正仿宋_GB2312" w:cs="方正仿宋_GB2312"/>
          <w:sz w:val="32"/>
          <w:szCs w:val="40"/>
          <w:lang w:val="zh-CN"/>
        </w:rPr>
        <w:t>资金支付与预算相符。</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w:t>
      </w:r>
      <w:r>
        <w:rPr>
          <w:rFonts w:hint="eastAsia" w:ascii="楷体_GB2312" w:hAnsi="楷体_GB2312" w:eastAsia="楷体_GB2312" w:cs="楷体_GB2312"/>
          <w:b/>
          <w:color w:val="000000"/>
          <w:sz w:val="32"/>
          <w:szCs w:val="32"/>
          <w:lang w:val="en-US" w:eastAsia="zh-CN"/>
        </w:rPr>
        <w:t>三</w:t>
      </w:r>
      <w:r>
        <w:rPr>
          <w:rFonts w:hint="eastAsia" w:ascii="楷体_GB2312" w:hAnsi="楷体_GB2312" w:eastAsia="楷体_GB2312" w:cs="楷体_GB2312"/>
          <w:b/>
          <w:color w:val="000000"/>
          <w:sz w:val="32"/>
          <w:szCs w:val="32"/>
        </w:rPr>
        <w:t>）项目财务管理情况</w:t>
      </w:r>
    </w:p>
    <w:p>
      <w:pPr>
        <w:adjustRightInd w:val="0"/>
        <w:snapToGrid w:val="0"/>
        <w:spacing w:line="576" w:lineRule="exact"/>
        <w:ind w:firstLine="720"/>
        <w:rPr>
          <w:rFonts w:hint="eastAsia" w:ascii="方正仿宋_GB2312" w:hAnsi="方正仿宋_GB2312" w:eastAsia="方正仿宋_GB2312" w:cs="方正仿宋_GB2312"/>
          <w:sz w:val="32"/>
          <w:szCs w:val="40"/>
          <w:lang w:val="zh-CN"/>
        </w:rPr>
      </w:pPr>
      <w:r>
        <w:rPr>
          <w:rStyle w:val="39"/>
          <w:rFonts w:hint="eastAsia" w:ascii="方正仿宋_GB2312" w:hAnsi="方正仿宋_GB2312" w:eastAsia="方正仿宋_GB2312" w:cs="方正仿宋_GB2312"/>
          <w:color w:val="000000"/>
          <w:sz w:val="32"/>
          <w:szCs w:val="40"/>
        </w:rPr>
        <w:t>本项目严格按照国家有关规定进行工程建设管理，并接受国家、四川省、地方有关部门的监督、审计、稽查。做到专款专用，专项管理，建立资金使用审批制度，设立规范的基本建设财务账簿，编制用款计划和定期上报工程进展情况统计表。按项目进度拨付，严格财务制度，定期对资金的拨付、到位、使用情况进行检查。</w:t>
      </w:r>
      <w:r>
        <w:rPr>
          <w:rFonts w:hint="eastAsia" w:ascii="方正仿宋_GB2312" w:hAnsi="方正仿宋_GB2312" w:eastAsia="方正仿宋_GB2312" w:cs="方正仿宋_GB2312"/>
          <w:sz w:val="32"/>
          <w:szCs w:val="40"/>
          <w:lang w:val="zh-CN"/>
        </w:rPr>
        <w:t>学校项目财务管理制度规范，在支付过程中严格按财务管理制度执行。该项目资金的支出做到了准确、及时，会计核算准确规范。没有挪用、截留、挤占现象。</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left="640" w:leftChars="0"/>
        <w:textAlignment w:val="auto"/>
        <w:rPr>
          <w:rFonts w:hint="eastAsia" w:ascii="黑体" w:hAnsi="宋体" w:eastAsia="黑体" w:cs="Times New Roman"/>
          <w:color w:val="auto"/>
          <w:sz w:val="32"/>
          <w:szCs w:val="32"/>
          <w:highlight w:val="none"/>
        </w:rPr>
      </w:pPr>
      <w:r>
        <w:rPr>
          <w:rFonts w:hint="eastAsia" w:ascii="黑体" w:hAnsi="宋体" w:eastAsia="黑体" w:cs="Times New Roman"/>
          <w:color w:val="auto"/>
          <w:sz w:val="32"/>
          <w:szCs w:val="32"/>
          <w:highlight w:val="none"/>
          <w:lang w:val="en-US" w:eastAsia="zh-CN"/>
        </w:rPr>
        <w:t>三、</w:t>
      </w:r>
      <w:r>
        <w:rPr>
          <w:rFonts w:hint="eastAsia" w:ascii="黑体" w:hAnsi="宋体" w:eastAsia="黑体" w:cs="Times New Roman"/>
          <w:color w:val="auto"/>
          <w:sz w:val="32"/>
          <w:szCs w:val="32"/>
          <w:highlight w:val="none"/>
        </w:rPr>
        <w:t>项目实施及管理情况</w:t>
      </w:r>
    </w:p>
    <w:p>
      <w:pPr>
        <w:keepNext w:val="0"/>
        <w:keepLines w:val="0"/>
        <w:pageBreakBefore w:val="0"/>
        <w:numPr>
          <w:ilvl w:val="0"/>
          <w:numId w:val="25"/>
        </w:numPr>
        <w:kinsoku/>
        <w:wordWrap/>
        <w:overflowPunct/>
        <w:topLinePunct w:val="0"/>
        <w:autoSpaceDE/>
        <w:autoSpaceDN/>
        <w:bidi w:val="0"/>
        <w:adjustRightInd w:val="0"/>
        <w:snapToGrid w:val="0"/>
        <w:spacing w:line="600" w:lineRule="exact"/>
        <w:ind w:firstLine="720"/>
        <w:textAlignment w:val="auto"/>
        <w:rPr>
          <w:rFonts w:hint="eastAsia"/>
        </w:rPr>
      </w:pPr>
      <w:r>
        <w:rPr>
          <w:rFonts w:hint="eastAsia" w:ascii="楷体_GB2312" w:hAnsi="宋体" w:eastAsia="楷体_GB2312" w:cs="Times New Roman"/>
          <w:b/>
          <w:color w:val="auto"/>
          <w:sz w:val="32"/>
          <w:szCs w:val="32"/>
          <w:highlight w:val="none"/>
          <w:lang w:val="zh-CN"/>
        </w:rPr>
        <w:t>项目组织架构及实施流程。</w:t>
      </w:r>
    </w:p>
    <w:p>
      <w:pPr>
        <w:adjustRightInd w:val="0"/>
        <w:snapToGrid w:val="0"/>
        <w:spacing w:line="576" w:lineRule="exact"/>
        <w:ind w:firstLine="720"/>
        <w:rPr>
          <w:rFonts w:hint="eastAsia" w:ascii="方正仿宋_GB2312" w:hAnsi="方正仿宋_GB2312" w:eastAsia="方正仿宋_GB2312" w:cs="方正仿宋_GB2312"/>
          <w:sz w:val="32"/>
          <w:szCs w:val="40"/>
          <w:lang w:val="zh-CN"/>
        </w:rPr>
      </w:pPr>
      <w:r>
        <w:rPr>
          <w:rFonts w:hint="eastAsia" w:ascii="方正仿宋_GB2312" w:hAnsi="方正仿宋_GB2312" w:eastAsia="方正仿宋_GB2312" w:cs="方正仿宋_GB2312"/>
          <w:sz w:val="32"/>
          <w:szCs w:val="40"/>
          <w:lang w:val="zh-CN"/>
        </w:rPr>
        <w:t>学校成立有项目管理及推进工作小组。工作小组根据学校发展需求编制项目实施方案，该项目实施方案经学校党委会集体研究通过后组织实施。项目竣工后组织各管理部门参加竣工验收，对提出的问题限时要求施工企业进行了整改。该项目的整个组织实施过程符合相关法律法规，无违规现象。</w:t>
      </w:r>
    </w:p>
    <w:p>
      <w:pPr>
        <w:pStyle w:val="33"/>
        <w:numPr>
          <w:ilvl w:val="0"/>
          <w:numId w:val="25"/>
        </w:numPr>
        <w:ind w:left="0" w:leftChars="0" w:firstLine="720" w:firstLineChars="0"/>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项目</w:t>
      </w:r>
      <w:r>
        <w:rPr>
          <w:rFonts w:hint="eastAsia" w:ascii="楷体_GB2312" w:hAnsi="宋体" w:eastAsia="楷体_GB2312" w:cs="Times New Roman"/>
          <w:b/>
          <w:color w:val="auto"/>
          <w:sz w:val="32"/>
          <w:szCs w:val="32"/>
          <w:highlight w:val="none"/>
          <w:lang w:val="en-US" w:eastAsia="zh-CN"/>
        </w:rPr>
        <w:t>管理</w:t>
      </w:r>
      <w:r>
        <w:rPr>
          <w:rFonts w:hint="eastAsia" w:ascii="楷体_GB2312" w:hAnsi="宋体" w:eastAsia="楷体_GB2312" w:cs="Times New Roman"/>
          <w:b/>
          <w:color w:val="auto"/>
          <w:sz w:val="32"/>
          <w:szCs w:val="32"/>
          <w:highlight w:val="none"/>
          <w:lang w:val="zh-CN"/>
        </w:rPr>
        <w:t>情况。</w:t>
      </w:r>
    </w:p>
    <w:p>
      <w:pPr>
        <w:pStyle w:val="33"/>
        <w:numPr>
          <w:ilvl w:val="0"/>
          <w:numId w:val="0"/>
        </w:numPr>
        <w:ind w:firstLine="640" w:firstLineChars="200"/>
        <w:rPr>
          <w:rFonts w:hint="eastAsia" w:ascii="仿宋_GB2312" w:hAnsi="宋体" w:eastAsia="仿宋_GB2312" w:cs="Times New Roman"/>
          <w:color w:val="auto"/>
          <w:sz w:val="32"/>
          <w:szCs w:val="32"/>
          <w:highlight w:val="none"/>
          <w:lang w:val="zh-CN" w:eastAsia="zh-CN"/>
        </w:rPr>
      </w:pPr>
      <w:r>
        <w:rPr>
          <w:rFonts w:hint="eastAsia" w:ascii="仿宋_GB2312" w:hAnsi="宋体" w:eastAsia="仿宋_GB2312" w:cs="Times New Roman"/>
          <w:color w:val="auto"/>
          <w:sz w:val="32"/>
          <w:szCs w:val="32"/>
          <w:highlight w:val="none"/>
          <w:lang w:val="zh-CN" w:eastAsia="zh-CN"/>
        </w:rPr>
        <w:t>项目实施</w:t>
      </w:r>
      <w:r>
        <w:rPr>
          <w:rFonts w:hint="eastAsia" w:ascii="仿宋_GB2312" w:hAnsi="宋体" w:eastAsia="仿宋_GB2312" w:cs="Times New Roman"/>
          <w:color w:val="auto"/>
          <w:sz w:val="32"/>
          <w:szCs w:val="32"/>
          <w:highlight w:val="none"/>
          <w:lang w:val="en-US" w:eastAsia="zh-CN"/>
        </w:rPr>
        <w:t>过程中，严格按照</w:t>
      </w:r>
      <w:r>
        <w:rPr>
          <w:rFonts w:hint="eastAsia" w:ascii="仿宋_GB2312" w:hAnsi="宋体" w:eastAsia="仿宋_GB2312" w:cs="Times New Roman"/>
          <w:color w:val="auto"/>
          <w:sz w:val="32"/>
          <w:szCs w:val="32"/>
          <w:highlight w:val="none"/>
          <w:lang w:val="zh-CN" w:eastAsia="zh-CN"/>
        </w:rPr>
        <w:t>相关法律法规及项目管理制度等</w:t>
      </w:r>
      <w:r>
        <w:rPr>
          <w:rFonts w:hint="eastAsia" w:ascii="仿宋_GB2312" w:hAnsi="宋体" w:eastAsia="仿宋_GB2312" w:cs="Times New Roman"/>
          <w:color w:val="auto"/>
          <w:sz w:val="32"/>
          <w:szCs w:val="32"/>
          <w:highlight w:val="none"/>
          <w:lang w:val="en-US" w:eastAsia="zh-CN"/>
        </w:rPr>
        <w:t>相关规定</w:t>
      </w:r>
      <w:r>
        <w:rPr>
          <w:rFonts w:hint="eastAsia" w:ascii="仿宋_GB2312" w:hAnsi="宋体" w:eastAsia="仿宋_GB2312" w:cs="Times New Roman"/>
          <w:color w:val="auto"/>
          <w:sz w:val="32"/>
          <w:szCs w:val="32"/>
          <w:highlight w:val="none"/>
          <w:lang w:val="zh-CN" w:eastAsia="zh-CN"/>
        </w:rPr>
        <w:t>执行。</w:t>
      </w:r>
    </w:p>
    <w:p>
      <w:pPr>
        <w:pStyle w:val="33"/>
        <w:numPr>
          <w:ilvl w:val="0"/>
          <w:numId w:val="25"/>
        </w:numPr>
        <w:ind w:left="0" w:leftChars="0" w:firstLine="720" w:firstLineChars="0"/>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项目监管情况。</w:t>
      </w:r>
    </w:p>
    <w:p>
      <w:pPr>
        <w:pStyle w:val="33"/>
        <w:numPr>
          <w:ilvl w:val="0"/>
          <w:numId w:val="0"/>
        </w:numPr>
        <w:ind w:firstLine="640" w:firstLineChars="200"/>
        <w:rPr>
          <w:rFonts w:hint="eastAsia" w:ascii="仿宋_GB2312" w:hAnsi="宋体" w:eastAsia="仿宋_GB2312" w:cs="Times New Roman"/>
          <w:color w:val="auto"/>
          <w:sz w:val="32"/>
          <w:szCs w:val="32"/>
          <w:highlight w:val="none"/>
          <w:lang w:val="en-US" w:eastAsia="zh-CN"/>
        </w:rPr>
      </w:pPr>
      <w:r>
        <w:rPr>
          <w:rFonts w:hint="eastAsia" w:ascii="仿宋_GB2312" w:hAnsi="宋体" w:eastAsia="仿宋_GB2312" w:cs="Times New Roman"/>
          <w:color w:val="auto"/>
          <w:sz w:val="32"/>
          <w:szCs w:val="32"/>
          <w:highlight w:val="none"/>
          <w:lang w:val="en-US" w:eastAsia="zh-CN"/>
        </w:rPr>
        <w:t>市教育局</w:t>
      </w:r>
      <w:r>
        <w:rPr>
          <w:rFonts w:hint="eastAsia" w:ascii="仿宋_GB2312" w:hAnsi="宋体" w:eastAsia="仿宋_GB2312" w:cs="Times New Roman"/>
          <w:color w:val="auto"/>
          <w:sz w:val="32"/>
          <w:szCs w:val="32"/>
          <w:highlight w:val="none"/>
          <w:lang w:val="zh-CN"/>
        </w:rPr>
        <w:t>加强</w:t>
      </w:r>
      <w:r>
        <w:rPr>
          <w:rFonts w:hint="eastAsia" w:ascii="仿宋_GB2312" w:hAnsi="宋体" w:eastAsia="仿宋_GB2312" w:cs="Times New Roman"/>
          <w:color w:val="auto"/>
          <w:sz w:val="32"/>
          <w:szCs w:val="32"/>
          <w:highlight w:val="none"/>
          <w:lang w:val="en-US" w:eastAsia="zh-CN"/>
        </w:rPr>
        <w:t>该</w:t>
      </w:r>
      <w:r>
        <w:rPr>
          <w:rFonts w:hint="eastAsia" w:ascii="仿宋_GB2312" w:hAnsi="宋体" w:eastAsia="仿宋_GB2312" w:cs="Times New Roman"/>
          <w:color w:val="auto"/>
          <w:sz w:val="32"/>
          <w:szCs w:val="32"/>
          <w:highlight w:val="none"/>
          <w:lang w:val="zh-CN"/>
        </w:rPr>
        <w:t>项目</w:t>
      </w:r>
      <w:r>
        <w:rPr>
          <w:rFonts w:hint="eastAsia" w:ascii="仿宋_GB2312" w:hAnsi="宋体" w:eastAsia="仿宋_GB2312" w:cs="Times New Roman"/>
          <w:color w:val="auto"/>
          <w:sz w:val="32"/>
          <w:szCs w:val="32"/>
          <w:highlight w:val="none"/>
          <w:lang w:val="en-US" w:eastAsia="zh-CN"/>
        </w:rPr>
        <w:t>实施</w:t>
      </w:r>
      <w:r>
        <w:rPr>
          <w:rFonts w:hint="eastAsia" w:ascii="仿宋_GB2312" w:hAnsi="宋体" w:eastAsia="仿宋_GB2312" w:cs="Times New Roman"/>
          <w:color w:val="auto"/>
          <w:sz w:val="32"/>
          <w:szCs w:val="32"/>
          <w:highlight w:val="none"/>
          <w:lang w:val="zh-CN"/>
        </w:rPr>
        <w:t>管理，</w:t>
      </w:r>
      <w:r>
        <w:rPr>
          <w:rFonts w:hint="eastAsia" w:ascii="仿宋_GB2312" w:hAnsi="宋体" w:eastAsia="仿宋_GB2312" w:cs="Times New Roman"/>
          <w:color w:val="auto"/>
          <w:sz w:val="32"/>
          <w:szCs w:val="32"/>
          <w:highlight w:val="none"/>
          <w:lang w:val="en-US" w:eastAsia="zh-CN"/>
        </w:rPr>
        <w:t>一是重视项目前期审定工作；二是项目执行中资金的使用监督，保障玉树学生之家和民族团结广场项目工作正常开展。该项目在2021年完成实施，保障了我市玉树学生学习生活的良好环境，该项目取得了良好的成效。</w:t>
      </w:r>
    </w:p>
    <w:p>
      <w:pPr>
        <w:numPr>
          <w:ilvl w:val="0"/>
          <w:numId w:val="10"/>
        </w:numPr>
        <w:adjustRightInd w:val="0"/>
        <w:snapToGrid w:val="0"/>
        <w:spacing w:line="600" w:lineRule="exact"/>
        <w:ind w:left="1360" w:leftChars="0" w:hanging="720" w:firstLineChars="0"/>
        <w:rPr>
          <w:rFonts w:hint="eastAsia" w:ascii="黑体" w:hAnsi="黑体" w:eastAsia="黑体" w:cs="黑体"/>
          <w:color w:val="000000"/>
          <w:sz w:val="32"/>
          <w:szCs w:val="32"/>
        </w:rPr>
      </w:pPr>
      <w:r>
        <w:rPr>
          <w:rFonts w:hint="eastAsia" w:ascii="黑体" w:hAnsi="黑体" w:eastAsia="黑体" w:cs="黑体"/>
          <w:color w:val="000000"/>
          <w:sz w:val="32"/>
          <w:szCs w:val="32"/>
        </w:rPr>
        <w:t>项目绩效情况</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（一）项目完成情况</w:t>
      </w:r>
    </w:p>
    <w:p>
      <w:pPr>
        <w:snapToGrid w:val="0"/>
        <w:spacing w:line="604" w:lineRule="exact"/>
        <w:ind w:firstLine="640" w:firstLineChars="200"/>
        <w:rPr>
          <w:rFonts w:hint="eastAsia" w:ascii="方正仿宋_GB2312" w:hAnsi="方正仿宋_GB2312" w:eastAsia="方正仿宋_GB2312" w:cs="方正仿宋_GB2312"/>
          <w:kern w:val="2"/>
          <w:sz w:val="32"/>
          <w:szCs w:val="40"/>
          <w:lang w:val="zh-CN"/>
        </w:rPr>
      </w:pPr>
      <w:r>
        <w:rPr>
          <w:rFonts w:hint="eastAsia" w:ascii="方正仿宋_GB2312" w:hAnsi="方正仿宋_GB2312" w:eastAsia="方正仿宋_GB2312" w:cs="方正仿宋_GB2312"/>
          <w:kern w:val="2"/>
          <w:sz w:val="32"/>
          <w:szCs w:val="40"/>
          <w:lang w:val="zh-CN"/>
        </w:rPr>
        <w:t>2021年3月27日，学校与广元颢景建筑工程有限公司签订了施工合同。工程地点：广元市树人中学校内；工程内容：“玉树学生之家和民族团结广场”建设；工程期限：合同工期总日历天数43天，开工日期：2021年3月27日，竣工日期：2021年5月10日；质量保准：建设质量确保优良；合同价款为37</w:t>
      </w:r>
      <w:r>
        <w:rPr>
          <w:rFonts w:hint="eastAsia" w:ascii="方正仿宋_GB2312" w:hAnsi="方正仿宋_GB2312" w:eastAsia="方正仿宋_GB2312" w:cs="方正仿宋_GB2312"/>
          <w:kern w:val="2"/>
          <w:sz w:val="32"/>
          <w:szCs w:val="40"/>
        </w:rPr>
        <w:t>.</w:t>
      </w:r>
      <w:r>
        <w:rPr>
          <w:rFonts w:hint="eastAsia" w:ascii="方正仿宋_GB2312" w:hAnsi="方正仿宋_GB2312" w:eastAsia="方正仿宋_GB2312" w:cs="方正仿宋_GB2312"/>
          <w:kern w:val="2"/>
          <w:sz w:val="32"/>
          <w:szCs w:val="40"/>
          <w:lang w:val="zh-CN"/>
        </w:rPr>
        <w:t>856865万元。该项目开工时间为2021年3月27日，完工时间为2021年5月10日，工期43日历天。2021年5月10日，对该项目进行了竣工验收，验收为合格。</w:t>
      </w:r>
      <w:r>
        <w:rPr>
          <w:rStyle w:val="39"/>
          <w:rFonts w:hint="eastAsia" w:ascii="方正仿宋_GB2312" w:hAnsi="方正仿宋_GB2312" w:eastAsia="方正仿宋_GB2312" w:cs="方正仿宋_GB2312"/>
          <w:color w:val="000000"/>
          <w:sz w:val="32"/>
          <w:szCs w:val="40"/>
        </w:rPr>
        <w:t>教学楼二楼和三楼既有场地100平方米，建成了玉树学生之家，满足展陈、休闲、体验学习交流的需求；学校校门口有一块800平方米的空地建设民族了团结广场，不但是学校的一处景观，更是一块教育基地。</w:t>
      </w:r>
      <w:r>
        <w:rPr>
          <w:rFonts w:hint="eastAsia" w:ascii="方正仿宋_GB2312" w:hAnsi="方正仿宋_GB2312" w:eastAsia="方正仿宋_GB2312" w:cs="方正仿宋_GB2312"/>
          <w:sz w:val="32"/>
          <w:szCs w:val="40"/>
        </w:rPr>
        <w:t>因在项目规划和实施过程中坚持够用、实用、杜绝超规格标准的原则，最终投资将不会超出预期目标。</w:t>
      </w:r>
    </w:p>
    <w:p>
      <w:pPr>
        <w:numPr>
          <w:ilvl w:val="0"/>
          <w:numId w:val="0"/>
        </w:num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lang w:eastAsia="zh-CN"/>
        </w:rPr>
        <w:t>（</w:t>
      </w:r>
      <w:r>
        <w:rPr>
          <w:rFonts w:hint="eastAsia" w:ascii="楷体_GB2312" w:hAnsi="楷体_GB2312" w:eastAsia="楷体_GB2312" w:cs="楷体_GB2312"/>
          <w:b/>
          <w:color w:val="000000"/>
          <w:sz w:val="32"/>
          <w:szCs w:val="32"/>
          <w:lang w:val="en-US" w:eastAsia="zh-CN"/>
        </w:rPr>
        <w:t>二</w:t>
      </w:r>
      <w:r>
        <w:rPr>
          <w:rFonts w:hint="eastAsia" w:ascii="楷体_GB2312" w:hAnsi="楷体_GB2312" w:eastAsia="楷体_GB2312" w:cs="楷体_GB2312"/>
          <w:b/>
          <w:color w:val="000000"/>
          <w:sz w:val="32"/>
          <w:szCs w:val="32"/>
          <w:lang w:eastAsia="zh-CN"/>
        </w:rPr>
        <w:t>）</w:t>
      </w:r>
      <w:r>
        <w:rPr>
          <w:rFonts w:hint="eastAsia" w:ascii="楷体_GB2312" w:hAnsi="楷体_GB2312" w:eastAsia="楷体_GB2312" w:cs="楷体_GB2312"/>
          <w:b/>
          <w:color w:val="000000"/>
          <w:sz w:val="32"/>
          <w:szCs w:val="32"/>
        </w:rPr>
        <w:t>项目效益情况</w:t>
      </w:r>
    </w:p>
    <w:p>
      <w:pPr>
        <w:snapToGrid w:val="0"/>
        <w:spacing w:line="604" w:lineRule="exact"/>
        <w:ind w:firstLine="640" w:firstLineChars="200"/>
        <w:rPr>
          <w:rFonts w:hint="eastAsia" w:ascii="方正仿宋_GB2312" w:hAnsi="方正仿宋_GB2312" w:eastAsia="方正仿宋_GB2312" w:cs="方正仿宋_GB2312"/>
          <w:sz w:val="32"/>
          <w:szCs w:val="40"/>
        </w:rPr>
      </w:pPr>
      <w:r>
        <w:rPr>
          <w:rFonts w:hint="eastAsia" w:ascii="方正仿宋_GB2312" w:hAnsi="方正仿宋_GB2312" w:eastAsia="方正仿宋_GB2312" w:cs="方正仿宋_GB2312"/>
          <w:sz w:val="32"/>
          <w:szCs w:val="40"/>
          <w:lang w:val="en-US" w:eastAsia="zh-CN"/>
        </w:rPr>
        <w:t>该项目中</w:t>
      </w:r>
      <w:r>
        <w:rPr>
          <w:rStyle w:val="39"/>
          <w:rFonts w:hint="eastAsia" w:ascii="方正仿宋_GB2312" w:hAnsi="方正仿宋_GB2312" w:eastAsia="方正仿宋_GB2312" w:cs="方正仿宋_GB2312"/>
          <w:color w:val="000000"/>
          <w:sz w:val="32"/>
          <w:szCs w:val="40"/>
        </w:rPr>
        <w:t>民族学生之家和民族团结广场是集中宣传党的民族政策、普及民族知识、弘扬中华民族传统优秀文化、促进民族团结进步、展示地方特色文化良好形象的鲜活窗口。</w:t>
      </w:r>
      <w:r>
        <w:rPr>
          <w:rStyle w:val="39"/>
          <w:rFonts w:hint="eastAsia" w:ascii="方正仿宋_GB2312" w:hAnsi="方正仿宋_GB2312" w:eastAsia="方正仿宋_GB2312" w:cs="方正仿宋_GB2312"/>
          <w:color w:val="000000"/>
          <w:sz w:val="32"/>
          <w:szCs w:val="40"/>
          <w:lang w:val="en-US" w:eastAsia="zh-CN"/>
        </w:rPr>
        <w:t>该</w:t>
      </w:r>
      <w:r>
        <w:rPr>
          <w:rStyle w:val="39"/>
          <w:rFonts w:hint="eastAsia" w:ascii="方正仿宋_GB2312" w:hAnsi="方正仿宋_GB2312" w:eastAsia="方正仿宋_GB2312" w:cs="方正仿宋_GB2312"/>
          <w:color w:val="000000"/>
          <w:sz w:val="32"/>
          <w:szCs w:val="40"/>
        </w:rPr>
        <w:t>项目建设进一步加深民族之间的感情，丰富在校民族学生业余文化生活，共同学习、交流经验，学到知识的同时，促进不同民族学生间交往交流，增进各民族之间的感情。</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cs="Times New Roman"/>
          <w:color w:val="auto"/>
          <w:sz w:val="32"/>
          <w:szCs w:val="32"/>
          <w:highlight w:val="none"/>
        </w:rPr>
      </w:pPr>
      <w:r>
        <w:rPr>
          <w:rFonts w:hint="eastAsia" w:ascii="黑体" w:hAnsi="宋体" w:eastAsia="黑体" w:cs="Times New Roman"/>
          <w:color w:val="auto"/>
          <w:sz w:val="32"/>
          <w:szCs w:val="32"/>
          <w:highlight w:val="none"/>
        </w:rPr>
        <w:t>五、评价结论及建议</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（一）评价结论。</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lang w:val="zh-CN"/>
        </w:rPr>
      </w:pPr>
      <w:r>
        <w:rPr>
          <w:rFonts w:hint="eastAsia" w:ascii="方正仿宋_GB2312" w:hAnsi="方正仿宋_GB2312" w:eastAsia="方正仿宋_GB2312" w:cs="方正仿宋_GB2312"/>
          <w:kern w:val="2"/>
          <w:sz w:val="32"/>
          <w:szCs w:val="40"/>
          <w:lang w:val="en-US" w:eastAsia="zh-CN"/>
        </w:rPr>
        <w:t>该项目</w:t>
      </w:r>
      <w:r>
        <w:rPr>
          <w:rFonts w:hint="eastAsia" w:ascii="方正仿宋_GB2312" w:hAnsi="方正仿宋_GB2312" w:eastAsia="方正仿宋_GB2312" w:cs="方正仿宋_GB2312"/>
          <w:kern w:val="2"/>
          <w:sz w:val="32"/>
          <w:szCs w:val="40"/>
        </w:rPr>
        <w:t>已建成并投入使用，各项指标均符合国家标准和预期计划，有效解决了民族团结进步教育和铸牢中华民族共同体意识教育基地的问题，</w:t>
      </w:r>
      <w:r>
        <w:rPr>
          <w:rFonts w:hint="eastAsia" w:ascii="方正仿宋_GB2312" w:hAnsi="方正仿宋_GB2312" w:eastAsia="方正仿宋_GB2312" w:cs="方正仿宋_GB2312"/>
          <w:kern w:val="2"/>
          <w:sz w:val="32"/>
          <w:szCs w:val="40"/>
          <w:lang w:val="en-US" w:eastAsia="zh-CN"/>
        </w:rPr>
        <w:t>学校教职工满意度高，并</w:t>
      </w:r>
      <w:r>
        <w:rPr>
          <w:rFonts w:hint="eastAsia" w:ascii="方正仿宋_GB2312" w:hAnsi="方正仿宋_GB2312" w:eastAsia="方正仿宋_GB2312" w:cs="方正仿宋_GB2312"/>
          <w:sz w:val="32"/>
          <w:szCs w:val="40"/>
        </w:rPr>
        <w:t>产生了很好的社会效益</w:t>
      </w:r>
      <w:r>
        <w:rPr>
          <w:rFonts w:hint="eastAsia" w:ascii="仿宋_GB2312" w:hAnsi="宋体" w:eastAsia="仿宋_GB2312" w:cs="Times New Roman"/>
          <w:color w:val="auto"/>
          <w:sz w:val="32"/>
          <w:szCs w:val="32"/>
          <w:highlight w:val="none"/>
          <w:lang w:val="zh-CN"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）存在的问题。</w:t>
      </w:r>
    </w:p>
    <w:p>
      <w:pPr>
        <w:adjustRightInd w:val="0"/>
        <w:snapToGrid w:val="0"/>
        <w:spacing w:line="576" w:lineRule="exact"/>
        <w:ind w:firstLine="640" w:firstLineChars="200"/>
        <w:rPr>
          <w:rFonts w:hint="eastAsia" w:ascii="方正仿宋_GB2312" w:hAnsi="方正仿宋_GB2312" w:eastAsia="方正仿宋_GB2312" w:cs="方正仿宋_GB2312"/>
          <w:sz w:val="32"/>
          <w:szCs w:val="40"/>
        </w:rPr>
      </w:pPr>
      <w:r>
        <w:rPr>
          <w:rFonts w:hint="eastAsia" w:ascii="方正仿宋_GB2312" w:hAnsi="方正仿宋_GB2312" w:eastAsia="方正仿宋_GB2312" w:cs="方正仿宋_GB2312"/>
          <w:sz w:val="32"/>
          <w:szCs w:val="40"/>
        </w:rPr>
        <w:t>学校主要从事教育教学工作，对建设领域的要求还不熟悉，导致工作中走了不少弯路。</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（三）相关建议。</w:t>
      </w:r>
    </w:p>
    <w:p>
      <w:pPr>
        <w:adjustRightInd w:val="0"/>
        <w:snapToGrid w:val="0"/>
        <w:spacing w:line="576" w:lineRule="exact"/>
        <w:ind w:firstLine="720"/>
        <w:rPr>
          <w:rFonts w:hint="eastAsia" w:ascii="方正仿宋_GB2312" w:hAnsi="方正仿宋_GB2312" w:eastAsia="方正仿宋_GB2312" w:cs="方正仿宋_GB2312"/>
          <w:sz w:val="32"/>
          <w:szCs w:val="40"/>
          <w:lang w:val="zh-CN"/>
        </w:rPr>
      </w:pPr>
      <w:r>
        <w:rPr>
          <w:rFonts w:hint="eastAsia" w:ascii="方正仿宋_GB2312" w:hAnsi="方正仿宋_GB2312" w:eastAsia="方正仿宋_GB2312" w:cs="方正仿宋_GB2312"/>
          <w:sz w:val="32"/>
          <w:szCs w:val="40"/>
          <w:lang w:val="zh-CN"/>
        </w:rPr>
        <w:t>建议非建设系统领域行政事业单位的较大的建设项目由建设局代建，这样建设可能会更加规范，效率会更高。</w:t>
      </w:r>
    </w:p>
    <w:p>
      <w:pPr>
        <w:pStyle w:val="6"/>
        <w:rPr>
          <w:rFonts w:hint="eastAsia"/>
          <w:lang w:val="zh-CN"/>
        </w:rPr>
      </w:pPr>
    </w:p>
    <w:p>
      <w:pPr>
        <w:rPr>
          <w:rFonts w:hint="eastAsia"/>
          <w:lang w:val="zh-CN"/>
        </w:rPr>
      </w:pPr>
    </w:p>
    <w:p>
      <w:pPr>
        <w:pStyle w:val="2"/>
        <w:rPr>
          <w:rFonts w:hint="eastAsia"/>
          <w:lang w:val="zh-CN"/>
        </w:rPr>
      </w:pPr>
    </w:p>
    <w:p>
      <w:pPr>
        <w:pStyle w:val="2"/>
        <w:rPr>
          <w:rFonts w:hint="eastAsia"/>
          <w:lang w:val="zh-CN"/>
        </w:rPr>
      </w:pPr>
    </w:p>
    <w:p>
      <w:pPr>
        <w:pStyle w:val="6"/>
        <w:rPr>
          <w:rFonts w:hint="eastAsia" w:ascii="方正仿宋_GB2312" w:hAnsi="方正仿宋_GB2312" w:eastAsia="方正仿宋_GB2312" w:cs="方正仿宋_GB2312"/>
          <w:sz w:val="32"/>
          <w:szCs w:val="40"/>
          <w:lang w:val="en-US" w:eastAsia="zh-CN"/>
        </w:rPr>
      </w:pPr>
      <w:r>
        <w:rPr>
          <w:rFonts w:hint="eastAsia" w:ascii="方正仿宋_GB2312" w:hAnsi="方正仿宋_GB2312" w:eastAsia="方正仿宋_GB2312" w:cs="方正仿宋_GB2312"/>
          <w:sz w:val="32"/>
          <w:szCs w:val="40"/>
          <w:lang w:val="en-US" w:eastAsia="zh-CN"/>
        </w:rPr>
        <w:t>附表</w:t>
      </w:r>
    </w:p>
    <w:p>
      <w:pPr>
        <w:pStyle w:val="2"/>
        <w:jc w:val="center"/>
        <w:rPr>
          <w:rFonts w:hint="eastAsia"/>
          <w:lang w:val="en-US" w:eastAsia="zh-CN"/>
        </w:rPr>
      </w:pPr>
      <w:r>
        <w:rPr>
          <w:rFonts w:hint="eastAsia" w:ascii="宋体" w:hAnsi="宋体" w:eastAsia="宋体" w:cs="宋体"/>
          <w:b/>
          <w:i w:val="0"/>
          <w:color w:val="auto"/>
          <w:sz w:val="32"/>
          <w:szCs w:val="32"/>
          <w:highlight w:val="none"/>
          <w:u w:val="none"/>
          <w:lang w:val="en-US" w:eastAsia="zh-CN"/>
        </w:rPr>
        <w:t>2021年部门预算项目绩效目标自评</w:t>
      </w:r>
    </w:p>
    <w:tbl>
      <w:tblPr>
        <w:tblStyle w:val="15"/>
        <w:tblpPr w:leftFromText="180" w:rightFromText="180" w:vertAnchor="text" w:horzAnchor="page" w:tblpX="1427" w:tblpY="542"/>
        <w:tblOverlap w:val="never"/>
        <w:tblW w:w="99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5"/>
        <w:gridCol w:w="879"/>
        <w:gridCol w:w="1169"/>
        <w:gridCol w:w="1109"/>
        <w:gridCol w:w="2504"/>
        <w:gridCol w:w="2611"/>
        <w:gridCol w:w="8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4" w:hRule="atLeast"/>
        </w:trPr>
        <w:tc>
          <w:tcPr>
            <w:tcW w:w="27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711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广元市树人中学铸牢中华民族共同体意识民族团结进步教育基地提质增效项目（玉树学生之家和民族团结广场）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7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主管单位</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广元市教育局</w:t>
            </w:r>
          </w:p>
        </w:tc>
        <w:tc>
          <w:tcPr>
            <w:tcW w:w="2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实施单位</w:t>
            </w:r>
          </w:p>
        </w:tc>
        <w:tc>
          <w:tcPr>
            <w:tcW w:w="3504"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四川省广元市树人中学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执行</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情况</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（万元）</w:t>
            </w:r>
          </w:p>
        </w:tc>
        <w:tc>
          <w:tcPr>
            <w:tcW w:w="2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预算数：</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38.5万元</w:t>
            </w:r>
          </w:p>
        </w:tc>
        <w:tc>
          <w:tcPr>
            <w:tcW w:w="2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执行数：</w:t>
            </w:r>
          </w:p>
        </w:tc>
        <w:tc>
          <w:tcPr>
            <w:tcW w:w="3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38.238306万元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其中：财政拨款</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15万元</w:t>
            </w:r>
          </w:p>
        </w:tc>
        <w:tc>
          <w:tcPr>
            <w:tcW w:w="2504"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其中：财政拨款</w:t>
            </w:r>
          </w:p>
        </w:tc>
        <w:tc>
          <w:tcPr>
            <w:tcW w:w="3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其他资金</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23.5万元</w:t>
            </w:r>
          </w:p>
        </w:tc>
        <w:tc>
          <w:tcPr>
            <w:tcW w:w="2504"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其他资金</w:t>
            </w:r>
          </w:p>
        </w:tc>
        <w:tc>
          <w:tcPr>
            <w:tcW w:w="3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23.238306万元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目标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完成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情况</w:t>
            </w:r>
          </w:p>
        </w:tc>
        <w:tc>
          <w:tcPr>
            <w:tcW w:w="31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预期目标</w:t>
            </w:r>
          </w:p>
        </w:tc>
        <w:tc>
          <w:tcPr>
            <w:tcW w:w="600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15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2021年5月15日前建成民族团结广场750平方米和玉树学生之家100平方米并投入使用。项目总投入不超过38.5万元（民族事业发展专项资金15万元，四川省慈善总会捐赠23.5万元）。其功能达到集中宣传党的民族政策、普及民族知识、弘扬中华民族传统优秀文化、促进民族团结进步、展示地方特色文化良好形象的鲜活窗口。社会认可度及师生满意度不低于90%。</w:t>
            </w:r>
          </w:p>
        </w:tc>
        <w:tc>
          <w:tcPr>
            <w:tcW w:w="6008"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项目于2021年5月10日通过竣工验收合格并正式投用，建成包括六角亭、花池、假山喷泉、绿化、民族团结寓意碎拼、印象剪纸展橱等民族团结广场750平方米。建成包括书柜、座椅、书吧等两层共100平方米的玉树学生之家。项目总投资38.238306（民族事业发展专项资金15万元，四川省慈善总会捐赠23.238306）。建成投用后进一步加深了民族师生之间的感情交流，丰富了在校民族学生业余文化生活，在共同学习、交流经验，学到知识的同时，还促进了不同民族学生间交往交流，增进各民族之间的感情。项目得到了各级领导高度认同，认为这是极富教育思想和民族特色教育内涵项目；许多地、市、州学校及部门前来参观学习，得到社会的广泛认可；民族师生使用满意度达98%，远超预期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3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绩效</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完成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情况</w:t>
            </w:r>
          </w:p>
        </w:tc>
        <w:tc>
          <w:tcPr>
            <w:tcW w:w="87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2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指标值（包含数字及文字描述）</w:t>
            </w:r>
          </w:p>
        </w:tc>
        <w:tc>
          <w:tcPr>
            <w:tcW w:w="2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实际完成指标值（包含数字及文字描述）</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未完成原因及改进措施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3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项目完成指标</w:t>
            </w:r>
          </w:p>
        </w:tc>
        <w:tc>
          <w:tcPr>
            <w:tcW w:w="116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指标1：</w:t>
            </w:r>
          </w:p>
        </w:tc>
        <w:tc>
          <w:tcPr>
            <w:tcW w:w="2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民族团结广场750平方米</w:t>
            </w:r>
          </w:p>
        </w:tc>
        <w:tc>
          <w:tcPr>
            <w:tcW w:w="2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建成民族团结广场750平方米</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6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指标2：</w:t>
            </w:r>
          </w:p>
        </w:tc>
        <w:tc>
          <w:tcPr>
            <w:tcW w:w="2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玉树学生之家100平方米</w:t>
            </w:r>
          </w:p>
        </w:tc>
        <w:tc>
          <w:tcPr>
            <w:tcW w:w="2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建成玉树学生之家100平方米</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6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指标1：</w:t>
            </w:r>
          </w:p>
        </w:tc>
        <w:tc>
          <w:tcPr>
            <w:tcW w:w="2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达到合格标准</w:t>
            </w:r>
          </w:p>
        </w:tc>
        <w:tc>
          <w:tcPr>
            <w:tcW w:w="2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验收合格</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3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6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指标1：</w:t>
            </w:r>
          </w:p>
        </w:tc>
        <w:tc>
          <w:tcPr>
            <w:tcW w:w="2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计划2021年5月10完成</w:t>
            </w:r>
          </w:p>
        </w:tc>
        <w:tc>
          <w:tcPr>
            <w:tcW w:w="2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2021年5月10日完成验收投用</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35"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79"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6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10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指标1：</w:t>
            </w:r>
          </w:p>
        </w:tc>
        <w:tc>
          <w:tcPr>
            <w:tcW w:w="2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38.5万元</w:t>
            </w:r>
          </w:p>
        </w:tc>
        <w:tc>
          <w:tcPr>
            <w:tcW w:w="2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38.238306万元</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735" w:type="dxa"/>
            <w:vMerge w:val="continue"/>
            <w:tcBorders>
              <w:top w:val="single" w:color="auto"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79"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69" w:type="dxa"/>
            <w:tcBorders>
              <w:top w:val="single" w:color="auto"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p>
        </w:tc>
        <w:tc>
          <w:tcPr>
            <w:tcW w:w="110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指标1：</w:t>
            </w:r>
          </w:p>
        </w:tc>
        <w:tc>
          <w:tcPr>
            <w:tcW w:w="2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宣传党的民族政策、普及民族知识、弘扬中华民族传统优秀文化、促进民族团结进步。</w:t>
            </w:r>
          </w:p>
        </w:tc>
        <w:tc>
          <w:tcPr>
            <w:tcW w:w="2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宣传了党的民族政策，加深了民族师生之间的感情交流，丰富了在校民族学生业余文化生活，在共同学习、交流经验，学到知识的同时，还促进了不同民族学生间交往交流，增进各民族之间的感情。</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73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6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指标1：</w:t>
            </w:r>
          </w:p>
        </w:tc>
        <w:tc>
          <w:tcPr>
            <w:tcW w:w="2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推动民族团结成效不断向更高层次迈进，推动学校各项事业全面进步。</w:t>
            </w:r>
          </w:p>
        </w:tc>
        <w:tc>
          <w:tcPr>
            <w:tcW w:w="2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将民族团结进步教育作为常抓不懈的工作，面向全体师生开展民族团结教育，该项目发挥了实践教育的作用，推动学校民族团结进步教育向更高层次发展。</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7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p>
        </w:tc>
        <w:tc>
          <w:tcPr>
            <w:tcW w:w="116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指标1：</w:t>
            </w:r>
          </w:p>
        </w:tc>
        <w:tc>
          <w:tcPr>
            <w:tcW w:w="2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社会满意度</w:t>
            </w:r>
            <w:r>
              <w:rPr>
                <w:rStyle w:val="40"/>
                <w:rFonts w:eastAsia="宋体"/>
                <w:lang w:val="en-US" w:eastAsia="zh-CN" w:bidi="ar"/>
              </w:rPr>
              <w:t>≥</w:t>
            </w:r>
            <w:r>
              <w:rPr>
                <w:rStyle w:val="41"/>
                <w:lang w:val="en-US" w:eastAsia="zh-CN" w:bidi="ar"/>
              </w:rPr>
              <w:t>90%</w:t>
            </w:r>
          </w:p>
        </w:tc>
        <w:tc>
          <w:tcPr>
            <w:tcW w:w="2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社会满意度</w:t>
            </w:r>
            <w:r>
              <w:rPr>
                <w:rStyle w:val="40"/>
                <w:rFonts w:eastAsia="宋体"/>
                <w:lang w:val="en-US" w:eastAsia="zh-CN" w:bidi="ar"/>
              </w:rPr>
              <w:t>≥</w:t>
            </w:r>
            <w:r>
              <w:rPr>
                <w:rStyle w:val="41"/>
                <w:lang w:val="en-US" w:eastAsia="zh-CN" w:bidi="ar"/>
              </w:rPr>
              <w:t>95%</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指标2：</w:t>
            </w:r>
          </w:p>
        </w:tc>
        <w:tc>
          <w:tcPr>
            <w:tcW w:w="2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师生满意度≥90%</w:t>
            </w:r>
          </w:p>
        </w:tc>
        <w:tc>
          <w:tcPr>
            <w:tcW w:w="2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师生满意度≥95%</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bl>
    <w:p>
      <w:pPr>
        <w:pStyle w:val="2"/>
        <w:rPr>
          <w:rFonts w:hint="eastAsia"/>
          <w:color w:val="auto"/>
          <w:highlight w:val="none"/>
          <w:lang w:val="zh-CN"/>
        </w:rPr>
      </w:pPr>
    </w:p>
    <w:p>
      <w:pPr>
        <w:pStyle w:val="2"/>
        <w:rPr>
          <w:rFonts w:hint="eastAsia"/>
          <w:color w:val="auto"/>
          <w:highlight w:val="none"/>
          <w:lang w:val="zh-CN"/>
        </w:rPr>
      </w:pPr>
    </w:p>
    <w:p>
      <w:pPr>
        <w:pStyle w:val="2"/>
        <w:rPr>
          <w:rFonts w:hint="eastAsia"/>
          <w:color w:val="auto"/>
          <w:highlight w:val="none"/>
          <w:lang w:val="zh-CN"/>
        </w:rPr>
      </w:pPr>
    </w:p>
    <w:p>
      <w:pPr>
        <w:pStyle w:val="34"/>
        <w:keepNext w:val="0"/>
        <w:keepLines w:val="0"/>
        <w:pageBreakBefore w:val="0"/>
        <w:widowControl w:val="0"/>
        <w:kinsoku/>
        <w:wordWrap/>
        <w:overflowPunct/>
        <w:topLinePunct w:val="0"/>
        <w:autoSpaceDE/>
        <w:autoSpaceDN/>
        <w:bidi w:val="0"/>
        <w:spacing w:line="576" w:lineRule="exact"/>
        <w:jc w:val="center"/>
        <w:textAlignment w:val="auto"/>
        <w:rPr>
          <w:rFonts w:hint="eastAsia" w:ascii="方正小标宋简体" w:hAnsi="宋体" w:eastAsia="方正小标宋简体"/>
          <w:b w:val="0"/>
          <w:bCs w:val="0"/>
          <w:sz w:val="44"/>
          <w:szCs w:val="44"/>
        </w:rPr>
      </w:pPr>
      <w:r>
        <w:rPr>
          <w:rFonts w:hint="eastAsia" w:ascii="方正小标宋简体" w:hAnsi="宋体" w:eastAsia="方正小标宋简体"/>
          <w:b w:val="0"/>
          <w:bCs w:val="0"/>
          <w:sz w:val="44"/>
          <w:szCs w:val="44"/>
          <w:lang w:val="en-US" w:eastAsia="zh-CN"/>
        </w:rPr>
        <w:t>2021年度专项预算项目</w:t>
      </w:r>
      <w:r>
        <w:rPr>
          <w:rFonts w:hint="eastAsia" w:ascii="方正小标宋简体" w:hAnsi="宋体" w:eastAsia="方正小标宋简体"/>
          <w:b w:val="0"/>
          <w:bCs w:val="0"/>
          <w:sz w:val="44"/>
          <w:szCs w:val="44"/>
          <w:lang w:eastAsia="zh-CN"/>
        </w:rPr>
        <w:t>支出</w:t>
      </w:r>
      <w:r>
        <w:rPr>
          <w:rFonts w:hint="eastAsia" w:ascii="方正小标宋简体" w:hAnsi="宋体" w:eastAsia="方正小标宋简体"/>
          <w:b w:val="0"/>
          <w:bCs w:val="0"/>
          <w:sz w:val="44"/>
          <w:szCs w:val="44"/>
        </w:rPr>
        <w:t>绩效自评报告</w:t>
      </w:r>
    </w:p>
    <w:p>
      <w:pPr>
        <w:pStyle w:val="34"/>
        <w:keepNext w:val="0"/>
        <w:keepLines w:val="0"/>
        <w:pageBreakBefore w:val="0"/>
        <w:widowControl w:val="0"/>
        <w:kinsoku/>
        <w:wordWrap/>
        <w:overflowPunct/>
        <w:topLinePunct w:val="0"/>
        <w:autoSpaceDE/>
        <w:autoSpaceDN/>
        <w:bidi w:val="0"/>
        <w:spacing w:line="576" w:lineRule="exact"/>
        <w:jc w:val="center"/>
        <w:textAlignment w:val="auto"/>
        <w:rPr>
          <w:rFonts w:hint="eastAsia" w:ascii="仿宋_GB2312" w:hAnsi="宋体" w:eastAsia="仿宋_GB2312" w:cs="Times New Roman"/>
          <w:color w:val="auto"/>
          <w:kern w:val="2"/>
          <w:sz w:val="36"/>
          <w:szCs w:val="36"/>
          <w:highlight w:val="none"/>
          <w:lang w:val="en-US" w:eastAsia="zh-CN" w:bidi="ar-SA"/>
        </w:rPr>
      </w:pPr>
      <w:r>
        <w:rPr>
          <w:rFonts w:hint="eastAsia" w:ascii="仿宋_GB2312" w:hAnsi="宋体" w:eastAsia="仿宋_GB2312" w:cs="Times New Roman"/>
          <w:color w:val="auto"/>
          <w:kern w:val="2"/>
          <w:sz w:val="36"/>
          <w:szCs w:val="36"/>
          <w:highlight w:val="none"/>
          <w:lang w:val="en-US" w:eastAsia="zh-CN" w:bidi="ar-SA"/>
        </w:rPr>
        <w:t>（实践基地维修改造项目）</w:t>
      </w:r>
    </w:p>
    <w:p>
      <w:pPr>
        <w:pStyle w:val="34"/>
        <w:keepNext w:val="0"/>
        <w:keepLines w:val="0"/>
        <w:pageBreakBefore w:val="0"/>
        <w:widowControl w:val="0"/>
        <w:kinsoku/>
        <w:wordWrap/>
        <w:overflowPunct/>
        <w:topLinePunct w:val="0"/>
        <w:autoSpaceDE/>
        <w:autoSpaceDN/>
        <w:bidi w:val="0"/>
        <w:spacing w:line="576" w:lineRule="exact"/>
        <w:jc w:val="center"/>
        <w:textAlignment w:val="auto"/>
        <w:rPr>
          <w:rFonts w:hint="eastAsia" w:ascii="仿宋_GB2312" w:hAnsi="宋体" w:eastAsia="仿宋_GB2312" w:cs="Times New Roman"/>
          <w:color w:val="auto"/>
          <w:kern w:val="2"/>
          <w:sz w:val="36"/>
          <w:szCs w:val="36"/>
          <w:highlight w:val="none"/>
          <w:lang w:val="en-US" w:eastAsia="zh-CN" w:bidi="ar-SA"/>
        </w:rPr>
      </w:pPr>
    </w:p>
    <w:p>
      <w:pPr>
        <w:adjustRightInd w:val="0"/>
        <w:snapToGrid w:val="0"/>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一、项目概况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（一）项目基本情况。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方正仿宋_GB2312" w:hAnsi="方正仿宋_GB2312" w:eastAsia="方正仿宋_GB2312" w:cs="方正仿宋_GB2312"/>
          <w:sz w:val="32"/>
          <w:szCs w:val="32"/>
          <w:lang w:val="en-US" w:eastAsia="zh-CN"/>
        </w:rPr>
      </w:pPr>
      <w:r>
        <w:rPr>
          <w:rFonts w:hint="eastAsia" w:ascii="仿宋_GB2312" w:hAnsi="宋体" w:eastAsia="仿宋_GB2312" w:cs="Times New Roman"/>
          <w:color w:val="auto"/>
          <w:sz w:val="32"/>
          <w:szCs w:val="32"/>
          <w:highlight w:val="none"/>
          <w:lang w:val="zh-CN"/>
        </w:rPr>
        <w:t>1．主管部门在该项目管理中的职</w:t>
      </w:r>
      <w:r>
        <w:rPr>
          <w:rFonts w:hint="eastAsia" w:ascii="仿宋_GB2312" w:hAnsi="宋体" w:eastAsia="仿宋_GB2312" w:cs="Times New Roman"/>
          <w:color w:val="auto"/>
          <w:sz w:val="32"/>
          <w:szCs w:val="32"/>
          <w:highlight w:val="none"/>
          <w:lang w:val="zh-CN" w:eastAsia="zh-CN"/>
        </w:rPr>
        <w:t>能。</w:t>
      </w:r>
      <w:r>
        <w:rPr>
          <w:rFonts w:hint="eastAsia" w:ascii="仿宋_GB2312" w:hAnsi="宋体" w:eastAsia="仿宋_GB2312" w:cs="Times New Roman"/>
          <w:color w:val="auto"/>
          <w:sz w:val="32"/>
          <w:szCs w:val="32"/>
          <w:highlight w:val="none"/>
          <w:lang w:val="en-US" w:eastAsia="zh-CN"/>
        </w:rPr>
        <w:t>2021年实践基地维修改造项目</w:t>
      </w:r>
      <w:r>
        <w:rPr>
          <w:rFonts w:hint="eastAsia" w:ascii="仿宋_GB2312" w:hAnsi="宋体" w:eastAsia="仿宋_GB2312" w:cs="Times New Roman"/>
          <w:color w:val="auto"/>
          <w:sz w:val="36"/>
          <w:szCs w:val="36"/>
          <w:highlight w:val="none"/>
          <w:lang w:val="en-US" w:eastAsia="zh-CN"/>
        </w:rPr>
        <w:t>由</w:t>
      </w:r>
      <w:r>
        <w:rPr>
          <w:rFonts w:hint="eastAsia" w:ascii="仿宋_GB2312" w:hAnsi="宋体" w:eastAsia="仿宋_GB2312" w:cs="Times New Roman"/>
          <w:color w:val="auto"/>
          <w:sz w:val="32"/>
          <w:szCs w:val="32"/>
          <w:highlight w:val="none"/>
          <w:lang w:val="en-US" w:eastAsia="zh-CN"/>
        </w:rPr>
        <w:t>广元市示范性综合实践基地管理中心具体负责，市教育局对项目实施、项目资金支付等</w:t>
      </w:r>
      <w:r>
        <w:rPr>
          <w:rFonts w:hint="eastAsia" w:ascii="仿宋_GB2312" w:hAnsi="宋体" w:eastAsia="仿宋_GB2312" w:cs="仿宋_GB2312"/>
          <w:color w:val="000000"/>
          <w:kern w:val="0"/>
          <w:sz w:val="32"/>
          <w:szCs w:val="32"/>
          <w:lang w:val="en-US" w:eastAsia="zh-CN" w:bidi="ar"/>
        </w:rPr>
        <w:t>工作进行监督管理。市实践基地</w:t>
      </w:r>
      <w:r>
        <w:rPr>
          <w:rFonts w:hint="eastAsia" w:ascii="方正仿宋_GB2312" w:hAnsi="方正仿宋_GB2312" w:eastAsia="方正仿宋_GB2312" w:cs="方正仿宋_GB2312"/>
          <w:sz w:val="32"/>
          <w:szCs w:val="32"/>
          <w:lang w:val="en-US" w:eastAsia="zh-CN"/>
        </w:rPr>
        <w:t>结合实际，制定资金使用计划和活动开展方案，单位领导班子成员审核通过后组织实施；涉及单次重大经费使用，或招标采购的方案需报市教育局审核，按规定实施。</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方正仿宋_GB2312" w:hAnsi="方正仿宋_GB2312" w:eastAsia="方正仿宋_GB2312" w:cs="方正仿宋_GB2312"/>
          <w:sz w:val="32"/>
          <w:szCs w:val="32"/>
          <w:lang w:val="en-US" w:eastAsia="zh-CN"/>
        </w:rPr>
      </w:pPr>
      <w:r>
        <w:rPr>
          <w:rFonts w:hint="eastAsia" w:ascii="仿宋_GB2312" w:hAnsi="宋体" w:eastAsia="仿宋_GB2312" w:cs="Times New Roman"/>
          <w:color w:val="auto"/>
          <w:sz w:val="32"/>
          <w:szCs w:val="32"/>
          <w:highlight w:val="none"/>
          <w:lang w:val="zh-CN"/>
        </w:rPr>
        <w:t>2．项目立项、资金申报的依据。</w:t>
      </w:r>
      <w:r>
        <w:rPr>
          <w:rFonts w:hint="eastAsia" w:ascii="方正仿宋_GB2312" w:hAnsi="方正仿宋_GB2312" w:eastAsia="方正仿宋_GB2312" w:cs="方正仿宋_GB2312"/>
          <w:sz w:val="32"/>
          <w:szCs w:val="32"/>
          <w:lang w:val="en-US" w:eastAsia="zh-CN"/>
        </w:rPr>
        <w:t>市级领导部门高度重视单位长远发展，每年安排专款，切实做好校园内改造和维修提升，保证经费投入。</w:t>
      </w:r>
    </w:p>
    <w:p>
      <w:pPr>
        <w:widowControl/>
        <w:spacing w:line="600" w:lineRule="exact"/>
        <w:ind w:firstLine="640" w:firstLineChars="200"/>
        <w:jc w:val="left"/>
        <w:rPr>
          <w:rFonts w:ascii="方正仿宋_GBK" w:hAnsi="方正仿宋_GBK" w:eastAsia="方正仿宋_GBK" w:cs="方正仿宋_GBK"/>
          <w:i w:val="0"/>
          <w:iCs w:val="0"/>
          <w:caps w:val="0"/>
          <w:color w:val="333333"/>
          <w:spacing w:val="0"/>
          <w:sz w:val="33"/>
          <w:szCs w:val="33"/>
          <w:shd w:val="clear" w:fill="FFFFFF"/>
        </w:rPr>
      </w:pPr>
      <w:r>
        <w:rPr>
          <w:rFonts w:hint="eastAsia" w:ascii="仿宋_GB2312" w:hAnsi="宋体" w:eastAsia="仿宋_GB2312" w:cs="Times New Roman"/>
          <w:color w:val="auto"/>
          <w:sz w:val="32"/>
          <w:szCs w:val="32"/>
          <w:highlight w:val="none"/>
          <w:lang w:val="zh-CN"/>
        </w:rPr>
        <w:t>3．资金管理办法制定情况，资金支持具体项目的条件、范围与支持方式概况。</w:t>
      </w:r>
      <w:r>
        <w:rPr>
          <w:rFonts w:hint="eastAsia" w:ascii="仿宋_GB2312" w:hAnsi="宋体" w:eastAsia="仿宋_GB2312" w:cs="Times New Roman"/>
          <w:color w:val="auto"/>
          <w:sz w:val="32"/>
          <w:szCs w:val="32"/>
          <w:highlight w:val="none"/>
          <w:lang w:val="en-US" w:eastAsia="zh-CN"/>
        </w:rPr>
        <w:t>实践基地制定了财务管理制度并按要求严格执行，该项目</w:t>
      </w:r>
      <w:r>
        <w:rPr>
          <w:rFonts w:hint="eastAsia" w:ascii="仿宋_GB2312" w:hAnsi="宋体" w:eastAsia="仿宋_GB2312" w:cs="Times New Roman"/>
          <w:color w:val="auto"/>
          <w:sz w:val="32"/>
          <w:szCs w:val="32"/>
          <w:highlight w:val="none"/>
          <w:lang w:val="zh-CN"/>
        </w:rPr>
        <w:t>资金指标下达后，按预算指标</w:t>
      </w:r>
      <w:r>
        <w:rPr>
          <w:rFonts w:hint="eastAsia" w:ascii="仿宋_GB2312" w:hAnsi="宋体" w:eastAsia="仿宋_GB2312" w:cs="Times New Roman"/>
          <w:color w:val="auto"/>
          <w:sz w:val="32"/>
          <w:szCs w:val="32"/>
          <w:highlight w:val="none"/>
          <w:lang w:val="en-US" w:eastAsia="zh-CN"/>
        </w:rPr>
        <w:t>合理合规进行开支</w:t>
      </w:r>
      <w:r>
        <w:rPr>
          <w:rFonts w:hint="eastAsia" w:ascii="仿宋_GB2312" w:hAnsi="宋体" w:eastAsia="仿宋_GB2312" w:cs="Times New Roman"/>
          <w:color w:val="auto"/>
          <w:sz w:val="32"/>
          <w:szCs w:val="32"/>
          <w:highlight w:val="none"/>
          <w:lang w:val="zh-CN"/>
        </w:rPr>
        <w:t>使用。</w:t>
      </w:r>
    </w:p>
    <w:p>
      <w:pPr>
        <w:widowControl/>
        <w:spacing w:line="60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宋体" w:eastAsia="仿宋_GB2312" w:cs="Times New Roman"/>
          <w:color w:val="auto"/>
          <w:kern w:val="2"/>
          <w:sz w:val="32"/>
          <w:szCs w:val="32"/>
          <w:highlight w:val="none"/>
          <w:lang w:val="en-US" w:eastAsia="zh-CN" w:bidi="ar-SA"/>
        </w:rPr>
        <w:t>4.</w:t>
      </w:r>
      <w:r>
        <w:rPr>
          <w:rFonts w:hint="eastAsia" w:ascii="仿宋_GB2312" w:hAnsi="宋体" w:eastAsia="仿宋_GB2312" w:cs="Times New Roman"/>
          <w:color w:val="auto"/>
          <w:kern w:val="2"/>
          <w:sz w:val="32"/>
          <w:szCs w:val="32"/>
          <w:highlight w:val="none"/>
          <w:lang w:val="zh-CN" w:eastAsia="zh-CN" w:bidi="ar-SA"/>
        </w:rPr>
        <w:t>资金分配的原则及考虑因素。</w:t>
      </w:r>
      <w:r>
        <w:rPr>
          <w:rFonts w:hint="eastAsia" w:ascii="仿宋_GB2312" w:hAnsi="宋体" w:eastAsia="仿宋_GB2312" w:cs="Times New Roman"/>
          <w:color w:val="auto"/>
          <w:kern w:val="2"/>
          <w:sz w:val="32"/>
          <w:szCs w:val="32"/>
          <w:highlight w:val="none"/>
          <w:lang w:val="en-US" w:eastAsia="zh-CN" w:bidi="ar-SA"/>
        </w:rPr>
        <w:t>2021年</w:t>
      </w:r>
      <w:r>
        <w:rPr>
          <w:rFonts w:hint="eastAsia" w:ascii="仿宋_GB2312" w:hAnsi="宋体" w:eastAsia="仿宋_GB2312" w:cs="Times New Roman"/>
          <w:color w:val="auto"/>
          <w:sz w:val="32"/>
          <w:szCs w:val="32"/>
          <w:highlight w:val="none"/>
          <w:lang w:val="en-US" w:eastAsia="zh-CN"/>
        </w:rPr>
        <w:t>实践基地维修改造项目</w:t>
      </w:r>
      <w:r>
        <w:rPr>
          <w:rFonts w:hint="eastAsia" w:ascii="仿宋_GB2312" w:hAnsi="宋体" w:eastAsia="仿宋_GB2312" w:cs="Times New Roman"/>
          <w:color w:val="auto"/>
          <w:kern w:val="2"/>
          <w:sz w:val="32"/>
          <w:szCs w:val="32"/>
          <w:highlight w:val="none"/>
          <w:lang w:val="en-US" w:eastAsia="zh-CN" w:bidi="ar-SA"/>
        </w:rPr>
        <w:t>严格按照</w:t>
      </w:r>
      <w:r>
        <w:rPr>
          <w:rFonts w:hint="eastAsia" w:ascii="仿宋_GB2312" w:hAnsi="宋体" w:eastAsia="仿宋_GB2312" w:cs="Times New Roman"/>
          <w:color w:val="auto"/>
          <w:sz w:val="32"/>
          <w:szCs w:val="32"/>
          <w:highlight w:val="none"/>
          <w:lang w:val="en-US" w:eastAsia="zh-CN"/>
        </w:rPr>
        <w:t>实践基地维修改造</w:t>
      </w:r>
      <w:r>
        <w:rPr>
          <w:rFonts w:hint="eastAsia" w:ascii="仿宋_GB2312" w:hAnsi="宋体" w:eastAsia="仿宋_GB2312" w:cs="Times New Roman"/>
          <w:color w:val="auto"/>
          <w:kern w:val="2"/>
          <w:sz w:val="32"/>
          <w:szCs w:val="32"/>
          <w:highlight w:val="none"/>
          <w:lang w:val="en-US" w:eastAsia="zh-CN" w:bidi="ar-SA"/>
        </w:rPr>
        <w:t>需要，合理合规进行资金分配，</w:t>
      </w:r>
      <w:r>
        <w:rPr>
          <w:rFonts w:hint="eastAsia" w:ascii="仿宋_GB2312" w:hAnsi="仿宋_GB2312" w:eastAsia="仿宋_GB2312" w:cs="仿宋_GB2312"/>
          <w:color w:val="000000"/>
          <w:sz w:val="32"/>
          <w:szCs w:val="32"/>
        </w:rPr>
        <w:t>充分发挥项目资金使用</w:t>
      </w:r>
      <w:r>
        <w:rPr>
          <w:rFonts w:hint="eastAsia" w:ascii="仿宋_GB2312" w:hAnsi="仿宋_GB2312" w:eastAsia="仿宋_GB2312" w:cs="仿宋_GB2312"/>
          <w:color w:val="000000"/>
          <w:sz w:val="32"/>
          <w:szCs w:val="32"/>
          <w:lang w:val="en-US" w:eastAsia="zh-CN"/>
        </w:rPr>
        <w:t>效益</w:t>
      </w:r>
      <w:r>
        <w:rPr>
          <w:rFonts w:hint="eastAsia" w:ascii="仿宋_GB2312" w:hAnsi="仿宋_GB2312" w:eastAsia="仿宋_GB2312" w:cs="仿宋_GB2312"/>
          <w:bCs/>
          <w:color w:val="000000"/>
          <w:kern w:val="0"/>
          <w:sz w:val="32"/>
          <w:szCs w:val="32"/>
        </w:rPr>
        <w:t>。</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（二）项目绩效目标。</w:t>
      </w:r>
    </w:p>
    <w:p>
      <w:pPr>
        <w:pStyle w:val="1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21" w:lineRule="atLeast"/>
        <w:ind w:right="0" w:rightChars="0" w:firstLine="640" w:firstLineChars="200"/>
        <w:jc w:val="both"/>
        <w:rPr>
          <w:rFonts w:hint="eastAsia" w:ascii="方正仿宋_GB2312" w:hAnsi="方正仿宋_GB2312" w:eastAsia="方正仿宋_GB2312" w:cs="方正仿宋_GB2312"/>
          <w:kern w:val="2"/>
          <w:sz w:val="32"/>
          <w:szCs w:val="32"/>
          <w:lang w:val="zh-CN" w:eastAsia="zh-CN" w:bidi="ar-SA"/>
        </w:rPr>
      </w:pPr>
      <w:r>
        <w:rPr>
          <w:rFonts w:hint="eastAsia" w:ascii="仿宋_GB2312" w:hAnsi="宋体" w:eastAsia="仿宋_GB2312" w:cs="Times New Roman"/>
          <w:color w:val="auto"/>
          <w:sz w:val="32"/>
          <w:szCs w:val="32"/>
          <w:highlight w:val="none"/>
          <w:lang w:val="zh-CN"/>
        </w:rPr>
        <w:t>1．项目主要内容。</w:t>
      </w:r>
      <w:r>
        <w:rPr>
          <w:rFonts w:hint="eastAsia" w:ascii="方正仿宋_GB2312" w:hAnsi="方正仿宋_GB2312" w:eastAsia="方正仿宋_GB2312" w:cs="方正仿宋_GB2312"/>
          <w:kern w:val="2"/>
          <w:sz w:val="32"/>
          <w:szCs w:val="32"/>
          <w:lang w:val="zh-CN" w:eastAsia="zh-CN" w:bidi="ar-SA"/>
        </w:rPr>
        <w:t>本单位分为教学实践区、学生宿舍区、学生生活区、户外体验区等，建有科技创新、科普、生态环保、人防等16个体验场馆，30多个实训体验室。坚持定期巡查，及时发现并解决问题。教育教学环境、功能场馆设施设备、宿舍安全等已基本整治到位，总体得到修复提升。</w:t>
      </w:r>
    </w:p>
    <w:p>
      <w:pPr>
        <w:pStyle w:val="1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21" w:lineRule="atLeast"/>
        <w:ind w:right="0" w:rightChars="0" w:firstLine="640" w:firstLineChars="200"/>
        <w:jc w:val="both"/>
        <w:rPr>
          <w:rFonts w:hint="eastAsia" w:ascii="方正仿宋_GB2312" w:hAnsi="方正仿宋_GB2312" w:eastAsia="方正仿宋_GB2312" w:cs="方正仿宋_GB2312"/>
          <w:kern w:val="2"/>
          <w:sz w:val="32"/>
          <w:szCs w:val="32"/>
          <w:lang w:val="zh-CN" w:eastAsia="zh-CN" w:bidi="ar-SA"/>
        </w:rPr>
      </w:pPr>
      <w:r>
        <w:rPr>
          <w:rFonts w:hint="eastAsia" w:ascii="仿宋_GB2312" w:hAnsi="宋体" w:eastAsia="仿宋_GB2312" w:cs="Times New Roman"/>
          <w:color w:val="auto"/>
          <w:sz w:val="32"/>
          <w:szCs w:val="32"/>
          <w:highlight w:val="none"/>
          <w:lang w:val="en-US" w:eastAsia="zh-CN"/>
        </w:rPr>
        <w:t>2.</w:t>
      </w:r>
      <w:r>
        <w:rPr>
          <w:rFonts w:hint="eastAsia" w:ascii="仿宋_GB2312" w:hAnsi="宋体" w:eastAsia="仿宋_GB2312" w:cs="Times New Roman"/>
          <w:color w:val="auto"/>
          <w:sz w:val="32"/>
          <w:szCs w:val="32"/>
          <w:highlight w:val="none"/>
          <w:lang w:val="zh-CN"/>
        </w:rPr>
        <w:t>项目应实现的具体绩效目标。</w:t>
      </w:r>
    </w:p>
    <w:tbl>
      <w:tblPr>
        <w:tblStyle w:val="15"/>
        <w:tblW w:w="937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3"/>
        <w:gridCol w:w="1425"/>
        <w:gridCol w:w="3773"/>
        <w:gridCol w:w="34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trPr>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指标</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二级指标</w:t>
            </w:r>
          </w:p>
        </w:tc>
        <w:tc>
          <w:tcPr>
            <w:tcW w:w="3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三级指标</w:t>
            </w:r>
          </w:p>
        </w:tc>
        <w:tc>
          <w:tcPr>
            <w:tcW w:w="34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sz w:val="20"/>
                <w:szCs w:val="20"/>
                <w:lang w:val="en-US" w:eastAsia="zh-CN"/>
              </w:rPr>
            </w:pPr>
            <w:r>
              <w:rPr>
                <w:rFonts w:hint="eastAsia" w:ascii="方正仿宋_GB2312" w:hAnsi="方正仿宋_GB2312" w:eastAsia="方正仿宋_GB2312" w:cs="方正仿宋_GB2312"/>
                <w:sz w:val="20"/>
                <w:szCs w:val="20"/>
                <w:lang w:val="en-US" w:eastAsia="zh-CN"/>
              </w:rPr>
              <w:t>指标值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产出指标</w:t>
            </w:r>
          </w:p>
        </w:tc>
        <w:tc>
          <w:tcPr>
            <w:tcW w:w="142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数量指标</w:t>
            </w:r>
          </w:p>
        </w:tc>
        <w:tc>
          <w:tcPr>
            <w:tcW w:w="3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体验场馆维修（个）</w:t>
            </w:r>
          </w:p>
        </w:tc>
        <w:tc>
          <w:tcPr>
            <w:tcW w:w="34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16个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u w:val="none"/>
              </w:rPr>
            </w:pPr>
          </w:p>
        </w:tc>
        <w:tc>
          <w:tcPr>
            <w:tcW w:w="1425" w:type="dxa"/>
            <w:vMerge w:val="continue"/>
            <w:tcBorders>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3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实训体验室</w:t>
            </w:r>
          </w:p>
        </w:tc>
        <w:tc>
          <w:tcPr>
            <w:tcW w:w="34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u w:val="none"/>
              </w:rPr>
            </w:pPr>
          </w:p>
        </w:tc>
        <w:tc>
          <w:tcPr>
            <w:tcW w:w="142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3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完成修缮维护营地面积（平方米）</w:t>
            </w:r>
          </w:p>
        </w:tc>
        <w:tc>
          <w:tcPr>
            <w:tcW w:w="34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约500平方米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u w:val="none"/>
              </w:rPr>
            </w:pPr>
          </w:p>
        </w:tc>
        <w:tc>
          <w:tcPr>
            <w:tcW w:w="1425"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3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项目验收率（%）</w:t>
            </w:r>
          </w:p>
        </w:tc>
        <w:tc>
          <w:tcPr>
            <w:tcW w:w="34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时效指标</w:t>
            </w:r>
          </w:p>
        </w:tc>
        <w:tc>
          <w:tcPr>
            <w:tcW w:w="3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 维修改造期限</w:t>
            </w:r>
          </w:p>
        </w:tc>
        <w:tc>
          <w:tcPr>
            <w:tcW w:w="34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本年内完成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社会效益指标</w:t>
            </w:r>
          </w:p>
        </w:tc>
        <w:tc>
          <w:tcPr>
            <w:tcW w:w="3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参训师生对项目建设情况知晓率（%）</w:t>
            </w:r>
          </w:p>
        </w:tc>
        <w:tc>
          <w:tcPr>
            <w:tcW w:w="34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生态效益指标</w:t>
            </w:r>
          </w:p>
        </w:tc>
        <w:tc>
          <w:tcPr>
            <w:tcW w:w="3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使用材料环保达标（%）</w:t>
            </w:r>
          </w:p>
        </w:tc>
        <w:tc>
          <w:tcPr>
            <w:tcW w:w="34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100%环保产品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可持续影响指标</w:t>
            </w:r>
          </w:p>
        </w:tc>
        <w:tc>
          <w:tcPr>
            <w:tcW w:w="3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预计可持续使用（年）</w:t>
            </w:r>
          </w:p>
        </w:tc>
        <w:tc>
          <w:tcPr>
            <w:tcW w:w="34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6" w:hRule="atLeast"/>
        </w:trPr>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满意度指标</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满意度指标</w:t>
            </w:r>
          </w:p>
        </w:tc>
        <w:tc>
          <w:tcPr>
            <w:tcW w:w="3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服务对象满意度（%）</w:t>
            </w:r>
          </w:p>
        </w:tc>
        <w:tc>
          <w:tcPr>
            <w:tcW w:w="34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实际98%</w:t>
            </w:r>
          </w:p>
        </w:tc>
      </w:tr>
    </w:tbl>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b w:val="0"/>
          <w:bCs w:val="0"/>
          <w:sz w:val="32"/>
          <w:szCs w:val="32"/>
          <w:lang w:val="zh-CN"/>
        </w:rPr>
      </w:pPr>
      <w:r>
        <w:rPr>
          <w:rFonts w:hint="eastAsia" w:ascii="仿宋_GB2312" w:hAnsi="宋体" w:eastAsia="仿宋_GB2312" w:cs="Times New Roman"/>
          <w:color w:val="auto"/>
          <w:sz w:val="32"/>
          <w:szCs w:val="32"/>
          <w:highlight w:val="none"/>
          <w:lang w:val="en-US" w:eastAsia="zh-CN"/>
        </w:rPr>
        <w:t>3.</w:t>
      </w:r>
      <w:r>
        <w:rPr>
          <w:rFonts w:hint="eastAsia" w:ascii="仿宋_GB2312" w:hAnsi="宋体" w:eastAsia="仿宋_GB2312" w:cs="Times New Roman"/>
          <w:color w:val="auto"/>
          <w:sz w:val="32"/>
          <w:szCs w:val="32"/>
          <w:highlight w:val="none"/>
          <w:lang w:val="zh-CN"/>
        </w:rPr>
        <w:t>项目资金与申报项目相符性。</w:t>
      </w:r>
      <w:r>
        <w:rPr>
          <w:rFonts w:hint="eastAsia" w:ascii="方正仿宋_GB2312" w:hAnsi="方正仿宋_GB2312" w:eastAsia="方正仿宋_GB2312" w:cs="方正仿宋_GB2312"/>
          <w:sz w:val="32"/>
          <w:szCs w:val="32"/>
          <w:lang w:val="zh-CN"/>
        </w:rPr>
        <w:t>项目资金的申报和使用，与具体实施内容相符、使用目标一致，且合理可行。该项目资金申报内容与具体实施完全相符。</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（三）项目自评步骤及方法。</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pPr>
      <w:r>
        <w:rPr>
          <w:rFonts w:hint="eastAsia" w:ascii="仿宋_GB2312" w:hAnsi="宋体" w:eastAsia="仿宋_GB2312" w:cs="Times New Roman"/>
          <w:color w:val="auto"/>
          <w:sz w:val="32"/>
          <w:szCs w:val="32"/>
          <w:highlight w:val="none"/>
          <w:lang w:val="zh-CN"/>
        </w:rPr>
        <w:t>项目绩效自评</w:t>
      </w:r>
      <w:r>
        <w:rPr>
          <w:rFonts w:hint="eastAsia" w:ascii="仿宋_GB2312" w:hAnsi="宋体" w:eastAsia="仿宋_GB2312" w:cs="Times New Roman"/>
          <w:color w:val="auto"/>
          <w:sz w:val="32"/>
          <w:szCs w:val="32"/>
          <w:highlight w:val="none"/>
          <w:lang w:val="en-US" w:eastAsia="zh-CN"/>
        </w:rPr>
        <w:t>由主管部门通知开展自评工作，先是单位自评，再由部门复评，逐步开展</w:t>
      </w:r>
      <w:r>
        <w:rPr>
          <w:rFonts w:hint="eastAsia" w:ascii="仿宋_GB2312" w:hAnsi="宋体" w:eastAsia="仿宋_GB2312" w:cs="Times New Roman"/>
          <w:color w:val="auto"/>
          <w:sz w:val="32"/>
          <w:szCs w:val="32"/>
          <w:highlight w:val="none"/>
          <w:lang w:val="zh-CN"/>
        </w:rPr>
        <w:t>组织实施</w:t>
      </w:r>
      <w:r>
        <w:rPr>
          <w:rFonts w:hint="eastAsia" w:ascii="仿宋_GB2312" w:hAnsi="宋体" w:eastAsia="仿宋_GB2312" w:cs="Times New Roman"/>
          <w:color w:val="auto"/>
          <w:sz w:val="32"/>
          <w:szCs w:val="32"/>
          <w:highlight w:val="none"/>
          <w:lang w:val="en-US" w:eastAsia="zh-CN"/>
        </w:rPr>
        <w:t>绩效自评</w:t>
      </w:r>
      <w:r>
        <w:rPr>
          <w:rFonts w:hint="eastAsia" w:ascii="仿宋_GB2312" w:hAnsi="宋体" w:eastAsia="仿宋_GB2312" w:cs="Times New Roman"/>
          <w:color w:val="auto"/>
          <w:sz w:val="32"/>
          <w:szCs w:val="32"/>
          <w:highlight w:val="none"/>
          <w:lang w:val="zh-CN"/>
        </w:rPr>
        <w:t>。</w:t>
      </w:r>
    </w:p>
    <w:p>
      <w:pPr>
        <w:adjustRightInd w:val="0"/>
        <w:snapToGrid w:val="0"/>
        <w:spacing w:line="600" w:lineRule="exact"/>
        <w:ind w:firstLine="640" w:firstLineChars="200"/>
        <w:rPr>
          <w:rFonts w:hint="eastAsia" w:ascii="黑体" w:hAnsi="黑体" w:eastAsia="黑体" w:cs="黑体"/>
          <w:color w:val="000000"/>
          <w:sz w:val="32"/>
          <w:szCs w:val="32"/>
        </w:rPr>
      </w:pPr>
      <w:r>
        <w:rPr>
          <w:rFonts w:hint="eastAsia" w:ascii="黑体" w:hAnsi="黑体" w:eastAsia="黑体" w:cs="黑体"/>
          <w:color w:val="000000"/>
          <w:sz w:val="32"/>
          <w:szCs w:val="32"/>
        </w:rPr>
        <w:t>二、项目的实施及管理情况</w:t>
      </w:r>
    </w:p>
    <w:p>
      <w:pPr>
        <w:numPr>
          <w:ilvl w:val="0"/>
          <w:numId w:val="0"/>
        </w:numPr>
        <w:adjustRightInd w:val="0"/>
        <w:snapToGrid w:val="0"/>
        <w:spacing w:line="600" w:lineRule="exact"/>
        <w:ind w:firstLine="643" w:firstLineChars="200"/>
        <w:rPr>
          <w:rFonts w:hint="eastAsia"/>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一</w:t>
      </w:r>
      <w:r>
        <w:rPr>
          <w:rFonts w:hint="eastAsia" w:ascii="楷体_GB2312" w:hAnsi="宋体" w:eastAsia="楷体_GB2312" w:cs="Times New Roman"/>
          <w:b/>
          <w:color w:val="auto"/>
          <w:sz w:val="32"/>
          <w:szCs w:val="32"/>
          <w:highlight w:val="none"/>
          <w:lang w:val="zh-CN"/>
        </w:rPr>
        <w:t>）项目资金申报及批复情况。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方正仿宋_GB2312" w:hAnsi="方正仿宋_GB2312" w:eastAsia="方正仿宋_GB2312" w:cs="方正仿宋_GB2312"/>
          <w:b w:val="0"/>
          <w:bCs w:val="0"/>
          <w:sz w:val="32"/>
          <w:szCs w:val="32"/>
          <w:lang w:val="zh-CN"/>
        </w:rPr>
      </w:pPr>
      <w:r>
        <w:rPr>
          <w:rFonts w:hint="eastAsia" w:ascii="方正仿宋_GB2312" w:hAnsi="方正仿宋_GB2312" w:eastAsia="方正仿宋_GB2312" w:cs="方正仿宋_GB2312"/>
          <w:sz w:val="32"/>
          <w:szCs w:val="32"/>
          <w:lang w:val="en-US" w:eastAsia="zh-CN"/>
        </w:rPr>
        <w:t xml:space="preserve">该项目资金申报结合实际，制定资金使用计划和活动开展方案，单位领导班子成员审核通过后组织实施。涉及单次重大经费使用，或招标采购的方案需报市教育局审核，按规定实施。2021年，本项目决算收入批复数198.29万元，其中上年结转58.76万元，当年收入59.52万元。 </w:t>
      </w:r>
    </w:p>
    <w:p>
      <w:pPr>
        <w:numPr>
          <w:ilvl w:val="0"/>
          <w:numId w:val="0"/>
        </w:numPr>
        <w:adjustRightInd w:val="0"/>
        <w:snapToGrid w:val="0"/>
        <w:spacing w:line="600" w:lineRule="exact"/>
        <w:ind w:firstLine="643" w:firstLineChars="200"/>
        <w:rPr>
          <w:rFonts w:hint="eastAsia"/>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）资金计划、到位及使用情况。</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仿宋_GB2312" w:hAnsi="仿宋_GB2312" w:eastAsia="仿宋_GB2312" w:cs="仿宋_GB2312"/>
          <w:color w:val="000000"/>
          <w:sz w:val="32"/>
          <w:szCs w:val="32"/>
        </w:rPr>
        <w:t>1.资金计划及到位。</w:t>
      </w:r>
      <w:r>
        <w:rPr>
          <w:rFonts w:hint="eastAsia" w:ascii="方正仿宋_GB2312" w:hAnsi="方正仿宋_GB2312" w:eastAsia="方正仿宋_GB2312" w:cs="方正仿宋_GB2312"/>
          <w:sz w:val="32"/>
          <w:szCs w:val="32"/>
          <w:lang w:val="zh-CN"/>
        </w:rPr>
        <w:t>本项目开展的经费来源为</w:t>
      </w:r>
      <w:r>
        <w:rPr>
          <w:rFonts w:hint="eastAsia" w:ascii="方正仿宋_GB2312" w:hAnsi="方正仿宋_GB2312" w:eastAsia="方正仿宋_GB2312" w:cs="方正仿宋_GB2312"/>
          <w:sz w:val="32"/>
          <w:szCs w:val="32"/>
          <w:lang w:val="zh-CN" w:eastAsia="zh-CN"/>
        </w:rPr>
        <w:t>财政拨款</w:t>
      </w:r>
      <w:r>
        <w:rPr>
          <w:rFonts w:hint="eastAsia" w:ascii="方正仿宋_GB2312" w:hAnsi="方正仿宋_GB2312" w:eastAsia="方正仿宋_GB2312" w:cs="方正仿宋_GB2312"/>
          <w:sz w:val="32"/>
          <w:szCs w:val="32"/>
          <w:lang w:val="zh-CN"/>
        </w:rPr>
        <w:t>。20</w:t>
      </w:r>
      <w:r>
        <w:rPr>
          <w:rFonts w:hint="eastAsia" w:ascii="方正仿宋_GB2312" w:hAnsi="方正仿宋_GB2312" w:eastAsia="方正仿宋_GB2312" w:cs="方正仿宋_GB2312"/>
          <w:sz w:val="32"/>
          <w:szCs w:val="32"/>
          <w:lang w:val="en-US" w:eastAsia="zh-CN"/>
        </w:rPr>
        <w:t>21</w:t>
      </w:r>
      <w:r>
        <w:rPr>
          <w:rFonts w:hint="eastAsia" w:ascii="方正仿宋_GB2312" w:hAnsi="方正仿宋_GB2312" w:eastAsia="方正仿宋_GB2312" w:cs="方正仿宋_GB2312"/>
          <w:sz w:val="32"/>
          <w:szCs w:val="32"/>
          <w:lang w:val="zh-CN"/>
        </w:rPr>
        <w:t>年，</w:t>
      </w:r>
      <w:r>
        <w:rPr>
          <w:rFonts w:hint="eastAsia" w:ascii="方正仿宋_GB2312" w:hAnsi="方正仿宋_GB2312" w:eastAsia="方正仿宋_GB2312" w:cs="方正仿宋_GB2312"/>
          <w:sz w:val="32"/>
          <w:szCs w:val="32"/>
          <w:lang w:val="en-US" w:eastAsia="zh-CN"/>
        </w:rPr>
        <w:t>本项目决算收入批复数198.29万元，其中上年结转58.76万元，当年财政拨款收入59.52万元，其他资金80万元。</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b w:val="0"/>
          <w:bCs w:val="0"/>
          <w:sz w:val="32"/>
          <w:szCs w:val="32"/>
          <w:lang w:val="zh-CN"/>
        </w:rPr>
      </w:pPr>
      <w:r>
        <w:rPr>
          <w:rFonts w:hint="eastAsia" w:ascii="仿宋_GB2312" w:hAnsi="仿宋_GB2312" w:eastAsia="仿宋_GB2312" w:cs="仿宋_GB2312"/>
          <w:color w:val="000000"/>
          <w:sz w:val="32"/>
          <w:szCs w:val="32"/>
        </w:rPr>
        <w:t>2.资金使用。</w:t>
      </w:r>
      <w:r>
        <w:rPr>
          <w:rFonts w:hint="eastAsia" w:ascii="方正仿宋_GB2312" w:hAnsi="方正仿宋_GB2312" w:eastAsia="方正仿宋_GB2312" w:cs="方正仿宋_GB2312"/>
          <w:sz w:val="32"/>
          <w:szCs w:val="32"/>
          <w:lang w:val="en-US" w:eastAsia="zh-CN"/>
        </w:rPr>
        <w:t>该项目支出</w:t>
      </w:r>
      <w:r>
        <w:rPr>
          <w:rFonts w:hint="eastAsia" w:ascii="方正仿宋_GB2312" w:hAnsi="方正仿宋_GB2312" w:eastAsia="方正仿宋_GB2312" w:cs="方正仿宋_GB2312"/>
          <w:sz w:val="32"/>
          <w:szCs w:val="32"/>
          <w:lang w:val="zh-CN" w:eastAsia="zh-CN"/>
        </w:rPr>
        <w:t>在</w:t>
      </w:r>
      <w:r>
        <w:rPr>
          <w:rFonts w:hint="eastAsia" w:ascii="方正仿宋_GB2312" w:hAnsi="方正仿宋_GB2312" w:eastAsia="方正仿宋_GB2312" w:cs="方正仿宋_GB2312"/>
          <w:sz w:val="32"/>
          <w:szCs w:val="32"/>
          <w:lang w:val="en-US" w:eastAsia="zh-CN"/>
        </w:rPr>
        <w:t>资金预算</w:t>
      </w:r>
      <w:r>
        <w:rPr>
          <w:rFonts w:hint="eastAsia" w:ascii="方正仿宋_GB2312" w:hAnsi="方正仿宋_GB2312" w:eastAsia="方正仿宋_GB2312" w:cs="方正仿宋_GB2312"/>
          <w:sz w:val="32"/>
          <w:szCs w:val="32"/>
          <w:lang w:val="zh-CN" w:eastAsia="zh-CN"/>
        </w:rPr>
        <w:t>限额内申报使用，</w:t>
      </w:r>
      <w:r>
        <w:rPr>
          <w:rFonts w:hint="eastAsia" w:ascii="方正仿宋_GB2312" w:hAnsi="方正仿宋_GB2312" w:eastAsia="方正仿宋_GB2312" w:cs="方正仿宋_GB2312"/>
          <w:sz w:val="32"/>
          <w:szCs w:val="32"/>
          <w:lang w:val="zh-CN"/>
        </w:rPr>
        <w:t>截止</w:t>
      </w:r>
      <w:r>
        <w:rPr>
          <w:rFonts w:hint="eastAsia" w:ascii="方正仿宋_GB2312" w:hAnsi="方正仿宋_GB2312" w:eastAsia="方正仿宋_GB2312" w:cs="方正仿宋_GB2312"/>
          <w:sz w:val="32"/>
          <w:szCs w:val="32"/>
          <w:lang w:val="en-US" w:eastAsia="zh-CN"/>
        </w:rPr>
        <w:t>2021年12月31日</w:t>
      </w:r>
      <w:r>
        <w:rPr>
          <w:rFonts w:hint="eastAsia" w:ascii="方正仿宋_GB2312" w:hAnsi="方正仿宋_GB2312" w:eastAsia="方正仿宋_GB2312" w:cs="方正仿宋_GB2312"/>
          <w:sz w:val="32"/>
          <w:szCs w:val="32"/>
          <w:lang w:val="zh-CN"/>
        </w:rPr>
        <w:t>，该项目支出决算数为</w:t>
      </w:r>
      <w:r>
        <w:rPr>
          <w:rFonts w:hint="eastAsia" w:ascii="方正仿宋_GB2312" w:hAnsi="方正仿宋_GB2312" w:eastAsia="方正仿宋_GB2312" w:cs="方正仿宋_GB2312"/>
          <w:sz w:val="32"/>
          <w:szCs w:val="32"/>
          <w:lang w:val="en-US" w:eastAsia="zh-CN"/>
        </w:rPr>
        <w:t>198.29万元，预算资金使用率100%,</w:t>
      </w:r>
      <w:r>
        <w:rPr>
          <w:rFonts w:hint="eastAsia" w:ascii="方正仿宋_GB2312" w:hAnsi="方正仿宋_GB2312" w:eastAsia="方正仿宋_GB2312" w:cs="方正仿宋_GB2312"/>
          <w:sz w:val="32"/>
          <w:szCs w:val="32"/>
          <w:lang w:val="zh-CN"/>
        </w:rPr>
        <w:t>预算执行率</w:t>
      </w:r>
      <w:r>
        <w:rPr>
          <w:rFonts w:hint="eastAsia" w:ascii="方正仿宋_GB2312" w:hAnsi="方正仿宋_GB2312" w:eastAsia="方正仿宋_GB2312" w:cs="方正仿宋_GB2312"/>
          <w:sz w:val="32"/>
          <w:szCs w:val="32"/>
          <w:lang w:val="en-US" w:eastAsia="zh-CN"/>
        </w:rPr>
        <w:t>100%。</w:t>
      </w:r>
      <w:r>
        <w:rPr>
          <w:rFonts w:hint="eastAsia" w:ascii="方正仿宋_GB2312" w:hAnsi="方正仿宋_GB2312" w:eastAsia="方正仿宋_GB2312" w:cs="方正仿宋_GB2312"/>
          <w:sz w:val="32"/>
          <w:szCs w:val="32"/>
          <w:lang w:val="zh-CN"/>
        </w:rPr>
        <w:t>预算经费开支范围：</w:t>
      </w:r>
      <w:r>
        <w:rPr>
          <w:rFonts w:hint="eastAsia" w:ascii="方正仿宋_GB2312" w:hAnsi="方正仿宋_GB2312" w:eastAsia="方正仿宋_GB2312" w:cs="方正仿宋_GB2312"/>
          <w:sz w:val="32"/>
          <w:szCs w:val="32"/>
          <w:lang w:val="en-US" w:eastAsia="zh-CN"/>
        </w:rPr>
        <w:t>教学场馆、宿舍、办公房</w:t>
      </w:r>
      <w:r>
        <w:rPr>
          <w:rFonts w:hint="eastAsia" w:ascii="方正仿宋_GB2312" w:hAnsi="方正仿宋_GB2312" w:eastAsia="方正仿宋_GB2312" w:cs="方正仿宋_GB2312"/>
          <w:sz w:val="32"/>
          <w:szCs w:val="32"/>
          <w:lang w:val="zh-CN"/>
        </w:rPr>
        <w:t>等</w:t>
      </w:r>
      <w:r>
        <w:rPr>
          <w:rFonts w:hint="eastAsia" w:ascii="方正仿宋_GB2312" w:hAnsi="方正仿宋_GB2312" w:eastAsia="方正仿宋_GB2312" w:cs="方正仿宋_GB2312"/>
          <w:sz w:val="32"/>
          <w:szCs w:val="32"/>
          <w:lang w:val="en-US" w:eastAsia="zh-CN"/>
        </w:rPr>
        <w:t>维修维护</w:t>
      </w:r>
      <w:r>
        <w:rPr>
          <w:rFonts w:hint="eastAsia" w:ascii="方正仿宋_GB2312" w:hAnsi="方正仿宋_GB2312" w:eastAsia="方正仿宋_GB2312" w:cs="方正仿宋_GB2312"/>
          <w:sz w:val="32"/>
          <w:szCs w:val="32"/>
          <w:lang w:val="zh-CN"/>
        </w:rPr>
        <w:t>支出。支付依据合规合法，与预算相符。</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w:t>
      </w:r>
      <w:r>
        <w:rPr>
          <w:rFonts w:hint="eastAsia" w:ascii="楷体_GB2312" w:hAnsi="楷体_GB2312" w:eastAsia="楷体_GB2312" w:cs="楷体_GB2312"/>
          <w:b/>
          <w:color w:val="000000"/>
          <w:sz w:val="32"/>
          <w:szCs w:val="32"/>
          <w:lang w:val="en-US" w:eastAsia="zh-CN"/>
        </w:rPr>
        <w:t>三</w:t>
      </w:r>
      <w:r>
        <w:rPr>
          <w:rFonts w:hint="eastAsia" w:ascii="楷体_GB2312" w:hAnsi="楷体_GB2312" w:eastAsia="楷体_GB2312" w:cs="楷体_GB2312"/>
          <w:b/>
          <w:color w:val="000000"/>
          <w:sz w:val="32"/>
          <w:szCs w:val="32"/>
        </w:rPr>
        <w:t>）项目财务管理情况</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黑体" w:hAnsi="宋体" w:eastAsia="黑体" w:cs="Times New Roman"/>
          <w:color w:val="auto"/>
          <w:sz w:val="32"/>
          <w:szCs w:val="32"/>
          <w:highlight w:val="none"/>
        </w:rPr>
      </w:pPr>
      <w:r>
        <w:rPr>
          <w:rFonts w:hint="eastAsia" w:ascii="方正仿宋_GB2312" w:hAnsi="方正仿宋_GB2312" w:eastAsia="方正仿宋_GB2312" w:cs="方正仿宋_GB2312"/>
          <w:sz w:val="32"/>
          <w:szCs w:val="32"/>
          <w:lang w:val="zh-CN"/>
        </w:rPr>
        <w:t>一是加强项目建设管理，完善财务管理体系和制度建设，保证</w:t>
      </w:r>
      <w:r>
        <w:rPr>
          <w:rFonts w:hint="eastAsia" w:ascii="方正仿宋_GB2312" w:hAnsi="方正仿宋_GB2312" w:eastAsia="方正仿宋_GB2312" w:cs="方正仿宋_GB2312"/>
          <w:sz w:val="32"/>
          <w:szCs w:val="32"/>
          <w:lang w:val="zh-CN"/>
        </w:rPr>
        <w:fldChar w:fldCharType="begin"/>
      </w:r>
      <w:r>
        <w:rPr>
          <w:rFonts w:hint="eastAsia" w:ascii="方正仿宋_GB2312" w:hAnsi="方正仿宋_GB2312" w:eastAsia="方正仿宋_GB2312" w:cs="方正仿宋_GB2312"/>
          <w:sz w:val="32"/>
          <w:szCs w:val="32"/>
          <w:lang w:val="zh-CN"/>
        </w:rPr>
        <w:instrText xml:space="preserve"> HYPERLINK "http://www.3722.cn/softdown/index1.asp?keyword=%BB%E1%BC%C6" \t "http://www.3722.cn/softdown/_blank" </w:instrText>
      </w:r>
      <w:r>
        <w:rPr>
          <w:rFonts w:hint="eastAsia" w:ascii="方正仿宋_GB2312" w:hAnsi="方正仿宋_GB2312" w:eastAsia="方正仿宋_GB2312" w:cs="方正仿宋_GB2312"/>
          <w:sz w:val="32"/>
          <w:szCs w:val="32"/>
          <w:lang w:val="zh-CN"/>
        </w:rPr>
        <w:fldChar w:fldCharType="separate"/>
      </w:r>
      <w:r>
        <w:rPr>
          <w:rFonts w:hint="eastAsia" w:ascii="方正仿宋_GB2312" w:hAnsi="方正仿宋_GB2312" w:eastAsia="方正仿宋_GB2312" w:cs="方正仿宋_GB2312"/>
          <w:sz w:val="32"/>
          <w:szCs w:val="32"/>
          <w:lang w:val="zh-CN"/>
        </w:rPr>
        <w:t>会计</w:t>
      </w:r>
      <w:r>
        <w:rPr>
          <w:rFonts w:hint="eastAsia" w:ascii="方正仿宋_GB2312" w:hAnsi="方正仿宋_GB2312" w:eastAsia="方正仿宋_GB2312" w:cs="方正仿宋_GB2312"/>
          <w:sz w:val="32"/>
          <w:szCs w:val="32"/>
          <w:lang w:val="zh-CN"/>
        </w:rPr>
        <w:fldChar w:fldCharType="end"/>
      </w:r>
      <w:r>
        <w:rPr>
          <w:rFonts w:hint="eastAsia" w:ascii="方正仿宋_GB2312" w:hAnsi="方正仿宋_GB2312" w:eastAsia="方正仿宋_GB2312" w:cs="方正仿宋_GB2312"/>
          <w:sz w:val="32"/>
          <w:szCs w:val="32"/>
          <w:lang w:val="zh-CN"/>
        </w:rPr>
        <w:t>资料真实、完整，做好财务管理基础工作，建立健全核算体系，做好项目</w:t>
      </w:r>
      <w:r>
        <w:rPr>
          <w:rFonts w:hint="eastAsia" w:ascii="方正仿宋_GB2312" w:hAnsi="方正仿宋_GB2312" w:eastAsia="方正仿宋_GB2312" w:cs="方正仿宋_GB2312"/>
          <w:sz w:val="32"/>
          <w:szCs w:val="32"/>
          <w:lang w:val="zh-CN"/>
        </w:rPr>
        <w:fldChar w:fldCharType="begin"/>
      </w:r>
      <w:r>
        <w:rPr>
          <w:rFonts w:hint="eastAsia" w:ascii="方正仿宋_GB2312" w:hAnsi="方正仿宋_GB2312" w:eastAsia="方正仿宋_GB2312" w:cs="方正仿宋_GB2312"/>
          <w:sz w:val="32"/>
          <w:szCs w:val="32"/>
          <w:lang w:val="zh-CN"/>
        </w:rPr>
        <w:instrText xml:space="preserve"> HYPERLINK "http://www.3722.cn/softdown/index1.asp?keyword=%D4%A4%CB%E3" \t "http://www.3722.cn/softdown/_blank" </w:instrText>
      </w:r>
      <w:r>
        <w:rPr>
          <w:rFonts w:hint="eastAsia" w:ascii="方正仿宋_GB2312" w:hAnsi="方正仿宋_GB2312" w:eastAsia="方正仿宋_GB2312" w:cs="方正仿宋_GB2312"/>
          <w:sz w:val="32"/>
          <w:szCs w:val="32"/>
          <w:lang w:val="zh-CN"/>
        </w:rPr>
        <w:fldChar w:fldCharType="separate"/>
      </w:r>
      <w:r>
        <w:rPr>
          <w:rFonts w:hint="eastAsia" w:ascii="方正仿宋_GB2312" w:hAnsi="方正仿宋_GB2312" w:eastAsia="方正仿宋_GB2312" w:cs="方正仿宋_GB2312"/>
          <w:sz w:val="32"/>
          <w:szCs w:val="32"/>
          <w:lang w:val="zh-CN"/>
        </w:rPr>
        <w:t>预算</w:t>
      </w:r>
      <w:r>
        <w:rPr>
          <w:rFonts w:hint="eastAsia" w:ascii="方正仿宋_GB2312" w:hAnsi="方正仿宋_GB2312" w:eastAsia="方正仿宋_GB2312" w:cs="方正仿宋_GB2312"/>
          <w:sz w:val="32"/>
          <w:szCs w:val="32"/>
          <w:lang w:val="zh-CN"/>
        </w:rPr>
        <w:fldChar w:fldCharType="end"/>
      </w:r>
      <w:r>
        <w:rPr>
          <w:rFonts w:hint="eastAsia" w:ascii="方正仿宋_GB2312" w:hAnsi="方正仿宋_GB2312" w:eastAsia="方正仿宋_GB2312" w:cs="方正仿宋_GB2312"/>
          <w:sz w:val="32"/>
          <w:szCs w:val="32"/>
          <w:lang w:val="zh-CN"/>
        </w:rPr>
        <w:t>收支工作。保证资金正常运行，维护资金</w:t>
      </w:r>
      <w:r>
        <w:rPr>
          <w:rFonts w:hint="eastAsia" w:ascii="方正仿宋_GB2312" w:hAnsi="方正仿宋_GB2312" w:eastAsia="方正仿宋_GB2312" w:cs="方正仿宋_GB2312"/>
          <w:sz w:val="32"/>
          <w:szCs w:val="32"/>
          <w:lang w:val="zh-CN"/>
        </w:rPr>
        <w:fldChar w:fldCharType="begin"/>
      </w:r>
      <w:r>
        <w:rPr>
          <w:rFonts w:hint="eastAsia" w:ascii="方正仿宋_GB2312" w:hAnsi="方正仿宋_GB2312" w:eastAsia="方正仿宋_GB2312" w:cs="方正仿宋_GB2312"/>
          <w:sz w:val="32"/>
          <w:szCs w:val="32"/>
          <w:lang w:val="zh-CN"/>
        </w:rPr>
        <w:instrText xml:space="preserve"> HYPERLINK "http://www.3722.cn/softdown/index1.asp?keyword=%B0%B2%C8%AB" \t "http://www.3722.cn/softdown/_blank" </w:instrText>
      </w:r>
      <w:r>
        <w:rPr>
          <w:rFonts w:hint="eastAsia" w:ascii="方正仿宋_GB2312" w:hAnsi="方正仿宋_GB2312" w:eastAsia="方正仿宋_GB2312" w:cs="方正仿宋_GB2312"/>
          <w:sz w:val="32"/>
          <w:szCs w:val="32"/>
          <w:lang w:val="zh-CN"/>
        </w:rPr>
        <w:fldChar w:fldCharType="separate"/>
      </w:r>
      <w:r>
        <w:rPr>
          <w:rFonts w:hint="eastAsia" w:ascii="方正仿宋_GB2312" w:hAnsi="方正仿宋_GB2312" w:eastAsia="方正仿宋_GB2312" w:cs="方正仿宋_GB2312"/>
          <w:sz w:val="32"/>
          <w:szCs w:val="32"/>
          <w:lang w:val="zh-CN"/>
        </w:rPr>
        <w:t>安全</w:t>
      </w:r>
      <w:r>
        <w:rPr>
          <w:rFonts w:hint="eastAsia" w:ascii="方正仿宋_GB2312" w:hAnsi="方正仿宋_GB2312" w:eastAsia="方正仿宋_GB2312" w:cs="方正仿宋_GB2312"/>
          <w:sz w:val="32"/>
          <w:szCs w:val="32"/>
          <w:lang w:val="zh-CN"/>
        </w:rPr>
        <w:fldChar w:fldCharType="end"/>
      </w:r>
      <w:r>
        <w:rPr>
          <w:rFonts w:hint="eastAsia" w:ascii="方正仿宋_GB2312" w:hAnsi="方正仿宋_GB2312" w:eastAsia="方正仿宋_GB2312" w:cs="方正仿宋_GB2312"/>
          <w:sz w:val="32"/>
          <w:szCs w:val="32"/>
          <w:lang w:val="zh-CN"/>
        </w:rPr>
        <w:t>，努力提高资金使用效率。二是加强财务核算，提高会计核算精准性，确保会计</w:t>
      </w:r>
      <w:r>
        <w:rPr>
          <w:rFonts w:hint="eastAsia" w:ascii="方正仿宋_GB2312" w:hAnsi="方正仿宋_GB2312" w:eastAsia="方正仿宋_GB2312" w:cs="方正仿宋_GB2312"/>
          <w:sz w:val="32"/>
          <w:szCs w:val="32"/>
          <w:lang w:val="zh-CN"/>
        </w:rPr>
        <w:fldChar w:fldCharType="begin"/>
      </w:r>
      <w:r>
        <w:rPr>
          <w:rFonts w:hint="eastAsia" w:ascii="方正仿宋_GB2312" w:hAnsi="方正仿宋_GB2312" w:eastAsia="方正仿宋_GB2312" w:cs="方正仿宋_GB2312"/>
          <w:sz w:val="32"/>
          <w:szCs w:val="32"/>
          <w:lang w:val="zh-CN"/>
        </w:rPr>
        <w:instrText xml:space="preserve"> HYPERLINK "http://www.3722.cn/softdown/index1.asp?keyword=%D0%C5%CF%A2" \t "http://www.3722.cn/softdown/_blank" </w:instrText>
      </w:r>
      <w:r>
        <w:rPr>
          <w:rFonts w:hint="eastAsia" w:ascii="方正仿宋_GB2312" w:hAnsi="方正仿宋_GB2312" w:eastAsia="方正仿宋_GB2312" w:cs="方正仿宋_GB2312"/>
          <w:sz w:val="32"/>
          <w:szCs w:val="32"/>
          <w:lang w:val="zh-CN"/>
        </w:rPr>
        <w:fldChar w:fldCharType="separate"/>
      </w:r>
      <w:r>
        <w:rPr>
          <w:rFonts w:hint="eastAsia" w:ascii="方正仿宋_GB2312" w:hAnsi="方正仿宋_GB2312" w:eastAsia="方正仿宋_GB2312" w:cs="方正仿宋_GB2312"/>
          <w:sz w:val="32"/>
          <w:szCs w:val="32"/>
          <w:lang w:val="zh-CN"/>
        </w:rPr>
        <w:t>信息</w:t>
      </w:r>
      <w:r>
        <w:rPr>
          <w:rFonts w:hint="eastAsia" w:ascii="方正仿宋_GB2312" w:hAnsi="方正仿宋_GB2312" w:eastAsia="方正仿宋_GB2312" w:cs="方正仿宋_GB2312"/>
          <w:sz w:val="32"/>
          <w:szCs w:val="32"/>
          <w:lang w:val="zh-CN"/>
        </w:rPr>
        <w:fldChar w:fldCharType="end"/>
      </w:r>
      <w:r>
        <w:rPr>
          <w:rFonts w:hint="eastAsia" w:ascii="方正仿宋_GB2312" w:hAnsi="方正仿宋_GB2312" w:eastAsia="方正仿宋_GB2312" w:cs="方正仿宋_GB2312"/>
          <w:sz w:val="32"/>
          <w:szCs w:val="32"/>
          <w:lang w:val="zh-CN"/>
        </w:rPr>
        <w:t>的真实性和完整性，按期如实编制项目财务会计报表。项目相关部门和业务经办人员严格遵守财务管理制度，</w:t>
      </w:r>
      <w:r>
        <w:rPr>
          <w:rFonts w:hint="eastAsia" w:ascii="方正仿宋_GB2312" w:hAnsi="方正仿宋_GB2312" w:eastAsia="方正仿宋_GB2312" w:cs="方正仿宋_GB2312"/>
          <w:sz w:val="32"/>
          <w:szCs w:val="32"/>
          <w:lang w:val="zh-CN"/>
        </w:rPr>
        <w:fldChar w:fldCharType="begin"/>
      </w:r>
      <w:r>
        <w:rPr>
          <w:rFonts w:hint="eastAsia" w:ascii="方正仿宋_GB2312" w:hAnsi="方正仿宋_GB2312" w:eastAsia="方正仿宋_GB2312" w:cs="方正仿宋_GB2312"/>
          <w:sz w:val="32"/>
          <w:szCs w:val="32"/>
          <w:lang w:val="zh-CN"/>
        </w:rPr>
        <w:instrText xml:space="preserve"> HYPERLINK "http://www.3722.cn/softdown/index1.asp?keyword=%B2%C6%CE%F1%C8%CB%D4%B1" \t "http://www.3722.cn/softdown/_blank" </w:instrText>
      </w:r>
      <w:r>
        <w:rPr>
          <w:rFonts w:hint="eastAsia" w:ascii="方正仿宋_GB2312" w:hAnsi="方正仿宋_GB2312" w:eastAsia="方正仿宋_GB2312" w:cs="方正仿宋_GB2312"/>
          <w:sz w:val="32"/>
          <w:szCs w:val="32"/>
          <w:lang w:val="zh-CN"/>
        </w:rPr>
        <w:fldChar w:fldCharType="separate"/>
      </w:r>
      <w:r>
        <w:rPr>
          <w:rFonts w:hint="eastAsia" w:ascii="方正仿宋_GB2312" w:hAnsi="方正仿宋_GB2312" w:eastAsia="方正仿宋_GB2312" w:cs="方正仿宋_GB2312"/>
          <w:sz w:val="32"/>
          <w:szCs w:val="32"/>
          <w:lang w:val="zh-CN"/>
        </w:rPr>
        <w:t>财务人员</w:t>
      </w:r>
      <w:r>
        <w:rPr>
          <w:rFonts w:hint="eastAsia" w:ascii="方正仿宋_GB2312" w:hAnsi="方正仿宋_GB2312" w:eastAsia="方正仿宋_GB2312" w:cs="方正仿宋_GB2312"/>
          <w:sz w:val="32"/>
          <w:szCs w:val="32"/>
          <w:lang w:val="zh-CN"/>
        </w:rPr>
        <w:fldChar w:fldCharType="end"/>
      </w:r>
      <w:r>
        <w:rPr>
          <w:rFonts w:hint="eastAsia" w:ascii="方正仿宋_GB2312" w:hAnsi="方正仿宋_GB2312" w:eastAsia="方正仿宋_GB2312" w:cs="方正仿宋_GB2312"/>
          <w:sz w:val="32"/>
          <w:szCs w:val="32"/>
          <w:lang w:val="zh-CN"/>
        </w:rPr>
        <w:t>按照项目资金管理办法使用项目资金，严格按管理制度办事。</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left="640" w:leftChars="0"/>
        <w:textAlignment w:val="auto"/>
        <w:rPr>
          <w:rFonts w:hint="eastAsia" w:ascii="黑体" w:hAnsi="宋体" w:eastAsia="黑体" w:cs="Times New Roman"/>
          <w:color w:val="auto"/>
          <w:sz w:val="32"/>
          <w:szCs w:val="32"/>
          <w:highlight w:val="none"/>
        </w:rPr>
      </w:pPr>
      <w:r>
        <w:rPr>
          <w:rFonts w:hint="eastAsia" w:ascii="方正仿宋_GB2312" w:hAnsi="方正仿宋_GB2312" w:eastAsia="方正仿宋_GB2312" w:cs="方正仿宋_GB2312"/>
          <w:b/>
          <w:bCs/>
          <w:sz w:val="32"/>
          <w:szCs w:val="32"/>
          <w:lang w:val="en-US" w:eastAsia="zh-CN"/>
        </w:rPr>
        <w:t>三、</w:t>
      </w:r>
      <w:r>
        <w:rPr>
          <w:rFonts w:hint="eastAsia" w:ascii="方正仿宋_GB2312" w:hAnsi="方正仿宋_GB2312" w:eastAsia="方正仿宋_GB2312" w:cs="方正仿宋_GB2312"/>
          <w:b w:val="0"/>
          <w:bCs w:val="0"/>
          <w:sz w:val="32"/>
          <w:szCs w:val="32"/>
          <w:lang w:val="zh-CN" w:eastAsia="zh-CN"/>
        </w:rPr>
        <w:t> </w:t>
      </w:r>
      <w:r>
        <w:rPr>
          <w:rFonts w:hint="eastAsia" w:ascii="黑体" w:hAnsi="宋体" w:eastAsia="黑体" w:cs="Times New Roman"/>
          <w:color w:val="auto"/>
          <w:sz w:val="32"/>
          <w:szCs w:val="32"/>
          <w:highlight w:val="none"/>
        </w:rPr>
        <w:t>项目实施及管理情况</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一</w:t>
      </w:r>
      <w:r>
        <w:rPr>
          <w:rFonts w:hint="eastAsia" w:ascii="楷体_GB2312" w:hAnsi="宋体" w:eastAsia="楷体_GB2312" w:cs="Times New Roman"/>
          <w:b/>
          <w:color w:val="auto"/>
          <w:sz w:val="32"/>
          <w:szCs w:val="32"/>
          <w:highlight w:val="none"/>
          <w:lang w:val="zh-CN"/>
        </w:rPr>
        <w:t>）项目组织架构及实施流程。</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ascii="方正仿宋_GB2312" w:hAnsi="方正仿宋_GB2312" w:eastAsia="方正仿宋_GB2312" w:cs="方正仿宋_GB2312"/>
          <w:kern w:val="2"/>
          <w:sz w:val="32"/>
          <w:szCs w:val="32"/>
          <w:lang w:val="zh-CN" w:eastAsia="zh-CN" w:bidi="ar-SA"/>
        </w:rPr>
      </w:pPr>
      <w:r>
        <w:rPr>
          <w:rFonts w:hint="eastAsia" w:ascii="方正仿宋_GB2312" w:hAnsi="方正仿宋_GB2312" w:eastAsia="方正仿宋_GB2312" w:cs="方正仿宋_GB2312"/>
          <w:kern w:val="2"/>
          <w:sz w:val="32"/>
          <w:szCs w:val="32"/>
          <w:lang w:val="en-US" w:eastAsia="zh-CN" w:bidi="ar-SA"/>
        </w:rPr>
        <w:t>该项目由市实践基地负责项目实施、资金拨付，实施过程中严格按照规定进行维修改造工作开展，项目主要</w:t>
      </w:r>
      <w:r>
        <w:rPr>
          <w:rFonts w:hint="eastAsia" w:ascii="方正仿宋_GB2312" w:hAnsi="方正仿宋_GB2312" w:eastAsia="方正仿宋_GB2312" w:cs="方正仿宋_GB2312"/>
          <w:kern w:val="2"/>
          <w:sz w:val="32"/>
          <w:szCs w:val="32"/>
          <w:lang w:val="zh-CN" w:eastAsia="zh-CN" w:bidi="ar-SA"/>
        </w:rPr>
        <w:t>分为教学实践区、学生宿舍区、学生生活区、户外体验区等，建</w:t>
      </w:r>
      <w:r>
        <w:rPr>
          <w:rFonts w:hint="eastAsia" w:ascii="方正仿宋_GB2312" w:hAnsi="方正仿宋_GB2312" w:eastAsia="方正仿宋_GB2312" w:cs="方正仿宋_GB2312"/>
          <w:kern w:val="2"/>
          <w:sz w:val="32"/>
          <w:szCs w:val="32"/>
          <w:lang w:val="en-US" w:eastAsia="zh-CN" w:bidi="ar-SA"/>
        </w:rPr>
        <w:t>立</w:t>
      </w:r>
      <w:r>
        <w:rPr>
          <w:rFonts w:hint="eastAsia" w:ascii="方正仿宋_GB2312" w:hAnsi="方正仿宋_GB2312" w:eastAsia="方正仿宋_GB2312" w:cs="方正仿宋_GB2312"/>
          <w:kern w:val="2"/>
          <w:sz w:val="32"/>
          <w:szCs w:val="32"/>
          <w:lang w:val="zh-CN" w:eastAsia="zh-CN" w:bidi="ar-SA"/>
        </w:rPr>
        <w:t>科技创新、科普、生态环保、人防等16个体验场馆、30多个实训体验室。</w:t>
      </w:r>
      <w:r>
        <w:rPr>
          <w:rFonts w:hint="eastAsia" w:ascii="方正仿宋_GB2312" w:hAnsi="方正仿宋_GB2312" w:eastAsia="方正仿宋_GB2312" w:cs="方正仿宋_GB2312"/>
          <w:kern w:val="2"/>
          <w:sz w:val="32"/>
          <w:szCs w:val="32"/>
          <w:lang w:val="en-US" w:eastAsia="zh-CN" w:bidi="ar-SA"/>
        </w:rPr>
        <w:t>实践基地</w:t>
      </w:r>
      <w:r>
        <w:rPr>
          <w:rFonts w:hint="eastAsia" w:ascii="方正仿宋_GB2312" w:hAnsi="方正仿宋_GB2312" w:eastAsia="方正仿宋_GB2312" w:cs="方正仿宋_GB2312"/>
          <w:kern w:val="2"/>
          <w:sz w:val="32"/>
          <w:szCs w:val="32"/>
          <w:lang w:val="zh-CN" w:eastAsia="zh-CN" w:bidi="ar-SA"/>
        </w:rPr>
        <w:t>坚持定期巡查，及时发现并解决问题。</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eastAsia="仿宋_GB2312"/>
          <w:lang w:val="en-US" w:eastAsia="zh-CN"/>
        </w:rPr>
      </w:pPr>
      <w:r>
        <w:rPr>
          <w:rFonts w:hint="eastAsia" w:ascii="方正仿宋_GB2312" w:hAnsi="方正仿宋_GB2312" w:eastAsia="方正仿宋_GB2312" w:cs="方正仿宋_GB2312"/>
          <w:kern w:val="2"/>
          <w:sz w:val="32"/>
          <w:szCs w:val="32"/>
          <w:lang w:val="en-US" w:eastAsia="zh-CN" w:bidi="ar-SA"/>
        </w:rPr>
        <w:t>资金支出中</w:t>
      </w:r>
      <w:r>
        <w:rPr>
          <w:rFonts w:hint="eastAsia" w:ascii="方正仿宋_GB2312" w:hAnsi="方正仿宋_GB2312" w:eastAsia="方正仿宋_GB2312" w:cs="方正仿宋_GB2312"/>
          <w:b w:val="0"/>
          <w:bCs w:val="0"/>
          <w:sz w:val="32"/>
          <w:szCs w:val="32"/>
          <w:lang w:val="zh-CN" w:eastAsia="zh-CN"/>
        </w:rPr>
        <w:t>严格执行《预算法》，强化支出责任，提高项目资金使用效益，对项目支出情况开展绩效评价，践行“花钱必问效、无效必问责”。及时了解和掌握项目实施的具体情况，评价其项目资金安排的科学性、合理性、规范性和资金使用成效，及时总结项目管理经验，完善项目管理办法，提高项目管理水平和资金的使用效益。促使项目承担科室及项目分管领导，对绩效评价中发现的问题，认真整改，及时调整和完善单位的工作计划和绩效目标，提高管理水平，同时为项目后续资金投入、分配和管理提供决策依据。</w:t>
      </w:r>
    </w:p>
    <w:p>
      <w:pPr>
        <w:pStyle w:val="33"/>
        <w:numPr>
          <w:ilvl w:val="0"/>
          <w:numId w:val="0"/>
        </w:numPr>
        <w:ind w:left="720" w:leftChars="0"/>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）项目管理情况。</w:t>
      </w:r>
    </w:p>
    <w:p>
      <w:pPr>
        <w:pStyle w:val="33"/>
        <w:numPr>
          <w:ilvl w:val="0"/>
          <w:numId w:val="0"/>
        </w:numPr>
        <w:ind w:firstLine="960" w:firstLineChars="300"/>
        <w:rPr>
          <w:rFonts w:hint="eastAsia" w:ascii="仿宋_GB2312" w:hAnsi="宋体" w:eastAsia="仿宋_GB2312" w:cs="Times New Roman"/>
          <w:color w:val="auto"/>
          <w:sz w:val="32"/>
          <w:szCs w:val="32"/>
          <w:highlight w:val="none"/>
          <w:lang w:val="zh-CN" w:eastAsia="zh-CN"/>
        </w:rPr>
      </w:pPr>
      <w:r>
        <w:rPr>
          <w:rFonts w:hint="eastAsia" w:ascii="仿宋_GB2312" w:hAnsi="宋体" w:eastAsia="仿宋_GB2312" w:cs="Times New Roman"/>
          <w:color w:val="auto"/>
          <w:sz w:val="32"/>
          <w:szCs w:val="32"/>
          <w:highlight w:val="none"/>
          <w:lang w:val="zh-CN" w:eastAsia="zh-CN"/>
        </w:rPr>
        <w:t>项目实施</w:t>
      </w:r>
      <w:r>
        <w:rPr>
          <w:rFonts w:hint="eastAsia" w:ascii="仿宋_GB2312" w:hAnsi="宋体" w:eastAsia="仿宋_GB2312" w:cs="Times New Roman"/>
          <w:color w:val="auto"/>
          <w:sz w:val="32"/>
          <w:szCs w:val="32"/>
          <w:highlight w:val="none"/>
          <w:lang w:val="en-US" w:eastAsia="zh-CN"/>
        </w:rPr>
        <w:t>过程中，严格按照</w:t>
      </w:r>
      <w:r>
        <w:rPr>
          <w:rFonts w:hint="eastAsia" w:ascii="仿宋_GB2312" w:hAnsi="宋体" w:eastAsia="仿宋_GB2312" w:cs="Times New Roman"/>
          <w:color w:val="auto"/>
          <w:sz w:val="32"/>
          <w:szCs w:val="32"/>
          <w:highlight w:val="none"/>
          <w:lang w:val="zh-CN" w:eastAsia="zh-CN"/>
        </w:rPr>
        <w:t>相关法律法规及项目管理制度等</w:t>
      </w:r>
      <w:r>
        <w:rPr>
          <w:rFonts w:hint="eastAsia" w:ascii="仿宋_GB2312" w:hAnsi="宋体" w:eastAsia="仿宋_GB2312" w:cs="Times New Roman"/>
          <w:color w:val="auto"/>
          <w:sz w:val="32"/>
          <w:szCs w:val="32"/>
          <w:highlight w:val="none"/>
          <w:lang w:val="en-US" w:eastAsia="zh-CN"/>
        </w:rPr>
        <w:t>相关规定</w:t>
      </w:r>
      <w:r>
        <w:rPr>
          <w:rFonts w:hint="eastAsia" w:ascii="仿宋_GB2312" w:hAnsi="宋体" w:eastAsia="仿宋_GB2312" w:cs="Times New Roman"/>
          <w:color w:val="auto"/>
          <w:sz w:val="32"/>
          <w:szCs w:val="32"/>
          <w:highlight w:val="none"/>
          <w:lang w:val="zh-CN" w:eastAsia="zh-CN"/>
        </w:rPr>
        <w:t>执行。</w:t>
      </w:r>
    </w:p>
    <w:p>
      <w:pPr>
        <w:pStyle w:val="33"/>
        <w:numPr>
          <w:ilvl w:val="0"/>
          <w:numId w:val="25"/>
        </w:numPr>
        <w:ind w:left="0" w:leftChars="0" w:firstLine="720" w:firstLineChars="0"/>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项目监管情况。</w:t>
      </w:r>
    </w:p>
    <w:p>
      <w:pPr>
        <w:pStyle w:val="33"/>
        <w:numPr>
          <w:ilvl w:val="0"/>
          <w:numId w:val="0"/>
        </w:numPr>
        <w:ind w:firstLine="960" w:firstLineChars="300"/>
        <w:rPr>
          <w:rFonts w:hint="eastAsia" w:ascii="仿宋_GB2312" w:hAnsi="仿宋_GB2312" w:eastAsia="仿宋_GB2312" w:cs="仿宋_GB2312"/>
          <w:color w:val="000000"/>
          <w:sz w:val="32"/>
          <w:szCs w:val="32"/>
        </w:rPr>
      </w:pPr>
      <w:r>
        <w:rPr>
          <w:rFonts w:hint="eastAsia" w:ascii="仿宋_GB2312" w:hAnsi="宋体" w:eastAsia="仿宋_GB2312" w:cs="Times New Roman"/>
          <w:color w:val="auto"/>
          <w:sz w:val="32"/>
          <w:szCs w:val="32"/>
          <w:highlight w:val="none"/>
          <w:lang w:val="en-US" w:eastAsia="zh-CN"/>
        </w:rPr>
        <w:t>市教育局</w:t>
      </w:r>
      <w:r>
        <w:rPr>
          <w:rFonts w:hint="eastAsia" w:ascii="仿宋_GB2312" w:hAnsi="宋体" w:eastAsia="仿宋_GB2312" w:cs="Times New Roman"/>
          <w:color w:val="auto"/>
          <w:sz w:val="32"/>
          <w:szCs w:val="32"/>
          <w:highlight w:val="none"/>
          <w:lang w:val="zh-CN" w:eastAsia="zh-CN"/>
        </w:rPr>
        <w:t>加强</w:t>
      </w:r>
      <w:r>
        <w:rPr>
          <w:rFonts w:hint="eastAsia" w:ascii="仿宋_GB2312" w:hAnsi="宋体" w:eastAsia="仿宋_GB2312" w:cs="Times New Roman"/>
          <w:color w:val="auto"/>
          <w:sz w:val="32"/>
          <w:szCs w:val="32"/>
          <w:highlight w:val="none"/>
          <w:lang w:val="en-US" w:eastAsia="zh-CN"/>
        </w:rPr>
        <w:t>该</w:t>
      </w:r>
      <w:r>
        <w:rPr>
          <w:rFonts w:hint="eastAsia" w:ascii="仿宋_GB2312" w:hAnsi="宋体" w:eastAsia="仿宋_GB2312" w:cs="Times New Roman"/>
          <w:color w:val="auto"/>
          <w:sz w:val="32"/>
          <w:szCs w:val="32"/>
          <w:highlight w:val="none"/>
          <w:lang w:val="zh-CN" w:eastAsia="zh-CN"/>
        </w:rPr>
        <w:t>项目</w:t>
      </w:r>
      <w:r>
        <w:rPr>
          <w:rFonts w:hint="eastAsia" w:ascii="仿宋_GB2312" w:hAnsi="宋体" w:eastAsia="仿宋_GB2312" w:cs="Times New Roman"/>
          <w:color w:val="auto"/>
          <w:sz w:val="32"/>
          <w:szCs w:val="32"/>
          <w:highlight w:val="none"/>
          <w:lang w:val="en-US" w:eastAsia="zh-CN"/>
        </w:rPr>
        <w:t>实施</w:t>
      </w:r>
      <w:r>
        <w:rPr>
          <w:rFonts w:hint="eastAsia" w:ascii="仿宋_GB2312" w:hAnsi="宋体" w:eastAsia="仿宋_GB2312" w:cs="Times New Roman"/>
          <w:color w:val="auto"/>
          <w:sz w:val="32"/>
          <w:szCs w:val="32"/>
          <w:highlight w:val="none"/>
          <w:lang w:val="zh-CN" w:eastAsia="zh-CN"/>
        </w:rPr>
        <w:t>管理，</w:t>
      </w:r>
      <w:r>
        <w:rPr>
          <w:rFonts w:hint="eastAsia" w:ascii="仿宋_GB2312" w:hAnsi="宋体" w:eastAsia="仿宋_GB2312" w:cs="Times New Roman"/>
          <w:color w:val="auto"/>
          <w:sz w:val="32"/>
          <w:szCs w:val="32"/>
          <w:highlight w:val="none"/>
          <w:lang w:val="en-US" w:eastAsia="zh-CN"/>
        </w:rPr>
        <w:t>严格资金支付程序，注重维修改造工程质量。该项目在2021年顺利完成，保障了实践基地维修改造项目工作的有序开展，并取得了良好的成效。</w:t>
      </w:r>
    </w:p>
    <w:p>
      <w:pPr>
        <w:numPr>
          <w:ilvl w:val="0"/>
          <w:numId w:val="0"/>
        </w:numPr>
        <w:adjustRightInd w:val="0"/>
        <w:snapToGrid w:val="0"/>
        <w:spacing w:line="600" w:lineRule="exact"/>
        <w:ind w:left="720" w:leftChars="0"/>
        <w:rPr>
          <w:rFonts w:hint="eastAsia" w:ascii="黑体" w:hAnsi="黑体" w:eastAsia="黑体" w:cs="黑体"/>
          <w:color w:val="000000"/>
          <w:sz w:val="32"/>
          <w:szCs w:val="32"/>
        </w:rPr>
      </w:pPr>
      <w:r>
        <w:rPr>
          <w:rFonts w:hint="eastAsia" w:ascii="黑体" w:hAnsi="黑体" w:eastAsia="黑体" w:cs="黑体"/>
          <w:color w:val="000000"/>
          <w:sz w:val="32"/>
          <w:szCs w:val="32"/>
          <w:lang w:val="en-US" w:eastAsia="zh-CN"/>
        </w:rPr>
        <w:t>四</w:t>
      </w:r>
      <w:r>
        <w:rPr>
          <w:rFonts w:hint="eastAsia" w:ascii="黑体" w:hAnsi="黑体" w:eastAsia="黑体" w:cs="黑体"/>
          <w:color w:val="000000"/>
          <w:sz w:val="32"/>
          <w:szCs w:val="32"/>
        </w:rPr>
        <w:t>、项目绩效情况</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（一）项目完成情况</w:t>
      </w:r>
    </w:p>
    <w:p>
      <w:pPr>
        <w:pStyle w:val="2"/>
        <w:ind w:firstLine="640" w:firstLineChars="200"/>
        <w:rPr>
          <w:rFonts w:hint="eastAsia"/>
        </w:rPr>
      </w:pPr>
      <w:r>
        <w:rPr>
          <w:rFonts w:hint="eastAsia" w:ascii="方正仿宋_GB2312" w:hAnsi="方正仿宋_GB2312" w:eastAsia="方正仿宋_GB2312" w:cs="方正仿宋_GB2312"/>
          <w:b w:val="0"/>
          <w:bCs w:val="0"/>
          <w:kern w:val="2"/>
          <w:sz w:val="32"/>
          <w:szCs w:val="32"/>
          <w:lang w:val="en-US" w:eastAsia="zh-CN" w:bidi="ar-SA"/>
        </w:rPr>
        <w:t>实践基地维修改造项目在2021年顺利完成实施，并对其进行常态化管理。全域推进劳动教育试验区创新发展，科学推进劳动与实践基地内涵建设，建设中西部研学实践教育中心。</w:t>
      </w:r>
    </w:p>
    <w:p>
      <w:pPr>
        <w:numPr>
          <w:ilvl w:val="0"/>
          <w:numId w:val="0"/>
        </w:num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lang w:eastAsia="zh-CN"/>
        </w:rPr>
        <w:t>（</w:t>
      </w:r>
      <w:r>
        <w:rPr>
          <w:rFonts w:hint="eastAsia" w:ascii="楷体_GB2312" w:hAnsi="楷体_GB2312" w:eastAsia="楷体_GB2312" w:cs="楷体_GB2312"/>
          <w:b/>
          <w:color w:val="000000"/>
          <w:sz w:val="32"/>
          <w:szCs w:val="32"/>
          <w:lang w:val="en-US" w:eastAsia="zh-CN"/>
        </w:rPr>
        <w:t>二</w:t>
      </w:r>
      <w:r>
        <w:rPr>
          <w:rFonts w:hint="eastAsia" w:ascii="楷体_GB2312" w:hAnsi="楷体_GB2312" w:eastAsia="楷体_GB2312" w:cs="楷体_GB2312"/>
          <w:b/>
          <w:color w:val="000000"/>
          <w:sz w:val="32"/>
          <w:szCs w:val="32"/>
          <w:lang w:eastAsia="zh-CN"/>
        </w:rPr>
        <w:t>）</w:t>
      </w:r>
      <w:r>
        <w:rPr>
          <w:rFonts w:hint="eastAsia" w:ascii="楷体_GB2312" w:hAnsi="楷体_GB2312" w:eastAsia="楷体_GB2312" w:cs="楷体_GB2312"/>
          <w:b/>
          <w:color w:val="000000"/>
          <w:sz w:val="32"/>
          <w:szCs w:val="32"/>
        </w:rPr>
        <w:t>项目效益情况</w:t>
      </w:r>
    </w:p>
    <w:p>
      <w:pPr>
        <w:pStyle w:val="6"/>
        <w:ind w:firstLine="640" w:firstLineChars="200"/>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项目效益情况分析：1.</w:t>
      </w:r>
      <w:r>
        <w:rPr>
          <w:rFonts w:hint="eastAsia" w:ascii="方正仿宋_GB2312" w:hAnsi="方正仿宋_GB2312" w:eastAsia="方正仿宋_GB2312" w:cs="方正仿宋_GB2312"/>
          <w:b w:val="0"/>
          <w:bCs w:val="0"/>
          <w:kern w:val="2"/>
          <w:sz w:val="32"/>
          <w:szCs w:val="32"/>
          <w:lang w:val="zh-CN" w:eastAsia="zh-CN" w:bidi="ar-SA"/>
        </w:rPr>
        <w:t>数量指标情况。</w:t>
      </w:r>
      <w:r>
        <w:rPr>
          <w:rFonts w:hint="eastAsia" w:ascii="方正仿宋_GB2312" w:hAnsi="方正仿宋_GB2312" w:eastAsia="方正仿宋_GB2312" w:cs="方正仿宋_GB2312"/>
          <w:b w:val="0"/>
          <w:bCs w:val="0"/>
          <w:kern w:val="2"/>
          <w:sz w:val="32"/>
          <w:szCs w:val="32"/>
          <w:lang w:val="en-US" w:eastAsia="zh-CN" w:bidi="ar-SA"/>
        </w:rPr>
        <w:t>参训师生对项目建设情况知晓率≧95%，体验场馆维修16个，实训体验室30个，完成修缮维护营地面积约1000平方米；2</w:t>
      </w:r>
      <w:r>
        <w:rPr>
          <w:rFonts w:hint="eastAsia" w:ascii="方正仿宋_GB2312" w:hAnsi="方正仿宋_GB2312" w:eastAsia="方正仿宋_GB2312" w:cs="方正仿宋_GB2312"/>
          <w:b w:val="0"/>
          <w:bCs w:val="0"/>
          <w:kern w:val="2"/>
          <w:sz w:val="32"/>
          <w:szCs w:val="32"/>
          <w:lang w:val="zh-CN" w:eastAsia="zh-CN" w:bidi="ar-SA"/>
        </w:rPr>
        <w:t>.时效指标情况。维修改造均在本年内完成，且验收率达</w:t>
      </w:r>
      <w:r>
        <w:rPr>
          <w:rFonts w:hint="eastAsia" w:ascii="方正仿宋_GB2312" w:hAnsi="方正仿宋_GB2312" w:eastAsia="方正仿宋_GB2312" w:cs="方正仿宋_GB2312"/>
          <w:b w:val="0"/>
          <w:bCs w:val="0"/>
          <w:kern w:val="2"/>
          <w:sz w:val="32"/>
          <w:szCs w:val="32"/>
          <w:lang w:val="en-US" w:eastAsia="zh-CN" w:bidi="ar-SA"/>
        </w:rPr>
        <w:t>100%。3.生态效益指标。维修改造过程中使用材料、产品环保率达100%。</w:t>
      </w:r>
      <w:r>
        <w:rPr>
          <w:rFonts w:hint="eastAsia" w:ascii="方正仿宋_GB2312" w:hAnsi="方正仿宋_GB2312" w:eastAsia="方正仿宋_GB2312" w:cs="方正仿宋_GB2312"/>
          <w:kern w:val="2"/>
          <w:sz w:val="32"/>
          <w:szCs w:val="32"/>
          <w:lang w:val="zh-CN" w:eastAsia="zh-CN" w:bidi="ar-SA"/>
        </w:rPr>
        <w:t>教育教学环境、功能场馆设施设备、宿舍安全等已基本整治到位，总体得到修复提升。</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cs="Times New Roman"/>
          <w:color w:val="auto"/>
          <w:sz w:val="32"/>
          <w:szCs w:val="32"/>
          <w:highlight w:val="none"/>
        </w:rPr>
      </w:pPr>
      <w:r>
        <w:rPr>
          <w:rFonts w:hint="eastAsia" w:ascii="黑体" w:hAnsi="宋体" w:eastAsia="黑体" w:cs="Times New Roman"/>
          <w:color w:val="auto"/>
          <w:sz w:val="32"/>
          <w:szCs w:val="32"/>
          <w:highlight w:val="none"/>
        </w:rPr>
        <w:t>五、评价结论及建议</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（一）评价结论。</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lang w:val="zh-CN"/>
        </w:rPr>
      </w:pPr>
      <w:r>
        <w:rPr>
          <w:rFonts w:hint="eastAsia" w:ascii="仿宋_GB2312" w:hAnsi="宋体" w:eastAsia="仿宋_GB2312" w:cs="Times New Roman"/>
          <w:color w:val="auto"/>
          <w:sz w:val="32"/>
          <w:szCs w:val="32"/>
          <w:highlight w:val="none"/>
          <w:lang w:val="en-US" w:eastAsia="zh-CN"/>
        </w:rPr>
        <w:t>该</w:t>
      </w:r>
      <w:r>
        <w:rPr>
          <w:rFonts w:hint="eastAsia" w:ascii="仿宋_GB2312" w:hAnsi="宋体" w:eastAsia="仿宋_GB2312" w:cs="Times New Roman"/>
          <w:color w:val="auto"/>
          <w:sz w:val="32"/>
          <w:szCs w:val="32"/>
          <w:highlight w:val="none"/>
          <w:lang w:val="zh-CN" w:eastAsia="zh-CN"/>
        </w:rPr>
        <w:t>项目的实施确保了</w:t>
      </w:r>
      <w:r>
        <w:rPr>
          <w:rFonts w:hint="eastAsia" w:ascii="仿宋_GB2312" w:hAnsi="宋体" w:eastAsia="仿宋_GB2312" w:cs="Times New Roman"/>
          <w:color w:val="auto"/>
          <w:sz w:val="32"/>
          <w:szCs w:val="32"/>
          <w:highlight w:val="none"/>
          <w:lang w:val="en-US" w:eastAsia="zh-CN"/>
        </w:rPr>
        <w:t>实践基地环境提升、</w:t>
      </w:r>
      <w:r>
        <w:rPr>
          <w:rFonts w:hint="eastAsia" w:ascii="方正仿宋_GB2312" w:hAnsi="方正仿宋_GB2312" w:eastAsia="方正仿宋_GB2312" w:cs="方正仿宋_GB2312"/>
          <w:kern w:val="2"/>
          <w:sz w:val="32"/>
          <w:szCs w:val="32"/>
          <w:lang w:val="zh-CN" w:eastAsia="zh-CN" w:bidi="ar-SA"/>
        </w:rPr>
        <w:t>功能场馆设施设备</w:t>
      </w:r>
      <w:r>
        <w:rPr>
          <w:rFonts w:hint="eastAsia" w:ascii="方正仿宋_GB2312" w:hAnsi="方正仿宋_GB2312" w:eastAsia="方正仿宋_GB2312" w:cs="方正仿宋_GB2312"/>
          <w:kern w:val="2"/>
          <w:sz w:val="32"/>
          <w:szCs w:val="32"/>
          <w:lang w:val="en-US" w:eastAsia="zh-CN" w:bidi="ar-SA"/>
        </w:rPr>
        <w:t>维修</w:t>
      </w:r>
      <w:r>
        <w:rPr>
          <w:rFonts w:hint="eastAsia" w:ascii="方正仿宋_GB2312" w:hAnsi="方正仿宋_GB2312" w:eastAsia="方正仿宋_GB2312" w:cs="方正仿宋_GB2312"/>
          <w:kern w:val="2"/>
          <w:sz w:val="32"/>
          <w:szCs w:val="32"/>
          <w:lang w:val="zh-CN" w:eastAsia="zh-CN" w:bidi="ar-SA"/>
        </w:rPr>
        <w:t>、宿舍安全</w:t>
      </w:r>
      <w:r>
        <w:rPr>
          <w:rFonts w:hint="eastAsia" w:ascii="方正仿宋_GB2312" w:hAnsi="方正仿宋_GB2312" w:eastAsia="方正仿宋_GB2312" w:cs="方正仿宋_GB2312"/>
          <w:kern w:val="2"/>
          <w:sz w:val="32"/>
          <w:szCs w:val="32"/>
          <w:lang w:val="en-US" w:eastAsia="zh-CN" w:bidi="ar-SA"/>
        </w:rPr>
        <w:t>保障工作</w:t>
      </w:r>
      <w:r>
        <w:rPr>
          <w:rFonts w:hint="eastAsia" w:ascii="仿宋_GB2312" w:hAnsi="宋体" w:eastAsia="仿宋_GB2312" w:cs="Times New Roman"/>
          <w:color w:val="auto"/>
          <w:sz w:val="32"/>
          <w:szCs w:val="32"/>
          <w:highlight w:val="none"/>
          <w:lang w:val="zh-CN" w:eastAsia="zh-CN"/>
        </w:rPr>
        <w:t>的顺利进行，</w:t>
      </w:r>
      <w:r>
        <w:rPr>
          <w:rFonts w:hint="eastAsia" w:ascii="仿宋_GB2312" w:hAnsi="宋体" w:eastAsia="仿宋_GB2312" w:cs="Times New Roman"/>
          <w:color w:val="auto"/>
          <w:sz w:val="32"/>
          <w:szCs w:val="32"/>
          <w:highlight w:val="none"/>
          <w:lang w:val="en-US" w:eastAsia="zh-CN"/>
        </w:rPr>
        <w:t>职工及社会</w:t>
      </w:r>
      <w:r>
        <w:rPr>
          <w:rFonts w:hint="eastAsia" w:ascii="仿宋_GB2312" w:hAnsi="宋体" w:eastAsia="仿宋_GB2312" w:cs="Times New Roman"/>
          <w:color w:val="auto"/>
          <w:sz w:val="32"/>
          <w:szCs w:val="32"/>
          <w:highlight w:val="none"/>
          <w:lang w:val="zh-CN" w:eastAsia="zh-CN"/>
        </w:rPr>
        <w:t>群众满意度较高。</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）存在的问题。</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方正仿宋_GB2312" w:hAnsi="方正仿宋_GB2312" w:eastAsia="方正仿宋_GB2312" w:cs="方正仿宋_GB2312"/>
          <w:b w:val="0"/>
          <w:bCs w:val="0"/>
          <w:sz w:val="32"/>
          <w:szCs w:val="32"/>
          <w:lang w:val="zh-CN"/>
        </w:rPr>
      </w:pPr>
      <w:r>
        <w:rPr>
          <w:rFonts w:hint="eastAsia" w:ascii="方正仿宋_GB2312" w:hAnsi="方正仿宋_GB2312" w:eastAsia="方正仿宋_GB2312" w:cs="方正仿宋_GB2312"/>
          <w:b w:val="0"/>
          <w:bCs w:val="0"/>
          <w:sz w:val="32"/>
          <w:szCs w:val="32"/>
          <w:lang w:val="zh-CN"/>
        </w:rPr>
        <w:t>预算应当遵循统筹兼顾、讲求绩效和收支平衡的原则。绩效管理不只是财政支出方面，而是要从年初预算制定工作抓起，结合本部门的事业发展计划、职责和任务测算，科学合理地编制部门预算，确保部门预算编制真实、准确、完整，切合单位实际。</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（三）相关建议。</w:t>
      </w:r>
    </w:p>
    <w:p>
      <w:pPr>
        <w:keepNext w:val="0"/>
        <w:keepLines w:val="0"/>
        <w:pageBreakBefore w:val="0"/>
        <w:widowControl w:val="0"/>
        <w:kinsoku/>
        <w:wordWrap/>
        <w:overflowPunct/>
        <w:topLinePunct w:val="0"/>
        <w:autoSpaceDE/>
        <w:autoSpaceDN/>
        <w:bidi w:val="0"/>
        <w:adjustRightInd w:val="0"/>
        <w:snapToGrid w:val="0"/>
        <w:spacing w:line="576" w:lineRule="exact"/>
        <w:ind w:firstLine="960" w:firstLineChars="300"/>
        <w:textAlignment w:val="auto"/>
        <w:rPr>
          <w:rFonts w:hint="eastAsia" w:ascii="方正仿宋_GB2312" w:hAnsi="方正仿宋_GB2312" w:eastAsia="方正仿宋_GB2312" w:cs="方正仿宋_GB2312"/>
          <w:b w:val="0"/>
          <w:bCs w:val="0"/>
          <w:sz w:val="32"/>
          <w:szCs w:val="32"/>
          <w:lang w:val="zh-CN"/>
        </w:rPr>
      </w:pPr>
      <w:r>
        <w:rPr>
          <w:rFonts w:hint="eastAsia" w:ascii="方正仿宋_GB2312" w:hAnsi="方正仿宋_GB2312" w:eastAsia="方正仿宋_GB2312" w:cs="方正仿宋_GB2312"/>
          <w:b w:val="0"/>
          <w:bCs w:val="0"/>
          <w:sz w:val="32"/>
          <w:szCs w:val="32"/>
          <w:lang w:val="en-US" w:eastAsia="zh-CN"/>
        </w:rPr>
        <w:t>希望</w:t>
      </w:r>
      <w:r>
        <w:rPr>
          <w:rFonts w:hint="eastAsia" w:ascii="方正仿宋_GB2312" w:hAnsi="方正仿宋_GB2312" w:eastAsia="方正仿宋_GB2312" w:cs="方正仿宋_GB2312"/>
          <w:b w:val="0"/>
          <w:bCs w:val="0"/>
          <w:sz w:val="32"/>
          <w:szCs w:val="32"/>
          <w:lang w:val="zh-CN"/>
        </w:rPr>
        <w:t>评价方法</w:t>
      </w:r>
      <w:r>
        <w:rPr>
          <w:rFonts w:hint="eastAsia" w:ascii="方正仿宋_GB2312" w:hAnsi="方正仿宋_GB2312" w:eastAsia="方正仿宋_GB2312" w:cs="方正仿宋_GB2312"/>
          <w:b w:val="0"/>
          <w:bCs w:val="0"/>
          <w:sz w:val="32"/>
          <w:szCs w:val="32"/>
          <w:lang w:val="en-US" w:eastAsia="zh-CN"/>
        </w:rPr>
        <w:t>更加合理化，更加贴合项目实际</w:t>
      </w:r>
      <w:r>
        <w:rPr>
          <w:rFonts w:hint="eastAsia" w:ascii="方正仿宋_GB2312" w:hAnsi="方正仿宋_GB2312" w:eastAsia="方正仿宋_GB2312" w:cs="方正仿宋_GB2312"/>
          <w:b w:val="0"/>
          <w:bCs w:val="0"/>
          <w:sz w:val="32"/>
          <w:szCs w:val="32"/>
          <w:lang w:val="zh-CN"/>
        </w:rPr>
        <w:t>，</w:t>
      </w:r>
      <w:r>
        <w:rPr>
          <w:rFonts w:hint="eastAsia" w:ascii="方正仿宋_GB2312" w:hAnsi="方正仿宋_GB2312" w:eastAsia="方正仿宋_GB2312" w:cs="方正仿宋_GB2312"/>
          <w:b w:val="0"/>
          <w:bCs w:val="0"/>
          <w:sz w:val="32"/>
          <w:szCs w:val="32"/>
          <w:lang w:val="en-US" w:eastAsia="zh-CN"/>
        </w:rPr>
        <w:t>进一步</w:t>
      </w:r>
      <w:r>
        <w:rPr>
          <w:rFonts w:hint="eastAsia" w:ascii="方正仿宋_GB2312" w:hAnsi="方正仿宋_GB2312" w:eastAsia="方正仿宋_GB2312" w:cs="方正仿宋_GB2312"/>
          <w:b w:val="0"/>
          <w:bCs w:val="0"/>
          <w:sz w:val="32"/>
          <w:szCs w:val="32"/>
          <w:lang w:val="zh-CN"/>
        </w:rPr>
        <w:t>加</w:t>
      </w:r>
      <w:r>
        <w:rPr>
          <w:rFonts w:hint="eastAsia" w:ascii="方正仿宋_GB2312" w:hAnsi="方正仿宋_GB2312" w:eastAsia="方正仿宋_GB2312" w:cs="方正仿宋_GB2312"/>
          <w:b w:val="0"/>
          <w:bCs w:val="0"/>
          <w:sz w:val="32"/>
          <w:szCs w:val="32"/>
          <w:lang w:val="en-US" w:eastAsia="zh-CN"/>
        </w:rPr>
        <w:t>大</w:t>
      </w:r>
      <w:r>
        <w:rPr>
          <w:rFonts w:hint="eastAsia" w:ascii="方正仿宋_GB2312" w:hAnsi="方正仿宋_GB2312" w:eastAsia="方正仿宋_GB2312" w:cs="方正仿宋_GB2312"/>
          <w:b w:val="0"/>
          <w:bCs w:val="0"/>
          <w:sz w:val="32"/>
          <w:szCs w:val="32"/>
          <w:lang w:val="zh-CN"/>
        </w:rPr>
        <w:t>对绩效评价的培训</w:t>
      </w:r>
      <w:r>
        <w:rPr>
          <w:rFonts w:hint="eastAsia" w:ascii="方正仿宋_GB2312" w:hAnsi="方正仿宋_GB2312" w:eastAsia="方正仿宋_GB2312" w:cs="方正仿宋_GB2312"/>
          <w:b w:val="0"/>
          <w:bCs w:val="0"/>
          <w:sz w:val="32"/>
          <w:szCs w:val="32"/>
          <w:lang w:val="en-US" w:eastAsia="zh-CN"/>
        </w:rPr>
        <w:t>力度</w:t>
      </w:r>
      <w:r>
        <w:rPr>
          <w:rFonts w:hint="eastAsia" w:ascii="方正仿宋_GB2312" w:hAnsi="方正仿宋_GB2312" w:eastAsia="方正仿宋_GB2312" w:cs="方正仿宋_GB2312"/>
          <w:b w:val="0"/>
          <w:bCs w:val="0"/>
          <w:sz w:val="32"/>
          <w:szCs w:val="32"/>
          <w:lang w:val="zh-CN"/>
        </w:rPr>
        <w:t>。</w:t>
      </w:r>
    </w:p>
    <w:p>
      <w:pPr>
        <w:pStyle w:val="2"/>
        <w:rPr>
          <w:rFonts w:hint="eastAsia"/>
          <w:color w:val="auto"/>
          <w:highlight w:val="none"/>
          <w:lang w:val="zh-CN"/>
        </w:rPr>
      </w:pPr>
    </w:p>
    <w:p>
      <w:pPr>
        <w:pStyle w:val="2"/>
        <w:rPr>
          <w:rFonts w:hint="eastAsia"/>
          <w:color w:val="auto"/>
          <w:highlight w:val="none"/>
          <w:lang w:val="en-US" w:eastAsia="zh-CN"/>
        </w:rPr>
      </w:pPr>
      <w:r>
        <w:rPr>
          <w:rFonts w:hint="eastAsia"/>
          <w:color w:val="auto"/>
          <w:highlight w:val="none"/>
          <w:lang w:val="en-US" w:eastAsia="zh-CN"/>
        </w:rPr>
        <w:t>附表</w:t>
      </w:r>
    </w:p>
    <w:p>
      <w:pPr>
        <w:pStyle w:val="2"/>
        <w:jc w:val="center"/>
        <w:outlineLvl w:val="0"/>
        <w:rPr>
          <w:rFonts w:hint="eastAsia" w:ascii="宋体" w:hAnsi="宋体" w:eastAsia="宋体" w:cs="宋体"/>
          <w:b/>
          <w:i w:val="0"/>
          <w:color w:val="auto"/>
          <w:sz w:val="32"/>
          <w:szCs w:val="32"/>
          <w:highlight w:val="none"/>
          <w:u w:val="none"/>
          <w:lang w:val="en-US" w:eastAsia="zh-CN"/>
        </w:rPr>
      </w:pPr>
      <w:bookmarkStart w:id="169" w:name="_Toc4010"/>
      <w:bookmarkStart w:id="199" w:name="_GoBack"/>
      <w:bookmarkEnd w:id="199"/>
      <w:r>
        <w:rPr>
          <w:rFonts w:hint="eastAsia" w:ascii="宋体" w:hAnsi="宋体" w:eastAsia="宋体" w:cs="宋体"/>
          <w:b/>
          <w:i w:val="0"/>
          <w:color w:val="auto"/>
          <w:sz w:val="32"/>
          <w:szCs w:val="32"/>
          <w:highlight w:val="none"/>
          <w:u w:val="none"/>
          <w:lang w:val="en-US" w:eastAsia="zh-CN"/>
        </w:rPr>
        <w:t>2021年部门预算项目绩效目标自评</w:t>
      </w:r>
      <w:bookmarkEnd w:id="169"/>
    </w:p>
    <w:tbl>
      <w:tblPr>
        <w:tblStyle w:val="15"/>
        <w:tblpPr w:leftFromText="180" w:rightFromText="180" w:vertAnchor="text" w:horzAnchor="page" w:tblpX="1257" w:tblpY="528"/>
        <w:tblOverlap w:val="never"/>
        <w:tblW w:w="9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3"/>
        <w:gridCol w:w="649"/>
        <w:gridCol w:w="1148"/>
        <w:gridCol w:w="1864"/>
        <w:gridCol w:w="3161"/>
        <w:gridCol w:w="1531"/>
        <w:gridCol w:w="9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3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75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实践基地维修改造项目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3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主管单位</w:t>
            </w:r>
          </w:p>
        </w:tc>
        <w:tc>
          <w:tcPr>
            <w:tcW w:w="186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市教育局</w:t>
            </w:r>
          </w:p>
        </w:tc>
        <w:tc>
          <w:tcPr>
            <w:tcW w:w="3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实施单位</w:t>
            </w:r>
          </w:p>
        </w:tc>
        <w:tc>
          <w:tcPr>
            <w:tcW w:w="2480"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广元市示范性综合实践基地管理中心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执行</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情况</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（万元）</w:t>
            </w:r>
          </w:p>
        </w:tc>
        <w:tc>
          <w:tcPr>
            <w:tcW w:w="17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预算数：</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198.29</w:t>
            </w:r>
          </w:p>
        </w:tc>
        <w:tc>
          <w:tcPr>
            <w:tcW w:w="3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执行数：</w:t>
            </w:r>
          </w:p>
        </w:tc>
        <w:tc>
          <w:tcPr>
            <w:tcW w:w="2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其中：财政拨款</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118.29 </w:t>
            </w:r>
          </w:p>
        </w:tc>
        <w:tc>
          <w:tcPr>
            <w:tcW w:w="3161"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其中：财政拨款</w:t>
            </w:r>
          </w:p>
        </w:tc>
        <w:tc>
          <w:tcPr>
            <w:tcW w:w="2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118.29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7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其他资金</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w:t>
            </w:r>
          </w:p>
        </w:tc>
        <w:tc>
          <w:tcPr>
            <w:tcW w:w="3161"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其他资金</w:t>
            </w:r>
          </w:p>
        </w:tc>
        <w:tc>
          <w:tcPr>
            <w:tcW w:w="2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目标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完成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情况</w:t>
            </w:r>
          </w:p>
        </w:tc>
        <w:tc>
          <w:tcPr>
            <w:tcW w:w="366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预期目标</w:t>
            </w:r>
          </w:p>
        </w:tc>
        <w:tc>
          <w:tcPr>
            <w:tcW w:w="56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66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1、对校内的基础设施设备，及时维护维修，消除安全隐患，保障单位正常有序运转。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2、美化校园文化，改善校园环境，建设文化校园。</w:t>
            </w:r>
          </w:p>
        </w:tc>
        <w:tc>
          <w:tcPr>
            <w:tcW w:w="56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1、对校内的基础设施设备，及时维护维修，消除安全隐患，保障单位正常有序运转。                                                             2、美化校园文化，改善校园环境，建设文化校园。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83"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绩效</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完成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情况</w:t>
            </w:r>
          </w:p>
        </w:tc>
        <w:tc>
          <w:tcPr>
            <w:tcW w:w="64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3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指标值（包含数字及文字描述）</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实际完成指标值（包含数字及文字描述）</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未完成原因及改进措施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8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项目完成指标</w:t>
            </w:r>
          </w:p>
        </w:tc>
        <w:tc>
          <w:tcPr>
            <w:tcW w:w="1148"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指标1：基建建设漏洞进行改造维修完成情况</w:t>
            </w:r>
          </w:p>
        </w:tc>
        <w:tc>
          <w:tcPr>
            <w:tcW w:w="3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基建建设漏洞维修改造完成数</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3"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49"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48"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指标2：校园文化建设</w:t>
            </w:r>
          </w:p>
        </w:tc>
        <w:tc>
          <w:tcPr>
            <w:tcW w:w="3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文化建设完成度</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100%完成</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83"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4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4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指标1：维修维护质量率</w:t>
            </w:r>
          </w:p>
        </w:tc>
        <w:tc>
          <w:tcPr>
            <w:tcW w:w="3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r>
              <w:rPr>
                <w:rFonts w:ascii="仿宋_GB2312" w:hAnsi="宋体" w:eastAsia="仿宋_GB2312" w:cs="仿宋_GB2312"/>
                <w:i w:val="0"/>
                <w:iCs w:val="0"/>
                <w:color w:val="000000"/>
                <w:kern w:val="0"/>
                <w:sz w:val="16"/>
                <w:szCs w:val="16"/>
                <w:u w:val="none"/>
                <w:lang w:val="en-US" w:eastAsia="zh-CN" w:bidi="ar"/>
              </w:rPr>
              <w:t>95%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3"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4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4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指标2：验收合格率</w:t>
            </w:r>
          </w:p>
        </w:tc>
        <w:tc>
          <w:tcPr>
            <w:tcW w:w="3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验收合格率</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r>
              <w:rPr>
                <w:rFonts w:ascii="仿宋_GB2312" w:hAnsi="宋体" w:eastAsia="仿宋_GB2312" w:cs="仿宋_GB2312"/>
                <w:i w:val="0"/>
                <w:iCs w:val="0"/>
                <w:color w:val="000000"/>
                <w:kern w:val="0"/>
                <w:sz w:val="16"/>
                <w:szCs w:val="16"/>
                <w:u w:val="none"/>
                <w:lang w:val="en-US" w:eastAsia="zh-CN" w:bidi="ar"/>
              </w:rPr>
              <w:t>95%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3" w:type="dxa"/>
            <w:vMerge w:val="continue"/>
            <w:tcBorders>
              <w:top w:val="single" w:color="auto"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49"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48" w:type="dxa"/>
            <w:tcBorders>
              <w:top w:val="single" w:color="auto"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指标1：改造和维修完成时间</w:t>
            </w:r>
          </w:p>
        </w:tc>
        <w:tc>
          <w:tcPr>
            <w:tcW w:w="3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规定时间内完成</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当年完成</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48"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指标1：超预算支出</w:t>
            </w:r>
          </w:p>
        </w:tc>
        <w:tc>
          <w:tcPr>
            <w:tcW w:w="3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超预算率</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4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指标2：资金使用率</w:t>
            </w:r>
          </w:p>
        </w:tc>
        <w:tc>
          <w:tcPr>
            <w:tcW w:w="3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资金执行率</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指标1：促进校园的发展</w:t>
            </w:r>
          </w:p>
        </w:tc>
        <w:tc>
          <w:tcPr>
            <w:tcW w:w="3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校园环境、文化氛围提升</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8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48"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指标1：维修改造做好环保工作</w:t>
            </w:r>
          </w:p>
        </w:tc>
        <w:tc>
          <w:tcPr>
            <w:tcW w:w="3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保障施工环境干净</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施工环境良好</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4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指标2：控制施工建设声音</w:t>
            </w:r>
          </w:p>
        </w:tc>
        <w:tc>
          <w:tcPr>
            <w:tcW w:w="3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严格按照规定时间内施工</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规定时间内实施</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1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指标1：消除校园隐患，保障校园安全</w:t>
            </w:r>
          </w:p>
        </w:tc>
        <w:tc>
          <w:tcPr>
            <w:tcW w:w="3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校园安全提升</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3"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4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14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指标1：社会公众满意度</w:t>
            </w:r>
          </w:p>
        </w:tc>
        <w:tc>
          <w:tcPr>
            <w:tcW w:w="3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r>
    </w:tbl>
    <w:p>
      <w:pPr>
        <w:pStyle w:val="2"/>
        <w:jc w:val="center"/>
        <w:rPr>
          <w:rFonts w:hint="eastAsia" w:ascii="宋体" w:hAnsi="宋体" w:eastAsia="宋体" w:cs="宋体"/>
          <w:b/>
          <w:i w:val="0"/>
          <w:color w:val="auto"/>
          <w:sz w:val="32"/>
          <w:szCs w:val="32"/>
          <w:highlight w:val="none"/>
          <w:u w:val="none"/>
          <w:lang w:val="en-US" w:eastAsia="zh-CN"/>
        </w:rPr>
      </w:pPr>
    </w:p>
    <w:p>
      <w:pPr>
        <w:pStyle w:val="2"/>
        <w:rPr>
          <w:rFonts w:hint="eastAsia"/>
          <w:color w:val="auto"/>
          <w:highlight w:val="none"/>
          <w:lang w:val="zh-CN"/>
        </w:rPr>
      </w:pPr>
    </w:p>
    <w:p>
      <w:pPr>
        <w:pStyle w:val="2"/>
        <w:rPr>
          <w:rFonts w:hint="eastAsia"/>
          <w:color w:val="auto"/>
          <w:highlight w:val="none"/>
          <w:lang w:val="zh-CN"/>
        </w:rPr>
      </w:pPr>
    </w:p>
    <w:p>
      <w:pPr>
        <w:pStyle w:val="2"/>
        <w:rPr>
          <w:rFonts w:hint="eastAsia"/>
          <w:color w:val="auto"/>
          <w:highlight w:val="none"/>
          <w:lang w:val="zh-CN"/>
        </w:rPr>
      </w:pPr>
    </w:p>
    <w:p>
      <w:pPr>
        <w:spacing w:line="580" w:lineRule="exact"/>
        <w:rPr>
          <w:rStyle w:val="27"/>
          <w:rFonts w:ascii="黑体" w:hAnsi="黑体" w:eastAsia="黑体"/>
          <w:b w:val="0"/>
          <w:color w:val="auto"/>
          <w:highlight w:val="none"/>
        </w:rPr>
      </w:pPr>
    </w:p>
    <w:p>
      <w:pPr>
        <w:widowControl/>
        <w:jc w:val="left"/>
        <w:rPr>
          <w:rStyle w:val="27"/>
          <w:rFonts w:ascii="黑体" w:hAnsi="黑体" w:eastAsia="黑体"/>
          <w:b w:val="0"/>
          <w:color w:val="auto"/>
          <w:highlight w:val="none"/>
        </w:rPr>
      </w:pPr>
      <w:r>
        <w:rPr>
          <w:rStyle w:val="27"/>
          <w:rFonts w:ascii="黑体" w:hAnsi="黑体" w:eastAsia="黑体"/>
          <w:b w:val="0"/>
          <w:color w:val="auto"/>
          <w:highlight w:val="none"/>
        </w:rPr>
        <w:br w:type="page"/>
      </w:r>
    </w:p>
    <w:p>
      <w:pPr>
        <w:spacing w:line="600" w:lineRule="exact"/>
        <w:jc w:val="center"/>
        <w:outlineLvl w:val="0"/>
        <w:rPr>
          <w:rFonts w:hint="eastAsia" w:ascii="仿宋" w:hAnsi="仿宋" w:eastAsia="仿宋"/>
          <w:b w:val="0"/>
          <w:color w:val="auto"/>
          <w:highlight w:val="none"/>
        </w:rPr>
      </w:pPr>
      <w:bookmarkStart w:id="170" w:name="_Toc2386"/>
      <w:bookmarkStart w:id="171" w:name="_Toc15396618"/>
      <w:r>
        <w:rPr>
          <w:rFonts w:hint="eastAsia" w:ascii="黑体" w:hAnsi="黑体" w:eastAsia="黑体"/>
          <w:color w:val="auto"/>
          <w:sz w:val="44"/>
          <w:szCs w:val="44"/>
          <w:highlight w:val="none"/>
        </w:rPr>
        <w:t>第</w:t>
      </w:r>
      <w:r>
        <w:rPr>
          <w:rStyle w:val="27"/>
          <w:rFonts w:hint="eastAsia" w:ascii="黑体" w:hAnsi="黑体" w:eastAsia="黑体"/>
          <w:b w:val="0"/>
          <w:color w:val="auto"/>
          <w:highlight w:val="none"/>
        </w:rPr>
        <w:t>五部分 附表</w:t>
      </w:r>
      <w:bookmarkEnd w:id="156"/>
      <w:bookmarkEnd w:id="170"/>
      <w:bookmarkEnd w:id="171"/>
      <w:bookmarkStart w:id="172" w:name="_Toc15396619"/>
    </w:p>
    <w:p>
      <w:pPr>
        <w:pStyle w:val="4"/>
        <w:rPr>
          <w:rFonts w:ascii="仿宋" w:hAnsi="仿宋" w:eastAsia="仿宋"/>
          <w:color w:val="auto"/>
          <w:highlight w:val="none"/>
        </w:rPr>
      </w:pPr>
      <w:bookmarkStart w:id="173" w:name="_Toc1880"/>
      <w:r>
        <w:rPr>
          <w:rFonts w:hint="eastAsia" w:ascii="仿宋" w:hAnsi="仿宋" w:eastAsia="仿宋"/>
          <w:b w:val="0"/>
          <w:color w:val="auto"/>
          <w:highlight w:val="none"/>
        </w:rPr>
        <w:t>一、收</w:t>
      </w:r>
      <w:r>
        <w:rPr>
          <w:rStyle w:val="28"/>
          <w:rFonts w:hint="eastAsia" w:ascii="仿宋" w:hAnsi="仿宋" w:eastAsia="仿宋"/>
          <w:b w:val="0"/>
          <w:bCs w:val="0"/>
          <w:color w:val="auto"/>
          <w:highlight w:val="none"/>
        </w:rPr>
        <w:t>入支出决算总表</w:t>
      </w:r>
      <w:bookmarkEnd w:id="172"/>
      <w:bookmarkEnd w:id="173"/>
    </w:p>
    <w:p>
      <w:pPr>
        <w:pStyle w:val="4"/>
        <w:rPr>
          <w:rFonts w:ascii="仿宋" w:hAnsi="仿宋" w:eastAsia="仿宋"/>
          <w:color w:val="auto"/>
          <w:highlight w:val="none"/>
        </w:rPr>
      </w:pPr>
      <w:bookmarkStart w:id="174" w:name="_Toc16825"/>
      <w:bookmarkStart w:id="175" w:name="_Toc15396620"/>
      <w:r>
        <w:rPr>
          <w:rFonts w:hint="eastAsia" w:ascii="仿宋" w:hAnsi="仿宋" w:eastAsia="仿宋"/>
          <w:b w:val="0"/>
          <w:color w:val="auto"/>
          <w:highlight w:val="none"/>
        </w:rPr>
        <w:t>二、收</w:t>
      </w:r>
      <w:r>
        <w:rPr>
          <w:rStyle w:val="28"/>
          <w:rFonts w:hint="eastAsia" w:ascii="仿宋" w:hAnsi="仿宋" w:eastAsia="仿宋"/>
          <w:b w:val="0"/>
          <w:bCs w:val="0"/>
          <w:color w:val="auto"/>
          <w:highlight w:val="none"/>
        </w:rPr>
        <w:t>入决算表</w:t>
      </w:r>
      <w:bookmarkEnd w:id="174"/>
      <w:bookmarkEnd w:id="175"/>
    </w:p>
    <w:p>
      <w:pPr>
        <w:pStyle w:val="4"/>
        <w:rPr>
          <w:rFonts w:ascii="仿宋" w:hAnsi="仿宋" w:eastAsia="仿宋"/>
          <w:color w:val="auto"/>
          <w:highlight w:val="none"/>
        </w:rPr>
      </w:pPr>
      <w:bookmarkStart w:id="176" w:name="_Toc21737"/>
      <w:bookmarkStart w:id="177" w:name="_Toc15396621"/>
      <w:r>
        <w:rPr>
          <w:rStyle w:val="28"/>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28"/>
          <w:rFonts w:hint="eastAsia" w:ascii="仿宋" w:hAnsi="仿宋" w:eastAsia="仿宋"/>
          <w:b w:val="0"/>
          <w:bCs w:val="0"/>
          <w:color w:val="auto"/>
          <w:highlight w:val="none"/>
        </w:rPr>
        <w:t>出决算表</w:t>
      </w:r>
      <w:bookmarkEnd w:id="176"/>
      <w:bookmarkEnd w:id="177"/>
    </w:p>
    <w:p>
      <w:pPr>
        <w:pStyle w:val="4"/>
        <w:rPr>
          <w:rFonts w:ascii="仿宋" w:hAnsi="仿宋" w:eastAsia="仿宋"/>
          <w:b w:val="0"/>
          <w:color w:val="auto"/>
          <w:highlight w:val="none"/>
        </w:rPr>
      </w:pPr>
      <w:bookmarkStart w:id="178" w:name="_Toc15396622"/>
      <w:bookmarkStart w:id="179" w:name="_Toc30031"/>
      <w:r>
        <w:rPr>
          <w:rStyle w:val="28"/>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28"/>
          <w:rFonts w:hint="eastAsia" w:ascii="仿宋" w:hAnsi="仿宋" w:eastAsia="仿宋"/>
          <w:b w:val="0"/>
          <w:bCs w:val="0"/>
          <w:color w:val="auto"/>
          <w:highlight w:val="none"/>
        </w:rPr>
        <w:t>政拨款收入支出决算总表</w:t>
      </w:r>
      <w:bookmarkEnd w:id="178"/>
      <w:bookmarkEnd w:id="179"/>
    </w:p>
    <w:p>
      <w:pPr>
        <w:pStyle w:val="4"/>
        <w:rPr>
          <w:rStyle w:val="28"/>
          <w:rFonts w:ascii="仿宋" w:hAnsi="仿宋" w:eastAsia="仿宋"/>
          <w:b w:val="0"/>
          <w:bCs w:val="0"/>
          <w:color w:val="auto"/>
          <w:highlight w:val="none"/>
        </w:rPr>
      </w:pPr>
      <w:bookmarkStart w:id="180" w:name="_Toc25454"/>
      <w:bookmarkStart w:id="181" w:name="_Toc15396623"/>
      <w:r>
        <w:rPr>
          <w:rStyle w:val="28"/>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28"/>
          <w:rFonts w:hint="eastAsia" w:ascii="仿宋" w:hAnsi="仿宋" w:eastAsia="仿宋"/>
          <w:b w:val="0"/>
          <w:bCs w:val="0"/>
          <w:color w:val="auto"/>
          <w:highlight w:val="none"/>
        </w:rPr>
        <w:t>政拨款支出决算明细表</w:t>
      </w:r>
      <w:bookmarkEnd w:id="180"/>
      <w:bookmarkEnd w:id="181"/>
      <w:bookmarkStart w:id="182" w:name="_Toc15396624"/>
    </w:p>
    <w:p>
      <w:pPr>
        <w:pStyle w:val="4"/>
        <w:rPr>
          <w:rFonts w:ascii="仿宋" w:hAnsi="仿宋" w:eastAsia="仿宋"/>
          <w:color w:val="auto"/>
          <w:highlight w:val="none"/>
        </w:rPr>
      </w:pPr>
      <w:bookmarkStart w:id="183" w:name="_Toc21395"/>
      <w:r>
        <w:rPr>
          <w:rStyle w:val="28"/>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28"/>
          <w:rFonts w:hint="eastAsia" w:ascii="仿宋" w:hAnsi="仿宋" w:eastAsia="仿宋"/>
          <w:b w:val="0"/>
          <w:bCs w:val="0"/>
          <w:color w:val="auto"/>
          <w:highlight w:val="none"/>
        </w:rPr>
        <w:t>般公共预算财政拨款支出决算表</w:t>
      </w:r>
      <w:bookmarkEnd w:id="182"/>
      <w:bookmarkEnd w:id="183"/>
    </w:p>
    <w:p>
      <w:pPr>
        <w:pStyle w:val="4"/>
        <w:rPr>
          <w:rFonts w:ascii="仿宋" w:hAnsi="仿宋" w:eastAsia="仿宋"/>
          <w:color w:val="auto"/>
          <w:highlight w:val="none"/>
        </w:rPr>
      </w:pPr>
      <w:bookmarkStart w:id="184" w:name="_Toc15396625"/>
      <w:bookmarkStart w:id="185" w:name="_Toc6734"/>
      <w:r>
        <w:rPr>
          <w:rStyle w:val="28"/>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28"/>
          <w:rFonts w:hint="eastAsia" w:ascii="仿宋" w:hAnsi="仿宋" w:eastAsia="仿宋"/>
          <w:b w:val="0"/>
          <w:bCs w:val="0"/>
          <w:color w:val="auto"/>
          <w:highlight w:val="none"/>
        </w:rPr>
        <w:t>般公共预算财政拨款支出决算明细表</w:t>
      </w:r>
      <w:bookmarkEnd w:id="184"/>
      <w:bookmarkEnd w:id="185"/>
    </w:p>
    <w:p>
      <w:pPr>
        <w:pStyle w:val="4"/>
        <w:rPr>
          <w:rFonts w:ascii="仿宋" w:hAnsi="仿宋" w:eastAsia="仿宋"/>
          <w:color w:val="auto"/>
          <w:highlight w:val="none"/>
        </w:rPr>
      </w:pPr>
      <w:bookmarkStart w:id="186" w:name="_Toc27789"/>
      <w:bookmarkStart w:id="187" w:name="_Toc15396626"/>
      <w:r>
        <w:rPr>
          <w:rStyle w:val="28"/>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28"/>
          <w:rFonts w:hint="eastAsia" w:ascii="仿宋" w:hAnsi="仿宋" w:eastAsia="仿宋"/>
          <w:b w:val="0"/>
          <w:bCs w:val="0"/>
          <w:color w:val="auto"/>
          <w:highlight w:val="none"/>
        </w:rPr>
        <w:t>般公共预算财政拨款基本支出决算表</w:t>
      </w:r>
      <w:bookmarkEnd w:id="186"/>
      <w:bookmarkEnd w:id="187"/>
    </w:p>
    <w:p>
      <w:pPr>
        <w:pStyle w:val="4"/>
        <w:rPr>
          <w:rFonts w:ascii="仿宋" w:hAnsi="仿宋" w:eastAsia="仿宋"/>
          <w:color w:val="auto"/>
          <w:highlight w:val="none"/>
        </w:rPr>
      </w:pPr>
      <w:bookmarkStart w:id="188" w:name="_Toc15396627"/>
      <w:bookmarkStart w:id="189" w:name="_Toc32428"/>
      <w:r>
        <w:rPr>
          <w:rStyle w:val="28"/>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28"/>
          <w:rFonts w:hint="eastAsia" w:ascii="仿宋" w:hAnsi="仿宋" w:eastAsia="仿宋"/>
          <w:b w:val="0"/>
          <w:bCs w:val="0"/>
          <w:color w:val="auto"/>
          <w:highlight w:val="none"/>
        </w:rPr>
        <w:t>般公共预算财政拨款项目支出决算表</w:t>
      </w:r>
      <w:bookmarkEnd w:id="188"/>
      <w:bookmarkEnd w:id="189"/>
    </w:p>
    <w:p>
      <w:pPr>
        <w:pStyle w:val="4"/>
        <w:rPr>
          <w:rFonts w:ascii="仿宋" w:hAnsi="仿宋" w:eastAsia="仿宋"/>
          <w:color w:val="auto"/>
          <w:highlight w:val="none"/>
        </w:rPr>
      </w:pPr>
      <w:bookmarkStart w:id="190" w:name="_Toc15396628"/>
      <w:bookmarkStart w:id="191" w:name="_Toc31018"/>
      <w:r>
        <w:rPr>
          <w:rStyle w:val="28"/>
          <w:rFonts w:hint="eastAsia" w:ascii="仿宋" w:hAnsi="仿宋" w:eastAsia="仿宋"/>
          <w:b w:val="0"/>
          <w:bCs w:val="0"/>
          <w:color w:val="auto"/>
          <w:highlight w:val="none"/>
        </w:rPr>
        <w:t>十、</w:t>
      </w:r>
      <w:r>
        <w:rPr>
          <w:rFonts w:hint="eastAsia" w:ascii="仿宋" w:hAnsi="仿宋" w:eastAsia="仿宋"/>
          <w:b w:val="0"/>
          <w:color w:val="auto"/>
          <w:highlight w:val="none"/>
        </w:rPr>
        <w:t>一</w:t>
      </w:r>
      <w:r>
        <w:rPr>
          <w:rStyle w:val="28"/>
          <w:rFonts w:hint="eastAsia" w:ascii="仿宋" w:hAnsi="仿宋" w:eastAsia="仿宋"/>
          <w:b w:val="0"/>
          <w:bCs w:val="0"/>
          <w:color w:val="auto"/>
          <w:highlight w:val="none"/>
        </w:rPr>
        <w:t>般公共预算财政拨款“三公”经费支出决算表</w:t>
      </w:r>
      <w:bookmarkEnd w:id="190"/>
      <w:bookmarkEnd w:id="191"/>
    </w:p>
    <w:p>
      <w:pPr>
        <w:pStyle w:val="4"/>
        <w:rPr>
          <w:rFonts w:ascii="仿宋" w:hAnsi="仿宋" w:eastAsia="仿宋"/>
          <w:color w:val="auto"/>
          <w:highlight w:val="none"/>
        </w:rPr>
      </w:pPr>
      <w:bookmarkStart w:id="192" w:name="_Toc15396629"/>
      <w:bookmarkStart w:id="193" w:name="_Toc21710"/>
      <w:r>
        <w:rPr>
          <w:rStyle w:val="28"/>
          <w:rFonts w:hint="eastAsia" w:ascii="仿宋" w:hAnsi="仿宋" w:eastAsia="仿宋"/>
          <w:b w:val="0"/>
          <w:bCs w:val="0"/>
          <w:color w:val="auto"/>
          <w:highlight w:val="none"/>
        </w:rPr>
        <w:t>十一、</w:t>
      </w:r>
      <w:r>
        <w:rPr>
          <w:rFonts w:hint="eastAsia" w:ascii="仿宋" w:hAnsi="仿宋" w:eastAsia="仿宋"/>
          <w:b w:val="0"/>
          <w:color w:val="auto"/>
          <w:highlight w:val="none"/>
        </w:rPr>
        <w:t>政</w:t>
      </w:r>
      <w:r>
        <w:rPr>
          <w:rStyle w:val="28"/>
          <w:rFonts w:hint="eastAsia" w:ascii="仿宋" w:hAnsi="仿宋" w:eastAsia="仿宋"/>
          <w:b w:val="0"/>
          <w:bCs w:val="0"/>
          <w:color w:val="auto"/>
          <w:highlight w:val="none"/>
        </w:rPr>
        <w:t>府性基金预算财政拨款收入支出决算表</w:t>
      </w:r>
      <w:bookmarkEnd w:id="192"/>
      <w:bookmarkEnd w:id="193"/>
    </w:p>
    <w:p>
      <w:pPr>
        <w:pStyle w:val="4"/>
        <w:rPr>
          <w:rFonts w:ascii="仿宋" w:hAnsi="仿宋" w:eastAsia="仿宋"/>
          <w:color w:val="auto"/>
          <w:highlight w:val="none"/>
        </w:rPr>
      </w:pPr>
      <w:bookmarkStart w:id="194" w:name="_Toc15396630"/>
      <w:bookmarkStart w:id="195" w:name="_Toc1916"/>
      <w:r>
        <w:rPr>
          <w:rStyle w:val="28"/>
          <w:rFonts w:hint="eastAsia" w:ascii="仿宋" w:hAnsi="仿宋" w:eastAsia="仿宋"/>
          <w:b w:val="0"/>
          <w:bCs w:val="0"/>
          <w:color w:val="auto"/>
          <w:highlight w:val="none"/>
        </w:rPr>
        <w:t>十二、</w:t>
      </w:r>
      <w:r>
        <w:rPr>
          <w:rFonts w:hint="eastAsia" w:ascii="仿宋" w:hAnsi="仿宋" w:eastAsia="仿宋"/>
          <w:b w:val="0"/>
          <w:color w:val="auto"/>
          <w:highlight w:val="none"/>
        </w:rPr>
        <w:t>政</w:t>
      </w:r>
      <w:r>
        <w:rPr>
          <w:rStyle w:val="28"/>
          <w:rFonts w:hint="eastAsia" w:ascii="仿宋" w:hAnsi="仿宋" w:eastAsia="仿宋"/>
          <w:b w:val="0"/>
          <w:bCs w:val="0"/>
          <w:color w:val="auto"/>
          <w:highlight w:val="none"/>
        </w:rPr>
        <w:t>府性基金预算财政拨款“三公”经费支出决算表</w:t>
      </w:r>
      <w:bookmarkEnd w:id="194"/>
      <w:bookmarkEnd w:id="195"/>
    </w:p>
    <w:p>
      <w:pPr>
        <w:pStyle w:val="4"/>
        <w:rPr>
          <w:rStyle w:val="28"/>
          <w:rFonts w:hint="eastAsia" w:ascii="仿宋" w:hAnsi="仿宋" w:eastAsia="仿宋"/>
          <w:b w:val="0"/>
          <w:bCs w:val="0"/>
          <w:color w:val="auto"/>
          <w:highlight w:val="none"/>
        </w:rPr>
      </w:pPr>
      <w:bookmarkStart w:id="196" w:name="_Toc27094"/>
      <w:bookmarkStart w:id="197" w:name="_Toc15396631"/>
      <w:r>
        <w:rPr>
          <w:rStyle w:val="28"/>
          <w:rFonts w:hint="eastAsia" w:ascii="仿宋" w:hAnsi="仿宋" w:eastAsia="仿宋"/>
          <w:b w:val="0"/>
          <w:bCs w:val="0"/>
          <w:color w:val="auto"/>
          <w:highlight w:val="none"/>
        </w:rPr>
        <w:t>十三、</w:t>
      </w:r>
      <w:r>
        <w:rPr>
          <w:rFonts w:hint="eastAsia" w:ascii="仿宋" w:hAnsi="仿宋" w:eastAsia="仿宋"/>
          <w:b w:val="0"/>
          <w:color w:val="auto"/>
          <w:highlight w:val="none"/>
        </w:rPr>
        <w:t>国</w:t>
      </w:r>
      <w:r>
        <w:rPr>
          <w:rStyle w:val="28"/>
          <w:rFonts w:hint="eastAsia" w:ascii="仿宋" w:hAnsi="仿宋" w:eastAsia="仿宋"/>
          <w:b w:val="0"/>
          <w:bCs w:val="0"/>
          <w:color w:val="auto"/>
          <w:highlight w:val="none"/>
        </w:rPr>
        <w:t>有资本经营预算</w:t>
      </w:r>
      <w:r>
        <w:rPr>
          <w:rStyle w:val="28"/>
          <w:rFonts w:hint="eastAsia" w:ascii="仿宋" w:hAnsi="仿宋" w:eastAsia="仿宋"/>
          <w:b w:val="0"/>
          <w:bCs w:val="0"/>
          <w:color w:val="auto"/>
          <w:highlight w:val="none"/>
          <w:lang w:eastAsia="zh-CN"/>
        </w:rPr>
        <w:t>财政拨款收入</w:t>
      </w:r>
      <w:r>
        <w:rPr>
          <w:rStyle w:val="28"/>
          <w:rFonts w:hint="eastAsia" w:ascii="仿宋" w:hAnsi="仿宋" w:eastAsia="仿宋"/>
          <w:b w:val="0"/>
          <w:bCs w:val="0"/>
          <w:color w:val="auto"/>
          <w:highlight w:val="none"/>
        </w:rPr>
        <w:t>支出决算表</w:t>
      </w:r>
      <w:bookmarkEnd w:id="196"/>
      <w:bookmarkEnd w:id="197"/>
    </w:p>
    <w:p>
      <w:pPr>
        <w:rPr>
          <w:rFonts w:hint="eastAsia" w:eastAsia="仿宋"/>
          <w:color w:val="auto"/>
          <w:highlight w:val="none"/>
          <w:lang w:eastAsia="zh-CN"/>
        </w:rPr>
      </w:pPr>
      <w:bookmarkStart w:id="198" w:name="_Toc12809"/>
      <w:r>
        <w:rPr>
          <w:rStyle w:val="28"/>
          <w:rFonts w:hint="eastAsia" w:ascii="仿宋" w:hAnsi="仿宋" w:eastAsia="仿宋"/>
          <w:b w:val="0"/>
          <w:bCs w:val="0"/>
          <w:color w:val="auto"/>
          <w:highlight w:val="none"/>
          <w:lang w:eastAsia="zh-CN"/>
        </w:rPr>
        <w:t>十四、国有资本经营预算财政拨款支出决算表</w:t>
      </w:r>
      <w:bookmarkEnd w:id="198"/>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6DAFA66-AF03-492C-99CD-933DE46B68C4}"/>
  </w:font>
  <w:font w:name="黑体">
    <w:panose1 w:val="02010609060101010101"/>
    <w:charset w:val="86"/>
    <w:family w:val="auto"/>
    <w:pitch w:val="default"/>
    <w:sig w:usb0="800002BF" w:usb1="38CF7CFA" w:usb2="00000016" w:usb3="00000000" w:csb0="00040001" w:csb1="00000000"/>
    <w:embedRegular r:id="rId2" w:fontKey="{1CA986DB-9FB1-4EC6-875D-6C6979D83E7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813A9FF1-806D-4B42-8D36-336385DA4BC6}"/>
  </w:font>
  <w:font w:name="仿宋_GB2312">
    <w:altName w:val="仿宋"/>
    <w:panose1 w:val="02010609030101010101"/>
    <w:charset w:val="86"/>
    <w:family w:val="modern"/>
    <w:pitch w:val="default"/>
    <w:sig w:usb0="00000000" w:usb1="00000000" w:usb2="00000000" w:usb3="00000000" w:csb0="00040000" w:csb1="00000000"/>
    <w:embedRegular r:id="rId4" w:fontKey="{8D58D279-1721-43F4-AD71-6807077923D5}"/>
  </w:font>
  <w:font w:name="仿宋">
    <w:panose1 w:val="02010609060101010101"/>
    <w:charset w:val="86"/>
    <w:family w:val="auto"/>
    <w:pitch w:val="default"/>
    <w:sig w:usb0="800002BF" w:usb1="38CF7CFA" w:usb2="00000016" w:usb3="00000000" w:csb0="00040001" w:csb1="00000000"/>
    <w:embedRegular r:id="rId5" w:fontKey="{14F35B91-402C-489D-BCDB-B15AE17A9C2E}"/>
  </w:font>
  <w:font w:name="??">
    <w:altName w:val="Times New Roman"/>
    <w:panose1 w:val="00000000000000000000"/>
    <w:charset w:val="00"/>
    <w:family w:val="roman"/>
    <w:pitch w:val="default"/>
    <w:sig w:usb0="00000000" w:usb1="00000000" w:usb2="00000000" w:usb3="00000000" w:csb0="00000000" w:csb1="00000000"/>
  </w:font>
  <w:font w:name="MingLiU">
    <w:panose1 w:val="02020509000000000000"/>
    <w:charset w:val="88"/>
    <w:family w:val="auto"/>
    <w:pitch w:val="default"/>
    <w:sig w:usb0="A00002FF" w:usb1="28CFFCFA" w:usb2="00000016" w:usb3="00000000" w:csb0="00100001" w:csb1="00000000"/>
    <w:embedRegular r:id="rId6" w:fontKey="{AFB5F925-A492-44B1-9917-AB6095286785}"/>
  </w:font>
  <w:font w:name="方正小标宋简体">
    <w:altName w:val="黑体"/>
    <w:panose1 w:val="02010601030101010101"/>
    <w:charset w:val="86"/>
    <w:family w:val="script"/>
    <w:pitch w:val="default"/>
    <w:sig w:usb0="00000000" w:usb1="00000000" w:usb2="00000000" w:usb3="00000000" w:csb0="00040000" w:csb1="00000000"/>
    <w:embedRegular r:id="rId7" w:fontKey="{847717CB-02DE-4E50-89C4-1CE1D9C45390}"/>
  </w:font>
  <w:font w:name="Helvetica">
    <w:altName w:val="Arial"/>
    <w:panose1 w:val="00000000000000000000"/>
    <w:charset w:val="00"/>
    <w:family w:val="auto"/>
    <w:pitch w:val="default"/>
    <w:sig w:usb0="00000000" w:usb1="00000000" w:usb2="00000000" w:usb3="00000000" w:csb0="00000000" w:csb1="00000000"/>
    <w:embedRegular r:id="rId8" w:fontKey="{6E05C1F2-0810-498E-8149-3C347D7EA358}"/>
  </w:font>
  <w:font w:name="楷体">
    <w:panose1 w:val="02010609060101010101"/>
    <w:charset w:val="86"/>
    <w:family w:val="auto"/>
    <w:pitch w:val="default"/>
    <w:sig w:usb0="800002BF" w:usb1="38CF7CFA" w:usb2="00000016" w:usb3="00000000" w:csb0="00040001" w:csb1="00000000"/>
    <w:embedRegular r:id="rId9" w:fontKey="{D7DB38AF-D75A-4856-AC7D-F8FA1FCFE6BB}"/>
  </w:font>
  <w:font w:name="方正仿宋_GBK">
    <w:panose1 w:val="02000000000000000000"/>
    <w:charset w:val="86"/>
    <w:family w:val="script"/>
    <w:pitch w:val="default"/>
    <w:sig w:usb0="A00002BF" w:usb1="38CF7CFA" w:usb2="00082016" w:usb3="00000000" w:csb0="00040001" w:csb1="00000000"/>
    <w:embedRegular r:id="rId10" w:fontKey="{1B212294-422C-49C0-8BA6-D5B80EE2735E}"/>
  </w:font>
  <w:font w:name="方正黑体_GBK">
    <w:altName w:val="微软雅黑"/>
    <w:panose1 w:val="03000509000000000000"/>
    <w:charset w:val="86"/>
    <w:family w:val="script"/>
    <w:pitch w:val="default"/>
    <w:sig w:usb0="00000000" w:usb1="00000000" w:usb2="00000010" w:usb3="00000000" w:csb0="00040000" w:csb1="00000000"/>
    <w:embedRegular r:id="rId11" w:fontKey="{50B7D63F-0569-4AE8-B025-C554B7EDD54A}"/>
  </w:font>
  <w:font w:name="楷体_GB2312">
    <w:altName w:val="楷体"/>
    <w:panose1 w:val="02010609030101010101"/>
    <w:charset w:val="86"/>
    <w:family w:val="auto"/>
    <w:pitch w:val="default"/>
    <w:sig w:usb0="00000000" w:usb1="00000000" w:usb2="00000000" w:usb3="00000000" w:csb0="00040000" w:csb1="00000000"/>
    <w:embedRegular r:id="rId12" w:fontKey="{1935D8B9-C67C-40D0-90A8-4DECC67A0638}"/>
  </w:font>
  <w:font w:name="CESI仿宋-GB2312">
    <w:altName w:val="微软雅黑"/>
    <w:panose1 w:val="02000500000000000000"/>
    <w:charset w:val="86"/>
    <w:family w:val="auto"/>
    <w:pitch w:val="default"/>
    <w:sig w:usb0="00000000" w:usb1="00000000" w:usb2="00000010" w:usb3="00000000" w:csb0="0004000F" w:csb1="00000000"/>
    <w:embedRegular r:id="rId13" w:fontKey="{D2EE703F-6D52-4262-8F61-09C50B21F281}"/>
  </w:font>
  <w:font w:name="方正小标宋_GBK">
    <w:panose1 w:val="02000000000000000000"/>
    <w:charset w:val="86"/>
    <w:family w:val="script"/>
    <w:pitch w:val="default"/>
    <w:sig w:usb0="A00002BF" w:usb1="38CF7CFA" w:usb2="00082016" w:usb3="00000000" w:csb0="00040001" w:csb1="00000000"/>
    <w:embedRegular r:id="rId14" w:fontKey="{45B779AE-F591-4171-B724-397DAA8EF5B1}"/>
  </w:font>
  <w:font w:name="方正楷体_GB2312">
    <w:panose1 w:val="02000000000000000000"/>
    <w:charset w:val="86"/>
    <w:family w:val="auto"/>
    <w:pitch w:val="default"/>
    <w:sig w:usb0="A00002BF" w:usb1="184F6CFA" w:usb2="00000012" w:usb3="00000000" w:csb0="00040001" w:csb1="00000000"/>
    <w:embedRegular r:id="rId15" w:fontKey="{5A220081-1036-4508-A092-20A887896392}"/>
  </w:font>
  <w:font w:name="华文中宋">
    <w:panose1 w:val="02010600040101010101"/>
    <w:charset w:val="86"/>
    <w:family w:val="auto"/>
    <w:pitch w:val="default"/>
    <w:sig w:usb0="00000287" w:usb1="080F0000" w:usb2="00000000" w:usb3="00000000" w:csb0="0004009F" w:csb1="DFD70000"/>
    <w:embedRegular r:id="rId16" w:fontKey="{44023937-8CA0-4572-8CCD-01699E6B5786}"/>
  </w:font>
  <w:font w:name="方正仿宋_GB2312">
    <w:panose1 w:val="02000000000000000000"/>
    <w:charset w:val="86"/>
    <w:family w:val="auto"/>
    <w:pitch w:val="default"/>
    <w:sig w:usb0="A00002BF" w:usb1="184F6CFA" w:usb2="00000012" w:usb3="00000000" w:csb0="00040001" w:csb1="00000000"/>
    <w:embedRegular r:id="rId17" w:fontKey="{66A45F65-F8C0-4683-AFA6-EC911D383A65}"/>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10"/>
          <w:jc w:val="center"/>
        </w:pPr>
        <w:r>
          <w:fldChar w:fldCharType="begin"/>
        </w:r>
        <w:r>
          <w:instrText xml:space="preserve">PAGE   \* MERGEFORMAT</w:instrText>
        </w:r>
        <w:r>
          <w:fldChar w:fldCharType="separate"/>
        </w:r>
        <w:r>
          <w:rPr>
            <w:lang w:val="zh-CN"/>
          </w:rPr>
          <w:t>8</w:t>
        </w:r>
        <w: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3F7CA7"/>
    <w:multiLevelType w:val="singleLevel"/>
    <w:tmpl w:val="8D3F7CA7"/>
    <w:lvl w:ilvl="0" w:tentative="0">
      <w:start w:val="1"/>
      <w:numFmt w:val="decimal"/>
      <w:suff w:val="nothing"/>
      <w:lvlText w:val="%1．"/>
      <w:lvlJc w:val="left"/>
      <w:pPr>
        <w:ind w:left="0" w:firstLine="400"/>
      </w:pPr>
      <w:rPr>
        <w:rFonts w:hint="default"/>
      </w:rPr>
    </w:lvl>
  </w:abstractNum>
  <w:abstractNum w:abstractNumId="1">
    <w:nsid w:val="92B2F3D9"/>
    <w:multiLevelType w:val="singleLevel"/>
    <w:tmpl w:val="92B2F3D9"/>
    <w:lvl w:ilvl="0" w:tentative="0">
      <w:start w:val="1"/>
      <w:numFmt w:val="decimal"/>
      <w:lvlText w:val="(%1)"/>
      <w:lvlJc w:val="left"/>
      <w:pPr>
        <w:ind w:left="425" w:hanging="425"/>
      </w:pPr>
      <w:rPr>
        <w:rFonts w:hint="default"/>
      </w:rPr>
    </w:lvl>
  </w:abstractNum>
  <w:abstractNum w:abstractNumId="2">
    <w:nsid w:val="93EF2EBC"/>
    <w:multiLevelType w:val="singleLevel"/>
    <w:tmpl w:val="93EF2EBC"/>
    <w:lvl w:ilvl="0" w:tentative="0">
      <w:start w:val="1"/>
      <w:numFmt w:val="decimal"/>
      <w:suff w:val="nothing"/>
      <w:lvlText w:val="%1．"/>
      <w:lvlJc w:val="left"/>
      <w:pPr>
        <w:ind w:firstLine="400"/>
      </w:pPr>
      <w:rPr>
        <w:rFonts w:hint="default" w:cs="Times New Roman"/>
      </w:rPr>
    </w:lvl>
  </w:abstractNum>
  <w:abstractNum w:abstractNumId="3">
    <w:nsid w:val="9C1840BE"/>
    <w:multiLevelType w:val="singleLevel"/>
    <w:tmpl w:val="9C1840BE"/>
    <w:lvl w:ilvl="0" w:tentative="0">
      <w:start w:val="1"/>
      <w:numFmt w:val="decimal"/>
      <w:lvlText w:val="(%1)"/>
      <w:lvlJc w:val="left"/>
      <w:pPr>
        <w:ind w:left="425" w:hanging="425"/>
      </w:pPr>
      <w:rPr>
        <w:rFonts w:hint="default"/>
      </w:rPr>
    </w:lvl>
  </w:abstractNum>
  <w:abstractNum w:abstractNumId="4">
    <w:nsid w:val="AA43E6D5"/>
    <w:multiLevelType w:val="singleLevel"/>
    <w:tmpl w:val="AA43E6D5"/>
    <w:lvl w:ilvl="0" w:tentative="0">
      <w:start w:val="2"/>
      <w:numFmt w:val="chineseCounting"/>
      <w:suff w:val="nothing"/>
      <w:lvlText w:val="（%1）"/>
      <w:lvlJc w:val="left"/>
      <w:rPr>
        <w:rFonts w:hint="eastAsia"/>
      </w:rPr>
    </w:lvl>
  </w:abstractNum>
  <w:abstractNum w:abstractNumId="5">
    <w:nsid w:val="B36143DF"/>
    <w:multiLevelType w:val="singleLevel"/>
    <w:tmpl w:val="B36143DF"/>
    <w:lvl w:ilvl="0" w:tentative="0">
      <w:start w:val="1"/>
      <w:numFmt w:val="decimal"/>
      <w:suff w:val="nothing"/>
      <w:lvlText w:val="%1．"/>
      <w:lvlJc w:val="left"/>
      <w:pPr>
        <w:ind w:left="0" w:firstLine="400"/>
      </w:pPr>
      <w:rPr>
        <w:rFonts w:hint="default"/>
      </w:rPr>
    </w:lvl>
  </w:abstractNum>
  <w:abstractNum w:abstractNumId="6">
    <w:nsid w:val="CF652CEC"/>
    <w:multiLevelType w:val="singleLevel"/>
    <w:tmpl w:val="CF652CEC"/>
    <w:lvl w:ilvl="0" w:tentative="0">
      <w:start w:val="9"/>
      <w:numFmt w:val="chineseCounting"/>
      <w:suff w:val="nothing"/>
      <w:lvlText w:val="%1、"/>
      <w:lvlJc w:val="left"/>
      <w:rPr>
        <w:rFonts w:hint="eastAsia"/>
      </w:rPr>
    </w:lvl>
  </w:abstractNum>
  <w:abstractNum w:abstractNumId="7">
    <w:nsid w:val="D0AA2E1D"/>
    <w:multiLevelType w:val="singleLevel"/>
    <w:tmpl w:val="D0AA2E1D"/>
    <w:lvl w:ilvl="0" w:tentative="0">
      <w:start w:val="1"/>
      <w:numFmt w:val="decimal"/>
      <w:lvlText w:val="(%1)"/>
      <w:lvlJc w:val="left"/>
      <w:pPr>
        <w:ind w:left="425" w:hanging="425"/>
      </w:pPr>
      <w:rPr>
        <w:rFonts w:hint="default"/>
      </w:rPr>
    </w:lvl>
  </w:abstractNum>
  <w:abstractNum w:abstractNumId="8">
    <w:nsid w:val="D564ED3F"/>
    <w:multiLevelType w:val="singleLevel"/>
    <w:tmpl w:val="D564ED3F"/>
    <w:lvl w:ilvl="0" w:tentative="0">
      <w:start w:val="1"/>
      <w:numFmt w:val="decimal"/>
      <w:suff w:val="nothing"/>
      <w:lvlText w:val="%1．"/>
      <w:lvlJc w:val="left"/>
      <w:pPr>
        <w:ind w:left="0" w:firstLine="400"/>
      </w:pPr>
      <w:rPr>
        <w:rFonts w:hint="default"/>
      </w:rPr>
    </w:lvl>
  </w:abstractNum>
  <w:abstractNum w:abstractNumId="9">
    <w:nsid w:val="E2FA047D"/>
    <w:multiLevelType w:val="singleLevel"/>
    <w:tmpl w:val="E2FA047D"/>
    <w:lvl w:ilvl="0" w:tentative="0">
      <w:start w:val="3"/>
      <w:numFmt w:val="chineseCounting"/>
      <w:suff w:val="space"/>
      <w:lvlText w:val="第%1部分"/>
      <w:lvlJc w:val="left"/>
      <w:rPr>
        <w:rFonts w:hint="eastAsia"/>
      </w:rPr>
    </w:lvl>
  </w:abstractNum>
  <w:abstractNum w:abstractNumId="10">
    <w:nsid w:val="E900DA2C"/>
    <w:multiLevelType w:val="singleLevel"/>
    <w:tmpl w:val="E900DA2C"/>
    <w:lvl w:ilvl="0" w:tentative="0">
      <w:start w:val="1"/>
      <w:numFmt w:val="decimal"/>
      <w:suff w:val="nothing"/>
      <w:lvlText w:val="%1．"/>
      <w:lvlJc w:val="left"/>
      <w:pPr>
        <w:ind w:left="0" w:firstLine="400"/>
      </w:pPr>
      <w:rPr>
        <w:rFonts w:hint="default"/>
      </w:rPr>
    </w:lvl>
  </w:abstractNum>
  <w:abstractNum w:abstractNumId="11">
    <w:nsid w:val="EA753253"/>
    <w:multiLevelType w:val="singleLevel"/>
    <w:tmpl w:val="EA753253"/>
    <w:lvl w:ilvl="0" w:tentative="0">
      <w:start w:val="1"/>
      <w:numFmt w:val="decimal"/>
      <w:lvlText w:val="(%1)"/>
      <w:lvlJc w:val="left"/>
      <w:pPr>
        <w:ind w:left="425" w:hanging="425"/>
      </w:pPr>
      <w:rPr>
        <w:rFonts w:hint="default"/>
      </w:rPr>
    </w:lvl>
  </w:abstractNum>
  <w:abstractNum w:abstractNumId="12">
    <w:nsid w:val="F29F6C02"/>
    <w:multiLevelType w:val="singleLevel"/>
    <w:tmpl w:val="F29F6C02"/>
    <w:lvl w:ilvl="0" w:tentative="0">
      <w:start w:val="1"/>
      <w:numFmt w:val="decimal"/>
      <w:lvlText w:val="(%1)"/>
      <w:lvlJc w:val="left"/>
      <w:pPr>
        <w:ind w:left="425" w:hanging="425"/>
      </w:pPr>
      <w:rPr>
        <w:rFonts w:hint="default"/>
      </w:rPr>
    </w:lvl>
  </w:abstractNum>
  <w:abstractNum w:abstractNumId="13">
    <w:nsid w:val="0C813227"/>
    <w:multiLevelType w:val="singleLevel"/>
    <w:tmpl w:val="0C813227"/>
    <w:lvl w:ilvl="0" w:tentative="0">
      <w:start w:val="1"/>
      <w:numFmt w:val="chineseCounting"/>
      <w:suff w:val="nothing"/>
      <w:lvlText w:val="（%1）"/>
      <w:lvlJc w:val="left"/>
      <w:pPr>
        <w:ind w:left="0" w:firstLine="420"/>
      </w:pPr>
      <w:rPr>
        <w:rFonts w:hint="eastAsia"/>
        <w:b/>
        <w:bCs/>
      </w:rPr>
    </w:lvl>
  </w:abstractNum>
  <w:abstractNum w:abstractNumId="14">
    <w:nsid w:val="0D78824B"/>
    <w:multiLevelType w:val="singleLevel"/>
    <w:tmpl w:val="0D78824B"/>
    <w:lvl w:ilvl="0" w:tentative="0">
      <w:start w:val="1"/>
      <w:numFmt w:val="decimal"/>
      <w:lvlText w:val="(%1)"/>
      <w:lvlJc w:val="left"/>
      <w:pPr>
        <w:ind w:left="425" w:hanging="425"/>
      </w:pPr>
      <w:rPr>
        <w:rFonts w:hint="default"/>
      </w:rPr>
    </w:lvl>
  </w:abstractNum>
  <w:abstractNum w:abstractNumId="15">
    <w:nsid w:val="0F68EA1B"/>
    <w:multiLevelType w:val="singleLevel"/>
    <w:tmpl w:val="0F68EA1B"/>
    <w:lvl w:ilvl="0" w:tentative="0">
      <w:start w:val="1"/>
      <w:numFmt w:val="chineseCounting"/>
      <w:suff w:val="nothing"/>
      <w:lvlText w:val="（%1）"/>
      <w:lvlJc w:val="left"/>
      <w:pPr>
        <w:ind w:left="0" w:firstLine="420"/>
      </w:pPr>
      <w:rPr>
        <w:rFonts w:hint="eastAsia"/>
        <w:b w:val="0"/>
        <w:bCs w:val="0"/>
        <w:sz w:val="32"/>
        <w:szCs w:val="32"/>
      </w:rPr>
    </w:lvl>
  </w:abstractNum>
  <w:abstractNum w:abstractNumId="16">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7">
    <w:nsid w:val="1518A3FE"/>
    <w:multiLevelType w:val="singleLevel"/>
    <w:tmpl w:val="1518A3FE"/>
    <w:lvl w:ilvl="0" w:tentative="0">
      <w:start w:val="1"/>
      <w:numFmt w:val="chineseCounting"/>
      <w:suff w:val="nothing"/>
      <w:lvlText w:val="（%1）"/>
      <w:lvlJc w:val="left"/>
      <w:rPr>
        <w:rFonts w:hint="eastAsia"/>
        <w:b/>
        <w:bCs/>
        <w:sz w:val="28"/>
        <w:szCs w:val="28"/>
      </w:rPr>
    </w:lvl>
  </w:abstractNum>
  <w:abstractNum w:abstractNumId="18">
    <w:nsid w:val="2B21E98D"/>
    <w:multiLevelType w:val="singleLevel"/>
    <w:tmpl w:val="2B21E98D"/>
    <w:lvl w:ilvl="0" w:tentative="0">
      <w:start w:val="1"/>
      <w:numFmt w:val="decimal"/>
      <w:suff w:val="nothing"/>
      <w:lvlText w:val="%1．"/>
      <w:lvlJc w:val="left"/>
      <w:pPr>
        <w:ind w:left="0" w:firstLine="400"/>
      </w:pPr>
      <w:rPr>
        <w:rFonts w:hint="default"/>
        <w:b w:val="0"/>
        <w:bCs w:val="0"/>
        <w:sz w:val="28"/>
        <w:szCs w:val="28"/>
      </w:rPr>
    </w:lvl>
  </w:abstractNum>
  <w:abstractNum w:abstractNumId="19">
    <w:nsid w:val="381E31A5"/>
    <w:multiLevelType w:val="singleLevel"/>
    <w:tmpl w:val="381E31A5"/>
    <w:lvl w:ilvl="0" w:tentative="0">
      <w:start w:val="1"/>
      <w:numFmt w:val="chineseCounting"/>
      <w:suff w:val="nothing"/>
      <w:lvlText w:val="（%1）"/>
      <w:lvlJc w:val="left"/>
      <w:rPr>
        <w:rFonts w:hint="eastAsia"/>
        <w:b/>
        <w:bCs/>
        <w:sz w:val="28"/>
        <w:szCs w:val="28"/>
      </w:rPr>
    </w:lvl>
  </w:abstractNum>
  <w:abstractNum w:abstractNumId="20">
    <w:nsid w:val="46E81291"/>
    <w:multiLevelType w:val="singleLevel"/>
    <w:tmpl w:val="46E81291"/>
    <w:lvl w:ilvl="0" w:tentative="0">
      <w:start w:val="1"/>
      <w:numFmt w:val="decimal"/>
      <w:lvlText w:val="%1."/>
      <w:lvlJc w:val="left"/>
      <w:pPr>
        <w:tabs>
          <w:tab w:val="left" w:pos="312"/>
        </w:tabs>
      </w:pPr>
    </w:lvl>
  </w:abstractNum>
  <w:abstractNum w:abstractNumId="21">
    <w:nsid w:val="48212652"/>
    <w:multiLevelType w:val="singleLevel"/>
    <w:tmpl w:val="48212652"/>
    <w:lvl w:ilvl="0" w:tentative="0">
      <w:start w:val="1"/>
      <w:numFmt w:val="chineseCounting"/>
      <w:suff w:val="nothing"/>
      <w:lvlText w:val="%1、"/>
      <w:lvlJc w:val="left"/>
      <w:rPr>
        <w:rFonts w:hint="eastAsia"/>
      </w:rPr>
    </w:lvl>
  </w:abstractNum>
  <w:abstractNum w:abstractNumId="22">
    <w:nsid w:val="4C463035"/>
    <w:multiLevelType w:val="singleLevel"/>
    <w:tmpl w:val="4C463035"/>
    <w:lvl w:ilvl="0" w:tentative="0">
      <w:start w:val="1"/>
      <w:numFmt w:val="decimal"/>
      <w:suff w:val="nothing"/>
      <w:lvlText w:val="%1．"/>
      <w:lvlJc w:val="left"/>
      <w:pPr>
        <w:ind w:firstLine="400"/>
      </w:pPr>
      <w:rPr>
        <w:rFonts w:hint="default" w:cs="Times New Roman"/>
      </w:rPr>
    </w:lvl>
  </w:abstractNum>
  <w:abstractNum w:abstractNumId="23">
    <w:nsid w:val="55E15D48"/>
    <w:multiLevelType w:val="singleLevel"/>
    <w:tmpl w:val="55E15D48"/>
    <w:lvl w:ilvl="0" w:tentative="0">
      <w:start w:val="1"/>
      <w:numFmt w:val="chineseCounting"/>
      <w:suff w:val="nothing"/>
      <w:lvlText w:val="（%1）"/>
      <w:lvlJc w:val="left"/>
      <w:rPr>
        <w:rFonts w:hint="eastAsia"/>
        <w:b/>
        <w:bCs/>
        <w:sz w:val="28"/>
        <w:szCs w:val="28"/>
      </w:rPr>
    </w:lvl>
  </w:abstractNum>
  <w:abstractNum w:abstractNumId="24">
    <w:nsid w:val="6B7AE3DB"/>
    <w:multiLevelType w:val="singleLevel"/>
    <w:tmpl w:val="6B7AE3DB"/>
    <w:lvl w:ilvl="0" w:tentative="0">
      <w:start w:val="1"/>
      <w:numFmt w:val="decimal"/>
      <w:suff w:val="nothing"/>
      <w:lvlText w:val="%1．"/>
      <w:lvlJc w:val="left"/>
      <w:pPr>
        <w:ind w:firstLine="400"/>
      </w:pPr>
      <w:rPr>
        <w:rFonts w:hint="default" w:cs="Times New Roman"/>
      </w:rPr>
    </w:lvl>
  </w:abstractNum>
  <w:num w:numId="1">
    <w:abstractNumId w:val="10"/>
  </w:num>
  <w:num w:numId="2">
    <w:abstractNumId w:val="8"/>
  </w:num>
  <w:num w:numId="3">
    <w:abstractNumId w:val="11"/>
  </w:num>
  <w:num w:numId="4">
    <w:abstractNumId w:val="3"/>
  </w:num>
  <w:num w:numId="5">
    <w:abstractNumId w:val="12"/>
  </w:num>
  <w:num w:numId="6">
    <w:abstractNumId w:val="1"/>
  </w:num>
  <w:num w:numId="7">
    <w:abstractNumId w:val="14"/>
  </w:num>
  <w:num w:numId="8">
    <w:abstractNumId w:val="7"/>
  </w:num>
  <w:num w:numId="9">
    <w:abstractNumId w:val="15"/>
  </w:num>
  <w:num w:numId="10">
    <w:abstractNumId w:val="16"/>
  </w:num>
  <w:num w:numId="11">
    <w:abstractNumId w:val="20"/>
  </w:num>
  <w:num w:numId="12">
    <w:abstractNumId w:val="6"/>
  </w:num>
  <w:num w:numId="13">
    <w:abstractNumId w:val="9"/>
  </w:num>
  <w:num w:numId="14">
    <w:abstractNumId w:val="18"/>
  </w:num>
  <w:num w:numId="15">
    <w:abstractNumId w:val="24"/>
  </w:num>
  <w:num w:numId="16">
    <w:abstractNumId w:val="2"/>
  </w:num>
  <w:num w:numId="17">
    <w:abstractNumId w:val="22"/>
  </w:num>
  <w:num w:numId="18">
    <w:abstractNumId w:val="17"/>
  </w:num>
  <w:num w:numId="19">
    <w:abstractNumId w:val="13"/>
  </w:num>
  <w:num w:numId="20">
    <w:abstractNumId w:val="4"/>
  </w:num>
  <w:num w:numId="21">
    <w:abstractNumId w:val="5"/>
  </w:num>
  <w:num w:numId="22">
    <w:abstractNumId w:val="19"/>
  </w:num>
  <w:num w:numId="23">
    <w:abstractNumId w:val="0"/>
  </w:num>
  <w:num w:numId="24">
    <w:abstractNumId w:val="2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4YWI5MTRmNDg2MGZiNWQ3ZWZjYjI2YTM5Njg0NmI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26E1243"/>
    <w:rsid w:val="03583B20"/>
    <w:rsid w:val="04067081"/>
    <w:rsid w:val="04846205"/>
    <w:rsid w:val="066E0107"/>
    <w:rsid w:val="07913D01"/>
    <w:rsid w:val="07996F6E"/>
    <w:rsid w:val="089E6711"/>
    <w:rsid w:val="08D77648"/>
    <w:rsid w:val="095E7B28"/>
    <w:rsid w:val="0A2032A3"/>
    <w:rsid w:val="0A2B642E"/>
    <w:rsid w:val="0C38361A"/>
    <w:rsid w:val="101860EC"/>
    <w:rsid w:val="10C055FF"/>
    <w:rsid w:val="118107EC"/>
    <w:rsid w:val="12557610"/>
    <w:rsid w:val="13D50BC4"/>
    <w:rsid w:val="143B1AC2"/>
    <w:rsid w:val="15C0689F"/>
    <w:rsid w:val="15D059CC"/>
    <w:rsid w:val="16403DD4"/>
    <w:rsid w:val="168A2F5C"/>
    <w:rsid w:val="16BB723D"/>
    <w:rsid w:val="178C0728"/>
    <w:rsid w:val="1A6014AB"/>
    <w:rsid w:val="1BE8440E"/>
    <w:rsid w:val="1D155CEE"/>
    <w:rsid w:val="1F8B3B6F"/>
    <w:rsid w:val="208D4FB8"/>
    <w:rsid w:val="23860B96"/>
    <w:rsid w:val="23E10DD0"/>
    <w:rsid w:val="240371BF"/>
    <w:rsid w:val="249C0B99"/>
    <w:rsid w:val="26DD0969"/>
    <w:rsid w:val="272F507E"/>
    <w:rsid w:val="28EB1DA8"/>
    <w:rsid w:val="29FD04D3"/>
    <w:rsid w:val="2BB766FD"/>
    <w:rsid w:val="2BD93F8A"/>
    <w:rsid w:val="2BE21CDC"/>
    <w:rsid w:val="2C8A61B5"/>
    <w:rsid w:val="2DC047FD"/>
    <w:rsid w:val="2DF04E50"/>
    <w:rsid w:val="2FBB6F8D"/>
    <w:rsid w:val="2FE05413"/>
    <w:rsid w:val="305F1C72"/>
    <w:rsid w:val="30D37BAE"/>
    <w:rsid w:val="319F7F4E"/>
    <w:rsid w:val="31F47619"/>
    <w:rsid w:val="32762B37"/>
    <w:rsid w:val="34BA29C8"/>
    <w:rsid w:val="34E240E0"/>
    <w:rsid w:val="352E6C56"/>
    <w:rsid w:val="359F7AA1"/>
    <w:rsid w:val="368F76BD"/>
    <w:rsid w:val="36AA5135"/>
    <w:rsid w:val="371C1663"/>
    <w:rsid w:val="37E16F03"/>
    <w:rsid w:val="3A9C79E2"/>
    <w:rsid w:val="3ADE6B4C"/>
    <w:rsid w:val="3D7C0D8F"/>
    <w:rsid w:val="3D94095C"/>
    <w:rsid w:val="3D98207C"/>
    <w:rsid w:val="3EDD1011"/>
    <w:rsid w:val="413D6EF7"/>
    <w:rsid w:val="418C4DB2"/>
    <w:rsid w:val="41A27AEC"/>
    <w:rsid w:val="44A433F3"/>
    <w:rsid w:val="44E268DA"/>
    <w:rsid w:val="474877A5"/>
    <w:rsid w:val="4852376F"/>
    <w:rsid w:val="49A313AF"/>
    <w:rsid w:val="4A084BAC"/>
    <w:rsid w:val="4A627F82"/>
    <w:rsid w:val="4AC3583D"/>
    <w:rsid w:val="4B4F25DA"/>
    <w:rsid w:val="4BE068DB"/>
    <w:rsid w:val="4D577224"/>
    <w:rsid w:val="4EAB630A"/>
    <w:rsid w:val="4ECE2238"/>
    <w:rsid w:val="4F662CCD"/>
    <w:rsid w:val="50C9204C"/>
    <w:rsid w:val="51F33A94"/>
    <w:rsid w:val="57860E95"/>
    <w:rsid w:val="58501724"/>
    <w:rsid w:val="58592296"/>
    <w:rsid w:val="5A5D13B5"/>
    <w:rsid w:val="5AF92295"/>
    <w:rsid w:val="5CD71FC4"/>
    <w:rsid w:val="5F2345A8"/>
    <w:rsid w:val="61D117E2"/>
    <w:rsid w:val="634D5AD2"/>
    <w:rsid w:val="63613D0A"/>
    <w:rsid w:val="638C551C"/>
    <w:rsid w:val="647A6A00"/>
    <w:rsid w:val="66376316"/>
    <w:rsid w:val="667271DD"/>
    <w:rsid w:val="66D97842"/>
    <w:rsid w:val="6BFE6B22"/>
    <w:rsid w:val="6C4A05C8"/>
    <w:rsid w:val="6E7E3605"/>
    <w:rsid w:val="6EA33296"/>
    <w:rsid w:val="6EF5780A"/>
    <w:rsid w:val="6FF5CC65"/>
    <w:rsid w:val="70185248"/>
    <w:rsid w:val="701D7781"/>
    <w:rsid w:val="70ED68A5"/>
    <w:rsid w:val="715C0E4B"/>
    <w:rsid w:val="71BC58BF"/>
    <w:rsid w:val="71DE63D0"/>
    <w:rsid w:val="72734D90"/>
    <w:rsid w:val="73AD73D5"/>
    <w:rsid w:val="73B6EB34"/>
    <w:rsid w:val="75E84555"/>
    <w:rsid w:val="788C1D81"/>
    <w:rsid w:val="78B05831"/>
    <w:rsid w:val="79EE5BA4"/>
    <w:rsid w:val="7A894339"/>
    <w:rsid w:val="7CEF622A"/>
    <w:rsid w:val="7EEF11D3"/>
    <w:rsid w:val="7FA30C79"/>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4"/>
    <w:qFormat/>
    <w:uiPriority w:val="99"/>
    <w:pPr>
      <w:spacing w:beforeLines="30"/>
    </w:pPr>
    <w:rPr>
      <w:rFonts w:ascii="仿宋_GB2312" w:eastAsia="仿宋_GB2312"/>
      <w:kern w:val="0"/>
      <w:sz w:val="30"/>
    </w:rPr>
  </w:style>
  <w:style w:type="paragraph" w:styleId="6">
    <w:name w:val="Salutation"/>
    <w:basedOn w:val="1"/>
    <w:next w:val="1"/>
    <w:qFormat/>
    <w:uiPriority w:val="0"/>
    <w:pPr>
      <w:jc w:val="both"/>
      <w:textAlignment w:val="baseline"/>
    </w:pPr>
  </w:style>
  <w:style w:type="paragraph" w:styleId="7">
    <w:name w:val="toc 3"/>
    <w:basedOn w:val="1"/>
    <w:next w:val="1"/>
    <w:unhideWhenUsed/>
    <w:qFormat/>
    <w:uiPriority w:val="39"/>
    <w:pPr>
      <w:tabs>
        <w:tab w:val="right" w:leader="dot" w:pos="8296"/>
      </w:tabs>
      <w:ind w:left="840" w:leftChars="400"/>
    </w:pPr>
  </w:style>
  <w:style w:type="paragraph" w:styleId="8">
    <w:name w:val="Body Text Indent 2"/>
    <w:basedOn w:val="1"/>
    <w:next w:val="1"/>
    <w:qFormat/>
    <w:uiPriority w:val="0"/>
    <w:pPr>
      <w:spacing w:after="120" w:line="480" w:lineRule="auto"/>
      <w:ind w:left="200" w:leftChars="200"/>
    </w:pPr>
    <w:rPr>
      <w:rFonts w:ascii="Calibri" w:hAnsi="Calibri" w:eastAsia="宋体" w:cs="Calibri"/>
    </w:rPr>
  </w:style>
  <w:style w:type="paragraph" w:styleId="9">
    <w:name w:val="Balloon Text"/>
    <w:basedOn w:val="1"/>
    <w:link w:val="30"/>
    <w:semiHidden/>
    <w:unhideWhenUsed/>
    <w:qFormat/>
    <w:uiPriority w:val="99"/>
    <w:rPr>
      <w:sz w:val="18"/>
      <w:szCs w:val="18"/>
    </w:rPr>
  </w:style>
  <w:style w:type="paragraph" w:styleId="10">
    <w:name w:val="footer"/>
    <w:basedOn w:val="1"/>
    <w:link w:val="22"/>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0"/>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customStyle="1" w:styleId="19">
    <w:name w:val="Header Char"/>
    <w:basedOn w:val="16"/>
    <w:semiHidden/>
    <w:qFormat/>
    <w:uiPriority w:val="99"/>
    <w:rPr>
      <w:rFonts w:ascii="Times New Roman" w:hAnsi="Times New Roman"/>
      <w:sz w:val="18"/>
      <w:szCs w:val="18"/>
    </w:rPr>
  </w:style>
  <w:style w:type="character" w:customStyle="1" w:styleId="20">
    <w:name w:val="页眉 Char"/>
    <w:link w:val="11"/>
    <w:semiHidden/>
    <w:qFormat/>
    <w:locked/>
    <w:uiPriority w:val="99"/>
    <w:rPr>
      <w:sz w:val="18"/>
    </w:rPr>
  </w:style>
  <w:style w:type="character" w:customStyle="1" w:styleId="21">
    <w:name w:val="Footer Char"/>
    <w:basedOn w:val="16"/>
    <w:semiHidden/>
    <w:qFormat/>
    <w:uiPriority w:val="99"/>
    <w:rPr>
      <w:rFonts w:ascii="Times New Roman" w:hAnsi="Times New Roman"/>
      <w:sz w:val="18"/>
      <w:szCs w:val="18"/>
    </w:rPr>
  </w:style>
  <w:style w:type="character" w:customStyle="1" w:styleId="22">
    <w:name w:val="页脚 Char"/>
    <w:link w:val="10"/>
    <w:qFormat/>
    <w:locked/>
    <w:uiPriority w:val="99"/>
    <w:rPr>
      <w:sz w:val="18"/>
    </w:rPr>
  </w:style>
  <w:style w:type="character" w:customStyle="1" w:styleId="23">
    <w:name w:val="Body Text Char"/>
    <w:basedOn w:val="16"/>
    <w:semiHidden/>
    <w:qFormat/>
    <w:uiPriority w:val="99"/>
    <w:rPr>
      <w:rFonts w:ascii="Times New Roman" w:hAnsi="Times New Roman"/>
      <w:szCs w:val="24"/>
    </w:rPr>
  </w:style>
  <w:style w:type="character" w:customStyle="1" w:styleId="24">
    <w:name w:val="正文文本 Char"/>
    <w:link w:val="2"/>
    <w:qFormat/>
    <w:locked/>
    <w:uiPriority w:val="99"/>
    <w:rPr>
      <w:rFonts w:ascii="仿宋_GB2312" w:hAnsi="Times New Roman" w:eastAsia="仿宋_GB2312"/>
      <w:sz w:val="24"/>
    </w:rPr>
  </w:style>
  <w:style w:type="paragraph" w:customStyle="1" w:styleId="2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6">
    <w:name w:val="List Paragraph"/>
    <w:basedOn w:val="1"/>
    <w:qFormat/>
    <w:uiPriority w:val="34"/>
    <w:pPr>
      <w:ind w:firstLine="420" w:firstLineChars="200"/>
    </w:pPr>
  </w:style>
  <w:style w:type="character" w:customStyle="1" w:styleId="27">
    <w:name w:val="标题 1 Char"/>
    <w:basedOn w:val="16"/>
    <w:link w:val="3"/>
    <w:qFormat/>
    <w:uiPriority w:val="9"/>
    <w:rPr>
      <w:rFonts w:ascii="Times New Roman" w:hAnsi="Times New Roman"/>
      <w:b/>
      <w:bCs/>
      <w:kern w:val="44"/>
      <w:sz w:val="44"/>
      <w:szCs w:val="44"/>
    </w:rPr>
  </w:style>
  <w:style w:type="character" w:customStyle="1" w:styleId="28">
    <w:name w:val="标题 2 Char"/>
    <w:basedOn w:val="16"/>
    <w:link w:val="4"/>
    <w:qFormat/>
    <w:uiPriority w:val="9"/>
    <w:rPr>
      <w:rFonts w:asciiTheme="majorHAnsi" w:hAnsiTheme="majorHAnsi" w:eastAsiaTheme="majorEastAsia" w:cstheme="majorBidi"/>
      <w:b/>
      <w:bCs/>
      <w:kern w:val="2"/>
      <w:sz w:val="32"/>
      <w:szCs w:val="32"/>
    </w:rPr>
  </w:style>
  <w:style w:type="paragraph" w:customStyle="1" w:styleId="29">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0">
    <w:name w:val="批注框文本 Char"/>
    <w:basedOn w:val="16"/>
    <w:link w:val="9"/>
    <w:semiHidden/>
    <w:qFormat/>
    <w:uiPriority w:val="99"/>
    <w:rPr>
      <w:rFonts w:ascii="Times New Roman" w:hAnsi="Times New Roman"/>
      <w:kern w:val="2"/>
      <w:sz w:val="18"/>
      <w:szCs w:val="18"/>
    </w:rPr>
  </w:style>
  <w:style w:type="character" w:customStyle="1" w:styleId="31">
    <w:name w:val="标题 3 Char"/>
    <w:basedOn w:val="16"/>
    <w:link w:val="5"/>
    <w:qFormat/>
    <w:uiPriority w:val="9"/>
    <w:rPr>
      <w:rFonts w:ascii="Times New Roman" w:hAnsi="Times New Roman"/>
      <w:b/>
      <w:bCs/>
      <w:kern w:val="2"/>
      <w:sz w:val="32"/>
      <w:szCs w:val="32"/>
    </w:rPr>
  </w:style>
  <w:style w:type="paragraph" w:customStyle="1" w:styleId="32">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3">
    <w:name w:val="NormalIndent"/>
    <w:basedOn w:val="1"/>
    <w:qFormat/>
    <w:uiPriority w:val="0"/>
    <w:pPr>
      <w:ind w:firstLine="200" w:firstLineChars="200"/>
    </w:pPr>
  </w:style>
  <w:style w:type="paragraph" w:customStyle="1" w:styleId="34">
    <w:name w:val="四号正文"/>
    <w:basedOn w:val="1"/>
    <w:qFormat/>
    <w:uiPriority w:val="0"/>
    <w:pPr>
      <w:spacing w:line="360" w:lineRule="auto"/>
    </w:pPr>
    <w:rPr>
      <w:rFonts w:ascii="??" w:hAnsi="??" w:eastAsia="宋体"/>
      <w:color w:val="000000"/>
      <w:kern w:val="0"/>
      <w:sz w:val="28"/>
      <w:szCs w:val="21"/>
      <w:lang w:val="zh-CN" w:eastAsia="zh-CN"/>
    </w:rPr>
  </w:style>
  <w:style w:type="character" w:customStyle="1" w:styleId="35">
    <w:name w:val="font01"/>
    <w:basedOn w:val="16"/>
    <w:qFormat/>
    <w:uiPriority w:val="0"/>
    <w:rPr>
      <w:rFonts w:hint="eastAsia" w:ascii="宋体" w:hAnsi="宋体" w:eastAsia="宋体" w:cs="宋体"/>
      <w:color w:val="000000"/>
      <w:sz w:val="20"/>
      <w:szCs w:val="20"/>
      <w:u w:val="none"/>
    </w:rPr>
  </w:style>
  <w:style w:type="character" w:customStyle="1" w:styleId="36">
    <w:name w:val="font11"/>
    <w:basedOn w:val="16"/>
    <w:qFormat/>
    <w:uiPriority w:val="0"/>
    <w:rPr>
      <w:rFonts w:ascii="Arial" w:hAnsi="Arial" w:cs="Arial"/>
      <w:color w:val="000000"/>
      <w:sz w:val="20"/>
      <w:szCs w:val="20"/>
      <w:u w:val="none"/>
    </w:rPr>
  </w:style>
  <w:style w:type="character" w:customStyle="1" w:styleId="37">
    <w:name w:val="font31"/>
    <w:basedOn w:val="16"/>
    <w:qFormat/>
    <w:uiPriority w:val="0"/>
    <w:rPr>
      <w:rFonts w:ascii="MingLiU" w:hAnsi="MingLiU" w:eastAsia="MingLiU" w:cs="MingLiU"/>
      <w:color w:val="000000"/>
      <w:sz w:val="20"/>
      <w:szCs w:val="20"/>
      <w:u w:val="none"/>
    </w:rPr>
  </w:style>
  <w:style w:type="paragraph" w:customStyle="1" w:styleId="38">
    <w:name w:val="p0"/>
    <w:basedOn w:val="1"/>
    <w:qFormat/>
    <w:uiPriority w:val="0"/>
    <w:pPr>
      <w:widowControl/>
    </w:pPr>
    <w:rPr>
      <w:kern w:val="0"/>
    </w:rPr>
  </w:style>
  <w:style w:type="character" w:customStyle="1" w:styleId="39">
    <w:name w:val="15"/>
    <w:basedOn w:val="16"/>
    <w:qFormat/>
    <w:uiPriority w:val="0"/>
    <w:rPr>
      <w:rFonts w:ascii="Times New Roman" w:hAnsi="Times New Roman" w:cs="Times New Roman"/>
    </w:rPr>
  </w:style>
  <w:style w:type="character" w:customStyle="1" w:styleId="40">
    <w:name w:val="font41"/>
    <w:basedOn w:val="16"/>
    <w:qFormat/>
    <w:uiPriority w:val="0"/>
    <w:rPr>
      <w:rFonts w:ascii="Arial" w:hAnsi="Arial" w:cs="Arial"/>
      <w:color w:val="000000"/>
      <w:sz w:val="16"/>
      <w:szCs w:val="16"/>
      <w:u w:val="none"/>
    </w:rPr>
  </w:style>
  <w:style w:type="character" w:customStyle="1" w:styleId="41">
    <w:name w:val="font21"/>
    <w:basedOn w:val="16"/>
    <w:qFormat/>
    <w:uiPriority w:val="0"/>
    <w:rPr>
      <w:rFonts w:hint="eastAsia" w:ascii="宋体" w:hAnsi="宋体" w:eastAsia="宋体" w:cs="宋体"/>
      <w:color w:val="000000"/>
      <w:sz w:val="16"/>
      <w:szCs w:val="16"/>
      <w:u w:val="none"/>
    </w:rPr>
  </w:style>
  <w:style w:type="paragraph" w:customStyle="1" w:styleId="42">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2022&#24180;&#23545;2021&#24180;&#20915;&#31639;&#20844;&#24320;\&#24066;&#25945;&#32946;&#23616;\&#24191;&#20803;&#24066;&#25945;&#32946;&#23616;1.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22&#24180;&#23545;2021&#24180;&#20915;&#31639;&#20844;&#24320;\&#24066;&#25945;&#32946;&#23616;\&#24191;&#20803;&#24066;&#25945;&#32946;&#23616;1.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022&#24180;&#23545;2021&#24180;&#20915;&#31639;&#20844;&#24320;\&#24066;&#25945;&#32946;&#23616;\&#24191;&#20803;&#24066;&#25945;&#32946;&#23616;1.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2022&#24180;&#23545;2021&#24180;&#20915;&#31639;&#20844;&#24320;\&#24066;&#25945;&#32946;&#23616;\&#24191;&#20803;&#24066;&#25945;&#32946;&#23616;1.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2&#24180;&#23545;2021&#24180;&#20915;&#31639;&#20844;&#24320;\&#24066;&#25945;&#32946;&#23616;\&#24191;&#20803;&#24066;&#25945;&#32946;&#23616;1.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22&#24180;&#23545;2021&#24180;&#20915;&#31639;&#20844;&#24320;\&#24066;&#25945;&#32946;&#23616;\&#24191;&#20803;&#24066;&#25945;&#32946;&#23616;1.XLS"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022&#24180;&#23545;2021&#24180;&#20915;&#31639;&#20844;&#24320;\&#24066;&#25945;&#32946;&#23616;\&#24191;&#20803;&#24066;&#25945;&#32946;&#23616;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'[广元市教育局1.XLS]Z04 财政拨款收入支出决算总表(财决公开04表)'!$K$36</c:f>
              <c:strCache>
                <c:ptCount val="1"/>
                <c:pt idx="0">
                  <c:v>收入（万元）</c:v>
                </c:pt>
              </c:strCache>
            </c:strRef>
          </c:tx>
          <c:spPr>
            <a:solidFill>
              <a:schemeClr val="accent1"/>
            </a:solidFill>
            <a:ln>
              <a:noFill/>
            </a:ln>
            <a:effectLst/>
          </c:spPr>
          <c:invertIfNegative val="0"/>
          <c:dLbls>
            <c:delete val="1"/>
          </c:dLbls>
          <c:cat>
            <c:strRef>
              <c:f>'[广元市教育局1.XLS]Z04 财政拨款收入支出决算总表(财决公开04表)'!$J$37:$J$38</c:f>
              <c:strCache>
                <c:ptCount val="2"/>
                <c:pt idx="0">
                  <c:v>2020年</c:v>
                </c:pt>
                <c:pt idx="1">
                  <c:v>2021年</c:v>
                </c:pt>
              </c:strCache>
            </c:strRef>
          </c:cat>
          <c:val>
            <c:numRef>
              <c:f>'[广元市教育局1.XLS]Z04 财政拨款收入支出决算总表(财决公开04表)'!$K$37:$K$38</c:f>
              <c:numCache>
                <c:formatCode>General</c:formatCode>
                <c:ptCount val="2"/>
                <c:pt idx="0">
                  <c:v>60209.59</c:v>
                </c:pt>
                <c:pt idx="1">
                  <c:v>61429.04</c:v>
                </c:pt>
              </c:numCache>
            </c:numRef>
          </c:val>
        </c:ser>
        <c:ser>
          <c:idx val="1"/>
          <c:order val="1"/>
          <c:tx>
            <c:strRef>
              <c:f>'[广元市教育局1.XLS]Z04 财政拨款收入支出决算总表(财决公开04表)'!$L$36</c:f>
              <c:strCache>
                <c:ptCount val="1"/>
                <c:pt idx="0">
                  <c:v>支出（万元）</c:v>
                </c:pt>
              </c:strCache>
            </c:strRef>
          </c:tx>
          <c:spPr>
            <a:solidFill>
              <a:schemeClr val="accent2"/>
            </a:solidFill>
            <a:ln>
              <a:noFill/>
            </a:ln>
            <a:effectLst/>
          </c:spPr>
          <c:invertIfNegative val="0"/>
          <c:dLbls>
            <c:delete val="1"/>
          </c:dLbls>
          <c:cat>
            <c:strRef>
              <c:f>'[广元市教育局1.XLS]Z04 财政拨款收入支出决算总表(财决公开04表)'!$J$37:$J$38</c:f>
              <c:strCache>
                <c:ptCount val="2"/>
                <c:pt idx="0">
                  <c:v>2020年</c:v>
                </c:pt>
                <c:pt idx="1">
                  <c:v>2021年</c:v>
                </c:pt>
              </c:strCache>
            </c:strRef>
          </c:cat>
          <c:val>
            <c:numRef>
              <c:f>'[广元市教育局1.XLS]Z04 财政拨款收入支出决算总表(财决公开04表)'!$L$37:$L$38</c:f>
              <c:numCache>
                <c:formatCode>General</c:formatCode>
                <c:ptCount val="2"/>
                <c:pt idx="0">
                  <c:v>60209.59</c:v>
                </c:pt>
                <c:pt idx="1">
                  <c:v>61429.04</c:v>
                </c:pt>
              </c:numCache>
            </c:numRef>
          </c:val>
        </c:ser>
        <c:dLbls>
          <c:showLegendKey val="0"/>
          <c:showVal val="0"/>
          <c:showCatName val="0"/>
          <c:showSerName val="0"/>
          <c:showPercent val="0"/>
          <c:showBubbleSize val="0"/>
        </c:dLbls>
        <c:gapWidth val="150"/>
        <c:overlap val="0"/>
        <c:axId val="806905324"/>
        <c:axId val="717268930"/>
      </c:barChart>
      <c:catAx>
        <c:axId val="8069053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7268930"/>
        <c:crossesAt val="0"/>
        <c:auto val="1"/>
        <c:lblAlgn val="ctr"/>
        <c:lblOffset val="100"/>
        <c:noMultiLvlLbl val="0"/>
      </c:catAx>
      <c:valAx>
        <c:axId val="71726893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6905324"/>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c:explosion val="0"/>
          <c:dPt>
            <c:idx val="0"/>
            <c:bubble3D val="0"/>
            <c:spPr>
              <a:solidFill>
                <a:schemeClr val="accent1"/>
              </a:solidFill>
              <a:ln w="25400">
                <a:solidFill>
                  <a:schemeClr val="lt1"/>
                </a:solidFill>
              </a:ln>
              <a:effectLst/>
            </c:spPr>
          </c:dPt>
          <c:dPt>
            <c:idx val="1"/>
            <c:bubble3D val="0"/>
            <c:spPr>
              <a:solidFill>
                <a:schemeClr val="accent2"/>
              </a:solidFill>
              <a:ln w="25400">
                <a:solidFill>
                  <a:schemeClr val="lt1"/>
                </a:solidFill>
              </a:ln>
              <a:effectLst/>
            </c:spPr>
          </c:dPt>
          <c:dPt>
            <c:idx val="2"/>
            <c:bubble3D val="0"/>
            <c:spPr>
              <a:solidFill>
                <a:schemeClr val="accent3"/>
              </a:solidFill>
              <a:ln w="25400">
                <a:solidFill>
                  <a:schemeClr val="lt1"/>
                </a:solidFill>
              </a:ln>
              <a:effectLst/>
            </c:spPr>
          </c:dPt>
          <c:dPt>
            <c:idx val="3"/>
            <c:bubble3D val="0"/>
            <c:spPr>
              <a:solidFill>
                <a:schemeClr val="accent4"/>
              </a:solidFill>
              <a:ln w="25400">
                <a:solidFill>
                  <a:schemeClr val="lt1"/>
                </a:solidFill>
              </a:ln>
              <a:effectLst/>
            </c:spPr>
          </c:dPt>
          <c:dLbls>
            <c:delete val="1"/>
          </c:dLbls>
          <c:cat>
            <c:strRef>
              <c:f>'[广元市教育局1.XLS]Z01 收入支出决算总表(财决公开01表)'!$J$20:$J$23</c:f>
              <c:strCache>
                <c:ptCount val="4"/>
                <c:pt idx="0" c:formatCode="0.00%">
                  <c:v>一般公共预算财政拨款收入</c:v>
                </c:pt>
                <c:pt idx="1" c:formatCode="0.00%">
                  <c:v>政府性基金预算财政拨款</c:v>
                </c:pt>
                <c:pt idx="2" c:formatCode="0.00%">
                  <c:v>事业收入</c:v>
                </c:pt>
                <c:pt idx="3" c:formatCode="0.00%">
                  <c:v>其他收入</c:v>
                </c:pt>
              </c:strCache>
            </c:strRef>
          </c:cat>
          <c:val>
            <c:numRef>
              <c:f>'[广元市教育局1.XLS]Z01 收入支出决算总表(财决公开01表)'!$K$20:$K$23</c:f>
              <c:numCache>
                <c:formatCode>General</c:formatCode>
                <c:ptCount val="4"/>
                <c:pt idx="0">
                  <c:v>43361.68</c:v>
                </c:pt>
                <c:pt idx="1">
                  <c:v>950.5</c:v>
                </c:pt>
                <c:pt idx="2">
                  <c:v>3716.42</c:v>
                </c:pt>
                <c:pt idx="3">
                  <c:v>1106.73</c:v>
                </c:pt>
              </c:numCache>
            </c:numRef>
          </c:val>
        </c:ser>
        <c:dLbls>
          <c:showLegendKey val="0"/>
          <c:showVal val="0"/>
          <c:showCatName val="0"/>
          <c:showSerName val="0"/>
          <c:showPercent val="0"/>
          <c:showBubbleSize val="0"/>
        </c:dLbls>
      </c:pie3D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c:explosion val="0"/>
          <c:dPt>
            <c:idx val="0"/>
            <c:bubble3D val="0"/>
            <c:spPr>
              <a:solidFill>
                <a:schemeClr val="accent1"/>
              </a:solidFill>
              <a:ln w="25400">
                <a:solidFill>
                  <a:schemeClr val="lt1"/>
                </a:solidFill>
              </a:ln>
              <a:effectLst/>
            </c:spPr>
          </c:dPt>
          <c:dPt>
            <c:idx val="1"/>
            <c:bubble3D val="0"/>
            <c:spPr>
              <a:solidFill>
                <a:schemeClr val="accent2"/>
              </a:solidFill>
              <a:ln w="25400">
                <a:solidFill>
                  <a:schemeClr val="lt1"/>
                </a:solidFill>
              </a:ln>
              <a:effectLst/>
            </c:spPr>
          </c:dPt>
          <c:dLbls>
            <c:delete val="1"/>
          </c:dLbls>
          <c:cat>
            <c:strRef>
              <c:f>'[广元市教育局1.XLS]Z03 支出决算表(财决公开03表)'!$L$14:$L$15</c:f>
              <c:strCache>
                <c:ptCount val="2"/>
                <c:pt idx="0" c:formatCode="0.00%">
                  <c:v>基本支出</c:v>
                </c:pt>
                <c:pt idx="1" c:formatCode="0.00%">
                  <c:v>项目支出</c:v>
                </c:pt>
              </c:strCache>
            </c:strRef>
          </c:cat>
          <c:val>
            <c:numRef>
              <c:f>'[广元市教育局1.XLS]Z03 支出决算表(财决公开03表)'!$M$14:$M$15</c:f>
              <c:numCache>
                <c:formatCode>General</c:formatCode>
                <c:ptCount val="2"/>
                <c:pt idx="0">
                  <c:v>37253.01</c:v>
                </c:pt>
                <c:pt idx="1">
                  <c:v>15147.86</c:v>
                </c:pt>
              </c:numCache>
            </c:numRef>
          </c:val>
        </c:ser>
        <c:dLbls>
          <c:showLegendKey val="0"/>
          <c:showVal val="0"/>
          <c:showCatName val="0"/>
          <c:showSerName val="0"/>
          <c:showPercent val="0"/>
          <c:showBubbleSize val="0"/>
        </c:dLbls>
      </c:pie3D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'[广元市教育局1.XLS]Z04 财政拨款收入支出决算总表(财决公开04表)'!$L$25</c:f>
              <c:strCache>
                <c:ptCount val="1"/>
                <c:pt idx="0">
                  <c:v>收入（万元）</c:v>
                </c:pt>
              </c:strCache>
            </c:strRef>
          </c:tx>
          <c:spPr>
            <a:solidFill>
              <a:schemeClr val="accent1"/>
            </a:solidFill>
            <a:ln>
              <a:noFill/>
            </a:ln>
            <a:effectLst/>
          </c:spPr>
          <c:invertIfNegative val="0"/>
          <c:dLbls>
            <c:delete val="1"/>
          </c:dLbls>
          <c:cat>
            <c:strRef>
              <c:f>'[广元市教育局1.XLS]Z04 财政拨款收入支出决算总表(财决公开04表)'!$K$26:$K$27</c:f>
              <c:strCache>
                <c:ptCount val="2"/>
                <c:pt idx="0">
                  <c:v>2020年</c:v>
                </c:pt>
                <c:pt idx="1">
                  <c:v>2021年</c:v>
                </c:pt>
              </c:strCache>
            </c:strRef>
          </c:cat>
          <c:val>
            <c:numRef>
              <c:f>'[广元市教育局1.XLS]Z04 财政拨款收入支出决算总表(财决公开04表)'!$L$26:$L$27</c:f>
              <c:numCache>
                <c:formatCode>#,##0.00_ </c:formatCode>
                <c:ptCount val="2"/>
                <c:pt idx="0">
                  <c:v>52365.15</c:v>
                </c:pt>
                <c:pt idx="1">
                  <c:v>55391.7</c:v>
                </c:pt>
              </c:numCache>
            </c:numRef>
          </c:val>
        </c:ser>
        <c:ser>
          <c:idx val="1"/>
          <c:order val="1"/>
          <c:tx>
            <c:strRef>
              <c:f>'[广元市教育局1.XLS]Z04 财政拨款收入支出决算总表(财决公开04表)'!$M$25</c:f>
              <c:strCache>
                <c:ptCount val="1"/>
                <c:pt idx="0">
                  <c:v>支出（万元）</c:v>
                </c:pt>
              </c:strCache>
            </c:strRef>
          </c:tx>
          <c:spPr>
            <a:solidFill>
              <a:schemeClr val="accent2"/>
            </a:solidFill>
            <a:ln>
              <a:noFill/>
            </a:ln>
            <a:effectLst/>
          </c:spPr>
          <c:invertIfNegative val="0"/>
          <c:dLbls>
            <c:delete val="1"/>
          </c:dLbls>
          <c:cat>
            <c:strRef>
              <c:f>'[广元市教育局1.XLS]Z04 财政拨款收入支出决算总表(财决公开04表)'!$K$26:$K$27</c:f>
              <c:strCache>
                <c:ptCount val="2"/>
                <c:pt idx="0">
                  <c:v>2020年</c:v>
                </c:pt>
                <c:pt idx="1">
                  <c:v>2021年</c:v>
                </c:pt>
              </c:strCache>
            </c:strRef>
          </c:cat>
          <c:val>
            <c:numRef>
              <c:f>'[广元市教育局1.XLS]Z04 财政拨款收入支出决算总表(财决公开04表)'!$M$26:$M$27</c:f>
              <c:numCache>
                <c:formatCode>#,##0.00_ </c:formatCode>
                <c:ptCount val="2"/>
                <c:pt idx="0">
                  <c:v>52365.15</c:v>
                </c:pt>
                <c:pt idx="1">
                  <c:v>55391.7</c:v>
                </c:pt>
              </c:numCache>
            </c:numRef>
          </c:val>
        </c:ser>
        <c:dLbls>
          <c:showLegendKey val="0"/>
          <c:showVal val="0"/>
          <c:showCatName val="0"/>
          <c:showSerName val="0"/>
          <c:showPercent val="0"/>
          <c:showBubbleSize val="0"/>
        </c:dLbls>
        <c:gapWidth val="150"/>
        <c:overlap val="0"/>
        <c:axId val="883421028"/>
        <c:axId val="158113063"/>
      </c:barChart>
      <c:catAx>
        <c:axId val="8834210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8113063"/>
        <c:crosses val="autoZero"/>
        <c:auto val="1"/>
        <c:lblAlgn val="ctr"/>
        <c:lblOffset val="100"/>
        <c:noMultiLvlLbl val="0"/>
      </c:catAx>
      <c:valAx>
        <c:axId val="158113063"/>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_);[Red]\(#,##0\)" sourceLinked="0"/>
        <c:majorTickMark val="cross"/>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3421028"/>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'[广元市教育局1.XLS]Z06 一般公共预算财政拨款支出决算表(财决公开06表)'!$F$62</c:f>
              <c:strCache>
                <c:ptCount val="1"/>
                <c:pt idx="0">
                  <c:v>支出（万元）</c:v>
                </c:pt>
              </c:strCache>
            </c:strRef>
          </c:tx>
          <c:spPr>
            <a:solidFill>
              <a:schemeClr val="accent1"/>
            </a:solidFill>
            <a:ln>
              <a:noFill/>
            </a:ln>
            <a:effectLst/>
          </c:spPr>
          <c:invertIfNegative val="0"/>
          <c:dLbls>
            <c:delete val="1"/>
          </c:dLbls>
          <c:cat>
            <c:strRef>
              <c:f>'[广元市教育局1.XLS]Z06 一般公共预算财政拨款支出决算表(财决公开06表)'!$E$63:$E$64</c:f>
              <c:strCache>
                <c:ptCount val="2"/>
                <c:pt idx="0">
                  <c:v>2020年</c:v>
                </c:pt>
                <c:pt idx="1">
                  <c:v>2021年</c:v>
                </c:pt>
              </c:strCache>
            </c:strRef>
          </c:cat>
          <c:val>
            <c:numRef>
              <c:f>'[广元市教育局1.XLS]Z06 一般公共预算财政拨款支出决算表(财决公开06表)'!$F$63:$F$64</c:f>
              <c:numCache>
                <c:formatCode>General</c:formatCode>
                <c:ptCount val="2"/>
                <c:pt idx="0">
                  <c:v>40332.92</c:v>
                </c:pt>
                <c:pt idx="1">
                  <c:v>46654.31</c:v>
                </c:pt>
              </c:numCache>
            </c:numRef>
          </c:val>
        </c:ser>
        <c:dLbls>
          <c:showLegendKey val="0"/>
          <c:showVal val="0"/>
          <c:showCatName val="0"/>
          <c:showSerName val="0"/>
          <c:showPercent val="0"/>
          <c:showBubbleSize val="0"/>
        </c:dLbls>
        <c:gapWidth val="150"/>
        <c:overlap val="0"/>
        <c:axId val="497992280"/>
        <c:axId val="70549346"/>
      </c:barChart>
      <c:catAx>
        <c:axId val="4979922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549346"/>
        <c:crosses val="autoZero"/>
        <c:auto val="1"/>
        <c:lblAlgn val="ctr"/>
        <c:lblOffset val="100"/>
        <c:noMultiLvlLbl val="0"/>
      </c:catAx>
      <c:valAx>
        <c:axId val="7054934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7992280"/>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305555555555556"/>
          <c:y val="0.0613496932515337"/>
          <c:w val="0.606388888888889"/>
          <c:h val="0.857927026154343"/>
        </c:manualLayout>
      </c:layout>
      <c:pie3DChart>
        <c:varyColors val="1"/>
        <c:ser>
          <c:idx val="0"/>
          <c:order val="0"/>
          <c:spPr/>
          <c:explosion val="0"/>
          <c:dPt>
            <c:idx val="0"/>
            <c:bubble3D val="0"/>
            <c:spPr>
              <a:solidFill>
                <a:schemeClr val="accent1"/>
              </a:solidFill>
              <a:ln w="25400">
                <a:solidFill>
                  <a:schemeClr val="lt1"/>
                </a:solidFill>
              </a:ln>
              <a:effectLst/>
            </c:spPr>
          </c:dPt>
          <c:dPt>
            <c:idx val="1"/>
            <c:bubble3D val="0"/>
            <c:spPr>
              <a:solidFill>
                <a:schemeClr val="accent2"/>
              </a:solidFill>
              <a:ln w="25400">
                <a:solidFill>
                  <a:schemeClr val="lt1"/>
                </a:solidFill>
              </a:ln>
              <a:effectLst/>
            </c:spPr>
          </c:dPt>
          <c:dPt>
            <c:idx val="2"/>
            <c:bubble3D val="0"/>
            <c:spPr>
              <a:solidFill>
                <a:schemeClr val="accent3"/>
              </a:solidFill>
              <a:ln w="25400">
                <a:solidFill>
                  <a:schemeClr val="lt1"/>
                </a:solidFill>
              </a:ln>
              <a:effectLst/>
            </c:spPr>
          </c:dPt>
          <c:dPt>
            <c:idx val="3"/>
            <c:bubble3D val="0"/>
            <c:spPr>
              <a:solidFill>
                <a:schemeClr val="accent4"/>
              </a:solidFill>
              <a:ln w="25400">
                <a:solidFill>
                  <a:schemeClr val="lt1"/>
                </a:solidFill>
              </a:ln>
              <a:effectLst/>
            </c:spPr>
          </c:dPt>
          <c:dPt>
            <c:idx val="4"/>
            <c:bubble3D val="0"/>
            <c:spPr>
              <a:solidFill>
                <a:schemeClr val="accent5"/>
              </a:solidFill>
              <a:ln w="25400">
                <a:solidFill>
                  <a:schemeClr val="lt1"/>
                </a:solidFill>
              </a:ln>
              <a:effectLst/>
            </c:spPr>
          </c:dPt>
          <c:dPt>
            <c:idx val="5"/>
            <c:bubble3D val="0"/>
            <c:spPr>
              <a:solidFill>
                <a:schemeClr val="accent6"/>
              </a:solidFill>
              <a:ln w="25400">
                <a:solidFill>
                  <a:schemeClr val="lt1"/>
                </a:solidFill>
              </a:ln>
              <a:effectLst/>
            </c:spPr>
          </c:dPt>
          <c:dLbls>
            <c:dLbl>
              <c:idx val="1"/>
              <c:layout>
                <c:manualLayout>
                  <c:x val="0.0503461977590643"/>
                  <c:y val="0.009198650857183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388095439268322"/>
                  <c:y val="0.021229044144839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383788182649098"/>
                  <c:y val="0.054122319461773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027298815654473"/>
                  <c:y val="0.040254776757502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0.017749955345289"/>
                  <c:y val="0.06397175979689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'[广元市教育局1.XLS]Z06 一般公共预算财政拨款支出决算表(财决公开06表)'!$J$7:$J$12</c:f>
              <c:strCache>
                <c:ptCount val="6"/>
                <c:pt idx="0">
                  <c:v>教育支出</c:v>
                </c:pt>
                <c:pt idx="1">
                  <c:v>社会保障和就业支出</c:v>
                </c:pt>
                <c:pt idx="2">
                  <c:v>卫生健康支出</c:v>
                </c:pt>
                <c:pt idx="3">
                  <c:v>住房保障支出</c:v>
                </c:pt>
                <c:pt idx="4">
                  <c:v>灾害防治及应急管理支出</c:v>
                </c:pt>
                <c:pt idx="5">
                  <c:v>其他支出</c:v>
                </c:pt>
              </c:strCache>
            </c:strRef>
          </c:cat>
          <c:val>
            <c:numRef>
              <c:f>'[广元市教育局1.XLS]Z06 一般公共预算财政拨款支出决算表(财决公开06表)'!$K$7:$K$12</c:f>
              <c:numCache>
                <c:formatCode>General</c:formatCode>
                <c:ptCount val="6"/>
                <c:pt idx="0">
                  <c:v>37138.18</c:v>
                </c:pt>
                <c:pt idx="1">
                  <c:v>3648.59</c:v>
                </c:pt>
                <c:pt idx="2">
                  <c:v>1322.14</c:v>
                </c:pt>
                <c:pt idx="3">
                  <c:v>2526.06</c:v>
                </c:pt>
                <c:pt idx="4">
                  <c:v>18.5</c:v>
                </c:pt>
                <c:pt idx="5">
                  <c:v>2000.85</c:v>
                </c:pt>
              </c:numCache>
            </c:numRef>
          </c:val>
        </c:ser>
        <c:dLbls>
          <c:showLegendKey val="0"/>
          <c:showVal val="0"/>
          <c:showCatName val="0"/>
          <c:showSerName val="0"/>
          <c:showPercent val="0"/>
          <c:showBubbleSize val="0"/>
        </c:dLbls>
      </c:pie3D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tx>
            <c:strRef>
              <c:f>'[广元市教育局1.XLS]Z10 一般公共预算财政拨款“三公”经费支出决算表(财决公开1'!$H$14</c:f>
              <c:strCache>
                <c:ptCount val="1"/>
                <c:pt idx="0">
                  <c:v>支出（万元）</c:v>
                </c:pt>
              </c:strCache>
            </c:strRef>
          </c:tx>
          <c:spPr/>
          <c:explosion val="0"/>
          <c:dPt>
            <c:idx val="0"/>
            <c:bubble3D val="0"/>
            <c:spPr>
              <a:solidFill>
                <a:schemeClr val="accent1"/>
              </a:solidFill>
              <a:ln w="25400">
                <a:solidFill>
                  <a:schemeClr val="lt1"/>
                </a:solidFill>
              </a:ln>
              <a:effectLst/>
            </c:spPr>
          </c:dPt>
          <c:dPt>
            <c:idx val="1"/>
            <c:bubble3D val="0"/>
            <c:spPr>
              <a:solidFill>
                <a:schemeClr val="accent2"/>
              </a:solidFill>
              <a:ln w="25400">
                <a:solidFill>
                  <a:schemeClr val="lt1"/>
                </a:solidFill>
              </a:ln>
              <a:effectLst/>
            </c:spPr>
          </c:dPt>
          <c:dPt>
            <c:idx val="2"/>
            <c:bubble3D val="0"/>
            <c:spPr>
              <a:solidFill>
                <a:schemeClr val="accent3"/>
              </a:solidFill>
              <a:ln w="25400">
                <a:solidFill>
                  <a:schemeClr val="lt1"/>
                </a:solidFill>
              </a:ln>
              <a:effectLst/>
            </c:spPr>
          </c:dPt>
          <c:dLbls>
            <c:delete val="1"/>
          </c:dLbls>
          <c:cat>
            <c:strRef>
              <c:f>'[广元市教育局1.XLS]Z10 一般公共预算财政拨款“三公”经费支出决算表(财决公开1'!$G$15:$G$17</c:f>
              <c:strCache>
                <c:ptCount val="3"/>
                <c:pt idx="0">
                  <c:v>公务用车运行费</c:v>
                </c:pt>
                <c:pt idx="1">
                  <c:v>公务接待费</c:v>
                </c:pt>
                <c:pt idx="2">
                  <c:v>因公出国（境）费</c:v>
                </c:pt>
              </c:strCache>
            </c:strRef>
          </c:cat>
          <c:val>
            <c:numRef>
              <c:f>'[广元市教育局1.XLS]Z10 一般公共预算财政拨款“三公”经费支出决算表(财决公开1'!$H$15:$H$17</c:f>
              <c:numCache>
                <c:formatCode>General</c:formatCode>
                <c:ptCount val="3"/>
                <c:pt idx="0">
                  <c:v>14.9</c:v>
                </c:pt>
                <c:pt idx="1" c:formatCode="#,##0.00">
                  <c:v>4.96</c:v>
                </c:pt>
                <c:pt idx="2">
                  <c:v>0</c:v>
                </c:pt>
              </c:numCache>
            </c:numRef>
          </c:val>
        </c:ser>
        <c:dLbls>
          <c:showLegendKey val="0"/>
          <c:showVal val="0"/>
          <c:showCatName val="0"/>
          <c:showSerName val="0"/>
          <c:showPercent val="0"/>
          <c:showBubbleSize val="0"/>
        </c:dLbls>
      </c:pie3D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78</Pages>
  <Words>34834</Words>
  <Characters>37346</Characters>
  <Lines>61</Lines>
  <Paragraphs>17</Paragraphs>
  <TotalTime>2</TotalTime>
  <ScaleCrop>false</ScaleCrop>
  <LinksUpToDate>false</LinksUpToDate>
  <CharactersWithSpaces>37949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p  a  r  i  s  、</cp:lastModifiedBy>
  <cp:lastPrinted>2022-08-08T09:11:00Z</cp:lastPrinted>
  <dcterms:modified xsi:type="dcterms:W3CDTF">2023-06-27T07:57:06Z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FB4DDE8AD9744CF39BE1910DD90FF490</vt:lpwstr>
  </property>
</Properties>
</file>