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rPr>
          <w:rFonts w:ascii="方正小标宋简体" w:hAnsi="宋体" w:eastAsia="方正小标宋简体"/>
          <w:color w:val="auto"/>
          <w:sz w:val="72"/>
          <w:szCs w:val="72"/>
          <w:highlight w:val="none"/>
        </w:rPr>
      </w:pPr>
      <w:bookmarkStart w:id="0" w:name="_Toc15306267"/>
    </w:p>
    <w:p>
      <w:pPr>
        <w:pStyle w:val="6"/>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jc w:val="center"/>
        <w:rPr>
          <w:rFonts w:hint="eastAsia" w:ascii="方正小标宋简体" w:hAnsi="方正小标宋简体" w:eastAsia="方正小标宋简体" w:cs="方正小标宋简体"/>
          <w:b w:val="0"/>
          <w:bCs w:val="0"/>
          <w:sz w:val="72"/>
          <w:szCs w:val="72"/>
        </w:rPr>
      </w:pPr>
      <w:bookmarkStart w:id="1" w:name="_Toc15378441"/>
      <w:bookmarkStart w:id="2" w:name="_Toc15377425"/>
      <w:bookmarkStart w:id="3" w:name="_Toc15396597"/>
      <w:bookmarkStart w:id="4" w:name="_Toc15377193"/>
      <w:bookmarkStart w:id="5" w:name="_Toc15396475"/>
      <w:r>
        <w:rPr>
          <w:rFonts w:hint="eastAsia" w:ascii="方正小标宋简体" w:hAnsi="方正小标宋简体" w:eastAsia="方正小标宋简体" w:cs="方正小标宋简体"/>
          <w:b w:val="0"/>
          <w:bCs w:val="0"/>
          <w:sz w:val="72"/>
          <w:szCs w:val="72"/>
        </w:rPr>
        <w:t>20</w:t>
      </w:r>
      <w:r>
        <w:rPr>
          <w:rFonts w:hint="eastAsia" w:ascii="方正小标宋简体" w:hAnsi="方正小标宋简体" w:eastAsia="方正小标宋简体" w:cs="方正小标宋简体"/>
          <w:b w:val="0"/>
          <w:bCs w:val="0"/>
          <w:sz w:val="72"/>
          <w:szCs w:val="72"/>
          <w:lang w:val="en-US" w:eastAsia="zh-CN"/>
        </w:rPr>
        <w:t>21</w:t>
      </w:r>
      <w:r>
        <w:rPr>
          <w:rFonts w:hint="eastAsia" w:ascii="方正小标宋简体" w:hAnsi="方正小标宋简体" w:eastAsia="方正小标宋简体" w:cs="方正小标宋简体"/>
          <w:b w:val="0"/>
          <w:bCs w:val="0"/>
          <w:sz w:val="72"/>
          <w:szCs w:val="72"/>
        </w:rPr>
        <w:t>年度</w:t>
      </w:r>
      <w:bookmarkEnd w:id="1"/>
      <w:bookmarkEnd w:id="2"/>
      <w:bookmarkEnd w:id="3"/>
      <w:bookmarkEnd w:id="4"/>
      <w:bookmarkEnd w:id="5"/>
    </w:p>
    <w:p>
      <w:pPr>
        <w:jc w:val="center"/>
        <w:outlineLvl w:val="0"/>
        <w:rPr>
          <w:rFonts w:hint="eastAsia" w:ascii="宋体" w:hAnsi="宋体" w:eastAsia="宋体" w:cs="宋体"/>
          <w:b w:val="0"/>
          <w:bCs w:val="0"/>
          <w:sz w:val="72"/>
          <w:szCs w:val="72"/>
        </w:rPr>
      </w:pPr>
      <w:bookmarkStart w:id="6" w:name="_Toc15396476"/>
      <w:bookmarkStart w:id="7" w:name="_Toc16543"/>
      <w:bookmarkStart w:id="8" w:name="_Toc26750"/>
      <w:bookmarkStart w:id="9" w:name="_Toc20215"/>
      <w:bookmarkStart w:id="10" w:name="_Toc15377194"/>
      <w:bookmarkStart w:id="11" w:name="_Toc22807"/>
      <w:bookmarkStart w:id="12" w:name="_Toc9265"/>
      <w:bookmarkStart w:id="13" w:name="_Toc15378442"/>
      <w:bookmarkStart w:id="14" w:name="_Toc15623"/>
      <w:bookmarkStart w:id="15" w:name="_Toc29658"/>
      <w:bookmarkStart w:id="16" w:name="_Toc15396598"/>
      <w:bookmarkStart w:id="17" w:name="_Toc15377426"/>
      <w:bookmarkStart w:id="18" w:name="_Toc20201"/>
      <w:bookmarkStart w:id="19" w:name="_Toc16555"/>
      <w:r>
        <w:rPr>
          <w:rFonts w:hint="eastAsia" w:ascii="方正小标宋简体" w:hAnsi="方正小标宋简体" w:eastAsia="方正小标宋简体" w:cs="方正小标宋简体"/>
          <w:b w:val="0"/>
          <w:bCs w:val="0"/>
          <w:sz w:val="72"/>
          <w:szCs w:val="72"/>
          <w:lang w:val="en-US" w:eastAsia="zh-CN"/>
        </w:rPr>
        <w:t>广元市</w:t>
      </w:r>
      <w:bookmarkEnd w:id="0"/>
      <w:bookmarkStart w:id="20" w:name="_Toc15306268"/>
      <w:r>
        <w:rPr>
          <w:rFonts w:hint="eastAsia" w:ascii="方正小标宋简体" w:hAnsi="方正小标宋简体" w:eastAsia="方正小标宋简体" w:cs="方正小标宋简体"/>
          <w:b w:val="0"/>
          <w:bCs w:val="0"/>
          <w:sz w:val="72"/>
          <w:szCs w:val="72"/>
          <w:lang w:eastAsia="zh-CN"/>
        </w:rPr>
        <w:t>社会保险事务中心单位</w:t>
      </w:r>
      <w:r>
        <w:rPr>
          <w:rFonts w:hint="eastAsia" w:ascii="方正小标宋简体" w:hAnsi="方正小标宋简体" w:eastAsia="方正小标宋简体" w:cs="方正小标宋简体"/>
          <w:b w:val="0"/>
          <w:bCs w:val="0"/>
          <w:sz w:val="72"/>
          <w:szCs w:val="72"/>
        </w:rPr>
        <w:t>决算</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pPr>
        <w:widowControl/>
        <w:jc w:val="center"/>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目</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录</w:t>
      </w:r>
    </w:p>
    <w:p>
      <w:pPr>
        <w:widowControl/>
        <w:jc w:val="center"/>
        <w:rPr>
          <w:rFonts w:ascii="黑体" w:hAnsi="黑体" w:eastAsia="黑体" w:cs="Times New Roman"/>
          <w:color w:val="auto"/>
          <w:sz w:val="28"/>
          <w:szCs w:val="28"/>
          <w:highlight w:val="none"/>
        </w:rPr>
      </w:pPr>
    </w:p>
    <w:p>
      <w:pPr>
        <w:pStyle w:val="11"/>
        <w:rPr>
          <w:rFonts w:hint="eastAsia" w:ascii="仿宋_GB2312" w:hAnsi="仿宋_GB2312" w:eastAsia="仿宋_GB2312" w:cs="仿宋_GB2312"/>
          <w:color w:val="auto"/>
          <w:highlight w:val="none"/>
        </w:rPr>
      </w:pPr>
      <w:r>
        <w:rPr>
          <w:rFonts w:hint="eastAsia" w:ascii="仿宋" w:hAnsi="仿宋" w:eastAsia="仿宋" w:cs="仿宋"/>
          <w:color w:val="auto"/>
          <w:highlight w:val="none"/>
        </w:rPr>
        <w:t>公开时间：20</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年</w:t>
      </w:r>
      <w:r>
        <w:rPr>
          <w:rFonts w:hint="eastAsia" w:cs="仿宋"/>
          <w:color w:val="auto"/>
          <w:highlight w:val="none"/>
          <w:lang w:val="en-US" w:eastAsia="zh-CN"/>
        </w:rPr>
        <w:t>09</w:t>
      </w:r>
      <w:r>
        <w:rPr>
          <w:rFonts w:hint="eastAsia" w:ascii="仿宋" w:hAnsi="仿宋" w:eastAsia="仿宋" w:cs="仿宋"/>
          <w:color w:val="auto"/>
          <w:highlight w:val="none"/>
        </w:rPr>
        <w:t>月</w:t>
      </w:r>
      <w:r>
        <w:rPr>
          <w:rFonts w:hint="eastAsia" w:cs="仿宋"/>
          <w:color w:val="auto"/>
          <w:highlight w:val="none"/>
          <w:lang w:val="en-US" w:eastAsia="zh-CN"/>
        </w:rPr>
        <w:t>30</w:t>
      </w:r>
      <w:r>
        <w:rPr>
          <w:rFonts w:hint="eastAsia" w:ascii="仿宋" w:hAnsi="仿宋" w:eastAsia="仿宋" w:cs="仿宋"/>
          <w:color w:val="auto"/>
          <w:highlight w:val="none"/>
        </w:rPr>
        <w:t>日</w:t>
      </w:r>
    </w:p>
    <w:p/>
    <w:p>
      <w:pPr>
        <w:pStyle w:val="11"/>
        <w:tabs>
          <w:tab w:val="right" w:leader="dot" w:pos="8306"/>
          <w:tab w:val="clear" w:pos="8296"/>
        </w:tabs>
      </w:pPr>
      <w:bookmarkStart w:id="21" w:name="_Toc15396599"/>
      <w:bookmarkStart w:id="22" w:name="_Toc15377196"/>
      <w:r>
        <w:fldChar w:fldCharType="begin"/>
      </w:r>
      <w:r>
        <w:instrText xml:space="preserve">TOC \o "1-3" \f \h \u </w:instrText>
      </w:r>
      <w:r>
        <w:fldChar w:fldCharType="separate"/>
      </w:r>
      <w:r>
        <w:fldChar w:fldCharType="begin"/>
      </w:r>
      <w:r>
        <w:instrText xml:space="preserve"> HYPERLINK \l _Toc15055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r>
        <w:fldChar w:fldCharType="begin"/>
      </w:r>
      <w:r>
        <w:instrText xml:space="preserve"> PAGEREF _Toc15055 \h </w:instrText>
      </w:r>
      <w:r>
        <w:fldChar w:fldCharType="separate"/>
      </w:r>
      <w:r>
        <w:t>1</w:t>
      </w:r>
      <w:r>
        <w:fldChar w:fldCharType="end"/>
      </w:r>
      <w:r>
        <w:fldChar w:fldCharType="end"/>
      </w:r>
    </w:p>
    <w:p>
      <w:pPr>
        <w:pStyle w:val="12"/>
        <w:tabs>
          <w:tab w:val="right" w:leader="dot" w:pos="8306"/>
          <w:tab w:val="clear" w:pos="8296"/>
        </w:tabs>
      </w:pPr>
      <w:r>
        <w:fldChar w:fldCharType="begin"/>
      </w:r>
      <w:r>
        <w:instrText xml:space="preserve"> HYPERLINK \l _Toc13008 </w:instrText>
      </w:r>
      <w:r>
        <w:fldChar w:fldCharType="separate"/>
      </w:r>
      <w:r>
        <w:rPr>
          <w:rFonts w:hint="eastAsia" w:ascii="黑体" w:hAnsi="黑体" w:eastAsia="黑体" w:cs="黑体"/>
          <w:szCs w:val="32"/>
          <w:lang w:eastAsia="zh-CN"/>
        </w:rPr>
        <w:t>一、职能简介</w:t>
      </w:r>
      <w:r>
        <w:tab/>
      </w:r>
      <w:r>
        <w:fldChar w:fldCharType="begin"/>
      </w:r>
      <w:r>
        <w:instrText xml:space="preserve"> PAGEREF _Toc13008 \h </w:instrText>
      </w:r>
      <w:r>
        <w:fldChar w:fldCharType="separate"/>
      </w:r>
      <w:r>
        <w:t>1</w:t>
      </w:r>
      <w:r>
        <w:fldChar w:fldCharType="end"/>
      </w:r>
      <w:r>
        <w:fldChar w:fldCharType="end"/>
      </w:r>
    </w:p>
    <w:p>
      <w:pPr>
        <w:pStyle w:val="12"/>
        <w:tabs>
          <w:tab w:val="right" w:leader="dot" w:pos="8306"/>
          <w:tab w:val="clear" w:pos="8296"/>
        </w:tabs>
      </w:pPr>
      <w:r>
        <w:fldChar w:fldCharType="begin"/>
      </w:r>
      <w:r>
        <w:instrText xml:space="preserve"> HYPERLINK \l _Toc28960 </w:instrText>
      </w:r>
      <w:r>
        <w:fldChar w:fldCharType="separate"/>
      </w:r>
      <w:r>
        <w:rPr>
          <w:rFonts w:hint="eastAsia" w:ascii="黑体" w:hAnsi="黑体" w:eastAsia="黑体" w:cs="黑体"/>
          <w:szCs w:val="32"/>
          <w:lang w:val="en-US" w:eastAsia="zh-CN"/>
        </w:rPr>
        <w:t>二、2021年重点</w:t>
      </w:r>
      <w:r>
        <w:rPr>
          <w:rFonts w:hint="eastAsia" w:ascii="黑体" w:hAnsi="黑体" w:eastAsia="黑体" w:cs="黑体"/>
          <w:szCs w:val="32"/>
          <w:lang w:eastAsia="zh-CN"/>
        </w:rPr>
        <w:t>工作完成情况</w:t>
      </w:r>
      <w:r>
        <w:tab/>
      </w:r>
      <w:r>
        <w:fldChar w:fldCharType="begin"/>
      </w:r>
      <w:r>
        <w:instrText xml:space="preserve"> PAGEREF _Toc28960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_Toc23651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2021年度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fldChar w:fldCharType="begin"/>
      </w:r>
      <w:r>
        <w:instrText xml:space="preserve"> PAGEREF _Toc23651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_Toc7283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_Toc7283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_Toc14696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_Toc14696 \h </w:instrText>
      </w:r>
      <w:r>
        <w:fldChar w:fldCharType="separate"/>
      </w:r>
      <w:r>
        <w:t>3</w:t>
      </w:r>
      <w:r>
        <w:fldChar w:fldCharType="end"/>
      </w:r>
      <w:r>
        <w:fldChar w:fldCharType="end"/>
      </w:r>
    </w:p>
    <w:p>
      <w:pPr>
        <w:pStyle w:val="12"/>
      </w:pPr>
      <w:r>
        <w:fldChar w:fldCharType="begin"/>
      </w:r>
      <w:r>
        <w:instrText xml:space="preserve"> HYPERLINK \l _Toc25354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_Toc25354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_Toc23762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_Toc23762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_Toc25308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_Toc25308 \h </w:instrText>
      </w:r>
      <w:r>
        <w:fldChar w:fldCharType="separate"/>
      </w:r>
      <w:r>
        <w:t>5</w:t>
      </w:r>
      <w:r>
        <w:fldChar w:fldCharType="end"/>
      </w:r>
      <w:r>
        <w:fldChar w:fldCharType="end"/>
      </w:r>
    </w:p>
    <w:p>
      <w:pPr>
        <w:pStyle w:val="7"/>
        <w:tabs>
          <w:tab w:val="right" w:leader="dot" w:pos="8306"/>
          <w:tab w:val="clear" w:pos="8296"/>
        </w:tabs>
      </w:pPr>
      <w:r>
        <w:fldChar w:fldCharType="begin"/>
      </w:r>
      <w:r>
        <w:instrText xml:space="preserve"> HYPERLINK \l _Toc12359 </w:instrText>
      </w:r>
      <w:r>
        <w:fldChar w:fldCharType="separate"/>
      </w:r>
      <w:r>
        <w:rPr>
          <w:rFonts w:hint="eastAsia" w:ascii="楷体" w:hAnsi="楷体" w:eastAsia="楷体" w:cs="楷体"/>
          <w:szCs w:val="32"/>
          <w:highlight w:val="none"/>
        </w:rPr>
        <w:t>（一）一般公共预算财政拨款支出决算总体情况</w:t>
      </w:r>
      <w:r>
        <w:tab/>
      </w:r>
      <w:r>
        <w:fldChar w:fldCharType="begin"/>
      </w:r>
      <w:r>
        <w:instrText xml:space="preserve"> PAGEREF _Toc12359 \h </w:instrText>
      </w:r>
      <w:r>
        <w:fldChar w:fldCharType="separate"/>
      </w:r>
      <w:r>
        <w:t>5</w:t>
      </w:r>
      <w:r>
        <w:fldChar w:fldCharType="end"/>
      </w:r>
      <w:r>
        <w:fldChar w:fldCharType="end"/>
      </w:r>
    </w:p>
    <w:p>
      <w:pPr>
        <w:pStyle w:val="7"/>
        <w:tabs>
          <w:tab w:val="right" w:leader="dot" w:pos="8306"/>
          <w:tab w:val="clear" w:pos="8296"/>
        </w:tabs>
      </w:pPr>
      <w:r>
        <w:fldChar w:fldCharType="begin"/>
      </w:r>
      <w:r>
        <w:instrText xml:space="preserve"> HYPERLINK \l _Toc15456 </w:instrText>
      </w:r>
      <w:r>
        <w:fldChar w:fldCharType="separate"/>
      </w:r>
      <w:r>
        <w:rPr>
          <w:rFonts w:hint="eastAsia" w:ascii="楷体" w:hAnsi="楷体" w:eastAsia="楷体" w:cs="楷体"/>
          <w:szCs w:val="32"/>
          <w:highlight w:val="none"/>
        </w:rPr>
        <w:t>（二）一般公共预算财政拨款支出决算结构情况</w:t>
      </w:r>
      <w:r>
        <w:tab/>
      </w:r>
      <w:r>
        <w:fldChar w:fldCharType="begin"/>
      </w:r>
      <w:r>
        <w:instrText xml:space="preserve"> PAGEREF _Toc15456 \h </w:instrText>
      </w:r>
      <w:r>
        <w:fldChar w:fldCharType="separate"/>
      </w:r>
      <w:r>
        <w:t>6</w:t>
      </w:r>
      <w:r>
        <w:fldChar w:fldCharType="end"/>
      </w:r>
      <w:r>
        <w:fldChar w:fldCharType="end"/>
      </w:r>
    </w:p>
    <w:p>
      <w:pPr>
        <w:pStyle w:val="7"/>
        <w:tabs>
          <w:tab w:val="right" w:leader="dot" w:pos="8306"/>
          <w:tab w:val="clear" w:pos="8296"/>
        </w:tabs>
      </w:pPr>
      <w:r>
        <w:fldChar w:fldCharType="begin"/>
      </w:r>
      <w:r>
        <w:instrText xml:space="preserve"> HYPERLINK \l _Toc16956 </w:instrText>
      </w:r>
      <w:r>
        <w:fldChar w:fldCharType="separate"/>
      </w:r>
      <w:r>
        <w:rPr>
          <w:rFonts w:hint="eastAsia" w:ascii="楷体" w:hAnsi="楷体" w:eastAsia="楷体" w:cs="楷体"/>
          <w:szCs w:val="32"/>
          <w:highlight w:val="none"/>
        </w:rPr>
        <w:t>（三）一般公共预算财政拨款支出决算具体情况</w:t>
      </w:r>
      <w:r>
        <w:tab/>
      </w:r>
      <w:r>
        <w:fldChar w:fldCharType="begin"/>
      </w:r>
      <w:r>
        <w:instrText xml:space="preserve"> PAGEREF _Toc16956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_Toc23713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_Toc23713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_Toc19001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_Toc19001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_Toc18699 </w:instrText>
      </w:r>
      <w:r>
        <w:fldChar w:fldCharType="separate"/>
      </w:r>
      <w:r>
        <w:rPr>
          <w:rFonts w:hint="eastAsia" w:ascii="楷体" w:hAnsi="楷体" w:eastAsia="楷体" w:cs="楷体"/>
          <w:szCs w:val="32"/>
          <w:highlight w:val="none"/>
        </w:rPr>
        <w:t>（一）“三公”经费财政拨款支出决算总体情况说明</w:t>
      </w:r>
      <w:r>
        <w:tab/>
      </w:r>
      <w:r>
        <w:fldChar w:fldCharType="begin"/>
      </w:r>
      <w:r>
        <w:instrText xml:space="preserve"> PAGEREF _Toc18699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_Toc15347 </w:instrText>
      </w:r>
      <w:r>
        <w:fldChar w:fldCharType="separate"/>
      </w:r>
      <w:r>
        <w:rPr>
          <w:rFonts w:hint="eastAsia" w:ascii="楷体" w:hAnsi="楷体" w:eastAsia="楷体" w:cs="楷体"/>
          <w:szCs w:val="32"/>
          <w:highlight w:val="none"/>
        </w:rPr>
        <w:t>（二）“三公”经费财政拨款支出决算具体情况说明</w:t>
      </w:r>
      <w:r>
        <w:tab/>
      </w:r>
      <w:r>
        <w:fldChar w:fldCharType="begin"/>
      </w:r>
      <w:r>
        <w:instrText xml:space="preserve"> PAGEREF _Toc15347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_Toc661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_Toc661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_Toc18511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_Toc18511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_Toc814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_Toc814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_Toc25503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_Toc25503 \h </w:instrText>
      </w:r>
      <w:r>
        <w:fldChar w:fldCharType="separate"/>
      </w:r>
      <w:r>
        <w:t>10</w:t>
      </w:r>
      <w:r>
        <w:fldChar w:fldCharType="end"/>
      </w:r>
      <w:r>
        <w:fldChar w:fldCharType="end"/>
      </w:r>
    </w:p>
    <w:p>
      <w:pPr>
        <w:pStyle w:val="7"/>
        <w:tabs>
          <w:tab w:val="right" w:leader="dot" w:pos="8306"/>
          <w:tab w:val="clear" w:pos="8296"/>
        </w:tabs>
      </w:pPr>
      <w:r>
        <w:fldChar w:fldCharType="begin"/>
      </w:r>
      <w:r>
        <w:instrText xml:space="preserve"> HYPERLINK \l _Toc12180 </w:instrText>
      </w:r>
      <w:r>
        <w:fldChar w:fldCharType="separate"/>
      </w:r>
      <w:r>
        <w:rPr>
          <w:rFonts w:hint="eastAsia" w:ascii="楷体" w:hAnsi="楷体" w:eastAsia="楷体" w:cs="楷体"/>
          <w:szCs w:val="32"/>
          <w:highlight w:val="none"/>
        </w:rPr>
        <w:t>（一）机关运行经费支出情况</w:t>
      </w:r>
      <w:r>
        <w:tab/>
      </w:r>
      <w:r>
        <w:fldChar w:fldCharType="begin"/>
      </w:r>
      <w:r>
        <w:instrText xml:space="preserve"> PAGEREF _Toc12180 \h </w:instrText>
      </w:r>
      <w:r>
        <w:fldChar w:fldCharType="separate"/>
      </w:r>
      <w:r>
        <w:t>10</w:t>
      </w:r>
      <w:r>
        <w:fldChar w:fldCharType="end"/>
      </w:r>
      <w:r>
        <w:fldChar w:fldCharType="end"/>
      </w:r>
    </w:p>
    <w:p>
      <w:pPr>
        <w:pStyle w:val="7"/>
        <w:tabs>
          <w:tab w:val="right" w:leader="dot" w:pos="8306"/>
          <w:tab w:val="clear" w:pos="8296"/>
        </w:tabs>
      </w:pPr>
      <w:r>
        <w:fldChar w:fldCharType="begin"/>
      </w:r>
      <w:r>
        <w:instrText xml:space="preserve"> HYPERLINK \l _Toc25229 </w:instrText>
      </w:r>
      <w:r>
        <w:fldChar w:fldCharType="separate"/>
      </w:r>
      <w:r>
        <w:rPr>
          <w:rFonts w:hint="eastAsia" w:ascii="楷体" w:hAnsi="楷体" w:eastAsia="楷体" w:cs="楷体"/>
          <w:szCs w:val="32"/>
          <w:highlight w:val="none"/>
        </w:rPr>
        <w:t>（二）政府采购支出情况</w:t>
      </w:r>
      <w:r>
        <w:tab/>
      </w:r>
      <w:r>
        <w:fldChar w:fldCharType="begin"/>
      </w:r>
      <w:r>
        <w:instrText xml:space="preserve"> PAGEREF _Toc25229 \h </w:instrText>
      </w:r>
      <w:r>
        <w:fldChar w:fldCharType="separate"/>
      </w:r>
      <w:r>
        <w:t>10</w:t>
      </w:r>
      <w:r>
        <w:fldChar w:fldCharType="end"/>
      </w:r>
      <w:r>
        <w:fldChar w:fldCharType="end"/>
      </w:r>
    </w:p>
    <w:p>
      <w:pPr>
        <w:pStyle w:val="7"/>
        <w:tabs>
          <w:tab w:val="right" w:leader="dot" w:pos="8306"/>
          <w:tab w:val="clear" w:pos="8296"/>
        </w:tabs>
      </w:pPr>
      <w:r>
        <w:fldChar w:fldCharType="begin"/>
      </w:r>
      <w:r>
        <w:instrText xml:space="preserve"> HYPERLINK \l _Toc10505 </w:instrText>
      </w:r>
      <w:r>
        <w:fldChar w:fldCharType="separate"/>
      </w:r>
      <w:r>
        <w:rPr>
          <w:rFonts w:hint="eastAsia" w:ascii="楷体" w:hAnsi="楷体" w:eastAsia="楷体" w:cs="楷体"/>
          <w:szCs w:val="32"/>
          <w:highlight w:val="none"/>
        </w:rPr>
        <w:t>（三）国有资产占有使用情况</w:t>
      </w:r>
      <w:r>
        <w:tab/>
      </w:r>
      <w:r>
        <w:fldChar w:fldCharType="begin"/>
      </w:r>
      <w:r>
        <w:instrText xml:space="preserve"> PAGEREF _Toc10505 \h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_Toc2960 </w:instrText>
      </w:r>
      <w: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_Toc2960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_Toc1404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_Toc1404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_Toc10467 </w:instrText>
      </w:r>
      <w:r>
        <w:fldChar w:fldCharType="separate"/>
      </w:r>
      <w:r>
        <w:rPr>
          <w:rFonts w:hint="eastAsia" w:ascii="黑体" w:hAnsi="黑体" w:eastAsia="黑体" w:cs="黑体"/>
          <w:szCs w:val="32"/>
          <w:lang w:val="en-US" w:eastAsia="zh-CN"/>
        </w:rPr>
        <w:t>（</w:t>
      </w:r>
      <w:r>
        <w:rPr>
          <w:rFonts w:hint="default" w:ascii="黑体" w:hAnsi="黑体" w:eastAsia="黑体" w:cs="黑体"/>
          <w:szCs w:val="32"/>
          <w:lang w:val="en-US" w:eastAsia="zh-CN"/>
        </w:rPr>
        <w:t>离退休人员社会化管理服务工作专项经费</w:t>
      </w:r>
      <w:r>
        <w:rPr>
          <w:rFonts w:hint="eastAsia" w:ascii="黑体" w:hAnsi="黑体" w:eastAsia="黑体" w:cs="黑体"/>
          <w:szCs w:val="32"/>
          <w:lang w:val="en-US" w:eastAsia="zh-CN"/>
        </w:rPr>
        <w:t>）</w:t>
      </w:r>
      <w:r>
        <w:tab/>
      </w:r>
      <w:r>
        <w:fldChar w:fldCharType="begin"/>
      </w:r>
      <w:r>
        <w:instrText xml:space="preserve"> PAGEREF _Toc10467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_Toc27165 </w:instrText>
      </w:r>
      <w:r>
        <w:fldChar w:fldCharType="separate"/>
      </w:r>
      <w:r>
        <w:rPr>
          <w:rFonts w:hint="eastAsia" w:ascii="黑体" w:hAnsi="黑体" w:eastAsia="黑体" w:cs="黑体"/>
          <w:szCs w:val="32"/>
          <w:lang w:val="zh-CN" w:eastAsia="zh-CN"/>
        </w:rPr>
        <w:t>（社会保险全民参保工作专项经费）</w:t>
      </w:r>
      <w:r>
        <w:tab/>
      </w:r>
      <w:r>
        <w:fldChar w:fldCharType="begin"/>
      </w:r>
      <w:r>
        <w:instrText xml:space="preserve"> PAGEREF _Toc27165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_Toc18258 </w:instrText>
      </w:r>
      <w:r>
        <w:fldChar w:fldCharType="separate"/>
      </w:r>
      <w:r>
        <w:rPr>
          <w:rFonts w:hint="eastAsia" w:ascii="黑体" w:hAnsi="黑体" w:eastAsia="黑体" w:cs="黑体"/>
          <w:szCs w:val="32"/>
          <w:lang w:val="zh-CN" w:eastAsia="zh-CN"/>
        </w:rPr>
        <w:t>（代管工作经费）</w:t>
      </w:r>
      <w:r>
        <w:tab/>
      </w:r>
      <w:r>
        <w:fldChar w:fldCharType="begin"/>
      </w:r>
      <w:r>
        <w:instrText xml:space="preserve"> PAGEREF _Toc18258 \h </w:instrText>
      </w:r>
      <w:r>
        <w:fldChar w:fldCharType="separate"/>
      </w:r>
      <w:r>
        <w:t>18</w:t>
      </w:r>
      <w:r>
        <w:fldChar w:fldCharType="end"/>
      </w:r>
      <w:r>
        <w:fldChar w:fldCharType="end"/>
      </w:r>
    </w:p>
    <w:p>
      <w:pPr>
        <w:pStyle w:val="11"/>
        <w:tabs>
          <w:tab w:val="right" w:leader="dot" w:pos="8306"/>
          <w:tab w:val="clear" w:pos="8296"/>
        </w:tabs>
      </w:pPr>
      <w:r>
        <w:fldChar w:fldCharType="begin"/>
      </w:r>
      <w:r>
        <w:instrText xml:space="preserve"> HYPERLINK \l _Toc9081 </w:instrText>
      </w:r>
      <w:r>
        <w:fldChar w:fldCharType="separate"/>
      </w:r>
      <w:r>
        <w:rPr>
          <w:rFonts w:hint="eastAsia" w:ascii="黑体" w:hAnsi="黑体" w:eastAsia="黑体" w:cs="黑体"/>
          <w:szCs w:val="32"/>
          <w:highlight w:val="none"/>
        </w:rPr>
        <w:t>附</w:t>
      </w:r>
      <w:r>
        <w:rPr>
          <w:rFonts w:hint="eastAsia" w:ascii="黑体" w:hAnsi="黑体" w:eastAsia="黑体" w:cs="黑体"/>
          <w:szCs w:val="32"/>
          <w:highlight w:val="none"/>
          <w:lang w:val="en-US" w:eastAsia="zh-CN"/>
        </w:rPr>
        <w:t>表</w:t>
      </w:r>
      <w:r>
        <w:tab/>
      </w:r>
      <w:r>
        <w:fldChar w:fldCharType="begin"/>
      </w:r>
      <w:r>
        <w:instrText xml:space="preserve"> PAGEREF _Toc9081 \h </w:instrText>
      </w:r>
      <w:r>
        <w:fldChar w:fldCharType="separate"/>
      </w:r>
      <w:r>
        <w:t>20</w:t>
      </w:r>
      <w:r>
        <w:fldChar w:fldCharType="end"/>
      </w:r>
      <w:r>
        <w:fldChar w:fldCharType="end"/>
      </w:r>
    </w:p>
    <w:p>
      <w:pPr>
        <w:pStyle w:val="11"/>
        <w:tabs>
          <w:tab w:val="right" w:leader="dot" w:pos="8306"/>
          <w:tab w:val="clear" w:pos="8296"/>
        </w:tabs>
      </w:pPr>
    </w:p>
    <w:p>
      <w:pPr>
        <w:pStyle w:val="11"/>
        <w:tabs>
          <w:tab w:val="right" w:leader="dot" w:pos="8306"/>
          <w:tab w:val="clear" w:pos="8296"/>
        </w:tabs>
        <w:sectPr>
          <w:footerReference r:id="rId6" w:type="first"/>
          <w:footerReference r:id="rId5" w:type="default"/>
          <w:pgSz w:w="11906" w:h="16838"/>
          <w:pgMar w:top="1440" w:right="1800" w:bottom="1440" w:left="1800" w:header="851" w:footer="992" w:gutter="0"/>
          <w:pgNumType w:fmt="decimal" w:start="1"/>
          <w:cols w:space="720" w:num="1"/>
          <w:titlePg/>
          <w:docGrid w:type="lines" w:linePitch="312" w:charSpace="0"/>
        </w:sectPr>
      </w:pPr>
    </w:p>
    <w:p>
      <w:pPr>
        <w:pStyle w:val="11"/>
        <w:tabs>
          <w:tab w:val="right" w:leader="dot" w:pos="8306"/>
          <w:tab w:val="clear" w:pos="8296"/>
        </w:tabs>
      </w:pPr>
      <w:r>
        <w:fldChar w:fldCharType="begin"/>
      </w:r>
      <w:r>
        <w:instrText xml:space="preserve"> HYPERLINK \l _Toc28767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_Toc28767 \h </w:instrText>
      </w:r>
      <w:r>
        <w:fldChar w:fldCharType="separate"/>
      </w:r>
      <w:r>
        <w:t>23</w:t>
      </w:r>
      <w:r>
        <w:fldChar w:fldCharType="end"/>
      </w:r>
      <w: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_Toc28560 </w:instrText>
      </w:r>
      <w:r>
        <w:rPr>
          <w:rFonts w:hint="eastAsia" w:ascii="仿宋" w:hAnsi="仿宋" w:eastAsia="仿宋" w:cs="仿宋"/>
        </w:rPr>
        <w:fldChar w:fldCharType="separate"/>
      </w:r>
      <w:r>
        <w:rPr>
          <w:rFonts w:hint="eastAsia" w:ascii="仿宋" w:hAnsi="仿宋" w:eastAsia="仿宋" w:cs="仿宋"/>
          <w:highlight w:val="none"/>
        </w:rPr>
        <w:t>一、收</w:t>
      </w:r>
      <w:r>
        <w:rPr>
          <w:rFonts w:hint="eastAsia" w:ascii="仿宋" w:hAnsi="仿宋" w:eastAsia="仿宋" w:cs="仿宋"/>
          <w:bCs w:val="0"/>
          <w:highlight w:val="none"/>
        </w:rPr>
        <w:t>入支出决算总表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_Toc28560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_Toc25218 </w:instrText>
      </w:r>
      <w:r>
        <w:rPr>
          <w:rFonts w:hint="eastAsia" w:ascii="仿宋" w:hAnsi="仿宋" w:eastAsia="仿宋" w:cs="仿宋"/>
        </w:rPr>
        <w:fldChar w:fldCharType="separate"/>
      </w:r>
      <w:r>
        <w:rPr>
          <w:rFonts w:hint="eastAsia" w:ascii="仿宋" w:hAnsi="仿宋" w:eastAsia="仿宋" w:cs="仿宋"/>
          <w:highlight w:val="none"/>
        </w:rPr>
        <w:t>二、收</w:t>
      </w:r>
      <w:r>
        <w:rPr>
          <w:rFonts w:hint="eastAsia" w:ascii="仿宋" w:hAnsi="仿宋" w:eastAsia="仿宋" w:cs="仿宋"/>
          <w:bCs w:val="0"/>
          <w:highlight w:val="none"/>
        </w:rPr>
        <w:t>入决算表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_Toc25218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_Toc4486 </w:instrText>
      </w:r>
      <w:r>
        <w:rPr>
          <w:rFonts w:hint="eastAsia" w:ascii="仿宋" w:hAnsi="仿宋" w:eastAsia="仿宋" w:cs="仿宋"/>
        </w:rPr>
        <w:fldChar w:fldCharType="separate"/>
      </w:r>
      <w:r>
        <w:rPr>
          <w:rFonts w:hint="eastAsia" w:ascii="仿宋" w:hAnsi="仿宋" w:eastAsia="仿宋" w:cs="仿宋"/>
          <w:bCs w:val="0"/>
          <w:highlight w:val="none"/>
        </w:rPr>
        <w:t>三、</w:t>
      </w:r>
      <w:r>
        <w:rPr>
          <w:rFonts w:hint="eastAsia" w:ascii="仿宋" w:hAnsi="仿宋" w:eastAsia="仿宋" w:cs="仿宋"/>
          <w:highlight w:val="none"/>
        </w:rPr>
        <w:t>支</w:t>
      </w:r>
      <w:r>
        <w:rPr>
          <w:rFonts w:hint="eastAsia" w:ascii="仿宋" w:hAnsi="仿宋" w:eastAsia="仿宋" w:cs="仿宋"/>
          <w:bCs w:val="0"/>
          <w:highlight w:val="none"/>
        </w:rPr>
        <w:t>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_Toc4486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_Toc8352 </w:instrText>
      </w:r>
      <w:r>
        <w:rPr>
          <w:rFonts w:hint="eastAsia" w:ascii="仿宋" w:hAnsi="仿宋" w:eastAsia="仿宋" w:cs="仿宋"/>
        </w:rPr>
        <w:fldChar w:fldCharType="separate"/>
      </w:r>
      <w:r>
        <w:rPr>
          <w:rFonts w:hint="eastAsia" w:ascii="仿宋" w:hAnsi="仿宋" w:eastAsia="仿宋" w:cs="仿宋"/>
          <w:bCs w:val="0"/>
          <w:highlight w:val="none"/>
        </w:rPr>
        <w:t>四、</w:t>
      </w:r>
      <w:r>
        <w:rPr>
          <w:rFonts w:hint="eastAsia" w:ascii="仿宋" w:hAnsi="仿宋" w:eastAsia="仿宋" w:cs="仿宋"/>
          <w:highlight w:val="none"/>
        </w:rPr>
        <w:t>财</w:t>
      </w:r>
      <w:r>
        <w:rPr>
          <w:rFonts w:hint="eastAsia" w:ascii="仿宋" w:hAnsi="仿宋" w:eastAsia="仿宋" w:cs="仿宋"/>
          <w:bCs w:val="0"/>
          <w:highlight w:val="none"/>
        </w:rPr>
        <w:t>政拨款收入支出决算总表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_Toc8352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_Toc17364 </w:instrText>
      </w:r>
      <w:r>
        <w:rPr>
          <w:rFonts w:hint="eastAsia" w:ascii="仿宋" w:hAnsi="仿宋" w:eastAsia="仿宋" w:cs="仿宋"/>
        </w:rPr>
        <w:fldChar w:fldCharType="separate"/>
      </w:r>
      <w:r>
        <w:rPr>
          <w:rFonts w:hint="eastAsia" w:ascii="仿宋" w:hAnsi="仿宋" w:eastAsia="仿宋" w:cs="仿宋"/>
          <w:bCs w:val="0"/>
          <w:highlight w:val="none"/>
        </w:rPr>
        <w:t>五、</w:t>
      </w:r>
      <w:r>
        <w:rPr>
          <w:rFonts w:hint="eastAsia" w:ascii="仿宋" w:hAnsi="仿宋" w:eastAsia="仿宋" w:cs="仿宋"/>
          <w:highlight w:val="none"/>
        </w:rPr>
        <w:t>财</w:t>
      </w:r>
      <w:r>
        <w:rPr>
          <w:rFonts w:hint="eastAsia" w:ascii="仿宋" w:hAnsi="仿宋" w:eastAsia="仿宋" w:cs="仿宋"/>
          <w:bCs w:val="0"/>
          <w:highlight w:val="none"/>
        </w:rPr>
        <w:t>政拨款支出决算明细表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_Toc17364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_Toc14817 </w:instrText>
      </w:r>
      <w:r>
        <w:rPr>
          <w:rFonts w:hint="eastAsia" w:ascii="仿宋" w:hAnsi="仿宋" w:eastAsia="仿宋" w:cs="仿宋"/>
        </w:rPr>
        <w:fldChar w:fldCharType="separate"/>
      </w:r>
      <w:r>
        <w:rPr>
          <w:rFonts w:hint="eastAsia" w:ascii="仿宋" w:hAnsi="仿宋" w:eastAsia="仿宋" w:cs="仿宋"/>
          <w:bCs w:val="0"/>
          <w:highlight w:val="none"/>
        </w:rPr>
        <w:t>六、</w:t>
      </w:r>
      <w:r>
        <w:rPr>
          <w:rFonts w:hint="eastAsia" w:ascii="仿宋" w:hAnsi="仿宋" w:eastAsia="仿宋" w:cs="仿宋"/>
          <w:highlight w:val="none"/>
        </w:rPr>
        <w:t>一</w:t>
      </w:r>
      <w:r>
        <w:rPr>
          <w:rFonts w:hint="eastAsia" w:ascii="仿宋" w:hAnsi="仿宋" w:eastAsia="仿宋" w:cs="仿宋"/>
          <w:bCs w:val="0"/>
          <w:highlight w:val="none"/>
        </w:rPr>
        <w:t>般公共预算财政拨款支出决算表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_Toc14817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_Toc1328 </w:instrText>
      </w:r>
      <w:r>
        <w:rPr>
          <w:rFonts w:hint="eastAsia" w:ascii="仿宋" w:hAnsi="仿宋" w:eastAsia="仿宋" w:cs="仿宋"/>
        </w:rPr>
        <w:fldChar w:fldCharType="separate"/>
      </w:r>
      <w:r>
        <w:rPr>
          <w:rFonts w:hint="eastAsia" w:ascii="仿宋" w:hAnsi="仿宋" w:eastAsia="仿宋" w:cs="仿宋"/>
          <w:bCs w:val="0"/>
          <w:highlight w:val="none"/>
        </w:rPr>
        <w:t>七、</w:t>
      </w:r>
      <w:r>
        <w:rPr>
          <w:rFonts w:hint="eastAsia" w:ascii="仿宋" w:hAnsi="仿宋" w:eastAsia="仿宋" w:cs="仿宋"/>
          <w:highlight w:val="none"/>
        </w:rPr>
        <w:t>一</w:t>
      </w:r>
      <w:r>
        <w:rPr>
          <w:rFonts w:hint="eastAsia" w:ascii="仿宋" w:hAnsi="仿宋" w:eastAsia="仿宋" w:cs="仿宋"/>
          <w:bCs w:val="0"/>
          <w:highlight w:val="none"/>
        </w:rPr>
        <w:t>般公共预算财政拨款支出决算明细表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_Toc30094 </w:instrText>
      </w:r>
      <w:r>
        <w:rPr>
          <w:rFonts w:hint="eastAsia" w:ascii="仿宋" w:hAnsi="仿宋" w:eastAsia="仿宋" w:cs="仿宋"/>
        </w:rPr>
        <w:fldChar w:fldCharType="separate"/>
      </w:r>
      <w:r>
        <w:rPr>
          <w:rFonts w:hint="eastAsia" w:ascii="仿宋" w:hAnsi="仿宋" w:eastAsia="仿宋" w:cs="仿宋"/>
          <w:bCs w:val="0"/>
          <w:highlight w:val="none"/>
        </w:rPr>
        <w:t>八、</w:t>
      </w:r>
      <w:r>
        <w:rPr>
          <w:rFonts w:hint="eastAsia" w:ascii="仿宋" w:hAnsi="仿宋" w:eastAsia="仿宋" w:cs="仿宋"/>
          <w:highlight w:val="none"/>
        </w:rPr>
        <w:t>一</w:t>
      </w:r>
      <w:r>
        <w:rPr>
          <w:rFonts w:hint="eastAsia" w:ascii="仿宋" w:hAnsi="仿宋" w:eastAsia="仿宋" w:cs="仿宋"/>
          <w:bCs w:val="0"/>
          <w:highlight w:val="none"/>
        </w:rPr>
        <w:t>般公共预算财政拨款基本支出决算表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_Toc30094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_Toc23940 </w:instrText>
      </w:r>
      <w:r>
        <w:rPr>
          <w:rFonts w:hint="eastAsia" w:ascii="仿宋" w:hAnsi="仿宋" w:eastAsia="仿宋" w:cs="仿宋"/>
        </w:rPr>
        <w:fldChar w:fldCharType="separate"/>
      </w:r>
      <w:r>
        <w:rPr>
          <w:rFonts w:hint="eastAsia" w:ascii="仿宋" w:hAnsi="仿宋" w:eastAsia="仿宋" w:cs="仿宋"/>
          <w:bCs w:val="0"/>
          <w:highlight w:val="none"/>
        </w:rPr>
        <w:t>九、</w:t>
      </w:r>
      <w:r>
        <w:rPr>
          <w:rFonts w:hint="eastAsia" w:ascii="仿宋" w:hAnsi="仿宋" w:eastAsia="仿宋" w:cs="仿宋"/>
          <w:highlight w:val="none"/>
        </w:rPr>
        <w:t>一</w:t>
      </w:r>
      <w:r>
        <w:rPr>
          <w:rFonts w:hint="eastAsia" w:ascii="仿宋" w:hAnsi="仿宋" w:eastAsia="仿宋" w:cs="仿宋"/>
          <w:bCs w:val="0"/>
          <w:highlight w:val="none"/>
        </w:rPr>
        <w:t>般公共预算财政拨款项目支出决算表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_Toc23940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_Toc10919 </w:instrText>
      </w:r>
      <w:r>
        <w:rPr>
          <w:rFonts w:hint="eastAsia" w:ascii="仿宋" w:hAnsi="仿宋" w:eastAsia="仿宋" w:cs="仿宋"/>
        </w:rPr>
        <w:fldChar w:fldCharType="separate"/>
      </w:r>
      <w:r>
        <w:rPr>
          <w:rFonts w:hint="eastAsia" w:ascii="仿宋" w:hAnsi="仿宋" w:eastAsia="仿宋" w:cs="仿宋"/>
          <w:bCs w:val="0"/>
          <w:highlight w:val="none"/>
        </w:rPr>
        <w:t>十、</w:t>
      </w:r>
      <w:r>
        <w:rPr>
          <w:rFonts w:hint="eastAsia" w:ascii="仿宋" w:hAnsi="仿宋" w:eastAsia="仿宋" w:cs="仿宋"/>
          <w:highlight w:val="none"/>
        </w:rPr>
        <w:t>一</w:t>
      </w:r>
      <w:r>
        <w:rPr>
          <w:rFonts w:hint="eastAsia" w:ascii="仿宋" w:hAnsi="仿宋" w:eastAsia="仿宋" w:cs="仿宋"/>
          <w:bCs w:val="0"/>
          <w:highlight w:val="none"/>
        </w:rPr>
        <w:t>般公共预算财政拨款“三公”经费支出决算表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_Toc10919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_Toc25501 </w:instrText>
      </w:r>
      <w:r>
        <w:rPr>
          <w:rFonts w:hint="eastAsia" w:ascii="仿宋" w:hAnsi="仿宋" w:eastAsia="仿宋" w:cs="仿宋"/>
        </w:rPr>
        <w:fldChar w:fldCharType="separate"/>
      </w:r>
      <w:r>
        <w:rPr>
          <w:rFonts w:hint="eastAsia" w:ascii="仿宋" w:hAnsi="仿宋" w:eastAsia="仿宋" w:cs="仿宋"/>
          <w:bCs w:val="0"/>
          <w:highlight w:val="none"/>
        </w:rPr>
        <w:t>十一、</w:t>
      </w:r>
      <w:r>
        <w:rPr>
          <w:rFonts w:hint="eastAsia" w:ascii="仿宋" w:hAnsi="仿宋" w:eastAsia="仿宋" w:cs="仿宋"/>
          <w:highlight w:val="none"/>
        </w:rPr>
        <w:t>政</w:t>
      </w:r>
      <w:r>
        <w:rPr>
          <w:rFonts w:hint="eastAsia" w:ascii="仿宋" w:hAnsi="仿宋" w:eastAsia="仿宋" w:cs="仿宋"/>
          <w:bCs w:val="0"/>
          <w:highlight w:val="none"/>
        </w:rPr>
        <w:t>府性基金预算财政拨款收入支出决算表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_Toc25501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_Toc2376 </w:instrText>
      </w:r>
      <w:r>
        <w:rPr>
          <w:rFonts w:hint="eastAsia" w:ascii="仿宋" w:hAnsi="仿宋" w:eastAsia="仿宋" w:cs="仿宋"/>
        </w:rPr>
        <w:fldChar w:fldCharType="separate"/>
      </w:r>
      <w:r>
        <w:rPr>
          <w:rFonts w:hint="eastAsia" w:ascii="仿宋" w:hAnsi="仿宋" w:eastAsia="仿宋" w:cs="仿宋"/>
          <w:bCs w:val="0"/>
          <w:highlight w:val="none"/>
        </w:rPr>
        <w:t>十二、</w:t>
      </w:r>
      <w:r>
        <w:rPr>
          <w:rFonts w:hint="eastAsia" w:ascii="仿宋" w:hAnsi="仿宋" w:eastAsia="仿宋" w:cs="仿宋"/>
          <w:highlight w:val="none"/>
        </w:rPr>
        <w:t>政</w:t>
      </w:r>
      <w:r>
        <w:rPr>
          <w:rFonts w:hint="eastAsia" w:ascii="仿宋" w:hAnsi="仿宋" w:eastAsia="仿宋" w:cs="仿宋"/>
          <w:bCs w:val="0"/>
          <w:highlight w:val="none"/>
        </w:rPr>
        <w:t>府性基金预算财政拨款“三公”经费支出决算表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_Toc2376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_Toc20878 </w:instrText>
      </w:r>
      <w:r>
        <w:rPr>
          <w:rFonts w:hint="eastAsia" w:ascii="仿宋" w:hAnsi="仿宋" w:eastAsia="仿宋" w:cs="仿宋"/>
        </w:rPr>
        <w:fldChar w:fldCharType="separate"/>
      </w:r>
      <w:r>
        <w:rPr>
          <w:rFonts w:hint="eastAsia" w:ascii="仿宋" w:hAnsi="仿宋" w:eastAsia="仿宋" w:cs="仿宋"/>
          <w:bCs w:val="0"/>
          <w:highlight w:val="none"/>
        </w:rPr>
        <w:t>十三、</w:t>
      </w:r>
      <w:r>
        <w:rPr>
          <w:rFonts w:hint="eastAsia" w:ascii="仿宋" w:hAnsi="仿宋" w:eastAsia="仿宋" w:cs="仿宋"/>
          <w:highlight w:val="none"/>
        </w:rPr>
        <w:t>国</w:t>
      </w:r>
      <w:r>
        <w:rPr>
          <w:rFonts w:hint="eastAsia" w:ascii="仿宋" w:hAnsi="仿宋" w:eastAsia="仿宋" w:cs="仿宋"/>
          <w:bCs w:val="0"/>
          <w:highlight w:val="none"/>
        </w:rPr>
        <w:t>有资本经营预算</w:t>
      </w:r>
      <w:r>
        <w:rPr>
          <w:rFonts w:hint="eastAsia" w:ascii="仿宋" w:hAnsi="仿宋" w:eastAsia="仿宋" w:cs="仿宋"/>
          <w:bCs w:val="0"/>
          <w:highlight w:val="none"/>
          <w:lang w:eastAsia="zh-CN"/>
        </w:rPr>
        <w:t>财政拨款收入</w:t>
      </w:r>
      <w:r>
        <w:rPr>
          <w:rFonts w:hint="eastAsia" w:ascii="仿宋" w:hAnsi="仿宋" w:eastAsia="仿宋" w:cs="仿宋"/>
          <w:bCs w:val="0"/>
          <w:highlight w:val="none"/>
        </w:rPr>
        <w:t>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_Toc20878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8306"/>
          <w:tab w:val="clear" w:pos="8296"/>
        </w:tabs>
      </w:pPr>
      <w:r>
        <w:rPr>
          <w:rFonts w:hint="eastAsia" w:ascii="仿宋" w:hAnsi="仿宋" w:eastAsia="仿宋" w:cs="仿宋"/>
        </w:rPr>
        <w:fldChar w:fldCharType="begin"/>
      </w:r>
      <w:r>
        <w:rPr>
          <w:rFonts w:hint="eastAsia" w:ascii="仿宋" w:hAnsi="仿宋" w:eastAsia="仿宋" w:cs="仿宋"/>
        </w:rPr>
        <w:instrText xml:space="preserve"> HYPERLINK \l _Toc3098 </w:instrText>
      </w:r>
      <w:r>
        <w:rPr>
          <w:rFonts w:hint="eastAsia" w:ascii="仿宋" w:hAnsi="仿宋" w:eastAsia="仿宋" w:cs="仿宋"/>
        </w:rPr>
        <w:fldChar w:fldCharType="separate"/>
      </w:r>
      <w:r>
        <w:rPr>
          <w:rFonts w:hint="eastAsia" w:ascii="仿宋" w:hAnsi="仿宋" w:eastAsia="仿宋" w:cs="仿宋"/>
          <w:bCs w:val="0"/>
          <w:highlight w:val="none"/>
          <w:lang w:eastAsia="zh-CN"/>
        </w:rPr>
        <w:t>十四、国有资本经营预算财政拨款支出决算表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spacing w:before="0" w:beforeLines="0" w:after="0" w:afterLines="0" w:line="240" w:lineRule="auto"/>
        <w:ind w:left="0" w:leftChars="0" w:right="0" w:firstLine="0" w:firstLineChars="0"/>
        <w:jc w:val="center"/>
      </w:pPr>
      <w:r>
        <w:fldChar w:fldCharType="end"/>
      </w:r>
    </w:p>
    <w:p>
      <w:pPr>
        <w:widowControl/>
        <w:spacing w:line="440" w:lineRule="exact"/>
        <w:jc w:val="center"/>
        <w:outlineLvl w:val="9"/>
        <w:rPr>
          <w:rStyle w:val="35"/>
          <w:rFonts w:hint="eastAsia" w:ascii="黑体" w:hAnsi="黑体" w:eastAsia="黑体" w:cs="黑体"/>
          <w:b w:val="0"/>
          <w:bCs w:val="0"/>
          <w:color w:val="auto"/>
          <w:highlight w:val="none"/>
        </w:rPr>
        <w:sectPr>
          <w:footerReference r:id="rId8" w:type="first"/>
          <w:footerReference r:id="rId7" w:type="default"/>
          <w:pgSz w:w="11906" w:h="16838"/>
          <w:pgMar w:top="1440" w:right="1800" w:bottom="1440" w:left="1800" w:header="851" w:footer="992" w:gutter="0"/>
          <w:pgNumType w:fmt="decimal" w:start="1"/>
          <w:cols w:space="720" w:num="1"/>
          <w:docGrid w:type="lines" w:linePitch="312" w:charSpace="0"/>
        </w:sectPr>
      </w:pPr>
      <w:bookmarkStart w:id="23" w:name="_Toc333"/>
      <w:bookmarkStart w:id="24" w:name="_Toc15055"/>
      <w:bookmarkStart w:id="25" w:name="_Toc13893"/>
      <w:bookmarkStart w:id="26" w:name="_Toc15200"/>
    </w:p>
    <w:p>
      <w:pPr>
        <w:widowControl/>
        <w:spacing w:line="440" w:lineRule="exact"/>
        <w:jc w:val="center"/>
        <w:outlineLvl w:val="9"/>
        <w:rPr>
          <w:rStyle w:val="35"/>
          <w:rFonts w:hint="eastAsia" w:ascii="方正小标宋简体" w:hAnsi="方正小标宋简体" w:eastAsia="方正小标宋简体" w:cs="方正小标宋简体"/>
          <w:b w:val="0"/>
          <w:bCs w:val="0"/>
          <w:color w:val="auto"/>
          <w:highlight w:val="none"/>
        </w:rPr>
      </w:pPr>
      <w:r>
        <w:rPr>
          <w:rStyle w:val="35"/>
          <w:rFonts w:hint="eastAsia" w:ascii="黑体" w:hAnsi="黑体" w:eastAsia="黑体" w:cs="黑体"/>
          <w:b w:val="0"/>
          <w:bCs w:val="0"/>
          <w:color w:val="auto"/>
          <w:highlight w:val="none"/>
        </w:rPr>
        <w:t xml:space="preserve">第一部分 </w:t>
      </w:r>
      <w:r>
        <w:rPr>
          <w:rStyle w:val="35"/>
          <w:rFonts w:hint="eastAsia" w:ascii="黑体" w:hAnsi="黑体" w:eastAsia="黑体" w:cs="黑体"/>
          <w:b w:val="0"/>
          <w:bCs w:val="0"/>
          <w:color w:val="auto"/>
          <w:highlight w:val="none"/>
          <w:lang w:eastAsia="zh-CN"/>
        </w:rPr>
        <w:t>单位</w:t>
      </w:r>
      <w:r>
        <w:rPr>
          <w:rStyle w:val="35"/>
          <w:rFonts w:hint="eastAsia" w:ascii="黑体" w:hAnsi="黑体" w:eastAsia="黑体" w:cs="黑体"/>
          <w:b w:val="0"/>
          <w:bCs w:val="0"/>
          <w:color w:val="auto"/>
          <w:highlight w:val="none"/>
        </w:rPr>
        <w:t>概况</w:t>
      </w:r>
      <w:bookmarkEnd w:id="21"/>
      <w:bookmarkEnd w:id="22"/>
      <w:bookmarkEnd w:id="23"/>
      <w:bookmarkEnd w:id="24"/>
      <w:bookmarkEnd w:id="25"/>
      <w:bookmarkEnd w:id="26"/>
    </w:p>
    <w:p>
      <w:pPr>
        <w:pStyle w:val="2"/>
      </w:pPr>
    </w:p>
    <w:p>
      <w:pPr>
        <w:widowControl w:val="0"/>
        <w:wordWrap/>
        <w:adjustRightInd/>
        <w:snapToGrid/>
        <w:spacing w:line="576" w:lineRule="exact"/>
        <w:ind w:firstLine="640" w:firstLineChars="200"/>
        <w:textAlignment w:val="auto"/>
        <w:outlineLvl w:val="1"/>
        <w:rPr>
          <w:rFonts w:hint="eastAsia" w:ascii="黑体" w:hAnsi="黑体" w:eastAsia="黑体" w:cs="黑体"/>
          <w:sz w:val="32"/>
          <w:szCs w:val="32"/>
          <w:lang w:eastAsia="zh-CN"/>
        </w:rPr>
      </w:pPr>
      <w:bookmarkStart w:id="27" w:name="_Toc8457"/>
      <w:bookmarkStart w:id="28" w:name="_Toc13008"/>
      <w:bookmarkStart w:id="29" w:name="_Toc12294"/>
      <w:bookmarkStart w:id="30" w:name="_Toc9013"/>
      <w:bookmarkStart w:id="31" w:name="_Toc15396600"/>
      <w:bookmarkStart w:id="32" w:name="_Toc15377197"/>
      <w:r>
        <w:rPr>
          <w:rFonts w:hint="eastAsia" w:ascii="黑体" w:hAnsi="黑体" w:eastAsia="黑体" w:cs="黑体"/>
          <w:sz w:val="32"/>
          <w:szCs w:val="32"/>
          <w:lang w:eastAsia="zh-CN"/>
        </w:rPr>
        <w:t>一、职能简介</w:t>
      </w:r>
      <w:bookmarkEnd w:id="27"/>
      <w:bookmarkEnd w:id="28"/>
      <w:bookmarkEnd w:id="29"/>
      <w:bookmarkEnd w:id="30"/>
    </w:p>
    <w:p>
      <w:pPr>
        <w:widowControl w:val="0"/>
        <w:wordWrap/>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仿宋_GB2312" w:hAnsi="Times New Roman" w:eastAsia="仿宋_GB2312" w:cs="Times New Roman"/>
          <w:sz w:val="32"/>
          <w:szCs w:val="32"/>
        </w:rPr>
        <w:t>贯彻执行养老、失业、工伤保险工作相关法律、法规、规章和政策；负责全市企业职工养老保险、机关事业单位养老保险、城乡居民养老保险、工伤保险的参保扩面</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稽核、关系转移接续、权益记录、待遇发放及调整、综合指导和管理工作; 负责全市失业保险的参保登记</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稽核工作；承担市本级企业职工养老保险、机关事业单位养老保险、失业保险、工伤保险的相关经办工作，承担职业年金经办工作；负责全市社会保险基金管理和预、决算工作；指导县（区）依法开展社会保险经办服务工作；完成市人力资源社会保障局交办的其他任务。</w:t>
      </w:r>
    </w:p>
    <w:p>
      <w:pPr>
        <w:widowControl w:val="0"/>
        <w:wordWrap/>
        <w:adjustRightInd/>
        <w:snapToGrid/>
        <w:spacing w:line="576" w:lineRule="exact"/>
        <w:ind w:firstLine="640" w:firstLineChars="200"/>
        <w:textAlignment w:val="auto"/>
        <w:outlineLvl w:val="1"/>
        <w:rPr>
          <w:rFonts w:hint="eastAsia" w:ascii="黑体" w:hAnsi="黑体" w:eastAsia="黑体" w:cs="黑体"/>
          <w:sz w:val="32"/>
          <w:szCs w:val="32"/>
          <w:lang w:eastAsia="zh-CN"/>
        </w:rPr>
      </w:pPr>
      <w:bookmarkStart w:id="33" w:name="_Toc4662"/>
      <w:bookmarkStart w:id="34" w:name="_Toc5106"/>
      <w:bookmarkStart w:id="35" w:name="_Toc28960"/>
      <w:bookmarkStart w:id="36" w:name="_Toc16959"/>
      <w:r>
        <w:rPr>
          <w:rFonts w:hint="eastAsia" w:ascii="黑体" w:hAnsi="黑体" w:eastAsia="黑体" w:cs="黑体"/>
          <w:sz w:val="32"/>
          <w:szCs w:val="32"/>
          <w:lang w:val="en-US" w:eastAsia="zh-CN"/>
        </w:rPr>
        <w:t>二、2021年重点</w:t>
      </w:r>
      <w:r>
        <w:rPr>
          <w:rFonts w:hint="eastAsia" w:ascii="黑体" w:hAnsi="黑体" w:eastAsia="黑体" w:cs="黑体"/>
          <w:sz w:val="32"/>
          <w:szCs w:val="32"/>
          <w:lang w:eastAsia="zh-CN"/>
        </w:rPr>
        <w:t>工作</w:t>
      </w:r>
      <w:bookmarkEnd w:id="31"/>
      <w:bookmarkEnd w:id="32"/>
      <w:r>
        <w:rPr>
          <w:rFonts w:hint="eastAsia" w:ascii="黑体" w:hAnsi="黑体" w:eastAsia="黑体" w:cs="黑体"/>
          <w:sz w:val="32"/>
          <w:szCs w:val="32"/>
          <w:lang w:eastAsia="zh-CN"/>
        </w:rPr>
        <w:t>完成情况</w:t>
      </w:r>
      <w:bookmarkEnd w:id="33"/>
      <w:bookmarkEnd w:id="34"/>
      <w:bookmarkEnd w:id="35"/>
      <w:bookmarkEnd w:id="36"/>
    </w:p>
    <w:p>
      <w:pPr>
        <w:widowControl w:val="0"/>
        <w:wordWrap/>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lang w:eastAsia="zh-CN"/>
        </w:rPr>
        <w:t>一是</w:t>
      </w:r>
      <w:r>
        <w:rPr>
          <w:rFonts w:hint="eastAsia" w:ascii="仿宋_GB2312" w:hAnsi="Times New Roman" w:eastAsia="仿宋_GB2312" w:cs="Times New Roman"/>
          <w:sz w:val="32"/>
          <w:szCs w:val="32"/>
        </w:rPr>
        <w:t>以党史学习教育为契机，全面加强自身政治建设。坚持以党建为引领，先后开展支部书记讲党课、红色故事会、参观红色教育基地、重温入党誓词等活动十余次，切实推进干部做到“学史明理、学史增信、学史崇德、学史力行”。</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b/>
          <w:bCs/>
          <w:sz w:val="32"/>
          <w:szCs w:val="32"/>
          <w:lang w:val="en-US" w:eastAsia="zh-CN"/>
        </w:rPr>
        <w:t>二</w:t>
      </w:r>
      <w:r>
        <w:rPr>
          <w:rFonts w:hint="eastAsia" w:ascii="仿宋_GB2312" w:hAnsi="Times New Roman" w:eastAsia="仿宋_GB2312" w:cs="Times New Roman"/>
          <w:b/>
          <w:bCs/>
          <w:sz w:val="32"/>
          <w:szCs w:val="32"/>
          <w:lang w:eastAsia="zh-CN"/>
        </w:rPr>
        <w:t>是</w:t>
      </w:r>
      <w:r>
        <w:rPr>
          <w:rFonts w:hint="eastAsia" w:ascii="仿宋_GB2312" w:hAnsi="Times New Roman" w:eastAsia="仿宋_GB2312" w:cs="Times New Roman"/>
          <w:sz w:val="32"/>
          <w:szCs w:val="32"/>
        </w:rPr>
        <w:t>加强干部纪律作风整顿，工作作风持续向好。按照全市干部纪律作风整顿大会会议要求，中心紧紧围绕12个方面，对照职能梳堵点，对标先进找差距，共查摆出4个方面11个问题，干部职工5个方面103个具体问题，通过分层级全覆盖谈心谈话、立查立改完善便民举措、建章立制优化办事流程，中心工作作风持续向好。</w:t>
      </w:r>
      <w:r>
        <w:rPr>
          <w:rFonts w:hint="eastAsia" w:ascii="仿宋_GB2312" w:hAnsi="Times New Roman" w:eastAsia="仿宋_GB2312" w:cs="Times New Roman"/>
          <w:b/>
          <w:bCs/>
          <w:sz w:val="32"/>
          <w:szCs w:val="32"/>
          <w:lang w:eastAsia="zh-CN"/>
        </w:rPr>
        <w:t>三是</w:t>
      </w:r>
      <w:r>
        <w:rPr>
          <w:rFonts w:hint="eastAsia" w:ascii="仿宋_GB2312" w:hAnsi="Times New Roman" w:eastAsia="仿宋_GB2312" w:cs="Times New Roman"/>
          <w:sz w:val="32"/>
          <w:szCs w:val="32"/>
        </w:rPr>
        <w:t>扎实开展社保基金管理问题专项整治，筑牢基金安全防线。</w:t>
      </w:r>
      <w:r>
        <w:rPr>
          <w:rFonts w:hint="eastAsia" w:ascii="仿宋_GB2312" w:hAnsi="Times New Roman" w:eastAsia="仿宋_GB2312" w:cs="Times New Roman"/>
          <w:b/>
          <w:bCs/>
          <w:sz w:val="32"/>
          <w:szCs w:val="32"/>
          <w:lang w:eastAsia="zh-CN"/>
        </w:rPr>
        <w:t>四是</w:t>
      </w:r>
      <w:r>
        <w:rPr>
          <w:rFonts w:hint="eastAsia" w:ascii="仿宋_GB2312" w:hAnsi="Times New Roman" w:eastAsia="仿宋_GB2312" w:cs="Times New Roman"/>
          <w:sz w:val="32"/>
          <w:szCs w:val="32"/>
        </w:rPr>
        <w:t>持续精准推进全民参保计划，进一步扩大参保覆盖面。积极推进灵活就业人员、新业态从业人员和农民工等重点群体参保，采取电话联系、上门动员、媒体扩散、联合劳动监察部门共同执法等多种方式开展参保扩面政策宣传。</w:t>
      </w:r>
      <w:r>
        <w:rPr>
          <w:rFonts w:hint="eastAsia" w:ascii="仿宋_GB2312" w:hAnsi="Times New Roman" w:eastAsia="仿宋_GB2312" w:cs="Times New Roman"/>
          <w:b/>
          <w:bCs/>
          <w:sz w:val="32"/>
          <w:szCs w:val="32"/>
          <w:lang w:eastAsia="zh-CN"/>
        </w:rPr>
        <w:t>五是</w:t>
      </w:r>
      <w:r>
        <w:rPr>
          <w:rFonts w:hint="eastAsia" w:ascii="仿宋_GB2312" w:hAnsi="Times New Roman" w:eastAsia="仿宋_GB2312" w:cs="Times New Roman"/>
          <w:sz w:val="32"/>
          <w:szCs w:val="32"/>
        </w:rPr>
        <w:t>全力做好待遇调整和发放管理，切实兜牢民生底线。按照省厅安排，平稳有序地完成了全市2016-2020年退休的11659名“中人”新待遇核定及补发工作，补发养老金36516.34万元。</w:t>
      </w:r>
      <w:r>
        <w:rPr>
          <w:rFonts w:hint="eastAsia" w:ascii="仿宋_GB2312" w:hAnsi="Times New Roman" w:eastAsia="仿宋_GB2312" w:cs="Times New Roman"/>
          <w:b/>
          <w:bCs/>
          <w:sz w:val="32"/>
          <w:szCs w:val="32"/>
          <w:lang w:eastAsia="zh-CN"/>
        </w:rPr>
        <w:t>六是</w:t>
      </w:r>
      <w:r>
        <w:rPr>
          <w:rFonts w:hint="eastAsia" w:ascii="仿宋_GB2312" w:hAnsi="Times New Roman" w:eastAsia="仿宋_GB2312" w:cs="Times New Roman"/>
          <w:sz w:val="32"/>
          <w:szCs w:val="32"/>
          <w:lang w:eastAsia="zh-CN"/>
        </w:rPr>
        <w:t>加快推动“三化”建设，不断提升群众体验感。完成市本级和利州区社保业务经办整合，经办窗口整合到一个区域实行集中办公，对各项</w:t>
      </w:r>
      <w:r>
        <w:rPr>
          <w:rFonts w:hint="eastAsia" w:ascii="仿宋_GB2312" w:hAnsi="Times New Roman" w:eastAsia="仿宋_GB2312" w:cs="Times New Roman"/>
          <w:sz w:val="32"/>
          <w:szCs w:val="32"/>
        </w:rPr>
        <w:t>社保经办业务进行全面整合和优化再造。</w:t>
      </w:r>
    </w:p>
    <w:p>
      <w:pPr>
        <w:pStyle w:val="3"/>
        <w:ind w:right="440"/>
        <w:jc w:val="center"/>
        <w:rPr>
          <w:color w:val="auto"/>
          <w:highlight w:val="none"/>
        </w:rPr>
      </w:pPr>
      <w:bookmarkStart w:id="37" w:name="_Toc15396602"/>
      <w:bookmarkStart w:id="38" w:name="_Toc15377204"/>
      <w:r>
        <w:rPr>
          <w:rFonts w:hint="eastAsia" w:ascii="黑体" w:hAnsi="黑体" w:eastAsia="黑体"/>
          <w:b w:val="0"/>
          <w:bCs/>
          <w:color w:val="auto"/>
          <w:highlight w:val="none"/>
          <w:lang w:val="en-US" w:eastAsia="zh-CN"/>
        </w:rPr>
        <w:t xml:space="preserve">  </w:t>
      </w:r>
      <w:bookmarkStart w:id="39" w:name="_Toc7770"/>
      <w:bookmarkStart w:id="40" w:name="_Toc2208"/>
      <w:bookmarkStart w:id="41" w:name="_Toc23651"/>
      <w:bookmarkStart w:id="42" w:name="_Toc1574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35"/>
          <w:rFonts w:hint="eastAsia" w:ascii="黑体" w:hAnsi="黑体" w:eastAsia="黑体"/>
          <w:b w:val="0"/>
          <w:bCs/>
          <w:color w:val="auto"/>
          <w:highlight w:val="none"/>
          <w:lang w:eastAsia="zh-CN"/>
        </w:rPr>
        <w:t>单位</w:t>
      </w:r>
      <w:r>
        <w:rPr>
          <w:rStyle w:val="35"/>
          <w:rFonts w:hint="eastAsia" w:ascii="黑体" w:hAnsi="黑体" w:eastAsia="黑体"/>
          <w:b w:val="0"/>
          <w:bCs/>
          <w:color w:val="auto"/>
          <w:highlight w:val="none"/>
        </w:rPr>
        <w:t>决算情况说明</w:t>
      </w:r>
      <w:bookmarkEnd w:id="37"/>
      <w:bookmarkEnd w:id="38"/>
      <w:bookmarkEnd w:id="39"/>
      <w:bookmarkEnd w:id="40"/>
      <w:bookmarkEnd w:id="41"/>
      <w:bookmarkEnd w:id="42"/>
    </w:p>
    <w:p>
      <w:pPr>
        <w:pStyle w:val="22"/>
        <w:numPr>
          <w:ilvl w:val="0"/>
          <w:numId w:val="1"/>
        </w:numPr>
        <w:spacing w:line="600" w:lineRule="exact"/>
        <w:ind w:firstLineChars="0"/>
        <w:outlineLvl w:val="1"/>
        <w:rPr>
          <w:rStyle w:val="23"/>
          <w:rFonts w:ascii="黑体" w:hAnsi="黑体" w:eastAsia="黑体"/>
          <w:b w:val="0"/>
          <w:color w:val="auto"/>
          <w:highlight w:val="none"/>
        </w:rPr>
      </w:pPr>
      <w:bookmarkStart w:id="43" w:name="_Toc18402"/>
      <w:bookmarkStart w:id="44" w:name="_Toc30283"/>
      <w:bookmarkStart w:id="45" w:name="_Toc15396603"/>
      <w:bookmarkStart w:id="46" w:name="_Toc7283"/>
      <w:bookmarkStart w:id="47" w:name="_Toc15377205"/>
      <w:bookmarkStart w:id="48" w:name="_Toc9748"/>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入支出决算总体情况说明</w:t>
      </w:r>
      <w:bookmarkEnd w:id="43"/>
      <w:bookmarkEnd w:id="44"/>
      <w:bookmarkEnd w:id="45"/>
      <w:bookmarkEnd w:id="46"/>
      <w:bookmarkEnd w:id="47"/>
      <w:bookmarkEnd w:id="48"/>
    </w:p>
    <w:p>
      <w:pPr>
        <w:widowControl w:val="0"/>
        <w:wordWrap/>
        <w:adjustRightInd/>
        <w:snapToGrid/>
        <w:spacing w:line="576"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3581.58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1703.11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90.66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2021年代发机关事业抚恤金比2020年增加184.83万元，增长率为174.63%；二是代发离退休人员生活补贴比2020年增加164.54万元，增长率19.26%；三是补发2016-2019年财政全额人员退休“中人”一次性补贴资金15.49万元；四是2014-2020年市本级机关事业单位在职参保人员职业年金个人账户利息1218.25万元；五是2021年平均在职人数较2020年增加5人，人员经费及公用经费相应增加。</w:t>
      </w:r>
    </w:p>
    <w:p>
      <w:pPr>
        <w:pStyle w:val="2"/>
        <w:rPr>
          <w:rFonts w:hint="eastAsia" w:ascii="仿宋" w:hAnsi="仿宋" w:eastAsia="仿宋"/>
          <w:color w:val="auto"/>
          <w:sz w:val="32"/>
          <w:szCs w:val="32"/>
          <w:highlight w:val="none"/>
          <w:lang w:val="en-US" w:eastAsia="zh-CN"/>
        </w:rPr>
      </w:pPr>
      <w:r>
        <w:rPr>
          <w:rFonts w:ascii="仿宋" w:hAnsi="仿宋" w:eastAsia="仿宋" w:cs="Times New Roman"/>
          <w:color w:val="000000"/>
          <w:kern w:val="2"/>
          <w:sz w:val="32"/>
          <w:szCs w:val="32"/>
          <w:lang w:val="en-US" w:eastAsia="zh-CN" w:bidi="ar-SA"/>
        </w:rPr>
        <w:pict>
          <v:shape id="Object 2" o:spid="_x0000_s1026" o:spt="75" type="#_x0000_t75" style="position:absolute;left:0pt;margin-left:13.25pt;margin-top:6.35pt;height:226.9pt;width:362.2pt;mso-wrap-distance-bottom:0pt;mso-wrap-distance-left:9pt;mso-wrap-distance-right:9pt;mso-wrap-distance-top:0pt;z-index:251659264;mso-width-relative:page;mso-height-relative:page;"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square"/>
          </v:shape>
          <o:OLEObject Type="Embed" ProgID="Excel.Chart.8" ShapeID="Object 2" DrawAspect="Content" ObjectID="_1468075725" r:id="rId11">
            <o:LockedField>false</o:LockedField>
          </o:OLEObject>
        </w:pict>
      </w:r>
    </w:p>
    <w:p>
      <w:pPr>
        <w:pStyle w:val="2"/>
        <w:rPr>
          <w:rFonts w:hint="eastAsia" w:ascii="仿宋" w:hAnsi="仿宋" w:eastAsia="仿宋"/>
          <w:color w:val="auto"/>
          <w:sz w:val="32"/>
          <w:szCs w:val="32"/>
          <w:highlight w:val="none"/>
          <w:lang w:val="en-US" w:eastAsia="zh-CN"/>
        </w:rPr>
      </w:pPr>
    </w:p>
    <w:p>
      <w:pPr>
        <w:pStyle w:val="2"/>
        <w:ind w:left="0" w:leftChars="0" w:firstLine="0" w:firstLineChars="0"/>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default" w:ascii="仿宋" w:hAnsi="仿宋" w:eastAsia="仿宋"/>
          <w:color w:val="auto"/>
          <w:sz w:val="32"/>
          <w:szCs w:val="32"/>
          <w:highlight w:val="none"/>
          <w:lang w:val="en-US"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widowControl w:val="0"/>
        <w:wordWrap/>
        <w:adjustRightInd/>
        <w:snapToGrid/>
        <w:spacing w:line="240" w:lineRule="exact"/>
        <w:textAlignment w:val="auto"/>
        <w:rPr>
          <w:rFonts w:hint="eastAsia" w:ascii="仿宋" w:hAnsi="仿宋" w:eastAsia="仿宋"/>
          <w:color w:val="auto"/>
          <w:sz w:val="32"/>
          <w:szCs w:val="32"/>
          <w:highlight w:val="none"/>
        </w:rPr>
      </w:pPr>
    </w:p>
    <w:p>
      <w:pPr>
        <w:spacing w:line="600" w:lineRule="exact"/>
        <w:ind w:firstLine="280" w:firstLineChars="1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highlight w:val="none"/>
        </w:rPr>
        <w:t>（图1：收、支决算总计变动情况图）</w:t>
      </w:r>
      <w:r>
        <w:rPr>
          <w:rFonts w:hint="eastAsia" w:ascii="仿宋_GB2312" w:hAnsi="仿宋_GB2312" w:eastAsia="仿宋_GB2312" w:cs="仿宋_GB2312"/>
          <w:color w:val="000000"/>
          <w:sz w:val="28"/>
          <w:szCs w:val="28"/>
        </w:rPr>
        <w:t>（单位:万元）</w:t>
      </w:r>
    </w:p>
    <w:p>
      <w:pPr>
        <w:pStyle w:val="2"/>
        <w:widowControl w:val="0"/>
        <w:wordWrap/>
        <w:adjustRightInd/>
        <w:snapToGrid/>
        <w:spacing w:line="240" w:lineRule="exact"/>
        <w:ind w:left="0" w:leftChars="0" w:firstLine="0" w:firstLineChars="0"/>
        <w:textAlignment w:val="auto"/>
      </w:pPr>
    </w:p>
    <w:p>
      <w:pPr>
        <w:pStyle w:val="22"/>
        <w:numPr>
          <w:ilvl w:val="0"/>
          <w:numId w:val="1"/>
        </w:numPr>
        <w:spacing w:line="600" w:lineRule="exact"/>
        <w:ind w:firstLineChars="0"/>
        <w:outlineLvl w:val="1"/>
        <w:rPr>
          <w:rStyle w:val="23"/>
          <w:rFonts w:ascii="黑体" w:hAnsi="黑体" w:eastAsia="黑体"/>
          <w:b w:val="0"/>
          <w:color w:val="auto"/>
          <w:highlight w:val="none"/>
        </w:rPr>
      </w:pPr>
      <w:bookmarkStart w:id="49" w:name="_Toc15396604"/>
      <w:bookmarkStart w:id="50" w:name="_Toc15377206"/>
      <w:bookmarkStart w:id="51" w:name="_Toc28465"/>
      <w:bookmarkStart w:id="52" w:name="_Toc10496"/>
      <w:bookmarkStart w:id="53" w:name="_Toc14696"/>
      <w:bookmarkStart w:id="54" w:name="_Toc14335"/>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入决算情况说明</w:t>
      </w:r>
      <w:bookmarkEnd w:id="49"/>
      <w:bookmarkEnd w:id="50"/>
      <w:bookmarkEnd w:id="51"/>
      <w:bookmarkEnd w:id="52"/>
      <w:bookmarkEnd w:id="53"/>
      <w:bookmarkEnd w:id="54"/>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5" w:name="_Toc29103"/>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3581.58</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3581.58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spacing w:line="600" w:lineRule="exact"/>
        <w:ind w:firstLine="560" w:firstLineChars="200"/>
        <w:jc w:val="center"/>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pict>
          <v:shape id="Object 6" o:spid="_x0000_s1027" o:spt="75" type="#_x0000_t75" style="position:absolute;left:0pt;margin-left:14.2pt;margin-top:11.7pt;height:214.35pt;width:366pt;mso-wrap-distance-bottom:0pt;mso-wrap-distance-left:9pt;mso-wrap-distance-right:9pt;mso-wrap-distance-top:0pt;z-index:251660288;mso-width-relative:page;mso-height-relative:page;" o:ole="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square"/>
          </v:shape>
          <o:OLEObject Type="Embed" ProgID="Excel.Chart.8" ShapeID="Object 6" DrawAspect="Content" ObjectID="_1468075726" r:id="rId13">
            <o:LockedField>false</o:LockedField>
          </o:OLEObject>
        </w:pict>
      </w:r>
    </w:p>
    <w:p>
      <w:pPr>
        <w:spacing w:line="600" w:lineRule="exact"/>
        <w:ind w:firstLine="640" w:firstLineChars="200"/>
        <w:jc w:val="center"/>
        <w:rPr>
          <w:rFonts w:hint="eastAsia" w:ascii="仿宋" w:hAnsi="仿宋" w:eastAsia="仿宋"/>
          <w:color w:val="auto"/>
          <w:sz w:val="32"/>
          <w:szCs w:val="32"/>
          <w:highlight w:val="none"/>
          <w:lang w:val="en-US" w:eastAsia="zh-CN"/>
        </w:rPr>
      </w:pPr>
    </w:p>
    <w:p>
      <w:pPr>
        <w:spacing w:line="600" w:lineRule="exact"/>
        <w:ind w:firstLine="640" w:firstLineChars="200"/>
        <w:jc w:val="center"/>
        <w:rPr>
          <w:rFonts w:hint="eastAsia" w:ascii="仿宋" w:hAnsi="仿宋" w:eastAsia="仿宋"/>
          <w:color w:val="auto"/>
          <w:sz w:val="32"/>
          <w:szCs w:val="32"/>
          <w:highlight w:val="none"/>
          <w:lang w:val="en-US" w:eastAsia="zh-CN"/>
        </w:rPr>
      </w:pPr>
    </w:p>
    <w:p>
      <w:pPr>
        <w:spacing w:line="600" w:lineRule="exact"/>
        <w:ind w:firstLine="640" w:firstLineChars="200"/>
        <w:jc w:val="center"/>
        <w:rPr>
          <w:rFonts w:hint="eastAsia" w:ascii="仿宋" w:hAnsi="仿宋" w:eastAsia="仿宋"/>
          <w:color w:val="auto"/>
          <w:sz w:val="32"/>
          <w:szCs w:val="32"/>
          <w:highlight w:val="none"/>
          <w:lang w:val="en-US" w:eastAsia="zh-CN"/>
        </w:rPr>
      </w:pPr>
    </w:p>
    <w:p>
      <w:pPr>
        <w:spacing w:line="600" w:lineRule="exact"/>
        <w:jc w:val="center"/>
        <w:rPr>
          <w:rFonts w:hint="eastAsia" w:ascii="仿宋" w:hAnsi="仿宋" w:eastAsia="仿宋"/>
          <w:color w:val="auto"/>
          <w:sz w:val="32"/>
          <w:szCs w:val="32"/>
          <w:highlight w:val="none"/>
          <w:lang w:val="en-US" w:eastAsia="zh-CN"/>
        </w:rPr>
      </w:pPr>
    </w:p>
    <w:p>
      <w:pPr>
        <w:spacing w:line="600" w:lineRule="exact"/>
        <w:ind w:firstLine="640" w:firstLineChars="200"/>
        <w:jc w:val="center"/>
        <w:rPr>
          <w:rFonts w:hint="eastAsia" w:ascii="仿宋" w:hAnsi="仿宋" w:eastAsia="仿宋"/>
          <w:color w:val="auto"/>
          <w:sz w:val="32"/>
          <w:szCs w:val="32"/>
          <w:highlight w:val="none"/>
          <w:lang w:val="en-US" w:eastAsia="zh-CN"/>
        </w:rPr>
      </w:pPr>
    </w:p>
    <w:p>
      <w:pPr>
        <w:spacing w:line="600" w:lineRule="exact"/>
        <w:ind w:firstLine="640" w:firstLineChars="200"/>
        <w:jc w:val="center"/>
        <w:rPr>
          <w:rFonts w:hint="eastAsia" w:ascii="仿宋" w:hAnsi="仿宋" w:eastAsia="仿宋"/>
          <w:color w:val="auto"/>
          <w:sz w:val="32"/>
          <w:szCs w:val="32"/>
          <w:highlight w:val="none"/>
          <w:lang w:val="en-US" w:eastAsia="zh-CN"/>
        </w:rPr>
      </w:pPr>
    </w:p>
    <w:p>
      <w:pPr>
        <w:spacing w:line="600" w:lineRule="exact"/>
        <w:ind w:firstLine="640" w:firstLineChars="200"/>
        <w:jc w:val="center"/>
        <w:rPr>
          <w:rFonts w:hint="eastAsia" w:ascii="仿宋" w:hAnsi="仿宋" w:eastAsia="仿宋"/>
          <w:color w:val="auto"/>
          <w:sz w:val="32"/>
          <w:szCs w:val="32"/>
          <w:highlight w:val="none"/>
          <w:lang w:val="en-US" w:eastAsia="zh-CN"/>
        </w:rPr>
      </w:pPr>
    </w:p>
    <w:p>
      <w:pPr>
        <w:spacing w:line="600" w:lineRule="exact"/>
        <w:ind w:firstLine="280" w:firstLineChars="10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（图2：收入决算结构图）（单位：万元）</w:t>
      </w:r>
      <w:bookmarkEnd w:id="55"/>
    </w:p>
    <w:p>
      <w:pPr>
        <w:pStyle w:val="22"/>
        <w:numPr>
          <w:ilvl w:val="0"/>
          <w:numId w:val="1"/>
        </w:numPr>
        <w:spacing w:line="600" w:lineRule="exact"/>
        <w:ind w:firstLineChars="0"/>
        <w:outlineLvl w:val="1"/>
        <w:rPr>
          <w:rStyle w:val="23"/>
          <w:rFonts w:ascii="黑体" w:hAnsi="黑体" w:eastAsia="黑体"/>
          <w:b w:val="0"/>
          <w:color w:val="auto"/>
          <w:highlight w:val="none"/>
        </w:rPr>
      </w:pPr>
      <w:bookmarkStart w:id="56" w:name="_Toc4720"/>
      <w:bookmarkStart w:id="57" w:name="_Toc15377207"/>
      <w:bookmarkStart w:id="58" w:name="_Toc15396605"/>
      <w:bookmarkStart w:id="59" w:name="_Toc27942"/>
      <w:bookmarkStart w:id="60" w:name="_Toc13632"/>
      <w:bookmarkStart w:id="61" w:name="_Toc25354"/>
      <w:r>
        <w:rPr>
          <w:rFonts w:hint="eastAsia" w:ascii="黑体" w:hAnsi="黑体" w:eastAsia="黑体"/>
          <w:color w:val="auto"/>
          <w:sz w:val="32"/>
          <w:szCs w:val="32"/>
          <w:highlight w:val="none"/>
        </w:rPr>
        <w:t>支</w:t>
      </w:r>
      <w:r>
        <w:rPr>
          <w:rStyle w:val="23"/>
          <w:rFonts w:hint="eastAsia" w:ascii="黑体" w:hAnsi="黑体" w:eastAsia="黑体"/>
          <w:b w:val="0"/>
          <w:color w:val="auto"/>
          <w:highlight w:val="none"/>
        </w:rPr>
        <w:t>出决算情况说明</w:t>
      </w:r>
      <w:bookmarkEnd w:id="56"/>
      <w:bookmarkEnd w:id="57"/>
      <w:bookmarkEnd w:id="58"/>
      <w:bookmarkEnd w:id="59"/>
      <w:bookmarkEnd w:id="60"/>
      <w:bookmarkEnd w:id="61"/>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bookmarkStart w:id="62" w:name="_Toc681"/>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3510.57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3368.32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95.95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142.25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4.05</w:t>
      </w:r>
      <w:r>
        <w:rPr>
          <w:rFonts w:hint="eastAsia" w:ascii="仿宋_GB2312" w:hAnsi="仿宋_GB2312" w:eastAsia="仿宋_GB2312" w:cs="仿宋_GB2312"/>
          <w:color w:val="auto"/>
          <w:sz w:val="32"/>
          <w:szCs w:val="32"/>
          <w:highlight w:val="none"/>
        </w:rPr>
        <w:t>%</w:t>
      </w:r>
      <w:bookmarkEnd w:id="62"/>
      <w:r>
        <w:rPr>
          <w:rFonts w:hint="eastAsia" w:ascii="仿宋_GB2312" w:hAnsi="仿宋_GB2312" w:eastAsia="仿宋_GB2312" w:cs="仿宋_GB2312"/>
          <w:color w:val="auto"/>
          <w:sz w:val="32"/>
          <w:szCs w:val="32"/>
          <w:highlight w:val="none"/>
          <w:lang w:eastAsia="zh-CN"/>
        </w:rPr>
        <w:t>。</w:t>
      </w:r>
    </w:p>
    <w:p>
      <w:pPr>
        <w:spacing w:line="600" w:lineRule="exact"/>
        <w:rPr>
          <w:rFonts w:ascii="仿宋" w:hAnsi="仿宋" w:eastAsia="仿宋"/>
          <w:color w:val="auto"/>
          <w:sz w:val="32"/>
          <w:szCs w:val="32"/>
          <w:highlight w:val="none"/>
          <w:shd w:val="pct10" w:color="auto" w:fill="FFFFFF"/>
        </w:rPr>
      </w:pPr>
      <w:r>
        <w:rPr>
          <w:rFonts w:ascii="仿宋_GB2312" w:hAnsi="Times New Roman" w:eastAsia="仿宋_GB2312" w:cs="Times New Roman"/>
          <w:color w:val="FF0000"/>
          <w:kern w:val="2"/>
          <w:sz w:val="32"/>
          <w:szCs w:val="32"/>
          <w:lang w:val="en-US" w:eastAsia="zh-CN" w:bidi="ar-SA"/>
        </w:rPr>
        <w:pict>
          <v:shape id="Object 5" o:spid="_x0000_s1028" o:spt="75" type="#_x0000_t75" style="position:absolute;left:0pt;margin-left:21.5pt;margin-top:15.5pt;height:247.5pt;width:357.7pt;mso-wrap-distance-bottom:0pt;mso-wrap-distance-left:9pt;mso-wrap-distance-right:9pt;mso-wrap-distance-top:0pt;z-index:251661312;mso-width-relative:page;mso-height-relative:page;"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square"/>
          </v:shape>
          <o:OLEObject Type="Embed" ProgID="Excel.Chart.8" ShapeID="Object 5" DrawAspect="Content" ObjectID="_1468075727" r:id="rId15">
            <o:LockedField>false</o:LockedField>
          </o:OLEObject>
        </w:pict>
      </w: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spacing w:line="600" w:lineRule="exact"/>
        <w:jc w:val="both"/>
        <w:rPr>
          <w:rFonts w:hint="eastAsia" w:ascii="仿宋_GB2312" w:hAnsi="仿宋_GB2312" w:eastAsia="仿宋_GB2312" w:cs="仿宋_GB2312"/>
          <w:color w:val="auto"/>
          <w:sz w:val="28"/>
          <w:szCs w:val="28"/>
          <w:highlight w:val="none"/>
          <w:lang w:val="en-US" w:eastAsia="zh-CN"/>
        </w:rPr>
      </w:pPr>
    </w:p>
    <w:p>
      <w:pPr>
        <w:spacing w:line="600" w:lineRule="exact"/>
        <w:jc w:val="both"/>
        <w:rPr>
          <w:rFonts w:hint="eastAsia" w:ascii="仿宋_GB2312" w:hAnsi="仿宋_GB2312" w:eastAsia="仿宋_GB2312" w:cs="仿宋_GB2312"/>
          <w:color w:val="auto"/>
          <w:sz w:val="28"/>
          <w:szCs w:val="28"/>
          <w:highlight w:val="none"/>
          <w:lang w:val="en-US" w:eastAsia="zh-CN"/>
        </w:rPr>
      </w:pPr>
    </w:p>
    <w:p>
      <w:pPr>
        <w:spacing w:line="600" w:lineRule="exact"/>
        <w:jc w:val="both"/>
        <w:rPr>
          <w:rFonts w:hint="eastAsia" w:ascii="仿宋_GB2312" w:hAnsi="仿宋_GB2312" w:eastAsia="仿宋_GB2312" w:cs="仿宋_GB2312"/>
          <w:color w:val="auto"/>
          <w:sz w:val="28"/>
          <w:szCs w:val="28"/>
          <w:highlight w:val="none"/>
          <w:lang w:val="en-US" w:eastAsia="zh-CN"/>
        </w:rPr>
      </w:pPr>
    </w:p>
    <w:p>
      <w:pPr>
        <w:spacing w:line="600" w:lineRule="exact"/>
        <w:jc w:val="center"/>
        <w:rPr>
          <w:rFonts w:ascii="仿宋_GB2312" w:eastAsia="仿宋_GB2312"/>
          <w:color w:val="auto"/>
          <w:sz w:val="32"/>
          <w:szCs w:val="32"/>
          <w:highlight w:val="none"/>
        </w:rPr>
      </w:pPr>
      <w:r>
        <w:rPr>
          <w:rFonts w:hint="eastAsia" w:ascii="仿宋_GB2312" w:hAnsi="仿宋_GB2312" w:eastAsia="仿宋_GB2312" w:cs="仿宋_GB2312"/>
          <w:color w:val="auto"/>
          <w:sz w:val="28"/>
          <w:szCs w:val="28"/>
          <w:highlight w:val="none"/>
          <w:lang w:val="en-US" w:eastAsia="zh-CN"/>
        </w:rPr>
        <w:t>（图3：支出决算结构图）   （单位：万元）</w:t>
      </w:r>
    </w:p>
    <w:p>
      <w:pPr>
        <w:spacing w:line="600" w:lineRule="exact"/>
        <w:ind w:firstLine="640" w:firstLineChars="200"/>
        <w:outlineLvl w:val="1"/>
        <w:rPr>
          <w:rStyle w:val="23"/>
          <w:rFonts w:ascii="黑体" w:hAnsi="黑体" w:eastAsia="黑体"/>
          <w:b w:val="0"/>
          <w:color w:val="auto"/>
          <w:highlight w:val="none"/>
        </w:rPr>
      </w:pPr>
      <w:bookmarkStart w:id="63" w:name="_Toc15377208"/>
      <w:bookmarkStart w:id="64" w:name="_Toc15396606"/>
      <w:bookmarkStart w:id="65" w:name="_Toc30731"/>
      <w:bookmarkStart w:id="66" w:name="_Toc23762"/>
      <w:bookmarkStart w:id="67" w:name="_Toc25574"/>
      <w:bookmarkStart w:id="68" w:name="_Toc13153"/>
      <w:r>
        <w:rPr>
          <w:rFonts w:hint="eastAsia" w:ascii="黑体" w:hAnsi="黑体" w:eastAsia="黑体"/>
          <w:color w:val="auto"/>
          <w:sz w:val="32"/>
          <w:szCs w:val="32"/>
          <w:highlight w:val="none"/>
        </w:rPr>
        <w:t>四、财</w:t>
      </w:r>
      <w:r>
        <w:rPr>
          <w:rStyle w:val="23"/>
          <w:rFonts w:hint="eastAsia" w:ascii="黑体" w:hAnsi="黑体" w:eastAsia="黑体"/>
          <w:b w:val="0"/>
          <w:color w:val="auto"/>
          <w:highlight w:val="none"/>
        </w:rPr>
        <w:t>政拨款收入支出决算总体情况说明</w:t>
      </w:r>
      <w:bookmarkEnd w:id="63"/>
      <w:bookmarkEnd w:id="64"/>
      <w:bookmarkEnd w:id="65"/>
      <w:bookmarkEnd w:id="66"/>
      <w:bookmarkEnd w:id="67"/>
      <w:bookmarkEnd w:id="68"/>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3581.58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1703.11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90.66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2021年代发机关事业抚恤金比2020年增加184.83万元，增长率为174.63%；二是代发离退休人员生活补贴比2020年增加164.54万元，增长率19.26%；三是补发2016-2019年财政全额人员退休“中人”一次性补贴资金15.49万元；四是2014-2020年市本级机关事业单位在职参保人员职业年金个人账户利息1218.25万元；五是2021年平均在职人数较2020年增加5人，人员经费及公用经费相应增加。</w:t>
      </w:r>
    </w:p>
    <w:p>
      <w:pPr>
        <w:spacing w:line="600" w:lineRule="exact"/>
        <w:rPr>
          <w:rFonts w:ascii="仿宋" w:hAnsi="仿宋" w:eastAsia="仿宋"/>
          <w:b/>
          <w:color w:val="auto"/>
          <w:sz w:val="32"/>
          <w:szCs w:val="32"/>
          <w:highlight w:val="none"/>
        </w:rPr>
      </w:pPr>
      <w:r>
        <w:rPr>
          <w:rFonts w:ascii="仿宋" w:hAnsi="仿宋" w:eastAsia="仿宋" w:cs="Times New Roman"/>
          <w:color w:val="000000"/>
          <w:kern w:val="2"/>
          <w:sz w:val="32"/>
          <w:szCs w:val="32"/>
          <w:lang w:val="en-US" w:eastAsia="zh-CN" w:bidi="ar-SA"/>
        </w:rPr>
        <w:pict>
          <v:shape id="_x0000_s1029" o:spid="_x0000_s1029" o:spt="75" type="#_x0000_t75" style="position:absolute;left:0pt;margin-left:37.25pt;margin-top:23.35pt;height:226.9pt;width:362.2pt;mso-wrap-distance-bottom:0pt;mso-wrap-distance-left:9pt;mso-wrap-distance-right:9pt;mso-wrap-distance-top:0pt;z-index:2516623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w10:wrap type="square"/>
          </v:shape>
        </w:pict>
      </w:r>
    </w:p>
    <w:p>
      <w:pPr>
        <w:pStyle w:val="2"/>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pStyle w:val="2"/>
        <w:rPr>
          <w:rFonts w:ascii="仿宋" w:hAnsi="仿宋" w:eastAsia="仿宋"/>
          <w:b/>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ascii="仿宋" w:hAnsi="仿宋" w:eastAsia="仿宋"/>
          <w:b/>
          <w:color w:val="auto"/>
          <w:sz w:val="32"/>
          <w:szCs w:val="32"/>
          <w:highlight w:val="none"/>
        </w:rPr>
      </w:pPr>
      <w:r>
        <w:rPr>
          <w:rFonts w:hint="eastAsia" w:ascii="仿宋_GB2312" w:hAnsi="仿宋_GB2312" w:eastAsia="仿宋_GB2312" w:cs="仿宋_GB2312"/>
          <w:color w:val="auto"/>
          <w:sz w:val="28"/>
          <w:szCs w:val="28"/>
          <w:highlight w:val="none"/>
          <w:lang w:val="en-US" w:eastAsia="zh-CN"/>
        </w:rPr>
        <w:t>（图4：财政拨款收、支决算总计变动情况）（单位：万元）</w:t>
      </w:r>
    </w:p>
    <w:p>
      <w:pPr>
        <w:spacing w:line="600" w:lineRule="exact"/>
        <w:ind w:firstLine="640" w:firstLineChars="200"/>
        <w:outlineLvl w:val="1"/>
        <w:rPr>
          <w:rStyle w:val="23"/>
          <w:rFonts w:ascii="黑体" w:hAnsi="黑体" w:eastAsia="黑体"/>
          <w:b w:val="0"/>
          <w:color w:val="auto"/>
          <w:highlight w:val="none"/>
        </w:rPr>
      </w:pPr>
      <w:bookmarkStart w:id="69" w:name="_Toc15396607"/>
      <w:bookmarkStart w:id="70" w:name="_Toc15377209"/>
      <w:bookmarkStart w:id="71" w:name="_Toc21244"/>
      <w:bookmarkStart w:id="72" w:name="_Toc30776"/>
      <w:bookmarkStart w:id="73" w:name="_Toc22004"/>
      <w:bookmarkStart w:id="74" w:name="_Toc25308"/>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般公共预算财政拨款支出决算情况说明</w:t>
      </w:r>
      <w:bookmarkEnd w:id="69"/>
      <w:bookmarkEnd w:id="70"/>
      <w:bookmarkEnd w:id="71"/>
      <w:bookmarkEnd w:id="72"/>
      <w:bookmarkEnd w:id="73"/>
      <w:bookmarkEnd w:id="74"/>
    </w:p>
    <w:p>
      <w:pPr>
        <w:spacing w:line="600" w:lineRule="exact"/>
        <w:ind w:firstLine="641" w:firstLineChars="200"/>
        <w:outlineLvl w:val="2"/>
        <w:rPr>
          <w:rFonts w:hint="eastAsia" w:ascii="楷体" w:hAnsi="楷体" w:eastAsia="楷体" w:cs="楷体"/>
          <w:b/>
          <w:color w:val="auto"/>
          <w:sz w:val="32"/>
          <w:szCs w:val="32"/>
          <w:highlight w:val="none"/>
        </w:rPr>
      </w:pPr>
      <w:bookmarkStart w:id="75" w:name="_Toc15377210"/>
      <w:bookmarkStart w:id="76" w:name="_Toc22990"/>
      <w:bookmarkStart w:id="77" w:name="_Toc24148"/>
      <w:bookmarkStart w:id="78" w:name="_Toc12359"/>
      <w:r>
        <w:rPr>
          <w:rFonts w:hint="eastAsia" w:ascii="楷体" w:hAnsi="楷体" w:eastAsia="楷体" w:cs="楷体"/>
          <w:b/>
          <w:color w:val="auto"/>
          <w:sz w:val="32"/>
          <w:szCs w:val="32"/>
          <w:highlight w:val="none"/>
        </w:rPr>
        <w:t>（一）一般公共预算财政拨款支出决算总体情况</w:t>
      </w:r>
      <w:bookmarkEnd w:id="75"/>
      <w:bookmarkEnd w:id="76"/>
      <w:bookmarkEnd w:id="77"/>
      <w:bookmarkEnd w:id="78"/>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3510.57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1632.10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86.88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一是2021年代发机关事业抚恤金比2020年增加184.83万元，增长率为174.63%；二是代发离退休人员生活补贴比2020年增加164.54万元，增长率19.26%；三是补发2016-2019年财政全额人员退休“中人”一次性补贴资金</w:t>
      </w:r>
      <w:r>
        <w:rPr>
          <w:rFonts w:hint="eastAsia" w:ascii="仿宋_GB2312" w:hAnsi="仿宋_GB2312" w:eastAsia="仿宋_GB2312" w:cs="仿宋_GB2312"/>
          <w:b/>
          <w:bCs/>
          <w:color w:val="auto"/>
          <w:sz w:val="32"/>
          <w:szCs w:val="32"/>
          <w:highlight w:val="none"/>
          <w:lang w:val="en-US" w:eastAsia="zh-CN"/>
        </w:rPr>
        <w:t>15.49万元</w:t>
      </w:r>
      <w:r>
        <w:rPr>
          <w:rFonts w:hint="eastAsia" w:ascii="仿宋_GB2312" w:hAnsi="仿宋_GB2312" w:eastAsia="仿宋_GB2312" w:cs="仿宋_GB2312"/>
          <w:color w:val="auto"/>
          <w:sz w:val="32"/>
          <w:szCs w:val="32"/>
          <w:highlight w:val="none"/>
          <w:lang w:val="en-US" w:eastAsia="zh-CN"/>
        </w:rPr>
        <w:t>；四是2014-2020年市本级机关事业单位在职参保人员职业年金个人账户利息1218.25万元；五是2021年平均在职人数较2020年增加5人，人员经费及公用经费相应增加。</w:t>
      </w:r>
    </w:p>
    <w:p>
      <w:pPr>
        <w:pStyle w:val="2"/>
        <w:rPr>
          <w:rFonts w:hint="eastAsia" w:ascii="仿宋" w:hAnsi="仿宋" w:eastAsia="仿宋"/>
          <w:color w:val="auto"/>
          <w:sz w:val="32"/>
          <w:szCs w:val="32"/>
          <w:highlight w:val="none"/>
          <w:lang w:val="en-US" w:eastAsia="zh-CN"/>
        </w:rPr>
      </w:pPr>
      <w:r>
        <w:rPr>
          <w:rFonts w:ascii="仿宋" w:hAnsi="仿宋" w:eastAsia="仿宋" w:cs="Times New Roman"/>
          <w:color w:val="000000"/>
          <w:kern w:val="2"/>
          <w:sz w:val="32"/>
          <w:szCs w:val="32"/>
          <w:lang w:val="en-US" w:eastAsia="zh-CN" w:bidi="ar-SA"/>
        </w:rPr>
        <w:pict>
          <v:shape id="Object 8" o:spid="_x0000_s1030" o:spt="75" type="#_x0000_t75" style="position:absolute;left:0pt;margin-left:38.1pt;margin-top:8.25pt;height:204.8pt;width:334.45pt;mso-wrap-distance-bottom:0pt;mso-wrap-distance-left:9pt;mso-wrap-distance-right:9pt;mso-wrap-distance-top:0pt;z-index:251663360;mso-width-relative:page;mso-height-relative:page;" o:ole="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square"/>
          </v:shape>
          <o:OLEObject Type="Embed" ProgID="Excel.Chart.8" ShapeID="Object 8" DrawAspect="Content" ObjectID="_1468075728" r:id="rId17">
            <o:LockedField>false</o:LockedField>
          </o:OLEObject>
        </w:pict>
      </w: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jc w:val="center"/>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widowControl w:val="0"/>
        <w:wordWrap/>
        <w:adjustRightInd/>
        <w:snapToGrid/>
        <w:spacing w:line="240" w:lineRule="auto"/>
        <w:jc w:val="both"/>
        <w:textAlignment w:val="auto"/>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_GB2312" w:hAnsi="仿宋_GB2312" w:eastAsia="仿宋_GB2312" w:cs="仿宋_GB2312"/>
          <w:color w:val="auto"/>
          <w:sz w:val="28"/>
          <w:szCs w:val="28"/>
          <w:highlight w:val="none"/>
          <w:lang w:val="en-US" w:eastAsia="zh-CN"/>
        </w:rPr>
        <w:t>（图5：一般公共预算财政拨款支出决算变动情况）（单位：万元）</w:t>
      </w:r>
    </w:p>
    <w:p>
      <w:pPr>
        <w:spacing w:line="600" w:lineRule="exact"/>
        <w:ind w:firstLine="641" w:firstLineChars="200"/>
        <w:outlineLvl w:val="2"/>
        <w:rPr>
          <w:rFonts w:hint="eastAsia" w:ascii="楷体" w:hAnsi="楷体" w:eastAsia="楷体" w:cs="楷体"/>
          <w:b/>
          <w:color w:val="auto"/>
          <w:sz w:val="32"/>
          <w:szCs w:val="32"/>
          <w:highlight w:val="none"/>
        </w:rPr>
      </w:pPr>
      <w:bookmarkStart w:id="79" w:name="_Toc27013"/>
      <w:bookmarkStart w:id="80" w:name="_Toc15377211"/>
      <w:bookmarkStart w:id="81" w:name="_Toc1076"/>
      <w:bookmarkStart w:id="82" w:name="_Toc15456"/>
      <w:r>
        <w:rPr>
          <w:rFonts w:hint="eastAsia" w:ascii="楷体" w:hAnsi="楷体" w:eastAsia="楷体" w:cs="楷体"/>
          <w:b/>
          <w:color w:val="auto"/>
          <w:sz w:val="32"/>
          <w:szCs w:val="32"/>
          <w:highlight w:val="none"/>
        </w:rPr>
        <w:t>（二）一般公共预算财政拨款支出决算结构情况</w:t>
      </w:r>
      <w:bookmarkEnd w:id="79"/>
      <w:bookmarkEnd w:id="80"/>
      <w:bookmarkEnd w:id="81"/>
      <w:bookmarkEnd w:id="82"/>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3510.57</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3412.18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31.48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66.91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1.90</w:t>
      </w:r>
      <w:r>
        <w:rPr>
          <w:rFonts w:hint="eastAsia" w:ascii="仿宋_GB2312" w:hAnsi="仿宋_GB2312" w:eastAsia="仿宋_GB2312" w:cs="仿宋_GB2312"/>
          <w:color w:val="auto"/>
          <w:sz w:val="32"/>
          <w:szCs w:val="32"/>
          <w:highlight w:val="none"/>
        </w:rPr>
        <w:t>%。</w:t>
      </w:r>
    </w:p>
    <w:p>
      <w:pPr>
        <w:pStyle w:val="2"/>
        <w:widowControl w:val="0"/>
        <w:wordWrap/>
        <w:adjustRightInd/>
        <w:snapToGrid/>
        <w:spacing w:line="240" w:lineRule="exact"/>
        <w:ind w:left="0" w:leftChars="0" w:firstLine="0" w:firstLineChars="0"/>
        <w:textAlignment w:val="auto"/>
        <w:rPr>
          <w:rFonts w:hint="eastAsia" w:ascii="仿宋" w:hAnsi="仿宋" w:eastAsia="仿宋"/>
          <w:color w:val="auto"/>
          <w:sz w:val="32"/>
          <w:szCs w:val="32"/>
          <w:highlight w:val="none"/>
        </w:rPr>
      </w:pPr>
      <w:r>
        <w:rPr>
          <w:rFonts w:ascii="仿宋" w:hAnsi="仿宋" w:eastAsia="仿宋" w:cs="Times New Roman"/>
          <w:color w:val="000000"/>
          <w:kern w:val="2"/>
          <w:sz w:val="32"/>
          <w:szCs w:val="32"/>
          <w:lang w:val="en-US" w:eastAsia="zh-CN" w:bidi="ar-SA"/>
        </w:rPr>
        <w:pict>
          <v:shape id="Object 9" o:spid="_x0000_s1031" o:spt="75" type="#_x0000_t75" style="position:absolute;left:0pt;margin-left:-9.65pt;margin-top:6.05pt;height:198.2pt;width:414.75pt;mso-wrap-distance-bottom:0pt;mso-wrap-distance-left:9pt;mso-wrap-distance-right:9pt;mso-wrap-distance-top:0pt;z-index:251664384;mso-width-relative:page;mso-height-relative:page;" o:ole="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square"/>
          </v:shape>
          <o:OLEObject Type="Embed" ProgID="Excel.Chart.8" ShapeID="Object 9" DrawAspect="Content" ObjectID="_1468075729" r:id="rId19">
            <o:LockedField>false</o:LockedField>
          </o:OLEObject>
        </w:pict>
      </w:r>
    </w:p>
    <w:p>
      <w:pPr>
        <w:spacing w:line="600" w:lineRule="exact"/>
        <w:jc w:val="center"/>
        <w:rPr>
          <w:rFonts w:hint="eastAsia" w:ascii="仿宋" w:hAnsi="仿宋" w:eastAsia="仿宋"/>
          <w:b/>
          <w:color w:val="auto"/>
          <w:sz w:val="32"/>
          <w:szCs w:val="32"/>
          <w:highlight w:val="none"/>
        </w:rPr>
      </w:pPr>
      <w:r>
        <w:rPr>
          <w:rFonts w:hint="eastAsia" w:ascii="仿宋_GB2312" w:hAnsi="仿宋_GB2312" w:eastAsia="仿宋_GB2312" w:cs="仿宋_GB2312"/>
          <w:color w:val="auto"/>
          <w:sz w:val="28"/>
          <w:szCs w:val="28"/>
          <w:highlight w:val="none"/>
          <w:lang w:val="en-US" w:eastAsia="zh-CN"/>
        </w:rPr>
        <w:t>（图6：一般公共预算财政拨款支出决算结构）（单位：万元）</w:t>
      </w:r>
      <w:bookmarkStart w:id="83" w:name="_Toc15377212"/>
    </w:p>
    <w:p>
      <w:pPr>
        <w:spacing w:line="600" w:lineRule="exact"/>
        <w:ind w:firstLine="641" w:firstLineChars="200"/>
        <w:outlineLvl w:val="2"/>
        <w:rPr>
          <w:rFonts w:hint="eastAsia" w:ascii="楷体" w:hAnsi="楷体" w:eastAsia="楷体" w:cs="楷体"/>
          <w:b/>
          <w:color w:val="auto"/>
          <w:sz w:val="32"/>
          <w:szCs w:val="32"/>
          <w:highlight w:val="none"/>
        </w:rPr>
      </w:pPr>
      <w:bookmarkStart w:id="84" w:name="_Toc16956"/>
      <w:bookmarkStart w:id="85" w:name="_Toc15668"/>
      <w:bookmarkStart w:id="86" w:name="_Toc30485"/>
      <w:r>
        <w:rPr>
          <w:rFonts w:hint="eastAsia" w:ascii="楷体" w:hAnsi="楷体" w:eastAsia="楷体" w:cs="楷体"/>
          <w:b/>
          <w:color w:val="auto"/>
          <w:sz w:val="32"/>
          <w:szCs w:val="32"/>
          <w:highlight w:val="none"/>
        </w:rPr>
        <w:t>（三）一般公共预算财政拨款支出决算具体情况</w:t>
      </w:r>
      <w:bookmarkEnd w:id="83"/>
      <w:bookmarkEnd w:id="84"/>
      <w:bookmarkEnd w:id="85"/>
      <w:bookmarkEnd w:id="86"/>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87" w:name="_Toc15378460"/>
      <w:bookmarkStart w:id="88" w:name="_Toc15377444"/>
      <w:bookmarkStart w:id="89" w:name="_Toc20469"/>
      <w:bookmarkStart w:id="90" w:name="_Toc15377213"/>
      <w:r>
        <w:rPr>
          <w:rFonts w:hint="eastAsia" w:ascii="仿宋_GB2312" w:hAnsi="仿宋_GB2312" w:eastAsia="仿宋_GB2312" w:cs="仿宋_GB2312"/>
          <w:color w:val="auto"/>
          <w:sz w:val="32"/>
          <w:szCs w:val="32"/>
          <w:highlight w:val="none"/>
          <w:lang w:val="en-US" w:eastAsia="zh-CN"/>
        </w:rPr>
        <w:t>2021年一般公共预算支出决算数为3510.57，完成预算98.02%。其中：</w:t>
      </w:r>
      <w:bookmarkEnd w:id="87"/>
      <w:bookmarkEnd w:id="88"/>
      <w:bookmarkEnd w:id="89"/>
      <w:bookmarkEnd w:id="90"/>
    </w:p>
    <w:p>
      <w:pPr>
        <w:widowControl w:val="0"/>
        <w:wordWrap/>
        <w:adjustRightInd/>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000000"/>
          <w:sz w:val="32"/>
          <w:szCs w:val="32"/>
        </w:rPr>
        <w:t>人力资源和社会保障管理事务（款） 社会保险经办机构（项）</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3060.80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97.73</w:t>
      </w:r>
      <w:r>
        <w:rPr>
          <w:rStyle w:val="15"/>
          <w:rFonts w:hint="eastAsia" w:ascii="仿宋_GB2312" w:hAnsi="仿宋_GB2312" w:eastAsia="仿宋_GB2312" w:cs="仿宋_GB2312"/>
          <w:b w:val="0"/>
          <w:bCs/>
          <w:color w:val="auto"/>
          <w:sz w:val="32"/>
          <w:szCs w:val="32"/>
          <w:highlight w:val="none"/>
        </w:rPr>
        <w:t>%，决算数小于预算数的主要原因</w:t>
      </w:r>
      <w:r>
        <w:rPr>
          <w:rStyle w:val="15"/>
          <w:rFonts w:hint="eastAsia" w:ascii="仿宋_GB2312" w:hAnsi="仿宋_GB2312" w:eastAsia="仿宋_GB2312" w:cs="仿宋_GB2312"/>
          <w:b w:val="0"/>
          <w:bCs/>
          <w:color w:val="auto"/>
          <w:sz w:val="32"/>
          <w:szCs w:val="32"/>
          <w:highlight w:val="none"/>
          <w:lang w:eastAsia="zh-CN"/>
        </w:rPr>
        <w:t>：一是代发离退休人员生活补贴结余</w:t>
      </w:r>
      <w:r>
        <w:rPr>
          <w:rStyle w:val="15"/>
          <w:rFonts w:hint="eastAsia" w:ascii="仿宋_GB2312" w:hAnsi="仿宋_GB2312" w:eastAsia="仿宋_GB2312" w:cs="仿宋_GB2312"/>
          <w:b w:val="0"/>
          <w:bCs/>
          <w:color w:val="auto"/>
          <w:sz w:val="32"/>
          <w:szCs w:val="32"/>
          <w:highlight w:val="none"/>
          <w:lang w:val="en-US" w:eastAsia="zh-CN"/>
        </w:rPr>
        <w:t>46.55万元；二是社保公共服务能力建设资金结转24.46万元，该项目资金于2021年下半年下达指标，项目工作未实施完毕，结转至2022年</w:t>
      </w:r>
      <w:r>
        <w:rPr>
          <w:rStyle w:val="15"/>
          <w:rFonts w:hint="eastAsia" w:ascii="仿宋_GB2312" w:hAnsi="仿宋_GB2312" w:eastAsia="仿宋_GB2312" w:cs="仿宋_GB2312"/>
          <w:b w:val="0"/>
          <w:bCs/>
          <w:color w:val="auto"/>
          <w:sz w:val="32"/>
          <w:szCs w:val="32"/>
          <w:highlight w:val="none"/>
        </w:rPr>
        <w:t>。</w:t>
      </w:r>
    </w:p>
    <w:p>
      <w:pPr>
        <w:widowControl w:val="0"/>
        <w:wordWrap/>
        <w:adjustRightInd/>
        <w:snapToGrid/>
        <w:spacing w:line="576" w:lineRule="exact"/>
        <w:ind w:firstLine="640" w:firstLineChars="200"/>
        <w:textAlignment w:val="auto"/>
        <w:rPr>
          <w:rStyle w:val="15"/>
          <w:rFonts w:hint="eastAsia" w:ascii="仿宋_GB2312" w:hAnsi="仿宋_GB2312" w:eastAsia="仿宋_GB2312" w:cs="仿宋_GB2312"/>
          <w:b w:val="0"/>
          <w:bCs/>
          <w:color w:val="auto"/>
          <w:sz w:val="32"/>
          <w:szCs w:val="32"/>
          <w:highlight w:val="none"/>
          <w:lang w:val="en-US" w:eastAsia="zh-CN"/>
        </w:rPr>
      </w:pPr>
      <w:r>
        <w:rPr>
          <w:rStyle w:val="15"/>
          <w:rFonts w:hint="eastAsia" w:ascii="仿宋_GB2312" w:hAnsi="仿宋_GB2312" w:eastAsia="仿宋_GB2312" w:cs="仿宋_GB2312"/>
          <w:bCs/>
          <w:color w:val="auto"/>
          <w:sz w:val="32"/>
          <w:szCs w:val="32"/>
          <w:highlight w:val="none"/>
          <w:lang w:val="en-US" w:eastAsia="zh-CN"/>
        </w:rPr>
        <w:t>2.</w:t>
      </w:r>
      <w:r>
        <w:rPr>
          <w:rStyle w:val="15"/>
          <w:rFonts w:hint="eastAsia" w:ascii="仿宋_GB2312" w:hAnsi="仿宋_GB2312" w:eastAsia="仿宋_GB2312" w:cs="仿宋_GB2312"/>
          <w:bCs/>
          <w:color w:val="000000"/>
          <w:sz w:val="32"/>
          <w:szCs w:val="32"/>
        </w:rPr>
        <w:t>社会保障和就业支出（类）行政事业单位养老支出（款）机关事业单位基本养老保险缴费支出（项）:</w:t>
      </w:r>
      <w:r>
        <w:rPr>
          <w:rStyle w:val="15"/>
          <w:rFonts w:hint="eastAsia" w:ascii="仿宋_GB2312" w:hAnsi="仿宋_GB2312" w:eastAsia="仿宋_GB2312" w:cs="仿宋_GB2312"/>
          <w:b w:val="0"/>
          <w:bCs/>
          <w:color w:val="auto"/>
          <w:sz w:val="32"/>
          <w:szCs w:val="32"/>
          <w:highlight w:val="none"/>
          <w:lang w:val="en-US" w:eastAsia="zh-CN"/>
        </w:rPr>
        <w:t>支出决算数59.05万元，完成预算的100%。</w:t>
      </w:r>
    </w:p>
    <w:p>
      <w:pPr>
        <w:pStyle w:val="2"/>
        <w:widowControl w:val="0"/>
        <w:wordWrap/>
        <w:adjustRightInd/>
        <w:snapToGrid/>
        <w:spacing w:line="576" w:lineRule="exact"/>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kern w:val="2"/>
          <w:sz w:val="32"/>
          <w:szCs w:val="32"/>
          <w:lang w:val="en-US" w:eastAsia="zh-CN" w:bidi="ar-SA"/>
        </w:rPr>
        <w:t>3.社</w:t>
      </w:r>
      <w:r>
        <w:rPr>
          <w:rStyle w:val="15"/>
          <w:rFonts w:hint="eastAsia" w:ascii="仿宋_GB2312" w:hAnsi="仿宋_GB2312" w:eastAsia="仿宋_GB2312" w:cs="仿宋_GB2312"/>
          <w:bCs/>
          <w:color w:val="000000"/>
          <w:sz w:val="32"/>
          <w:szCs w:val="32"/>
        </w:rPr>
        <w:t>会保障和就业支出（类）行政事业单位养老支出（款）机关事业单位职业年金缴费支出（项）:</w:t>
      </w:r>
      <w:r>
        <w:rPr>
          <w:rStyle w:val="15"/>
          <w:rFonts w:hint="eastAsia" w:ascii="仿宋_GB2312" w:hAnsi="仿宋_GB2312" w:eastAsia="仿宋_GB2312" w:cs="仿宋_GB2312"/>
          <w:b w:val="0"/>
          <w:bCs/>
          <w:color w:val="000000"/>
          <w:sz w:val="32"/>
          <w:szCs w:val="32"/>
        </w:rPr>
        <w:t xml:space="preserve"> 支出决算为</w:t>
      </w:r>
      <w:r>
        <w:rPr>
          <w:rStyle w:val="15"/>
          <w:rFonts w:hint="eastAsia" w:ascii="仿宋_GB2312" w:hAnsi="仿宋_GB2312" w:eastAsia="仿宋_GB2312" w:cs="仿宋_GB2312"/>
          <w:b w:val="0"/>
          <w:bCs/>
          <w:color w:val="000000"/>
          <w:sz w:val="32"/>
          <w:szCs w:val="32"/>
          <w:lang w:val="en-US" w:eastAsia="zh-CN"/>
        </w:rPr>
        <w:t>1.66</w:t>
      </w:r>
      <w:r>
        <w:rPr>
          <w:rStyle w:val="15"/>
          <w:rFonts w:hint="eastAsia" w:ascii="仿宋_GB2312" w:hAnsi="仿宋_GB2312" w:eastAsia="仿宋_GB2312" w:cs="仿宋_GB2312"/>
          <w:b w:val="0"/>
          <w:bCs/>
          <w:color w:val="000000"/>
          <w:sz w:val="32"/>
          <w:szCs w:val="32"/>
        </w:rPr>
        <w:t>万元，完成预算100%。</w:t>
      </w:r>
    </w:p>
    <w:p>
      <w:pPr>
        <w:widowControl w:val="0"/>
        <w:wordWrap/>
        <w:adjustRightInd/>
        <w:snapToGrid/>
        <w:spacing w:line="576" w:lineRule="exact"/>
        <w:ind w:firstLine="640" w:firstLineChars="200"/>
        <w:textAlignment w:val="auto"/>
        <w:rPr>
          <w:rStyle w:val="15"/>
          <w:rFonts w:hint="eastAsia" w:ascii="仿宋_GB2312" w:hAnsi="仿宋_GB2312" w:eastAsia="仿宋_GB2312" w:cs="仿宋_GB2312"/>
          <w:b w:val="0"/>
          <w:bCs/>
          <w:color w:val="000000"/>
          <w:sz w:val="32"/>
          <w:szCs w:val="32"/>
          <w:lang w:val="en-US" w:eastAsia="zh-CN"/>
        </w:rPr>
      </w:pPr>
      <w:r>
        <w:rPr>
          <w:rStyle w:val="15"/>
          <w:rFonts w:hint="eastAsia" w:ascii="仿宋_GB2312" w:hAnsi="仿宋_GB2312" w:eastAsia="仿宋_GB2312" w:cs="仿宋_GB2312"/>
          <w:bCs/>
          <w:color w:val="000000"/>
          <w:sz w:val="32"/>
          <w:szCs w:val="32"/>
        </w:rPr>
        <w:t>4.社会保障和就业支出（类）抚恤（款）死亡抚恤（项）:</w:t>
      </w:r>
      <w:r>
        <w:rPr>
          <w:rStyle w:val="15"/>
          <w:rFonts w:hint="eastAsia" w:ascii="仿宋_GB2312" w:hAnsi="仿宋_GB2312" w:eastAsia="仿宋_GB2312" w:cs="仿宋_GB2312"/>
          <w:b w:val="0"/>
          <w:bCs/>
          <w:color w:val="000000"/>
          <w:sz w:val="32"/>
          <w:szCs w:val="32"/>
        </w:rPr>
        <w:t xml:space="preserve"> 支出决算为</w:t>
      </w:r>
      <w:r>
        <w:rPr>
          <w:rStyle w:val="15"/>
          <w:rFonts w:hint="eastAsia" w:ascii="仿宋_GB2312" w:hAnsi="仿宋_GB2312" w:eastAsia="仿宋_GB2312" w:cs="仿宋_GB2312"/>
          <w:b w:val="0"/>
          <w:bCs/>
          <w:color w:val="000000"/>
          <w:sz w:val="32"/>
          <w:szCs w:val="32"/>
          <w:lang w:val="en-US" w:eastAsia="zh-CN"/>
        </w:rPr>
        <w:t>290.67</w:t>
      </w:r>
      <w:r>
        <w:rPr>
          <w:rStyle w:val="15"/>
          <w:rFonts w:hint="eastAsia" w:ascii="仿宋_GB2312" w:hAnsi="仿宋_GB2312" w:eastAsia="仿宋_GB2312" w:cs="仿宋_GB2312"/>
          <w:b w:val="0"/>
          <w:bCs/>
          <w:color w:val="000000"/>
          <w:sz w:val="32"/>
          <w:szCs w:val="32"/>
        </w:rPr>
        <w:t>万元，完成预算100%。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5.卫生健康支出（类）行政事业单位医疗（款）事业单位医疗（项）:</w:t>
      </w:r>
      <w:r>
        <w:rPr>
          <w:rStyle w:val="15"/>
          <w:rFonts w:hint="eastAsia" w:ascii="仿宋_GB2312" w:hAnsi="仿宋_GB2312" w:eastAsia="仿宋_GB2312" w:cs="仿宋_GB2312"/>
          <w:b w:val="0"/>
          <w:bCs/>
          <w:color w:val="000000"/>
          <w:sz w:val="32"/>
          <w:szCs w:val="32"/>
        </w:rPr>
        <w:t xml:space="preserve"> 支出决算为</w:t>
      </w:r>
      <w:r>
        <w:rPr>
          <w:rStyle w:val="15"/>
          <w:rFonts w:hint="eastAsia" w:ascii="仿宋_GB2312" w:hAnsi="仿宋_GB2312" w:eastAsia="仿宋_GB2312" w:cs="仿宋_GB2312"/>
          <w:b w:val="0"/>
          <w:bCs/>
          <w:color w:val="000000"/>
          <w:sz w:val="32"/>
          <w:szCs w:val="32"/>
          <w:lang w:val="en-US" w:eastAsia="zh-CN"/>
        </w:rPr>
        <w:t>31.48</w:t>
      </w:r>
      <w:r>
        <w:rPr>
          <w:rStyle w:val="15"/>
          <w:rFonts w:hint="eastAsia" w:ascii="仿宋_GB2312" w:hAnsi="仿宋_GB2312" w:eastAsia="仿宋_GB2312" w:cs="仿宋_GB2312"/>
          <w:b w:val="0"/>
          <w:bCs/>
          <w:color w:val="000000"/>
          <w:sz w:val="32"/>
          <w:szCs w:val="32"/>
        </w:rPr>
        <w:t>万元，完成预算100%。</w:t>
      </w:r>
    </w:p>
    <w:p>
      <w:pPr>
        <w:widowControl w:val="0"/>
        <w:wordWrap/>
        <w:adjustRightInd/>
        <w:snapToGrid/>
        <w:spacing w:line="576" w:lineRule="exact"/>
        <w:ind w:firstLine="640" w:firstLineChars="200"/>
        <w:textAlignment w:val="auto"/>
        <w:rPr>
          <w:rFonts w:ascii="仿宋" w:hAnsi="仿宋" w:eastAsia="仿宋"/>
          <w:b/>
          <w:color w:val="auto"/>
          <w:sz w:val="32"/>
          <w:szCs w:val="32"/>
          <w:highlight w:val="none"/>
        </w:rPr>
      </w:pPr>
      <w:r>
        <w:rPr>
          <w:rStyle w:val="15"/>
          <w:rFonts w:hint="eastAsia" w:ascii="仿宋_GB2312" w:hAnsi="仿宋_GB2312" w:eastAsia="仿宋_GB2312" w:cs="仿宋_GB2312"/>
          <w:bCs/>
          <w:color w:val="000000"/>
          <w:sz w:val="32"/>
          <w:szCs w:val="32"/>
        </w:rPr>
        <w:t>6.</w:t>
      </w:r>
      <w:r>
        <w:rPr>
          <w:rFonts w:hint="eastAsia" w:ascii="仿宋_GB2312" w:hAnsi="仿宋_GB2312" w:eastAsia="仿宋_GB2312" w:cs="仿宋_GB2312"/>
          <w:b/>
          <w:bCs/>
          <w:color w:val="000000"/>
          <w:sz w:val="32"/>
          <w:szCs w:val="32"/>
        </w:rPr>
        <w:t>住房保障支出</w:t>
      </w:r>
      <w:r>
        <w:rPr>
          <w:rStyle w:val="15"/>
          <w:rFonts w:hint="eastAsia" w:ascii="仿宋_GB2312" w:hAnsi="仿宋_GB2312" w:eastAsia="仿宋_GB2312" w:cs="仿宋_GB2312"/>
          <w:bCs/>
          <w:color w:val="000000"/>
          <w:sz w:val="32"/>
          <w:szCs w:val="32"/>
        </w:rPr>
        <w:t>（类）住房改革支出（款）住房公积金（项）: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66.91</w:t>
      </w:r>
      <w:r>
        <w:rPr>
          <w:rStyle w:val="15"/>
          <w:rFonts w:hint="eastAsia" w:ascii="仿宋_GB2312" w:hAnsi="仿宋_GB2312" w:eastAsia="仿宋_GB2312" w:cs="仿宋_GB2312"/>
          <w:b w:val="0"/>
          <w:bCs/>
          <w:color w:val="000000"/>
          <w:sz w:val="32"/>
          <w:szCs w:val="32"/>
        </w:rPr>
        <w:t>万元，完成预算100%。</w:t>
      </w:r>
    </w:p>
    <w:p>
      <w:pPr>
        <w:tabs>
          <w:tab w:val="right" w:pos="8306"/>
        </w:tabs>
        <w:spacing w:line="600" w:lineRule="exact"/>
        <w:ind w:firstLine="640"/>
        <w:outlineLvl w:val="1"/>
        <w:rPr>
          <w:rStyle w:val="23"/>
          <w:color w:val="auto"/>
          <w:highlight w:val="none"/>
        </w:rPr>
      </w:pPr>
      <w:bookmarkStart w:id="91" w:name="_Toc11156"/>
      <w:bookmarkStart w:id="92" w:name="_Toc23713"/>
      <w:bookmarkStart w:id="93" w:name="_Toc24577"/>
      <w:bookmarkStart w:id="94" w:name="_Toc19559"/>
      <w:bookmarkStart w:id="95" w:name="_Toc15396608"/>
      <w:bookmarkStart w:id="9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般公共预算财政拨款基本支出决算情况说明</w:t>
      </w:r>
      <w:bookmarkEnd w:id="91"/>
      <w:bookmarkEnd w:id="92"/>
      <w:bookmarkEnd w:id="93"/>
      <w:bookmarkEnd w:id="94"/>
      <w:bookmarkEnd w:id="95"/>
      <w:bookmarkEnd w:id="96"/>
      <w:r>
        <w:rPr>
          <w:rStyle w:val="23"/>
          <w:rFonts w:ascii="黑体" w:hAnsi="黑体" w:eastAsia="黑体"/>
          <w:b w:val="0"/>
          <w:color w:val="auto"/>
          <w:highlight w:val="none"/>
        </w:rPr>
        <w:tab/>
      </w:r>
    </w:p>
    <w:p>
      <w:pPr>
        <w:widowControl w:val="0"/>
        <w:wordWrap/>
        <w:adjustRightInd/>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3368.32</w:t>
      </w:r>
      <w:r>
        <w:rPr>
          <w:rFonts w:hint="eastAsia" w:ascii="仿宋_GB2312" w:hAnsi="仿宋_GB2312" w:eastAsia="仿宋_GB2312" w:cs="仿宋_GB2312"/>
          <w:color w:val="auto"/>
          <w:sz w:val="32"/>
          <w:szCs w:val="32"/>
          <w:highlight w:val="none"/>
        </w:rPr>
        <w:t>万元，其中：</w:t>
      </w:r>
    </w:p>
    <w:p>
      <w:pPr>
        <w:widowControl w:val="0"/>
        <w:wordWrap/>
        <w:adjustRightInd/>
        <w:snapToGrid/>
        <w:spacing w:line="576"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3224.14</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万元，主要包括：基本工资、津贴补贴、奖金、机关事业单位基本养老保险缴费、职业年金缴费、其他社会保障缴费、</w:t>
      </w:r>
      <w:r>
        <w:rPr>
          <w:rFonts w:hint="eastAsia" w:ascii="仿宋_GB2312" w:hAnsi="仿宋_GB2312" w:eastAsia="仿宋_GB2312" w:cs="仿宋_GB2312"/>
          <w:color w:val="auto"/>
          <w:sz w:val="32"/>
          <w:szCs w:val="32"/>
          <w:highlight w:val="none"/>
          <w:lang w:eastAsia="zh-CN"/>
        </w:rPr>
        <w:t>职工基本医疗保险费、</w:t>
      </w:r>
      <w:r>
        <w:rPr>
          <w:rFonts w:hint="eastAsia" w:ascii="仿宋_GB2312" w:hAnsi="仿宋_GB2312" w:eastAsia="仿宋_GB2312" w:cs="仿宋_GB2312"/>
          <w:color w:val="auto"/>
          <w:sz w:val="32"/>
          <w:szCs w:val="32"/>
          <w:highlight w:val="none"/>
        </w:rPr>
        <w:t>其他工资福利支出、抚恤金、生活补助、住房公积金、</w:t>
      </w:r>
      <w:r>
        <w:rPr>
          <w:rFonts w:hint="eastAsia" w:ascii="仿宋_GB2312" w:hAnsi="仿宋_GB2312" w:eastAsia="仿宋_GB2312" w:cs="仿宋_GB2312"/>
          <w:color w:val="auto"/>
          <w:sz w:val="32"/>
          <w:szCs w:val="32"/>
          <w:highlight w:val="none"/>
          <w:lang w:eastAsia="zh-CN"/>
        </w:rPr>
        <w:t>代缴社会保险费（职业年金贴息）</w:t>
      </w:r>
      <w:r>
        <w:rPr>
          <w:rFonts w:hint="eastAsia" w:ascii="仿宋_GB2312" w:hAnsi="仿宋_GB2312" w:eastAsia="仿宋_GB2312" w:cs="仿宋_GB2312"/>
          <w:color w:val="auto"/>
          <w:sz w:val="32"/>
          <w:szCs w:val="32"/>
          <w:highlight w:val="none"/>
        </w:rPr>
        <w:t>等。</w:t>
      </w:r>
    </w:p>
    <w:p>
      <w:pPr>
        <w:widowControl w:val="0"/>
        <w:wordWrap/>
        <w:adjustRightInd/>
        <w:snapToGrid/>
        <w:spacing w:line="576" w:lineRule="exact"/>
        <w:ind w:firstLine="640"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144.17</w:t>
      </w:r>
      <w:r>
        <w:rPr>
          <w:rFonts w:hint="eastAsia" w:ascii="仿宋_GB2312" w:hAnsi="仿宋_GB2312" w:eastAsia="仿宋_GB2312" w:cs="仿宋_GB2312"/>
          <w:color w:val="auto"/>
          <w:sz w:val="32"/>
          <w:szCs w:val="32"/>
          <w:highlight w:val="none"/>
        </w:rPr>
        <w:t>万元，主要包括：办公费、印刷费、邮电费、差旅费、会议费、培训费、公务接待费、劳务费、工会经费、福利费、其他交通费、其他商品和服务支出等。</w:t>
      </w:r>
      <w:bookmarkStart w:id="97" w:name="_Toc15377215"/>
      <w:bookmarkStart w:id="98" w:name="_Toc15396609"/>
    </w:p>
    <w:p>
      <w:pPr>
        <w:widowControl w:val="0"/>
        <w:wordWrap/>
        <w:adjustRightInd/>
        <w:snapToGrid/>
        <w:spacing w:line="576" w:lineRule="exact"/>
        <w:ind w:firstLine="640"/>
        <w:textAlignment w:val="auto"/>
        <w:outlineLvl w:val="1"/>
        <w:rPr>
          <w:rStyle w:val="23"/>
          <w:rFonts w:ascii="黑体" w:hAnsi="黑体" w:eastAsia="黑体"/>
          <w:b w:val="0"/>
          <w:color w:val="auto"/>
          <w:highlight w:val="none"/>
        </w:rPr>
      </w:pPr>
      <w:bookmarkStart w:id="99" w:name="_Toc2201"/>
      <w:bookmarkStart w:id="100" w:name="_Toc19001"/>
      <w:bookmarkStart w:id="101" w:name="_Toc30207"/>
      <w:bookmarkStart w:id="102" w:name="_Toc20253"/>
      <w:r>
        <w:rPr>
          <w:rFonts w:hint="eastAsia" w:ascii="黑体" w:eastAsia="黑体"/>
          <w:color w:val="auto"/>
          <w:sz w:val="32"/>
          <w:szCs w:val="32"/>
          <w:highlight w:val="none"/>
        </w:rPr>
        <w:t>七、</w:t>
      </w:r>
      <w:r>
        <w:rPr>
          <w:rStyle w:val="23"/>
          <w:rFonts w:hint="eastAsia" w:ascii="黑体" w:hAnsi="黑体" w:eastAsia="黑体"/>
          <w:color w:val="auto"/>
          <w:highlight w:val="none"/>
        </w:rPr>
        <w:t>“</w:t>
      </w:r>
      <w:r>
        <w:rPr>
          <w:rStyle w:val="23"/>
          <w:rFonts w:hint="eastAsia" w:ascii="黑体" w:hAnsi="黑体" w:eastAsia="黑体"/>
          <w:b w:val="0"/>
          <w:color w:val="auto"/>
          <w:highlight w:val="none"/>
        </w:rPr>
        <w:t>三公”经费财政拨款支出决算情况说明</w:t>
      </w:r>
      <w:bookmarkEnd w:id="97"/>
      <w:bookmarkEnd w:id="98"/>
      <w:bookmarkEnd w:id="99"/>
      <w:bookmarkEnd w:id="100"/>
      <w:bookmarkEnd w:id="101"/>
      <w:bookmarkEnd w:id="102"/>
    </w:p>
    <w:p>
      <w:pPr>
        <w:widowControl w:val="0"/>
        <w:wordWrap/>
        <w:adjustRightInd/>
        <w:snapToGrid/>
        <w:spacing w:line="576" w:lineRule="exact"/>
        <w:ind w:firstLine="641" w:firstLineChars="200"/>
        <w:textAlignment w:val="auto"/>
        <w:outlineLvl w:val="2"/>
        <w:rPr>
          <w:rFonts w:hint="eastAsia" w:ascii="楷体" w:hAnsi="楷体" w:eastAsia="楷体" w:cs="楷体"/>
          <w:b/>
          <w:color w:val="auto"/>
          <w:sz w:val="32"/>
          <w:szCs w:val="32"/>
          <w:highlight w:val="none"/>
        </w:rPr>
      </w:pPr>
      <w:bookmarkStart w:id="103" w:name="_Toc8765"/>
      <w:bookmarkStart w:id="104" w:name="_Toc15377216"/>
      <w:bookmarkStart w:id="105" w:name="_Toc3020"/>
      <w:bookmarkStart w:id="106" w:name="_Toc18699"/>
      <w:r>
        <w:rPr>
          <w:rFonts w:hint="eastAsia" w:ascii="楷体" w:hAnsi="楷体" w:eastAsia="楷体" w:cs="楷体"/>
          <w:b/>
          <w:color w:val="auto"/>
          <w:sz w:val="32"/>
          <w:szCs w:val="32"/>
          <w:highlight w:val="none"/>
        </w:rPr>
        <w:t>（一）“三公”经费财政拨款支出决算总体情况说明</w:t>
      </w:r>
      <w:bookmarkEnd w:id="103"/>
      <w:bookmarkEnd w:id="104"/>
      <w:bookmarkEnd w:id="105"/>
      <w:bookmarkEnd w:id="106"/>
    </w:p>
    <w:p>
      <w:pPr>
        <w:widowControl w:val="0"/>
        <w:wordWrap/>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0.26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widowControl w:val="0"/>
        <w:wordWrap/>
        <w:adjustRightInd/>
        <w:snapToGrid/>
        <w:spacing w:line="576" w:lineRule="exact"/>
        <w:ind w:firstLine="641" w:firstLineChars="200"/>
        <w:textAlignment w:val="auto"/>
        <w:outlineLvl w:val="2"/>
        <w:rPr>
          <w:rFonts w:hint="eastAsia" w:ascii="楷体" w:hAnsi="楷体" w:eastAsia="楷体" w:cs="楷体"/>
          <w:b/>
          <w:color w:val="auto"/>
          <w:sz w:val="32"/>
          <w:szCs w:val="32"/>
          <w:highlight w:val="none"/>
        </w:rPr>
      </w:pPr>
      <w:bookmarkStart w:id="107" w:name="_Toc15347"/>
      <w:bookmarkStart w:id="108" w:name="_Toc29022"/>
      <w:bookmarkStart w:id="109" w:name="_Toc15199"/>
      <w:bookmarkStart w:id="110" w:name="_Toc15377217"/>
      <w:r>
        <w:rPr>
          <w:rFonts w:hint="eastAsia" w:ascii="楷体" w:hAnsi="楷体" w:eastAsia="楷体" w:cs="楷体"/>
          <w:b/>
          <w:color w:val="auto"/>
          <w:sz w:val="32"/>
          <w:szCs w:val="32"/>
          <w:highlight w:val="none"/>
        </w:rPr>
        <w:t>（二）“三公”经费财政拨款支出决算具体情况说明</w:t>
      </w:r>
      <w:bookmarkEnd w:id="107"/>
      <w:bookmarkEnd w:id="108"/>
      <w:bookmarkEnd w:id="109"/>
      <w:bookmarkEnd w:id="110"/>
    </w:p>
    <w:p>
      <w:pPr>
        <w:widowControl w:val="0"/>
        <w:wordWrap/>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Style w:val="2"/>
        <w:rPr>
          <w:rFonts w:hint="eastAsia" w:ascii="仿宋" w:hAnsi="仿宋" w:eastAsia="仿宋"/>
          <w:color w:val="auto"/>
          <w:sz w:val="32"/>
          <w:szCs w:val="32"/>
          <w:highlight w:val="none"/>
        </w:rPr>
      </w:pPr>
      <w:bookmarkStart w:id="261" w:name="_GoBack"/>
      <w:r>
        <w:rPr>
          <w:rFonts w:ascii="仿宋" w:hAnsi="仿宋" w:eastAsia="仿宋" w:cs="Times New Roman"/>
          <w:color w:val="000000"/>
          <w:kern w:val="2"/>
          <w:sz w:val="32"/>
          <w:szCs w:val="32"/>
          <w:lang w:val="en-US" w:eastAsia="zh-CN" w:bidi="ar-SA"/>
        </w:rPr>
        <w:pict>
          <v:shape id="Object 10" o:spid="_x0000_s1032" o:spt="75" type="#_x0000_t75" style="position:absolute;left:0pt;margin-left:52.25pt;margin-top:5.55pt;height:222.75pt;width:339.75pt;mso-wrap-distance-bottom:0pt;mso-wrap-distance-left:9pt;mso-wrap-distance-right:9pt;mso-wrap-distance-top:0pt;z-index:251665408;mso-width-relative:page;mso-height-relative:page;" o:ole="t" fillcolor="#FFFFFF" filled="f" o:preferrelative="t" stroked="f" coordsize="21600,21600">
            <v:path/>
            <v:fill on="f" color2="#FFFFFF" focussize="0,0"/>
            <v:stroke on="f"/>
            <v:imagedata r:id="rId22" gain="65536f" blacklevel="0f" gamma="0" o:title=""/>
            <o:lock v:ext="edit" position="f" selection="f" grouping="f" rotation="f" cropping="f" text="f" aspectratio="t"/>
            <w10:wrap type="square"/>
          </v:shape>
          <o:OLEObject Type="Embed" ProgID="Excel.Chart.8" ShapeID="Object 10" DrawAspect="Content" ObjectID="_1468075730" r:id="rId21">
            <o:LockedField>false</o:LockedField>
          </o:OLEObject>
        </w:pict>
      </w:r>
      <w:bookmarkEnd w:id="261"/>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jc w:val="center"/>
        <w:rPr>
          <w:rFonts w:hint="eastAsia" w:ascii="仿宋" w:hAnsi="仿宋" w:eastAsia="仿宋"/>
          <w:color w:val="auto"/>
          <w:sz w:val="32"/>
          <w:szCs w:val="32"/>
          <w:highlight w:val="none"/>
        </w:rPr>
      </w:pPr>
      <w:r>
        <w:rPr>
          <w:rFonts w:hint="eastAsia" w:ascii="仿宋_GB2312" w:hAnsi="仿宋_GB2312" w:eastAsia="仿宋_GB2312" w:cs="仿宋_GB2312"/>
          <w:color w:val="auto"/>
          <w:sz w:val="28"/>
          <w:szCs w:val="28"/>
          <w:highlight w:val="none"/>
          <w:lang w:val="en-US" w:eastAsia="zh-CN"/>
        </w:rPr>
        <w:t>（图7：“三公”经费财政拨款支出结构）（单位：万元）</w:t>
      </w:r>
    </w:p>
    <w:p>
      <w:pPr>
        <w:widowControl w:val="0"/>
        <w:wordWrap/>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w:t>
      </w:r>
      <w:r>
        <w:rPr>
          <w:rFonts w:hint="eastAsia" w:ascii="仿宋_GB2312" w:hAnsi="仿宋_GB2312" w:eastAsia="仿宋_GB2312" w:cs="仿宋_GB2312"/>
          <w:b/>
          <w:color w:val="auto"/>
          <w:sz w:val="32"/>
          <w:szCs w:val="32"/>
          <w:highlight w:val="none"/>
          <w:lang w:val="en-US" w:eastAsia="zh-CN"/>
        </w:rPr>
        <w:t>因公出国</w:t>
      </w:r>
      <w:r>
        <w:rPr>
          <w:rFonts w:hint="eastAsia" w:ascii="仿宋_GB2312" w:hAnsi="仿宋_GB2312" w:eastAsia="仿宋_GB2312" w:cs="仿宋_GB2312"/>
          <w:b/>
          <w:color w:val="auto"/>
          <w:sz w:val="32"/>
          <w:szCs w:val="32"/>
          <w:highlight w:val="none"/>
        </w:rPr>
        <w:t>（境）</w:t>
      </w:r>
      <w:r>
        <w:rPr>
          <w:rFonts w:hint="eastAsia" w:ascii="仿宋_GB2312" w:hAnsi="仿宋_GB2312" w:eastAsia="仿宋_GB2312" w:cs="仿宋_GB2312"/>
          <w:b/>
          <w:color w:val="auto"/>
          <w:sz w:val="32"/>
          <w:szCs w:val="32"/>
          <w:highlight w:val="none"/>
          <w:lang w:val="en-US" w:eastAsia="zh-CN"/>
        </w:rPr>
        <w:t>经费支出</w:t>
      </w:r>
      <w:r>
        <w:rPr>
          <w:rFonts w:hint="eastAsia" w:ascii="仿宋_GB2312" w:hAnsi="仿宋_GB2312" w:eastAsia="仿宋_GB2312" w:cs="仿宋_GB2312"/>
          <w:color w:val="auto"/>
          <w:sz w:val="32"/>
          <w:szCs w:val="32"/>
          <w:highlight w:val="none"/>
          <w:lang w:val="en-US" w:eastAsia="zh-CN"/>
        </w:rPr>
        <w:t>0万元，年初未安排预算</w:t>
      </w:r>
      <w:r>
        <w:rPr>
          <w:rFonts w:hint="eastAsia" w:ascii="仿宋_GB2312" w:hAnsi="仿宋_GB2312" w:eastAsia="仿宋_GB2312" w:cs="仿宋_GB2312"/>
          <w:color w:val="auto"/>
          <w:sz w:val="32"/>
          <w:szCs w:val="32"/>
          <w:highlight w:val="none"/>
        </w:rPr>
        <w:t>。</w:t>
      </w:r>
    </w:p>
    <w:p>
      <w:pPr>
        <w:widowControl w:val="0"/>
        <w:wordWrap/>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w:t>
      </w:r>
    </w:p>
    <w:p>
      <w:pPr>
        <w:widowControl w:val="0"/>
        <w:wordWrap/>
        <w:adjustRightInd/>
        <w:snapToGrid/>
        <w:spacing w:line="576" w:lineRule="exact"/>
        <w:ind w:firstLine="640"/>
        <w:textAlignment w:val="auto"/>
        <w:rPr>
          <w:rFonts w:hint="eastAsia" w:ascii="仿宋_GB2312" w:hAnsi="仿宋_GB2312" w:eastAsia="仿宋_GB2312" w:cs="仿宋_GB2312"/>
          <w:strike/>
          <w:dstrike w:val="0"/>
          <w:color w:val="auto"/>
          <w:sz w:val="32"/>
          <w:szCs w:val="32"/>
          <w:highlight w:val="yellow"/>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0.26</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0.69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72.63</w:t>
      </w:r>
      <w:r>
        <w:rPr>
          <w:rFonts w:hint="eastAsia" w:ascii="仿宋_GB2312" w:hAnsi="仿宋_GB2312" w:eastAsia="仿宋_GB2312" w:cs="仿宋_GB2312"/>
          <w:color w:val="auto"/>
          <w:sz w:val="32"/>
          <w:szCs w:val="32"/>
          <w:highlight w:val="none"/>
        </w:rPr>
        <w:t>%。主要原</w:t>
      </w:r>
      <w:r>
        <w:rPr>
          <w:rFonts w:hint="eastAsia" w:ascii="仿宋_GB2312" w:hAnsi="仿宋_GB2312" w:eastAsia="仿宋_GB2312" w:cs="仿宋_GB2312"/>
          <w:color w:val="auto"/>
          <w:sz w:val="32"/>
          <w:szCs w:val="32"/>
          <w:highlight w:val="none"/>
          <w:lang w:eastAsia="zh-CN"/>
        </w:rPr>
        <w:t>是受疫情影响，减少了公务接待活动</w:t>
      </w:r>
      <w:r>
        <w:rPr>
          <w:rFonts w:hint="eastAsia" w:ascii="仿宋_GB2312" w:hAnsi="仿宋_GB2312" w:eastAsia="仿宋_GB2312" w:cs="仿宋_GB2312"/>
          <w:color w:val="auto"/>
          <w:sz w:val="32"/>
          <w:szCs w:val="32"/>
          <w:highlight w:val="none"/>
        </w:rPr>
        <w:t>。</w:t>
      </w:r>
    </w:p>
    <w:p>
      <w:pPr>
        <w:widowControl w:val="0"/>
        <w:wordWrap/>
        <w:adjustRightInd/>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0.26</w:t>
      </w:r>
      <w:r>
        <w:rPr>
          <w:rFonts w:hint="eastAsia" w:ascii="仿宋_GB2312" w:hAnsi="仿宋_GB2312" w:eastAsia="仿宋_GB2312" w:cs="仿宋_GB2312"/>
          <w:color w:val="auto"/>
          <w:sz w:val="32"/>
          <w:szCs w:val="32"/>
          <w:highlight w:val="none"/>
        </w:rPr>
        <w:t>万元，</w:t>
      </w:r>
      <w:bookmarkStart w:id="111" w:name="_Toc15396610"/>
      <w:bookmarkStart w:id="112" w:name="_Toc15377218"/>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开展核保基金管理专项整治交叉检查</w:t>
      </w:r>
      <w:r>
        <w:rPr>
          <w:rFonts w:hint="eastAsia" w:ascii="仿宋_GB2312" w:eastAsia="仿宋_GB2312"/>
          <w:color w:val="auto"/>
          <w:sz w:val="32"/>
          <w:szCs w:val="32"/>
          <w:highlight w:val="none"/>
        </w:rPr>
        <w:t>等)。国内公务接待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23"/>
          <w:rFonts w:ascii="黑体" w:hAnsi="黑体" w:eastAsia="黑体"/>
          <w:color w:val="auto"/>
          <w:highlight w:val="none"/>
        </w:rPr>
      </w:pPr>
      <w:bookmarkStart w:id="113" w:name="_Toc10576"/>
      <w:bookmarkStart w:id="114" w:name="_Toc23452"/>
      <w:bookmarkStart w:id="115" w:name="_Toc661"/>
      <w:bookmarkStart w:id="116" w:name="_Toc4179"/>
      <w:r>
        <w:rPr>
          <w:rFonts w:hint="eastAsia" w:ascii="黑体" w:eastAsia="黑体"/>
          <w:color w:val="auto"/>
          <w:sz w:val="32"/>
          <w:szCs w:val="32"/>
          <w:highlight w:val="none"/>
        </w:rPr>
        <w:t>八、</w:t>
      </w:r>
      <w:r>
        <w:rPr>
          <w:rStyle w:val="23"/>
          <w:rFonts w:hint="eastAsia" w:ascii="黑体" w:hAnsi="黑体" w:eastAsia="黑体"/>
          <w:b w:val="0"/>
          <w:color w:val="auto"/>
          <w:highlight w:val="none"/>
        </w:rPr>
        <w:t>政府性基金预算支出决算情况说明</w:t>
      </w:r>
      <w:bookmarkEnd w:id="111"/>
      <w:bookmarkEnd w:id="112"/>
      <w:bookmarkEnd w:id="113"/>
      <w:bookmarkEnd w:id="114"/>
      <w:bookmarkEnd w:id="115"/>
      <w:bookmarkEnd w:id="11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lang w:eastAsia="zh-CN"/>
        </w:rPr>
        <w:t>。</w:t>
      </w:r>
    </w:p>
    <w:p>
      <w:pPr>
        <w:numPr>
          <w:ilvl w:val="0"/>
          <w:numId w:val="2"/>
        </w:numPr>
        <w:spacing w:line="600" w:lineRule="exact"/>
        <w:ind w:firstLine="640"/>
        <w:outlineLvl w:val="1"/>
        <w:rPr>
          <w:rStyle w:val="23"/>
          <w:rFonts w:ascii="黑体" w:hAnsi="黑体" w:eastAsia="黑体"/>
          <w:b w:val="0"/>
          <w:color w:val="auto"/>
          <w:highlight w:val="none"/>
        </w:rPr>
      </w:pPr>
      <w:bookmarkStart w:id="117" w:name="_Toc15396611"/>
      <w:bookmarkStart w:id="118" w:name="_Toc15377219"/>
      <w:bookmarkStart w:id="119" w:name="_Toc18511"/>
      <w:bookmarkStart w:id="120" w:name="_Toc23366"/>
      <w:bookmarkStart w:id="121" w:name="_Toc12525"/>
      <w:bookmarkStart w:id="122" w:name="_Toc23669"/>
      <w:r>
        <w:rPr>
          <w:rStyle w:val="23"/>
          <w:rFonts w:hint="eastAsia" w:ascii="黑体" w:hAnsi="黑体" w:eastAsia="黑体"/>
          <w:b w:val="0"/>
          <w:color w:val="auto"/>
          <w:highlight w:val="none"/>
        </w:rPr>
        <w:t>国有资本经营预算支出决算情况说明</w:t>
      </w:r>
      <w:bookmarkEnd w:id="117"/>
      <w:bookmarkEnd w:id="118"/>
      <w:bookmarkEnd w:id="119"/>
      <w:bookmarkEnd w:id="120"/>
      <w:bookmarkEnd w:id="121"/>
      <w:bookmarkEnd w:id="12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lang w:eastAsia="zh-CN"/>
        </w:rPr>
        <w:t>。</w:t>
      </w:r>
    </w:p>
    <w:p>
      <w:pPr>
        <w:numPr>
          <w:ilvl w:val="0"/>
          <w:numId w:val="2"/>
        </w:numPr>
        <w:spacing w:line="600" w:lineRule="exact"/>
        <w:ind w:firstLine="640"/>
        <w:outlineLvl w:val="1"/>
        <w:rPr>
          <w:rStyle w:val="23"/>
          <w:rFonts w:hint="eastAsia" w:ascii="黑体" w:hAnsi="黑体" w:eastAsia="黑体"/>
          <w:b w:val="0"/>
          <w:color w:val="auto"/>
          <w:highlight w:val="none"/>
        </w:rPr>
      </w:pPr>
      <w:bookmarkStart w:id="123" w:name="_Toc814"/>
      <w:bookmarkStart w:id="124" w:name="_Toc2015"/>
      <w:bookmarkStart w:id="125" w:name="_Toc24603"/>
      <w:bookmarkStart w:id="126" w:name="_Toc3960"/>
      <w:bookmarkStart w:id="127" w:name="_Toc15377221"/>
      <w:bookmarkStart w:id="128" w:name="_Toc15396612"/>
      <w:r>
        <w:rPr>
          <w:rStyle w:val="23"/>
          <w:rFonts w:hint="eastAsia" w:ascii="黑体" w:hAnsi="黑体" w:eastAsia="黑体"/>
          <w:b w:val="0"/>
          <w:color w:val="auto"/>
          <w:highlight w:val="none"/>
          <w:lang w:val="en-US" w:eastAsia="zh-CN"/>
        </w:rPr>
        <w:t>预算绩效管理情况</w:t>
      </w:r>
      <w:bookmarkEnd w:id="123"/>
      <w:bookmarkEnd w:id="124"/>
      <w:bookmarkEnd w:id="125"/>
      <w:bookmarkEnd w:id="126"/>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离退休人员社会化服务管理工作经费、全民参保工作经费、委托稽核工作经费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3"/>
          <w:rFonts w:hint="eastAsia" w:ascii="黑体" w:hAnsi="黑体" w:eastAsia="黑体"/>
          <w:b w:val="0"/>
          <w:color w:val="auto"/>
          <w:highlight w:val="none"/>
        </w:rPr>
      </w:pPr>
      <w:bookmarkStart w:id="129" w:name="_Toc30127"/>
      <w:bookmarkStart w:id="130" w:name="_Toc25503"/>
      <w:bookmarkStart w:id="131" w:name="_Toc5788"/>
      <w:bookmarkStart w:id="132" w:name="_Toc11327"/>
      <w:r>
        <w:rPr>
          <w:rStyle w:val="23"/>
          <w:rFonts w:hint="eastAsia" w:ascii="黑体" w:hAnsi="黑体" w:eastAsia="黑体"/>
          <w:b w:val="0"/>
          <w:color w:val="auto"/>
          <w:highlight w:val="none"/>
        </w:rPr>
        <w:t>其他重要事项的情况说明</w:t>
      </w:r>
      <w:bookmarkEnd w:id="127"/>
      <w:bookmarkEnd w:id="128"/>
      <w:bookmarkEnd w:id="129"/>
      <w:bookmarkEnd w:id="130"/>
      <w:bookmarkEnd w:id="131"/>
      <w:bookmarkEnd w:id="132"/>
    </w:p>
    <w:p>
      <w:pPr>
        <w:spacing w:line="600" w:lineRule="exact"/>
        <w:ind w:firstLine="641" w:firstLineChars="200"/>
        <w:outlineLvl w:val="2"/>
        <w:rPr>
          <w:rFonts w:hint="eastAsia" w:ascii="楷体" w:hAnsi="楷体" w:eastAsia="楷体" w:cs="楷体"/>
          <w:b/>
          <w:color w:val="auto"/>
          <w:sz w:val="32"/>
          <w:szCs w:val="32"/>
          <w:highlight w:val="none"/>
        </w:rPr>
      </w:pPr>
      <w:bookmarkStart w:id="133" w:name="_Toc20502"/>
      <w:bookmarkStart w:id="134" w:name="_Toc11843"/>
      <w:bookmarkStart w:id="135" w:name="_Toc15377222"/>
      <w:bookmarkStart w:id="136" w:name="_Toc12180"/>
      <w:r>
        <w:rPr>
          <w:rFonts w:hint="eastAsia" w:ascii="楷体" w:hAnsi="楷体" w:eastAsia="楷体" w:cs="楷体"/>
          <w:b/>
          <w:color w:val="auto"/>
          <w:sz w:val="32"/>
          <w:szCs w:val="32"/>
          <w:highlight w:val="none"/>
        </w:rPr>
        <w:t>（一）机关运行经费支出情况</w:t>
      </w:r>
      <w:bookmarkEnd w:id="133"/>
      <w:bookmarkEnd w:id="134"/>
      <w:bookmarkEnd w:id="135"/>
      <w:bookmarkEnd w:id="13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广元市社会保险事务中心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144.17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40.31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21.85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厉行节约，严格控制了公用经费支出。</w:t>
      </w:r>
    </w:p>
    <w:p>
      <w:pPr>
        <w:spacing w:line="600" w:lineRule="exact"/>
        <w:ind w:firstLine="641" w:firstLineChars="200"/>
        <w:outlineLvl w:val="2"/>
        <w:rPr>
          <w:rFonts w:hint="eastAsia" w:ascii="楷体" w:hAnsi="楷体" w:eastAsia="楷体" w:cs="楷体"/>
          <w:b/>
          <w:color w:val="auto"/>
          <w:sz w:val="32"/>
          <w:szCs w:val="32"/>
          <w:highlight w:val="none"/>
        </w:rPr>
      </w:pPr>
      <w:bookmarkStart w:id="137" w:name="_Toc25229"/>
      <w:bookmarkStart w:id="138" w:name="_Toc15377223"/>
      <w:bookmarkStart w:id="139" w:name="_Toc18414"/>
      <w:bookmarkStart w:id="140" w:name="_Toc20844"/>
      <w:r>
        <w:rPr>
          <w:rFonts w:hint="eastAsia" w:ascii="楷体" w:hAnsi="楷体" w:eastAsia="楷体" w:cs="楷体"/>
          <w:b/>
          <w:color w:val="auto"/>
          <w:sz w:val="32"/>
          <w:szCs w:val="32"/>
          <w:highlight w:val="none"/>
        </w:rPr>
        <w:t>（二）政府采购支出情况</w:t>
      </w:r>
      <w:bookmarkEnd w:id="137"/>
      <w:bookmarkEnd w:id="138"/>
      <w:bookmarkEnd w:id="139"/>
      <w:bookmarkEnd w:id="140"/>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广元市社会保险事务中心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采购办公设备，</w:t>
      </w:r>
      <w:r>
        <w:rPr>
          <w:rFonts w:hint="eastAsia" w:ascii="仿宋_GB2312" w:eastAsia="仿宋_GB2312"/>
          <w:color w:val="auto"/>
          <w:sz w:val="32"/>
          <w:szCs w:val="32"/>
          <w:highlight w:val="none"/>
        </w:rPr>
        <w:t>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1" w:firstLineChars="200"/>
        <w:outlineLvl w:val="2"/>
        <w:rPr>
          <w:rFonts w:hint="eastAsia" w:ascii="楷体" w:hAnsi="楷体" w:eastAsia="楷体" w:cs="楷体"/>
          <w:b/>
          <w:color w:val="auto"/>
          <w:sz w:val="32"/>
          <w:szCs w:val="32"/>
          <w:highlight w:val="none"/>
        </w:rPr>
      </w:pPr>
      <w:bookmarkStart w:id="141" w:name="_Toc15377224"/>
      <w:bookmarkStart w:id="142" w:name="_Toc13515"/>
      <w:bookmarkStart w:id="143" w:name="_Toc5229"/>
      <w:bookmarkStart w:id="144" w:name="_Toc10505"/>
      <w:r>
        <w:rPr>
          <w:rFonts w:hint="eastAsia" w:ascii="楷体" w:hAnsi="楷体" w:eastAsia="楷体" w:cs="楷体"/>
          <w:b/>
          <w:color w:val="auto"/>
          <w:sz w:val="32"/>
          <w:szCs w:val="32"/>
          <w:highlight w:val="none"/>
        </w:rPr>
        <w:t>（三）国有资产占有使用情况</w:t>
      </w:r>
      <w:bookmarkEnd w:id="141"/>
      <w:bookmarkEnd w:id="142"/>
      <w:bookmarkEnd w:id="143"/>
      <w:bookmarkEnd w:id="14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广元市社会保险事务中心无国有资产占有使用。</w:t>
      </w: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numPr>
          <w:ilvl w:val="0"/>
          <w:numId w:val="3"/>
        </w:numPr>
        <w:spacing w:line="240" w:lineRule="auto"/>
        <w:ind w:firstLine="0" w:firstLineChars="0"/>
        <w:jc w:val="center"/>
        <w:outlineLvl w:val="0"/>
        <w:rPr>
          <w:rStyle w:val="35"/>
          <w:rFonts w:ascii="黑体" w:hAnsi="黑体" w:eastAsia="黑体"/>
          <w:b w:val="0"/>
          <w:color w:val="auto"/>
          <w:highlight w:val="none"/>
        </w:rPr>
      </w:pPr>
      <w:bookmarkStart w:id="145" w:name="_Toc15396613"/>
      <w:bookmarkStart w:id="146" w:name="_Toc30558"/>
      <w:bookmarkStart w:id="147" w:name="_Toc15377225"/>
      <w:bookmarkStart w:id="148" w:name="_Toc17014"/>
      <w:bookmarkStart w:id="149" w:name="_Toc21724"/>
      <w:bookmarkStart w:id="150" w:name="_Toc2960"/>
      <w:r>
        <w:rPr>
          <w:rFonts w:hint="eastAsia" w:ascii="黑体" w:hAnsi="黑体" w:eastAsia="黑体"/>
          <w:color w:val="auto"/>
          <w:sz w:val="44"/>
          <w:szCs w:val="44"/>
          <w:highlight w:val="none"/>
        </w:rPr>
        <w:t>名</w:t>
      </w:r>
      <w:r>
        <w:rPr>
          <w:rStyle w:val="35"/>
          <w:rFonts w:hint="eastAsia" w:ascii="黑体" w:hAnsi="黑体" w:eastAsia="黑体"/>
          <w:b w:val="0"/>
          <w:color w:val="auto"/>
          <w:highlight w:val="none"/>
        </w:rPr>
        <w:t>词解释</w:t>
      </w:r>
      <w:bookmarkEnd w:id="145"/>
      <w:bookmarkEnd w:id="146"/>
      <w:bookmarkEnd w:id="147"/>
      <w:bookmarkEnd w:id="148"/>
      <w:bookmarkEnd w:id="149"/>
      <w:bookmarkEnd w:id="150"/>
    </w:p>
    <w:p>
      <w:pPr>
        <w:spacing w:line="600" w:lineRule="exact"/>
        <w:jc w:val="left"/>
        <w:rPr>
          <w:rFonts w:ascii="宋体"/>
          <w:b/>
          <w:color w:val="auto"/>
          <w:sz w:val="44"/>
          <w:szCs w:val="44"/>
          <w:highlight w:val="none"/>
        </w:rPr>
      </w:pPr>
    </w:p>
    <w:p>
      <w:pPr>
        <w:pStyle w:val="21"/>
        <w:spacing w:line="560" w:lineRule="exact"/>
        <w:ind w:firstLine="640" w:firstLineChars="200"/>
        <w:rPr>
          <w:rFonts w:ascii="仿宋_GB2312" w:eastAsia="仿宋_GB2312"/>
          <w:sz w:val="32"/>
          <w:szCs w:val="32"/>
        </w:rPr>
      </w:pPr>
      <w:bookmarkStart w:id="151"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.社会保障和就业支出（类）人力资源和社会保障管理事务（款）社会保险经办机构（项）:</w:t>
      </w:r>
      <w:r>
        <w:rPr>
          <w:rFonts w:hint="eastAsia" w:ascii="仿宋_GB2312" w:eastAsia="仿宋_GB2312"/>
          <w:color w:val="000000"/>
          <w:sz w:val="32"/>
          <w:szCs w:val="32"/>
        </w:rPr>
        <w:t>指社会保险经办机构开展业务工作的支出。</w:t>
      </w:r>
      <w:r>
        <w:rPr>
          <w:rFonts w:hint="eastAsia" w:ascii="仿宋_GB2312" w:eastAsia="仿宋_GB2312"/>
          <w:sz w:val="32"/>
          <w:szCs w:val="32"/>
        </w:rPr>
        <w:t xml:space="preserve">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.社会保障和就业支出（类）行政事业单位养老支出（款）机关事业单位基本养老保险缴费支出（项）: 指机关事业单位实施养老保险制度由单位缴纳的基本养老保险费支出。</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xml:space="preserve">.社会保障和就业支出（类）行政事业单位养老支出（款）机关事业单位职业年金缴费支出（项）:反映机关事业单位实施养老保险制度由单位实际缴纳的职业年金支出。 </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.社会保障和就业支出（类）抚恤（款）死亡抚恤（项）:指反映按规定用于烈士和牺牲、病故人员家属的一次性和定期抚恤金以及丧葬补助费。</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8</w:t>
      </w:r>
      <w:r>
        <w:rPr>
          <w:rFonts w:hint="eastAsia" w:ascii="仿宋_GB2312" w:eastAsia="仿宋_GB2312"/>
          <w:sz w:val="32"/>
          <w:szCs w:val="32"/>
        </w:rPr>
        <w:t xml:space="preserve">.卫生健康支出（类）行政事业单位医疗（款）事业单位医疗（项）:指反映财政部门集中安排的行政单位基本医疗保险缴费经费。 </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w:t>
      </w:r>
      <w:r>
        <w:rPr>
          <w:rFonts w:hint="eastAsia" w:ascii="仿宋_GB2312" w:eastAsia="仿宋_GB2312"/>
          <w:sz w:val="32"/>
          <w:szCs w:val="32"/>
          <w:lang w:eastAsia="zh-CN"/>
        </w:rPr>
        <w:t>劳务费、工会经费、培训费等。</w:t>
      </w:r>
    </w:p>
    <w:p>
      <w:pPr>
        <w:spacing w:line="600" w:lineRule="exact"/>
        <w:jc w:val="center"/>
        <w:outlineLvl w:val="0"/>
        <w:rPr>
          <w:rStyle w:val="35"/>
          <w:rFonts w:ascii="黑体" w:hAnsi="黑体" w:eastAsia="黑体"/>
          <w:b w:val="0"/>
          <w:color w:val="auto"/>
          <w:highlight w:val="none"/>
        </w:rPr>
      </w:pPr>
      <w:r>
        <w:rPr>
          <w:rFonts w:ascii="宋体"/>
          <w:b/>
          <w:color w:val="auto"/>
          <w:sz w:val="44"/>
          <w:szCs w:val="44"/>
          <w:highlight w:val="none"/>
        </w:rPr>
        <w:br w:type="page"/>
      </w:r>
      <w:bookmarkStart w:id="152" w:name="_Toc30320"/>
      <w:bookmarkStart w:id="153" w:name="_Toc26701"/>
      <w:bookmarkStart w:id="154" w:name="_Toc7450"/>
      <w:bookmarkStart w:id="155" w:name="_Toc15396614"/>
      <w:bookmarkStart w:id="156" w:name="_Toc1404"/>
      <w:r>
        <w:rPr>
          <w:rFonts w:hint="eastAsia" w:ascii="黑体" w:hAnsi="黑体" w:eastAsia="黑体"/>
          <w:color w:val="auto"/>
          <w:sz w:val="44"/>
          <w:szCs w:val="44"/>
          <w:highlight w:val="none"/>
        </w:rPr>
        <w:t>第</w:t>
      </w:r>
      <w:r>
        <w:rPr>
          <w:rStyle w:val="35"/>
          <w:rFonts w:hint="eastAsia" w:ascii="黑体" w:hAnsi="黑体" w:eastAsia="黑体"/>
          <w:b w:val="0"/>
          <w:color w:val="auto"/>
          <w:highlight w:val="none"/>
        </w:rPr>
        <w:t>四部分 附件</w:t>
      </w:r>
      <w:bookmarkEnd w:id="152"/>
      <w:bookmarkEnd w:id="153"/>
      <w:bookmarkEnd w:id="154"/>
      <w:bookmarkEnd w:id="155"/>
      <w:bookmarkEnd w:id="156"/>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jc w:val="center"/>
        <w:rPr>
          <w:rFonts w:hint="eastAsia" w:ascii="宋体" w:hAnsi="宋体" w:eastAsia="宋体" w:cs="宋体"/>
          <w:b/>
          <w:bCs/>
          <w:sz w:val="40"/>
          <w:szCs w:val="40"/>
          <w:lang w:val="zh-CN" w:eastAsia="zh-CN"/>
        </w:rPr>
      </w:pPr>
      <w:r>
        <w:rPr>
          <w:rFonts w:hint="eastAsia" w:ascii="宋体" w:hAnsi="宋体" w:eastAsia="宋体" w:cs="宋体"/>
          <w:b/>
          <w:bCs/>
          <w:sz w:val="40"/>
          <w:szCs w:val="40"/>
          <w:lang w:val="en-US" w:eastAsia="zh-CN"/>
        </w:rPr>
        <w:t>2022年</w:t>
      </w:r>
      <w:r>
        <w:rPr>
          <w:rFonts w:hint="eastAsia" w:ascii="宋体" w:hAnsi="宋体" w:eastAsia="宋体" w:cs="宋体"/>
          <w:b/>
          <w:bCs/>
          <w:sz w:val="40"/>
          <w:szCs w:val="40"/>
          <w:lang w:val="zh-CN" w:eastAsia="zh-CN"/>
        </w:rPr>
        <w:t>专项预算项目支出绩效自评报告</w:t>
      </w:r>
    </w:p>
    <w:p>
      <w:pPr>
        <w:widowControl w:val="0"/>
        <w:wordWrap/>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widowControl w:val="0"/>
        <w:numPr>
          <w:ilvl w:val="0"/>
          <w:numId w:val="0"/>
        </w:numPr>
        <w:wordWrap/>
        <w:adjustRightInd/>
        <w:snapToGrid/>
        <w:jc w:val="center"/>
        <w:textAlignment w:val="auto"/>
        <w:outlineLvl w:val="1"/>
        <w:rPr>
          <w:rFonts w:hint="default" w:ascii="黑体" w:hAnsi="黑体" w:eastAsia="黑体" w:cs="黑体"/>
          <w:sz w:val="32"/>
          <w:szCs w:val="32"/>
          <w:lang w:val="en-US" w:eastAsia="zh-CN"/>
        </w:rPr>
      </w:pPr>
      <w:bookmarkStart w:id="157" w:name="_Toc10467"/>
      <w:bookmarkStart w:id="158" w:name="_Toc26543"/>
      <w:bookmarkStart w:id="159" w:name="_Toc15867"/>
      <w:bookmarkStart w:id="160" w:name="_Toc653"/>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离退休人员社会化管理服务工作专项经费</w:t>
      </w:r>
      <w:r>
        <w:rPr>
          <w:rFonts w:hint="eastAsia" w:ascii="黑体" w:hAnsi="黑体" w:eastAsia="黑体" w:cs="黑体"/>
          <w:sz w:val="32"/>
          <w:szCs w:val="32"/>
          <w:lang w:val="en-US" w:eastAsia="zh-CN"/>
        </w:rPr>
        <w:t>）</w:t>
      </w:r>
      <w:bookmarkEnd w:id="157"/>
      <w:bookmarkEnd w:id="158"/>
      <w:bookmarkEnd w:id="159"/>
      <w:bookmarkEnd w:id="160"/>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一、项目概况</w:t>
      </w:r>
    </w:p>
    <w:p>
      <w:pPr>
        <w:wordWrap/>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中央、省、市相关文件精神，为进一步加强离退休人员社会化管理服务工作，2007年，广元市劳动和社会保障局、广元市财政局印发《广元市基本养老保险市级统筹实施意见》（广劳社〔2007〕107号），文件审定将退休人员社会化管理服务费40元/人/年列入预算。该专项经费用于退休人员纳入社区管理、个人档案管理、养老金领取资格认证、预防冒领、文化活动、节日慰问等社会化管理服务工作，指导县区开展退休人员社会化管理服务工作，确保社会化管理服务工作正常进行。</w:t>
      </w:r>
    </w:p>
    <w:p>
      <w:pPr>
        <w:wordWrap/>
        <w:spacing w:line="576" w:lineRule="exact"/>
        <w:ind w:firstLine="640" w:firstLineChars="200"/>
        <w:textAlignment w:val="auto"/>
        <w:rPr>
          <w:rFonts w:ascii="仿宋_GB2312" w:hAnsi="宋体"/>
          <w:b w:val="0"/>
          <w:bCs w:val="0"/>
          <w:lang w:val="zh-CN"/>
        </w:rPr>
      </w:pPr>
      <w:r>
        <w:rPr>
          <w:rFonts w:hint="eastAsia" w:ascii="楷体_GB2312" w:hAnsi="宋体" w:eastAsia="楷体_GB2312" w:cs="Times New Roman"/>
          <w:b w:val="0"/>
          <w:bCs w:val="0"/>
          <w:sz w:val="32"/>
          <w:szCs w:val="32"/>
          <w:lang w:val="zh-CN"/>
        </w:rPr>
        <w:t>（一）项目资金申报及批复情况。</w:t>
      </w:r>
      <w:r>
        <w:rPr>
          <w:rFonts w:hint="eastAsia" w:ascii="仿宋_GB2312" w:eastAsia="仿宋_GB2312"/>
          <w:sz w:val="32"/>
          <w:szCs w:val="32"/>
          <w:lang w:val="en-US" w:eastAsia="zh-CN"/>
        </w:rPr>
        <w:t>该项目纳入年初部门预算中，年初申报资金68万元，批复资金68万元。</w:t>
      </w:r>
    </w:p>
    <w:p>
      <w:pPr>
        <w:widowControl w:val="0"/>
        <w:wordWrap/>
        <w:adjustRightInd w:val="0"/>
        <w:snapToGrid w:val="0"/>
        <w:spacing w:line="576" w:lineRule="exact"/>
        <w:ind w:firstLine="720"/>
        <w:textAlignment w:val="auto"/>
        <w:rPr>
          <w:rFonts w:ascii="仿宋_GB2312" w:hAnsi="宋体"/>
          <w:b w:val="0"/>
          <w:bCs w:val="0"/>
          <w:lang w:val="zh-CN"/>
        </w:rPr>
      </w:pPr>
      <w:r>
        <w:rPr>
          <w:rFonts w:hint="eastAsia" w:ascii="楷体_GB2312" w:hAnsi="宋体" w:eastAsia="楷体_GB2312" w:cs="Times New Roman"/>
          <w:b w:val="0"/>
          <w:bCs w:val="0"/>
          <w:sz w:val="32"/>
          <w:szCs w:val="32"/>
          <w:lang w:val="zh-CN"/>
        </w:rPr>
        <w:t>（二）项目绩效目标。</w:t>
      </w:r>
      <w:r>
        <w:rPr>
          <w:rFonts w:hint="eastAsia" w:ascii="仿宋_GB2312" w:eastAsia="仿宋_GB2312"/>
          <w:sz w:val="32"/>
          <w:szCs w:val="32"/>
          <w:lang w:val="en-US" w:eastAsia="zh-CN"/>
        </w:rPr>
        <w:t>保证离退休人员社会化管理服务工作正常开展，同时，采取多种方式防止离退休人员死亡不报、重复计领、个人冒领，确保基金安全完整。推进我市企业退休人员社会化管理服务工作，构建和谐广元，维护社会稳定。</w:t>
      </w:r>
    </w:p>
    <w:p>
      <w:pPr>
        <w:widowControl w:val="0"/>
        <w:wordWrap/>
        <w:adjustRightInd w:val="0"/>
        <w:snapToGrid w:val="0"/>
        <w:spacing w:line="576" w:lineRule="exact"/>
        <w:ind w:firstLine="720"/>
        <w:textAlignment w:val="auto"/>
        <w:rPr>
          <w:rFonts w:hint="eastAsia" w:ascii="仿宋_GB2312" w:hAnsi="Times New Roman" w:eastAsia="仿宋_GB2312" w:cs="Times New Roman"/>
          <w:sz w:val="32"/>
          <w:szCs w:val="32"/>
          <w:lang w:val="zh-CN" w:eastAsia="zh-CN"/>
        </w:rPr>
      </w:pPr>
      <w:r>
        <w:rPr>
          <w:rFonts w:hint="eastAsia" w:ascii="楷体_GB2312" w:hAnsi="宋体" w:eastAsia="楷体_GB2312" w:cs="Times New Roman"/>
          <w:b w:val="0"/>
          <w:bCs w:val="0"/>
          <w:sz w:val="32"/>
          <w:szCs w:val="32"/>
          <w:lang w:val="zh-CN"/>
        </w:rPr>
        <w:t>（三）项目资金申报相符性。</w:t>
      </w:r>
      <w:r>
        <w:rPr>
          <w:rFonts w:hint="eastAsia" w:ascii="仿宋_GB2312" w:hAnsi="Times New Roman" w:eastAsia="仿宋_GB2312" w:cs="Times New Roman"/>
          <w:sz w:val="32"/>
          <w:szCs w:val="32"/>
          <w:lang w:val="zh-CN" w:eastAsia="zh-CN"/>
        </w:rPr>
        <w:t>该项目申报内容与具体实施内容相符、申报目标合理可行。</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二、项目实施及管理情况</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（一）资金计划、到位及使用情况。</w:t>
      </w:r>
    </w:p>
    <w:p>
      <w:pPr>
        <w:wordWrap/>
        <w:spacing w:line="576"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zh-CN" w:eastAsia="zh-CN"/>
        </w:rPr>
        <w:t>1</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zh-CN" w:eastAsia="zh-CN"/>
        </w:rPr>
        <w:t>资金计划及到位。该项目资金</w:t>
      </w:r>
      <w:r>
        <w:rPr>
          <w:rFonts w:hint="eastAsia" w:ascii="仿宋_GB2312" w:hAnsi="Times New Roman" w:eastAsia="仿宋_GB2312" w:cs="Times New Roman"/>
          <w:sz w:val="32"/>
          <w:szCs w:val="32"/>
          <w:lang w:val="en-US" w:eastAsia="zh-CN"/>
        </w:rPr>
        <w:t>3月下达。</w:t>
      </w:r>
    </w:p>
    <w:p>
      <w:pPr>
        <w:wordWrap/>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zh-CN" w:eastAsia="zh-CN"/>
        </w:rPr>
        <w:t>2</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zh-CN" w:eastAsia="zh-CN"/>
        </w:rPr>
        <w:t>资金使用。该项目资金</w:t>
      </w:r>
      <w:r>
        <w:rPr>
          <w:rFonts w:hint="eastAsia" w:ascii="仿宋_GB2312" w:hAnsi="Times New Roman" w:eastAsia="仿宋_GB2312" w:cs="Times New Roman"/>
          <w:sz w:val="32"/>
          <w:szCs w:val="32"/>
          <w:lang w:val="en-US" w:eastAsia="zh-CN"/>
        </w:rPr>
        <w:t>主要用于：</w:t>
      </w:r>
      <w:r>
        <w:rPr>
          <w:rFonts w:hint="eastAsia" w:ascii="仿宋_GB2312" w:eastAsia="仿宋_GB2312"/>
          <w:sz w:val="32"/>
          <w:szCs w:val="32"/>
          <w:lang w:val="en-US" w:eastAsia="zh-CN"/>
        </w:rPr>
        <w:t>（1）档案整理、调阅查询、档案管理人员劳务费；（2）退休人员重大节日活动、生病慰问、丧事协办费；（3）政策宣传、活动报道等；对高龄残疾群体、无认证反馈的离退休人员开展上门认证、核查，对冒领养老金追收等。</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（二）项目财务管理情况。</w:t>
      </w:r>
    </w:p>
    <w:p>
      <w:pPr>
        <w:widowControl w:val="0"/>
        <w:wordWrap/>
        <w:adjustRightInd w:val="0"/>
        <w:snapToGrid w:val="0"/>
        <w:spacing w:line="576" w:lineRule="exact"/>
        <w:ind w:firstLine="720"/>
        <w:textAlignment w:val="auto"/>
        <w:rPr>
          <w:rFonts w:ascii="仿宋_GB2312" w:hAnsi="宋体"/>
          <w:b w:val="0"/>
          <w:bCs w:val="0"/>
          <w:lang w:val="zh-CN"/>
        </w:rPr>
      </w:pPr>
      <w:r>
        <w:rPr>
          <w:rFonts w:hint="eastAsia" w:ascii="仿宋_GB2312" w:eastAsia="仿宋_GB2312"/>
          <w:sz w:val="32"/>
          <w:szCs w:val="32"/>
          <w:lang w:val="en-US" w:eastAsia="zh-CN"/>
        </w:rPr>
        <w:t>该项目经费采用授权支付和直接支付形式，由市社保中心严格按照项目资金管理办法对资金进行计划申请、使用，及时、规范对收支进行账务处理和会计核算。</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（三）项目组织实施情况。</w:t>
      </w:r>
    </w:p>
    <w:p>
      <w:pPr>
        <w:wordWrap/>
        <w:spacing w:line="576" w:lineRule="exact"/>
        <w:ind w:firstLine="640" w:firstLineChars="200"/>
        <w:textAlignment w:val="auto"/>
        <w:rPr>
          <w:rFonts w:hint="eastAsia" w:ascii="楷体_GB2312" w:hAnsi="微软雅黑" w:eastAsia="楷体_GB2312" w:cs="楷体_GB2312"/>
          <w:b/>
          <w:i w:val="0"/>
          <w:caps w:val="0"/>
          <w:color w:val="000000"/>
          <w:spacing w:val="0"/>
          <w:kern w:val="0"/>
          <w:sz w:val="32"/>
          <w:szCs w:val="32"/>
          <w:shd w:val="clear" w:color="auto" w:fill="FFFFFF"/>
          <w:lang w:val="en-US" w:eastAsia="zh-CN"/>
        </w:rPr>
      </w:pPr>
      <w:r>
        <w:rPr>
          <w:rFonts w:hint="eastAsia" w:ascii="仿宋_GB2312" w:eastAsia="仿宋_GB2312"/>
          <w:sz w:val="32"/>
          <w:szCs w:val="32"/>
          <w:lang w:val="en-US" w:eastAsia="zh-CN"/>
        </w:rPr>
        <w:t>该项目主要由社会化服务科组织实施，全体成员积极配合、通力合作</w:t>
      </w:r>
      <w:r>
        <w:rPr>
          <w:rFonts w:hint="eastAsia" w:ascii="仿宋_GB2312"/>
          <w:sz w:val="32"/>
          <w:szCs w:val="32"/>
          <w:lang w:val="en-US" w:eastAsia="zh-CN"/>
        </w:rPr>
        <w:t>，</w:t>
      </w:r>
      <w:r>
        <w:rPr>
          <w:rFonts w:hint="eastAsia" w:ascii="仿宋_GB2312" w:eastAsia="仿宋_GB2312"/>
          <w:sz w:val="32"/>
          <w:szCs w:val="32"/>
          <w:lang w:val="en-US" w:eastAsia="zh-CN"/>
        </w:rPr>
        <w:t>基金财务科配合项目实施及资金管理</w:t>
      </w:r>
      <w:r>
        <w:rPr>
          <w:rFonts w:hint="eastAsia" w:ascii="仿宋_GB2312"/>
          <w:sz w:val="32"/>
          <w:szCs w:val="32"/>
          <w:lang w:val="en-US" w:eastAsia="zh-CN"/>
        </w:rPr>
        <w:t>，</w:t>
      </w:r>
      <w:r>
        <w:rPr>
          <w:rFonts w:hint="eastAsia" w:ascii="仿宋_GB2312" w:eastAsia="仿宋_GB2312"/>
          <w:sz w:val="32"/>
          <w:szCs w:val="32"/>
          <w:lang w:val="en-US" w:eastAsia="zh-CN"/>
        </w:rPr>
        <w:t>根据《财务管理制度》严格票据审核，对项目实施进行绩效监控。</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三、项目绩效情况</w:t>
      </w:r>
      <w:r>
        <w:rPr>
          <w:rFonts w:hint="eastAsia" w:ascii="黑体" w:hAnsi="宋体" w:eastAsia="黑体" w:cs="Times New Roman"/>
          <w:b w:val="0"/>
          <w:bCs w:val="0"/>
          <w:sz w:val="32"/>
          <w:szCs w:val="32"/>
          <w:lang w:val="zh-CN"/>
        </w:rPr>
        <w:tab/>
      </w:r>
    </w:p>
    <w:p>
      <w:pPr>
        <w:widowControl w:val="0"/>
        <w:wordWrap/>
        <w:adjustRightInd w:val="0"/>
        <w:snapToGrid w:val="0"/>
        <w:spacing w:line="576" w:lineRule="exact"/>
        <w:ind w:firstLine="720"/>
        <w:textAlignment w:val="auto"/>
        <w:rPr>
          <w:rFonts w:ascii="仿宋_GB2312" w:eastAsia="仿宋_GB2312"/>
          <w:sz w:val="32"/>
          <w:szCs w:val="32"/>
        </w:rPr>
      </w:pPr>
      <w:r>
        <w:rPr>
          <w:rFonts w:hint="eastAsia" w:ascii="楷体_GB2312" w:hAnsi="宋体" w:eastAsia="楷体_GB2312" w:cs="Times New Roman"/>
          <w:b w:val="0"/>
          <w:bCs w:val="0"/>
          <w:sz w:val="32"/>
          <w:szCs w:val="32"/>
          <w:lang w:val="zh-CN"/>
        </w:rPr>
        <w:t>（一）项目完成情况。</w:t>
      </w:r>
      <w:r>
        <w:rPr>
          <w:rFonts w:hint="eastAsia" w:ascii="仿宋_GB2312" w:hAnsi="Times New Roman" w:eastAsia="仿宋_GB2312" w:cs="Times New Roman"/>
          <w:sz w:val="32"/>
          <w:szCs w:val="32"/>
          <w:lang w:val="en-US" w:eastAsia="zh-CN"/>
        </w:rPr>
        <w:t>2021</w:t>
      </w:r>
      <w:r>
        <w:rPr>
          <w:rFonts w:hint="eastAsia" w:ascii="仿宋_GB2312"/>
          <w:sz w:val="32"/>
          <w:szCs w:val="32"/>
          <w:lang w:val="en-US" w:eastAsia="zh-CN"/>
        </w:rPr>
        <w:t>年</w:t>
      </w:r>
      <w:r>
        <w:rPr>
          <w:rFonts w:hint="eastAsia" w:ascii="仿宋_GB2312" w:eastAsia="仿宋_GB2312"/>
          <w:sz w:val="32"/>
          <w:szCs w:val="32"/>
        </w:rPr>
        <w:t>平稳有序地完成了全市2016-2020年退休的11659名“中人”新待遇核定及补发工作，补发养老金36516.34万元。为7家转企改制单位58名退休“中人”办理了养老金待遇补差，发放养老金待遇补差金额合计120万余元。圆满完成待遇调整工作，全市共计为20.3万名企业退休人员、3.37万名机关事业单位退休人员和1192名工伤职工进行定期待遇政策性调整，分别补发调整待遇1.25亿元、3578万元、174.51万元。规范执行原广旺集团公司养老待遇，对前期已登记核实建账时间有误的两批次共384人进行待遇重算，至2021年11月共计补发2374.72万元。积极开展社会化服务，大力推行“四川人社”APP自助认证方式，组成工作队深入荣山、宝轮等9个乡镇、街道、社区，围绕养老保险待遇领取资格认证相关工作开展业务指导和政策宣传。动态建立高龄、瘫痪和盲人等特殊人群社保待遇领取资格认证工作台账，为32人次提供视频认证、上门认证等人性化认证服务。</w:t>
      </w:r>
      <w:r>
        <w:rPr>
          <w:rFonts w:hint="eastAsia" w:ascii="仿宋_GB2312"/>
          <w:sz w:val="32"/>
          <w:szCs w:val="32"/>
          <w:lang w:val="en-US" w:eastAsia="zh-CN"/>
        </w:rPr>
        <w:t>2021年</w:t>
      </w:r>
      <w:r>
        <w:rPr>
          <w:rFonts w:hint="eastAsia" w:ascii="仿宋_GB2312" w:eastAsia="仿宋_GB2312"/>
          <w:sz w:val="32"/>
          <w:szCs w:val="32"/>
        </w:rPr>
        <w:t>全市企业职工基本养老保险累计发放养老金53.21亿元（市本级累计发放17.54亿元），机关事业单位养老保险累计发放养老金25.64亿元（市本级累计发放4.61亿元），城乡居民养老保险累计发放养老金7.18亿元，按时足额发放率100%。</w:t>
      </w:r>
    </w:p>
    <w:p>
      <w:pPr>
        <w:wordWrap/>
        <w:spacing w:line="576" w:lineRule="exact"/>
        <w:ind w:firstLine="640" w:firstLineChars="200"/>
        <w:textAlignment w:val="auto"/>
        <w:rPr>
          <w:rFonts w:hint="default" w:ascii="仿宋_GB2312" w:eastAsia="仿宋_GB2312"/>
          <w:spacing w:val="2"/>
          <w:sz w:val="32"/>
          <w:szCs w:val="32"/>
          <w:lang w:val="en-US" w:eastAsia="zh-CN"/>
        </w:rPr>
      </w:pPr>
      <w:r>
        <w:rPr>
          <w:rFonts w:hint="eastAsia" w:ascii="楷体_GB2312" w:hAnsi="宋体" w:eastAsia="楷体_GB2312" w:cs="Times New Roman"/>
          <w:b w:val="0"/>
          <w:bCs w:val="0"/>
          <w:sz w:val="32"/>
          <w:szCs w:val="32"/>
          <w:lang w:val="zh-CN"/>
        </w:rPr>
        <w:t>（二）项目效益情况。</w:t>
      </w:r>
      <w:r>
        <w:rPr>
          <w:rFonts w:hint="eastAsia" w:ascii="仿宋_GB2312" w:eastAsia="仿宋_GB2312"/>
          <w:sz w:val="32"/>
          <w:szCs w:val="32"/>
          <w:lang w:val="en-US" w:eastAsia="zh-CN"/>
        </w:rPr>
        <w:t>经济效益指标:保证了</w:t>
      </w:r>
      <w:r>
        <w:rPr>
          <w:rFonts w:hint="eastAsia" w:ascii="仿宋_GB2312" w:hAnsi="仿宋_GB2312" w:eastAsia="仿宋_GB2312" w:cs="仿宋_GB2312"/>
          <w:color w:val="000000"/>
          <w:spacing w:val="-4"/>
          <w:sz w:val="32"/>
          <w:szCs w:val="32"/>
        </w:rPr>
        <w:t>社会化管理服务工作</w:t>
      </w:r>
      <w:r>
        <w:rPr>
          <w:rFonts w:hint="eastAsia" w:ascii="仿宋_GB2312" w:hAnsi="仿宋_GB2312" w:eastAsia="仿宋_GB2312" w:cs="仿宋_GB2312"/>
          <w:color w:val="000000"/>
          <w:spacing w:val="-4"/>
          <w:sz w:val="32"/>
          <w:szCs w:val="32"/>
          <w:lang w:eastAsia="zh-CN"/>
        </w:rPr>
        <w:t>顺利</w:t>
      </w:r>
      <w:r>
        <w:rPr>
          <w:rFonts w:hint="eastAsia" w:ascii="仿宋_GB2312" w:hAnsi="仿宋_GB2312" w:eastAsia="仿宋_GB2312" w:cs="仿宋_GB2312"/>
          <w:color w:val="000000"/>
          <w:spacing w:val="-4"/>
          <w:sz w:val="32"/>
          <w:szCs w:val="32"/>
        </w:rPr>
        <w:t>开展</w:t>
      </w:r>
      <w:r>
        <w:rPr>
          <w:rFonts w:hint="eastAsia" w:ascii="仿宋_GB2312" w:hAnsi="仿宋_GB2312" w:eastAsia="仿宋_GB2312" w:cs="仿宋_GB2312"/>
          <w:color w:val="000000"/>
          <w:spacing w:val="-4"/>
          <w:sz w:val="32"/>
          <w:szCs w:val="32"/>
          <w:lang w:eastAsia="zh-CN"/>
        </w:rPr>
        <w:t>，确保了社会保险基金的安全性和完整性；</w:t>
      </w:r>
      <w:r>
        <w:rPr>
          <w:rFonts w:hint="default" w:ascii="仿宋_GB2312" w:eastAsia="仿宋_GB2312"/>
          <w:sz w:val="32"/>
          <w:szCs w:val="32"/>
          <w:lang w:val="en-US" w:eastAsia="zh-CN"/>
        </w:rPr>
        <w:t>社会效益指标</w:t>
      </w:r>
      <w:r>
        <w:rPr>
          <w:rFonts w:hint="eastAsia" w:ascii="仿宋_GB2312" w:eastAsia="仿宋_GB2312"/>
          <w:sz w:val="32"/>
          <w:szCs w:val="32"/>
          <w:lang w:val="en-US" w:eastAsia="zh-CN"/>
        </w:rPr>
        <w:t>：</w:t>
      </w:r>
      <w:r>
        <w:rPr>
          <w:rFonts w:hint="eastAsia" w:ascii="仿宋_GB2312" w:eastAsia="仿宋_GB2312"/>
          <w:spacing w:val="2"/>
          <w:sz w:val="32"/>
          <w:szCs w:val="32"/>
          <w:lang w:val="en-US" w:eastAsia="zh-CN"/>
        </w:rPr>
        <w:t>保持养老金按时足额发放率和社会化发放率100%；</w:t>
      </w:r>
      <w:r>
        <w:rPr>
          <w:rFonts w:hint="eastAsia" w:ascii="仿宋_GB2312" w:eastAsia="仿宋_GB2312"/>
          <w:sz w:val="32"/>
          <w:szCs w:val="32"/>
          <w:lang w:val="en-US" w:eastAsia="zh-CN"/>
        </w:rPr>
        <w:t>满意度指标：退休人员满意度</w:t>
      </w:r>
      <w:r>
        <w:rPr>
          <w:rFonts w:hint="default" w:ascii="Arial" w:hAnsi="Arial" w:eastAsia="仿宋_GB2312" w:cs="Arial"/>
          <w:sz w:val="32"/>
          <w:szCs w:val="32"/>
          <w:lang w:val="en-US" w:eastAsia="zh-CN"/>
        </w:rPr>
        <w:t>≥</w:t>
      </w:r>
      <w:r>
        <w:rPr>
          <w:rFonts w:hint="eastAsia" w:ascii="仿宋_GB2312" w:eastAsia="仿宋_GB2312"/>
          <w:sz w:val="32"/>
          <w:szCs w:val="32"/>
          <w:lang w:val="en-US" w:eastAsia="zh-CN"/>
        </w:rPr>
        <w:t>9</w:t>
      </w:r>
      <w:r>
        <w:rPr>
          <w:rFonts w:hint="eastAsia" w:ascii="仿宋_GB2312"/>
          <w:sz w:val="32"/>
          <w:szCs w:val="32"/>
          <w:lang w:val="en-US" w:eastAsia="zh-CN"/>
        </w:rPr>
        <w:t>8</w:t>
      </w:r>
      <w:r>
        <w:rPr>
          <w:rFonts w:hint="eastAsia" w:ascii="仿宋_GB2312" w:eastAsia="仿宋_GB2312"/>
          <w:sz w:val="32"/>
          <w:szCs w:val="32"/>
          <w:lang w:val="en-US" w:eastAsia="zh-CN"/>
        </w:rPr>
        <w:t>%。</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四、问题及建议</w:t>
      </w:r>
    </w:p>
    <w:p>
      <w:pPr>
        <w:wordWrap/>
        <w:spacing w:line="576" w:lineRule="exact"/>
        <w:ind w:firstLine="640" w:firstLineChars="200"/>
        <w:textAlignment w:val="auto"/>
        <w:rPr>
          <w:rFonts w:hint="eastAsia" w:ascii="楷体_GB2312" w:hAnsi="宋体" w:eastAsia="楷体_GB2312"/>
          <w:b w:val="0"/>
          <w:bCs w:val="0"/>
          <w:lang w:val="zh-CN"/>
        </w:rPr>
      </w:pPr>
      <w:r>
        <w:rPr>
          <w:rFonts w:hint="eastAsia" w:ascii="楷体_GB2312" w:hAnsi="宋体" w:eastAsia="楷体_GB2312" w:cs="Times New Roman"/>
          <w:b w:val="0"/>
          <w:bCs w:val="0"/>
          <w:sz w:val="32"/>
          <w:szCs w:val="32"/>
          <w:lang w:val="zh-CN"/>
        </w:rPr>
        <w:t>（一）存在的问题。</w:t>
      </w:r>
      <w:r>
        <w:rPr>
          <w:rFonts w:hint="eastAsia" w:ascii="仿宋_GB2312" w:hAnsi="Times New Roman" w:eastAsia="仿宋_GB2312" w:cs="Times New Roman"/>
          <w:spacing w:val="2"/>
          <w:sz w:val="32"/>
          <w:szCs w:val="32"/>
          <w:lang w:val="en-US" w:eastAsia="zh-CN"/>
        </w:rPr>
        <w:t>1.项目</w:t>
      </w:r>
      <w:r>
        <w:rPr>
          <w:rFonts w:hint="eastAsia" w:ascii="仿宋_GB2312" w:eastAsia="仿宋_GB2312"/>
          <w:sz w:val="32"/>
          <w:szCs w:val="32"/>
          <w:lang w:val="en-US" w:eastAsia="zh-CN"/>
        </w:rPr>
        <w:t>绩效编制不够细化；2.支付集中在下半年。</w:t>
      </w:r>
    </w:p>
    <w:p>
      <w:pPr>
        <w:wordWrap/>
        <w:spacing w:line="576" w:lineRule="exact"/>
        <w:ind w:firstLine="640" w:firstLineChars="200"/>
        <w:textAlignment w:val="auto"/>
        <w:rPr>
          <w:rFonts w:hint="eastAsia" w:eastAsia="仿宋_GB2312"/>
          <w:color w:val="000000"/>
          <w:sz w:val="32"/>
          <w:shd w:val="clear" w:color="auto" w:fill="FFFFFF"/>
          <w:lang w:val="zh-CN"/>
        </w:rPr>
      </w:pPr>
      <w:r>
        <w:rPr>
          <w:rFonts w:hint="eastAsia" w:ascii="楷体_GB2312" w:hAnsi="宋体" w:eastAsia="楷体_GB2312" w:cs="Times New Roman"/>
          <w:b w:val="0"/>
          <w:bCs w:val="0"/>
          <w:sz w:val="32"/>
          <w:szCs w:val="32"/>
          <w:lang w:val="zh-CN"/>
        </w:rPr>
        <w:t>（二）相关建议。</w:t>
      </w:r>
      <w:r>
        <w:rPr>
          <w:rFonts w:hint="eastAsia" w:ascii="仿宋_GB2312" w:eastAsia="仿宋_GB2312"/>
          <w:sz w:val="32"/>
          <w:szCs w:val="32"/>
          <w:lang w:val="en-US" w:eastAsia="zh-CN"/>
        </w:rPr>
        <w:t>做好年度项目预算，细化项目的申报。</w:t>
      </w:r>
      <w:r>
        <w:rPr>
          <w:rFonts w:hint="eastAsia" w:ascii="仿宋_GB2312" w:hAnsi="宋体" w:eastAsia="仿宋_GB2312" w:cs="宋体"/>
          <w:color w:val="000000"/>
          <w:kern w:val="0"/>
          <w:sz w:val="32"/>
          <w:szCs w:val="32"/>
          <w:shd w:val="clear" w:color="auto" w:fill="FFFFFF"/>
          <w:lang w:val="zh-CN"/>
        </w:rPr>
        <w:t>结合市财政局、市人社局安排部署和行业发展规划、重点工作以及中心主要职能，合理编制部门预算，重点项目经过调查研究和专业评价论证，制定绩效目标</w:t>
      </w:r>
      <w:r>
        <w:rPr>
          <w:rFonts w:hint="eastAsia" w:eastAsia="仿宋_GB2312"/>
          <w:color w:val="000000"/>
          <w:sz w:val="32"/>
          <w:shd w:val="clear" w:color="auto" w:fill="FFFFFF"/>
          <w:lang w:val="zh-CN"/>
        </w:rPr>
        <w:t>。</w:t>
      </w:r>
      <w:r>
        <w:rPr>
          <w:rFonts w:hint="eastAsia" w:ascii="仿宋_GB2312" w:hAnsi="宋体" w:eastAsia="仿宋_GB2312"/>
          <w:color w:val="000000"/>
          <w:sz w:val="32"/>
          <w:szCs w:val="32"/>
          <w:lang w:val="zh-CN"/>
        </w:rPr>
        <w:t>绩效目标</w:t>
      </w:r>
      <w:r>
        <w:rPr>
          <w:rFonts w:hint="eastAsia" w:eastAsia="仿宋_GB2312"/>
          <w:color w:val="000000"/>
          <w:sz w:val="32"/>
          <w:shd w:val="clear" w:color="auto" w:fill="FFFFFF"/>
          <w:lang w:val="zh-CN"/>
        </w:rPr>
        <w:t>编制要素完整，并对指标进行细化量化。</w:t>
      </w:r>
    </w:p>
    <w:p>
      <w:pPr>
        <w:widowControl w:val="0"/>
        <w:numPr>
          <w:ilvl w:val="0"/>
          <w:numId w:val="0"/>
        </w:numPr>
        <w:wordWrap/>
        <w:adjustRightInd/>
        <w:snapToGrid/>
        <w:spacing w:line="576" w:lineRule="exact"/>
        <w:jc w:val="center"/>
        <w:textAlignment w:val="auto"/>
        <w:outlineLvl w:val="1"/>
        <w:rPr>
          <w:rFonts w:hint="eastAsia" w:ascii="黑体" w:hAnsi="黑体" w:eastAsia="黑体" w:cs="黑体"/>
          <w:sz w:val="32"/>
          <w:szCs w:val="32"/>
          <w:lang w:val="zh-CN" w:eastAsia="zh-CN"/>
        </w:rPr>
      </w:pPr>
      <w:bookmarkStart w:id="161" w:name="_Toc27165"/>
      <w:bookmarkStart w:id="162" w:name="_Toc19037"/>
      <w:bookmarkStart w:id="163" w:name="_Toc16007"/>
      <w:bookmarkStart w:id="164" w:name="_Toc9153"/>
      <w:r>
        <w:rPr>
          <w:rFonts w:hint="eastAsia" w:ascii="黑体" w:hAnsi="黑体" w:eastAsia="黑体" w:cs="黑体"/>
          <w:sz w:val="32"/>
          <w:szCs w:val="32"/>
          <w:lang w:val="zh-CN" w:eastAsia="zh-CN"/>
        </w:rPr>
        <w:t>（社会保险全民参保工作专项经费）</w:t>
      </w:r>
      <w:bookmarkEnd w:id="161"/>
      <w:bookmarkEnd w:id="162"/>
      <w:bookmarkEnd w:id="163"/>
      <w:bookmarkEnd w:id="164"/>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一、项目概况</w:t>
      </w:r>
    </w:p>
    <w:p>
      <w:pPr>
        <w:widowControl/>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6" w:lineRule="exact"/>
        <w:ind w:left="0" w:right="0" w:firstLine="720"/>
        <w:jc w:val="left"/>
        <w:textAlignment w:val="auto"/>
        <w:rPr>
          <w:rFonts w:hint="eastAsia" w:ascii="楷体_GB2312" w:hAnsi="微软雅黑" w:eastAsia="楷体_GB2312" w:cs="楷体_GB2312"/>
          <w:b/>
          <w:i w:val="0"/>
          <w:caps w:val="0"/>
          <w:color w:val="000000"/>
          <w:spacing w:val="0"/>
          <w:kern w:val="0"/>
          <w:sz w:val="32"/>
          <w:szCs w:val="32"/>
          <w:shd w:val="clear" w:color="auto" w:fill="FFFFFF"/>
          <w:lang w:val="en-US" w:eastAsia="zh-CN"/>
        </w:rPr>
      </w:pPr>
      <w:r>
        <w:rPr>
          <w:rFonts w:hint="eastAsia" w:ascii="仿宋_GB2312" w:eastAsia="仿宋_GB2312" w:cs="仿宋_GB2312"/>
          <w:sz w:val="32"/>
          <w:szCs w:val="32"/>
          <w:lang w:eastAsia="zh-CN"/>
        </w:rPr>
        <w:t>该项目的主要内容是</w:t>
      </w:r>
      <w:r>
        <w:rPr>
          <w:rFonts w:hint="eastAsia" w:ascii="仿宋_GB2312" w:eastAsia="仿宋_GB2312" w:cs="仿宋_GB2312"/>
          <w:sz w:val="32"/>
          <w:szCs w:val="32"/>
        </w:rPr>
        <w:t>全民社会保险参保登记，政策性补缴、失地农民、</w:t>
      </w:r>
      <w:r>
        <w:rPr>
          <w:rFonts w:hint="eastAsia" w:ascii="仿宋_GB2312" w:hAnsi="仿宋" w:eastAsia="仿宋_GB2312"/>
          <w:sz w:val="32"/>
          <w:szCs w:val="32"/>
        </w:rPr>
        <w:t>退捕渔民、尘肺人员、接尘人员、退役军人</w:t>
      </w:r>
      <w:r>
        <w:rPr>
          <w:rFonts w:hint="eastAsia" w:ascii="仿宋_GB2312" w:eastAsia="仿宋_GB2312" w:cs="仿宋_GB2312"/>
          <w:sz w:val="32"/>
          <w:szCs w:val="32"/>
        </w:rPr>
        <w:t>参保管理工作。</w:t>
      </w:r>
    </w:p>
    <w:p>
      <w:pPr>
        <w:wordWrap/>
        <w:spacing w:line="576" w:lineRule="exact"/>
        <w:ind w:firstLine="640" w:firstLineChars="200"/>
        <w:textAlignment w:val="auto"/>
        <w:rPr>
          <w:rFonts w:ascii="仿宋_GB2312" w:hAnsi="宋体"/>
          <w:b w:val="0"/>
          <w:bCs w:val="0"/>
          <w:lang w:val="zh-CN"/>
        </w:rPr>
      </w:pPr>
      <w:r>
        <w:rPr>
          <w:rFonts w:hint="eastAsia" w:ascii="楷体_GB2312" w:hAnsi="宋体" w:eastAsia="楷体_GB2312" w:cs="Times New Roman"/>
          <w:b w:val="0"/>
          <w:bCs w:val="0"/>
          <w:sz w:val="32"/>
          <w:szCs w:val="32"/>
          <w:lang w:val="zh-CN"/>
        </w:rPr>
        <w:t>（一）项目资金申报及批复情况。</w:t>
      </w:r>
      <w:r>
        <w:rPr>
          <w:rFonts w:hint="eastAsia" w:ascii="仿宋_GB2312" w:eastAsia="仿宋_GB2312"/>
          <w:sz w:val="32"/>
          <w:szCs w:val="32"/>
          <w:lang w:val="en-US" w:eastAsia="zh-CN"/>
        </w:rPr>
        <w:t>该项目纳入年初部门预算中，年初申报资金22.28万元，批复资金22.28万元。</w:t>
      </w:r>
    </w:p>
    <w:p>
      <w:pPr>
        <w:widowControl w:val="0"/>
        <w:wordWrap/>
        <w:adjustRightInd w:val="0"/>
        <w:snapToGrid w:val="0"/>
        <w:spacing w:line="576" w:lineRule="exact"/>
        <w:ind w:firstLine="720"/>
        <w:textAlignment w:val="auto"/>
        <w:rPr>
          <w:rFonts w:hint="eastAsia" w:ascii="仿宋_GB2312" w:eastAsia="仿宋_GB2312" w:cs="仿宋_GB2312"/>
          <w:sz w:val="32"/>
          <w:szCs w:val="32"/>
          <w:lang w:val="zh-CN"/>
        </w:rPr>
      </w:pPr>
      <w:r>
        <w:rPr>
          <w:rFonts w:hint="eastAsia" w:ascii="楷体_GB2312" w:hAnsi="宋体" w:eastAsia="楷体_GB2312" w:cs="Times New Roman"/>
          <w:b w:val="0"/>
          <w:bCs w:val="0"/>
          <w:sz w:val="32"/>
          <w:szCs w:val="32"/>
          <w:lang w:val="zh-CN"/>
        </w:rPr>
        <w:t>（二）项目绩效目标。</w:t>
      </w:r>
      <w:r>
        <w:rPr>
          <w:rFonts w:hint="eastAsia" w:ascii="仿宋_GB2312" w:eastAsia="仿宋_GB2312" w:cs="仿宋_GB2312"/>
          <w:sz w:val="32"/>
          <w:szCs w:val="32"/>
          <w:lang w:val="zh-CN"/>
        </w:rPr>
        <w:t>根据《四川省人民政府办公厅关于做好社会保险费和非税收入征管职责划转工作的实施意见》要求，做好社会保险参保登记工作，完成2021年社会保险目标任务。</w:t>
      </w:r>
    </w:p>
    <w:p>
      <w:pPr>
        <w:widowControl w:val="0"/>
        <w:wordWrap/>
        <w:adjustRightInd w:val="0"/>
        <w:snapToGrid w:val="0"/>
        <w:spacing w:line="576" w:lineRule="exact"/>
        <w:ind w:firstLine="720"/>
        <w:textAlignment w:val="auto"/>
        <w:rPr>
          <w:rFonts w:hint="eastAsia" w:ascii="仿宋_GB2312" w:eastAsia="仿宋_GB2312" w:cs="仿宋_GB2312"/>
          <w:sz w:val="32"/>
          <w:szCs w:val="32"/>
          <w:lang w:val="zh-CN"/>
        </w:rPr>
      </w:pPr>
      <w:r>
        <w:rPr>
          <w:rFonts w:hint="eastAsia" w:ascii="楷体_GB2312" w:hAnsi="宋体" w:eastAsia="楷体_GB2312" w:cs="Times New Roman"/>
          <w:b w:val="0"/>
          <w:bCs w:val="0"/>
          <w:sz w:val="32"/>
          <w:szCs w:val="32"/>
          <w:lang w:val="zh-CN"/>
        </w:rPr>
        <w:t>（三）项目资金申报相符性。</w:t>
      </w:r>
      <w:r>
        <w:rPr>
          <w:rFonts w:hint="eastAsia" w:ascii="仿宋_GB2312" w:eastAsia="仿宋_GB2312" w:cs="仿宋_GB2312"/>
          <w:sz w:val="32"/>
          <w:szCs w:val="32"/>
          <w:lang w:val="zh-CN"/>
        </w:rPr>
        <w:t>该项目申报内容与具体实施内容相符、申报目标合理可行。</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二、项目实施及管理情况</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ab/>
      </w:r>
      <w:r>
        <w:rPr>
          <w:rFonts w:hint="eastAsia" w:ascii="楷体_GB2312" w:hAnsi="宋体" w:eastAsia="楷体_GB2312" w:cs="Times New Roman"/>
          <w:b w:val="0"/>
          <w:bCs w:val="0"/>
          <w:sz w:val="32"/>
          <w:szCs w:val="32"/>
          <w:lang w:val="zh-CN"/>
        </w:rPr>
        <w:t>（一）资金计划、到位及使用情况。</w:t>
      </w:r>
    </w:p>
    <w:p>
      <w:pPr>
        <w:widowControl/>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6" w:lineRule="exact"/>
        <w:ind w:right="0" w:firstLine="640" w:firstLineChars="200"/>
        <w:jc w:val="left"/>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1．资金计划及到位。该项目资金</w:t>
      </w:r>
      <w:r>
        <w:rPr>
          <w:rFonts w:hint="eastAsia" w:ascii="仿宋_GB2312" w:hAnsi="Times New Roman" w:eastAsia="仿宋_GB2312" w:cs="Times New Roman"/>
          <w:sz w:val="32"/>
          <w:szCs w:val="32"/>
          <w:lang w:val="en-US" w:eastAsia="zh-CN"/>
        </w:rPr>
        <w:t>3月下达。</w:t>
      </w:r>
    </w:p>
    <w:p>
      <w:pPr>
        <w:widowControl/>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6" w:lineRule="exact"/>
        <w:ind w:right="0" w:firstLine="640" w:firstLineChars="200"/>
        <w:jc w:val="left"/>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2．资金使用。该项目资金</w:t>
      </w:r>
      <w:r>
        <w:rPr>
          <w:rFonts w:hint="eastAsia" w:ascii="仿宋_GB2312" w:hAnsi="Times New Roman" w:eastAsia="仿宋_GB2312" w:cs="Times New Roman"/>
          <w:sz w:val="32"/>
          <w:szCs w:val="32"/>
          <w:lang w:val="en-US" w:eastAsia="zh-CN"/>
        </w:rPr>
        <w:t>主要用于：</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数据更新和动态管理、入户调查、精准扩面工作费用；</w:t>
      </w: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办公用品、电脑耗材、电脑及打印机维修；</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邮寄养老转移单、催缴通知书费用</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养老保险手册印制；</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宣传资料印刷费及媒体宣传费用。</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（二）项目财务管理情况。</w:t>
      </w:r>
    </w:p>
    <w:p>
      <w:pPr>
        <w:widowControl w:val="0"/>
        <w:wordWrap/>
        <w:adjustRightInd w:val="0"/>
        <w:snapToGrid w:val="0"/>
        <w:spacing w:line="576" w:lineRule="exact"/>
        <w:ind w:firstLine="720"/>
        <w:textAlignment w:val="auto"/>
        <w:rPr>
          <w:rFonts w:ascii="仿宋_GB2312" w:hAnsi="宋体"/>
          <w:b w:val="0"/>
          <w:bCs w:val="0"/>
          <w:lang w:val="zh-CN"/>
        </w:rPr>
      </w:pPr>
      <w:r>
        <w:rPr>
          <w:rFonts w:hint="eastAsia" w:ascii="仿宋_GB2312" w:eastAsia="仿宋_GB2312"/>
          <w:sz w:val="32"/>
          <w:szCs w:val="32"/>
          <w:lang w:val="en-US" w:eastAsia="zh-CN"/>
        </w:rPr>
        <w:t>该项目经费采用授权支付和直接支付形式，由市社保中心严格按照项目资金管理办法对资金进行计划申请、使用，及时、规范对收支进行账务处理和会计核算</w:t>
      </w:r>
      <w:r>
        <w:rPr>
          <w:rFonts w:hint="eastAsia" w:ascii="仿宋_GB2312" w:hAnsi="宋体"/>
          <w:b w:val="0"/>
          <w:bCs w:val="0"/>
          <w:lang w:val="zh-CN"/>
        </w:rPr>
        <w:t>。</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（三）项目组织实施情况。</w:t>
      </w:r>
    </w:p>
    <w:p>
      <w:pPr>
        <w:wordWrap/>
        <w:spacing w:line="576" w:lineRule="exact"/>
        <w:ind w:firstLine="640" w:firstLineChars="200"/>
        <w:textAlignment w:val="auto"/>
        <w:rPr>
          <w:rFonts w:hint="eastAsia" w:ascii="楷体_GB2312" w:hAnsi="微软雅黑" w:eastAsia="楷体_GB2312" w:cs="楷体_GB2312"/>
          <w:b/>
          <w:i w:val="0"/>
          <w:caps w:val="0"/>
          <w:color w:val="000000"/>
          <w:spacing w:val="0"/>
          <w:kern w:val="0"/>
          <w:sz w:val="32"/>
          <w:szCs w:val="32"/>
          <w:shd w:val="clear" w:color="auto" w:fill="FFFFFF"/>
          <w:lang w:val="en-US" w:eastAsia="zh-CN"/>
        </w:rPr>
      </w:pPr>
      <w:r>
        <w:rPr>
          <w:rFonts w:hint="eastAsia" w:ascii="仿宋_GB2312" w:eastAsia="仿宋_GB2312"/>
          <w:sz w:val="32"/>
          <w:szCs w:val="32"/>
          <w:lang w:val="en-US" w:eastAsia="zh-CN"/>
        </w:rPr>
        <w:t>该项目资金使用采取项目工作责任科室负责制，全体成员积极配合、通力合作。该项目工作由征缴科负责协调相关工作，基金财务科配合项目实施及资金管理。</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三、项目绩效情况</w:t>
      </w:r>
      <w:r>
        <w:rPr>
          <w:rFonts w:hint="eastAsia" w:ascii="黑体" w:hAnsi="宋体" w:eastAsia="黑体" w:cs="Times New Roman"/>
          <w:b w:val="0"/>
          <w:bCs w:val="0"/>
          <w:sz w:val="32"/>
          <w:szCs w:val="32"/>
          <w:lang w:val="zh-CN"/>
        </w:rPr>
        <w:tab/>
      </w:r>
    </w:p>
    <w:p>
      <w:pPr>
        <w:widowControl w:val="0"/>
        <w:wordWrap/>
        <w:adjustRightInd w:val="0"/>
        <w:snapToGrid w:val="0"/>
        <w:spacing w:line="576" w:lineRule="exact"/>
        <w:ind w:firstLine="720"/>
        <w:textAlignment w:val="auto"/>
        <w:rPr>
          <w:rFonts w:ascii="仿宋_GB2312" w:eastAsia="仿宋_GB2312"/>
          <w:sz w:val="32"/>
          <w:szCs w:val="32"/>
        </w:rPr>
      </w:pPr>
      <w:r>
        <w:rPr>
          <w:rFonts w:hint="eastAsia" w:ascii="楷体_GB2312" w:hAnsi="宋体" w:eastAsia="楷体_GB2312" w:cs="Times New Roman"/>
          <w:b w:val="0"/>
          <w:bCs w:val="0"/>
          <w:sz w:val="32"/>
          <w:szCs w:val="32"/>
          <w:lang w:val="zh-CN"/>
        </w:rPr>
        <w:t>（一）项目完成情况。</w:t>
      </w:r>
      <w:r>
        <w:rPr>
          <w:rFonts w:hint="eastAsia" w:ascii="仿宋_GB2312" w:eastAsia="仿宋_GB2312"/>
          <w:sz w:val="32"/>
          <w:szCs w:val="32"/>
        </w:rPr>
        <w:t>全市城镇职工基本养老保险参保66.82万人，完成目标任务的110.34%。其中执行企业制度在职职工35.34万人，完成目标任务的118.71%。城乡居民基本养老保险参保123.86万人；工伤保险参保21.3 万人，完成目标任务的136.36%；失业保险参保16.09万人，完成目标任务的100.56%。</w:t>
      </w:r>
    </w:p>
    <w:p>
      <w:pPr>
        <w:wordWrap/>
        <w:spacing w:line="576" w:lineRule="exact"/>
        <w:ind w:firstLine="640" w:firstLineChars="200"/>
        <w:textAlignment w:val="auto"/>
        <w:rPr>
          <w:rFonts w:ascii="楷体_GB2312" w:hAnsi="宋体" w:eastAsia="楷体_GB2312"/>
          <w:b w:val="0"/>
          <w:bCs w:val="0"/>
          <w:lang w:val="zh-CN"/>
        </w:rPr>
      </w:pPr>
      <w:r>
        <w:rPr>
          <w:rFonts w:hint="eastAsia" w:ascii="楷体_GB2312" w:hAnsi="宋体" w:eastAsia="楷体_GB2312" w:cs="Times New Roman"/>
          <w:b w:val="0"/>
          <w:bCs w:val="0"/>
          <w:sz w:val="32"/>
          <w:szCs w:val="32"/>
          <w:lang w:val="zh-CN"/>
        </w:rPr>
        <w:t>（二）项目效益情况。</w:t>
      </w:r>
      <w:r>
        <w:rPr>
          <w:rFonts w:hint="eastAsia" w:ascii="仿宋_GB2312" w:hAnsi="仿宋_GB2312" w:eastAsia="仿宋_GB2312" w:cs="仿宋_GB2312"/>
          <w:sz w:val="32"/>
          <w:szCs w:val="32"/>
          <w:lang w:val="en-US" w:eastAsia="zh-CN"/>
        </w:rPr>
        <w:t>经济效益指标:进一步扩大参保范围，切实维护了劳动者合法权益;社会效益指标：促进全民社会保险参保登记；满意度指标:参保对象满意度</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95%。</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四、问题及建议</w:t>
      </w:r>
    </w:p>
    <w:p>
      <w:pPr>
        <w:widowControl/>
        <w:numPr>
          <w:ilvl w:val="0"/>
          <w:numId w:val="0"/>
        </w:numPr>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6" w:lineRule="exact"/>
        <w:ind w:right="0" w:firstLine="640" w:firstLineChars="200"/>
        <w:jc w:val="left"/>
        <w:textAlignment w:val="auto"/>
        <w:rPr>
          <w:rFonts w:ascii="楷体_GB2312" w:hAnsi="宋体" w:eastAsia="楷体_GB2312"/>
          <w:b w:val="0"/>
          <w:bCs w:val="0"/>
          <w:lang w:val="zh-CN"/>
        </w:rPr>
      </w:pPr>
      <w:r>
        <w:rPr>
          <w:rFonts w:hint="eastAsia" w:ascii="楷体_GB2312" w:hAnsi="宋体" w:eastAsia="楷体_GB2312" w:cs="Times New Roman"/>
          <w:b w:val="0"/>
          <w:bCs w:val="0"/>
          <w:sz w:val="32"/>
          <w:szCs w:val="32"/>
          <w:lang w:val="zh-CN"/>
        </w:rPr>
        <w:t>（一）存在的问题。</w:t>
      </w:r>
      <w:r>
        <w:rPr>
          <w:rFonts w:hint="eastAsia" w:ascii="仿宋_GB2312" w:eastAsia="仿宋_GB2312"/>
          <w:sz w:val="32"/>
          <w:szCs w:val="32"/>
          <w:lang w:val="en-US" w:eastAsia="zh-CN"/>
        </w:rPr>
        <w:t>1.支付集中在下半年；2.每年度的参保对象数量增加，全民参保工作量增大，项目资金欠缺。</w:t>
      </w:r>
    </w:p>
    <w:p>
      <w:pPr>
        <w:widowControl/>
        <w:numPr>
          <w:ilvl w:val="0"/>
          <w:numId w:val="0"/>
        </w:numPr>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76" w:lineRule="exact"/>
        <w:ind w:right="0" w:firstLine="640" w:firstLineChars="200"/>
        <w:jc w:val="left"/>
        <w:textAlignment w:val="auto"/>
        <w:rPr>
          <w:rFonts w:hint="eastAsia" w:ascii="仿宋_GB2312" w:eastAsia="仿宋_GB2312"/>
          <w:color w:val="000000"/>
          <w:sz w:val="32"/>
          <w:shd w:val="clear" w:color="auto" w:fill="FFFFFF"/>
          <w:lang w:val="zh-CN"/>
        </w:rPr>
      </w:pPr>
      <w:r>
        <w:rPr>
          <w:rFonts w:hint="eastAsia" w:ascii="楷体_GB2312" w:hAnsi="宋体" w:eastAsia="楷体_GB2312" w:cs="Times New Roman"/>
          <w:b w:val="0"/>
          <w:bCs w:val="0"/>
          <w:sz w:val="32"/>
          <w:szCs w:val="32"/>
          <w:lang w:val="zh-CN"/>
        </w:rPr>
        <w:t>（二）相关建议。</w:t>
      </w:r>
      <w:r>
        <w:rPr>
          <w:rFonts w:hint="eastAsia" w:ascii="仿宋_GB2312" w:eastAsia="仿宋_GB2312"/>
          <w:sz w:val="32"/>
          <w:szCs w:val="32"/>
          <w:lang w:val="en-US" w:eastAsia="zh-CN"/>
        </w:rPr>
        <w:t>严格支付流程，</w:t>
      </w:r>
      <w:r>
        <w:rPr>
          <w:rFonts w:hint="eastAsia" w:ascii="仿宋_GB2312" w:hAnsi="宋体" w:eastAsia="仿宋_GB2312" w:cs="宋体"/>
          <w:color w:val="000000"/>
          <w:kern w:val="0"/>
          <w:sz w:val="32"/>
          <w:szCs w:val="32"/>
          <w:shd w:val="clear" w:color="auto" w:fill="FFFFFF"/>
          <w:lang w:val="zh-CN"/>
        </w:rPr>
        <w:t>合理安排项目实施时间，严格执行专款专用，加快预算执行进度，提高提高</w:t>
      </w:r>
      <w:r>
        <w:rPr>
          <w:rFonts w:hint="eastAsia" w:ascii="仿宋_GB2312" w:eastAsia="仿宋_GB2312"/>
          <w:color w:val="000000"/>
          <w:sz w:val="32"/>
          <w:shd w:val="clear" w:color="auto" w:fill="FFFFFF"/>
          <w:lang w:val="zh-CN"/>
        </w:rPr>
        <w:t>财政资金使用效益。</w:t>
      </w:r>
    </w:p>
    <w:p>
      <w:pPr>
        <w:wordWrap/>
        <w:spacing w:line="576" w:lineRule="exact"/>
        <w:textAlignment w:val="auto"/>
        <w:rPr>
          <w:rFonts w:hint="eastAsia" w:ascii="仿宋_GB2312" w:hAnsi="宋体" w:eastAsia="仿宋_GB2312" w:cs="宋体"/>
          <w:color w:val="000000"/>
          <w:kern w:val="0"/>
          <w:sz w:val="32"/>
          <w:szCs w:val="32"/>
          <w:shd w:val="clear" w:color="auto" w:fill="FFFFFF"/>
          <w:lang w:val="zh-CN"/>
        </w:rPr>
      </w:pPr>
    </w:p>
    <w:p>
      <w:pPr>
        <w:widowControl w:val="0"/>
        <w:numPr>
          <w:ilvl w:val="0"/>
          <w:numId w:val="0"/>
        </w:numPr>
        <w:wordWrap/>
        <w:adjustRightInd/>
        <w:snapToGrid/>
        <w:spacing w:line="576" w:lineRule="exact"/>
        <w:jc w:val="center"/>
        <w:textAlignment w:val="auto"/>
        <w:outlineLvl w:val="1"/>
        <w:rPr>
          <w:rFonts w:hint="default" w:ascii="黑体" w:hAnsi="黑体" w:eastAsia="黑体" w:cs="黑体"/>
          <w:sz w:val="32"/>
          <w:szCs w:val="32"/>
          <w:lang w:val="en-US" w:eastAsia="zh-CN"/>
        </w:rPr>
      </w:pPr>
      <w:bookmarkStart w:id="165" w:name="_Toc23850"/>
      <w:bookmarkStart w:id="166" w:name="_Toc18258"/>
      <w:bookmarkStart w:id="167" w:name="_Toc12898"/>
      <w:bookmarkStart w:id="168" w:name="_Toc1014"/>
      <w:r>
        <w:rPr>
          <w:rFonts w:hint="eastAsia" w:ascii="黑体" w:hAnsi="黑体" w:eastAsia="黑体" w:cs="黑体"/>
          <w:sz w:val="32"/>
          <w:szCs w:val="32"/>
          <w:lang w:val="zh-CN" w:eastAsia="zh-CN"/>
        </w:rPr>
        <w:t>（代管工作经费）</w:t>
      </w:r>
      <w:bookmarkEnd w:id="165"/>
      <w:bookmarkEnd w:id="166"/>
      <w:bookmarkEnd w:id="167"/>
      <w:bookmarkEnd w:id="168"/>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一、项目概况</w:t>
      </w:r>
    </w:p>
    <w:p>
      <w:pPr>
        <w:wordWrap/>
        <w:spacing w:line="576" w:lineRule="exact"/>
        <w:ind w:firstLine="640" w:firstLineChars="200"/>
        <w:textAlignment w:val="auto"/>
        <w:rPr>
          <w:rFonts w:ascii="仿宋_GB2312" w:hAnsi="宋体"/>
          <w:b w:val="0"/>
          <w:bCs w:val="0"/>
          <w:lang w:val="zh-CN"/>
        </w:rPr>
      </w:pPr>
      <w:r>
        <w:rPr>
          <w:rFonts w:hint="eastAsia" w:ascii="仿宋_GB2312" w:hAnsi="宋体" w:eastAsia="仿宋_GB2312" w:cs="宋体"/>
          <w:color w:val="000000"/>
          <w:kern w:val="0"/>
          <w:sz w:val="32"/>
          <w:szCs w:val="32"/>
          <w:shd w:val="clear" w:color="auto" w:fill="FFFFFF"/>
          <w:lang w:val="en-US" w:eastAsia="zh-CN"/>
        </w:rPr>
        <w:t>协助政府代发建国初期参加革命工作退休人员生活补贴、退休人员遗孀困难补助、改制转企原事业单位人员（县级）补贴等不属于机保制度统筹支付的项目、开展退管活动，减轻财政负担。</w:t>
      </w:r>
    </w:p>
    <w:p>
      <w:pPr>
        <w:widowControl w:val="0"/>
        <w:numPr>
          <w:ilvl w:val="0"/>
          <w:numId w:val="0"/>
        </w:numPr>
        <w:wordWrap/>
        <w:adjustRightInd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楷体_GB2312" w:hAnsi="宋体" w:eastAsia="楷体_GB2312" w:cs="Times New Roman"/>
          <w:b w:val="0"/>
          <w:bCs w:val="0"/>
          <w:sz w:val="32"/>
          <w:szCs w:val="32"/>
          <w:lang w:val="zh-CN"/>
        </w:rPr>
        <w:t>（一）项目资金申报及批复情况。</w:t>
      </w:r>
      <w:r>
        <w:rPr>
          <w:rFonts w:hint="eastAsia" w:ascii="仿宋_GB2312" w:eastAsia="仿宋_GB2312"/>
          <w:sz w:val="32"/>
          <w:szCs w:val="32"/>
          <w:lang w:val="en-US" w:eastAsia="zh-CN"/>
        </w:rPr>
        <w:t>该项目资金纳入年初部门预算，年初预算申报资金18万元，财政批复18万元。</w:t>
      </w:r>
    </w:p>
    <w:p>
      <w:pPr>
        <w:numPr>
          <w:ilvl w:val="0"/>
          <w:numId w:val="0"/>
        </w:numPr>
        <w:wordWrap/>
        <w:spacing w:line="576" w:lineRule="exact"/>
        <w:ind w:firstLine="640" w:firstLineChars="200"/>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楷体_GB2312" w:hAnsi="宋体" w:eastAsia="楷体_GB2312" w:cs="Times New Roman"/>
          <w:b w:val="0"/>
          <w:bCs w:val="0"/>
          <w:sz w:val="32"/>
          <w:szCs w:val="32"/>
          <w:lang w:val="zh-CN"/>
        </w:rPr>
        <w:t>（二）项目绩效目标。</w:t>
      </w:r>
      <w:r>
        <w:rPr>
          <w:rFonts w:hint="eastAsia" w:ascii="仿宋_GB2312" w:hAnsi="宋体" w:eastAsia="仿宋_GB2312" w:cs="宋体"/>
          <w:color w:val="000000"/>
          <w:kern w:val="0"/>
          <w:sz w:val="32"/>
          <w:szCs w:val="32"/>
          <w:shd w:val="clear" w:color="auto" w:fill="FFFFFF"/>
          <w:lang w:val="zh-CN" w:eastAsia="zh-CN"/>
        </w:rPr>
        <w:t>2021年社保中心代财政发放离休人员公务员津贴35人；成铁局划转人员102人；081中学教师补差（含生活补贴）20人；劳模津贴11人；企干警1人；全额拨款事业单位离休人员离休费11人；企业退休副县级人员享受事业单位待遇3人；企业离休人员遗孀生活补助13人；建国初期参加革命工作人员适当生活补贴89人</w:t>
      </w:r>
      <w:r>
        <w:rPr>
          <w:rFonts w:hint="eastAsia" w:ascii="仿宋_GB2312" w:hAnsi="宋体" w:cs="宋体"/>
          <w:color w:val="000000"/>
          <w:kern w:val="0"/>
          <w:sz w:val="32"/>
          <w:szCs w:val="32"/>
          <w:shd w:val="clear" w:color="auto" w:fill="FFFFFF"/>
          <w:lang w:val="zh-CN" w:eastAsia="zh-CN"/>
        </w:rPr>
        <w:t>，共计</w:t>
      </w:r>
      <w:r>
        <w:rPr>
          <w:rFonts w:hint="eastAsia" w:ascii="仿宋_GB2312" w:hAnsi="宋体" w:cs="宋体"/>
          <w:color w:val="000000"/>
          <w:kern w:val="0"/>
          <w:sz w:val="32"/>
          <w:szCs w:val="32"/>
          <w:shd w:val="clear" w:color="auto" w:fill="FFFFFF"/>
          <w:lang w:val="en-US" w:eastAsia="zh-CN"/>
        </w:rPr>
        <w:t>285人</w:t>
      </w:r>
      <w:r>
        <w:rPr>
          <w:rFonts w:hint="eastAsia" w:ascii="仿宋_GB2312" w:hAnsi="宋体" w:eastAsia="仿宋_GB2312" w:cs="宋体"/>
          <w:color w:val="000000"/>
          <w:kern w:val="0"/>
          <w:sz w:val="32"/>
          <w:szCs w:val="32"/>
          <w:shd w:val="clear" w:color="auto" w:fill="FFFFFF"/>
          <w:lang w:val="zh-CN" w:eastAsia="zh-CN"/>
        </w:rPr>
        <w:t>。</w:t>
      </w:r>
    </w:p>
    <w:p>
      <w:pPr>
        <w:widowControl w:val="0"/>
        <w:wordWrap/>
        <w:adjustRightInd w:val="0"/>
        <w:snapToGrid w:val="0"/>
        <w:spacing w:line="576" w:lineRule="exact"/>
        <w:ind w:firstLine="720"/>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楷体_GB2312" w:hAnsi="宋体" w:eastAsia="楷体_GB2312" w:cs="Times New Roman"/>
          <w:b w:val="0"/>
          <w:bCs w:val="0"/>
          <w:sz w:val="32"/>
          <w:szCs w:val="32"/>
          <w:lang w:val="zh-CN"/>
        </w:rPr>
        <w:t>（三）项目资金申报相符性。</w:t>
      </w:r>
      <w:r>
        <w:rPr>
          <w:rFonts w:hint="eastAsia" w:ascii="仿宋_GB2312" w:hAnsi="宋体" w:eastAsia="仿宋_GB2312" w:cs="宋体"/>
          <w:color w:val="000000"/>
          <w:kern w:val="0"/>
          <w:sz w:val="32"/>
          <w:szCs w:val="32"/>
          <w:shd w:val="clear" w:color="auto" w:fill="FFFFFF"/>
          <w:lang w:val="zh-CN" w:eastAsia="zh-CN"/>
        </w:rPr>
        <w:t>该项目申报内容与具体实施内容相符、申报目标合理可行。</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二、项目实施及管理情况</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ab/>
      </w:r>
      <w:r>
        <w:rPr>
          <w:rFonts w:hint="eastAsia" w:ascii="楷体_GB2312" w:hAnsi="宋体" w:eastAsia="楷体_GB2312" w:cs="Times New Roman"/>
          <w:b w:val="0"/>
          <w:bCs w:val="0"/>
          <w:sz w:val="32"/>
          <w:szCs w:val="32"/>
          <w:lang w:val="zh-CN"/>
        </w:rPr>
        <w:t>（一）资金计划、到位及使用情况。</w:t>
      </w:r>
    </w:p>
    <w:p>
      <w:pPr>
        <w:numPr>
          <w:ilvl w:val="0"/>
          <w:numId w:val="0"/>
        </w:numPr>
        <w:wordWrap/>
        <w:spacing w:line="576"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eastAsia="zh-CN"/>
        </w:rPr>
        <w:t>1．资金计划及到位。</w:t>
      </w:r>
      <w:r>
        <w:rPr>
          <w:rFonts w:hint="eastAsia" w:ascii="仿宋_GB2312" w:hAnsi="宋体" w:eastAsia="仿宋_GB2312" w:cs="宋体"/>
          <w:color w:val="000000"/>
          <w:kern w:val="0"/>
          <w:sz w:val="32"/>
          <w:szCs w:val="32"/>
          <w:shd w:val="clear" w:color="auto" w:fill="FFFFFF"/>
          <w:lang w:val="en-US" w:eastAsia="zh-CN"/>
        </w:rPr>
        <w:t>该项目资金于3月下达。</w:t>
      </w:r>
    </w:p>
    <w:p>
      <w:pPr>
        <w:numPr>
          <w:ilvl w:val="0"/>
          <w:numId w:val="0"/>
        </w:numPr>
        <w:wordWrap/>
        <w:spacing w:line="576" w:lineRule="exact"/>
        <w:ind w:firstLine="640" w:firstLineChars="200"/>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2．资金使用。该项目资金</w:t>
      </w:r>
      <w:r>
        <w:rPr>
          <w:rFonts w:hint="eastAsia" w:ascii="仿宋_GB2312" w:hAnsi="宋体" w:eastAsia="仿宋_GB2312" w:cs="宋体"/>
          <w:color w:val="000000"/>
          <w:kern w:val="0"/>
          <w:sz w:val="32"/>
          <w:szCs w:val="32"/>
          <w:shd w:val="clear" w:color="auto" w:fill="FFFFFF"/>
          <w:lang w:val="en-US" w:eastAsia="zh-CN"/>
        </w:rPr>
        <w:t>主要用于协助政府代发离退休人员生活补助工作，</w:t>
      </w:r>
      <w:r>
        <w:rPr>
          <w:rFonts w:hint="eastAsia" w:ascii="仿宋_GB2312" w:hAnsi="宋体" w:eastAsia="仿宋_GB2312" w:cs="宋体"/>
          <w:color w:val="000000"/>
          <w:kern w:val="0"/>
          <w:sz w:val="32"/>
          <w:szCs w:val="32"/>
          <w:shd w:val="clear" w:color="auto" w:fill="FFFFFF"/>
          <w:lang w:val="zh-CN" w:eastAsia="zh-CN"/>
        </w:rPr>
        <w:t>支付依据合规合法，资金支付与预算相符。</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（二）项目财务管理情况。</w:t>
      </w:r>
    </w:p>
    <w:p>
      <w:pPr>
        <w:wordWrap/>
        <w:spacing w:line="576" w:lineRule="exact"/>
        <w:ind w:firstLine="640" w:firstLineChars="200"/>
        <w:textAlignment w:val="auto"/>
        <w:rPr>
          <w:rFonts w:hint="default" w:ascii="楷体" w:hAnsi="楷体" w:eastAsia="楷体" w:cs="楷体"/>
          <w:b/>
          <w:bCs/>
          <w:sz w:val="32"/>
          <w:szCs w:val="32"/>
          <w:lang w:val="en-US" w:eastAsia="zh-CN"/>
        </w:rPr>
      </w:pPr>
      <w:r>
        <w:rPr>
          <w:rFonts w:hint="eastAsia" w:ascii="仿宋_GB2312" w:eastAsia="仿宋_GB2312"/>
          <w:sz w:val="32"/>
          <w:szCs w:val="32"/>
          <w:lang w:val="en-US" w:eastAsia="zh-CN"/>
        </w:rPr>
        <w:t>该项目经费采用授权支付和直接支付形式，由市社保中心严格按照项目资金管理办法对资金进行计划申请、使用，及时、规范对收支进行账务处理和会计核算。</w:t>
      </w:r>
    </w:p>
    <w:p>
      <w:pPr>
        <w:widowControl w:val="0"/>
        <w:wordWrap/>
        <w:adjustRightInd w:val="0"/>
        <w:snapToGrid w:val="0"/>
        <w:spacing w:line="576" w:lineRule="exact"/>
        <w:ind w:firstLine="72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（三）项目组织实施情况。</w:t>
      </w:r>
    </w:p>
    <w:p>
      <w:pPr>
        <w:widowControl w:val="0"/>
        <w:wordWrap/>
        <w:adjustRightInd w:val="0"/>
        <w:snapToGrid w:val="0"/>
        <w:spacing w:line="576" w:lineRule="exact"/>
        <w:ind w:firstLine="72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该项目资金使用采取项目工作责任科室负责制，全体成员积极配合、通力合作。该项目工作由社会化服务科负责协调相关工作，基金财务科配合项目实施及资金管理。</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三、项目绩效情况</w:t>
      </w:r>
      <w:r>
        <w:rPr>
          <w:rFonts w:hint="eastAsia" w:ascii="黑体" w:hAnsi="宋体" w:eastAsia="黑体" w:cs="Times New Roman"/>
          <w:b w:val="0"/>
          <w:bCs w:val="0"/>
          <w:sz w:val="32"/>
          <w:szCs w:val="32"/>
          <w:lang w:val="zh-CN"/>
        </w:rPr>
        <w:tab/>
      </w:r>
    </w:p>
    <w:p>
      <w:pPr>
        <w:widowControl w:val="0"/>
        <w:wordWrap/>
        <w:adjustRightInd w:val="0"/>
        <w:snapToGrid w:val="0"/>
        <w:spacing w:line="576" w:lineRule="exact"/>
        <w:ind w:firstLine="720"/>
        <w:textAlignment w:val="auto"/>
        <w:rPr>
          <w:rFonts w:hint="eastAsia" w:ascii="仿宋_GB2312" w:hAnsi="Times New Roman" w:eastAsia="仿宋_GB2312" w:cs="Times New Roman"/>
          <w:sz w:val="32"/>
          <w:szCs w:val="32"/>
          <w:lang w:val="zh-CN" w:eastAsia="zh-CN"/>
        </w:rPr>
      </w:pPr>
      <w:r>
        <w:rPr>
          <w:rFonts w:hint="eastAsia" w:ascii="楷体_GB2312" w:hAnsi="宋体" w:eastAsia="楷体_GB2312" w:cs="Times New Roman"/>
          <w:b w:val="0"/>
          <w:bCs w:val="0"/>
          <w:sz w:val="32"/>
          <w:szCs w:val="32"/>
          <w:lang w:val="zh-CN"/>
        </w:rPr>
        <w:t>（一）项目完成情况。</w:t>
      </w:r>
      <w:r>
        <w:rPr>
          <w:rFonts w:hint="eastAsia" w:ascii="仿宋_GB2312" w:hAnsi="Times New Roman" w:eastAsia="仿宋_GB2312" w:cs="Times New Roman"/>
          <w:sz w:val="32"/>
          <w:szCs w:val="32"/>
          <w:lang w:val="zh-CN" w:eastAsia="zh-CN"/>
        </w:rPr>
        <w:t>2021年社保中心代财政发放离休人员生活补贴</w:t>
      </w:r>
      <w:r>
        <w:rPr>
          <w:rFonts w:hint="eastAsia" w:ascii="仿宋_GB2312" w:hAnsi="Times New Roman" w:eastAsia="仿宋_GB2312" w:cs="Times New Roman"/>
          <w:sz w:val="32"/>
          <w:szCs w:val="32"/>
          <w:lang w:val="en-US" w:eastAsia="zh-CN"/>
        </w:rPr>
        <w:t>285人，983万元；代发丧葬抚恤金291万元；慰问因患病、高龄失能等退休困难人员100人</w:t>
      </w:r>
      <w:r>
        <w:rPr>
          <w:rFonts w:hint="eastAsia" w:ascii="仿宋_GB2312" w:hAnsi="Times New Roman" w:eastAsia="仿宋_GB2312" w:cs="Times New Roman"/>
          <w:sz w:val="32"/>
          <w:szCs w:val="32"/>
          <w:lang w:val="zh-CN" w:eastAsia="zh-CN"/>
        </w:rPr>
        <w:t>。</w:t>
      </w:r>
    </w:p>
    <w:p>
      <w:pPr>
        <w:wordWrap/>
        <w:spacing w:line="576" w:lineRule="exact"/>
        <w:ind w:firstLine="640" w:firstLineChars="200"/>
        <w:textAlignment w:val="auto"/>
        <w:rPr>
          <w:rFonts w:hint="default" w:ascii="仿宋_GB2312" w:eastAsia="仿宋_GB2312"/>
          <w:sz w:val="32"/>
          <w:szCs w:val="32"/>
          <w:lang w:val="en-US" w:eastAsia="zh-CN"/>
        </w:rPr>
      </w:pPr>
      <w:r>
        <w:rPr>
          <w:rFonts w:hint="eastAsia" w:ascii="楷体_GB2312" w:hAnsi="宋体" w:eastAsia="楷体_GB2312" w:cs="Times New Roman"/>
          <w:b w:val="0"/>
          <w:bCs w:val="0"/>
          <w:sz w:val="32"/>
          <w:szCs w:val="32"/>
          <w:lang w:val="zh-CN"/>
        </w:rPr>
        <w:t>（二）项目效益情况。</w:t>
      </w:r>
      <w:r>
        <w:rPr>
          <w:rFonts w:hint="eastAsia" w:ascii="仿宋_GB2312" w:eastAsia="仿宋_GB2312"/>
          <w:sz w:val="32"/>
          <w:szCs w:val="32"/>
          <w:lang w:val="en-US" w:eastAsia="zh-CN"/>
        </w:rPr>
        <w:t>经济效益指标：保证了离退休人员待遇按时足额发放；社会效益指标：使为国家做出贡献者老有所养，维护稳定；满意度指标：离退休人员满意度100%。</w:t>
      </w:r>
    </w:p>
    <w:p>
      <w:pPr>
        <w:widowControl w:val="0"/>
        <w:wordWrap/>
        <w:adjustRightInd w:val="0"/>
        <w:snapToGrid w:val="0"/>
        <w:spacing w:line="576" w:lineRule="exact"/>
        <w:ind w:firstLine="720"/>
        <w:textAlignment w:val="auto"/>
        <w:rPr>
          <w:rFonts w:hint="eastAsia" w:ascii="黑体" w:hAnsi="宋体" w:eastAsia="黑体" w:cs="Times New Roman"/>
          <w:b w:val="0"/>
          <w:bCs w:val="0"/>
          <w:sz w:val="32"/>
          <w:szCs w:val="32"/>
          <w:lang w:val="zh-CN"/>
        </w:rPr>
      </w:pPr>
      <w:r>
        <w:rPr>
          <w:rFonts w:hint="eastAsia" w:ascii="黑体" w:hAnsi="宋体" w:eastAsia="黑体" w:cs="Times New Roman"/>
          <w:b w:val="0"/>
          <w:bCs w:val="0"/>
          <w:sz w:val="32"/>
          <w:szCs w:val="32"/>
          <w:lang w:val="zh-CN"/>
        </w:rPr>
        <w:t>四、问题及建议</w:t>
      </w:r>
    </w:p>
    <w:p>
      <w:pPr>
        <w:wordWrap/>
        <w:spacing w:line="576" w:lineRule="exact"/>
        <w:ind w:firstLine="640" w:firstLineChars="200"/>
        <w:textAlignment w:val="auto"/>
        <w:rPr>
          <w:rFonts w:hint="eastAsia" w:ascii="仿宋_GB2312" w:hAnsi="Times New Roman" w:eastAsia="仿宋_GB2312" w:cs="Times New Roman"/>
          <w:sz w:val="32"/>
          <w:szCs w:val="32"/>
          <w:lang w:val="zh-CN" w:eastAsia="zh-CN"/>
        </w:rPr>
      </w:pPr>
      <w:r>
        <w:rPr>
          <w:rFonts w:hint="eastAsia" w:ascii="楷体_GB2312" w:hAnsi="宋体" w:eastAsia="楷体_GB2312" w:cs="Times New Roman"/>
          <w:b w:val="0"/>
          <w:bCs w:val="0"/>
          <w:sz w:val="32"/>
          <w:szCs w:val="32"/>
          <w:lang w:val="zh-CN"/>
        </w:rPr>
        <w:t>（一）存在的问题。</w:t>
      </w:r>
      <w:r>
        <w:rPr>
          <w:rFonts w:hint="eastAsia" w:ascii="仿宋_GB2312" w:hAnsi="Times New Roman" w:eastAsia="仿宋_GB2312" w:cs="Times New Roman"/>
          <w:sz w:val="32"/>
          <w:szCs w:val="32"/>
          <w:lang w:val="en-US" w:eastAsia="zh-CN"/>
        </w:rPr>
        <w:t>社保中心不仅代发机保、企保离退休人员生活补贴258人，还代发机关事业单位丧葬抚恤金，工作量增大，项目资金短缺。</w:t>
      </w:r>
    </w:p>
    <w:p>
      <w:pPr>
        <w:wordWrap/>
        <w:spacing w:line="576"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Times New Roman"/>
          <w:b w:val="0"/>
          <w:bCs w:val="0"/>
          <w:sz w:val="32"/>
          <w:szCs w:val="32"/>
          <w:lang w:val="zh-CN"/>
        </w:rPr>
        <w:t>（二）相关建议。</w:t>
      </w:r>
      <w:r>
        <w:rPr>
          <w:rFonts w:hint="eastAsia" w:ascii="仿宋_GB2312" w:hAnsi="Times New Roman" w:eastAsia="仿宋_GB2312" w:cs="Times New Roman"/>
          <w:sz w:val="32"/>
          <w:szCs w:val="32"/>
          <w:lang w:val="en-US" w:eastAsia="zh-CN"/>
        </w:rPr>
        <w:t>1.做好年度项目预算，细化项目的申报；2.</w:t>
      </w:r>
      <w:r>
        <w:rPr>
          <w:rFonts w:hint="eastAsia" w:ascii="仿宋_GB2312" w:hAnsi="Times New Roman" w:eastAsia="仿宋_GB2312" w:cs="Times New Roman"/>
          <w:sz w:val="32"/>
          <w:szCs w:val="32"/>
          <w:lang w:val="zh-CN" w:eastAsia="zh-CN"/>
        </w:rPr>
        <w:t>合理安排项目实施时间，严格执行专款专用，加快预算执行进度，提高提高财政资金使用效益。</w:t>
      </w:r>
    </w:p>
    <w:p>
      <w:pPr>
        <w:ind w:firstLine="640" w:firstLineChars="200"/>
        <w:rPr>
          <w:rFonts w:hint="eastAsia" w:ascii="仿宋_GB2312" w:hAnsi="Times New Roman" w:eastAsia="仿宋_GB2312" w:cs="Times New Roman"/>
          <w:sz w:val="32"/>
          <w:szCs w:val="32"/>
          <w:lang w:val="zh-CN" w:eastAsia="zh-CN"/>
        </w:rPr>
      </w:pPr>
    </w:p>
    <w:p>
      <w:pPr>
        <w:pStyle w:val="2"/>
        <w:ind w:left="0" w:leftChars="0" w:firstLine="0" w:firstLineChars="0"/>
        <w:rPr>
          <w:rFonts w:hint="eastAsia" w:ascii="黑体" w:hAnsi="黑体" w:eastAsia="黑体" w:cs="黑体"/>
          <w:color w:val="auto"/>
          <w:sz w:val="32"/>
          <w:szCs w:val="32"/>
          <w:highlight w:val="none"/>
        </w:rPr>
      </w:pPr>
    </w:p>
    <w:p>
      <w:pPr>
        <w:wordWrap/>
        <w:spacing w:line="572" w:lineRule="exact"/>
        <w:jc w:val="left"/>
        <w:textAlignment w:val="auto"/>
        <w:outlineLvl w:val="0"/>
        <w:rPr>
          <w:rFonts w:hint="eastAsia" w:ascii="黑体" w:hAnsi="黑体" w:eastAsia="黑体" w:cs="黑体"/>
          <w:color w:val="auto"/>
          <w:sz w:val="32"/>
          <w:szCs w:val="32"/>
          <w:highlight w:val="none"/>
        </w:rPr>
      </w:pPr>
      <w:bookmarkStart w:id="169" w:name="_Toc1063"/>
      <w:bookmarkStart w:id="170" w:name="_Toc9081"/>
      <w:bookmarkStart w:id="171" w:name="_Toc20721"/>
      <w:bookmarkStart w:id="172" w:name="_Toc15090"/>
    </w:p>
    <w:p>
      <w:pPr>
        <w:wordWrap/>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69"/>
      <w:bookmarkEnd w:id="170"/>
      <w:bookmarkEnd w:id="171"/>
      <w:bookmarkEnd w:id="172"/>
    </w:p>
    <w:tbl>
      <w:tblPr>
        <w:tblStyle w:val="13"/>
        <w:tblpPr w:leftFromText="180" w:rightFromText="180" w:vertAnchor="text" w:horzAnchor="page" w:tblpX="926" w:tblpY="389"/>
        <w:tblOverlap w:val="neve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9"/>
        <w:gridCol w:w="1057"/>
        <w:gridCol w:w="1050"/>
        <w:gridCol w:w="3027"/>
        <w:gridCol w:w="1800"/>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15" w:type="dxa"/>
            <w:gridSpan w:val="6"/>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宋体" w:hAnsi="宋体" w:eastAsia="宋体" w:cs="宋体"/>
                <w:i w:val="0"/>
                <w:iCs w:val="0"/>
                <w:color w:val="000000"/>
                <w:kern w:val="0"/>
                <w:sz w:val="40"/>
                <w:szCs w:val="40"/>
                <w:u w:val="none"/>
                <w:lang w:val="en-US" w:eastAsia="zh-CN"/>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5" w:type="dxa"/>
            <w:gridSpan w:val="6"/>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0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项目名称</w:t>
            </w:r>
          </w:p>
        </w:tc>
        <w:tc>
          <w:tcPr>
            <w:tcW w:w="73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离退休人员社会化管理服务工作专项经费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0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主管单位</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广元市人力资源和社会保障局</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实施单位</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广元市社会保险事务中心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预算</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情况</w:t>
            </w:r>
          </w:p>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（万元）</w:t>
            </w:r>
          </w:p>
        </w:tc>
        <w:tc>
          <w:tcPr>
            <w:tcW w:w="210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ascii="宋体" w:hAnsi="宋体" w:eastAsia="宋体" w:cs="宋体"/>
                <w:i w:val="0"/>
                <w:iCs w:val="0"/>
                <w:color w:val="000000"/>
                <w:kern w:val="0"/>
                <w:sz w:val="20"/>
                <w:szCs w:val="20"/>
                <w:u w:val="none"/>
                <w:lang w:val="en-US" w:eastAsia="zh-CN"/>
              </w:rPr>
              <w:t xml:space="preserve"> 预算数：</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68</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ascii="宋体" w:hAnsi="宋体" w:eastAsia="宋体" w:cs="宋体"/>
                <w:i w:val="0"/>
                <w:iCs w:val="0"/>
                <w:color w:val="000000"/>
                <w:kern w:val="0"/>
                <w:sz w:val="20"/>
                <w:szCs w:val="20"/>
                <w:u w:val="none"/>
                <w:lang w:val="en-US" w:eastAsia="zh-CN"/>
              </w:rPr>
              <w:t xml:space="preserve"> 执行数：</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21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pPr>
            <w:r>
              <w:rPr>
                <w:rFonts w:hint="eastAsia" w:ascii="宋体" w:hAnsi="宋体" w:eastAsia="宋体" w:cs="宋体"/>
                <w:i w:val="0"/>
                <w:iCs w:val="0"/>
                <w:color w:val="000000"/>
                <w:kern w:val="0"/>
                <w:sz w:val="20"/>
                <w:szCs w:val="20"/>
                <w:u w:val="none"/>
                <w:lang w:val="en-US" w:eastAsia="zh-CN"/>
              </w:rPr>
              <w:t>其中：财政拨款</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68</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其中：财政拨款</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21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其他资金</w:t>
            </w:r>
          </w:p>
        </w:tc>
        <w:tc>
          <w:tcPr>
            <w:tcW w:w="30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其他资金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年度</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目标</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完成</w:t>
            </w:r>
          </w:p>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情况</w:t>
            </w:r>
          </w:p>
        </w:tc>
        <w:tc>
          <w:tcPr>
            <w:tcW w:w="51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eastAsia="宋体" w:cs="宋体"/>
                <w:i w:val="0"/>
                <w:iCs w:val="0"/>
                <w:color w:val="000000"/>
                <w:kern w:val="0"/>
                <w:sz w:val="20"/>
                <w:szCs w:val="20"/>
                <w:u w:val="none"/>
                <w:lang w:val="en-US" w:eastAsia="zh-CN"/>
              </w:rPr>
              <w:t>预期目标</w:t>
            </w:r>
          </w:p>
        </w:tc>
        <w:tc>
          <w:tcPr>
            <w:tcW w:w="42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eastAsia="宋体" w:cs="宋体"/>
                <w:i w:val="0"/>
                <w:iCs w:val="0"/>
                <w:color w:val="000000"/>
                <w:kern w:val="0"/>
                <w:sz w:val="20"/>
                <w:szCs w:val="20"/>
                <w:u w:val="none"/>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51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 xml:space="preserve">    保证离退休人员社会化管理服务工作正常开展，同时，采取多种方式防止离退休人员死亡不报、重复计领、个人冒领，堵塞基金流失黑洞。推进我市企业退休人员社会化管理服务工作，构建和谐广元，维护社会稳定。</w:t>
            </w:r>
          </w:p>
        </w:tc>
        <w:tc>
          <w:tcPr>
            <w:tcW w:w="4282" w:type="dxa"/>
            <w:gridSpan w:val="2"/>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hint="eastAsia" w:ascii="宋体" w:hAnsi="宋体" w:eastAsia="宋体" w:cs="宋体"/>
                <w:i w:val="0"/>
                <w:iCs w:val="0"/>
                <w:color w:val="000000"/>
                <w:kern w:val="0"/>
                <w:sz w:val="20"/>
                <w:szCs w:val="20"/>
                <w:u w:val="none"/>
                <w:lang w:val="en-US" w:eastAsia="zh-CN"/>
              </w:rPr>
            </w:pPr>
          </w:p>
          <w:p>
            <w:pPr>
              <w:widowControl/>
              <w:jc w:val="center"/>
              <w:textAlignment w:val="top"/>
              <w:rPr>
                <w:sz w:val="16"/>
                <w:szCs w:val="16"/>
              </w:rPr>
            </w:pPr>
            <w:r>
              <w:rPr>
                <w:rFonts w:hint="eastAsia" w:ascii="宋体" w:hAnsi="宋体" w:eastAsia="宋体" w:cs="宋体"/>
                <w:i w:val="0"/>
                <w:iCs w:val="0"/>
                <w:color w:val="000000"/>
                <w:kern w:val="0"/>
                <w:sz w:val="20"/>
                <w:szCs w:val="20"/>
                <w:u w:val="none"/>
                <w:lang w:val="en-US" w:eastAsia="zh-CN"/>
              </w:rPr>
              <w:t xml:space="preserve">   全市企业职工基本养老保险累计发放养老金53.21亿元（市本级累计发放17.54亿元），机关事业单位养老保险累计发放养老金25.64亿元（市本级累计发放4.61亿元），城乡居民养老保险累计发放养老金7.18亿元，按时足额发放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年度</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绩效</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指标</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完成</w:t>
            </w:r>
          </w:p>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情况</w:t>
            </w: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一级指标</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二级指标</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三级指标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指标值</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项目完成指标</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时效指标</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完成时间</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2021年12月31日</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eastAsia="宋体" w:cs="宋体"/>
                <w:i w:val="0"/>
                <w:iCs w:val="0"/>
                <w:color w:val="000000"/>
                <w:kern w:val="0"/>
                <w:sz w:val="20"/>
                <w:szCs w:val="20"/>
                <w:u w:val="none"/>
                <w:lang w:val="en-US" w:eastAsia="zh-CN"/>
              </w:rPr>
              <w:t>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成本指标</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档案整理用品和办公用品购置费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8万元/年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8"/>
                <w:szCs w:val="21"/>
              </w:rPr>
            </w:pPr>
            <w:r>
              <w:rPr>
                <w:rFonts w:hint="eastAsia" w:ascii="宋体" w:hAnsi="宋体" w:eastAsia="宋体" w:cs="宋体"/>
                <w:i w:val="0"/>
                <w:iCs w:val="0"/>
                <w:color w:val="000000"/>
                <w:kern w:val="0"/>
                <w:sz w:val="20"/>
                <w:szCs w:val="20"/>
                <w:u w:val="none"/>
                <w:lang w:val="en-US" w:eastAsia="zh-CN"/>
              </w:rPr>
              <w:t>8万元/年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档案管理人员劳务费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24万元/年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24万元/年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平台业务办理人员培训费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3万元/年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3万元/年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退休人员重大节日活动费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15万元/年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15万元/年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退休人员生病慰问金</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5万元/年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5万元/年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退休人员丧事协办费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3万元/年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3万元/年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退休人员的各类政策宣传、活动报道</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4万元/年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4万元/年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对卧床不起、无认证反馈的离退休人员开展上门认证、核查，对冒领养老金追收等发生的人员差旅费、交通费、租车费</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6万元/年</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6万元/年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项目效果指标</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社会效益</w:t>
            </w:r>
          </w:p>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指标</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保持养老金按时足额发放率和社会化发放率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100%</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u w:val="none"/>
              </w:rPr>
            </w:pPr>
          </w:p>
        </w:tc>
        <w:tc>
          <w:tcPr>
            <w:tcW w:w="10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满意度</w:t>
            </w:r>
          </w:p>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指标</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满意度指标</w:t>
            </w:r>
          </w:p>
        </w:tc>
        <w:tc>
          <w:tcPr>
            <w:tcW w:w="3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群众满意度</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rPr>
              <w:t>100%</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16"/>
                <w:szCs w:val="16"/>
              </w:rPr>
            </w:pPr>
            <w:r>
              <w:rPr>
                <w:rFonts w:hint="eastAsia" w:ascii="宋体" w:hAnsi="宋体" w:eastAsia="宋体" w:cs="宋体"/>
                <w:i w:val="0"/>
                <w:iCs w:val="0"/>
                <w:color w:val="000000"/>
                <w:kern w:val="0"/>
                <w:sz w:val="20"/>
                <w:szCs w:val="20"/>
                <w:u w:val="none"/>
                <w:lang w:val="en-US" w:eastAsia="zh-CN"/>
              </w:rPr>
              <w:t>100%</w:t>
            </w:r>
          </w:p>
        </w:tc>
      </w:tr>
    </w:tbl>
    <w:tbl>
      <w:tblPr>
        <w:tblStyle w:val="13"/>
        <w:tblpPr w:leftFromText="180" w:rightFromText="180" w:vertAnchor="text" w:horzAnchor="page" w:tblpX="1331" w:tblpY="264"/>
        <w:tblOverlap w:val="never"/>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630"/>
        <w:gridCol w:w="1125"/>
        <w:gridCol w:w="2715"/>
        <w:gridCol w:w="177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65" w:type="dxa"/>
            <w:gridSpan w:val="6"/>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p>
          <w:p>
            <w:pPr>
              <w:widowControl/>
              <w:jc w:val="center"/>
              <w:textAlignment w:val="center"/>
              <w:rPr>
                <w:rFonts w:hint="eastAsia" w:ascii="宋体" w:hAnsi="宋体" w:eastAsia="宋体" w:cs="宋体"/>
                <w:i w:val="0"/>
                <w:iCs w:val="0"/>
                <w:color w:val="000000"/>
                <w:kern w:val="0"/>
                <w:sz w:val="20"/>
                <w:szCs w:val="20"/>
                <w:u w:val="none"/>
                <w:lang w:val="en-US" w:eastAsia="zh-CN"/>
              </w:rPr>
            </w:pPr>
          </w:p>
          <w:p>
            <w:pPr>
              <w:widowControl/>
              <w:jc w:val="center"/>
              <w:textAlignment w:val="center"/>
              <w:rPr>
                <w:rFonts w:hint="eastAsia" w:ascii="宋体" w:hAnsi="宋体" w:eastAsia="宋体" w:cs="宋体"/>
                <w:i w:val="0"/>
                <w:iCs w:val="0"/>
                <w:color w:val="000000"/>
                <w:kern w:val="0"/>
                <w:sz w:val="20"/>
                <w:szCs w:val="20"/>
                <w:u w:val="none"/>
                <w:lang w:val="en-US" w:eastAsia="zh-CN"/>
              </w:rPr>
            </w:pPr>
          </w:p>
          <w:p>
            <w:pPr>
              <w:widowControl/>
              <w:jc w:val="center"/>
              <w:textAlignment w:val="center"/>
              <w:rPr>
                <w:rFonts w:hint="eastAsia" w:ascii="宋体" w:hAnsi="宋体" w:eastAsia="宋体" w:cs="宋体"/>
                <w:i w:val="0"/>
                <w:iCs w:val="0"/>
                <w:color w:val="000000"/>
                <w:kern w:val="0"/>
                <w:sz w:val="20"/>
                <w:szCs w:val="20"/>
                <w:u w:val="none"/>
                <w:lang w:val="en-US" w:eastAsia="zh-CN"/>
              </w:rPr>
            </w:pP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6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项目名称</w:t>
            </w:r>
          </w:p>
        </w:tc>
        <w:tc>
          <w:tcPr>
            <w:tcW w:w="64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企保、机保代财政管理工作经费（原代管工作经费）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6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主管单位</w:t>
            </w:r>
          </w:p>
        </w:tc>
        <w:tc>
          <w:tcPr>
            <w:tcW w:w="2715"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广元市人力资源和社会保障局</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实施单位</w:t>
            </w:r>
          </w:p>
        </w:tc>
        <w:tc>
          <w:tcPr>
            <w:tcW w:w="1920"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广元市社会保险事务中心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预算</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情况</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rPr>
              <w:t>（万元）</w:t>
            </w: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预算数：</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执行数：</w:t>
            </w:r>
          </w:p>
        </w:tc>
        <w:tc>
          <w:tcPr>
            <w:tcW w:w="1920"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其中：财政拨款</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70" w:type="dxa"/>
            <w:tcBorders>
              <w:top w:val="single" w:color="000000" w:sz="4" w:space="0"/>
              <w:left w:val="nil"/>
              <w:bottom w:val="nil"/>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其中：财政拨款</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5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其他资金</w:t>
            </w:r>
          </w:p>
        </w:tc>
        <w:tc>
          <w:tcPr>
            <w:tcW w:w="27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nil"/>
              <w:bottom w:val="nil"/>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其他资金</w:t>
            </w:r>
          </w:p>
        </w:tc>
        <w:tc>
          <w:tcPr>
            <w:tcW w:w="19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年度</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目标</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完成</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情况</w:t>
            </w:r>
          </w:p>
        </w:tc>
        <w:tc>
          <w:tcPr>
            <w:tcW w:w="44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预期目标</w:t>
            </w:r>
          </w:p>
        </w:tc>
        <w:tc>
          <w:tcPr>
            <w:tcW w:w="3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4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协助政府代发放离休、退休、退休人员遗孀困难补助等不属于统筹支付的项目、开展退管活动，减轻财政负担。</w:t>
            </w:r>
          </w:p>
        </w:tc>
        <w:tc>
          <w:tcPr>
            <w:tcW w:w="3690" w:type="dxa"/>
            <w:gridSpan w:val="2"/>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协助政府代发放离休、退休、退休人员遗孀困难补助等不属于统筹支付的项目、开展退管活动，减轻财政负担。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0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年度</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绩效</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指标</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完成</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情况</w:t>
            </w:r>
          </w:p>
        </w:tc>
        <w:tc>
          <w:tcPr>
            <w:tcW w:w="63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二级指标</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三级指标</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指标值</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项目完成指标</w:t>
            </w:r>
          </w:p>
        </w:tc>
        <w:tc>
          <w:tcPr>
            <w:tcW w:w="112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数量指标</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代财政发放机保离退休人数</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150人/月</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代财政发放企保离退休、劳模等人数</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200人/月</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时效指标</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完成时间</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2021年12月</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成本指标</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离休人员公务员津贴</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5万元/年</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成铁局划转人员、081中学教师补差（含生活补贴）</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2万元/年</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劳模津贴</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1万元/年</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代发建国初期参加革命工作退休人员生活补贴</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5万元/年</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改制转企原事业单位人员（县级）补贴</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3万元/年</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退休人员遗孀困难补助</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2万元/年</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项目效果指标</w:t>
            </w:r>
          </w:p>
        </w:tc>
        <w:tc>
          <w:tcPr>
            <w:tcW w:w="11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社会效益</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指标</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确保相关离退休人员、遗孀基本生活</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使退休人员老有所养，维护社会稳定</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使退休人员老有所养，维护社会稳定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满意度</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指标</w:t>
            </w:r>
          </w:p>
        </w:tc>
        <w:tc>
          <w:tcPr>
            <w:tcW w:w="11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满意度指标</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w:t>
            </w:r>
          </w:p>
        </w:tc>
        <w:tc>
          <w:tcPr>
            <w:tcW w:w="1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bl>
    <w:tbl>
      <w:tblPr>
        <w:tblStyle w:val="13"/>
        <w:tblpPr w:leftFromText="180" w:rightFromText="180" w:vertAnchor="text" w:horzAnchor="page" w:tblpX="1432" w:tblpY="2122"/>
        <w:tblOverlap w:val="neve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735"/>
        <w:gridCol w:w="1095"/>
        <w:gridCol w:w="3075"/>
        <w:gridCol w:w="1687"/>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105" w:type="dxa"/>
            <w:gridSpan w:val="6"/>
            <w:tcBorders>
              <w:top w:val="nil"/>
              <w:left w:val="nil"/>
              <w:bottom w:val="nil"/>
              <w:right w:val="nil"/>
            </w:tcBorders>
            <w:vAlign w:val="center"/>
          </w:tcPr>
          <w:p>
            <w:pPr>
              <w:widowControl/>
              <w:jc w:val="both"/>
              <w:textAlignment w:val="center"/>
              <w:rPr>
                <w:rFonts w:hint="default" w:ascii="宋体" w:hAnsi="宋体" w:eastAsia="宋体" w:cs="宋体"/>
                <w:i w:val="0"/>
                <w:iCs w:val="0"/>
                <w:color w:val="000000"/>
                <w:kern w:val="0"/>
                <w:sz w:val="40"/>
                <w:szCs w:val="40"/>
                <w:u w:val="none"/>
                <w:lang w:val="en-US" w:eastAsia="zh-CN"/>
              </w:rPr>
            </w:pPr>
          </w:p>
          <w:p>
            <w:pPr>
              <w:widowControl/>
              <w:jc w:val="center"/>
              <w:textAlignment w:val="center"/>
              <w:rPr>
                <w:rFonts w:hint="default" w:ascii="宋体" w:hAnsi="宋体" w:eastAsia="宋体" w:cs="宋体"/>
                <w:i w:val="0"/>
                <w:iCs w:val="0"/>
                <w:color w:val="000000"/>
                <w:kern w:val="0"/>
                <w:sz w:val="40"/>
                <w:szCs w:val="40"/>
                <w:u w:val="none"/>
                <w:lang w:val="en-US" w:eastAsia="zh-CN"/>
              </w:rPr>
            </w:pPr>
          </w:p>
          <w:p>
            <w:pPr>
              <w:widowControl/>
              <w:jc w:val="center"/>
              <w:textAlignment w:val="center"/>
              <w:rPr>
                <w:rFonts w:ascii="方正小标宋简体" w:hAnsi="方正小标宋简体" w:eastAsia="方正小标宋简体" w:cs="方正小标宋简体"/>
                <w:i w:val="0"/>
                <w:iCs w:val="0"/>
                <w:color w:val="000000"/>
                <w:sz w:val="20"/>
                <w:szCs w:val="20"/>
                <w:u w:val="none"/>
              </w:rPr>
            </w:pPr>
            <w:r>
              <w:rPr>
                <w:rFonts w:hint="default" w:ascii="宋体" w:hAnsi="宋体" w:eastAsia="宋体" w:cs="宋体"/>
                <w:i w:val="0"/>
                <w:iCs w:val="0"/>
                <w:color w:val="000000"/>
                <w:kern w:val="0"/>
                <w:sz w:val="40"/>
                <w:szCs w:val="40"/>
                <w:u w:val="none"/>
                <w:lang w:val="en-US" w:eastAsia="zh-CN"/>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105" w:type="dxa"/>
            <w:gridSpan w:val="6"/>
            <w:tcBorders>
              <w:top w:val="nil"/>
              <w:left w:val="nil"/>
              <w:bottom w:val="nil"/>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项目名称</w:t>
            </w:r>
          </w:p>
        </w:tc>
        <w:tc>
          <w:tcPr>
            <w:tcW w:w="63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社会保险全民参保工作专项经费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71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主管单位</w:t>
            </w:r>
          </w:p>
        </w:tc>
        <w:tc>
          <w:tcPr>
            <w:tcW w:w="3075"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广元市人力资源和社会保障局</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实施单位</w:t>
            </w:r>
          </w:p>
        </w:tc>
        <w:tc>
          <w:tcPr>
            <w:tcW w:w="1628" w:type="dxa"/>
            <w:tcBorders>
              <w:top w:val="single" w:color="000000" w:sz="4" w:space="0"/>
              <w:left w:val="nil"/>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广元市社会保险事务中心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预算</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情况</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预算数：</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22.28</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执行数：</w:t>
            </w:r>
          </w:p>
        </w:tc>
        <w:tc>
          <w:tcPr>
            <w:tcW w:w="1628"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其中：财政拨款</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22.28</w:t>
            </w:r>
          </w:p>
        </w:tc>
        <w:tc>
          <w:tcPr>
            <w:tcW w:w="1687" w:type="dxa"/>
            <w:tcBorders>
              <w:top w:val="single" w:color="000000" w:sz="4" w:space="0"/>
              <w:left w:val="nil"/>
              <w:bottom w:val="nil"/>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其中：财政拨款</w:t>
            </w:r>
          </w:p>
        </w:tc>
        <w:tc>
          <w:tcPr>
            <w:tcW w:w="1628"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其他资金</w:t>
            </w:r>
          </w:p>
        </w:tc>
        <w:tc>
          <w:tcPr>
            <w:tcW w:w="30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687" w:type="dxa"/>
            <w:tcBorders>
              <w:top w:val="single" w:color="000000" w:sz="4" w:space="0"/>
              <w:left w:val="nil"/>
              <w:bottom w:val="nil"/>
              <w:right w:val="single" w:color="000000" w:sz="4" w:space="0"/>
            </w:tcBorders>
            <w:vAlign w:val="center"/>
          </w:tcPr>
          <w:p>
            <w:pPr>
              <w:widowControl/>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其他资金</w:t>
            </w:r>
          </w:p>
        </w:tc>
        <w:tc>
          <w:tcPr>
            <w:tcW w:w="16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年度</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目标</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完成</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情况</w:t>
            </w:r>
          </w:p>
        </w:tc>
        <w:tc>
          <w:tcPr>
            <w:tcW w:w="49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预期目标</w:t>
            </w:r>
          </w:p>
        </w:tc>
        <w:tc>
          <w:tcPr>
            <w:tcW w:w="33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85"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4905"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根据《四川省人民政府办公厅关于做好社会保险费和非税收入征管职责划转工作的实施意见》要求，做好社会保险参保登记工作，完成2021年社会保险目标任务。</w:t>
            </w:r>
          </w:p>
        </w:tc>
        <w:tc>
          <w:tcPr>
            <w:tcW w:w="3315" w:type="dxa"/>
            <w:gridSpan w:val="2"/>
            <w:tcBorders>
              <w:top w:val="single" w:color="000000" w:sz="4" w:space="0"/>
              <w:left w:val="single" w:color="000000" w:sz="4" w:space="0"/>
              <w:bottom w:val="single" w:color="auto" w:sz="4" w:space="0"/>
              <w:right w:val="nil"/>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全市城镇职工基本养老保险参保66.82万人，完成目标任务的110.34%。其中执行企业制度在职职工35.34万人，完成目标任务的118.71%。城乡居民基本养老保险参保123.86万人；工伤保险参保21.3 万人，完成目标任务的136.36%；失业保险参保16.09万人，完成目标任务的100.56%。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885" w:type="dxa"/>
            <w:vMerge w:val="restart"/>
            <w:tcBorders>
              <w:top w:val="single" w:color="auto" w:sz="4" w:space="0"/>
              <w:left w:val="single" w:color="auto"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年度</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绩效</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指标</w:t>
            </w:r>
          </w:p>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完成</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情况</w:t>
            </w:r>
          </w:p>
        </w:tc>
        <w:tc>
          <w:tcPr>
            <w:tcW w:w="735" w:type="dxa"/>
            <w:tcBorders>
              <w:top w:val="single" w:color="auto"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一级指标</w:t>
            </w:r>
          </w:p>
        </w:tc>
        <w:tc>
          <w:tcPr>
            <w:tcW w:w="109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二级指标</w:t>
            </w:r>
          </w:p>
        </w:tc>
        <w:tc>
          <w:tcPr>
            <w:tcW w:w="307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三级指标</w:t>
            </w:r>
          </w:p>
        </w:tc>
        <w:tc>
          <w:tcPr>
            <w:tcW w:w="168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指标值</w:t>
            </w:r>
          </w:p>
        </w:tc>
        <w:tc>
          <w:tcPr>
            <w:tcW w:w="1628"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项目完成指标</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数量指标</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全市企业职工基本养老保险参保</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34.9万人</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全市企业职工工伤保险参保</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17.48万人</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时效指标</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完成时间</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2021年12月</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成本指标</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数据更新和动态管理、入户调查、精准扩面工作费用</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9万元/年</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办公用品、电脑耗材、电脑及打印机维修</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4万元/年</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邮寄养老转移单催缴通知书费用</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3万元/年</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养老保险手册印制</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3元/年</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宣传资料印刷费及媒体宣传费用</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3.28万元/年</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3.28万元/年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社会效益</w:t>
            </w:r>
          </w:p>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指标</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对工作的促进作用</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促进社会保险参保登记，有利于完成目标任务</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促进社会保险参保登记，有利于完成目标任务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vMerge w:val="continue"/>
            <w:tcBorders>
              <w:top w:val="single" w:color="000000" w:sz="4" w:space="0"/>
              <w:left w:val="single" w:color="auto"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对社会的积极影响</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扩大参保面积，保障参保者利益</w:t>
            </w:r>
          </w:p>
        </w:tc>
        <w:tc>
          <w:tcPr>
            <w:tcW w:w="162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扩大参保面积，保障参保者利益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85" w:type="dxa"/>
            <w:vMerge w:val="continue"/>
            <w:tcBorders>
              <w:top w:val="single" w:color="000000"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满意度指标</w:t>
            </w:r>
          </w:p>
          <w:p>
            <w:pPr>
              <w:pStyle w:val="2"/>
              <w:rPr>
                <w:rFonts w:hint="eastAsia"/>
              </w:rPr>
            </w:pPr>
          </w:p>
        </w:tc>
        <w:tc>
          <w:tcPr>
            <w:tcW w:w="109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满意度指标</w:t>
            </w:r>
          </w:p>
        </w:tc>
        <w:tc>
          <w:tcPr>
            <w:tcW w:w="3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群众满意</w:t>
            </w:r>
          </w:p>
        </w:tc>
        <w:tc>
          <w:tcPr>
            <w:tcW w:w="168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1628"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100%</w:t>
            </w:r>
          </w:p>
        </w:tc>
      </w:tr>
    </w:tbl>
    <w:p>
      <w:pPr>
        <w:spacing w:line="600" w:lineRule="exact"/>
        <w:jc w:val="center"/>
        <w:outlineLvl w:val="0"/>
        <w:rPr>
          <w:rFonts w:hint="eastAsia" w:ascii="仿宋" w:hAnsi="仿宋" w:eastAsia="仿宋"/>
          <w:b w:val="0"/>
          <w:color w:val="auto"/>
          <w:highlight w:val="none"/>
        </w:rPr>
      </w:pPr>
      <w:bookmarkStart w:id="173" w:name="_Toc13575"/>
      <w:bookmarkStart w:id="174" w:name="_Toc28767"/>
      <w:bookmarkStart w:id="175" w:name="_Toc15396618"/>
      <w:bookmarkStart w:id="176" w:name="_Toc22735"/>
      <w:bookmarkStart w:id="177" w:name="_Toc4242"/>
      <w:r>
        <w:rPr>
          <w:rFonts w:hint="eastAsia" w:ascii="黑体" w:hAnsi="黑体" w:eastAsia="黑体"/>
          <w:color w:val="auto"/>
          <w:sz w:val="44"/>
          <w:szCs w:val="44"/>
          <w:highlight w:val="none"/>
        </w:rPr>
        <w:t>第</w:t>
      </w:r>
      <w:r>
        <w:rPr>
          <w:rStyle w:val="35"/>
          <w:rFonts w:hint="eastAsia" w:ascii="黑体" w:hAnsi="黑体" w:eastAsia="黑体"/>
          <w:b w:val="0"/>
          <w:color w:val="auto"/>
          <w:highlight w:val="none"/>
        </w:rPr>
        <w:t>五部分 附表</w:t>
      </w:r>
      <w:bookmarkEnd w:id="151"/>
      <w:bookmarkEnd w:id="173"/>
      <w:bookmarkEnd w:id="174"/>
      <w:bookmarkEnd w:id="175"/>
      <w:bookmarkEnd w:id="176"/>
      <w:bookmarkEnd w:id="177"/>
      <w:bookmarkStart w:id="178" w:name="_Toc15396619"/>
    </w:p>
    <w:p>
      <w:pPr>
        <w:pStyle w:val="4"/>
        <w:rPr>
          <w:rFonts w:hint="eastAsia" w:ascii="仿宋_GB2312" w:hAnsi="仿宋_GB2312" w:eastAsia="仿宋_GB2312" w:cs="仿宋_GB2312"/>
          <w:color w:val="auto"/>
          <w:highlight w:val="none"/>
        </w:rPr>
      </w:pPr>
      <w:bookmarkStart w:id="179" w:name="_Toc13746"/>
      <w:bookmarkStart w:id="180" w:name="_Toc11312"/>
      <w:bookmarkStart w:id="181" w:name="_Toc1698"/>
      <w:bookmarkStart w:id="182" w:name="_Toc28560"/>
      <w:bookmarkStart w:id="183" w:name="_Toc11942"/>
      <w:r>
        <w:rPr>
          <w:rFonts w:hint="eastAsia" w:ascii="仿宋_GB2312" w:hAnsi="仿宋_GB2312" w:eastAsia="仿宋_GB2312" w:cs="仿宋_GB2312"/>
          <w:b w:val="0"/>
          <w:color w:val="auto"/>
          <w:highlight w:val="none"/>
        </w:rPr>
        <w:t>一、收</w:t>
      </w:r>
      <w:r>
        <w:rPr>
          <w:rStyle w:val="23"/>
          <w:rFonts w:hint="eastAsia" w:ascii="仿宋_GB2312" w:hAnsi="仿宋_GB2312" w:eastAsia="仿宋_GB2312" w:cs="仿宋_GB2312"/>
          <w:b w:val="0"/>
          <w:bCs w:val="0"/>
          <w:color w:val="auto"/>
          <w:highlight w:val="none"/>
        </w:rPr>
        <w:t>入支出决算总表</w:t>
      </w:r>
      <w:bookmarkEnd w:id="178"/>
      <w:bookmarkEnd w:id="179"/>
      <w:bookmarkEnd w:id="180"/>
      <w:bookmarkEnd w:id="181"/>
      <w:bookmarkEnd w:id="182"/>
      <w:bookmarkEnd w:id="183"/>
    </w:p>
    <w:p>
      <w:pPr>
        <w:pStyle w:val="4"/>
        <w:rPr>
          <w:rFonts w:hint="eastAsia" w:ascii="仿宋_GB2312" w:hAnsi="仿宋_GB2312" w:eastAsia="仿宋_GB2312" w:cs="仿宋_GB2312"/>
          <w:color w:val="auto"/>
          <w:highlight w:val="none"/>
        </w:rPr>
      </w:pPr>
      <w:bookmarkStart w:id="184" w:name="_Toc22853"/>
      <w:bookmarkStart w:id="185" w:name="_Toc15396620"/>
      <w:bookmarkStart w:id="186" w:name="_Toc7348"/>
      <w:bookmarkStart w:id="187" w:name="_Toc30566"/>
      <w:bookmarkStart w:id="188" w:name="_Toc2943"/>
      <w:bookmarkStart w:id="189" w:name="_Toc25218"/>
      <w:r>
        <w:rPr>
          <w:rFonts w:hint="eastAsia" w:ascii="仿宋_GB2312" w:hAnsi="仿宋_GB2312" w:eastAsia="仿宋_GB2312" w:cs="仿宋_GB2312"/>
          <w:b w:val="0"/>
          <w:color w:val="auto"/>
          <w:highlight w:val="none"/>
        </w:rPr>
        <w:t>二、收</w:t>
      </w:r>
      <w:r>
        <w:rPr>
          <w:rStyle w:val="23"/>
          <w:rFonts w:hint="eastAsia" w:ascii="仿宋_GB2312" w:hAnsi="仿宋_GB2312" w:eastAsia="仿宋_GB2312" w:cs="仿宋_GB2312"/>
          <w:b w:val="0"/>
          <w:bCs w:val="0"/>
          <w:color w:val="auto"/>
          <w:highlight w:val="none"/>
        </w:rPr>
        <w:t>入决算表</w:t>
      </w:r>
      <w:bookmarkEnd w:id="184"/>
      <w:bookmarkEnd w:id="185"/>
      <w:bookmarkEnd w:id="186"/>
      <w:bookmarkEnd w:id="187"/>
      <w:bookmarkEnd w:id="188"/>
      <w:bookmarkEnd w:id="189"/>
    </w:p>
    <w:p>
      <w:pPr>
        <w:pStyle w:val="4"/>
        <w:rPr>
          <w:rFonts w:hint="eastAsia" w:ascii="仿宋_GB2312" w:hAnsi="仿宋_GB2312" w:eastAsia="仿宋_GB2312" w:cs="仿宋_GB2312"/>
          <w:color w:val="auto"/>
          <w:highlight w:val="none"/>
        </w:rPr>
      </w:pPr>
      <w:bookmarkStart w:id="190" w:name="_Toc21480"/>
      <w:bookmarkStart w:id="191" w:name="_Toc15396621"/>
      <w:bookmarkStart w:id="192" w:name="_Toc21259"/>
      <w:bookmarkStart w:id="193" w:name="_Toc23081"/>
      <w:bookmarkStart w:id="194" w:name="_Toc29408"/>
      <w:bookmarkStart w:id="195" w:name="_Toc4486"/>
      <w:r>
        <w:rPr>
          <w:rStyle w:val="23"/>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3"/>
          <w:rFonts w:hint="eastAsia" w:ascii="仿宋_GB2312" w:hAnsi="仿宋_GB2312" w:eastAsia="仿宋_GB2312" w:cs="仿宋_GB2312"/>
          <w:b w:val="0"/>
          <w:bCs w:val="0"/>
          <w:color w:val="auto"/>
          <w:highlight w:val="none"/>
        </w:rPr>
        <w:t>出决算表</w:t>
      </w:r>
      <w:bookmarkEnd w:id="190"/>
      <w:bookmarkEnd w:id="191"/>
      <w:bookmarkEnd w:id="192"/>
      <w:bookmarkEnd w:id="193"/>
      <w:bookmarkEnd w:id="194"/>
      <w:bookmarkEnd w:id="195"/>
    </w:p>
    <w:p>
      <w:pPr>
        <w:pStyle w:val="4"/>
        <w:rPr>
          <w:rFonts w:hint="eastAsia" w:ascii="仿宋_GB2312" w:hAnsi="仿宋_GB2312" w:eastAsia="仿宋_GB2312" w:cs="仿宋_GB2312"/>
          <w:b w:val="0"/>
          <w:color w:val="auto"/>
          <w:highlight w:val="none"/>
        </w:rPr>
      </w:pPr>
      <w:bookmarkStart w:id="196" w:name="_Toc8352"/>
      <w:bookmarkStart w:id="197" w:name="_Toc4411"/>
      <w:bookmarkStart w:id="198" w:name="_Toc23445"/>
      <w:bookmarkStart w:id="199" w:name="_Toc15396622"/>
      <w:bookmarkStart w:id="200" w:name="_Toc210"/>
      <w:bookmarkStart w:id="201" w:name="_Toc9939"/>
      <w:r>
        <w:rPr>
          <w:rStyle w:val="23"/>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3"/>
          <w:rFonts w:hint="eastAsia" w:ascii="仿宋_GB2312" w:hAnsi="仿宋_GB2312" w:eastAsia="仿宋_GB2312" w:cs="仿宋_GB2312"/>
          <w:b w:val="0"/>
          <w:bCs w:val="0"/>
          <w:color w:val="auto"/>
          <w:highlight w:val="none"/>
        </w:rPr>
        <w:t>政拨款收入支出决算总表</w:t>
      </w:r>
      <w:bookmarkEnd w:id="196"/>
      <w:bookmarkEnd w:id="197"/>
      <w:bookmarkEnd w:id="198"/>
      <w:bookmarkEnd w:id="199"/>
      <w:bookmarkEnd w:id="200"/>
      <w:bookmarkEnd w:id="201"/>
    </w:p>
    <w:p>
      <w:pPr>
        <w:pStyle w:val="4"/>
        <w:rPr>
          <w:rStyle w:val="23"/>
          <w:rFonts w:hint="eastAsia" w:ascii="仿宋_GB2312" w:hAnsi="仿宋_GB2312" w:eastAsia="仿宋_GB2312" w:cs="仿宋_GB2312"/>
          <w:b w:val="0"/>
          <w:bCs w:val="0"/>
          <w:color w:val="auto"/>
          <w:highlight w:val="none"/>
        </w:rPr>
      </w:pPr>
      <w:bookmarkStart w:id="202" w:name="_Toc5575"/>
      <w:bookmarkStart w:id="203" w:name="_Toc17364"/>
      <w:bookmarkStart w:id="204" w:name="_Toc15178"/>
      <w:bookmarkStart w:id="205" w:name="_Toc30910"/>
      <w:bookmarkStart w:id="206" w:name="_Toc23625"/>
      <w:bookmarkStart w:id="207" w:name="_Toc15396623"/>
      <w:r>
        <w:rPr>
          <w:rStyle w:val="23"/>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3"/>
          <w:rFonts w:hint="eastAsia" w:ascii="仿宋_GB2312" w:hAnsi="仿宋_GB2312" w:eastAsia="仿宋_GB2312" w:cs="仿宋_GB2312"/>
          <w:b w:val="0"/>
          <w:bCs w:val="0"/>
          <w:color w:val="auto"/>
          <w:highlight w:val="none"/>
        </w:rPr>
        <w:t>政拨款支出决算明细表</w:t>
      </w:r>
      <w:bookmarkEnd w:id="202"/>
      <w:bookmarkEnd w:id="203"/>
      <w:bookmarkEnd w:id="204"/>
      <w:bookmarkEnd w:id="205"/>
      <w:bookmarkEnd w:id="206"/>
      <w:bookmarkEnd w:id="207"/>
      <w:bookmarkStart w:id="208" w:name="_Toc15396624"/>
    </w:p>
    <w:p>
      <w:pPr>
        <w:pStyle w:val="4"/>
        <w:rPr>
          <w:rFonts w:hint="eastAsia" w:ascii="仿宋_GB2312" w:hAnsi="仿宋_GB2312" w:eastAsia="仿宋_GB2312" w:cs="仿宋_GB2312"/>
          <w:color w:val="auto"/>
          <w:highlight w:val="none"/>
        </w:rPr>
      </w:pPr>
      <w:bookmarkStart w:id="209" w:name="_Toc8538"/>
      <w:bookmarkStart w:id="210" w:name="_Toc2552"/>
      <w:bookmarkStart w:id="211" w:name="_Toc26103"/>
      <w:bookmarkStart w:id="212" w:name="_Toc14817"/>
      <w:bookmarkStart w:id="213" w:name="_Toc3382"/>
      <w:r>
        <w:rPr>
          <w:rStyle w:val="23"/>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3"/>
          <w:rFonts w:hint="eastAsia" w:ascii="仿宋_GB2312" w:hAnsi="仿宋_GB2312" w:eastAsia="仿宋_GB2312" w:cs="仿宋_GB2312"/>
          <w:b w:val="0"/>
          <w:bCs w:val="0"/>
          <w:color w:val="auto"/>
          <w:highlight w:val="none"/>
        </w:rPr>
        <w:t>般公共预算财政拨款支出决算表</w:t>
      </w:r>
      <w:bookmarkEnd w:id="208"/>
      <w:bookmarkEnd w:id="209"/>
      <w:bookmarkEnd w:id="210"/>
      <w:bookmarkEnd w:id="211"/>
      <w:bookmarkEnd w:id="212"/>
      <w:bookmarkEnd w:id="213"/>
    </w:p>
    <w:p>
      <w:pPr>
        <w:pStyle w:val="4"/>
        <w:rPr>
          <w:rFonts w:hint="eastAsia" w:ascii="仿宋_GB2312" w:hAnsi="仿宋_GB2312" w:eastAsia="仿宋_GB2312" w:cs="仿宋_GB2312"/>
          <w:color w:val="auto"/>
          <w:highlight w:val="none"/>
        </w:rPr>
      </w:pPr>
      <w:bookmarkStart w:id="214" w:name="_Toc16016"/>
      <w:bookmarkStart w:id="215" w:name="_Toc21876"/>
      <w:bookmarkStart w:id="216" w:name="_Toc15396625"/>
      <w:bookmarkStart w:id="217" w:name="_Toc10854"/>
      <w:bookmarkStart w:id="218" w:name="_Toc23408"/>
      <w:bookmarkStart w:id="219" w:name="_Toc1328"/>
      <w:r>
        <w:rPr>
          <w:rStyle w:val="23"/>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3"/>
          <w:rFonts w:hint="eastAsia" w:ascii="仿宋_GB2312" w:hAnsi="仿宋_GB2312" w:eastAsia="仿宋_GB2312" w:cs="仿宋_GB2312"/>
          <w:b w:val="0"/>
          <w:bCs w:val="0"/>
          <w:color w:val="auto"/>
          <w:highlight w:val="none"/>
        </w:rPr>
        <w:t>般公共预算财政拨款支出决算明细表</w:t>
      </w:r>
      <w:bookmarkEnd w:id="214"/>
      <w:bookmarkEnd w:id="215"/>
      <w:bookmarkEnd w:id="216"/>
      <w:bookmarkEnd w:id="217"/>
      <w:bookmarkEnd w:id="218"/>
      <w:bookmarkEnd w:id="219"/>
    </w:p>
    <w:p>
      <w:pPr>
        <w:pStyle w:val="4"/>
        <w:rPr>
          <w:rFonts w:hint="eastAsia" w:ascii="仿宋_GB2312" w:hAnsi="仿宋_GB2312" w:eastAsia="仿宋_GB2312" w:cs="仿宋_GB2312"/>
          <w:color w:val="auto"/>
          <w:highlight w:val="none"/>
        </w:rPr>
      </w:pPr>
      <w:bookmarkStart w:id="220" w:name="_Toc3830"/>
      <w:bookmarkStart w:id="221" w:name="_Toc20361"/>
      <w:bookmarkStart w:id="222" w:name="_Toc15396626"/>
      <w:bookmarkStart w:id="223" w:name="_Toc25801"/>
      <w:bookmarkStart w:id="224" w:name="_Toc30094"/>
      <w:bookmarkStart w:id="225" w:name="_Toc29016"/>
      <w:r>
        <w:rPr>
          <w:rStyle w:val="23"/>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3"/>
          <w:rFonts w:hint="eastAsia" w:ascii="仿宋_GB2312" w:hAnsi="仿宋_GB2312" w:eastAsia="仿宋_GB2312" w:cs="仿宋_GB2312"/>
          <w:b w:val="0"/>
          <w:bCs w:val="0"/>
          <w:color w:val="auto"/>
          <w:highlight w:val="none"/>
        </w:rPr>
        <w:t>般公共预算财政拨款基本支出决算表</w:t>
      </w:r>
      <w:bookmarkEnd w:id="220"/>
      <w:bookmarkEnd w:id="221"/>
      <w:bookmarkEnd w:id="222"/>
      <w:bookmarkEnd w:id="223"/>
      <w:bookmarkEnd w:id="224"/>
      <w:bookmarkEnd w:id="225"/>
    </w:p>
    <w:p>
      <w:pPr>
        <w:pStyle w:val="4"/>
        <w:rPr>
          <w:rFonts w:hint="eastAsia" w:ascii="仿宋_GB2312" w:hAnsi="仿宋_GB2312" w:eastAsia="仿宋_GB2312" w:cs="仿宋_GB2312"/>
          <w:color w:val="auto"/>
          <w:highlight w:val="none"/>
        </w:rPr>
      </w:pPr>
      <w:bookmarkStart w:id="226" w:name="_Toc5255"/>
      <w:bookmarkStart w:id="227" w:name="_Toc21389"/>
      <w:bookmarkStart w:id="228" w:name="_Toc15396627"/>
      <w:bookmarkStart w:id="229" w:name="_Toc23940"/>
      <w:bookmarkStart w:id="230" w:name="_Toc4087"/>
      <w:bookmarkStart w:id="231" w:name="_Toc5685"/>
      <w:r>
        <w:rPr>
          <w:rStyle w:val="23"/>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3"/>
          <w:rFonts w:hint="eastAsia" w:ascii="仿宋_GB2312" w:hAnsi="仿宋_GB2312" w:eastAsia="仿宋_GB2312" w:cs="仿宋_GB2312"/>
          <w:b w:val="0"/>
          <w:bCs w:val="0"/>
          <w:color w:val="auto"/>
          <w:highlight w:val="none"/>
        </w:rPr>
        <w:t>般公共预算财政拨款项目支出决算表</w:t>
      </w:r>
      <w:bookmarkEnd w:id="226"/>
      <w:bookmarkEnd w:id="227"/>
      <w:bookmarkEnd w:id="228"/>
      <w:bookmarkEnd w:id="229"/>
      <w:bookmarkEnd w:id="230"/>
      <w:bookmarkEnd w:id="231"/>
    </w:p>
    <w:p>
      <w:pPr>
        <w:pStyle w:val="4"/>
        <w:rPr>
          <w:rFonts w:hint="eastAsia" w:ascii="仿宋_GB2312" w:hAnsi="仿宋_GB2312" w:eastAsia="仿宋_GB2312" w:cs="仿宋_GB2312"/>
          <w:color w:val="auto"/>
          <w:highlight w:val="none"/>
        </w:rPr>
      </w:pPr>
      <w:bookmarkStart w:id="232" w:name="_Toc10919"/>
      <w:bookmarkStart w:id="233" w:name="_Toc4429"/>
      <w:bookmarkStart w:id="234" w:name="_Toc2343"/>
      <w:bookmarkStart w:id="235" w:name="_Toc26031"/>
      <w:bookmarkStart w:id="236" w:name="_Toc4582"/>
      <w:bookmarkStart w:id="237" w:name="_Toc15396628"/>
      <w:r>
        <w:rPr>
          <w:rStyle w:val="23"/>
          <w:rFonts w:hint="eastAsia" w:ascii="仿宋_GB2312" w:hAnsi="仿宋_GB2312" w:eastAsia="仿宋_GB2312" w:cs="仿宋_GB2312"/>
          <w:b w:val="0"/>
          <w:bCs w:val="0"/>
          <w:color w:val="auto"/>
          <w:highlight w:val="none"/>
        </w:rPr>
        <w:t>十、</w:t>
      </w:r>
      <w:r>
        <w:rPr>
          <w:rFonts w:hint="eastAsia" w:ascii="仿宋_GB2312" w:hAnsi="仿宋_GB2312" w:eastAsia="仿宋_GB2312" w:cs="仿宋_GB2312"/>
          <w:b w:val="0"/>
          <w:color w:val="auto"/>
          <w:highlight w:val="none"/>
        </w:rPr>
        <w:t>一</w:t>
      </w:r>
      <w:r>
        <w:rPr>
          <w:rStyle w:val="23"/>
          <w:rFonts w:hint="eastAsia" w:ascii="仿宋_GB2312" w:hAnsi="仿宋_GB2312" w:eastAsia="仿宋_GB2312" w:cs="仿宋_GB2312"/>
          <w:b w:val="0"/>
          <w:bCs w:val="0"/>
          <w:color w:val="auto"/>
          <w:highlight w:val="none"/>
        </w:rPr>
        <w:t>般公共预算财政拨款“三公”经费支出决算表</w:t>
      </w:r>
      <w:bookmarkEnd w:id="232"/>
      <w:bookmarkEnd w:id="233"/>
      <w:bookmarkEnd w:id="234"/>
      <w:bookmarkEnd w:id="235"/>
      <w:bookmarkEnd w:id="236"/>
      <w:bookmarkEnd w:id="237"/>
    </w:p>
    <w:p>
      <w:pPr>
        <w:pStyle w:val="4"/>
        <w:rPr>
          <w:rFonts w:hint="eastAsia" w:ascii="仿宋_GB2312" w:hAnsi="仿宋_GB2312" w:eastAsia="仿宋_GB2312" w:cs="仿宋_GB2312"/>
          <w:color w:val="auto"/>
          <w:highlight w:val="none"/>
        </w:rPr>
      </w:pPr>
      <w:bookmarkStart w:id="238" w:name="_Toc15396629"/>
      <w:bookmarkStart w:id="239" w:name="_Toc10123"/>
      <w:bookmarkStart w:id="240" w:name="_Toc15597"/>
      <w:bookmarkStart w:id="241" w:name="_Toc25501"/>
      <w:bookmarkStart w:id="242" w:name="_Toc28826"/>
      <w:bookmarkStart w:id="243" w:name="_Toc21532"/>
      <w:r>
        <w:rPr>
          <w:rStyle w:val="23"/>
          <w:rFonts w:hint="eastAsia" w:ascii="仿宋_GB2312" w:hAnsi="仿宋_GB2312" w:eastAsia="仿宋_GB2312" w:cs="仿宋_GB2312"/>
          <w:b w:val="0"/>
          <w:bCs w:val="0"/>
          <w:color w:val="auto"/>
          <w:highlight w:val="none"/>
        </w:rPr>
        <w:t>十一、</w:t>
      </w:r>
      <w:r>
        <w:rPr>
          <w:rFonts w:hint="eastAsia" w:ascii="仿宋_GB2312" w:hAnsi="仿宋_GB2312" w:eastAsia="仿宋_GB2312" w:cs="仿宋_GB2312"/>
          <w:b w:val="0"/>
          <w:color w:val="auto"/>
          <w:highlight w:val="none"/>
        </w:rPr>
        <w:t>政</w:t>
      </w:r>
      <w:r>
        <w:rPr>
          <w:rStyle w:val="23"/>
          <w:rFonts w:hint="eastAsia" w:ascii="仿宋_GB2312" w:hAnsi="仿宋_GB2312" w:eastAsia="仿宋_GB2312" w:cs="仿宋_GB2312"/>
          <w:b w:val="0"/>
          <w:bCs w:val="0"/>
          <w:color w:val="auto"/>
          <w:highlight w:val="none"/>
        </w:rPr>
        <w:t>府性基金预算财政拨款收入支出决算表</w:t>
      </w:r>
      <w:bookmarkEnd w:id="238"/>
      <w:bookmarkEnd w:id="239"/>
      <w:bookmarkEnd w:id="240"/>
      <w:bookmarkEnd w:id="241"/>
      <w:bookmarkEnd w:id="242"/>
      <w:bookmarkEnd w:id="243"/>
    </w:p>
    <w:p>
      <w:pPr>
        <w:pStyle w:val="4"/>
        <w:rPr>
          <w:rFonts w:hint="eastAsia" w:ascii="仿宋_GB2312" w:hAnsi="仿宋_GB2312" w:eastAsia="仿宋_GB2312" w:cs="仿宋_GB2312"/>
          <w:color w:val="auto"/>
          <w:highlight w:val="none"/>
        </w:rPr>
      </w:pPr>
      <w:bookmarkStart w:id="244" w:name="_Toc32298"/>
      <w:bookmarkStart w:id="245" w:name="_Toc2727"/>
      <w:bookmarkStart w:id="246" w:name="_Toc15396630"/>
      <w:bookmarkStart w:id="247" w:name="_Toc2376"/>
      <w:bookmarkStart w:id="248" w:name="_Toc1192"/>
      <w:bookmarkStart w:id="249" w:name="_Toc29000"/>
      <w:r>
        <w:rPr>
          <w:rStyle w:val="23"/>
          <w:rFonts w:hint="eastAsia" w:ascii="仿宋_GB2312" w:hAnsi="仿宋_GB2312" w:eastAsia="仿宋_GB2312" w:cs="仿宋_GB2312"/>
          <w:b w:val="0"/>
          <w:bCs w:val="0"/>
          <w:color w:val="auto"/>
          <w:highlight w:val="none"/>
        </w:rPr>
        <w:t>十二、</w:t>
      </w:r>
      <w:r>
        <w:rPr>
          <w:rFonts w:hint="eastAsia" w:ascii="仿宋_GB2312" w:hAnsi="仿宋_GB2312" w:eastAsia="仿宋_GB2312" w:cs="仿宋_GB2312"/>
          <w:b w:val="0"/>
          <w:color w:val="auto"/>
          <w:highlight w:val="none"/>
        </w:rPr>
        <w:t>政</w:t>
      </w:r>
      <w:r>
        <w:rPr>
          <w:rStyle w:val="23"/>
          <w:rFonts w:hint="eastAsia" w:ascii="仿宋_GB2312" w:hAnsi="仿宋_GB2312" w:eastAsia="仿宋_GB2312" w:cs="仿宋_GB2312"/>
          <w:b w:val="0"/>
          <w:bCs w:val="0"/>
          <w:color w:val="auto"/>
          <w:highlight w:val="none"/>
        </w:rPr>
        <w:t>府性基金预算财政拨款“三公”经费支出决算表</w:t>
      </w:r>
      <w:bookmarkEnd w:id="244"/>
      <w:bookmarkEnd w:id="245"/>
      <w:bookmarkEnd w:id="246"/>
      <w:bookmarkEnd w:id="247"/>
      <w:bookmarkEnd w:id="248"/>
      <w:bookmarkEnd w:id="249"/>
    </w:p>
    <w:p>
      <w:pPr>
        <w:pStyle w:val="4"/>
        <w:rPr>
          <w:rStyle w:val="23"/>
          <w:rFonts w:hint="eastAsia" w:ascii="仿宋_GB2312" w:hAnsi="仿宋_GB2312" w:eastAsia="仿宋_GB2312" w:cs="仿宋_GB2312"/>
          <w:b w:val="0"/>
          <w:bCs w:val="0"/>
          <w:color w:val="auto"/>
          <w:highlight w:val="none"/>
        </w:rPr>
      </w:pPr>
      <w:bookmarkStart w:id="250" w:name="_Toc31827"/>
      <w:bookmarkStart w:id="251" w:name="_Toc15396631"/>
      <w:bookmarkStart w:id="252" w:name="_Toc20878"/>
      <w:bookmarkStart w:id="253" w:name="_Toc17806"/>
      <w:bookmarkStart w:id="254" w:name="_Toc12032"/>
      <w:bookmarkStart w:id="255" w:name="_Toc13468"/>
      <w:r>
        <w:rPr>
          <w:rStyle w:val="23"/>
          <w:rFonts w:hint="eastAsia" w:ascii="仿宋_GB2312" w:hAnsi="仿宋_GB2312" w:eastAsia="仿宋_GB2312" w:cs="仿宋_GB2312"/>
          <w:b w:val="0"/>
          <w:bCs w:val="0"/>
          <w:color w:val="auto"/>
          <w:highlight w:val="none"/>
        </w:rPr>
        <w:t>十三、</w:t>
      </w:r>
      <w:r>
        <w:rPr>
          <w:rFonts w:hint="eastAsia" w:ascii="仿宋_GB2312" w:hAnsi="仿宋_GB2312" w:eastAsia="仿宋_GB2312" w:cs="仿宋_GB2312"/>
          <w:b w:val="0"/>
          <w:color w:val="auto"/>
          <w:highlight w:val="none"/>
        </w:rPr>
        <w:t>国</w:t>
      </w:r>
      <w:r>
        <w:rPr>
          <w:rStyle w:val="23"/>
          <w:rFonts w:hint="eastAsia" w:ascii="仿宋_GB2312" w:hAnsi="仿宋_GB2312" w:eastAsia="仿宋_GB2312" w:cs="仿宋_GB2312"/>
          <w:b w:val="0"/>
          <w:bCs w:val="0"/>
          <w:color w:val="auto"/>
          <w:highlight w:val="none"/>
        </w:rPr>
        <w:t>有资本经营预算</w:t>
      </w:r>
      <w:r>
        <w:rPr>
          <w:rStyle w:val="23"/>
          <w:rFonts w:hint="eastAsia" w:ascii="仿宋_GB2312" w:hAnsi="仿宋_GB2312" w:eastAsia="仿宋_GB2312" w:cs="仿宋_GB2312"/>
          <w:b w:val="0"/>
          <w:bCs w:val="0"/>
          <w:color w:val="auto"/>
          <w:highlight w:val="none"/>
          <w:lang w:eastAsia="zh-CN"/>
        </w:rPr>
        <w:t>财政拨款收入</w:t>
      </w:r>
      <w:r>
        <w:rPr>
          <w:rStyle w:val="23"/>
          <w:rFonts w:hint="eastAsia" w:ascii="仿宋_GB2312" w:hAnsi="仿宋_GB2312" w:eastAsia="仿宋_GB2312" w:cs="仿宋_GB2312"/>
          <w:b w:val="0"/>
          <w:bCs w:val="0"/>
          <w:color w:val="auto"/>
          <w:highlight w:val="none"/>
        </w:rPr>
        <w:t>支出决算表</w:t>
      </w:r>
      <w:bookmarkEnd w:id="250"/>
      <w:bookmarkEnd w:id="251"/>
      <w:bookmarkEnd w:id="252"/>
      <w:bookmarkEnd w:id="253"/>
      <w:bookmarkEnd w:id="254"/>
      <w:bookmarkEnd w:id="255"/>
    </w:p>
    <w:p>
      <w:pPr>
        <w:rPr>
          <w:rFonts w:hint="eastAsia" w:ascii="仿宋_GB2312" w:hAnsi="仿宋_GB2312" w:eastAsia="仿宋_GB2312" w:cs="仿宋_GB2312"/>
          <w:color w:val="auto"/>
          <w:highlight w:val="none"/>
          <w:lang w:eastAsia="zh-CN"/>
        </w:rPr>
      </w:pPr>
      <w:bookmarkStart w:id="256" w:name="_Toc32613"/>
      <w:bookmarkStart w:id="257" w:name="_Toc8040"/>
      <w:bookmarkStart w:id="258" w:name="_Toc23726"/>
      <w:bookmarkStart w:id="259" w:name="_Toc3098"/>
      <w:bookmarkStart w:id="260" w:name="_Toc22007"/>
      <w:r>
        <w:rPr>
          <w:rStyle w:val="23"/>
          <w:rFonts w:hint="eastAsia" w:ascii="仿宋_GB2312" w:hAnsi="仿宋_GB2312" w:eastAsia="仿宋_GB2312" w:cs="仿宋_GB2312"/>
          <w:b w:val="0"/>
          <w:bCs w:val="0"/>
          <w:color w:val="auto"/>
          <w:highlight w:val="none"/>
          <w:lang w:eastAsia="zh-CN"/>
        </w:rPr>
        <w:t>十四、国有资本经营预算财政拨款支出决算表</w:t>
      </w:r>
      <w:bookmarkEnd w:id="256"/>
      <w:bookmarkEnd w:id="257"/>
      <w:bookmarkEnd w:id="258"/>
      <w:bookmarkEnd w:id="259"/>
      <w:bookmarkEnd w:id="260"/>
    </w:p>
    <w:sectPr>
      <w:footerReference r:id="rId9"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方正仿宋简体">
    <w:altName w:val="Times New Roman"/>
    <w:panose1 w:val="02010601030101010101"/>
    <w:charset w:val="86"/>
    <w:family w:val="script"/>
    <w:pitch w:val="default"/>
    <w:sig w:usb0="00000000" w:usb1="00000000" w:usb2="00000000" w:usb3="00000000" w:csb0="00040000" w:csb1="00000000"/>
  </w:font>
  <w:font w:name="仿宋_GB2312">
    <w:altName w:val="Times New Roman"/>
    <w:panose1 w:val="02010609030101010101"/>
    <w:charset w:val="86"/>
    <w:family w:val="auto"/>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3000509000000000000"/>
    <w:charset w:val="86"/>
    <w:family w:val="script"/>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微软雅黑">
    <w:altName w:val="汉仪旗黑KW 55S"/>
    <w:panose1 w:val="020B0503020204020204"/>
    <w:charset w:val="86"/>
    <w:family w:val="auto"/>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华文中宋">
    <w:panose1 w:val="02010600040101010101"/>
    <w:charset w:val="86"/>
    <w:family w:val="auto"/>
    <w:pitch w:val="default"/>
    <w:sig w:usb0="00000287" w:usb1="080F0000" w:usb2="00000000"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w:pict>
        <v:shape id="文本框 4" o:spid="_x0000_s2050" o:spt="202" type="#_x0000_t202" style="position:absolute;left:0pt;margin-left:201.7pt;margin-top:0pt;height:144pt;width:144p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rPr>
                    <w:rFonts w:hint="default" w:eastAsia="宋体"/>
                    <w:lang w:val="en-US"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w:pict>
        <v:shape id="文本框 9" o:spid="_x0000_s2053"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p>
            </w:txbxContent>
          </v:textbox>
        </v:shape>
      </w:pict>
    </w:r>
    <w:r>
      <w:rPr>
        <w:rFonts w:ascii="Calibri" w:hAnsi="Calibri" w:eastAsia="宋体" w:cs="Times New Roman"/>
        <w:kern w:val="0"/>
        <w:sz w:val="18"/>
        <w:szCs w:val="18"/>
        <w:lang w:val="en-US" w:eastAsia="zh-CN" w:bidi="ar-SA"/>
      </w:rPr>
      <w:pict>
        <v:shape id="_x0000_s2054" o:spid="_x0000_s2054" o:spt="202" type="#_x0000_t202" style="position:absolute;left:0pt;margin-left:201.7pt;margin-top:0pt;height:144pt;width:144pt;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rPr>
                    <w:rFonts w:hint="default" w:eastAsia="宋体"/>
                    <w:lang w:val="en-US" w:eastAsia="zh-CN"/>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Calibri" w:hAnsi="Calibri" w:eastAsia="宋体" w:cs="Times New Roman"/>
        <w:kern w:val="0"/>
        <w:sz w:val="18"/>
        <w:szCs w:val="18"/>
        <w:lang w:val="en-US" w:eastAsia="zh-CN" w:bidi="ar-SA"/>
      </w:rPr>
      <w:pict>
        <v:shape id="文本框 8" o:spid="_x0000_s2055"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jODE3Y2RjYmYxOTA5MjMwNGM5NjQ4OTIyZjY2Z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6C78"/>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312F"/>
    <w:rsid w:val="0116678C"/>
    <w:rsid w:val="014F219D"/>
    <w:rsid w:val="023C7A52"/>
    <w:rsid w:val="02615AC4"/>
    <w:rsid w:val="02B20860"/>
    <w:rsid w:val="02FF7BF3"/>
    <w:rsid w:val="03241F4C"/>
    <w:rsid w:val="03C86237"/>
    <w:rsid w:val="03D41080"/>
    <w:rsid w:val="03DD7F34"/>
    <w:rsid w:val="045F303F"/>
    <w:rsid w:val="046232B5"/>
    <w:rsid w:val="047D0E77"/>
    <w:rsid w:val="04926F71"/>
    <w:rsid w:val="04D61B48"/>
    <w:rsid w:val="05BD3F79"/>
    <w:rsid w:val="05E337FC"/>
    <w:rsid w:val="06345E06"/>
    <w:rsid w:val="06D51397"/>
    <w:rsid w:val="07177C01"/>
    <w:rsid w:val="073929DD"/>
    <w:rsid w:val="07395536"/>
    <w:rsid w:val="07495981"/>
    <w:rsid w:val="07BB67DE"/>
    <w:rsid w:val="07C21072"/>
    <w:rsid w:val="08574F66"/>
    <w:rsid w:val="08C6368D"/>
    <w:rsid w:val="08CD4642"/>
    <w:rsid w:val="09120680"/>
    <w:rsid w:val="096864F2"/>
    <w:rsid w:val="0A2032A3"/>
    <w:rsid w:val="0A4647E6"/>
    <w:rsid w:val="0A9B46A5"/>
    <w:rsid w:val="0AAE262A"/>
    <w:rsid w:val="0B2823DD"/>
    <w:rsid w:val="0B512FB6"/>
    <w:rsid w:val="0B64709C"/>
    <w:rsid w:val="0B8A37D8"/>
    <w:rsid w:val="0BD46270"/>
    <w:rsid w:val="0C0A7D34"/>
    <w:rsid w:val="0C360B29"/>
    <w:rsid w:val="0C3E178C"/>
    <w:rsid w:val="0CA21D1B"/>
    <w:rsid w:val="0CBB102F"/>
    <w:rsid w:val="0D032445"/>
    <w:rsid w:val="0D43047B"/>
    <w:rsid w:val="0E680F4C"/>
    <w:rsid w:val="0F0D4ADB"/>
    <w:rsid w:val="0F46008D"/>
    <w:rsid w:val="0F75060D"/>
    <w:rsid w:val="0F9067A2"/>
    <w:rsid w:val="0FE11BAA"/>
    <w:rsid w:val="0FEB740F"/>
    <w:rsid w:val="10C055FF"/>
    <w:rsid w:val="10C77FA2"/>
    <w:rsid w:val="114A2981"/>
    <w:rsid w:val="11733C86"/>
    <w:rsid w:val="118107EC"/>
    <w:rsid w:val="11A71B81"/>
    <w:rsid w:val="11DA3D05"/>
    <w:rsid w:val="11DD6519"/>
    <w:rsid w:val="120D6537"/>
    <w:rsid w:val="122457A9"/>
    <w:rsid w:val="12A32349"/>
    <w:rsid w:val="12B335B4"/>
    <w:rsid w:val="12BF1459"/>
    <w:rsid w:val="12DC55B5"/>
    <w:rsid w:val="137361BF"/>
    <w:rsid w:val="138339A9"/>
    <w:rsid w:val="139F5206"/>
    <w:rsid w:val="13B1443C"/>
    <w:rsid w:val="14B628F2"/>
    <w:rsid w:val="14C52A4A"/>
    <w:rsid w:val="14F73537"/>
    <w:rsid w:val="15AA2708"/>
    <w:rsid w:val="15CA22E2"/>
    <w:rsid w:val="15E96C0C"/>
    <w:rsid w:val="15E96FF7"/>
    <w:rsid w:val="16056AEC"/>
    <w:rsid w:val="1648185B"/>
    <w:rsid w:val="165A4793"/>
    <w:rsid w:val="16BB723D"/>
    <w:rsid w:val="17E75679"/>
    <w:rsid w:val="18015F3F"/>
    <w:rsid w:val="18104A8B"/>
    <w:rsid w:val="184400AB"/>
    <w:rsid w:val="184D0A73"/>
    <w:rsid w:val="195E3442"/>
    <w:rsid w:val="19A35324"/>
    <w:rsid w:val="19BB283F"/>
    <w:rsid w:val="19BD16CC"/>
    <w:rsid w:val="19C807E7"/>
    <w:rsid w:val="1AE41750"/>
    <w:rsid w:val="1B5E1503"/>
    <w:rsid w:val="1B6B1E72"/>
    <w:rsid w:val="1B8D1DE8"/>
    <w:rsid w:val="1BA64D24"/>
    <w:rsid w:val="1BA86C22"/>
    <w:rsid w:val="1BCE617C"/>
    <w:rsid w:val="1BE8440E"/>
    <w:rsid w:val="1C1F0578"/>
    <w:rsid w:val="1CD142EB"/>
    <w:rsid w:val="1D155CEE"/>
    <w:rsid w:val="1D525FA0"/>
    <w:rsid w:val="1E0A7472"/>
    <w:rsid w:val="1E94348E"/>
    <w:rsid w:val="1EA23BDD"/>
    <w:rsid w:val="1EC90C7D"/>
    <w:rsid w:val="1F022AED"/>
    <w:rsid w:val="1F235E84"/>
    <w:rsid w:val="1F6966C8"/>
    <w:rsid w:val="1F6E51B4"/>
    <w:rsid w:val="20012DA5"/>
    <w:rsid w:val="202E3FC3"/>
    <w:rsid w:val="20CC6A0F"/>
    <w:rsid w:val="20E22BD6"/>
    <w:rsid w:val="20F57F95"/>
    <w:rsid w:val="215E0285"/>
    <w:rsid w:val="217575A6"/>
    <w:rsid w:val="21B62803"/>
    <w:rsid w:val="21F93D33"/>
    <w:rsid w:val="221912D2"/>
    <w:rsid w:val="221E379A"/>
    <w:rsid w:val="2255790D"/>
    <w:rsid w:val="22B41C6E"/>
    <w:rsid w:val="22E91DF4"/>
    <w:rsid w:val="22F17100"/>
    <w:rsid w:val="232B0864"/>
    <w:rsid w:val="235356C5"/>
    <w:rsid w:val="235A6A54"/>
    <w:rsid w:val="237319AC"/>
    <w:rsid w:val="237C2A0D"/>
    <w:rsid w:val="23CC3D5F"/>
    <w:rsid w:val="240371BF"/>
    <w:rsid w:val="244D06AF"/>
    <w:rsid w:val="249A1EDA"/>
    <w:rsid w:val="24A563F4"/>
    <w:rsid w:val="251D3EF0"/>
    <w:rsid w:val="25203CCD"/>
    <w:rsid w:val="254E25E8"/>
    <w:rsid w:val="25695674"/>
    <w:rsid w:val="25C741E6"/>
    <w:rsid w:val="26F73B05"/>
    <w:rsid w:val="273961A8"/>
    <w:rsid w:val="276854B7"/>
    <w:rsid w:val="27842671"/>
    <w:rsid w:val="27892B16"/>
    <w:rsid w:val="279050AE"/>
    <w:rsid w:val="27DD40F7"/>
    <w:rsid w:val="28140197"/>
    <w:rsid w:val="284B1061"/>
    <w:rsid w:val="28925A55"/>
    <w:rsid w:val="28C978B9"/>
    <w:rsid w:val="29192F0D"/>
    <w:rsid w:val="299247DA"/>
    <w:rsid w:val="29D86D9B"/>
    <w:rsid w:val="29FD04D3"/>
    <w:rsid w:val="2ABE7A3E"/>
    <w:rsid w:val="2B011039"/>
    <w:rsid w:val="2C1856FE"/>
    <w:rsid w:val="2C2E3A0C"/>
    <w:rsid w:val="2C9E00FA"/>
    <w:rsid w:val="2CC002B3"/>
    <w:rsid w:val="2D0031C2"/>
    <w:rsid w:val="2D006674"/>
    <w:rsid w:val="2D202ABC"/>
    <w:rsid w:val="2D320A41"/>
    <w:rsid w:val="2D6329A9"/>
    <w:rsid w:val="2D6C3884"/>
    <w:rsid w:val="2D845C11"/>
    <w:rsid w:val="2DD40B20"/>
    <w:rsid w:val="2DFA4553"/>
    <w:rsid w:val="2E027B47"/>
    <w:rsid w:val="2EA46C8A"/>
    <w:rsid w:val="2EFA178C"/>
    <w:rsid w:val="2F7D2448"/>
    <w:rsid w:val="2F8E1E98"/>
    <w:rsid w:val="2FDB716E"/>
    <w:rsid w:val="2FF55B10"/>
    <w:rsid w:val="30973D7B"/>
    <w:rsid w:val="30B14096"/>
    <w:rsid w:val="30B46D73"/>
    <w:rsid w:val="313528AE"/>
    <w:rsid w:val="317017FC"/>
    <w:rsid w:val="319F7F4E"/>
    <w:rsid w:val="32382656"/>
    <w:rsid w:val="32445669"/>
    <w:rsid w:val="33745910"/>
    <w:rsid w:val="348E2A01"/>
    <w:rsid w:val="3493313C"/>
    <w:rsid w:val="34955108"/>
    <w:rsid w:val="34CE72A2"/>
    <w:rsid w:val="350116C8"/>
    <w:rsid w:val="3531357B"/>
    <w:rsid w:val="358F2172"/>
    <w:rsid w:val="37A13310"/>
    <w:rsid w:val="37B3277F"/>
    <w:rsid w:val="381E59B2"/>
    <w:rsid w:val="38673C95"/>
    <w:rsid w:val="390D7BCD"/>
    <w:rsid w:val="39AE70AB"/>
    <w:rsid w:val="3A647D60"/>
    <w:rsid w:val="3A6B10EF"/>
    <w:rsid w:val="3A870555"/>
    <w:rsid w:val="3AE47370"/>
    <w:rsid w:val="3B3911ED"/>
    <w:rsid w:val="3BDC04F6"/>
    <w:rsid w:val="3BFD3542"/>
    <w:rsid w:val="3C0C0783"/>
    <w:rsid w:val="3CB23005"/>
    <w:rsid w:val="3E3361A8"/>
    <w:rsid w:val="3E6D3687"/>
    <w:rsid w:val="3EB43FF8"/>
    <w:rsid w:val="3F5E7474"/>
    <w:rsid w:val="3F795B0E"/>
    <w:rsid w:val="3F9F3A96"/>
    <w:rsid w:val="40350D30"/>
    <w:rsid w:val="40BA692C"/>
    <w:rsid w:val="40C94DC1"/>
    <w:rsid w:val="41013AF9"/>
    <w:rsid w:val="41D140CE"/>
    <w:rsid w:val="41E57E6D"/>
    <w:rsid w:val="426E5C20"/>
    <w:rsid w:val="42843598"/>
    <w:rsid w:val="42D35571"/>
    <w:rsid w:val="43E837B0"/>
    <w:rsid w:val="44476729"/>
    <w:rsid w:val="446413C5"/>
    <w:rsid w:val="45277E43"/>
    <w:rsid w:val="454D3E2B"/>
    <w:rsid w:val="45886F23"/>
    <w:rsid w:val="458B4580"/>
    <w:rsid w:val="45EF121D"/>
    <w:rsid w:val="46DC584E"/>
    <w:rsid w:val="47D209FF"/>
    <w:rsid w:val="48254EA1"/>
    <w:rsid w:val="486C49B0"/>
    <w:rsid w:val="488066AD"/>
    <w:rsid w:val="48CE566A"/>
    <w:rsid w:val="48F14EB5"/>
    <w:rsid w:val="49292CBC"/>
    <w:rsid w:val="493C27E9"/>
    <w:rsid w:val="496F39ED"/>
    <w:rsid w:val="499F41A9"/>
    <w:rsid w:val="49AA39E1"/>
    <w:rsid w:val="49FF41D3"/>
    <w:rsid w:val="4A185DC8"/>
    <w:rsid w:val="4A4B6C9D"/>
    <w:rsid w:val="4AC82FF0"/>
    <w:rsid w:val="4B5D2CD5"/>
    <w:rsid w:val="4B974868"/>
    <w:rsid w:val="4BC931E3"/>
    <w:rsid w:val="4BE068DB"/>
    <w:rsid w:val="4BF6002B"/>
    <w:rsid w:val="4C3561DB"/>
    <w:rsid w:val="4C650094"/>
    <w:rsid w:val="4D241C97"/>
    <w:rsid w:val="4D520CB9"/>
    <w:rsid w:val="4E1E04FA"/>
    <w:rsid w:val="4E2C4066"/>
    <w:rsid w:val="4E3221F7"/>
    <w:rsid w:val="4E3B5476"/>
    <w:rsid w:val="4E437F61"/>
    <w:rsid w:val="4E7E5F96"/>
    <w:rsid w:val="4ECE2238"/>
    <w:rsid w:val="4EEB44D7"/>
    <w:rsid w:val="4F400E75"/>
    <w:rsid w:val="4F6C0472"/>
    <w:rsid w:val="4FA9376F"/>
    <w:rsid w:val="4FF2388C"/>
    <w:rsid w:val="5134465F"/>
    <w:rsid w:val="515C1BCD"/>
    <w:rsid w:val="519C18B4"/>
    <w:rsid w:val="519C793E"/>
    <w:rsid w:val="51DB4B86"/>
    <w:rsid w:val="522E0F28"/>
    <w:rsid w:val="52B23907"/>
    <w:rsid w:val="53BD2563"/>
    <w:rsid w:val="54414F42"/>
    <w:rsid w:val="54842B79"/>
    <w:rsid w:val="54DA0EF3"/>
    <w:rsid w:val="55333C3E"/>
    <w:rsid w:val="55DF7D79"/>
    <w:rsid w:val="55F7664B"/>
    <w:rsid w:val="561C2065"/>
    <w:rsid w:val="574D4E57"/>
    <w:rsid w:val="577E025B"/>
    <w:rsid w:val="57A613BE"/>
    <w:rsid w:val="57BF66C9"/>
    <w:rsid w:val="57CF5CBB"/>
    <w:rsid w:val="580255EE"/>
    <w:rsid w:val="584274DB"/>
    <w:rsid w:val="590A624B"/>
    <w:rsid w:val="596D2164"/>
    <w:rsid w:val="5A056A12"/>
    <w:rsid w:val="5A1E19E8"/>
    <w:rsid w:val="5A4D042D"/>
    <w:rsid w:val="5B2F15BE"/>
    <w:rsid w:val="5BB02A19"/>
    <w:rsid w:val="5BD91F04"/>
    <w:rsid w:val="5BF31218"/>
    <w:rsid w:val="5C4E6A0B"/>
    <w:rsid w:val="5D752101"/>
    <w:rsid w:val="5E4E6BDA"/>
    <w:rsid w:val="5E67410C"/>
    <w:rsid w:val="5E6E2DD8"/>
    <w:rsid w:val="5E70446D"/>
    <w:rsid w:val="5ECE1AC8"/>
    <w:rsid w:val="5F2F7659"/>
    <w:rsid w:val="5F520D51"/>
    <w:rsid w:val="607C0540"/>
    <w:rsid w:val="60AC5E39"/>
    <w:rsid w:val="60B30F76"/>
    <w:rsid w:val="611F03B9"/>
    <w:rsid w:val="619009C7"/>
    <w:rsid w:val="61BE5E24"/>
    <w:rsid w:val="620B6B90"/>
    <w:rsid w:val="62465E1A"/>
    <w:rsid w:val="62B22E75"/>
    <w:rsid w:val="62C531E2"/>
    <w:rsid w:val="62C9377E"/>
    <w:rsid w:val="62CF0076"/>
    <w:rsid w:val="62EB024E"/>
    <w:rsid w:val="634E31D8"/>
    <w:rsid w:val="63A454EE"/>
    <w:rsid w:val="63A64DC2"/>
    <w:rsid w:val="64B259E8"/>
    <w:rsid w:val="64CA39A1"/>
    <w:rsid w:val="64DA7159"/>
    <w:rsid w:val="65015F10"/>
    <w:rsid w:val="65817895"/>
    <w:rsid w:val="65AD034D"/>
    <w:rsid w:val="664D3C1B"/>
    <w:rsid w:val="665B6569"/>
    <w:rsid w:val="68282249"/>
    <w:rsid w:val="68437083"/>
    <w:rsid w:val="68F44821"/>
    <w:rsid w:val="69392234"/>
    <w:rsid w:val="69B90A59"/>
    <w:rsid w:val="69D34437"/>
    <w:rsid w:val="6AEC3803"/>
    <w:rsid w:val="6B6E0360"/>
    <w:rsid w:val="6BAC500F"/>
    <w:rsid w:val="6BF32B6E"/>
    <w:rsid w:val="6C4A05C8"/>
    <w:rsid w:val="6C733CAF"/>
    <w:rsid w:val="6C9F4AA4"/>
    <w:rsid w:val="6CFC13C2"/>
    <w:rsid w:val="6D0F5A71"/>
    <w:rsid w:val="6D154D66"/>
    <w:rsid w:val="6F152881"/>
    <w:rsid w:val="6F8D5088"/>
    <w:rsid w:val="6F9B1553"/>
    <w:rsid w:val="702C7057"/>
    <w:rsid w:val="70757FF6"/>
    <w:rsid w:val="70ED4030"/>
    <w:rsid w:val="70FF3D63"/>
    <w:rsid w:val="710D3FD9"/>
    <w:rsid w:val="71557E27"/>
    <w:rsid w:val="716D6F1F"/>
    <w:rsid w:val="71D71133"/>
    <w:rsid w:val="726B6620"/>
    <w:rsid w:val="72734D90"/>
    <w:rsid w:val="72BA6194"/>
    <w:rsid w:val="72D8187A"/>
    <w:rsid w:val="730336AB"/>
    <w:rsid w:val="73076223"/>
    <w:rsid w:val="734043CA"/>
    <w:rsid w:val="739A5FC5"/>
    <w:rsid w:val="73E639CB"/>
    <w:rsid w:val="74323B60"/>
    <w:rsid w:val="74345F76"/>
    <w:rsid w:val="7453162C"/>
    <w:rsid w:val="745368A0"/>
    <w:rsid w:val="746C5BB4"/>
    <w:rsid w:val="74A263CE"/>
    <w:rsid w:val="74F811F5"/>
    <w:rsid w:val="750A2CD7"/>
    <w:rsid w:val="750E42D3"/>
    <w:rsid w:val="75526B58"/>
    <w:rsid w:val="757D464F"/>
    <w:rsid w:val="75991FF6"/>
    <w:rsid w:val="75B83498"/>
    <w:rsid w:val="75D45844"/>
    <w:rsid w:val="77292B28"/>
    <w:rsid w:val="773724A9"/>
    <w:rsid w:val="77446FBC"/>
    <w:rsid w:val="7762504C"/>
    <w:rsid w:val="7773779A"/>
    <w:rsid w:val="778018EA"/>
    <w:rsid w:val="78112CFA"/>
    <w:rsid w:val="78A0407E"/>
    <w:rsid w:val="78E844D2"/>
    <w:rsid w:val="7912302A"/>
    <w:rsid w:val="797D39EB"/>
    <w:rsid w:val="79E7B28D"/>
    <w:rsid w:val="7A084E76"/>
    <w:rsid w:val="7A3C3932"/>
    <w:rsid w:val="7A9E4595"/>
    <w:rsid w:val="7ABE2EF9"/>
    <w:rsid w:val="7AE85868"/>
    <w:rsid w:val="7B2D30C8"/>
    <w:rsid w:val="7B787FB3"/>
    <w:rsid w:val="7BA21EBB"/>
    <w:rsid w:val="7BCB7664"/>
    <w:rsid w:val="7C775BAB"/>
    <w:rsid w:val="7C780F50"/>
    <w:rsid w:val="7C921FEC"/>
    <w:rsid w:val="7CA46F61"/>
    <w:rsid w:val="7D2A485E"/>
    <w:rsid w:val="7D52475A"/>
    <w:rsid w:val="7D6954C8"/>
    <w:rsid w:val="7E357016"/>
    <w:rsid w:val="7E5B6AB0"/>
    <w:rsid w:val="7E7F64E4"/>
    <w:rsid w:val="7ED63624"/>
    <w:rsid w:val="7EF6086F"/>
    <w:rsid w:val="7F9F20EE"/>
    <w:rsid w:val="7FA73CE8"/>
    <w:rsid w:val="8DFD7BF2"/>
    <w:rsid w:val="9E3A10E2"/>
    <w:rsid w:val="F2E1F9D4"/>
    <w:rsid w:val="F788081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eastAsia="方正仿宋简体"/>
      <w:sz w:val="32"/>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19">
    <w:name w:val="TOC Heading"/>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0">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_Style 21"/>
    <w:basedOn w:val="1"/>
    <w:qFormat/>
    <w:uiPriority w:val="34"/>
    <w:pPr>
      <w:ind w:firstLine="420" w:firstLineChars="200"/>
    </w:pPr>
  </w:style>
  <w:style w:type="character" w:customStyle="1" w:styleId="23">
    <w:name w:val="标题 2 Char"/>
    <w:basedOn w:val="14"/>
    <w:link w:val="4"/>
    <w:qFormat/>
    <w:uiPriority w:val="9"/>
    <w:rPr>
      <w:rFonts w:ascii="Cambria" w:hAnsi="Cambria" w:eastAsia="宋体" w:cs="Times New Roman"/>
      <w:b/>
      <w:bCs/>
      <w:kern w:val="2"/>
      <w:sz w:val="32"/>
      <w:szCs w:val="32"/>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页脚 Char"/>
    <w:link w:val="9"/>
    <w:qFormat/>
    <w:locked/>
    <w:uiPriority w:val="99"/>
    <w:rPr>
      <w:sz w:val="18"/>
    </w:rPr>
  </w:style>
  <w:style w:type="character" w:customStyle="1" w:styleId="26">
    <w:name w:val="Footer Char"/>
    <w:basedOn w:val="14"/>
    <w:semiHidden/>
    <w:qFormat/>
    <w:uiPriority w:val="99"/>
    <w:rPr>
      <w:rFonts w:ascii="Times New Roman" w:hAnsi="Times New Roman"/>
      <w:sz w:val="18"/>
      <w:szCs w:val="18"/>
    </w:rPr>
  </w:style>
  <w:style w:type="character" w:customStyle="1" w:styleId="27">
    <w:name w:val="页眉 Char"/>
    <w:link w:val="10"/>
    <w:semiHidden/>
    <w:qFormat/>
    <w:locked/>
    <w:uiPriority w:val="99"/>
    <w:rPr>
      <w:sz w:val="18"/>
    </w:rPr>
  </w:style>
  <w:style w:type="character" w:customStyle="1" w:styleId="28">
    <w:name w:val="font41"/>
    <w:basedOn w:val="14"/>
    <w:qFormat/>
    <w:uiPriority w:val="0"/>
    <w:rPr>
      <w:rFonts w:hint="default" w:ascii="Times New Roman" w:hAnsi="Times New Roman" w:cs="Times New Roman"/>
      <w:color w:val="000000"/>
      <w:sz w:val="24"/>
      <w:szCs w:val="24"/>
      <w:u w:val="none"/>
    </w:rPr>
  </w:style>
  <w:style w:type="character" w:customStyle="1" w:styleId="29">
    <w:name w:val="正文文本 Char"/>
    <w:link w:val="6"/>
    <w:qFormat/>
    <w:locked/>
    <w:uiPriority w:val="99"/>
    <w:rPr>
      <w:rFonts w:ascii="仿宋_GB2312" w:hAnsi="Times New Roman" w:eastAsia="仿宋_GB2312"/>
      <w:sz w:val="24"/>
    </w:rPr>
  </w:style>
  <w:style w:type="character" w:customStyle="1" w:styleId="30">
    <w:name w:val="font61"/>
    <w:basedOn w:val="14"/>
    <w:qFormat/>
    <w:uiPriority w:val="0"/>
    <w:rPr>
      <w:rFonts w:hint="eastAsia" w:ascii="宋体" w:hAnsi="宋体" w:eastAsia="宋体" w:cs="宋体"/>
      <w:color w:val="000000"/>
      <w:sz w:val="24"/>
      <w:szCs w:val="24"/>
      <w:u w:val="none"/>
    </w:rPr>
  </w:style>
  <w:style w:type="character" w:customStyle="1" w:styleId="31">
    <w:name w:val="Header Char"/>
    <w:basedOn w:val="14"/>
    <w:semiHidden/>
    <w:qFormat/>
    <w:uiPriority w:val="99"/>
    <w:rPr>
      <w:rFonts w:ascii="Times New Roman" w:hAnsi="Times New Roman"/>
      <w:sz w:val="18"/>
      <w:szCs w:val="18"/>
    </w:rPr>
  </w:style>
  <w:style w:type="character" w:customStyle="1" w:styleId="32">
    <w:name w:val="批注框文本 Char"/>
    <w:basedOn w:val="14"/>
    <w:link w:val="8"/>
    <w:semiHidden/>
    <w:qFormat/>
    <w:uiPriority w:val="99"/>
    <w:rPr>
      <w:rFonts w:ascii="Times New Roman" w:hAnsi="Times New Roman"/>
      <w:kern w:val="2"/>
      <w:sz w:val="18"/>
      <w:szCs w:val="18"/>
    </w:rPr>
  </w:style>
  <w:style w:type="character" w:customStyle="1" w:styleId="33">
    <w:name w:val="font31"/>
    <w:basedOn w:val="14"/>
    <w:qFormat/>
    <w:uiPriority w:val="0"/>
    <w:rPr>
      <w:rFonts w:hint="eastAsia" w:ascii="宋体" w:hAnsi="宋体" w:eastAsia="宋体" w:cs="宋体"/>
      <w:color w:val="000000"/>
      <w:sz w:val="16"/>
      <w:szCs w:val="16"/>
      <w:u w:val="none"/>
    </w:rPr>
  </w:style>
  <w:style w:type="character" w:customStyle="1" w:styleId="34">
    <w:name w:val="标题 3 Char"/>
    <w:basedOn w:val="14"/>
    <w:link w:val="5"/>
    <w:qFormat/>
    <w:uiPriority w:val="9"/>
    <w:rPr>
      <w:rFonts w:ascii="Times New Roman" w:hAnsi="Times New Roman"/>
      <w:b/>
      <w:bCs/>
      <w:kern w:val="2"/>
      <w:sz w:val="32"/>
      <w:szCs w:val="32"/>
    </w:rPr>
  </w:style>
  <w:style w:type="character" w:customStyle="1" w:styleId="35">
    <w:name w:val="标题 1 Char"/>
    <w:basedOn w:val="14"/>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Info spid="_x0000_s2053" textRotate="1"/>
    <customShpInfo spid="_x0000_s2054" textRotate="1"/>
    <customShpInfo spid="_x0000_s2055" textRotate="1"/>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26</Pages>
  <Words>10415</Words>
  <Characters>11428</Characters>
  <Lines>61</Lines>
  <Paragraphs>17</Paragraphs>
  <TotalTime>0</TotalTime>
  <ScaleCrop>false</ScaleCrop>
  <LinksUpToDate>false</LinksUpToDate>
  <CharactersWithSpaces>11741</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YY</cp:lastModifiedBy>
  <cp:lastPrinted>2022-10-17T15:45:00Z</cp:lastPrinted>
  <dcterms:modified xsi:type="dcterms:W3CDTF">2023-07-21T15:00:42Z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8BA5F6F3F85B4A5F91C56163DFB89425</vt:lpwstr>
  </property>
</Properties>
</file>