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475"/>
      <w:bookmarkStart w:id="1" w:name="_Toc15377193"/>
      <w:bookmarkStart w:id="2" w:name="_Toc15377425"/>
      <w:bookmarkStart w:id="3" w:name="_Toc15378441"/>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56"/>
          <w:szCs w:val="56"/>
          <w:highlight w:val="none"/>
          <w:lang w:eastAsia="zh-CN"/>
        </w:rPr>
      </w:pPr>
      <w:bookmarkStart w:id="6" w:name="_Toc15306268"/>
      <w:bookmarkStart w:id="7" w:name="_Toc15378442"/>
      <w:bookmarkStart w:id="8" w:name="_Toc15396598"/>
      <w:bookmarkStart w:id="9" w:name="_Toc15396476"/>
      <w:bookmarkStart w:id="10" w:name="_Toc15377426"/>
      <w:bookmarkStart w:id="11" w:name="_Toc15377194"/>
      <w:r>
        <w:rPr>
          <w:rFonts w:hint="eastAsia" w:ascii="方正小标宋简体" w:hAnsi="方正小标宋简体" w:eastAsia="方正小标宋简体" w:cs="方正小标宋简体"/>
          <w:color w:val="auto"/>
          <w:sz w:val="56"/>
          <w:szCs w:val="56"/>
          <w:highlight w:val="none"/>
          <w:lang w:eastAsia="zh-CN"/>
        </w:rPr>
        <w:t>广元市农业科学研究院</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56"/>
          <w:szCs w:val="56"/>
          <w:highlight w:val="none"/>
        </w:rPr>
        <w:t>部门决算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b/>
          <w:bCs/>
          <w:color w:val="auto"/>
          <w:sz w:val="48"/>
          <w:szCs w:val="48"/>
          <w:highlight w:val="none"/>
        </w:rPr>
      </w:pPr>
      <w:r>
        <w:rPr>
          <w:rFonts w:hint="eastAsia" w:ascii="黑体" w:hAnsi="黑体" w:eastAsia="黑体"/>
          <w:b/>
          <w:bCs/>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第一部分 部门概况</w:t>
      </w:r>
      <w:r>
        <w:rPr>
          <w:rFonts w:hint="eastAsia" w:ascii="仿宋" w:hAnsi="仿宋" w:eastAsia="仿宋" w:cs="Times New Roman"/>
          <w:b w:val="0"/>
          <w:bCs/>
          <w:color w:val="auto"/>
          <w:kern w:val="0"/>
          <w:sz w:val="32"/>
          <w:szCs w:val="32"/>
          <w:highlight w:val="none"/>
          <w:lang w:val="en-US" w:eastAsia="zh-CN" w:bidi="ar-SA"/>
        </w:rPr>
        <w:t>·································1</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一、基本职能及主要工作······················1</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二、机构设置·································2</w:t>
      </w:r>
    </w:p>
    <w:p>
      <w:pPr>
        <w:pStyle w:val="11"/>
        <w:adjustRightInd w:val="0"/>
        <w:snapToGrid w:val="0"/>
        <w:spacing w:before="0"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第二部分 2021年度部门决算情况说明</w:t>
      </w:r>
      <w:r>
        <w:rPr>
          <w:rFonts w:hint="eastAsia" w:ascii="仿宋" w:hAnsi="仿宋" w:eastAsia="仿宋" w:cs="Times New Roman"/>
          <w:b w:val="0"/>
          <w:bCs/>
          <w:color w:val="auto"/>
          <w:kern w:val="0"/>
          <w:sz w:val="32"/>
          <w:szCs w:val="32"/>
          <w:highlight w:val="none"/>
          <w:lang w:val="en-US" w:eastAsia="zh-CN" w:bidi="ar-SA"/>
        </w:rPr>
        <w:t>·················</w:t>
      </w:r>
      <w:r>
        <w:rPr>
          <w:rFonts w:hint="eastAsia" w:cs="Times New Roman"/>
          <w:b w:val="0"/>
          <w:bCs/>
          <w:color w:val="auto"/>
          <w:kern w:val="0"/>
          <w:sz w:val="32"/>
          <w:szCs w:val="32"/>
          <w:highlight w:val="none"/>
          <w:lang w:val="en-US" w:eastAsia="zh-CN" w:bidi="ar-SA"/>
        </w:rPr>
        <w:t>3</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一、收入支出决算总体情况说明·····················3</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二、收入决算情况说明·····························3</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三、支出决算情况说明·····························4</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四、财政拨款收入支出决算总体情况说明·············5</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五、一般公共预算财政拨款支出决算情况说明········6</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六、一般公共预算财政拨款基本支出决算情况说明····9</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七、“三公”经费财政拨款支出决算情况说明···········9</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八、政府性基金预算支出决算情况说明············11</w:t>
      </w:r>
    </w:p>
    <w:p>
      <w:pPr>
        <w:pStyle w:val="12"/>
        <w:adjustRightInd w:val="0"/>
        <w:snapToGrid w:val="0"/>
        <w:spacing w:line="440" w:lineRule="exact"/>
        <w:ind w:leftChars="0"/>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九、国有资本经营预算支出决算情况说明············11</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175"/>
        <w:jc w:val="left"/>
        <w:textAlignment w:val="auto"/>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十、预算绩效管理情况</w:t>
      </w:r>
      <w:r>
        <w:rPr>
          <w:rFonts w:hint="eastAsia" w:ascii="仿宋" w:hAnsi="仿宋" w:eastAsia="仿宋" w:cs="Times New Roman"/>
          <w:bCs/>
          <w:color w:val="auto"/>
          <w:kern w:val="0"/>
          <w:sz w:val="32"/>
          <w:szCs w:val="32"/>
          <w:highlight w:val="none"/>
          <w:lang w:val="en-US" w:eastAsia="zh-CN" w:bidi="ar-SA"/>
        </w:rPr>
        <w:tab/>
      </w:r>
      <w:r>
        <w:rPr>
          <w:rFonts w:hint="eastAsia" w:ascii="仿宋" w:hAnsi="仿宋" w:eastAsia="仿宋" w:cs="Times New Roman"/>
          <w:bCs/>
          <w:color w:val="auto"/>
          <w:kern w:val="0"/>
          <w:sz w:val="32"/>
          <w:szCs w:val="32"/>
          <w:highlight w:val="none"/>
          <w:lang w:val="en-US" w:eastAsia="zh-CN" w:bidi="ar-SA"/>
        </w:rPr>
        <w:t>······················12</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175"/>
        <w:jc w:val="left"/>
        <w:textAlignment w:val="auto"/>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十一、其他重要事项的情况说明·············12</w:t>
      </w:r>
    </w:p>
    <w:p>
      <w:pPr>
        <w:pStyle w:val="11"/>
        <w:adjustRightInd w:val="0"/>
        <w:snapToGrid w:val="0"/>
        <w:spacing w:before="0" w:line="440" w:lineRule="exact"/>
        <w:jc w:val="left"/>
        <w:rPr>
          <w:rFonts w:hint="eastAsia" w:ascii="仿宋" w:hAnsi="仿宋" w:eastAsia="仿宋" w:cs="Times New Roman"/>
          <w:bCs/>
          <w:color w:val="auto"/>
          <w:kern w:val="0"/>
          <w:sz w:val="32"/>
          <w:szCs w:val="32"/>
          <w:highlight w:val="none"/>
          <w:lang w:val="en-US" w:eastAsia="zh-CN" w:bidi="ar-SA"/>
        </w:rPr>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pPr>
    </w:p>
    <w:p>
      <w:pPr>
        <w:pStyle w:val="11"/>
        <w:adjustRightInd w:val="0"/>
        <w:snapToGrid w:val="0"/>
        <w:spacing w:before="0" w:line="440" w:lineRule="exact"/>
        <w:jc w:val="left"/>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第三部分 名词解释································1</w:t>
      </w:r>
      <w:r>
        <w:rPr>
          <w:rFonts w:hint="eastAsia" w:cs="Times New Roman"/>
          <w:bCs/>
          <w:color w:val="auto"/>
          <w:kern w:val="0"/>
          <w:sz w:val="32"/>
          <w:szCs w:val="32"/>
          <w:highlight w:val="none"/>
          <w:lang w:val="en-US" w:eastAsia="zh-CN" w:bidi="ar-SA"/>
        </w:rPr>
        <w:t>4</w:t>
      </w:r>
    </w:p>
    <w:p>
      <w:pPr>
        <w:pStyle w:val="11"/>
        <w:adjustRightInd w:val="0"/>
        <w:snapToGrid w:val="0"/>
        <w:spacing w:before="0" w:line="440" w:lineRule="exact"/>
        <w:jc w:val="left"/>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第四部分 附件·································1</w:t>
      </w:r>
      <w:r>
        <w:rPr>
          <w:rFonts w:hint="eastAsia" w:cs="Times New Roman"/>
          <w:bCs/>
          <w:color w:val="auto"/>
          <w:kern w:val="0"/>
          <w:sz w:val="32"/>
          <w:szCs w:val="32"/>
          <w:highlight w:val="none"/>
          <w:lang w:val="en-US" w:eastAsia="zh-CN" w:bidi="ar-SA"/>
        </w:rPr>
        <w:t>8</w:t>
      </w:r>
    </w:p>
    <w:p>
      <w:pPr>
        <w:pStyle w:val="11"/>
        <w:adjustRightInd w:val="0"/>
        <w:snapToGrid w:val="0"/>
        <w:spacing w:before="0" w:line="440" w:lineRule="exact"/>
        <w:jc w:val="left"/>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第五部分 附表·································</w:t>
      </w:r>
      <w:r>
        <w:rPr>
          <w:rFonts w:hint="eastAsia" w:cs="Times New Roman"/>
          <w:bCs/>
          <w:color w:val="auto"/>
          <w:kern w:val="0"/>
          <w:sz w:val="32"/>
          <w:szCs w:val="32"/>
          <w:highlight w:val="none"/>
          <w:lang w:val="en-US" w:eastAsia="zh-CN" w:bidi="ar-SA"/>
        </w:rPr>
        <w:t>48</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一、收入支出决算总表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二、收入决算表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三、支出决算表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四、财政拨款收入支出决算总表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五、财政拨款支出决算明细表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六、一般公共预算财政拨款支出决算表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七、一般公共预算财政拨款支出决算明细表</w:t>
      </w:r>
    </w:p>
    <w:p>
      <w:pPr>
        <w:pStyle w:val="12"/>
        <w:adjustRightInd w:val="0"/>
        <w:snapToGrid w:val="0"/>
        <w:spacing w:line="440" w:lineRule="exact"/>
        <w:jc w:val="left"/>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八、一般公共预算财政拨款基本支出决算表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九、一般公共预算财政拨款项目支出决算表</w:t>
      </w:r>
    </w:p>
    <w:p>
      <w:pPr>
        <w:pStyle w:val="12"/>
        <w:adjustRightInd w:val="0"/>
        <w:snapToGrid w:val="0"/>
        <w:spacing w:line="440" w:lineRule="exact"/>
        <w:jc w:val="left"/>
        <w:rPr>
          <w:rFonts w:hint="default"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十、一般公共预算财政拨款“三公”经费支出决算表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十一、政府性基金预算财政拨款收入支出决算表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十二、政府性基金预算财政拨款“三公”经费支出决算表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十三、国有资本经营预算财政拨款收入支出决算表</w:t>
      </w:r>
    </w:p>
    <w:p>
      <w:pPr>
        <w:pStyle w:val="12"/>
        <w:adjustRightInd w:val="0"/>
        <w:snapToGrid w:val="0"/>
        <w:spacing w:line="440" w:lineRule="exact"/>
        <w:jc w:val="left"/>
        <w:rPr>
          <w:rFonts w:hint="eastAsia" w:ascii="仿宋" w:hAnsi="仿宋" w:eastAsia="仿宋" w:cs="Times New Roman"/>
          <w:bCs/>
          <w:color w:val="auto"/>
          <w:kern w:val="0"/>
          <w:sz w:val="32"/>
          <w:szCs w:val="32"/>
          <w:highlight w:val="none"/>
          <w:lang w:val="en-US" w:eastAsia="zh-CN" w:bidi="ar-SA"/>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eastAsia" w:ascii="仿宋" w:hAnsi="仿宋" w:eastAsia="仿宋" w:cs="Times New Roman"/>
          <w:b w:val="0"/>
          <w:bCs/>
          <w:color w:val="auto"/>
          <w:kern w:val="0"/>
          <w:sz w:val="32"/>
          <w:szCs w:val="32"/>
          <w:highlight w:val="none"/>
          <w:lang w:val="en-US" w:eastAsia="zh-CN" w:bidi="ar-SA"/>
        </w:rPr>
        <w:t>十四、国有资本经营预算财政拨款支出决算表</w:t>
      </w:r>
      <w:bookmarkStart w:id="12" w:name="_Toc15377196"/>
      <w:bookmarkStart w:id="13" w:name="_Toc15396599"/>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5"/>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numPr>
          <w:ilvl w:val="0"/>
          <w:numId w:val="1"/>
        </w:numPr>
        <w:rPr>
          <w:rFonts w:hint="eastAsia" w:ascii="仿宋" w:hAnsi="仿宋" w:eastAsia="仿宋"/>
          <w:bCs/>
          <w:color w:val="000000"/>
          <w:sz w:val="32"/>
          <w:szCs w:val="32"/>
        </w:rPr>
      </w:pPr>
      <w:bookmarkStart w:id="14" w:name="_Toc15377197"/>
      <w:bookmarkStart w:id="15" w:name="_Toc15396600"/>
      <w:r>
        <w:rPr>
          <w:rFonts w:hint="eastAsia" w:ascii="黑体" w:hAnsi="黑体" w:eastAsia="黑体"/>
          <w:b w:val="0"/>
          <w:color w:val="auto"/>
          <w:highlight w:val="none"/>
        </w:rPr>
        <w:t>基</w:t>
      </w:r>
      <w:r>
        <w:rPr>
          <w:rStyle w:val="26"/>
          <w:rFonts w:hint="eastAsia" w:ascii="黑体" w:hAnsi="黑体" w:eastAsia="黑体"/>
          <w:b w:val="0"/>
          <w:bCs w:val="0"/>
          <w:color w:val="auto"/>
          <w:highlight w:val="none"/>
        </w:rPr>
        <w:t>本职能及主要工作</w:t>
      </w:r>
      <w:bookmarkEnd w:id="14"/>
      <w:bookmarkEnd w:id="15"/>
      <w:bookmarkStart w:id="16" w:name="_Toc15378445"/>
      <w:bookmarkStart w:id="17" w:name="_Toc15377198"/>
    </w:p>
    <w:p>
      <w:pPr>
        <w:pStyle w:val="4"/>
        <w:numPr>
          <w:ilvl w:val="0"/>
          <w:numId w:val="0"/>
        </w:numPr>
        <w:ind w:firstLine="640" w:firstLineChars="200"/>
        <w:rPr>
          <w:rFonts w:hint="eastAsia" w:ascii="仿宋" w:hAnsi="仿宋" w:eastAsia="仿宋"/>
          <w:bCs/>
          <w:color w:val="000000"/>
          <w:sz w:val="32"/>
          <w:szCs w:val="32"/>
        </w:rPr>
      </w:pPr>
      <w:r>
        <w:rPr>
          <w:rFonts w:hint="eastAsia" w:ascii="仿宋" w:hAnsi="仿宋" w:eastAsia="仿宋" w:cs="Times New Roman"/>
          <w:b w:val="0"/>
          <w:bCs/>
          <w:color w:val="auto"/>
          <w:kern w:val="0"/>
          <w:sz w:val="32"/>
          <w:szCs w:val="32"/>
          <w:highlight w:val="none"/>
          <w:lang w:val="en-US" w:eastAsia="zh-CN" w:bidi="ar-SA"/>
        </w:rPr>
        <w:t>（一）主要职能。</w:t>
      </w:r>
      <w:bookmarkEnd w:id="16"/>
      <w:bookmarkEnd w:id="17"/>
      <w:bookmarkStart w:id="18" w:name="_Toc15377199"/>
      <w:bookmarkStart w:id="19" w:name="_Toc15378446"/>
      <w:r>
        <w:rPr>
          <w:rFonts w:hint="eastAsia" w:ascii="仿宋" w:hAnsi="仿宋" w:eastAsia="仿宋" w:cs="Times New Roman"/>
          <w:b w:val="0"/>
          <w:bCs/>
          <w:color w:val="auto"/>
          <w:kern w:val="0"/>
          <w:sz w:val="32"/>
          <w:szCs w:val="32"/>
          <w:highlight w:val="none"/>
          <w:lang w:val="en-US" w:eastAsia="zh-CN" w:bidi="ar-SA"/>
        </w:rPr>
        <w:t>广元市农业科学研究院主要从事公益性农业科技应用基础研究，农作物新品种新技术引进和试验示范等工作。</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lang w:eastAsia="zh-CN"/>
        </w:rPr>
      </w:pPr>
      <w:r>
        <w:rPr>
          <w:rFonts w:hint="eastAsia" w:ascii="仿宋" w:hAnsi="仿宋" w:eastAsia="仿宋"/>
          <w:bCs/>
          <w:color w:val="auto"/>
          <w:sz w:val="32"/>
          <w:szCs w:val="32"/>
          <w:highlight w:val="none"/>
          <w:lang w:eastAsia="zh-CN"/>
        </w:rPr>
        <w:t>一是持续建设</w:t>
      </w:r>
      <w:r>
        <w:rPr>
          <w:rFonts w:hint="eastAsia" w:ascii="仿宋" w:hAnsi="仿宋" w:eastAsia="仿宋"/>
          <w:bCs/>
          <w:color w:val="auto"/>
          <w:sz w:val="32"/>
          <w:szCs w:val="32"/>
          <w:highlight w:val="none"/>
        </w:rPr>
        <w:t>“动车</w:t>
      </w:r>
      <w:r>
        <w:rPr>
          <w:rFonts w:hint="eastAsia" w:ascii="仿宋" w:hAnsi="仿宋" w:eastAsia="仿宋"/>
          <w:bCs/>
          <w:color w:val="auto"/>
          <w:sz w:val="32"/>
          <w:szCs w:val="32"/>
          <w:highlight w:val="none"/>
          <w:lang w:eastAsia="zh-CN"/>
        </w:rPr>
        <w:t>党</w:t>
      </w:r>
      <w:r>
        <w:rPr>
          <w:rFonts w:hint="eastAsia" w:ascii="仿宋" w:hAnsi="仿宋" w:eastAsia="仿宋"/>
          <w:bCs/>
          <w:color w:val="auto"/>
          <w:sz w:val="32"/>
          <w:szCs w:val="32"/>
          <w:highlight w:val="none"/>
        </w:rPr>
        <w:t>支部”。强化党建引领，常态化开展“不忘初心</w:t>
      </w:r>
      <w:r>
        <w:rPr>
          <w:rFonts w:hint="eastAsia" w:ascii="仿宋" w:hAnsi="仿宋" w:eastAsia="仿宋"/>
          <w:bCs/>
          <w:color w:val="auto"/>
          <w:sz w:val="32"/>
          <w:szCs w:val="32"/>
          <w:highlight w:val="none"/>
          <w:lang w:eastAsia="zh-CN"/>
        </w:rPr>
        <w:t>牢记使命</w:t>
      </w:r>
      <w:r>
        <w:rPr>
          <w:rFonts w:hint="eastAsia" w:ascii="仿宋" w:hAnsi="仿宋" w:eastAsia="仿宋"/>
          <w:bCs/>
          <w:color w:val="auto"/>
          <w:sz w:val="32"/>
          <w:szCs w:val="32"/>
          <w:highlight w:val="none"/>
        </w:rPr>
        <w:t>”主题教育</w:t>
      </w:r>
      <w:r>
        <w:rPr>
          <w:rFonts w:hint="eastAsia" w:ascii="仿宋" w:hAnsi="仿宋" w:eastAsia="仿宋"/>
          <w:bCs/>
          <w:color w:val="auto"/>
          <w:sz w:val="32"/>
          <w:szCs w:val="32"/>
          <w:highlight w:val="none"/>
          <w:lang w:eastAsia="zh-CN"/>
        </w:rPr>
        <w:t>和</w:t>
      </w:r>
      <w:r>
        <w:rPr>
          <w:rFonts w:hint="eastAsia" w:ascii="仿宋" w:hAnsi="仿宋" w:eastAsia="仿宋"/>
          <w:bCs/>
          <w:color w:val="auto"/>
          <w:sz w:val="32"/>
          <w:szCs w:val="32"/>
          <w:highlight w:val="none"/>
        </w:rPr>
        <w:t>“农科讲坛”，</w:t>
      </w:r>
      <w:r>
        <w:rPr>
          <w:rFonts w:hint="eastAsia" w:ascii="仿宋" w:hAnsi="仿宋" w:eastAsia="仿宋"/>
          <w:bCs/>
          <w:color w:val="auto"/>
          <w:sz w:val="32"/>
          <w:szCs w:val="32"/>
          <w:highlight w:val="none"/>
          <w:lang w:eastAsia="zh-CN"/>
        </w:rPr>
        <w:t>抓班子、带队伍，发挥支部战斗堡垒作用和党员先锋模范作用</w:t>
      </w:r>
      <w:r>
        <w:rPr>
          <w:rFonts w:hint="eastAsia" w:ascii="仿宋" w:hAnsi="仿宋" w:eastAsia="仿宋"/>
          <w:bCs/>
          <w:color w:val="auto"/>
          <w:sz w:val="32"/>
          <w:szCs w:val="32"/>
          <w:highlight w:val="none"/>
        </w:rPr>
        <w:t>，</w:t>
      </w:r>
      <w:r>
        <w:rPr>
          <w:rFonts w:hint="eastAsia" w:ascii="仿宋" w:hAnsi="仿宋" w:eastAsia="仿宋"/>
          <w:bCs/>
          <w:color w:val="auto"/>
          <w:sz w:val="32"/>
          <w:szCs w:val="32"/>
          <w:highlight w:val="none"/>
          <w:lang w:eastAsia="zh-CN"/>
        </w:rPr>
        <w:t>丰富党支部学习活动，建设学习型党组织，持续引进高层次专业人才，打造“忠诚、干净、担当”农业科研队伍</w:t>
      </w:r>
      <w:r>
        <w:rPr>
          <w:rFonts w:hint="eastAsia" w:ascii="仿宋" w:hAnsi="仿宋" w:eastAsia="仿宋"/>
          <w:bCs/>
          <w:color w:val="auto"/>
          <w:sz w:val="32"/>
          <w:szCs w:val="32"/>
          <w:highlight w:val="none"/>
        </w:rPr>
        <w:t>。</w:t>
      </w:r>
    </w:p>
    <w:p>
      <w:pPr>
        <w:pStyle w:val="6"/>
        <w:adjustRightInd w:val="0"/>
        <w:snapToGrid w:val="0"/>
        <w:spacing w:before="93" w:line="600" w:lineRule="exact"/>
        <w:ind w:firstLine="640" w:firstLineChars="200"/>
        <w:outlineLvl w:val="2"/>
        <w:rPr>
          <w:rFonts w:hint="eastAsia" w:ascii="仿宋" w:hAnsi="仿宋" w:eastAsia="仿宋"/>
          <w:bCs/>
          <w:color w:val="auto"/>
          <w:sz w:val="32"/>
          <w:szCs w:val="32"/>
          <w:highlight w:val="none"/>
          <w:lang w:eastAsia="zh-CN"/>
        </w:rPr>
      </w:pPr>
      <w:r>
        <w:rPr>
          <w:rFonts w:hint="eastAsia" w:ascii="仿宋" w:hAnsi="仿宋" w:eastAsia="仿宋"/>
          <w:bCs/>
          <w:color w:val="auto"/>
          <w:sz w:val="32"/>
          <w:szCs w:val="32"/>
          <w:highlight w:val="none"/>
          <w:lang w:eastAsia="zh-CN"/>
        </w:rPr>
        <w:t>二是持续扩大院地科技合作。充分利用市委、市政府搭建的科研平台，与中国农科院、省农科院、川农大开展科技合作。在玉米新品种选育、猕猴桃溃疡病防治、蔬菜根肿病预防等开展试验研究和联合科技攻关，努力解决产业发展瓶颈问题。</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lang w:eastAsia="zh-CN"/>
        </w:rPr>
      </w:pPr>
      <w:r>
        <w:rPr>
          <w:rFonts w:hint="eastAsia" w:ascii="仿宋" w:hAnsi="仿宋" w:eastAsia="仿宋"/>
          <w:bCs/>
          <w:color w:val="auto"/>
          <w:sz w:val="32"/>
          <w:szCs w:val="32"/>
          <w:highlight w:val="none"/>
          <w:lang w:eastAsia="zh-CN"/>
        </w:rPr>
        <w:t>三是持续加大农业科研项目争取工作。主动对接我省十四五农业规划，围绕部、省农业科研投资重点和方向，积极包装、上报一批农业科研项目，力争项目争取有较大的突破，不断完善科研条件。</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lang w:eastAsia="zh-CN"/>
        </w:rPr>
      </w:pPr>
      <w:r>
        <w:rPr>
          <w:rFonts w:hint="eastAsia" w:ascii="仿宋" w:hAnsi="仿宋" w:eastAsia="仿宋"/>
          <w:bCs/>
          <w:color w:val="auto"/>
          <w:sz w:val="32"/>
          <w:szCs w:val="32"/>
          <w:highlight w:val="none"/>
          <w:lang w:eastAsia="zh-CN"/>
        </w:rPr>
        <w:t>四是持续转化科技成果。建设新品种、新技术示范基地，以省级玉米、水果创新团队和院士（专家）工作站平台为载体，高质量推进昭化区滨湖园区猕猴桃溃疡病综合防治示范基地和剑阁县白龙新型饲草示范基地建设。引进、筛选</w:t>
      </w:r>
      <w:r>
        <w:rPr>
          <w:rFonts w:hint="eastAsia" w:ascii="仿宋" w:hAnsi="仿宋" w:eastAsia="仿宋"/>
          <w:bCs/>
          <w:color w:val="auto"/>
          <w:sz w:val="32"/>
          <w:szCs w:val="32"/>
          <w:highlight w:val="none"/>
          <w:lang w:val="en-US" w:eastAsia="zh-CN"/>
        </w:rPr>
        <w:t>5-10个适宜广元特色产业发展的好品种、新技术，</w:t>
      </w:r>
      <w:r>
        <w:rPr>
          <w:rFonts w:hint="eastAsia" w:ascii="仿宋" w:hAnsi="仿宋" w:eastAsia="仿宋"/>
          <w:bCs/>
          <w:color w:val="auto"/>
          <w:sz w:val="32"/>
          <w:szCs w:val="32"/>
          <w:highlight w:val="none"/>
          <w:lang w:eastAsia="zh-CN"/>
        </w:rPr>
        <w:t>力争召开一次全省或者全国型现场会。</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eastAsia="zh-CN"/>
        </w:rPr>
        <w:t>五是持续</w:t>
      </w:r>
      <w:r>
        <w:rPr>
          <w:rFonts w:hint="eastAsia" w:ascii="仿宋" w:hAnsi="仿宋" w:eastAsia="仿宋"/>
          <w:bCs/>
          <w:color w:val="auto"/>
          <w:sz w:val="32"/>
          <w:szCs w:val="32"/>
          <w:highlight w:val="none"/>
        </w:rPr>
        <w:t>保护</w:t>
      </w:r>
      <w:r>
        <w:rPr>
          <w:rFonts w:hint="eastAsia" w:ascii="仿宋" w:hAnsi="仿宋" w:eastAsia="仿宋"/>
          <w:bCs/>
          <w:color w:val="auto"/>
          <w:sz w:val="32"/>
          <w:szCs w:val="32"/>
          <w:highlight w:val="none"/>
          <w:lang w:eastAsia="zh-CN"/>
        </w:rPr>
        <w:t>和开发</w:t>
      </w:r>
      <w:r>
        <w:rPr>
          <w:rFonts w:hint="eastAsia" w:ascii="仿宋" w:hAnsi="仿宋" w:eastAsia="仿宋"/>
          <w:bCs/>
          <w:color w:val="auto"/>
          <w:sz w:val="32"/>
          <w:szCs w:val="32"/>
          <w:highlight w:val="none"/>
        </w:rPr>
        <w:t>野生资源。依托</w:t>
      </w:r>
      <w:r>
        <w:rPr>
          <w:rFonts w:hint="eastAsia" w:ascii="仿宋" w:hAnsi="仿宋" w:eastAsia="仿宋"/>
          <w:bCs/>
          <w:color w:val="auto"/>
          <w:sz w:val="32"/>
          <w:szCs w:val="32"/>
          <w:highlight w:val="none"/>
          <w:lang w:eastAsia="zh-CN"/>
        </w:rPr>
        <w:t>秦巴山区</w:t>
      </w:r>
      <w:r>
        <w:rPr>
          <w:rFonts w:hint="eastAsia" w:ascii="仿宋" w:hAnsi="仿宋" w:eastAsia="仿宋"/>
          <w:bCs/>
          <w:color w:val="auto"/>
          <w:sz w:val="32"/>
          <w:szCs w:val="32"/>
          <w:highlight w:val="none"/>
        </w:rPr>
        <w:t>资源禀赋，</w:t>
      </w:r>
      <w:r>
        <w:rPr>
          <w:rFonts w:hint="eastAsia" w:ascii="仿宋" w:hAnsi="仿宋" w:eastAsia="仿宋"/>
          <w:bCs/>
          <w:color w:val="auto"/>
          <w:sz w:val="32"/>
          <w:szCs w:val="32"/>
          <w:highlight w:val="none"/>
          <w:lang w:eastAsia="zh-CN"/>
        </w:rPr>
        <w:t>广泛收集和保护广元</w:t>
      </w:r>
      <w:r>
        <w:rPr>
          <w:rFonts w:hint="eastAsia" w:ascii="仿宋" w:hAnsi="仿宋" w:eastAsia="仿宋"/>
          <w:bCs/>
          <w:color w:val="auto"/>
          <w:sz w:val="32"/>
          <w:szCs w:val="32"/>
          <w:highlight w:val="none"/>
        </w:rPr>
        <w:t>野生猕猴桃、野生食用菌、彩色玉米等地方特色资源，建</w:t>
      </w:r>
      <w:r>
        <w:rPr>
          <w:rFonts w:hint="eastAsia" w:ascii="仿宋" w:hAnsi="仿宋" w:eastAsia="仿宋"/>
          <w:bCs/>
          <w:color w:val="auto"/>
          <w:sz w:val="32"/>
          <w:szCs w:val="32"/>
          <w:highlight w:val="none"/>
          <w:lang w:eastAsia="zh-CN"/>
        </w:rPr>
        <w:t>设</w:t>
      </w:r>
      <w:r>
        <w:rPr>
          <w:rFonts w:hint="eastAsia" w:ascii="仿宋" w:hAnsi="仿宋" w:eastAsia="仿宋"/>
          <w:bCs/>
          <w:color w:val="auto"/>
          <w:sz w:val="32"/>
          <w:szCs w:val="32"/>
          <w:highlight w:val="none"/>
        </w:rPr>
        <w:t>1-2个野生资源圃。</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eastAsia="zh-CN"/>
        </w:rPr>
        <w:t>六是持续做好驻村帮扶工作。巩固脱贫帮扶成果，防止返贫，协调农业项目投入，实施科技扶贫，提升产业发展质量和效益，促进帮扶的苍溪县三川镇柏溪村、天官村（原名：北斗村）的乡村振兴。</w:t>
      </w:r>
    </w:p>
    <w:p>
      <w:pPr>
        <w:pStyle w:val="4"/>
        <w:numPr>
          <w:ilvl w:val="0"/>
          <w:numId w:val="2"/>
        </w:numPr>
        <w:rPr>
          <w:rStyle w:val="26"/>
          <w:rFonts w:hint="eastAsia" w:ascii="黑体" w:hAnsi="黑体" w:eastAsia="黑体"/>
          <w:b w:val="0"/>
          <w:bCs w:val="0"/>
          <w:color w:val="auto"/>
          <w:highlight w:val="none"/>
        </w:rPr>
      </w:pPr>
      <w:bookmarkStart w:id="20" w:name="_Toc15396601"/>
      <w:bookmarkStart w:id="21" w:name="_Toc15377200"/>
      <w:r>
        <w:rPr>
          <w:rFonts w:hint="eastAsia" w:ascii="黑体" w:hAnsi="黑体" w:eastAsia="黑体"/>
          <w:b w:val="0"/>
          <w:color w:val="auto"/>
          <w:highlight w:val="none"/>
        </w:rPr>
        <w:t>机</w:t>
      </w:r>
      <w:r>
        <w:rPr>
          <w:rStyle w:val="26"/>
          <w:rFonts w:hint="eastAsia" w:ascii="黑体" w:hAnsi="黑体" w:eastAsia="黑体"/>
          <w:b w:val="0"/>
          <w:bCs w:val="0"/>
          <w:color w:val="auto"/>
          <w:highlight w:val="none"/>
        </w:rPr>
        <w:t>构设置</w:t>
      </w:r>
      <w:bookmarkEnd w:id="20"/>
      <w:bookmarkEnd w:id="21"/>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市农科院下属二级单位</w:t>
      </w:r>
      <w:r>
        <w:rPr>
          <w:rFonts w:ascii="仿宋" w:hAnsi="仿宋" w:eastAsia="仿宋"/>
          <w:color w:val="auto"/>
          <w:sz w:val="32"/>
          <w:szCs w:val="32"/>
          <w:highlight w:val="none"/>
        </w:rPr>
        <w:t>0</w:t>
      </w:r>
      <w:r>
        <w:rPr>
          <w:rFonts w:hint="eastAsia" w:ascii="仿宋" w:hAnsi="仿宋" w:eastAsia="仿宋"/>
          <w:color w:val="auto"/>
          <w:sz w:val="32"/>
          <w:szCs w:val="32"/>
          <w:highlight w:val="none"/>
        </w:rPr>
        <w:t>个，其中行政单位</w:t>
      </w:r>
      <w:r>
        <w:rPr>
          <w:rFonts w:ascii="仿宋" w:hAnsi="仿宋" w:eastAsia="仿宋"/>
          <w:color w:val="auto"/>
          <w:sz w:val="32"/>
          <w:szCs w:val="32"/>
          <w:highlight w:val="none"/>
        </w:rPr>
        <w:t>0</w:t>
      </w:r>
      <w:r>
        <w:rPr>
          <w:rFonts w:hint="eastAsia" w:ascii="仿宋" w:hAnsi="仿宋" w:eastAsia="仿宋"/>
          <w:color w:val="auto"/>
          <w:sz w:val="32"/>
          <w:szCs w:val="32"/>
          <w:highlight w:val="none"/>
        </w:rPr>
        <w:t>个，参照公务员法管理的事业单位</w:t>
      </w:r>
      <w:r>
        <w:rPr>
          <w:rFonts w:ascii="仿宋" w:hAnsi="仿宋" w:eastAsia="仿宋"/>
          <w:color w:val="auto"/>
          <w:sz w:val="32"/>
          <w:szCs w:val="32"/>
          <w:highlight w:val="none"/>
        </w:rPr>
        <w:t>0</w:t>
      </w:r>
      <w:r>
        <w:rPr>
          <w:rFonts w:hint="eastAsia" w:ascii="仿宋" w:hAnsi="仿宋" w:eastAsia="仿宋"/>
          <w:color w:val="auto"/>
          <w:sz w:val="32"/>
          <w:szCs w:val="32"/>
          <w:highlight w:val="none"/>
        </w:rPr>
        <w:t>个，其他事业单位</w:t>
      </w:r>
      <w:r>
        <w:rPr>
          <w:rFonts w:ascii="仿宋" w:hAnsi="仿宋" w:eastAsia="仿宋"/>
          <w:color w:val="auto"/>
          <w:sz w:val="32"/>
          <w:szCs w:val="32"/>
          <w:highlight w:val="none"/>
        </w:rPr>
        <w:t>0</w:t>
      </w:r>
      <w:r>
        <w:rPr>
          <w:rFonts w:hint="eastAsia" w:ascii="仿宋" w:hAnsi="仿宋" w:eastAsia="仿宋"/>
          <w:color w:val="auto"/>
          <w:sz w:val="32"/>
          <w:szCs w:val="32"/>
          <w:highlight w:val="none"/>
        </w:rPr>
        <w:t>个。</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无纳入20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w:t>
      </w:r>
    </w:p>
    <w:p>
      <w:pPr>
        <w:pStyle w:val="3"/>
        <w:ind w:right="440"/>
        <w:jc w:val="center"/>
        <w:rPr>
          <w:color w:val="auto"/>
          <w:highlight w:val="none"/>
        </w:rPr>
      </w:pPr>
      <w:bookmarkStart w:id="22" w:name="_Toc15377204"/>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rPr>
        <w:t>部门决算情况说明</w:t>
      </w:r>
      <w:bookmarkEnd w:id="22"/>
      <w:bookmarkEnd w:id="23"/>
    </w:p>
    <w:p>
      <w:pPr>
        <w:pStyle w:val="24"/>
        <w:numPr>
          <w:ilvl w:val="0"/>
          <w:numId w:val="3"/>
        </w:numPr>
        <w:spacing w:line="600" w:lineRule="exact"/>
        <w:ind w:firstLineChars="0"/>
        <w:outlineLvl w:val="1"/>
        <w:rPr>
          <w:rStyle w:val="26"/>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4"/>
      <w:bookmarkEnd w:id="25"/>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679.22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各</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1377.84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66.98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lang w:eastAsia="zh-CN"/>
        </w:rPr>
        <w:t>年初结转结余</w:t>
      </w:r>
      <w:r>
        <w:rPr>
          <w:rFonts w:hint="eastAsia" w:ascii="仿宋" w:hAnsi="仿宋" w:eastAsia="仿宋"/>
          <w:color w:val="auto"/>
          <w:sz w:val="32"/>
          <w:szCs w:val="32"/>
          <w:lang w:val="en-US" w:eastAsia="zh-CN"/>
        </w:rPr>
        <w:t>71.85万元</w:t>
      </w:r>
      <w:r>
        <w:rPr>
          <w:rFonts w:hint="eastAsia" w:ascii="仿宋" w:hAnsi="仿宋" w:eastAsia="仿宋"/>
          <w:color w:val="auto"/>
          <w:sz w:val="32"/>
          <w:szCs w:val="32"/>
        </w:rPr>
        <w:t>比20</w:t>
      </w:r>
      <w:r>
        <w:rPr>
          <w:rFonts w:hint="eastAsia" w:ascii="仿宋" w:hAnsi="仿宋" w:eastAsia="仿宋"/>
          <w:color w:val="auto"/>
          <w:sz w:val="32"/>
          <w:szCs w:val="32"/>
          <w:lang w:val="en-US" w:eastAsia="zh-CN"/>
        </w:rPr>
        <w:t>20</w:t>
      </w:r>
      <w:r>
        <w:rPr>
          <w:rFonts w:hint="eastAsia" w:ascii="仿宋" w:hAnsi="仿宋" w:eastAsia="仿宋"/>
          <w:color w:val="auto"/>
          <w:sz w:val="32"/>
          <w:szCs w:val="32"/>
          <w:lang w:eastAsia="zh-CN"/>
        </w:rPr>
        <w:t>年初结转结余</w:t>
      </w:r>
      <w:r>
        <w:rPr>
          <w:rFonts w:hint="eastAsia" w:ascii="仿宋" w:hAnsi="仿宋" w:eastAsia="仿宋"/>
          <w:color w:val="auto"/>
          <w:sz w:val="32"/>
          <w:szCs w:val="32"/>
          <w:lang w:val="en-US" w:eastAsia="zh-CN"/>
        </w:rPr>
        <w:t>1597.98万元</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1526.13</w:t>
      </w:r>
      <w:r>
        <w:rPr>
          <w:rFonts w:hint="eastAsia" w:ascii="仿宋" w:hAnsi="仿宋" w:eastAsia="仿宋"/>
          <w:color w:val="auto"/>
          <w:sz w:val="32"/>
          <w:szCs w:val="32"/>
        </w:rPr>
        <w:t>万元。</w:t>
      </w:r>
    </w:p>
    <w:p>
      <w:pPr>
        <w:jc w:val="center"/>
        <w:rPr>
          <w:rFonts w:hint="eastAsia" w:ascii="仿宋" w:hAnsi="仿宋" w:eastAsia="仿宋"/>
          <w:color w:val="auto"/>
          <w:sz w:val="32"/>
          <w:szCs w:val="32"/>
          <w:highlight w:val="none"/>
        </w:rPr>
      </w:pPr>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pPr>
    </w:p>
    <w:p>
      <w:pPr>
        <w:pStyle w:val="24"/>
        <w:numPr>
          <w:ilvl w:val="0"/>
          <w:numId w:val="3"/>
        </w:numPr>
        <w:spacing w:line="600" w:lineRule="exact"/>
        <w:ind w:firstLineChars="0"/>
        <w:outlineLvl w:val="1"/>
        <w:rPr>
          <w:rStyle w:val="26"/>
          <w:rFonts w:ascii="黑体" w:hAnsi="黑体" w:eastAsia="黑体"/>
          <w:b w:val="0"/>
          <w:color w:val="auto"/>
          <w:highlight w:val="none"/>
        </w:rPr>
      </w:pPr>
      <w:bookmarkStart w:id="26" w:name="_Toc15377206"/>
      <w:bookmarkStart w:id="27"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6"/>
      <w:bookmarkEnd w:id="27"/>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年本年收入合计</w:t>
      </w:r>
      <w:r>
        <w:rPr>
          <w:rFonts w:hint="eastAsia" w:ascii="仿宋" w:hAnsi="仿宋" w:eastAsia="仿宋"/>
          <w:color w:val="auto"/>
          <w:sz w:val="32"/>
          <w:szCs w:val="32"/>
          <w:lang w:val="en-US" w:eastAsia="zh-CN"/>
        </w:rPr>
        <w:t>607.37</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596.27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98.17</w:t>
      </w:r>
      <w:r>
        <w:rPr>
          <w:rFonts w:ascii="仿宋" w:hAnsi="仿宋" w:eastAsia="仿宋"/>
          <w:color w:val="auto"/>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w:t>
      </w:r>
      <w:r>
        <w:rPr>
          <w:rFonts w:hint="eastAsia" w:ascii="仿宋" w:hAnsi="仿宋" w:eastAsia="仿宋"/>
          <w:color w:val="auto"/>
          <w:sz w:val="32"/>
          <w:szCs w:val="32"/>
        </w:rPr>
        <w:t>入</w:t>
      </w:r>
      <w:r>
        <w:rPr>
          <w:rFonts w:hint="eastAsia" w:ascii="仿宋" w:hAnsi="仿宋" w:eastAsia="仿宋"/>
          <w:color w:val="auto"/>
          <w:sz w:val="32"/>
          <w:szCs w:val="32"/>
          <w:lang w:val="en-US" w:eastAsia="zh-CN"/>
        </w:rPr>
        <w:t>11.1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1.83</w:t>
      </w:r>
      <w:r>
        <w:rPr>
          <w:rFonts w:ascii="仿宋" w:hAnsi="仿宋" w:eastAsia="仿宋"/>
          <w:color w:val="auto"/>
          <w:sz w:val="32"/>
          <w:szCs w:val="32"/>
        </w:rPr>
        <w:t>%</w:t>
      </w:r>
      <w:r>
        <w:rPr>
          <w:rFonts w:hint="eastAsia" w:ascii="仿宋" w:hAnsi="仿宋" w:eastAsia="仿宋"/>
          <w:color w:val="000000"/>
          <w:sz w:val="32"/>
          <w:szCs w:val="32"/>
        </w:rPr>
        <w:t>。</w:t>
      </w:r>
    </w:p>
    <w:p>
      <w:pPr>
        <w:jc w:val="center"/>
      </w:pPr>
      <w:r>
        <w:rPr>
          <w:rFonts w:hint="eastAsia" w:ascii="仿宋" w:hAnsi="仿宋" w:eastAsia="仿宋"/>
          <w:color w:val="auto"/>
          <w:sz w:val="32"/>
          <w:szCs w:val="32"/>
          <w:highlight w:val="none"/>
          <w:lang w:eastAsia="zh-CN"/>
        </w:rPr>
        <w:drawing>
          <wp:inline distT="0" distB="0" distL="114300" distR="114300">
            <wp:extent cx="4813935" cy="3371850"/>
            <wp:effectExtent l="4445" t="4445" r="2032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
      </w:pPr>
    </w:p>
    <w:p>
      <w:pPr>
        <w:pStyle w:val="24"/>
        <w:numPr>
          <w:ilvl w:val="0"/>
          <w:numId w:val="3"/>
        </w:numPr>
        <w:spacing w:line="600" w:lineRule="exact"/>
        <w:ind w:firstLineChars="0"/>
        <w:outlineLvl w:val="1"/>
        <w:rPr>
          <w:rStyle w:val="26"/>
          <w:rFonts w:ascii="黑体" w:hAnsi="黑体" w:eastAsia="黑体"/>
          <w:b w:val="0"/>
          <w:color w:val="auto"/>
          <w:highlight w:val="none"/>
        </w:rPr>
      </w:pPr>
      <w:bookmarkStart w:id="28" w:name="_Toc15396605"/>
      <w:bookmarkStart w:id="29"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586.36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517.84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88.31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68.52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11.69</w:t>
      </w:r>
      <w:r>
        <w:rPr>
          <w:rFonts w:ascii="仿宋" w:hAnsi="仿宋" w:eastAsia="仿宋"/>
          <w:color w:val="000000"/>
          <w:sz w:val="32"/>
          <w:szCs w:val="32"/>
        </w:rPr>
        <w:t>%</w:t>
      </w:r>
      <w:r>
        <w:rPr>
          <w:rFonts w:hint="eastAsia" w:ascii="仿宋" w:hAnsi="仿宋" w:eastAsia="仿宋"/>
          <w:color w:val="000000"/>
          <w:sz w:val="32"/>
          <w:szCs w:val="32"/>
        </w:rPr>
        <w:t>。</w:t>
      </w:r>
    </w:p>
    <w:p>
      <w:pPr>
        <w:jc w:val="center"/>
        <w:rPr>
          <w:rFonts w:hint="eastAsia" w:eastAsia="宋体"/>
          <w:lang w:eastAsia="zh-CN"/>
        </w:rPr>
      </w:pPr>
      <w:r>
        <w:rPr>
          <w:rFonts w:hint="eastAsia" w:eastAsia="宋体"/>
          <w:lang w:eastAsia="zh-CN"/>
        </w:rPr>
        <w:drawing>
          <wp:inline distT="0" distB="0" distL="114300" distR="114300">
            <wp:extent cx="4445635" cy="3126105"/>
            <wp:effectExtent l="4445" t="4445" r="7620"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bookmarkStart w:id="30" w:name="_Toc15396606"/>
      <w:bookmarkStart w:id="31"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0"/>
      <w:bookmarkEnd w:id="3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654.4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1341.67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67.22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年初结转和结余比20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年初结转和结余减少</w:t>
      </w:r>
      <w:r>
        <w:rPr>
          <w:rFonts w:hint="eastAsia" w:ascii="仿宋" w:hAnsi="仿宋" w:eastAsia="仿宋"/>
          <w:color w:val="auto"/>
          <w:sz w:val="32"/>
          <w:szCs w:val="32"/>
          <w:highlight w:val="none"/>
          <w:lang w:val="en-US" w:eastAsia="zh-CN"/>
        </w:rPr>
        <w:t>1498.73</w:t>
      </w:r>
      <w:r>
        <w:rPr>
          <w:rFonts w:hint="eastAsia" w:ascii="仿宋" w:hAnsi="仿宋" w:eastAsia="仿宋"/>
          <w:color w:val="auto"/>
          <w:sz w:val="32"/>
          <w:szCs w:val="32"/>
          <w:highlight w:val="none"/>
        </w:rPr>
        <w:t>万元。</w:t>
      </w:r>
    </w:p>
    <w:p/>
    <w:p>
      <w:pPr>
        <w:pStyle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inline distT="0" distB="0" distL="114300" distR="114300">
            <wp:extent cx="4533265" cy="2738755"/>
            <wp:effectExtent l="4445" t="4445" r="1524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
        <w:ind w:left="0" w:leftChars="0" w:firstLine="0" w:firstLineChars="0"/>
      </w:pPr>
    </w:p>
    <w:p>
      <w:pPr>
        <w:spacing w:line="600" w:lineRule="exact"/>
        <w:ind w:firstLine="640" w:firstLineChars="200"/>
        <w:outlineLvl w:val="1"/>
        <w:rPr>
          <w:rStyle w:val="26"/>
          <w:rFonts w:ascii="黑体" w:hAnsi="黑体" w:eastAsia="黑体"/>
          <w:b w:val="0"/>
          <w:color w:val="auto"/>
          <w:highlight w:val="none"/>
        </w:rPr>
      </w:pPr>
      <w:bookmarkStart w:id="32" w:name="_Toc15377209"/>
      <w:bookmarkStart w:id="3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2"/>
      <w:bookmarkEnd w:id="33"/>
    </w:p>
    <w:p>
      <w:pPr>
        <w:spacing w:line="600" w:lineRule="exact"/>
        <w:ind w:firstLine="643"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highlight w:val="none"/>
          <w:lang w:val="en-US" w:eastAsia="zh-CN"/>
        </w:rPr>
      </w:pPr>
      <w:r>
        <w:rPr>
          <w:rFonts w:ascii="仿宋" w:hAnsi="仿宋" w:eastAsia="仿宋"/>
          <w:color w:val="000000"/>
          <w:sz w:val="32"/>
          <w:szCs w:val="32"/>
          <w:highlight w:val="none"/>
        </w:rPr>
        <w:t>202</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rPr>
        <w:t>年一般公共预算财政拨款支出</w:t>
      </w:r>
      <w:r>
        <w:rPr>
          <w:rFonts w:hint="eastAsia" w:ascii="仿宋" w:hAnsi="仿宋" w:eastAsia="仿宋"/>
          <w:color w:val="000000"/>
          <w:sz w:val="32"/>
          <w:szCs w:val="32"/>
          <w:highlight w:val="none"/>
          <w:lang w:val="en-US" w:eastAsia="zh-CN"/>
        </w:rPr>
        <w:t>565.66</w:t>
      </w:r>
      <w:r>
        <w:rPr>
          <w:rFonts w:hint="eastAsia" w:ascii="仿宋" w:hAnsi="仿宋" w:eastAsia="仿宋"/>
          <w:color w:val="000000"/>
          <w:sz w:val="32"/>
          <w:szCs w:val="32"/>
          <w:highlight w:val="none"/>
        </w:rPr>
        <w:t>万元，占本年支出合计的</w:t>
      </w:r>
      <w:r>
        <w:rPr>
          <w:rFonts w:hint="eastAsia" w:ascii="仿宋" w:hAnsi="仿宋" w:eastAsia="仿宋"/>
          <w:color w:val="000000"/>
          <w:sz w:val="32"/>
          <w:szCs w:val="32"/>
          <w:highlight w:val="none"/>
          <w:lang w:val="en-US" w:eastAsia="zh-CN"/>
        </w:rPr>
        <w:t>96.47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。与</w:t>
      </w: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年相比，一般公共预算财政拨款</w:t>
      </w:r>
      <w:r>
        <w:rPr>
          <w:rFonts w:hint="eastAsia" w:ascii="仿宋" w:hAnsi="仿宋" w:eastAsia="仿宋"/>
          <w:color w:val="000000"/>
          <w:sz w:val="32"/>
          <w:szCs w:val="32"/>
          <w:highlight w:val="none"/>
          <w:lang w:eastAsia="zh-CN"/>
        </w:rPr>
        <w:t>减少</w:t>
      </w:r>
      <w:r>
        <w:rPr>
          <w:rFonts w:hint="eastAsia" w:ascii="仿宋" w:hAnsi="仿宋" w:eastAsia="仿宋"/>
          <w:color w:val="000000"/>
          <w:sz w:val="32"/>
          <w:szCs w:val="32"/>
          <w:highlight w:val="none"/>
          <w:lang w:val="en-US" w:eastAsia="zh-CN"/>
        </w:rPr>
        <w:t>1372.28</w:t>
      </w:r>
      <w:r>
        <w:rPr>
          <w:rFonts w:hint="eastAsia" w:ascii="仿宋" w:hAnsi="仿宋" w:eastAsia="仿宋"/>
          <w:color w:val="000000"/>
          <w:sz w:val="32"/>
          <w:szCs w:val="32"/>
          <w:highlight w:val="none"/>
        </w:rPr>
        <w:t>万</w:t>
      </w:r>
      <w:r>
        <w:rPr>
          <w:rFonts w:hint="eastAsia" w:ascii="仿宋" w:hAnsi="仿宋" w:eastAsia="仿宋"/>
          <w:color w:val="auto"/>
          <w:sz w:val="32"/>
          <w:szCs w:val="32"/>
          <w:highlight w:val="none"/>
        </w:rPr>
        <w:t>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70.81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000000"/>
          <w:sz w:val="32"/>
          <w:szCs w:val="32"/>
          <w:highlight w:val="none"/>
        </w:rPr>
        <w:t>是</w:t>
      </w:r>
      <w:r>
        <w:rPr>
          <w:rFonts w:hint="eastAsia" w:ascii="仿宋" w:hAnsi="仿宋" w:eastAsia="仿宋"/>
          <w:color w:val="000000"/>
          <w:sz w:val="32"/>
          <w:szCs w:val="32"/>
          <w:highlight w:val="none"/>
          <w:lang w:val="en-US" w:eastAsia="zh-CN"/>
        </w:rPr>
        <w:t>以前年度结转的项目在2020年通过验收，按照审计金额列支。</w:t>
      </w:r>
    </w:p>
    <w:p>
      <w:pPr>
        <w:rPr>
          <w:rFonts w:ascii="仿宋" w:hAnsi="仿宋" w:eastAsia="仿宋"/>
          <w:color w:val="auto"/>
          <w:sz w:val="32"/>
          <w:szCs w:val="32"/>
          <w:highlight w:val="none"/>
        </w:rPr>
      </w:pPr>
    </w:p>
    <w:p>
      <w:pPr>
        <w:pStyle w:val="2"/>
        <w:jc w:val="center"/>
        <w:rPr>
          <w:rFonts w:hint="eastAsia" w:eastAsia="宋体"/>
          <w:lang w:eastAsia="zh-CN"/>
        </w:rPr>
      </w:pPr>
      <w:r>
        <w:rPr>
          <w:rFonts w:hint="eastAsia" w:eastAsia="宋体"/>
          <w:lang w:eastAsia="zh-CN"/>
        </w:rPr>
        <w:drawing>
          <wp:inline distT="0" distB="0" distL="114300" distR="114300">
            <wp:extent cx="3731895" cy="2326640"/>
            <wp:effectExtent l="4445" t="4445" r="16510" b="1206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Style w:val="2"/>
      </w:pPr>
    </w:p>
    <w:p>
      <w:pPr>
        <w:spacing w:line="600" w:lineRule="exact"/>
        <w:ind w:firstLine="643"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spacing w:line="600" w:lineRule="exact"/>
        <w:ind w:firstLine="640"/>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565.66</w:t>
      </w:r>
      <w:r>
        <w:rPr>
          <w:rFonts w:hint="eastAsia" w:ascii="仿宋" w:hAnsi="仿宋" w:eastAsia="仿宋"/>
          <w:color w:val="auto"/>
          <w:sz w:val="32"/>
          <w:szCs w:val="32"/>
          <w:highlight w:val="none"/>
        </w:rPr>
        <w:t>万元，主要用于以下方面:科学技术（类）支出</w:t>
      </w:r>
      <w:r>
        <w:rPr>
          <w:rFonts w:hint="eastAsia" w:ascii="仿宋" w:hAnsi="仿宋" w:eastAsia="仿宋"/>
          <w:color w:val="auto"/>
          <w:sz w:val="32"/>
          <w:szCs w:val="32"/>
          <w:highlight w:val="none"/>
          <w:lang w:val="en-US" w:eastAsia="zh-CN"/>
        </w:rPr>
        <w:t>30.43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5.38</w:t>
      </w:r>
      <w:r>
        <w:rPr>
          <w:rFonts w:hint="eastAsia" w:ascii="仿宋" w:hAnsi="仿宋" w:eastAsia="仿宋"/>
          <w:color w:val="auto"/>
          <w:sz w:val="32"/>
          <w:szCs w:val="32"/>
          <w:highlight w:val="none"/>
        </w:rPr>
        <w:t>%；社会保障和就业（类）支出</w:t>
      </w:r>
      <w:r>
        <w:rPr>
          <w:rFonts w:hint="eastAsia" w:ascii="仿宋" w:hAnsi="仿宋" w:eastAsia="仿宋"/>
          <w:color w:val="auto"/>
          <w:sz w:val="32"/>
          <w:szCs w:val="32"/>
          <w:highlight w:val="none"/>
          <w:lang w:val="en-US" w:eastAsia="zh-CN"/>
        </w:rPr>
        <w:t>32.46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5.74</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17.69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3.13</w:t>
      </w:r>
      <w:r>
        <w:rPr>
          <w:rFonts w:hint="eastAsia" w:ascii="仿宋" w:hAnsi="仿宋" w:eastAsia="仿宋"/>
          <w:color w:val="auto"/>
          <w:sz w:val="32"/>
          <w:szCs w:val="32"/>
          <w:highlight w:val="none"/>
        </w:rPr>
        <w:t>%；农林水（类）支出</w:t>
      </w:r>
      <w:r>
        <w:rPr>
          <w:rFonts w:hint="eastAsia" w:ascii="仿宋" w:hAnsi="仿宋" w:eastAsia="仿宋"/>
          <w:color w:val="auto"/>
          <w:sz w:val="32"/>
          <w:szCs w:val="32"/>
          <w:highlight w:val="none"/>
          <w:lang w:val="en-US" w:eastAsia="zh-CN"/>
        </w:rPr>
        <w:t>446.70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78.97</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38.38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6.78</w:t>
      </w:r>
      <w:r>
        <w:rPr>
          <w:rFonts w:hint="eastAsia" w:ascii="仿宋" w:hAnsi="仿宋" w:eastAsia="仿宋"/>
          <w:color w:val="auto"/>
          <w:sz w:val="32"/>
          <w:szCs w:val="32"/>
          <w:highlight w:val="none"/>
        </w:rPr>
        <w:t>%。</w:t>
      </w:r>
    </w:p>
    <w:p>
      <w:pPr>
        <w:jc w:val="center"/>
        <w:rPr>
          <w:rFonts w:hint="eastAsia" w:eastAsia="宋体"/>
          <w:lang w:eastAsia="zh-CN"/>
        </w:rPr>
      </w:pPr>
      <w:r>
        <w:rPr>
          <w:rFonts w:hint="eastAsia" w:eastAsia="宋体"/>
          <w:lang w:eastAsia="zh-CN"/>
        </w:rPr>
        <w:drawing>
          <wp:inline distT="0" distB="0" distL="114300" distR="114300">
            <wp:extent cx="4929505" cy="2969895"/>
            <wp:effectExtent l="4445" t="4445" r="1905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321" w:firstLineChars="100"/>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pPr>
        <w:spacing w:line="600" w:lineRule="exact"/>
        <w:ind w:firstLine="640" w:firstLineChars="200"/>
        <w:outlineLvl w:val="2"/>
        <w:rPr>
          <w:rStyle w:val="15"/>
          <w:rFonts w:hint="eastAsia" w:ascii="仿宋" w:hAnsi="仿宋" w:eastAsia="仿宋"/>
          <w:b w:val="0"/>
          <w:bCs/>
          <w:color w:val="000000"/>
          <w:sz w:val="32"/>
          <w:szCs w:val="32"/>
        </w:rPr>
      </w:pPr>
      <w:bookmarkStart w:id="37" w:name="_Toc15378460"/>
      <w:bookmarkStart w:id="38" w:name="_Toc15377444"/>
      <w:bookmarkStart w:id="39" w:name="_Toc15377213"/>
      <w:r>
        <w:rPr>
          <w:rFonts w:ascii="仿宋" w:hAnsi="仿宋" w:eastAsia="仿宋"/>
          <w:b w:val="0"/>
          <w:bCs/>
          <w:color w:val="000000"/>
          <w:sz w:val="32"/>
          <w:szCs w:val="32"/>
        </w:rPr>
        <w:t>202</w:t>
      </w:r>
      <w:r>
        <w:rPr>
          <w:rFonts w:hint="eastAsia" w:ascii="仿宋" w:hAnsi="仿宋" w:eastAsia="仿宋"/>
          <w:b w:val="0"/>
          <w:bCs/>
          <w:color w:val="000000"/>
          <w:sz w:val="32"/>
          <w:szCs w:val="32"/>
          <w:lang w:val="en-US" w:eastAsia="zh-CN"/>
        </w:rPr>
        <w:t>1</w:t>
      </w:r>
      <w:r>
        <w:rPr>
          <w:rFonts w:hint="eastAsia" w:ascii="仿宋" w:hAnsi="仿宋" w:eastAsia="仿宋"/>
          <w:b w:val="0"/>
          <w:bCs/>
          <w:color w:val="000000"/>
          <w:sz w:val="32"/>
          <w:szCs w:val="32"/>
        </w:rPr>
        <w:t>年一般公共预算支出决算数为</w:t>
      </w:r>
      <w:r>
        <w:rPr>
          <w:rFonts w:hint="eastAsia" w:ascii="仿宋" w:hAnsi="仿宋" w:eastAsia="仿宋"/>
          <w:b w:val="0"/>
          <w:bCs/>
          <w:color w:val="000000"/>
          <w:sz w:val="32"/>
          <w:szCs w:val="32"/>
          <w:lang w:val="en-US" w:eastAsia="zh-CN"/>
        </w:rPr>
        <w:t>565.66元</w:t>
      </w:r>
      <w:r>
        <w:rPr>
          <w:rFonts w:hint="eastAsia" w:ascii="仿宋" w:hAnsi="仿宋" w:eastAsia="仿宋"/>
          <w:b w:val="0"/>
          <w:bCs/>
          <w:color w:val="000000"/>
          <w:sz w:val="32"/>
          <w:szCs w:val="32"/>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86.44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。其中：</w:t>
      </w:r>
      <w:bookmarkEnd w:id="37"/>
      <w:bookmarkEnd w:id="38"/>
      <w:bookmarkEnd w:id="39"/>
    </w:p>
    <w:p>
      <w:pPr>
        <w:numPr>
          <w:ilvl w:val="0"/>
          <w:numId w:val="0"/>
        </w:numPr>
        <w:spacing w:line="600" w:lineRule="exact"/>
        <w:ind w:firstLine="640" w:firstLineChars="200"/>
        <w:rPr>
          <w:rStyle w:val="15"/>
          <w:rFonts w:hint="eastAsia" w:ascii="仿宋" w:hAnsi="仿宋" w:eastAsia="仿宋"/>
          <w:b w:val="0"/>
          <w:bCs/>
          <w:color w:val="000000"/>
          <w:sz w:val="32"/>
          <w:szCs w:val="32"/>
          <w:lang w:eastAsia="zh-CN"/>
        </w:rPr>
      </w:pPr>
      <w:r>
        <w:rPr>
          <w:rStyle w:val="15"/>
          <w:rFonts w:hint="eastAsia" w:ascii="仿宋" w:hAnsi="仿宋" w:eastAsia="仿宋"/>
          <w:b w:val="0"/>
          <w:bCs/>
          <w:color w:val="000000"/>
          <w:sz w:val="32"/>
          <w:szCs w:val="32"/>
          <w:highlight w:val="none"/>
          <w:lang w:val="en-US" w:eastAsia="zh-CN"/>
        </w:rPr>
        <w:t>1.</w:t>
      </w:r>
      <w:r>
        <w:rPr>
          <w:rStyle w:val="15"/>
          <w:rFonts w:hint="eastAsia" w:ascii="仿宋" w:hAnsi="仿宋" w:eastAsia="仿宋"/>
          <w:b w:val="0"/>
          <w:bCs/>
          <w:color w:val="000000"/>
          <w:sz w:val="32"/>
          <w:szCs w:val="32"/>
          <w:highlight w:val="none"/>
        </w:rPr>
        <w:t>科学技术</w:t>
      </w:r>
      <w:r>
        <w:rPr>
          <w:rStyle w:val="15"/>
          <w:rFonts w:hint="eastAsia" w:ascii="仿宋" w:hAnsi="仿宋" w:eastAsia="仿宋"/>
          <w:b w:val="0"/>
          <w:bCs/>
          <w:color w:val="000000"/>
          <w:sz w:val="32"/>
          <w:szCs w:val="32"/>
          <w:highlight w:val="none"/>
          <w:lang w:eastAsia="zh-CN"/>
        </w:rPr>
        <w:t>支出</w:t>
      </w:r>
      <w:r>
        <w:rPr>
          <w:rStyle w:val="15"/>
          <w:rFonts w:hint="eastAsia" w:ascii="仿宋" w:hAnsi="仿宋" w:eastAsia="仿宋"/>
          <w:b w:val="0"/>
          <w:bCs/>
          <w:color w:val="000000"/>
          <w:sz w:val="32"/>
          <w:szCs w:val="32"/>
          <w:highlight w:val="none"/>
        </w:rPr>
        <w:t>（类）科学技术管理事务（款）其他科学技术管理事务支出（项）:支出决算为</w:t>
      </w:r>
      <w:r>
        <w:rPr>
          <w:rStyle w:val="15"/>
          <w:rFonts w:hint="eastAsia" w:ascii="仿宋" w:hAnsi="仿宋" w:eastAsia="仿宋"/>
          <w:b w:val="0"/>
          <w:bCs/>
          <w:color w:val="000000"/>
          <w:sz w:val="32"/>
          <w:szCs w:val="32"/>
          <w:highlight w:val="none"/>
          <w:lang w:val="en-US" w:eastAsia="zh-CN"/>
        </w:rPr>
        <w:t>0.76</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hint="eastAsia"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lang w:eastAsia="zh-CN"/>
        </w:rPr>
        <w:t>。</w:t>
      </w:r>
    </w:p>
    <w:p>
      <w:pPr>
        <w:pStyle w:val="2"/>
        <w:numPr>
          <w:ilvl w:val="0"/>
          <w:numId w:val="0"/>
        </w:numPr>
        <w:ind w:firstLine="640" w:firstLineChars="200"/>
        <w:rPr>
          <w:rFonts w:hint="default"/>
          <w:b w:val="0"/>
          <w:bCs/>
          <w:lang w:val="en-US" w:eastAsia="zh-CN"/>
        </w:rPr>
      </w:pPr>
      <w:r>
        <w:rPr>
          <w:rStyle w:val="15"/>
          <w:rFonts w:hint="eastAsia" w:ascii="仿宋" w:hAnsi="仿宋" w:eastAsia="仿宋"/>
          <w:b w:val="0"/>
          <w:bCs/>
          <w:color w:val="000000"/>
          <w:kern w:val="2"/>
          <w:sz w:val="32"/>
          <w:szCs w:val="32"/>
          <w:lang w:val="en-US" w:eastAsia="zh-CN" w:bidi="ar-SA"/>
        </w:rPr>
        <w:t>2.科学技术支出（类）应用研究（款）社会公益研究（项）:支出决算为20万元，完成预算100%。</w:t>
      </w:r>
    </w:p>
    <w:p>
      <w:pPr>
        <w:spacing w:line="600" w:lineRule="exact"/>
        <w:ind w:firstLine="640" w:firstLineChars="200"/>
        <w:rPr>
          <w:rStyle w:val="15"/>
          <w:rFonts w:hint="eastAsia" w:ascii="仿宋" w:hAnsi="仿宋" w:eastAsia="仿宋"/>
          <w:b w:val="0"/>
          <w:bCs/>
          <w:color w:val="auto"/>
          <w:sz w:val="32"/>
          <w:szCs w:val="32"/>
          <w:lang w:val="en-US" w:eastAsia="zh-CN"/>
        </w:rPr>
      </w:pPr>
      <w:r>
        <w:rPr>
          <w:rStyle w:val="15"/>
          <w:rFonts w:hint="eastAsia" w:ascii="仿宋" w:hAnsi="仿宋" w:eastAsia="仿宋"/>
          <w:b w:val="0"/>
          <w:bCs/>
          <w:color w:val="auto"/>
          <w:sz w:val="32"/>
          <w:szCs w:val="32"/>
          <w:lang w:val="en-US" w:eastAsia="zh-CN"/>
        </w:rPr>
        <w:t>3.科学技术支出（类）技术研究与开发（款）科技成果转化与扩散（项）：支出决算为4.51万元，完成预算</w:t>
      </w:r>
      <w:r>
        <w:rPr>
          <w:rStyle w:val="15"/>
          <w:rFonts w:hint="eastAsia" w:ascii="仿宋" w:hAnsi="仿宋" w:eastAsia="仿宋"/>
          <w:b w:val="0"/>
          <w:bCs/>
          <w:color w:val="auto"/>
          <w:sz w:val="32"/>
          <w:szCs w:val="32"/>
          <w:highlight w:val="none"/>
          <w:lang w:val="en-US" w:eastAsia="zh-CN"/>
        </w:rPr>
        <w:t>100%。</w:t>
      </w:r>
    </w:p>
    <w:p>
      <w:pPr>
        <w:numPr>
          <w:ilvl w:val="0"/>
          <w:numId w:val="0"/>
        </w:numPr>
        <w:spacing w:line="600" w:lineRule="exact"/>
        <w:ind w:firstLine="640" w:firstLineChars="200"/>
        <w:rPr>
          <w:rStyle w:val="15"/>
          <w:rFonts w:hint="eastAsia" w:ascii="仿宋" w:hAnsi="仿宋" w:eastAsia="仿宋"/>
          <w:b w:val="0"/>
          <w:bCs/>
          <w:color w:val="auto"/>
          <w:sz w:val="32"/>
          <w:szCs w:val="32"/>
          <w:highlight w:val="yellow"/>
          <w:lang w:val="en-US" w:eastAsia="zh-CN"/>
        </w:rPr>
      </w:pPr>
      <w:r>
        <w:rPr>
          <w:rStyle w:val="15"/>
          <w:rFonts w:hint="eastAsia" w:ascii="仿宋" w:hAnsi="仿宋" w:eastAsia="仿宋"/>
          <w:b w:val="0"/>
          <w:bCs/>
          <w:color w:val="auto"/>
          <w:sz w:val="32"/>
          <w:szCs w:val="32"/>
          <w:lang w:val="en-US" w:eastAsia="zh-CN"/>
        </w:rPr>
        <w:t>4.科学技术支出（类）科学技术普及（款）其他科学技术普及支出（项）:支出决算为3.54万元，完成预算17.59</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000000"/>
          <w:sz w:val="32"/>
          <w:szCs w:val="32"/>
          <w:highlight w:val="none"/>
        </w:rPr>
        <w:t>决算数小于预算数的原因是该科技项目连续实施</w:t>
      </w:r>
      <w:r>
        <w:rPr>
          <w:rStyle w:val="15"/>
          <w:rFonts w:hint="eastAsia" w:ascii="仿宋" w:hAnsi="仿宋" w:eastAsia="仿宋"/>
          <w:b w:val="0"/>
          <w:bCs/>
          <w:color w:val="000000"/>
          <w:sz w:val="32"/>
          <w:szCs w:val="32"/>
          <w:highlight w:val="none"/>
          <w:lang w:eastAsia="zh-CN"/>
        </w:rPr>
        <w:t>。</w:t>
      </w:r>
    </w:p>
    <w:p>
      <w:pPr>
        <w:spacing w:line="600" w:lineRule="exact"/>
        <w:ind w:firstLine="640" w:firstLineChars="200"/>
        <w:rPr>
          <w:rFonts w:hint="eastAsia"/>
          <w:b w:val="0"/>
          <w:bCs/>
          <w:lang w:val="en-US" w:eastAsia="zh-CN"/>
        </w:rPr>
      </w:pPr>
      <w:r>
        <w:rPr>
          <w:rStyle w:val="15"/>
          <w:rFonts w:hint="eastAsia" w:ascii="仿宋" w:hAnsi="仿宋" w:eastAsia="仿宋"/>
          <w:b w:val="0"/>
          <w:bCs/>
          <w:color w:val="auto"/>
          <w:sz w:val="32"/>
          <w:szCs w:val="32"/>
          <w:lang w:val="en-US" w:eastAsia="zh-CN"/>
        </w:rPr>
        <w:t>5.科学技术支出（类）其他科学技术支出（款）其他科学技术支出（项）:支出决算为1.63万元，完成预算</w:t>
      </w:r>
      <w:r>
        <w:rPr>
          <w:rStyle w:val="15"/>
          <w:rFonts w:hint="eastAsia" w:ascii="仿宋" w:hAnsi="仿宋" w:eastAsia="仿宋"/>
          <w:b w:val="0"/>
          <w:bCs/>
          <w:color w:val="auto"/>
          <w:sz w:val="32"/>
          <w:szCs w:val="32"/>
          <w:highlight w:val="none"/>
          <w:lang w:val="en-US" w:eastAsia="zh-CN"/>
        </w:rPr>
        <w:t>19.43%。</w:t>
      </w:r>
      <w:r>
        <w:rPr>
          <w:rStyle w:val="15"/>
          <w:rFonts w:hint="eastAsia" w:ascii="仿宋" w:hAnsi="仿宋" w:eastAsia="仿宋"/>
          <w:b w:val="0"/>
          <w:bCs/>
          <w:color w:val="000000"/>
          <w:sz w:val="32"/>
          <w:szCs w:val="32"/>
          <w:highlight w:val="none"/>
        </w:rPr>
        <w:t>决算数小于预算数的原因是该科技项目连续实施</w:t>
      </w:r>
      <w:r>
        <w:rPr>
          <w:rStyle w:val="15"/>
          <w:rFonts w:hint="eastAsia" w:ascii="仿宋" w:hAnsi="仿宋" w:eastAsia="仿宋"/>
          <w:b w:val="0"/>
          <w:bCs/>
          <w:color w:val="000000"/>
          <w:sz w:val="32"/>
          <w:szCs w:val="32"/>
          <w:highlight w:val="none"/>
          <w:lang w:eastAsia="zh-CN"/>
        </w:rPr>
        <w:t>。</w:t>
      </w:r>
    </w:p>
    <w:p>
      <w:p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auto"/>
          <w:sz w:val="32"/>
          <w:szCs w:val="32"/>
          <w:lang w:val="en-US" w:eastAsia="zh-CN"/>
        </w:rPr>
        <w:t>6.</w:t>
      </w:r>
      <w:r>
        <w:rPr>
          <w:rStyle w:val="15"/>
          <w:rFonts w:hint="eastAsia" w:ascii="仿宋" w:hAnsi="仿宋" w:eastAsia="仿宋"/>
          <w:b w:val="0"/>
          <w:bCs/>
          <w:color w:val="000000"/>
          <w:sz w:val="32"/>
          <w:szCs w:val="32"/>
        </w:rPr>
        <w:t>社会保障和就业</w:t>
      </w:r>
      <w:r>
        <w:rPr>
          <w:rStyle w:val="15"/>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（类）行政事业单位</w:t>
      </w:r>
      <w:r>
        <w:rPr>
          <w:rStyle w:val="15"/>
          <w:rFonts w:hint="eastAsia" w:ascii="仿宋" w:hAnsi="仿宋" w:eastAsia="仿宋"/>
          <w:b w:val="0"/>
          <w:bCs/>
          <w:color w:val="000000"/>
          <w:sz w:val="32"/>
          <w:szCs w:val="32"/>
          <w:lang w:eastAsia="zh-CN"/>
        </w:rPr>
        <w:t>养老支出</w:t>
      </w:r>
      <w:r>
        <w:rPr>
          <w:rStyle w:val="15"/>
          <w:rFonts w:hint="eastAsia" w:ascii="仿宋" w:hAnsi="仿宋" w:eastAsia="仿宋"/>
          <w:b w:val="0"/>
          <w:bCs/>
          <w:color w:val="000000"/>
          <w:sz w:val="32"/>
          <w:szCs w:val="32"/>
        </w:rPr>
        <w:t>（款）机关事业单位基本养老保险缴费支出（项）:支出决算为</w:t>
      </w:r>
      <w:r>
        <w:rPr>
          <w:rStyle w:val="15"/>
          <w:rFonts w:hint="eastAsia" w:ascii="仿宋" w:hAnsi="仿宋" w:eastAsia="仿宋"/>
          <w:b w:val="0"/>
          <w:bCs/>
          <w:color w:val="000000"/>
          <w:sz w:val="32"/>
          <w:szCs w:val="32"/>
          <w:lang w:val="en-US" w:eastAsia="zh-CN"/>
        </w:rPr>
        <w:t>32.46</w:t>
      </w:r>
      <w:r>
        <w:rPr>
          <w:rStyle w:val="15"/>
          <w:rFonts w:hint="eastAsia" w:ascii="仿宋" w:hAnsi="仿宋" w:eastAsia="仿宋"/>
          <w:b w:val="0"/>
          <w:bCs/>
          <w:color w:val="000000"/>
          <w:sz w:val="32"/>
          <w:szCs w:val="32"/>
        </w:rPr>
        <w:t>万元，完成预算100%。</w:t>
      </w:r>
    </w:p>
    <w:p>
      <w:pPr>
        <w:spacing w:line="600" w:lineRule="exact"/>
        <w:ind w:firstLine="640" w:firstLineChars="200"/>
        <w:rPr>
          <w:rFonts w:hint="eastAsia" w:ascii="仿宋" w:hAnsi="仿宋" w:eastAsia="仿宋"/>
          <w:b w:val="0"/>
          <w:bCs/>
          <w:color w:val="auto"/>
          <w:sz w:val="32"/>
          <w:szCs w:val="32"/>
          <w:highlight w:val="none"/>
        </w:rPr>
      </w:pPr>
      <w:r>
        <w:rPr>
          <w:rStyle w:val="15"/>
          <w:rFonts w:hint="eastAsia" w:ascii="仿宋" w:hAnsi="仿宋" w:eastAsia="仿宋"/>
          <w:b w:val="0"/>
          <w:bCs/>
          <w:color w:val="000000"/>
          <w:sz w:val="32"/>
          <w:szCs w:val="32"/>
          <w:lang w:val="en-US" w:eastAsia="zh-CN"/>
        </w:rPr>
        <w:t>7</w:t>
      </w:r>
      <w:r>
        <w:rPr>
          <w:rStyle w:val="15"/>
          <w:rFonts w:hint="eastAsia" w:ascii="仿宋" w:hAnsi="仿宋" w:eastAsia="仿宋"/>
          <w:b w:val="0"/>
          <w:bCs/>
          <w:color w:val="000000"/>
          <w:sz w:val="32"/>
          <w:szCs w:val="32"/>
        </w:rPr>
        <w:t>.</w:t>
      </w:r>
      <w:r>
        <w:rPr>
          <w:rFonts w:hint="eastAsia" w:ascii="仿宋" w:hAnsi="仿宋" w:eastAsia="仿宋"/>
          <w:b w:val="0"/>
          <w:bCs/>
          <w:color w:val="auto"/>
          <w:sz w:val="32"/>
          <w:szCs w:val="32"/>
          <w:highlight w:val="none"/>
        </w:rPr>
        <w:t>卫生健康</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（类）行政事业单位医疗（款）事业单位医疗（项）:支出决算为</w:t>
      </w:r>
      <w:r>
        <w:rPr>
          <w:rFonts w:hint="eastAsia" w:ascii="仿宋" w:hAnsi="仿宋" w:eastAsia="仿宋"/>
          <w:b w:val="0"/>
          <w:bCs/>
          <w:color w:val="auto"/>
          <w:sz w:val="32"/>
          <w:szCs w:val="32"/>
          <w:highlight w:val="none"/>
          <w:lang w:val="en-US" w:eastAsia="zh-CN"/>
        </w:rPr>
        <w:t>17.69</w:t>
      </w:r>
      <w:r>
        <w:rPr>
          <w:rFonts w:hint="eastAsia" w:ascii="仿宋" w:hAnsi="仿宋" w:eastAsia="仿宋"/>
          <w:b w:val="0"/>
          <w:bCs/>
          <w:color w:val="auto"/>
          <w:sz w:val="32"/>
          <w:szCs w:val="32"/>
          <w:highlight w:val="none"/>
        </w:rPr>
        <w:t>万元，完成预算100%。</w:t>
      </w:r>
    </w:p>
    <w:p>
      <w:pPr>
        <w:spacing w:line="600" w:lineRule="exact"/>
        <w:ind w:firstLine="640" w:firstLineChars="200"/>
        <w:rPr>
          <w:rFonts w:hint="eastAsia" w:ascii="仿宋" w:hAnsi="仿宋" w:eastAsia="仿宋"/>
          <w:b w:val="0"/>
          <w:bCs/>
          <w:color w:val="auto"/>
          <w:sz w:val="32"/>
          <w:szCs w:val="32"/>
          <w:highlight w:val="none"/>
          <w:lang w:eastAsia="zh-CN"/>
        </w:rPr>
      </w:pPr>
      <w:r>
        <w:rPr>
          <w:rFonts w:hint="eastAsia" w:ascii="仿宋" w:hAnsi="仿宋" w:eastAsia="仿宋"/>
          <w:b w:val="0"/>
          <w:bCs/>
          <w:color w:val="auto"/>
          <w:sz w:val="32"/>
          <w:szCs w:val="32"/>
          <w:highlight w:val="none"/>
          <w:lang w:val="en-US" w:eastAsia="zh-CN"/>
        </w:rPr>
        <w:t>8.</w:t>
      </w:r>
      <w:r>
        <w:rPr>
          <w:rFonts w:hint="eastAsia" w:ascii="仿宋" w:hAnsi="仿宋" w:eastAsia="仿宋"/>
          <w:b w:val="0"/>
          <w:bCs/>
          <w:color w:val="auto"/>
          <w:sz w:val="32"/>
          <w:szCs w:val="32"/>
          <w:highlight w:val="none"/>
        </w:rPr>
        <w:t>农林水</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（类）农业</w:t>
      </w:r>
      <w:r>
        <w:rPr>
          <w:rFonts w:hint="eastAsia" w:ascii="仿宋" w:hAnsi="仿宋" w:eastAsia="仿宋"/>
          <w:b w:val="0"/>
          <w:bCs/>
          <w:color w:val="auto"/>
          <w:sz w:val="32"/>
          <w:szCs w:val="32"/>
          <w:highlight w:val="none"/>
          <w:lang w:eastAsia="zh-CN"/>
        </w:rPr>
        <w:t>农村</w:t>
      </w:r>
      <w:r>
        <w:rPr>
          <w:rFonts w:hint="eastAsia" w:ascii="仿宋" w:hAnsi="仿宋" w:eastAsia="仿宋"/>
          <w:b w:val="0"/>
          <w:bCs/>
          <w:color w:val="auto"/>
          <w:sz w:val="32"/>
          <w:szCs w:val="32"/>
          <w:highlight w:val="none"/>
        </w:rPr>
        <w:t>（款）事业运行（项）:支出决算为</w:t>
      </w:r>
      <w:r>
        <w:rPr>
          <w:rFonts w:hint="eastAsia" w:ascii="仿宋" w:hAnsi="仿宋" w:eastAsia="仿宋"/>
          <w:b w:val="0"/>
          <w:bCs/>
          <w:color w:val="auto"/>
          <w:sz w:val="32"/>
          <w:szCs w:val="32"/>
          <w:highlight w:val="none"/>
          <w:lang w:val="en-US" w:eastAsia="zh-CN"/>
        </w:rPr>
        <w:t>429.31</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pPr>
        <w:spacing w:line="600" w:lineRule="exact"/>
        <w:ind w:firstLine="640" w:firstLineChars="200"/>
        <w:rPr>
          <w:rFonts w:hint="eastAsia" w:ascii="仿宋" w:hAnsi="仿宋" w:eastAsia="仿宋" w:cs="Times New Roman"/>
          <w:b w:val="0"/>
          <w:bCs/>
          <w:color w:val="auto"/>
          <w:kern w:val="2"/>
          <w:sz w:val="32"/>
          <w:szCs w:val="32"/>
          <w:highlight w:val="none"/>
          <w:lang w:val="en-US" w:eastAsia="zh-CN" w:bidi="ar-SA"/>
        </w:rPr>
      </w:pPr>
      <w:r>
        <w:rPr>
          <w:rFonts w:hint="eastAsia" w:ascii="仿宋" w:hAnsi="仿宋" w:eastAsia="仿宋"/>
          <w:b w:val="0"/>
          <w:bCs/>
          <w:color w:val="auto"/>
          <w:sz w:val="32"/>
          <w:szCs w:val="32"/>
          <w:highlight w:val="none"/>
          <w:lang w:val="en-US" w:eastAsia="zh-CN"/>
        </w:rPr>
        <w:t>9</w:t>
      </w:r>
      <w:r>
        <w:rPr>
          <w:rFonts w:hint="eastAsia" w:ascii="仿宋" w:hAnsi="仿宋" w:eastAsia="仿宋"/>
          <w:b w:val="0"/>
          <w:bCs/>
          <w:color w:val="auto"/>
          <w:sz w:val="32"/>
          <w:szCs w:val="32"/>
          <w:highlight w:val="none"/>
        </w:rPr>
        <w:t>.农林水</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（类）农业</w:t>
      </w:r>
      <w:r>
        <w:rPr>
          <w:rFonts w:hint="eastAsia" w:ascii="仿宋" w:hAnsi="仿宋" w:eastAsia="仿宋"/>
          <w:b w:val="0"/>
          <w:bCs/>
          <w:color w:val="auto"/>
          <w:sz w:val="32"/>
          <w:szCs w:val="32"/>
          <w:highlight w:val="none"/>
          <w:lang w:eastAsia="zh-CN"/>
        </w:rPr>
        <w:t>农村</w:t>
      </w:r>
      <w:r>
        <w:rPr>
          <w:rFonts w:hint="eastAsia" w:ascii="仿宋" w:hAnsi="仿宋" w:eastAsia="仿宋"/>
          <w:b w:val="0"/>
          <w:bCs/>
          <w:color w:val="auto"/>
          <w:sz w:val="32"/>
          <w:szCs w:val="32"/>
          <w:highlight w:val="none"/>
        </w:rPr>
        <w:t>（款）科技转化与推广</w:t>
      </w:r>
      <w:r>
        <w:rPr>
          <w:rFonts w:hint="eastAsia" w:ascii="仿宋" w:hAnsi="仿宋" w:eastAsia="仿宋"/>
          <w:b w:val="0"/>
          <w:bCs/>
          <w:color w:val="auto"/>
          <w:sz w:val="32"/>
          <w:szCs w:val="32"/>
          <w:highlight w:val="none"/>
          <w:lang w:eastAsia="zh-CN"/>
        </w:rPr>
        <w:t>服务</w:t>
      </w:r>
      <w:r>
        <w:rPr>
          <w:rFonts w:hint="eastAsia" w:ascii="仿宋" w:hAnsi="仿宋" w:eastAsia="仿宋"/>
          <w:b w:val="0"/>
          <w:bCs/>
          <w:color w:val="auto"/>
          <w:sz w:val="32"/>
          <w:szCs w:val="32"/>
          <w:highlight w:val="none"/>
        </w:rPr>
        <w:t>（项）:支出决算为</w:t>
      </w:r>
      <w:r>
        <w:rPr>
          <w:rFonts w:hint="eastAsia" w:ascii="仿宋" w:hAnsi="仿宋" w:eastAsia="仿宋"/>
          <w:b w:val="0"/>
          <w:bCs/>
          <w:color w:val="auto"/>
          <w:sz w:val="32"/>
          <w:szCs w:val="32"/>
          <w:highlight w:val="none"/>
          <w:lang w:val="en-US" w:eastAsia="zh-CN"/>
        </w:rPr>
        <w:t>9.36</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p>
    <w:p>
      <w:pPr>
        <w:pStyle w:val="2"/>
        <w:ind w:left="0" w:leftChars="0" w:firstLine="640" w:firstLineChars="200"/>
        <w:rPr>
          <w:rFonts w:hint="default" w:ascii="仿宋" w:hAnsi="仿宋" w:eastAsia="仿宋" w:cs="Times New Roman"/>
          <w:b w:val="0"/>
          <w:bCs/>
          <w:color w:val="auto"/>
          <w:kern w:val="2"/>
          <w:sz w:val="32"/>
          <w:szCs w:val="32"/>
          <w:highlight w:val="none"/>
          <w:lang w:val="en-US" w:eastAsia="zh-CN" w:bidi="ar-SA"/>
        </w:rPr>
      </w:pPr>
      <w:r>
        <w:rPr>
          <w:rFonts w:hint="eastAsia" w:ascii="仿宋" w:hAnsi="仿宋" w:eastAsia="仿宋" w:cs="Times New Roman"/>
          <w:b w:val="0"/>
          <w:bCs/>
          <w:color w:val="auto"/>
          <w:kern w:val="2"/>
          <w:sz w:val="32"/>
          <w:szCs w:val="32"/>
          <w:highlight w:val="none"/>
          <w:lang w:val="en-US" w:eastAsia="zh-CN" w:bidi="ar-SA"/>
        </w:rPr>
        <w:t>10.农林水支出（类）农业农村（款）防灾救灾（项）:支出决算为4.41万元，完成预算100%。</w:t>
      </w:r>
    </w:p>
    <w:p>
      <w:pPr>
        <w:ind w:firstLine="640" w:firstLineChars="200"/>
        <w:rPr>
          <w:rFonts w:hint="eastAsia"/>
          <w:b w:val="0"/>
          <w:bCs/>
        </w:rPr>
      </w:pPr>
      <w:r>
        <w:rPr>
          <w:rFonts w:hint="eastAsia" w:ascii="仿宋" w:hAnsi="仿宋" w:eastAsia="仿宋" w:cs="Times New Roman"/>
          <w:b w:val="0"/>
          <w:bCs/>
          <w:color w:val="auto"/>
          <w:kern w:val="2"/>
          <w:sz w:val="32"/>
          <w:szCs w:val="32"/>
          <w:highlight w:val="none"/>
          <w:lang w:val="en-US" w:eastAsia="zh-CN" w:bidi="ar-SA"/>
        </w:rPr>
        <w:t>11.</w:t>
      </w:r>
      <w:r>
        <w:rPr>
          <w:rFonts w:hint="eastAsia" w:ascii="仿宋" w:hAnsi="仿宋" w:eastAsia="仿宋"/>
          <w:b w:val="0"/>
          <w:bCs/>
          <w:color w:val="auto"/>
          <w:sz w:val="32"/>
          <w:szCs w:val="32"/>
          <w:highlight w:val="none"/>
        </w:rPr>
        <w:t>农林水</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（类）农业</w:t>
      </w:r>
      <w:r>
        <w:rPr>
          <w:rFonts w:hint="eastAsia" w:ascii="仿宋" w:hAnsi="仿宋" w:eastAsia="仿宋"/>
          <w:b w:val="0"/>
          <w:bCs/>
          <w:color w:val="auto"/>
          <w:sz w:val="32"/>
          <w:szCs w:val="32"/>
          <w:highlight w:val="none"/>
          <w:lang w:eastAsia="zh-CN"/>
        </w:rPr>
        <w:t>农村</w:t>
      </w:r>
      <w:r>
        <w:rPr>
          <w:rFonts w:hint="eastAsia" w:ascii="仿宋" w:hAnsi="仿宋" w:eastAsia="仿宋"/>
          <w:b w:val="0"/>
          <w:bCs/>
          <w:color w:val="auto"/>
          <w:sz w:val="32"/>
          <w:szCs w:val="32"/>
          <w:highlight w:val="none"/>
        </w:rPr>
        <w:t>（款）</w:t>
      </w:r>
      <w:r>
        <w:rPr>
          <w:rFonts w:hint="eastAsia" w:ascii="仿宋" w:hAnsi="仿宋" w:eastAsia="仿宋"/>
          <w:b w:val="0"/>
          <w:bCs/>
          <w:color w:val="auto"/>
          <w:sz w:val="32"/>
          <w:szCs w:val="32"/>
          <w:highlight w:val="none"/>
          <w:lang w:eastAsia="zh-CN"/>
        </w:rPr>
        <w:t>其他农业农村支出</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0.01</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pPr>
        <w:spacing w:line="600" w:lineRule="exact"/>
        <w:ind w:firstLine="640" w:firstLineChars="200"/>
        <w:rPr>
          <w:rFonts w:hint="eastAsia" w:ascii="仿宋" w:hAnsi="仿宋" w:eastAsia="仿宋"/>
          <w:b w:val="0"/>
          <w:bCs/>
          <w:color w:val="FF0000"/>
          <w:sz w:val="32"/>
          <w:szCs w:val="32"/>
          <w:highlight w:val="none"/>
          <w:lang w:eastAsia="zh-CN"/>
        </w:rPr>
      </w:pPr>
      <w:r>
        <w:rPr>
          <w:rFonts w:hint="eastAsia" w:ascii="仿宋" w:hAnsi="仿宋" w:eastAsia="仿宋"/>
          <w:b w:val="0"/>
          <w:bCs/>
          <w:color w:val="auto"/>
          <w:sz w:val="32"/>
          <w:szCs w:val="32"/>
          <w:highlight w:val="none"/>
        </w:rPr>
        <w:t>12.农林水</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w:t>
      </w:r>
      <w:r>
        <w:rPr>
          <w:rFonts w:hint="eastAsia" w:ascii="仿宋" w:hAnsi="仿宋" w:eastAsia="仿宋"/>
          <w:b w:val="0"/>
          <w:bCs/>
          <w:color w:val="auto"/>
          <w:sz w:val="32"/>
          <w:szCs w:val="32"/>
          <w:highlight w:val="none"/>
          <w:lang w:eastAsia="zh-CN"/>
        </w:rPr>
        <w:t>扶贫</w:t>
      </w:r>
      <w:r>
        <w:rPr>
          <w:rFonts w:hint="eastAsia" w:ascii="仿宋" w:hAnsi="仿宋" w:eastAsia="仿宋"/>
          <w:b w:val="0"/>
          <w:bCs/>
          <w:color w:val="auto"/>
          <w:sz w:val="32"/>
          <w:szCs w:val="32"/>
          <w:highlight w:val="none"/>
        </w:rPr>
        <w:t>（款）</w:t>
      </w:r>
      <w:r>
        <w:rPr>
          <w:rFonts w:hint="eastAsia" w:ascii="仿宋" w:hAnsi="仿宋" w:eastAsia="仿宋"/>
          <w:b w:val="0"/>
          <w:bCs/>
          <w:color w:val="auto"/>
          <w:sz w:val="32"/>
          <w:szCs w:val="32"/>
          <w:highlight w:val="none"/>
          <w:lang w:eastAsia="zh-CN"/>
        </w:rPr>
        <w:t>其他扶贫支出</w:t>
      </w:r>
      <w:r>
        <w:rPr>
          <w:rFonts w:hint="eastAsia" w:ascii="仿宋" w:hAnsi="仿宋" w:eastAsia="仿宋"/>
          <w:b w:val="0"/>
          <w:bCs/>
          <w:color w:val="auto"/>
          <w:sz w:val="32"/>
          <w:szCs w:val="32"/>
          <w:highlight w:val="none"/>
        </w:rPr>
        <w:t>（项）:支出决算为</w:t>
      </w:r>
      <w:r>
        <w:rPr>
          <w:rFonts w:hint="eastAsia" w:ascii="仿宋" w:hAnsi="仿宋" w:eastAsia="仿宋"/>
          <w:b w:val="0"/>
          <w:bCs/>
          <w:color w:val="auto"/>
          <w:sz w:val="32"/>
          <w:szCs w:val="32"/>
          <w:highlight w:val="none"/>
          <w:lang w:val="en-US" w:eastAsia="zh-CN"/>
        </w:rPr>
        <w:t>0.50</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w:t>
      </w:r>
      <w:r>
        <w:rPr>
          <w:rFonts w:hint="eastAsia" w:ascii="仿宋" w:hAnsi="仿宋" w:eastAsia="仿宋"/>
          <w:b w:val="0"/>
          <w:bCs/>
          <w:color w:val="auto"/>
          <w:sz w:val="32"/>
          <w:szCs w:val="32"/>
          <w:highlight w:val="none"/>
        </w:rPr>
        <w:t>0%</w:t>
      </w:r>
      <w:r>
        <w:rPr>
          <w:rFonts w:hint="eastAsia" w:ascii="仿宋" w:hAnsi="仿宋" w:eastAsia="仿宋"/>
          <w:b w:val="0"/>
          <w:bCs/>
          <w:color w:val="auto"/>
          <w:sz w:val="32"/>
          <w:szCs w:val="32"/>
          <w:highlight w:val="none"/>
          <w:lang w:eastAsia="zh-CN"/>
        </w:rPr>
        <w:t>。</w:t>
      </w:r>
    </w:p>
    <w:p>
      <w:pPr>
        <w:spacing w:line="600" w:lineRule="exact"/>
        <w:ind w:firstLine="640" w:firstLineChars="200"/>
        <w:rPr>
          <w:rStyle w:val="15"/>
          <w:rFonts w:ascii="仿宋_GB2312" w:hAnsi="仿宋" w:eastAsia="仿宋_GB2312" w:cs="仿宋_GB2312"/>
          <w:b w:val="0"/>
          <w:bCs/>
          <w:color w:val="auto"/>
          <w:sz w:val="32"/>
          <w:szCs w:val="32"/>
          <w:highlight w:val="none"/>
        </w:rPr>
      </w:pPr>
      <w:r>
        <w:rPr>
          <w:rFonts w:hint="eastAsia" w:ascii="仿宋" w:hAnsi="仿宋" w:eastAsia="仿宋"/>
          <w:b w:val="0"/>
          <w:bCs/>
          <w:color w:val="auto"/>
          <w:sz w:val="32"/>
          <w:szCs w:val="32"/>
          <w:highlight w:val="none"/>
        </w:rPr>
        <w:t>13.农林水支出（类）</w:t>
      </w:r>
      <w:r>
        <w:rPr>
          <w:rFonts w:hint="eastAsia" w:ascii="仿宋" w:hAnsi="仿宋" w:eastAsia="仿宋"/>
          <w:b w:val="0"/>
          <w:bCs/>
          <w:color w:val="auto"/>
          <w:sz w:val="32"/>
          <w:szCs w:val="32"/>
          <w:highlight w:val="none"/>
          <w:lang w:eastAsia="zh-CN"/>
        </w:rPr>
        <w:t>其他农林水支出</w:t>
      </w:r>
      <w:r>
        <w:rPr>
          <w:rFonts w:hint="eastAsia" w:ascii="仿宋" w:hAnsi="仿宋" w:eastAsia="仿宋"/>
          <w:b w:val="0"/>
          <w:bCs/>
          <w:color w:val="auto"/>
          <w:sz w:val="32"/>
          <w:szCs w:val="32"/>
          <w:highlight w:val="none"/>
        </w:rPr>
        <w:t>（款）</w:t>
      </w:r>
      <w:r>
        <w:rPr>
          <w:rFonts w:hint="eastAsia" w:ascii="仿宋" w:hAnsi="仿宋" w:eastAsia="仿宋"/>
          <w:b w:val="0"/>
          <w:bCs/>
          <w:color w:val="auto"/>
          <w:sz w:val="32"/>
          <w:szCs w:val="32"/>
          <w:highlight w:val="none"/>
          <w:lang w:eastAsia="zh-CN"/>
        </w:rPr>
        <w:t>其他农林水支出</w:t>
      </w:r>
      <w:r>
        <w:rPr>
          <w:rFonts w:hint="eastAsia" w:ascii="仿宋" w:hAnsi="仿宋" w:eastAsia="仿宋"/>
          <w:b w:val="0"/>
          <w:bCs/>
          <w:color w:val="auto"/>
          <w:sz w:val="32"/>
          <w:szCs w:val="32"/>
          <w:highlight w:val="none"/>
        </w:rPr>
        <w:t>（项）:支出决算为</w:t>
      </w:r>
      <w:r>
        <w:rPr>
          <w:rFonts w:hint="eastAsia" w:ascii="仿宋" w:hAnsi="仿宋" w:eastAsia="仿宋"/>
          <w:b w:val="0"/>
          <w:bCs/>
          <w:color w:val="auto"/>
          <w:sz w:val="32"/>
          <w:szCs w:val="32"/>
          <w:highlight w:val="none"/>
          <w:lang w:val="en-US" w:eastAsia="zh-CN"/>
        </w:rPr>
        <w:t>3.11</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Style w:val="15"/>
          <w:rFonts w:hint="eastAsia" w:ascii="仿宋_GB2312" w:hAnsi="仿宋" w:eastAsia="仿宋_GB2312" w:cs="仿宋_GB2312"/>
          <w:b w:val="0"/>
          <w:bCs/>
          <w:color w:val="auto"/>
          <w:sz w:val="32"/>
          <w:szCs w:val="32"/>
          <w:highlight w:val="none"/>
        </w:rPr>
        <w:t>。</w:t>
      </w:r>
    </w:p>
    <w:p>
      <w:pPr>
        <w:pStyle w:val="2"/>
        <w:ind w:left="0" w:leftChars="0" w:firstLine="640" w:firstLineChars="200"/>
        <w:rPr>
          <w:rFonts w:hint="eastAsia"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rPr>
        <w:t>14.</w:t>
      </w:r>
      <w:r>
        <w:rPr>
          <w:rFonts w:hint="eastAsia" w:ascii="仿宋" w:hAnsi="仿宋" w:eastAsia="仿宋"/>
          <w:b w:val="0"/>
          <w:bCs/>
          <w:color w:val="auto"/>
          <w:sz w:val="32"/>
          <w:szCs w:val="32"/>
          <w:highlight w:val="none"/>
          <w:lang w:val="en-US" w:eastAsia="zh-CN"/>
        </w:rPr>
        <w:t>住房保障支出（类）住房改革支出（款）住房公积金（项）:支出决算为38.38万元，完成预算100%。</w:t>
      </w:r>
    </w:p>
    <w:p/>
    <w:p>
      <w:pPr>
        <w:tabs>
          <w:tab w:val="right" w:pos="8306"/>
        </w:tabs>
        <w:spacing w:line="600" w:lineRule="exact"/>
        <w:ind w:firstLine="640"/>
        <w:outlineLvl w:val="1"/>
        <w:rPr>
          <w:rStyle w:val="26"/>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0"/>
      <w:bookmarkEnd w:id="41"/>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517.84</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442.49</w:t>
      </w:r>
      <w:r>
        <w:rPr>
          <w:rFonts w:hint="eastAsia" w:ascii="仿宋" w:hAnsi="仿宋" w:eastAsia="仿宋"/>
          <w:color w:val="auto"/>
          <w:sz w:val="32"/>
          <w:szCs w:val="32"/>
          <w:highlight w:val="none"/>
        </w:rPr>
        <w:t>万元，主要包括：基本工资</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118.23万元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、津贴补贴</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28.97万元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、绩效工资</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80.53万元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、机关事业单位基本养老保险缴费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32.46万元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职工基本医疗保险</w:t>
      </w:r>
      <w:r>
        <w:rPr>
          <w:rFonts w:hint="eastAsia" w:ascii="仿宋" w:hAnsi="仿宋" w:eastAsia="仿宋"/>
          <w:color w:val="auto"/>
          <w:sz w:val="32"/>
          <w:szCs w:val="32"/>
          <w:highlight w:val="none"/>
        </w:rPr>
        <w:t>缴费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17.69万元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其他社会保险缴费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5.34万元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住房公积金</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38.38万元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81.75万元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、生活补助</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39.14万元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75.35</w:t>
      </w:r>
      <w:r>
        <w:rPr>
          <w:rFonts w:hint="eastAsia" w:ascii="仿宋" w:hAnsi="仿宋" w:eastAsia="仿宋"/>
          <w:color w:val="auto"/>
          <w:sz w:val="32"/>
          <w:szCs w:val="32"/>
          <w:highlight w:val="none"/>
        </w:rPr>
        <w:t>万元，主要包括：办公费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4.82万元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、手续费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0.11万元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、水费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0.67万元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、电费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3.12万元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、邮电费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3.13万元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、差旅费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8.95万元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、维修（护）费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0.62万元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租赁费（</w:t>
      </w:r>
      <w:r>
        <w:rPr>
          <w:rFonts w:hint="eastAsia" w:ascii="仿宋" w:hAnsi="仿宋" w:eastAsia="仿宋"/>
          <w:color w:val="auto"/>
          <w:sz w:val="32"/>
          <w:szCs w:val="32"/>
          <w:highlight w:val="none"/>
          <w:lang w:val="en-US" w:eastAsia="zh-CN"/>
        </w:rPr>
        <w:t>7.92万元）、</w:t>
      </w:r>
      <w:r>
        <w:rPr>
          <w:rFonts w:hint="eastAsia" w:ascii="仿宋" w:hAnsi="仿宋" w:eastAsia="仿宋"/>
          <w:color w:val="auto"/>
          <w:sz w:val="32"/>
          <w:szCs w:val="32"/>
          <w:highlight w:val="none"/>
        </w:rPr>
        <w:t>培训费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0.16万元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、公务接待费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0.55万元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000000"/>
          <w:sz w:val="32"/>
          <w:szCs w:val="32"/>
          <w:lang w:eastAsia="zh-CN"/>
        </w:rPr>
        <w:t>专用材料费（</w:t>
      </w:r>
      <w:r>
        <w:rPr>
          <w:rFonts w:hint="eastAsia" w:ascii="仿宋" w:hAnsi="仿宋" w:eastAsia="仿宋"/>
          <w:color w:val="000000"/>
          <w:sz w:val="32"/>
          <w:szCs w:val="32"/>
          <w:lang w:val="en-US" w:eastAsia="zh-CN"/>
        </w:rPr>
        <w:t>1.83万元</w:t>
      </w:r>
      <w:r>
        <w:rPr>
          <w:rFonts w:hint="eastAsia" w:ascii="仿宋" w:hAnsi="仿宋" w:eastAsia="仿宋"/>
          <w:color w:val="000000"/>
          <w:sz w:val="32"/>
          <w:szCs w:val="32"/>
          <w:lang w:eastAsia="zh-CN"/>
        </w:rPr>
        <w:t>）、专用燃料费（</w:t>
      </w:r>
      <w:r>
        <w:rPr>
          <w:rFonts w:hint="eastAsia" w:ascii="仿宋" w:hAnsi="仿宋" w:eastAsia="仿宋"/>
          <w:color w:val="000000"/>
          <w:sz w:val="32"/>
          <w:szCs w:val="32"/>
          <w:lang w:val="en-US" w:eastAsia="zh-CN"/>
        </w:rPr>
        <w:t>0.02万元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劳务费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12.47万元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、委托业务费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13.45万元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、工会经费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6.69万元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、福利费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3.63万元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、公务用车运行维护费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4.23万元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10.29万元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等。</w:t>
      </w:r>
    </w:p>
    <w:p>
      <w:pPr>
        <w:spacing w:line="600" w:lineRule="exact"/>
        <w:rPr>
          <w:rFonts w:ascii="仿宋" w:hAnsi="仿宋" w:eastAsia="仿宋"/>
          <w:b/>
          <w:color w:val="auto"/>
          <w:sz w:val="32"/>
          <w:szCs w:val="32"/>
          <w:highlight w:val="none"/>
        </w:rPr>
      </w:pPr>
    </w:p>
    <w:p>
      <w:pPr>
        <w:spacing w:line="600" w:lineRule="exact"/>
        <w:ind w:firstLine="640"/>
        <w:outlineLvl w:val="1"/>
        <w:rPr>
          <w:rStyle w:val="26"/>
          <w:rFonts w:ascii="黑体" w:hAnsi="黑体" w:eastAsia="黑体"/>
          <w:b w:val="0"/>
          <w:color w:val="auto"/>
          <w:highlight w:val="none"/>
        </w:rPr>
      </w:pPr>
      <w:bookmarkStart w:id="42" w:name="_Toc15396609"/>
      <w:bookmarkStart w:id="43"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spacing w:line="600" w:lineRule="exact"/>
        <w:ind w:firstLine="640"/>
        <w:rPr>
          <w:rFonts w:ascii="仿宋" w:hAnsi="仿宋" w:eastAsia="仿宋"/>
          <w:b/>
          <w:color w:val="auto"/>
          <w:sz w:val="32"/>
          <w:szCs w:val="32"/>
          <w:highlight w:val="none"/>
        </w:rPr>
      </w:pPr>
      <w:r>
        <w:rPr>
          <w:rFonts w:ascii="仿宋" w:hAnsi="仿宋" w:eastAsia="仿宋"/>
          <w:b w:val="0"/>
          <w:bCs/>
          <w:color w:val="000000"/>
          <w:sz w:val="32"/>
          <w:szCs w:val="32"/>
        </w:rPr>
        <w:t>202</w:t>
      </w:r>
      <w:r>
        <w:rPr>
          <w:rFonts w:hint="eastAsia" w:ascii="仿宋" w:hAnsi="仿宋" w:eastAsia="仿宋"/>
          <w:b w:val="0"/>
          <w:bCs/>
          <w:color w:val="000000"/>
          <w:sz w:val="32"/>
          <w:szCs w:val="32"/>
          <w:lang w:val="en-US" w:eastAsia="zh-CN"/>
        </w:rPr>
        <w:t>1</w:t>
      </w:r>
      <w:r>
        <w:rPr>
          <w:rFonts w:hint="eastAsia" w:ascii="仿宋" w:hAnsi="仿宋" w:eastAsia="仿宋"/>
          <w:b w:val="0"/>
          <w:bCs/>
          <w:color w:val="000000"/>
          <w:sz w:val="32"/>
          <w:szCs w:val="32"/>
        </w:rPr>
        <w:t>年“三公”经费财政拨款支出决算为</w:t>
      </w:r>
      <w:r>
        <w:rPr>
          <w:rFonts w:hint="eastAsia" w:ascii="仿宋" w:hAnsi="仿宋" w:eastAsia="仿宋"/>
          <w:b w:val="0"/>
          <w:bCs/>
          <w:color w:val="000000"/>
          <w:sz w:val="32"/>
          <w:szCs w:val="32"/>
          <w:lang w:val="en-US" w:eastAsia="zh-CN"/>
        </w:rPr>
        <w:t>5.21</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57.89</w:t>
      </w:r>
      <w:r>
        <w:rPr>
          <w:rFonts w:ascii="仿宋" w:hAnsi="仿宋" w:eastAsia="仿宋"/>
          <w:b w:val="0"/>
          <w:bCs/>
          <w:color w:val="000000"/>
          <w:sz w:val="32"/>
          <w:szCs w:val="32"/>
        </w:rPr>
        <w:t>%</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rPr>
        <w:t>决算数小于预算数的主要原因是我院厉行节约，对车辆加强了进一步管控。</w:t>
      </w:r>
    </w:p>
    <w:p>
      <w:pPr>
        <w:numPr>
          <w:ilvl w:val="0"/>
          <w:numId w:val="0"/>
        </w:numPr>
        <w:spacing w:line="600" w:lineRule="exact"/>
        <w:ind w:firstLine="643" w:firstLineChars="200"/>
        <w:outlineLvl w:val="2"/>
      </w:pPr>
      <w:bookmarkStart w:id="45" w:name="_Toc15377217"/>
      <w:r>
        <w:rPr>
          <w:rFonts w:hint="eastAsia" w:ascii="仿宋" w:hAnsi="仿宋" w:eastAsia="仿宋"/>
          <w:b/>
          <w:color w:val="auto"/>
          <w:sz w:val="32"/>
          <w:szCs w:val="32"/>
          <w:highlight w:val="none"/>
          <w:lang w:eastAsia="zh-CN"/>
        </w:rPr>
        <w:t>（二）</w:t>
      </w:r>
      <w:r>
        <w:rPr>
          <w:rFonts w:hint="eastAsia" w:ascii="仿宋" w:hAnsi="仿宋" w:eastAsia="仿宋"/>
          <w:b/>
          <w:color w:val="auto"/>
          <w:sz w:val="32"/>
          <w:szCs w:val="32"/>
          <w:highlight w:val="none"/>
        </w:rPr>
        <w:t>“三公”经费财政拨款支出决算具体情况说明</w:t>
      </w:r>
      <w:bookmarkEnd w:id="45"/>
    </w:p>
    <w:p>
      <w:pPr>
        <w:spacing w:line="600" w:lineRule="exact"/>
        <w:ind w:firstLine="640"/>
        <w:rPr>
          <w:rFonts w:ascii="仿宋" w:hAnsi="仿宋" w:eastAsia="仿宋"/>
          <w:color w:val="auto"/>
          <w:sz w:val="32"/>
          <w:szCs w:val="32"/>
          <w:highlight w:val="none"/>
        </w:rPr>
      </w:pPr>
      <w:r>
        <w:rPr>
          <w:rFonts w:ascii="仿宋" w:hAnsi="仿宋" w:eastAsia="仿宋"/>
          <w:b w:val="0"/>
          <w:bCs/>
          <w:color w:val="000000"/>
          <w:sz w:val="32"/>
          <w:szCs w:val="32"/>
        </w:rPr>
        <w:t>202</w:t>
      </w:r>
      <w:r>
        <w:rPr>
          <w:rFonts w:hint="eastAsia" w:ascii="仿宋" w:hAnsi="仿宋" w:eastAsia="仿宋"/>
          <w:b w:val="0"/>
          <w:bCs/>
          <w:color w:val="000000"/>
          <w:sz w:val="32"/>
          <w:szCs w:val="32"/>
          <w:lang w:val="en-US" w:eastAsia="zh-CN"/>
        </w:rPr>
        <w:t>1</w:t>
      </w:r>
      <w:r>
        <w:rPr>
          <w:rFonts w:hint="eastAsia" w:ascii="仿宋" w:hAnsi="仿宋" w:eastAsia="仿宋"/>
          <w:b w:val="0"/>
          <w:bCs/>
          <w:color w:val="000000"/>
          <w:sz w:val="32"/>
          <w:szCs w:val="32"/>
        </w:rPr>
        <w:t>年“三公”经费财政拨款支出决算中，因公出国（境）费支出决算</w:t>
      </w:r>
      <w:r>
        <w:rPr>
          <w:rFonts w:hint="eastAsia" w:ascii="仿宋" w:hAnsi="仿宋" w:eastAsia="仿宋"/>
          <w:b w:val="0"/>
          <w:bCs/>
          <w:color w:val="000000"/>
          <w:sz w:val="32"/>
          <w:szCs w:val="32"/>
          <w:lang w:val="en-US" w:eastAsia="zh-CN"/>
        </w:rPr>
        <w:t>0</w:t>
      </w:r>
      <w:r>
        <w:rPr>
          <w:rFonts w:hint="eastAsia" w:ascii="仿宋" w:hAnsi="仿宋" w:eastAsia="仿宋"/>
          <w:b w:val="0"/>
          <w:bCs/>
          <w:color w:val="000000"/>
          <w:sz w:val="32"/>
          <w:szCs w:val="32"/>
        </w:rPr>
        <w:t>万元，占</w:t>
      </w:r>
      <w:r>
        <w:rPr>
          <w:rFonts w:hint="eastAsia" w:ascii="仿宋" w:hAnsi="仿宋" w:eastAsia="仿宋"/>
          <w:b w:val="0"/>
          <w:bCs/>
          <w:color w:val="000000"/>
          <w:sz w:val="32"/>
          <w:szCs w:val="32"/>
          <w:lang w:val="en-US" w:eastAsia="zh-CN"/>
        </w:rPr>
        <w:t>0</w:t>
      </w:r>
      <w:r>
        <w:rPr>
          <w:rFonts w:ascii="仿宋" w:hAnsi="仿宋" w:eastAsia="仿宋"/>
          <w:b w:val="0"/>
          <w:bCs/>
          <w:color w:val="000000"/>
          <w:sz w:val="32"/>
          <w:szCs w:val="32"/>
        </w:rPr>
        <w:t>%</w:t>
      </w:r>
      <w:r>
        <w:rPr>
          <w:rFonts w:hint="eastAsia" w:ascii="仿宋" w:hAnsi="仿宋" w:eastAsia="仿宋"/>
          <w:b w:val="0"/>
          <w:bCs/>
          <w:color w:val="000000"/>
          <w:sz w:val="32"/>
          <w:szCs w:val="32"/>
        </w:rPr>
        <w:t>；公务用车购置</w:t>
      </w:r>
      <w:r>
        <w:rPr>
          <w:rFonts w:hint="eastAsia" w:ascii="仿宋" w:hAnsi="仿宋" w:eastAsia="仿宋"/>
          <w:color w:val="000000"/>
          <w:sz w:val="32"/>
          <w:szCs w:val="32"/>
        </w:rPr>
        <w:t>及运行维护费支出决算</w:t>
      </w:r>
      <w:r>
        <w:rPr>
          <w:rFonts w:hint="eastAsia" w:ascii="仿宋" w:hAnsi="仿宋" w:eastAsia="仿宋"/>
          <w:color w:val="000000"/>
          <w:sz w:val="32"/>
          <w:szCs w:val="32"/>
          <w:lang w:val="en-US" w:eastAsia="zh-CN"/>
        </w:rPr>
        <w:t>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88.29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11.71</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rPr>
          <w:rFonts w:hint="eastAsia" w:ascii="仿宋" w:hAnsi="仿宋" w:eastAsia="仿宋"/>
          <w:color w:val="auto"/>
          <w:sz w:val="32"/>
          <w:szCs w:val="32"/>
          <w:highlight w:val="none"/>
        </w:rPr>
      </w:pPr>
    </w:p>
    <w:p>
      <w:pPr>
        <w:pStyle w:val="2"/>
        <w:ind w:left="0" w:leftChars="0" w:firstLine="0" w:firstLineChars="0"/>
        <w:rPr>
          <w:rFonts w:hint="eastAsia" w:ascii="仿宋" w:hAnsi="仿宋" w:eastAsia="仿宋"/>
          <w:color w:val="auto"/>
          <w:sz w:val="32"/>
          <w:szCs w:val="32"/>
          <w:highlight w:val="none"/>
        </w:rPr>
      </w:pPr>
    </w:p>
    <w:p>
      <w:pPr>
        <w:jc w:val="center"/>
        <w:rPr>
          <w:rFonts w:hint="eastAsia" w:eastAsia="宋体"/>
          <w:lang w:eastAsia="zh-CN"/>
        </w:rPr>
      </w:pPr>
      <w:r>
        <w:rPr>
          <w:rFonts w:hint="eastAsia" w:eastAsia="宋体"/>
          <w:lang w:eastAsia="zh-CN"/>
        </w:rPr>
        <w:drawing>
          <wp:inline distT="0" distB="0" distL="114300" distR="114300">
            <wp:extent cx="4611370" cy="3016250"/>
            <wp:effectExtent l="4445" t="4445" r="13335"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numPr>
          <w:ilvl w:val="0"/>
          <w:numId w:val="0"/>
        </w:numPr>
        <w:spacing w:line="600" w:lineRule="exact"/>
        <w:ind w:firstLine="640" w:firstLineChars="200"/>
        <w:rPr>
          <w:rFonts w:hint="eastAsia"/>
        </w:rPr>
      </w:pPr>
      <w:r>
        <w:rPr>
          <w:rFonts w:hint="eastAsia" w:ascii="仿宋_GB2312" w:eastAsia="仿宋_GB2312"/>
          <w:b w:val="0"/>
          <w:bCs/>
          <w:color w:val="000000"/>
          <w:sz w:val="32"/>
          <w:szCs w:val="32"/>
          <w:lang w:val="en-US" w:eastAsia="zh-CN"/>
        </w:rPr>
        <w:t>1.</w:t>
      </w:r>
      <w:r>
        <w:rPr>
          <w:rFonts w:hint="eastAsia" w:ascii="仿宋_GB2312" w:eastAsia="仿宋_GB2312"/>
          <w:b w:val="0"/>
          <w:bCs/>
          <w:color w:val="000000"/>
          <w:sz w:val="32"/>
          <w:szCs w:val="32"/>
        </w:rPr>
        <w:t>因公出国（境）经费支出</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lang w:val="en-US" w:eastAsia="zh-CN"/>
        </w:rPr>
        <w:t>因公出国</w:t>
      </w:r>
      <w:r>
        <w:rPr>
          <w:rFonts w:hint="eastAsia" w:ascii="仿宋_GB2312" w:eastAsia="仿宋_GB2312"/>
          <w:b w:val="0"/>
          <w:bCs/>
          <w:color w:val="000000"/>
          <w:sz w:val="32"/>
          <w:szCs w:val="32"/>
        </w:rPr>
        <w:t>（境）</w:t>
      </w:r>
      <w:r>
        <w:rPr>
          <w:rFonts w:hint="eastAsia" w:ascii="仿宋_GB2312" w:eastAsia="仿宋_GB2312"/>
          <w:b w:val="0"/>
          <w:bCs/>
          <w:color w:val="000000"/>
          <w:sz w:val="32"/>
          <w:szCs w:val="32"/>
          <w:lang w:val="en-US" w:eastAsia="zh-CN"/>
        </w:rPr>
        <w:t>经费支出0万元，年初未安排预算</w:t>
      </w:r>
      <w:r>
        <w:rPr>
          <w:rFonts w:hint="eastAsia" w:ascii="仿宋_GB2312" w:eastAsia="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eastAsia="仿宋_GB2312"/>
          <w:b w:val="0"/>
          <w:bCs/>
          <w:color w:val="000000"/>
          <w:sz w:val="32"/>
          <w:szCs w:val="32"/>
        </w:rPr>
      </w:pPr>
      <w:r>
        <w:rPr>
          <w:rFonts w:hint="eastAsia" w:ascii="仿宋_GB2312" w:eastAsia="仿宋_GB2312"/>
          <w:b w:val="0"/>
          <w:bCs/>
          <w:color w:val="000000"/>
          <w:sz w:val="32"/>
          <w:szCs w:val="32"/>
          <w:lang w:val="en-US" w:eastAsia="zh-CN"/>
        </w:rPr>
        <w:t>2.</w:t>
      </w:r>
      <w:r>
        <w:rPr>
          <w:rFonts w:hint="eastAsia" w:ascii="仿宋_GB2312" w:eastAsia="仿宋_GB2312"/>
          <w:b w:val="0"/>
          <w:bCs/>
          <w:color w:val="000000"/>
          <w:sz w:val="32"/>
          <w:szCs w:val="32"/>
        </w:rPr>
        <w:t>公务用车购置及运行维护费支出</w:t>
      </w:r>
      <w:r>
        <w:rPr>
          <w:rFonts w:hint="eastAsia" w:ascii="仿宋_GB2312" w:eastAsia="仿宋_GB2312"/>
          <w:b w:val="0"/>
          <w:bCs/>
          <w:color w:val="000000"/>
          <w:sz w:val="32"/>
          <w:szCs w:val="32"/>
          <w:lang w:val="en-US" w:eastAsia="zh-CN"/>
        </w:rPr>
        <w:t>4.6</w:t>
      </w:r>
      <w:r>
        <w:rPr>
          <w:rFonts w:hint="eastAsia" w:ascii="仿宋_GB2312" w:eastAsia="仿宋_GB2312"/>
          <w:b w:val="0"/>
          <w:bCs/>
          <w:color w:val="000000"/>
          <w:sz w:val="32"/>
          <w:szCs w:val="32"/>
        </w:rPr>
        <w:t>万元</w:t>
      </w:r>
      <w:r>
        <w:rPr>
          <w:rFonts w:ascii="仿宋_GB2312" w:eastAsia="仿宋_GB2312"/>
          <w:b w:val="0"/>
          <w:bCs/>
          <w:color w:val="000000"/>
          <w:sz w:val="32"/>
          <w:szCs w:val="32"/>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57.50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b w:val="0"/>
          <w:bCs/>
          <w:color w:val="000000"/>
          <w:sz w:val="32"/>
          <w:szCs w:val="32"/>
        </w:rPr>
        <w:t>公务用车购置及运行维护费支出决算比</w:t>
      </w:r>
      <w:r>
        <w:rPr>
          <w:rFonts w:ascii="仿宋" w:hAnsi="仿宋" w:eastAsia="仿宋"/>
          <w:b w:val="0"/>
          <w:bCs/>
          <w:color w:val="000000"/>
          <w:sz w:val="32"/>
          <w:szCs w:val="32"/>
        </w:rPr>
        <w:t>20</w:t>
      </w:r>
      <w:r>
        <w:rPr>
          <w:rFonts w:hint="eastAsia" w:ascii="仿宋" w:hAnsi="仿宋" w:eastAsia="仿宋"/>
          <w:b w:val="0"/>
          <w:bCs/>
          <w:color w:val="000000"/>
          <w:sz w:val="32"/>
          <w:szCs w:val="32"/>
          <w:lang w:val="en-US" w:eastAsia="zh-CN"/>
        </w:rPr>
        <w:t>20</w:t>
      </w:r>
      <w:r>
        <w:rPr>
          <w:rFonts w:hint="eastAsia" w:ascii="仿宋" w:hAnsi="仿宋" w:eastAsia="仿宋"/>
          <w:b w:val="0"/>
          <w:bCs/>
          <w:color w:val="000000"/>
          <w:sz w:val="32"/>
          <w:szCs w:val="32"/>
        </w:rPr>
        <w:t>年减少</w:t>
      </w:r>
      <w:r>
        <w:rPr>
          <w:rFonts w:hint="eastAsia" w:ascii="仿宋" w:hAnsi="仿宋" w:eastAsia="仿宋"/>
          <w:b w:val="0"/>
          <w:bCs/>
          <w:color w:val="000000"/>
          <w:sz w:val="32"/>
          <w:szCs w:val="32"/>
          <w:lang w:val="en-US" w:eastAsia="zh-CN"/>
        </w:rPr>
        <w:t>1.11</w:t>
      </w:r>
      <w:r>
        <w:rPr>
          <w:rFonts w:hint="eastAsia" w:ascii="仿宋" w:hAnsi="仿宋" w:eastAsia="仿宋"/>
          <w:b w:val="0"/>
          <w:bCs/>
          <w:color w:val="000000"/>
          <w:sz w:val="32"/>
          <w:szCs w:val="32"/>
        </w:rPr>
        <w:t>万元，下降</w:t>
      </w:r>
      <w:r>
        <w:rPr>
          <w:rFonts w:hint="eastAsia" w:ascii="仿宋" w:hAnsi="仿宋" w:eastAsia="仿宋"/>
          <w:b w:val="0"/>
          <w:bCs/>
          <w:color w:val="000000"/>
          <w:sz w:val="32"/>
          <w:szCs w:val="32"/>
          <w:lang w:val="en-US" w:eastAsia="zh-CN"/>
        </w:rPr>
        <w:t>19.44</w:t>
      </w:r>
      <w:r>
        <w:rPr>
          <w:rFonts w:ascii="仿宋" w:hAnsi="仿宋" w:eastAsia="仿宋"/>
          <w:b w:val="0"/>
          <w:bCs/>
          <w:color w:val="000000"/>
          <w:sz w:val="32"/>
          <w:szCs w:val="32"/>
        </w:rPr>
        <w:t>%</w:t>
      </w:r>
      <w:r>
        <w:rPr>
          <w:rFonts w:hint="eastAsia" w:ascii="仿宋" w:hAnsi="仿宋" w:eastAsia="仿宋"/>
          <w:b w:val="0"/>
          <w:bCs/>
          <w:color w:val="000000"/>
          <w:sz w:val="32"/>
          <w:szCs w:val="32"/>
        </w:rPr>
        <w:t>。</w:t>
      </w:r>
      <w:r>
        <w:rPr>
          <w:rFonts w:hint="eastAsia" w:ascii="仿宋" w:hAnsi="仿宋" w:eastAsia="仿宋"/>
          <w:b w:val="0"/>
          <w:bCs/>
          <w:color w:val="auto"/>
          <w:sz w:val="32"/>
          <w:szCs w:val="32"/>
          <w:highlight w:val="none"/>
        </w:rPr>
        <w:t>主要原因是我院对</w:t>
      </w:r>
      <w:r>
        <w:rPr>
          <w:rFonts w:hint="eastAsia" w:ascii="仿宋" w:hAnsi="仿宋" w:eastAsia="仿宋"/>
          <w:b w:val="0"/>
          <w:bCs/>
          <w:color w:val="auto"/>
          <w:sz w:val="32"/>
          <w:szCs w:val="32"/>
          <w:highlight w:val="none"/>
          <w:lang w:eastAsia="zh-CN"/>
        </w:rPr>
        <w:t>公务用车</w:t>
      </w:r>
      <w:r>
        <w:rPr>
          <w:rFonts w:hint="eastAsia" w:ascii="仿宋" w:hAnsi="仿宋" w:eastAsia="仿宋"/>
          <w:b w:val="0"/>
          <w:bCs/>
          <w:color w:val="auto"/>
          <w:sz w:val="32"/>
          <w:szCs w:val="32"/>
          <w:highlight w:val="none"/>
        </w:rPr>
        <w:t>加强了进一步管控，取得成效。</w:t>
      </w:r>
    </w:p>
    <w:p>
      <w:pPr>
        <w:spacing w:line="600" w:lineRule="exact"/>
        <w:ind w:firstLine="640" w:firstLineChars="200"/>
        <w:rPr>
          <w:rFonts w:ascii="仿宋" w:hAnsi="仿宋" w:eastAsia="仿宋"/>
          <w:b w:val="0"/>
          <w:bCs/>
          <w:color w:val="000000"/>
          <w:sz w:val="32"/>
          <w:szCs w:val="32"/>
        </w:rPr>
      </w:pPr>
      <w:r>
        <w:rPr>
          <w:rFonts w:hint="eastAsia" w:ascii="仿宋_GB2312" w:eastAsia="仿宋_GB2312"/>
          <w:b w:val="0"/>
          <w:bCs/>
          <w:color w:val="000000"/>
          <w:sz w:val="32"/>
          <w:szCs w:val="32"/>
        </w:rPr>
        <w:t>其中：公务用车购置支出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 w:hAnsi="仿宋" w:eastAsia="仿宋"/>
          <w:b w:val="0"/>
          <w:bCs/>
          <w:color w:val="auto"/>
          <w:sz w:val="32"/>
          <w:szCs w:val="32"/>
          <w:highlight w:val="none"/>
        </w:rPr>
        <w:t>截至</w:t>
      </w:r>
      <w:r>
        <w:rPr>
          <w:rFonts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ascii="仿宋" w:hAnsi="仿宋" w:eastAsia="仿宋"/>
          <w:b w:val="0"/>
          <w:bCs/>
          <w:color w:val="auto"/>
          <w:sz w:val="32"/>
          <w:szCs w:val="32"/>
          <w:highlight w:val="none"/>
        </w:rPr>
        <w:t>12</w:t>
      </w:r>
      <w:r>
        <w:rPr>
          <w:rFonts w:hint="eastAsia" w:ascii="仿宋" w:hAnsi="仿宋" w:eastAsia="仿宋"/>
          <w:b w:val="0"/>
          <w:bCs/>
          <w:color w:val="auto"/>
          <w:sz w:val="32"/>
          <w:szCs w:val="32"/>
          <w:highlight w:val="none"/>
        </w:rPr>
        <w:t>月底，单位共有公务用车</w:t>
      </w: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辆，其中：越野车</w:t>
      </w: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辆、业务用皮卡车</w:t>
      </w: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辆。</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pP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4.6</w:t>
      </w:r>
      <w:r>
        <w:rPr>
          <w:rFonts w:hint="eastAsia" w:ascii="仿宋_GB2312" w:eastAsia="仿宋_GB2312"/>
          <w:b w:val="0"/>
          <w:bCs/>
          <w:color w:val="000000"/>
          <w:sz w:val="32"/>
          <w:szCs w:val="32"/>
        </w:rPr>
        <w:t>万元。</w:t>
      </w:r>
      <w:r>
        <w:rPr>
          <w:rFonts w:hint="eastAsia" w:ascii="仿宋" w:hAnsi="仿宋" w:eastAsia="仿宋"/>
          <w:b w:val="0"/>
          <w:bCs/>
          <w:color w:val="auto"/>
          <w:sz w:val="32"/>
          <w:szCs w:val="32"/>
          <w:highlight w:val="none"/>
        </w:rPr>
        <w:t>主要用于（单位日常工作、科研工作、帮扶工作）</w:t>
      </w:r>
      <w:r>
        <w:rPr>
          <w:rFonts w:hint="eastAsia" w:ascii="仿宋" w:hAnsi="仿宋" w:eastAsia="仿宋"/>
          <w:color w:val="auto"/>
          <w:sz w:val="32"/>
          <w:szCs w:val="32"/>
          <w:highlight w:val="none"/>
        </w:rPr>
        <w:t>等所需的公务用车燃料费、维修费、过路过桥费、保险费等支出。</w:t>
      </w:r>
    </w:p>
    <w:p>
      <w:pPr>
        <w:spacing w:line="600" w:lineRule="exact"/>
        <w:ind w:firstLine="640"/>
        <w:rPr>
          <w:rFonts w:ascii="仿宋" w:hAnsi="仿宋" w:eastAsia="仿宋"/>
          <w:b w:val="0"/>
          <w:bCs/>
          <w:color w:val="000000"/>
          <w:sz w:val="32"/>
          <w:szCs w:val="32"/>
        </w:rPr>
      </w:pPr>
      <w:r>
        <w:rPr>
          <w:rFonts w:hint="eastAsia" w:ascii="仿宋_GB2312" w:eastAsia="仿宋_GB2312"/>
          <w:b/>
          <w:color w:val="auto"/>
          <w:sz w:val="32"/>
          <w:szCs w:val="32"/>
          <w:highlight w:val="none"/>
          <w:lang w:val="en-US" w:eastAsia="zh-CN"/>
        </w:rPr>
        <w:t>3.</w:t>
      </w:r>
      <w:r>
        <w:rPr>
          <w:rFonts w:hint="eastAsia" w:ascii="仿宋_GB2312" w:eastAsia="仿宋_GB2312"/>
          <w:b w:val="0"/>
          <w:bCs/>
          <w:color w:val="000000"/>
          <w:sz w:val="32"/>
          <w:szCs w:val="32"/>
        </w:rPr>
        <w:t>公务接待费支出</w:t>
      </w:r>
      <w:r>
        <w:rPr>
          <w:rFonts w:hint="eastAsia" w:ascii="仿宋_GB2312" w:eastAsia="仿宋_GB2312"/>
          <w:b w:val="0"/>
          <w:bCs/>
          <w:color w:val="000000"/>
          <w:sz w:val="32"/>
          <w:szCs w:val="32"/>
          <w:lang w:val="en-US" w:eastAsia="zh-CN"/>
        </w:rPr>
        <w:t>0.61</w:t>
      </w:r>
      <w:r>
        <w:rPr>
          <w:rFonts w:hint="eastAsia" w:ascii="仿宋_GB2312" w:eastAsia="仿宋_GB2312"/>
          <w:b w:val="0"/>
          <w:bCs/>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61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b w:val="0"/>
          <w:bCs/>
          <w:color w:val="000000"/>
          <w:sz w:val="32"/>
          <w:szCs w:val="32"/>
        </w:rPr>
        <w:t>公务接待费支出决算比</w:t>
      </w:r>
      <w:r>
        <w:rPr>
          <w:rFonts w:ascii="仿宋" w:hAnsi="仿宋" w:eastAsia="仿宋"/>
          <w:b w:val="0"/>
          <w:bCs/>
          <w:color w:val="000000"/>
          <w:sz w:val="32"/>
          <w:szCs w:val="32"/>
        </w:rPr>
        <w:t>20</w:t>
      </w:r>
      <w:r>
        <w:rPr>
          <w:rFonts w:hint="eastAsia" w:ascii="仿宋" w:hAnsi="仿宋" w:eastAsia="仿宋"/>
          <w:b w:val="0"/>
          <w:bCs/>
          <w:color w:val="000000"/>
          <w:sz w:val="32"/>
          <w:szCs w:val="32"/>
          <w:lang w:val="en-US" w:eastAsia="zh-CN"/>
        </w:rPr>
        <w:t>20</w:t>
      </w:r>
      <w:r>
        <w:rPr>
          <w:rFonts w:hint="eastAsia" w:ascii="仿宋" w:hAnsi="仿宋" w:eastAsia="仿宋"/>
          <w:b w:val="0"/>
          <w:bCs/>
          <w:color w:val="000000"/>
          <w:sz w:val="32"/>
          <w:szCs w:val="32"/>
        </w:rPr>
        <w:t>年减少</w:t>
      </w:r>
      <w:r>
        <w:rPr>
          <w:rFonts w:hint="eastAsia" w:ascii="仿宋" w:hAnsi="仿宋" w:eastAsia="仿宋"/>
          <w:b w:val="0"/>
          <w:bCs/>
          <w:color w:val="000000"/>
          <w:sz w:val="32"/>
          <w:szCs w:val="32"/>
          <w:lang w:val="en-US" w:eastAsia="zh-CN"/>
        </w:rPr>
        <w:t>0.01</w:t>
      </w:r>
      <w:r>
        <w:rPr>
          <w:rFonts w:hint="eastAsia" w:ascii="仿宋" w:hAnsi="仿宋" w:eastAsia="仿宋"/>
          <w:b w:val="0"/>
          <w:bCs/>
          <w:color w:val="000000"/>
          <w:sz w:val="32"/>
          <w:szCs w:val="32"/>
        </w:rPr>
        <w:t>万元，下降</w:t>
      </w:r>
      <w:r>
        <w:rPr>
          <w:rFonts w:hint="eastAsia" w:ascii="仿宋" w:hAnsi="仿宋" w:eastAsia="仿宋"/>
          <w:b w:val="0"/>
          <w:bCs/>
          <w:color w:val="000000"/>
          <w:sz w:val="32"/>
          <w:szCs w:val="32"/>
          <w:lang w:val="en-US" w:eastAsia="zh-CN"/>
        </w:rPr>
        <w:t>1.61</w:t>
      </w:r>
      <w:r>
        <w:rPr>
          <w:rFonts w:ascii="仿宋" w:hAnsi="仿宋" w:eastAsia="仿宋"/>
          <w:b w:val="0"/>
          <w:bCs/>
          <w:color w:val="000000"/>
          <w:sz w:val="32"/>
          <w:szCs w:val="32"/>
        </w:rPr>
        <w:t>%</w:t>
      </w:r>
      <w:r>
        <w:rPr>
          <w:rFonts w:hint="eastAsia" w:ascii="仿宋" w:hAnsi="仿宋" w:eastAsia="仿宋"/>
          <w:b w:val="0"/>
          <w:bCs/>
          <w:color w:val="000000"/>
          <w:sz w:val="32"/>
          <w:szCs w:val="32"/>
        </w:rPr>
        <w:t>。主要原因是</w:t>
      </w:r>
      <w:r>
        <w:rPr>
          <w:rFonts w:hint="eastAsia" w:ascii="仿宋" w:hAnsi="仿宋" w:eastAsia="仿宋"/>
          <w:b w:val="0"/>
          <w:bCs/>
          <w:color w:val="000000"/>
          <w:sz w:val="32"/>
          <w:szCs w:val="32"/>
          <w:lang w:eastAsia="zh-CN"/>
        </w:rPr>
        <w:t>厉行节俭节约，减少公务接待</w:t>
      </w:r>
      <w:r>
        <w:rPr>
          <w:rFonts w:hint="eastAsia" w:ascii="仿宋" w:hAnsi="仿宋" w:eastAsia="仿宋"/>
          <w:b w:val="0"/>
          <w:bCs/>
          <w:color w:val="000000"/>
          <w:sz w:val="32"/>
          <w:szCs w:val="32"/>
        </w:rPr>
        <w:t>。其中：</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000000"/>
          <w:sz w:val="32"/>
          <w:szCs w:val="32"/>
        </w:rPr>
      </w:pPr>
      <w:r>
        <w:rPr>
          <w:rFonts w:hint="eastAsia" w:ascii="仿宋" w:hAnsi="仿宋" w:eastAsia="仿宋"/>
          <w:b w:val="0"/>
          <w:bCs/>
          <w:color w:val="000000"/>
          <w:sz w:val="32"/>
          <w:szCs w:val="32"/>
        </w:rPr>
        <w:t>国内公务接待支出</w:t>
      </w:r>
      <w:r>
        <w:rPr>
          <w:rFonts w:hint="eastAsia" w:ascii="仿宋" w:hAnsi="仿宋" w:eastAsia="仿宋"/>
          <w:b w:val="0"/>
          <w:bCs/>
          <w:color w:val="000000"/>
          <w:sz w:val="32"/>
          <w:szCs w:val="32"/>
          <w:lang w:val="en-US" w:eastAsia="zh-CN"/>
        </w:rPr>
        <w:t>0.61</w:t>
      </w:r>
      <w:r>
        <w:rPr>
          <w:rFonts w:hint="eastAsia" w:ascii="仿宋" w:hAnsi="仿宋" w:eastAsia="仿宋"/>
          <w:b w:val="0"/>
          <w:bCs/>
          <w:color w:val="000000"/>
          <w:sz w:val="32"/>
          <w:szCs w:val="32"/>
        </w:rPr>
        <w:t>万元，</w:t>
      </w:r>
      <w:r>
        <w:rPr>
          <w:rFonts w:hint="eastAsia" w:ascii="仿宋" w:hAnsi="仿宋" w:eastAsia="仿宋"/>
          <w:b w:val="0"/>
          <w:bCs/>
          <w:color w:val="auto"/>
          <w:sz w:val="32"/>
          <w:szCs w:val="32"/>
          <w:highlight w:val="none"/>
        </w:rPr>
        <w:t>主要用于执行公务、开展业务活动开支的交通费、住宿费、用餐费等。国内公务接待</w:t>
      </w:r>
      <w:r>
        <w:rPr>
          <w:rFonts w:hint="eastAsia" w:ascii="仿宋" w:hAnsi="仿宋" w:eastAsia="仿宋"/>
          <w:b w:val="0"/>
          <w:bCs/>
          <w:color w:val="auto"/>
          <w:sz w:val="32"/>
          <w:szCs w:val="32"/>
          <w:highlight w:val="none"/>
          <w:lang w:val="en-US" w:eastAsia="zh-CN"/>
        </w:rPr>
        <w:t>7</w:t>
      </w:r>
      <w:r>
        <w:rPr>
          <w:rFonts w:hint="eastAsia" w:ascii="仿宋" w:hAnsi="仿宋" w:eastAsia="仿宋"/>
          <w:b w:val="0"/>
          <w:bCs/>
          <w:color w:val="auto"/>
          <w:sz w:val="32"/>
          <w:szCs w:val="32"/>
          <w:highlight w:val="none"/>
        </w:rPr>
        <w:t>批次，</w:t>
      </w:r>
      <w:r>
        <w:rPr>
          <w:rFonts w:hint="eastAsia" w:ascii="仿宋" w:hAnsi="仿宋" w:eastAsia="仿宋"/>
          <w:b w:val="0"/>
          <w:bCs/>
          <w:color w:val="auto"/>
          <w:sz w:val="32"/>
          <w:szCs w:val="32"/>
          <w:highlight w:val="none"/>
          <w:lang w:val="en-US" w:eastAsia="zh-CN"/>
        </w:rPr>
        <w:t>64</w:t>
      </w:r>
      <w:r>
        <w:rPr>
          <w:rFonts w:hint="eastAsia" w:ascii="仿宋" w:hAnsi="仿宋" w:eastAsia="仿宋"/>
          <w:b w:val="0"/>
          <w:bCs/>
          <w:color w:val="auto"/>
          <w:sz w:val="32"/>
          <w:szCs w:val="32"/>
          <w:highlight w:val="none"/>
        </w:rPr>
        <w:t>人次（不包括陪同</w:t>
      </w:r>
      <w:r>
        <w:rPr>
          <w:rFonts w:hint="eastAsia" w:ascii="仿宋" w:hAnsi="仿宋" w:eastAsia="仿宋"/>
          <w:color w:val="auto"/>
          <w:sz w:val="32"/>
          <w:szCs w:val="32"/>
          <w:highlight w:val="none"/>
        </w:rPr>
        <w:t>人员），共计支出</w:t>
      </w:r>
      <w:r>
        <w:rPr>
          <w:rFonts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61</w:t>
      </w:r>
      <w:r>
        <w:rPr>
          <w:rFonts w:hint="eastAsia" w:ascii="仿宋" w:hAnsi="仿宋" w:eastAsia="仿宋"/>
          <w:color w:val="auto"/>
          <w:sz w:val="32"/>
          <w:szCs w:val="32"/>
          <w:highlight w:val="none"/>
        </w:rPr>
        <w:t>万元，具体内容包括：省农业科研院所来人接待</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0.61万元，各地市州</w:t>
      </w:r>
      <w:r>
        <w:rPr>
          <w:rFonts w:hint="eastAsia" w:ascii="仿宋" w:hAnsi="仿宋" w:eastAsia="仿宋"/>
          <w:color w:val="auto"/>
          <w:sz w:val="32"/>
          <w:szCs w:val="32"/>
          <w:highlight w:val="none"/>
        </w:rPr>
        <w:t>农业科研院所</w:t>
      </w:r>
      <w:r>
        <w:rPr>
          <w:rFonts w:hint="eastAsia" w:ascii="仿宋" w:hAnsi="仿宋" w:eastAsia="仿宋"/>
          <w:color w:val="auto"/>
          <w:sz w:val="32"/>
          <w:szCs w:val="32"/>
          <w:highlight w:val="none"/>
          <w:lang w:val="en-US" w:eastAsia="zh-CN"/>
        </w:rPr>
        <w:t>来人接待支出0.46万元等</w:t>
      </w:r>
      <w:r>
        <w:rPr>
          <w:rFonts w:hint="eastAsia" w:ascii="仿宋" w:hAnsi="仿宋" w:eastAsia="仿宋"/>
          <w:color w:val="auto"/>
          <w:sz w:val="32"/>
          <w:szCs w:val="32"/>
          <w:highlight w:val="none"/>
        </w:rPr>
        <w:t>。</w:t>
      </w:r>
    </w:p>
    <w:p>
      <w:pPr>
        <w:spacing w:line="600" w:lineRule="exact"/>
        <w:ind w:firstLine="640"/>
        <w:rPr>
          <w:rFonts w:hint="default" w:ascii="仿宋_GB2312" w:eastAsia="仿宋_GB2312"/>
          <w:b/>
          <w:color w:val="auto"/>
          <w:sz w:val="32"/>
          <w:szCs w:val="32"/>
          <w:highlight w:val="none"/>
          <w:lang w:val="en-US" w:eastAsia="zh-CN"/>
        </w:rPr>
      </w:pPr>
      <w:r>
        <w:rPr>
          <w:rFonts w:hint="eastAsia" w:ascii="仿宋" w:hAnsi="仿宋" w:eastAsia="仿宋"/>
          <w:color w:val="000000"/>
          <w:sz w:val="32"/>
          <w:szCs w:val="32"/>
        </w:rPr>
        <w:t>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s="仿宋"/>
          <w:color w:val="auto"/>
          <w:sz w:val="32"/>
          <w:szCs w:val="32"/>
          <w:highlight w:val="none"/>
        </w:rPr>
        <w:t>外事接待0批次。</w:t>
      </w:r>
    </w:p>
    <w:p>
      <w:pPr>
        <w:spacing w:line="600" w:lineRule="exact"/>
        <w:ind w:firstLine="640"/>
        <w:outlineLvl w:val="1"/>
        <w:rPr>
          <w:rFonts w:hint="eastAsia" w:ascii="黑体" w:eastAsia="黑体"/>
          <w:color w:val="auto"/>
          <w:sz w:val="32"/>
          <w:szCs w:val="32"/>
          <w:highlight w:val="none"/>
        </w:rPr>
      </w:pPr>
      <w:bookmarkStart w:id="46" w:name="_Toc15396610"/>
      <w:bookmarkStart w:id="47" w:name="_Toc15377218"/>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6"/>
      <w:bookmarkEnd w:id="47"/>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6"/>
      </w:pPr>
    </w:p>
    <w:p>
      <w:pPr>
        <w:numPr>
          <w:ilvl w:val="0"/>
          <w:numId w:val="4"/>
        </w:numPr>
        <w:spacing w:line="600" w:lineRule="exact"/>
        <w:ind w:firstLine="640"/>
        <w:outlineLvl w:val="1"/>
        <w:rPr>
          <w:rStyle w:val="26"/>
          <w:rFonts w:ascii="黑体" w:hAnsi="黑体" w:eastAsia="黑体"/>
          <w:b w:val="0"/>
          <w:color w:val="auto"/>
          <w:highlight w:val="none"/>
        </w:rPr>
      </w:pPr>
      <w:bookmarkStart w:id="48" w:name="_Toc15396611"/>
      <w:bookmarkStart w:id="49" w:name="_Toc15377219"/>
      <w:r>
        <w:rPr>
          <w:rStyle w:val="26"/>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96612"/>
      <w:bookmarkStart w:id="51" w:name="_Toc15377221"/>
    </w:p>
    <w:p>
      <w:pPr>
        <w:pStyle w:val="6"/>
        <w:rPr>
          <w:rFonts w:hint="eastAsia"/>
        </w:rPr>
      </w:pPr>
    </w:p>
    <w:p>
      <w:pPr>
        <w:numPr>
          <w:ilvl w:val="0"/>
          <w:numId w:val="4"/>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科研土地租金</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eastAsia="zh-CN"/>
        </w:rPr>
        <w:t>该</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eastAsia="zh-CN"/>
        </w:rPr>
        <w:t>该</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eastAsia="zh-CN"/>
        </w:rPr>
        <w:t>该</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广元市农业科学研究院</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Style w:val="6"/>
        <w:rPr>
          <w:rFonts w:hint="eastAsia"/>
        </w:rPr>
      </w:pPr>
    </w:p>
    <w:p>
      <w:pPr>
        <w:numPr>
          <w:ilvl w:val="0"/>
          <w:numId w:val="4"/>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50"/>
      <w:bookmarkEnd w:id="51"/>
    </w:p>
    <w:p>
      <w:pPr>
        <w:spacing w:line="600" w:lineRule="exact"/>
        <w:ind w:firstLine="643" w:firstLineChars="200"/>
        <w:outlineLvl w:val="2"/>
        <w:rPr>
          <w:rFonts w:ascii="仿宋" w:hAnsi="仿宋" w:eastAsia="仿宋"/>
          <w:color w:val="auto"/>
          <w:sz w:val="32"/>
          <w:szCs w:val="32"/>
          <w:highlight w:val="none"/>
        </w:rPr>
      </w:pPr>
      <w:bookmarkStart w:id="52" w:name="_Toc15377222"/>
      <w:r>
        <w:rPr>
          <w:rFonts w:hint="eastAsia" w:ascii="仿宋" w:hAnsi="仿宋" w:eastAsia="仿宋"/>
          <w:b/>
          <w:color w:val="auto"/>
          <w:sz w:val="32"/>
          <w:szCs w:val="32"/>
          <w:highlight w:val="none"/>
        </w:rPr>
        <w:t>（一）机关运行经费支出情况</w:t>
      </w:r>
      <w:bookmarkEnd w:id="52"/>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b w:val="0"/>
          <w:bCs/>
          <w:color w:val="000000"/>
          <w:sz w:val="32"/>
          <w:szCs w:val="32"/>
        </w:rPr>
        <w:t>市农科院为事业单位，实行事业单位会计制度，2021年未发生机关运行经费支出，与2020年决算数持平</w:t>
      </w:r>
      <w:r>
        <w:rPr>
          <w:rFonts w:hint="eastAsia" w:ascii="仿宋" w:hAnsi="仿宋" w:eastAsia="仿宋"/>
          <w:b w:val="0"/>
          <w:bCs/>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市农科院无政府采购，</w:t>
      </w:r>
      <w:r>
        <w:rPr>
          <w:rFonts w:hint="eastAsia" w:ascii="仿宋_GB2312" w:eastAsia="仿宋_GB2312"/>
          <w:color w:val="auto"/>
          <w:sz w:val="32"/>
          <w:szCs w:val="32"/>
          <w:highlight w:val="none"/>
        </w:rPr>
        <w:t>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ascii="仿宋_GB2312" w:eastAsia="仿宋_GB2312"/>
          <w:b/>
          <w:color w:val="auto"/>
          <w:sz w:val="32"/>
          <w:szCs w:val="32"/>
          <w:highlight w:val="none"/>
        </w:rPr>
      </w:pPr>
      <w:r>
        <w:rPr>
          <w:rFonts w:hint="eastAsia" w:ascii="仿宋" w:hAnsi="仿宋" w:eastAsia="仿宋"/>
          <w:b w:val="0"/>
          <w:bCs/>
          <w:color w:val="000000"/>
          <w:sz w:val="32"/>
          <w:szCs w:val="32"/>
        </w:rPr>
        <w:t>截至</w:t>
      </w:r>
      <w:r>
        <w:rPr>
          <w:rFonts w:ascii="仿宋" w:hAnsi="仿宋" w:eastAsia="仿宋"/>
          <w:b w:val="0"/>
          <w:bCs/>
          <w:color w:val="000000"/>
          <w:sz w:val="32"/>
          <w:szCs w:val="32"/>
        </w:rPr>
        <w:t>202</w:t>
      </w:r>
      <w:r>
        <w:rPr>
          <w:rFonts w:hint="eastAsia" w:ascii="仿宋" w:hAnsi="仿宋" w:eastAsia="仿宋"/>
          <w:b w:val="0"/>
          <w:bCs/>
          <w:color w:val="000000"/>
          <w:sz w:val="32"/>
          <w:szCs w:val="32"/>
          <w:lang w:val="en-US" w:eastAsia="zh-CN"/>
        </w:rPr>
        <w:t>1</w:t>
      </w:r>
      <w:r>
        <w:rPr>
          <w:rFonts w:hint="eastAsia" w:ascii="仿宋" w:hAnsi="仿宋" w:eastAsia="仿宋"/>
          <w:b w:val="0"/>
          <w:bCs/>
          <w:color w:val="000000"/>
          <w:sz w:val="32"/>
          <w:szCs w:val="32"/>
        </w:rPr>
        <w:t>年</w:t>
      </w:r>
      <w:r>
        <w:rPr>
          <w:rFonts w:ascii="仿宋" w:hAnsi="仿宋" w:eastAsia="仿宋"/>
          <w:b w:val="0"/>
          <w:bCs/>
          <w:color w:val="000000"/>
          <w:sz w:val="32"/>
          <w:szCs w:val="32"/>
        </w:rPr>
        <w:t>12</w:t>
      </w:r>
      <w:r>
        <w:rPr>
          <w:rFonts w:hint="eastAsia" w:ascii="仿宋" w:hAnsi="仿宋" w:eastAsia="仿宋"/>
          <w:b w:val="0"/>
          <w:bCs/>
          <w:color w:val="000000"/>
          <w:sz w:val="32"/>
          <w:szCs w:val="32"/>
        </w:rPr>
        <w:t>月</w:t>
      </w:r>
      <w:r>
        <w:rPr>
          <w:rFonts w:ascii="仿宋" w:hAnsi="仿宋" w:eastAsia="仿宋"/>
          <w:b w:val="0"/>
          <w:bCs/>
          <w:color w:val="000000"/>
          <w:sz w:val="32"/>
          <w:szCs w:val="32"/>
        </w:rPr>
        <w:t>31</w:t>
      </w:r>
      <w:r>
        <w:rPr>
          <w:rFonts w:hint="eastAsia" w:ascii="仿宋" w:hAnsi="仿宋" w:eastAsia="仿宋"/>
          <w:b w:val="0"/>
          <w:bCs/>
          <w:color w:val="000000"/>
          <w:sz w:val="32"/>
          <w:szCs w:val="32"/>
        </w:rPr>
        <w:t>日</w:t>
      </w:r>
      <w:r>
        <w:rPr>
          <w:rFonts w:hint="eastAsia" w:ascii="仿宋" w:hAnsi="仿宋" w:eastAsia="仿宋" w:cs="仿宋"/>
          <w:b w:val="0"/>
          <w:bCs/>
          <w:color w:val="auto"/>
          <w:sz w:val="32"/>
          <w:szCs w:val="32"/>
          <w:highlight w:val="none"/>
        </w:rPr>
        <w:t>，市农科院共有车辆2辆，其中：一般公务用车1辆、其他用车1辆，其他用车主要是用于单位科研用车、帮扶用车。单价50万元以上通用设备0台（套），单价100万元以上专用设备</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套</w:t>
      </w:r>
      <w:r>
        <w:rPr>
          <w:rFonts w:hint="eastAsia" w:ascii="仿宋" w:hAnsi="仿宋" w:eastAsia="仿宋" w:cs="仿宋"/>
          <w:b w:val="0"/>
          <w:bCs/>
          <w:color w:val="auto"/>
          <w:sz w:val="32"/>
          <w:szCs w:val="32"/>
          <w:highlight w:val="none"/>
          <w:lang w:val="en-US" w:eastAsia="zh-CN"/>
        </w:rPr>
        <w:t>(</w:t>
      </w:r>
      <w:r>
        <w:rPr>
          <w:rFonts w:hint="eastAsia" w:ascii="仿宋" w:hAnsi="仿宋" w:eastAsia="仿宋"/>
          <w:color w:val="auto"/>
          <w:sz w:val="32"/>
          <w:szCs w:val="32"/>
          <w:lang w:eastAsia="zh-CN"/>
        </w:rPr>
        <w:t>智能温室大棚</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w:t>
      </w: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5"/>
          <w:rFonts w:ascii="黑体" w:hAnsi="黑体" w:eastAsia="黑体"/>
          <w:b w:val="0"/>
          <w:color w:val="auto"/>
          <w:highlight w:val="none"/>
        </w:rPr>
      </w:pPr>
      <w:bookmarkStart w:id="55" w:name="_Toc15377225"/>
      <w:bookmarkStart w:id="56"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55"/>
      <w:bookmarkEnd w:id="56"/>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w:t>
      </w:r>
      <w:r>
        <w:rPr>
          <w:rFonts w:hint="eastAsia" w:ascii="仿宋_GB2312" w:eastAsia="仿宋_GB2312"/>
          <w:color w:val="auto"/>
          <w:sz w:val="32"/>
          <w:szCs w:val="32"/>
          <w:highlight w:val="none"/>
          <w:lang w:eastAsia="zh-CN"/>
        </w:rPr>
        <w:t>财政拨款收入、事业收入、经营</w:t>
      </w:r>
      <w:r>
        <w:rPr>
          <w:rFonts w:hint="eastAsia" w:ascii="仿宋_GB2312" w:eastAsia="仿宋_GB2312"/>
          <w:color w:val="auto"/>
          <w:sz w:val="32"/>
          <w:szCs w:val="32"/>
          <w:highlight w:val="none"/>
        </w:rPr>
        <w:t>收入以外的各项收入。</w:t>
      </w:r>
      <w:r>
        <w:rPr>
          <w:rFonts w:hint="eastAsia" w:ascii="仿宋_GB2312" w:eastAsia="仿宋_GB2312"/>
          <w:sz w:val="32"/>
          <w:szCs w:val="32"/>
        </w:rPr>
        <w:t>我单位主要是利息收入。</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5.科学技术（类）科学技术管理事务（款）其他科学技术管理事务支出（项）:指用于科学技术管理事务方面的其他支出。</w:t>
      </w:r>
    </w:p>
    <w:p>
      <w:pPr>
        <w:ind w:firstLine="640" w:firstLineChars="200"/>
        <w:rPr>
          <w:rFonts w:hint="eastAsia" w:ascii="仿宋_GB2312" w:eastAsia="仿宋_GB2312"/>
          <w:sz w:val="32"/>
          <w:szCs w:val="32"/>
        </w:rPr>
      </w:pPr>
      <w:r>
        <w:rPr>
          <w:rFonts w:hint="eastAsia" w:ascii="仿宋_GB2312" w:eastAsia="仿宋_GB2312"/>
          <w:sz w:val="32"/>
          <w:szCs w:val="32"/>
        </w:rPr>
        <w:t>6.科学技术（类）应用研究（款）社会公益研究（项）:指用于农业等社会公益专项科研方面的支出。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科学技术支出（类）技术研究与开发（款）科技成果转化与扩散（项）：反映促进科技成果转化为现实生产力的应用、推广和引导性支出，以及基本建设支出中用于支持企业科技自主创新的支出。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w:t>
      </w:r>
      <w:r>
        <w:rPr>
          <w:rFonts w:hint="eastAsia" w:ascii="仿宋_GB2312" w:eastAsia="仿宋_GB2312"/>
          <w:sz w:val="32"/>
          <w:szCs w:val="32"/>
          <w:lang w:eastAsia="zh-CN"/>
        </w:rPr>
        <w:t>科学技术支出（类）科学技术普及（款）其他科学技术普及支出（项）：反映其他科学技术支出中除以上各项外用于科技方面的支出。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9.科学技术支出（类）其他科学技术支出（款） 其他科学技术支出(项)：反映除上述项目以外其他用于农业农村方面的支出。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eastAsia="zh-CN"/>
        </w:rPr>
        <w:t>反映</w:t>
      </w:r>
      <w:r>
        <w:rPr>
          <w:rFonts w:hint="eastAsia" w:ascii="仿宋_GB2312" w:eastAsia="仿宋_GB2312"/>
          <w:sz w:val="32"/>
          <w:szCs w:val="32"/>
        </w:rPr>
        <w:t>机关事业单位实施养老保险制度由单位缴纳的基本养老保险费支出。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卫生健康支出（类）行政事业单位医疗（款）事业单位医疗（项）：</w:t>
      </w:r>
      <w:r>
        <w:rPr>
          <w:rFonts w:hint="eastAsia" w:ascii="仿宋_GB2312" w:eastAsia="仿宋_GB2312"/>
          <w:sz w:val="32"/>
          <w:szCs w:val="32"/>
          <w:lang w:eastAsia="zh-CN"/>
        </w:rPr>
        <w:t>反映财政部门安排的事业单位基本医疗保险缴费经费，未参加医疗保险的事业单位的公费医疗经费，按国家规定享受离休人员待遇的医疗经费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.农林水支出（类）农业</w:t>
      </w:r>
      <w:r>
        <w:rPr>
          <w:rFonts w:hint="eastAsia" w:ascii="仿宋_GB2312" w:eastAsia="仿宋_GB2312"/>
          <w:sz w:val="32"/>
          <w:szCs w:val="32"/>
          <w:lang w:eastAsia="zh-CN"/>
        </w:rPr>
        <w:t>农村</w:t>
      </w:r>
      <w:r>
        <w:rPr>
          <w:rFonts w:hint="eastAsia" w:ascii="仿宋_GB2312" w:eastAsia="仿宋_GB2312"/>
          <w:sz w:val="32"/>
          <w:szCs w:val="32"/>
        </w:rPr>
        <w:t>（款）事业运行（项）：</w:t>
      </w:r>
      <w:r>
        <w:rPr>
          <w:rFonts w:hint="eastAsia" w:ascii="仿宋_GB2312" w:eastAsia="仿宋_GB2312"/>
          <w:sz w:val="32"/>
          <w:szCs w:val="32"/>
          <w:lang w:eastAsia="zh-CN"/>
        </w:rPr>
        <w:t>反映</w:t>
      </w:r>
      <w:r>
        <w:rPr>
          <w:rFonts w:hint="eastAsia" w:ascii="仿宋_GB2312" w:eastAsia="仿宋_GB2312"/>
          <w:sz w:val="32"/>
          <w:szCs w:val="32"/>
        </w:rPr>
        <w:t>用于农业事业单位的基本支出</w:t>
      </w:r>
      <w:r>
        <w:rPr>
          <w:rFonts w:hint="eastAsia" w:ascii="仿宋_GB2312" w:eastAsia="仿宋_GB2312"/>
          <w:sz w:val="32"/>
          <w:szCs w:val="32"/>
          <w:lang w:eastAsia="zh-CN"/>
        </w:rPr>
        <w:t>，</w:t>
      </w:r>
      <w:r>
        <w:rPr>
          <w:rFonts w:hint="eastAsia" w:ascii="仿宋_GB2312" w:eastAsia="仿宋_GB2312"/>
          <w:sz w:val="32"/>
          <w:szCs w:val="32"/>
        </w:rPr>
        <w:t>事业单位设施、系统运行与资产维护等方面的支出。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.农林水支出（类）农业</w:t>
      </w:r>
      <w:r>
        <w:rPr>
          <w:rFonts w:hint="eastAsia" w:ascii="仿宋_GB2312" w:eastAsia="仿宋_GB2312"/>
          <w:sz w:val="32"/>
          <w:szCs w:val="32"/>
          <w:lang w:eastAsia="zh-CN"/>
        </w:rPr>
        <w:t>农村</w:t>
      </w:r>
      <w:r>
        <w:rPr>
          <w:rFonts w:hint="eastAsia" w:ascii="仿宋_GB2312" w:eastAsia="仿宋_GB2312"/>
          <w:sz w:val="32"/>
          <w:szCs w:val="32"/>
        </w:rPr>
        <w:t>（款）科技转化与推广服务（项）：</w:t>
      </w:r>
      <w:r>
        <w:rPr>
          <w:rFonts w:hint="eastAsia" w:ascii="仿宋_GB2312" w:eastAsia="仿宋_GB2312"/>
          <w:sz w:val="32"/>
          <w:szCs w:val="32"/>
          <w:lang w:eastAsia="zh-CN"/>
        </w:rPr>
        <w:t>反映</w:t>
      </w:r>
      <w:r>
        <w:rPr>
          <w:rFonts w:hint="eastAsia" w:ascii="仿宋_GB2312" w:eastAsia="仿宋_GB2312"/>
          <w:sz w:val="32"/>
          <w:szCs w:val="32"/>
        </w:rPr>
        <w:t>用于农业科技成果转化，农业新品种、新机具、新技术引进、试验、示范、推广及服务</w:t>
      </w:r>
      <w:r>
        <w:rPr>
          <w:rFonts w:hint="eastAsia" w:ascii="仿宋_GB2312" w:eastAsia="仿宋_GB2312"/>
          <w:sz w:val="32"/>
          <w:szCs w:val="32"/>
          <w:lang w:eastAsia="zh-CN"/>
        </w:rPr>
        <w:t>，农村人居环境整治等方面的技术试验示范</w:t>
      </w:r>
      <w:r>
        <w:rPr>
          <w:rFonts w:hint="eastAsia" w:ascii="仿宋_GB2312" w:eastAsia="仿宋_GB2312"/>
          <w:sz w:val="32"/>
          <w:szCs w:val="32"/>
        </w:rPr>
        <w:t>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.农林水支出（类）农业</w:t>
      </w:r>
      <w:r>
        <w:rPr>
          <w:rFonts w:hint="eastAsia" w:ascii="仿宋_GB2312" w:eastAsia="仿宋_GB2312"/>
          <w:sz w:val="32"/>
          <w:szCs w:val="32"/>
          <w:lang w:eastAsia="zh-CN"/>
        </w:rPr>
        <w:t>农村</w:t>
      </w:r>
      <w:r>
        <w:rPr>
          <w:rFonts w:hint="eastAsia" w:ascii="仿宋_GB2312" w:eastAsia="仿宋_GB2312"/>
          <w:sz w:val="32"/>
          <w:szCs w:val="32"/>
        </w:rPr>
        <w:t>（款）防灾救灾（项）：</w:t>
      </w:r>
      <w:r>
        <w:rPr>
          <w:rFonts w:hint="eastAsia" w:ascii="仿宋_GB2312" w:eastAsia="仿宋_GB2312"/>
          <w:sz w:val="32"/>
          <w:szCs w:val="32"/>
          <w:lang w:eastAsia="zh-CN"/>
        </w:rPr>
        <w:t>反映</w:t>
      </w:r>
      <w:r>
        <w:rPr>
          <w:rFonts w:hint="eastAsia" w:ascii="仿宋_GB2312" w:eastAsia="仿宋_GB2312"/>
          <w:sz w:val="32"/>
          <w:szCs w:val="32"/>
        </w:rPr>
        <w:t>对农业生产因遭受自然、生物灾害损失给予的补助，促进农业防灾增产措施补助，</w:t>
      </w:r>
      <w:r>
        <w:rPr>
          <w:rFonts w:hint="eastAsia" w:ascii="仿宋_GB2312" w:eastAsia="仿宋_GB2312"/>
          <w:sz w:val="32"/>
          <w:szCs w:val="32"/>
          <w:lang w:eastAsia="zh-CN"/>
        </w:rPr>
        <w:t>海难救助补助，</w:t>
      </w:r>
      <w:r>
        <w:rPr>
          <w:rFonts w:hint="eastAsia" w:ascii="仿宋_GB2312" w:eastAsia="仿宋_GB2312"/>
          <w:sz w:val="32"/>
          <w:szCs w:val="32"/>
        </w:rPr>
        <w:t>因其他灾害导致农牧渔业生产者损失给予的补助。</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.农林水支出（类）农业</w:t>
      </w:r>
      <w:r>
        <w:rPr>
          <w:rFonts w:hint="eastAsia" w:ascii="仿宋_GB2312" w:eastAsia="仿宋_GB2312"/>
          <w:sz w:val="32"/>
          <w:szCs w:val="32"/>
          <w:lang w:eastAsia="zh-CN"/>
        </w:rPr>
        <w:t>农村</w:t>
      </w:r>
      <w:r>
        <w:rPr>
          <w:rFonts w:hint="eastAsia" w:ascii="仿宋_GB2312" w:eastAsia="仿宋_GB2312"/>
          <w:sz w:val="32"/>
          <w:szCs w:val="32"/>
        </w:rPr>
        <w:t>（款）其他农业</w:t>
      </w:r>
      <w:r>
        <w:rPr>
          <w:rFonts w:hint="eastAsia" w:ascii="仿宋_GB2312" w:eastAsia="仿宋_GB2312"/>
          <w:sz w:val="32"/>
          <w:szCs w:val="32"/>
          <w:lang w:eastAsia="zh-CN"/>
        </w:rPr>
        <w:t>农村</w:t>
      </w:r>
      <w:r>
        <w:rPr>
          <w:rFonts w:hint="eastAsia" w:ascii="仿宋_GB2312" w:eastAsia="仿宋_GB2312"/>
          <w:sz w:val="32"/>
          <w:szCs w:val="32"/>
        </w:rPr>
        <w:t>支出（项）：</w:t>
      </w:r>
      <w:r>
        <w:rPr>
          <w:rFonts w:hint="eastAsia" w:ascii="仿宋_GB2312" w:eastAsia="仿宋_GB2312"/>
          <w:sz w:val="32"/>
          <w:szCs w:val="32"/>
          <w:lang w:eastAsia="zh-CN"/>
        </w:rPr>
        <w:t>反映除上述项目以外其他用于农业农村</w:t>
      </w:r>
      <w:r>
        <w:rPr>
          <w:rFonts w:hint="eastAsia" w:ascii="仿宋_GB2312" w:eastAsia="仿宋_GB2312"/>
          <w:sz w:val="32"/>
          <w:szCs w:val="32"/>
        </w:rPr>
        <w:t>方面的支出。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.农林水支出（类）扶贫（款）其他扶贫支出（项）</w:t>
      </w:r>
      <w:bookmarkStart w:id="75" w:name="_GoBack"/>
      <w:bookmarkEnd w:id="75"/>
      <w:r>
        <w:rPr>
          <w:rFonts w:hint="eastAsia" w:ascii="仿宋_GB2312" w:eastAsia="仿宋_GB2312"/>
          <w:sz w:val="32"/>
          <w:szCs w:val="32"/>
        </w:rPr>
        <w:t>：</w:t>
      </w:r>
      <w:r>
        <w:rPr>
          <w:rFonts w:hint="eastAsia" w:ascii="仿宋_GB2312" w:eastAsia="仿宋_GB2312"/>
          <w:sz w:val="32"/>
          <w:szCs w:val="32"/>
          <w:lang w:eastAsia="zh-CN"/>
        </w:rPr>
        <w:t>反映除上述项目以外其他用于巩固拓展脱贫攻坚成果同乡村振兴有效衔接方面</w:t>
      </w:r>
      <w:r>
        <w:rPr>
          <w:rFonts w:hint="eastAsia" w:ascii="仿宋_GB2312" w:eastAsia="仿宋_GB2312"/>
          <w:sz w:val="32"/>
          <w:szCs w:val="32"/>
        </w:rPr>
        <w:t>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农林水支出（类）其他农林水支出（款）其他农林水支出（项）：</w:t>
      </w:r>
      <w:r>
        <w:rPr>
          <w:rFonts w:hint="eastAsia" w:ascii="仿宋_GB2312" w:eastAsia="仿宋_GB2312"/>
          <w:sz w:val="32"/>
          <w:szCs w:val="32"/>
          <w:lang w:eastAsia="zh-CN"/>
        </w:rPr>
        <w:t>反映除化解债务支出以外</w:t>
      </w:r>
      <w:r>
        <w:rPr>
          <w:rFonts w:hint="eastAsia" w:ascii="仿宋_GB2312" w:eastAsia="仿宋_GB2312"/>
          <w:sz w:val="32"/>
          <w:szCs w:val="32"/>
        </w:rPr>
        <w:t>用于其他农林水方面的支出。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反映</w:t>
      </w:r>
      <w:r>
        <w:rPr>
          <w:rFonts w:hint="eastAsia" w:ascii="仿宋_GB2312" w:eastAsia="仿宋_GB2312"/>
          <w:sz w:val="32"/>
          <w:szCs w:val="32"/>
        </w:rPr>
        <w:t>行政事业单位按人力资源和社会保障部、财政部规定的基本工资和津贴补贴以及规定比例为职工缴纳的住房公积金。</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b/>
          <w:color w:val="000000"/>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auto"/>
          <w:sz w:val="32"/>
          <w:szCs w:val="32"/>
          <w:highlight w:val="none"/>
        </w:rPr>
      </w:pPr>
    </w:p>
    <w:p>
      <w:pPr>
        <w:spacing w:line="600" w:lineRule="exact"/>
        <w:jc w:val="center"/>
        <w:outlineLvl w:val="0"/>
        <w:rPr>
          <w:rStyle w:val="25"/>
          <w:rFonts w:hint="eastAsia" w:ascii="黑体" w:hAnsi="黑体" w:eastAsia="黑体"/>
          <w:b w:val="0"/>
          <w:color w:val="auto"/>
          <w:highlight w:val="none"/>
          <w:lang w:eastAsia="zh-CN"/>
        </w:rPr>
      </w:pPr>
      <w:bookmarkStart w:id="57" w:name="_Toc15377226"/>
      <w:r>
        <w:rPr>
          <w:rFonts w:ascii="宋体"/>
          <w:b/>
          <w:color w:val="auto"/>
          <w:sz w:val="44"/>
          <w:szCs w:val="44"/>
          <w:highlight w:val="none"/>
        </w:rPr>
        <w:br w:type="page"/>
      </w:r>
      <w:bookmarkStart w:id="58"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8"/>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0"/>
          <w:szCs w:val="44"/>
          <w:highlight w:val="none"/>
          <w:lang w:eastAsia="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广元市农业科学研究院</w:t>
      </w: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部门整体绩效评价报告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一、部门（单位）概况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机构组成。广元市农业科学研究院是财政全额拨款一级预算事业单位(副县级)，独立核算机构1个，无下属单位，内设机构7个（办公室、财务科、粮油研究所、水果研究所、蔬菜研究所、茶叶研究所、畜牧研究所），核定事业编制34名。</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（二）机构职能。广元市农业科学研究院主要从事公益性农业科技应用基础研究，农作物新品种新技术研究、引进和试验示范等工作。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（三）人员概况。2021年末实际在职人数30人(其中：博士研究生1人、硕士研究生13人、本科11人、专科4人、其他1人），高级职称11人、中级职称9人、初级职称8人、管理岗1人、技术工1人。退休人员6人。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bookmarkStart w:id="59" w:name="_Toc28854"/>
      <w:r>
        <w:rPr>
          <w:rFonts w:hint="eastAsia" w:ascii="仿宋_GB2312" w:hAnsi="宋体" w:eastAsia="仿宋_GB2312" w:cs="宋体"/>
          <w:color w:val="auto"/>
          <w:kern w:val="0"/>
          <w:sz w:val="32"/>
          <w:szCs w:val="32"/>
          <w:highlight w:val="none"/>
          <w:shd w:val="clear" w:color="auto" w:fill="FFFFFF"/>
          <w:lang w:val="zh-CN"/>
        </w:rPr>
        <w:t>2021年本年收入合计607.37万元，其中：一般公共预算财政拨款收入596.27万元，占98.17%；其他收入11.10万元，占1.83%。</w:t>
      </w:r>
      <w:bookmarkEnd w:id="59"/>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bookmarkStart w:id="60" w:name="_Toc12193"/>
      <w:r>
        <w:rPr>
          <w:rFonts w:hint="eastAsia" w:ascii="仿宋_GB2312" w:hAnsi="宋体" w:eastAsia="仿宋_GB2312" w:cs="宋体"/>
          <w:color w:val="auto"/>
          <w:kern w:val="0"/>
          <w:sz w:val="32"/>
          <w:szCs w:val="32"/>
          <w:highlight w:val="none"/>
          <w:shd w:val="clear" w:color="auto" w:fill="FFFFFF"/>
          <w:lang w:val="zh-CN"/>
        </w:rPr>
        <w:t>2021年本年支出合计586.36万元，其中：基本支出517.84万元，占88.31%；项目支出68.52万元，占11.69%。</w:t>
      </w:r>
      <w:bookmarkEnd w:id="60"/>
    </w:p>
    <w:p>
      <w:pPr>
        <w:pStyle w:val="2"/>
        <w:rPr>
          <w:rFonts w:hint="eastAsia"/>
          <w:lang w:val="zh-CN"/>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1</w:t>
      </w:r>
      <w:r>
        <w:rPr>
          <w:rFonts w:hint="eastAsia" w:ascii="仿宋_GB2312" w:hAnsi="宋体" w:eastAsia="仿宋_GB2312" w:cs="宋体"/>
          <w:color w:val="auto"/>
          <w:kern w:val="0"/>
          <w:sz w:val="32"/>
          <w:szCs w:val="32"/>
          <w:highlight w:val="none"/>
          <w:shd w:val="clear" w:color="auto" w:fill="FFFFFF"/>
          <w:lang w:val="zh-CN" w:eastAsia="zh-CN"/>
        </w:rPr>
        <w:t>.</w:t>
      </w:r>
      <w:r>
        <w:rPr>
          <w:rFonts w:hint="eastAsia" w:ascii="仿宋_GB2312" w:hAnsi="宋体" w:eastAsia="仿宋_GB2312" w:cs="宋体"/>
          <w:color w:val="auto"/>
          <w:kern w:val="0"/>
          <w:sz w:val="32"/>
          <w:szCs w:val="32"/>
          <w:highlight w:val="none"/>
          <w:shd w:val="clear" w:color="auto" w:fill="FFFFFF"/>
          <w:lang w:val="zh-CN"/>
        </w:rPr>
        <w:t>部门绩效目标制定情况。认真编制绩效目标</w:t>
      </w:r>
      <w:r>
        <w:rPr>
          <w:rFonts w:hint="eastAsia" w:ascii="仿宋_GB2312" w:hAnsi="宋体" w:eastAsia="仿宋_GB2312" w:cs="宋体"/>
          <w:color w:val="auto"/>
          <w:kern w:val="0"/>
          <w:sz w:val="32"/>
          <w:szCs w:val="32"/>
          <w:highlight w:val="none"/>
          <w:shd w:val="clear" w:color="auto" w:fill="FFFFFF"/>
          <w:lang w:val="zh-CN" w:eastAsia="zh-CN"/>
        </w:rPr>
        <w:t>，</w:t>
      </w:r>
      <w:r>
        <w:rPr>
          <w:rFonts w:hint="eastAsia" w:ascii="仿宋_GB2312" w:hAnsi="宋体" w:eastAsia="仿宋_GB2312" w:cs="宋体"/>
          <w:color w:val="auto"/>
          <w:kern w:val="0"/>
          <w:sz w:val="32"/>
          <w:szCs w:val="32"/>
          <w:highlight w:val="none"/>
          <w:shd w:val="clear" w:color="auto" w:fill="FFFFFF"/>
          <w:lang w:val="zh-CN"/>
        </w:rPr>
        <w:t>严格按照市财政局安排部署，将年度绩效目标与部门预算管理同步安排、同步编制、同步审核、同步上报、同步公开，做到绩效目标管理与预算管理一致。做到绩效目标完整、合理，指标细化、量化。</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2</w:t>
      </w:r>
      <w:r>
        <w:rPr>
          <w:rFonts w:hint="eastAsia" w:ascii="仿宋_GB2312" w:hAnsi="宋体" w:eastAsia="仿宋_GB2312" w:cs="宋体"/>
          <w:color w:val="auto"/>
          <w:kern w:val="0"/>
          <w:sz w:val="32"/>
          <w:szCs w:val="32"/>
          <w:highlight w:val="none"/>
          <w:shd w:val="clear" w:color="auto" w:fill="FFFFFF"/>
          <w:lang w:val="zh-CN"/>
        </w:rPr>
        <w:t>.目标实现情况。基本支出合计</w:t>
      </w:r>
      <w:r>
        <w:rPr>
          <w:rFonts w:hint="eastAsia" w:ascii="仿宋_GB2312" w:hAnsi="宋体" w:eastAsia="仿宋_GB2312" w:cs="宋体"/>
          <w:color w:val="auto"/>
          <w:kern w:val="0"/>
          <w:sz w:val="32"/>
          <w:szCs w:val="32"/>
          <w:highlight w:val="none"/>
          <w:shd w:val="clear" w:color="auto" w:fill="FFFFFF"/>
          <w:lang w:val="zh-CN" w:eastAsia="zh-CN"/>
        </w:rPr>
        <w:t>517.84万元，其中人员类（</w:t>
      </w:r>
      <w:r>
        <w:rPr>
          <w:rFonts w:hint="eastAsia" w:ascii="仿宋_GB2312" w:hAnsi="宋体" w:eastAsia="仿宋_GB2312" w:cs="宋体"/>
          <w:color w:val="auto"/>
          <w:kern w:val="0"/>
          <w:sz w:val="32"/>
          <w:szCs w:val="32"/>
          <w:highlight w:val="none"/>
          <w:shd w:val="clear" w:color="auto" w:fill="FFFFFF"/>
          <w:lang w:val="zh-CN"/>
        </w:rPr>
        <w:t>人员经费</w:t>
      </w:r>
      <w:r>
        <w:rPr>
          <w:rFonts w:hint="eastAsia" w:ascii="仿宋_GB2312" w:hAnsi="宋体" w:eastAsia="仿宋_GB2312" w:cs="宋体"/>
          <w:color w:val="auto"/>
          <w:kern w:val="0"/>
          <w:sz w:val="32"/>
          <w:szCs w:val="32"/>
          <w:highlight w:val="none"/>
          <w:shd w:val="clear" w:color="auto" w:fill="FFFFFF"/>
          <w:lang w:val="zh-CN" w:eastAsia="zh-CN"/>
        </w:rPr>
        <w:t>）</w:t>
      </w:r>
      <w:r>
        <w:rPr>
          <w:rFonts w:hint="eastAsia" w:ascii="仿宋_GB2312" w:hAnsi="宋体" w:eastAsia="仿宋_GB2312" w:cs="宋体"/>
          <w:color w:val="auto"/>
          <w:kern w:val="0"/>
          <w:sz w:val="32"/>
          <w:szCs w:val="32"/>
          <w:highlight w:val="none"/>
          <w:shd w:val="clear" w:color="auto" w:fill="FFFFFF"/>
          <w:lang w:val="zh-CN"/>
        </w:rPr>
        <w:t>：</w:t>
      </w:r>
      <w:r>
        <w:rPr>
          <w:rFonts w:hint="eastAsia" w:ascii="仿宋_GB2312" w:hAnsi="宋体" w:eastAsia="仿宋_GB2312" w:cs="宋体"/>
          <w:color w:val="auto"/>
          <w:kern w:val="0"/>
          <w:sz w:val="32"/>
          <w:szCs w:val="32"/>
          <w:highlight w:val="none"/>
          <w:shd w:val="clear" w:color="auto" w:fill="FFFFFF"/>
          <w:lang w:val="zh-CN" w:eastAsia="zh-CN"/>
        </w:rPr>
        <w:t>442.49万元，占85.45%；</w:t>
      </w:r>
      <w:r>
        <w:rPr>
          <w:rFonts w:hint="eastAsia" w:ascii="仿宋_GB2312" w:hAnsi="宋体" w:eastAsia="仿宋_GB2312" w:cs="宋体"/>
          <w:color w:val="auto"/>
          <w:kern w:val="0"/>
          <w:sz w:val="32"/>
          <w:szCs w:val="32"/>
          <w:highlight w:val="none"/>
          <w:shd w:val="clear" w:color="auto" w:fill="FFFFFF"/>
          <w:lang w:val="zh-CN"/>
        </w:rPr>
        <w:t>运转类（公用经费）：</w:t>
      </w:r>
      <w:r>
        <w:rPr>
          <w:rFonts w:hint="eastAsia" w:ascii="仿宋_GB2312" w:hAnsi="宋体" w:eastAsia="仿宋_GB2312" w:cs="宋体"/>
          <w:color w:val="auto"/>
          <w:kern w:val="0"/>
          <w:sz w:val="32"/>
          <w:szCs w:val="32"/>
          <w:highlight w:val="none"/>
          <w:shd w:val="clear" w:color="auto" w:fill="FFFFFF"/>
          <w:lang w:val="zh-CN" w:eastAsia="zh-CN"/>
        </w:rPr>
        <w:t>75.35万元，占14.55%；</w:t>
      </w:r>
      <w:r>
        <w:rPr>
          <w:rFonts w:hint="eastAsia" w:ascii="仿宋_GB2312" w:hAnsi="宋体" w:eastAsia="仿宋_GB2312" w:cs="宋体"/>
          <w:color w:val="auto"/>
          <w:kern w:val="0"/>
          <w:sz w:val="32"/>
          <w:szCs w:val="32"/>
          <w:highlight w:val="none"/>
          <w:shd w:val="clear" w:color="auto" w:fill="FFFFFF"/>
          <w:lang w:val="zh-CN"/>
        </w:rPr>
        <w:t>特定目标类（项目支出）：</w:t>
      </w:r>
      <w:r>
        <w:rPr>
          <w:rFonts w:hint="eastAsia" w:ascii="仿宋_GB2312" w:hAnsi="宋体" w:eastAsia="仿宋_GB2312" w:cs="宋体"/>
          <w:color w:val="auto"/>
          <w:kern w:val="0"/>
          <w:sz w:val="32"/>
          <w:szCs w:val="32"/>
          <w:highlight w:val="none"/>
          <w:shd w:val="clear" w:color="auto" w:fill="FFFFFF"/>
          <w:lang w:val="zh-CN" w:eastAsia="zh-CN"/>
        </w:rPr>
        <w:t xml:space="preserve">68.52万元。 </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eastAsia="zh-CN"/>
        </w:rPr>
        <w:t>3.</w:t>
      </w:r>
      <w:r>
        <w:rPr>
          <w:rFonts w:hint="eastAsia" w:ascii="仿宋_GB2312" w:hAnsi="宋体" w:eastAsia="仿宋_GB2312" w:cs="宋体"/>
          <w:color w:val="auto"/>
          <w:kern w:val="0"/>
          <w:sz w:val="32"/>
          <w:szCs w:val="32"/>
          <w:highlight w:val="none"/>
          <w:shd w:val="clear" w:color="auto" w:fill="FFFFFF"/>
          <w:lang w:val="zh-CN"/>
        </w:rPr>
        <w:t>支出控制和</w:t>
      </w:r>
      <w:r>
        <w:rPr>
          <w:rFonts w:hint="eastAsia" w:ascii="仿宋_GB2312" w:hAnsi="宋体" w:eastAsia="仿宋_GB2312" w:cs="宋体"/>
          <w:color w:val="auto"/>
          <w:kern w:val="0"/>
          <w:sz w:val="32"/>
          <w:szCs w:val="32"/>
          <w:highlight w:val="none"/>
          <w:shd w:val="clear" w:color="auto" w:fill="FFFFFF"/>
          <w:lang w:val="zh-CN" w:eastAsia="zh-CN"/>
        </w:rPr>
        <w:t>及时处置情况</w:t>
      </w:r>
      <w:r>
        <w:rPr>
          <w:rFonts w:hint="eastAsia" w:ascii="仿宋_GB2312" w:hAnsi="宋体" w:eastAsia="仿宋_GB2312" w:cs="宋体"/>
          <w:color w:val="auto"/>
          <w:kern w:val="0"/>
          <w:sz w:val="32"/>
          <w:szCs w:val="32"/>
          <w:highlight w:val="none"/>
          <w:shd w:val="clear" w:color="auto" w:fill="FFFFFF"/>
          <w:lang w:val="zh-CN"/>
        </w:rPr>
        <w:t>。一是严格预算执行</w:t>
      </w:r>
      <w:r>
        <w:rPr>
          <w:rFonts w:hint="eastAsia" w:ascii="仿宋_GB2312" w:hAnsi="宋体" w:eastAsia="仿宋_GB2312" w:cs="宋体"/>
          <w:color w:val="auto"/>
          <w:kern w:val="0"/>
          <w:sz w:val="32"/>
          <w:szCs w:val="32"/>
          <w:highlight w:val="none"/>
          <w:shd w:val="clear" w:color="auto" w:fill="FFFFFF"/>
          <w:lang w:val="zh-CN" w:eastAsia="zh-CN"/>
        </w:rPr>
        <w:t>，</w:t>
      </w:r>
      <w:r>
        <w:rPr>
          <w:rFonts w:hint="eastAsia" w:ascii="仿宋_GB2312" w:hAnsi="宋体" w:eastAsia="仿宋_GB2312" w:cs="宋体"/>
          <w:color w:val="auto"/>
          <w:kern w:val="0"/>
          <w:sz w:val="32"/>
          <w:szCs w:val="32"/>
          <w:highlight w:val="none"/>
          <w:shd w:val="clear" w:color="auto" w:fill="FFFFFF"/>
          <w:lang w:val="zh-CN"/>
        </w:rPr>
        <w:t>按照市财政局</w:t>
      </w:r>
      <w:r>
        <w:rPr>
          <w:rFonts w:hint="eastAsia" w:ascii="仿宋_GB2312" w:hAnsi="宋体" w:eastAsia="仿宋_GB2312" w:cs="宋体"/>
          <w:color w:val="auto"/>
          <w:kern w:val="0"/>
          <w:sz w:val="32"/>
          <w:szCs w:val="32"/>
          <w:highlight w:val="none"/>
          <w:shd w:val="clear" w:color="auto" w:fill="FFFFFF"/>
          <w:lang w:val="zh-CN" w:eastAsia="zh-CN"/>
        </w:rPr>
        <w:t>要求</w:t>
      </w:r>
      <w:r>
        <w:rPr>
          <w:rFonts w:hint="eastAsia" w:ascii="仿宋_GB2312" w:hAnsi="宋体" w:eastAsia="仿宋_GB2312" w:cs="宋体"/>
          <w:color w:val="auto"/>
          <w:kern w:val="0"/>
          <w:sz w:val="32"/>
          <w:szCs w:val="32"/>
          <w:highlight w:val="none"/>
          <w:shd w:val="clear" w:color="auto" w:fill="FFFFFF"/>
          <w:lang w:val="zh-CN"/>
        </w:rPr>
        <w:t>，加强对预算责任、指标、费用、定额等进行细化分解，明确绩效目标。</w:t>
      </w:r>
      <w:r>
        <w:rPr>
          <w:rFonts w:hint="eastAsia" w:ascii="仿宋_GB2312" w:hAnsi="宋体" w:eastAsia="仿宋_GB2312" w:cs="宋体"/>
          <w:color w:val="auto"/>
          <w:kern w:val="0"/>
          <w:sz w:val="32"/>
          <w:szCs w:val="32"/>
          <w:highlight w:val="none"/>
          <w:shd w:val="clear" w:color="auto" w:fill="FFFFFF"/>
          <w:lang w:val="zh-CN" w:eastAsia="zh-CN"/>
        </w:rPr>
        <w:t>二是合理安排支出，</w:t>
      </w:r>
      <w:r>
        <w:rPr>
          <w:rFonts w:hint="eastAsia" w:ascii="仿宋_GB2312" w:hAnsi="宋体" w:eastAsia="仿宋_GB2312" w:cs="宋体"/>
          <w:color w:val="auto"/>
          <w:kern w:val="0"/>
          <w:sz w:val="32"/>
          <w:szCs w:val="32"/>
          <w:highlight w:val="none"/>
          <w:shd w:val="clear" w:color="auto" w:fill="FFFFFF"/>
          <w:lang w:val="zh-CN"/>
        </w:rPr>
        <w:t>从时间要求、质量、规模等方面加强目标绩效管理，绩效目标指向明确，符合国家政策法规单位职能要求</w:t>
      </w:r>
      <w:r>
        <w:rPr>
          <w:rFonts w:hint="eastAsia" w:ascii="仿宋_GB2312" w:hAnsi="宋体" w:eastAsia="仿宋_GB2312" w:cs="宋体"/>
          <w:color w:val="auto"/>
          <w:kern w:val="0"/>
          <w:sz w:val="32"/>
          <w:szCs w:val="32"/>
          <w:highlight w:val="none"/>
          <w:shd w:val="clear" w:color="auto" w:fill="FFFFFF"/>
          <w:lang w:val="zh-CN" w:eastAsia="zh-CN"/>
        </w:rPr>
        <w:t>。三是确保做到及时处置，</w:t>
      </w:r>
      <w:r>
        <w:rPr>
          <w:rFonts w:hint="eastAsia" w:ascii="仿宋_GB2312" w:hAnsi="宋体" w:eastAsia="仿宋_GB2312" w:cs="宋体"/>
          <w:color w:val="auto"/>
          <w:kern w:val="0"/>
          <w:sz w:val="32"/>
          <w:szCs w:val="32"/>
          <w:highlight w:val="none"/>
          <w:shd w:val="clear" w:color="auto" w:fill="FFFFFF"/>
          <w:lang w:val="zh-CN"/>
        </w:rPr>
        <w:t>从数量、质量、成本、时效、效益等方面细化量化绩效目标，确保在一定期限内如期实现</w:t>
      </w:r>
      <w:r>
        <w:rPr>
          <w:rFonts w:hint="eastAsia" w:ascii="仿宋_GB2312" w:hAnsi="宋体" w:eastAsia="仿宋_GB2312" w:cs="宋体"/>
          <w:color w:val="auto"/>
          <w:kern w:val="0"/>
          <w:sz w:val="32"/>
          <w:szCs w:val="32"/>
          <w:highlight w:val="none"/>
          <w:shd w:val="clear" w:color="auto" w:fill="FFFFFF"/>
          <w:lang w:val="zh-CN" w:eastAsia="zh-CN"/>
        </w:rPr>
        <w:t>，</w:t>
      </w:r>
      <w:r>
        <w:rPr>
          <w:rFonts w:hint="eastAsia" w:ascii="仿宋_GB2312" w:hAnsi="宋体" w:eastAsia="仿宋_GB2312" w:cs="宋体"/>
          <w:color w:val="auto"/>
          <w:kern w:val="0"/>
          <w:sz w:val="32"/>
          <w:szCs w:val="32"/>
          <w:highlight w:val="none"/>
          <w:shd w:val="clear" w:color="auto" w:fill="FFFFFF"/>
          <w:lang w:val="zh-CN"/>
        </w:rPr>
        <w:t>按时完成部门预算信息公开。</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4.执行进度。</w:t>
      </w:r>
      <w:r>
        <w:rPr>
          <w:rFonts w:hint="eastAsia" w:ascii="仿宋_GB2312" w:hAnsi="宋体" w:eastAsia="仿宋_GB2312" w:cs="宋体"/>
          <w:color w:val="auto"/>
          <w:kern w:val="0"/>
          <w:sz w:val="32"/>
          <w:szCs w:val="32"/>
          <w:highlight w:val="none"/>
          <w:shd w:val="clear" w:color="auto" w:fill="FFFFFF"/>
          <w:lang w:val="zh-CN"/>
        </w:rPr>
        <w:t>严格预算执行</w:t>
      </w:r>
      <w:r>
        <w:rPr>
          <w:rFonts w:hint="eastAsia" w:ascii="仿宋_GB2312" w:hAnsi="宋体" w:eastAsia="仿宋_GB2312" w:cs="宋体"/>
          <w:color w:val="auto"/>
          <w:kern w:val="0"/>
          <w:sz w:val="32"/>
          <w:szCs w:val="32"/>
          <w:highlight w:val="none"/>
          <w:shd w:val="clear" w:color="auto" w:fill="FFFFFF"/>
          <w:lang w:val="zh-CN" w:eastAsia="zh-CN"/>
        </w:rPr>
        <w:t>，执行进度符合当年实际。</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5.预算完成情况。</w:t>
      </w:r>
      <w:r>
        <w:rPr>
          <w:rFonts w:hint="eastAsia" w:ascii="仿宋_GB2312" w:hAnsi="宋体" w:eastAsia="仿宋_GB2312" w:cs="宋体"/>
          <w:color w:val="auto"/>
          <w:kern w:val="0"/>
          <w:sz w:val="32"/>
          <w:szCs w:val="32"/>
          <w:highlight w:val="none"/>
          <w:shd w:val="clear" w:color="auto" w:fill="FFFFFF"/>
          <w:lang w:val="zh-CN"/>
        </w:rPr>
        <w:t>在期限内如期</w:t>
      </w:r>
      <w:r>
        <w:rPr>
          <w:rFonts w:hint="eastAsia" w:ascii="仿宋_GB2312" w:hAnsi="宋体" w:eastAsia="仿宋_GB2312" w:cs="宋体"/>
          <w:color w:val="auto"/>
          <w:kern w:val="0"/>
          <w:sz w:val="32"/>
          <w:szCs w:val="32"/>
          <w:highlight w:val="none"/>
          <w:shd w:val="clear" w:color="auto" w:fill="FFFFFF"/>
          <w:lang w:val="zh-CN" w:eastAsia="zh-CN"/>
        </w:rPr>
        <w:t>完成各项预算</w:t>
      </w:r>
      <w:r>
        <w:rPr>
          <w:rFonts w:hint="eastAsia" w:ascii="仿宋_GB2312" w:hAnsi="宋体" w:eastAsia="仿宋_GB2312" w:cs="宋体"/>
          <w:color w:val="auto"/>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6.资金结余率。资金结余率为0。</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eastAsia="zh-CN"/>
        </w:rPr>
        <w:t>7.违规记录情况。无违规记录。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按照市财政局的统一安排部署，我院高度重视绩效考评工作，制定了绩效总目标，依照国家政策法规规定和本部门实际情况，健全财务基础管理制度和约束机制，依法、有效地使用财政资金。通过采取询问和集中评议的方法，对各所、科、室资金的分配、拨付、使用、核算都严格把关，为全面完成年度目标任务提供了坚强保证。</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（三）自评质量</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部门整体支出自评准确。一是强化预算编制，提高预算编制的规范化和科学性。预算编制时结合本单位的事业发展计划、职责和任务，按照“人员经费按定额”、“公用经费按系数”、“项目经费按预算”，科学合理地编制部门预算，确保了部门预算编制真实、准确、完整。二是强化支出管理，确保大局稳定。本着量入为出的原则，按照“保工资”，“保运转”、“保项目”“保帮扶”努力压缩各项支出，合理安排财政资金，实现财政资金效益最大化。</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通过绩效评价，市农科院2021年度部门预算具有明确的用途和目标，制定了详细的执行计划，并严格按照财政有关规定使用。预算决策、管理、执行等日益规范，能较好地满足工作需要，取得了良好经济效益和社会效益。</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（二）存在问题。一是我院整体搬迁时间跨度长，异地搬迁建设分步实施，导致结余资金量较大；二是农业科研资金投入总体不足，经济效益短期不明显；三是管理不够细，还需进一步细化。</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改进建议。一是多渠道收集信息，争取国家、省、市科研项目投入。二是加快项目实施进度，避免结转结余资金较大。三是进一步提高部门预算编制的科学性、规范性和准确性，加强专项资金中期评估工作，及时提出调整建议，提高预算执行效率，确保财政资金绩效管理水平不断提升。</w:t>
      </w: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附件</w:t>
      </w:r>
    </w:p>
    <w:p>
      <w:pPr>
        <w:pStyle w:val="6"/>
        <w:ind w:firstLine="1200" w:firstLineChars="300"/>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pStyle w:val="6"/>
        <w:jc w:val="cente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eastAsia="zh-CN"/>
        </w:rPr>
        <w:t>（</w:t>
      </w:r>
      <w:r>
        <w:rPr>
          <w:rFonts w:hint="eastAsia" w:hAnsi="宋体" w:cs="宋体"/>
          <w:color w:val="auto"/>
          <w:kern w:val="0"/>
          <w:sz w:val="32"/>
          <w:szCs w:val="32"/>
          <w:highlight w:val="none"/>
          <w:shd w:val="clear" w:color="auto" w:fill="FFFFFF"/>
          <w:lang w:val="zh-CN"/>
        </w:rPr>
        <w:t>农业科研土地租金</w:t>
      </w:r>
      <w:r>
        <w:rPr>
          <w:rFonts w:hint="eastAsia" w:hAnsi="宋体" w:cs="宋体"/>
          <w:color w:val="auto"/>
          <w:kern w:val="0"/>
          <w:sz w:val="32"/>
          <w:szCs w:val="32"/>
          <w:highlight w:val="none"/>
          <w:shd w:val="clear" w:color="auto" w:fill="FFFFFF"/>
          <w:lang w:val="zh-CN" w:eastAsia="zh-CN"/>
        </w:rPr>
        <w:t>）</w:t>
      </w:r>
    </w:p>
    <w:p>
      <w:pPr>
        <w:spacing w:line="600" w:lineRule="exact"/>
        <w:ind w:firstLine="640" w:firstLineChars="200"/>
        <w:rPr>
          <w:rFonts w:ascii="黑体" w:hAnsi="宋体" w:eastAsia="黑体"/>
          <w:sz w:val="32"/>
          <w:szCs w:val="32"/>
        </w:rPr>
      </w:pPr>
      <w:r>
        <w:rPr>
          <w:rFonts w:hint="eastAsia" w:ascii="黑体" w:hAnsi="黑体" w:eastAsia="黑体" w:cs="黑体"/>
          <w:color w:val="000000"/>
          <w:kern w:val="0"/>
          <w:sz w:val="32"/>
          <w:szCs w:val="32"/>
          <w:lang w:val="zh-CN"/>
        </w:rPr>
        <w:t>一、</w:t>
      </w:r>
      <w:r>
        <w:rPr>
          <w:rFonts w:hint="eastAsia" w:ascii="黑体" w:hAnsi="宋体" w:eastAsia="黑体"/>
          <w:sz w:val="32"/>
          <w:szCs w:val="32"/>
        </w:rPr>
        <w:t>项目概况</w:t>
      </w:r>
    </w:p>
    <w:p>
      <w:pPr>
        <w:adjustRightInd w:val="0"/>
        <w:snapToGrid w:val="0"/>
        <w:spacing w:line="600" w:lineRule="exact"/>
        <w:ind w:firstLine="472" w:firstLineChars="147"/>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1．说明项目主管部门在该项目管理中的职能。</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本项目由广元市农科院根据科研发展的需要，结合现有条件设置，其职能是针对粮油、马铃薯新品种选育以及承担省市新品种试验示范等科研项目用地需求进行综合评估和评价。</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2．项目立项、资金申报的依据。</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广元市农业科学研究所成立于1991年（2016年初所改院），现有五所一室一科，随着科研能力提升和拓展，特别是承担省市科研项目逐渐增多，使我院现有科研基地严重不足，2021年根据科研用地的需要，计划在旺苍县白水镇租地26亩、朝天区曾家镇山峰村租地5亩、海南三亚崖城崖州区5.4亩，合计共租地 36.4亩。</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3.资金管理办法制定情况，资金支持具体项目的条件、范围与支持方式概况。</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为做到土地租金的专款专用，我院制定项目财务管理制度，进行分级管理：即租地单位要提前制定工作目标，签订租地合同，再由分管院长、财务负责人和院长审批才可打卡报账。其支持具体条件一是承担省厅、省院或市级农业科技项目；二是当年农科院重点发展或连续项目，且主要用于科研项目的租地费用。</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4．资金分配的原则及考虑因素。</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一是重点发展原则：结合当前农业科研的重点发展方向和需求，优先考虑租地面积和费用。二是根据项目合理安排，避免重复原则。在租地土地上，在项目衔接上合理安排，提高土地利用率，对利用率低的科研地少租或不租，避免浪费。三是规范管理，专款专用原则。专项资金应当纳入院财务统一管理，单独核算，确保专款专用。</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1．项目主要内容。</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2021年实际完成情况是在旺苍县白水镇租地29.55亩、朝天区曾家镇山峰村租地4.5亩、海南三亚崖城崖州区4.27亩，合计38.32亩，用于玉米、马铃薯、小麦新品种选育、材料鉴定、亲本繁殖以及试验示范以及创建国家试验站采集植保、种质资源和土壤质量等方面采集数据。</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2．项目应实现的具体绩效目标，包括目标的量化、细化情况以及项目实施进度计划等。</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 xml:space="preserve">绩效考核目标：一是在旺苍县白水镇租地29.55亩，在朝天区曾家镇山峰村租地4.5亩，在海南三亚崖城崖州区4.27亩，合计38.32亩；二是所租土地适用于科研用地基本要求，进出道路平坦，地力肥力中等偏上，排灌方便，无阴蔽；所租土地按年度完成所有科研试验示范目标任务；三是所承担的科研任务涉及新品种选育及新品系试验示范、病虫害防控、作物高产栽培、种质资源引进、收集、利用，涉及到当前在农业生产上亟待解决的重点难点问题；四是符合当前国家实施的精准扶贫政策；五是对我国粮食安全起着重要的作用；六是在土地使用过程中，将严格按照国家有关规定和环保要求，具有可持续性；按照项目总体目标，2021年完成全部实施内容。 </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3．分析评价申报内容是否与实际相符，申报目标是否合理可行。</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本项目开展研究的具体内容与项目申报的内容是紧密关联的。完成目标也与申报目标相符，证明项目设计是合理的可行的，达到了项目申报的预期目标。</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ind w:firstLine="600" w:firstLineChars="200"/>
        <w:rPr>
          <w:rFonts w:ascii="仿宋" w:hAnsi="仿宋" w:eastAsia="仿宋"/>
          <w:sz w:val="30"/>
          <w:szCs w:val="30"/>
        </w:rPr>
      </w:pPr>
      <w:r>
        <w:rPr>
          <w:rFonts w:hint="eastAsia" w:ascii="仿宋" w:hAnsi="仿宋" w:eastAsia="仿宋"/>
          <w:sz w:val="30"/>
          <w:szCs w:val="30"/>
        </w:rPr>
        <w:t>本项目采取自评方式，成立项目自评小组，结合评价内容，按照评价绩效指标体系，自评小组对完成指标、效益指标、满意度指标做出自我评价。</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2021年度农业科研土地租金项目预算资金6.25万元，资金及时批复到位。</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 w:hAnsi="仿宋" w:eastAsia="仿宋"/>
          <w:sz w:val="30"/>
          <w:szCs w:val="30"/>
        </w:rPr>
        <w:t>项目预算6.25万元，其中财政资金6.25万元，其他资金0万元。项目预算旺苍县白水镇租地</w:t>
      </w:r>
      <w:r>
        <w:rPr>
          <w:rFonts w:ascii="仿宋" w:hAnsi="仿宋" w:eastAsia="仿宋"/>
          <w:sz w:val="30"/>
          <w:szCs w:val="30"/>
        </w:rPr>
        <w:t>26</w:t>
      </w:r>
      <w:r>
        <w:rPr>
          <w:rFonts w:hint="eastAsia" w:ascii="仿宋" w:hAnsi="仿宋" w:eastAsia="仿宋"/>
          <w:sz w:val="30"/>
          <w:szCs w:val="30"/>
        </w:rPr>
        <w:t>亩，费用3.64万元、朝天区曾家镇5亩，费用0.45万元、海南三亚崖城崖州区5.4亩，费用2.16万元，总计6.25万元；项目实际完成旺苍县白水镇租地</w:t>
      </w:r>
      <w:r>
        <w:rPr>
          <w:rFonts w:ascii="仿宋" w:hAnsi="仿宋" w:eastAsia="仿宋"/>
          <w:sz w:val="30"/>
          <w:szCs w:val="30"/>
        </w:rPr>
        <w:t>29.55</w:t>
      </w:r>
      <w:r>
        <w:rPr>
          <w:rFonts w:hint="eastAsia" w:ascii="仿宋" w:hAnsi="仿宋" w:eastAsia="仿宋"/>
          <w:sz w:val="30"/>
          <w:szCs w:val="30"/>
        </w:rPr>
        <w:t>亩，租地费</w:t>
      </w:r>
      <w:r>
        <w:rPr>
          <w:rFonts w:ascii="仿宋" w:hAnsi="仿宋" w:eastAsia="仿宋"/>
          <w:sz w:val="30"/>
          <w:szCs w:val="30"/>
        </w:rPr>
        <w:t>4.137</w:t>
      </w:r>
      <w:r>
        <w:rPr>
          <w:rFonts w:hint="eastAsia" w:ascii="仿宋" w:hAnsi="仿宋" w:eastAsia="仿宋"/>
          <w:sz w:val="30"/>
          <w:szCs w:val="30"/>
        </w:rPr>
        <w:t>万元、朝天区曾家镇山峰村租地</w:t>
      </w:r>
      <w:r>
        <w:rPr>
          <w:rFonts w:ascii="仿宋" w:hAnsi="仿宋" w:eastAsia="仿宋"/>
          <w:sz w:val="30"/>
          <w:szCs w:val="30"/>
        </w:rPr>
        <w:t>4.5</w:t>
      </w:r>
      <w:r>
        <w:rPr>
          <w:rFonts w:hint="eastAsia" w:ascii="仿宋" w:hAnsi="仿宋" w:eastAsia="仿宋"/>
          <w:sz w:val="30"/>
          <w:szCs w:val="30"/>
        </w:rPr>
        <w:t>亩，租地费</w:t>
      </w:r>
      <w:r>
        <w:rPr>
          <w:rFonts w:ascii="仿宋" w:hAnsi="仿宋" w:eastAsia="仿宋"/>
          <w:sz w:val="30"/>
          <w:szCs w:val="30"/>
        </w:rPr>
        <w:t>0.405</w:t>
      </w:r>
      <w:r>
        <w:rPr>
          <w:rFonts w:hint="eastAsia" w:ascii="仿宋" w:hAnsi="仿宋" w:eastAsia="仿宋"/>
          <w:sz w:val="30"/>
          <w:szCs w:val="30"/>
        </w:rPr>
        <w:t>万元，海南三亚崖城崖州区租地4.27亩，租地费1</w:t>
      </w:r>
      <w:r>
        <w:rPr>
          <w:rFonts w:ascii="仿宋" w:hAnsi="仿宋" w:eastAsia="仿宋"/>
          <w:sz w:val="30"/>
          <w:szCs w:val="30"/>
        </w:rPr>
        <w:t>.7</w:t>
      </w:r>
      <w:r>
        <w:rPr>
          <w:rFonts w:hint="eastAsia" w:ascii="仿宋" w:hAnsi="仿宋" w:eastAsia="仿宋"/>
          <w:sz w:val="30"/>
          <w:szCs w:val="30"/>
        </w:rPr>
        <w:t>0</w:t>
      </w:r>
      <w:r>
        <w:rPr>
          <w:rFonts w:ascii="仿宋" w:hAnsi="仿宋" w:eastAsia="仿宋"/>
          <w:sz w:val="30"/>
          <w:szCs w:val="30"/>
        </w:rPr>
        <w:t>8</w:t>
      </w:r>
      <w:r>
        <w:rPr>
          <w:rFonts w:hint="eastAsia" w:ascii="仿宋" w:hAnsi="仿宋" w:eastAsia="仿宋"/>
          <w:sz w:val="30"/>
          <w:szCs w:val="30"/>
        </w:rPr>
        <w:t>万元,总计6</w:t>
      </w:r>
      <w:r>
        <w:rPr>
          <w:rFonts w:ascii="仿宋" w:hAnsi="仿宋" w:eastAsia="仿宋"/>
          <w:sz w:val="30"/>
          <w:szCs w:val="30"/>
        </w:rPr>
        <w:t>.</w:t>
      </w:r>
      <w:r>
        <w:rPr>
          <w:rFonts w:hint="eastAsia" w:ascii="仿宋" w:hAnsi="仿宋" w:eastAsia="仿宋"/>
          <w:sz w:val="30"/>
          <w:szCs w:val="30"/>
        </w:rPr>
        <w:t>25万元。</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sz w:val="30"/>
          <w:szCs w:val="30"/>
        </w:rPr>
        <w:t>截止2021年12月，所有计划资金全部到位，共计6.25万元，到位率100%，到位及时。</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sz w:val="30"/>
          <w:szCs w:val="30"/>
        </w:rPr>
        <w:t>截止2021年12月底，所有农业科研土地租金已全部支出。资金支付范围、支付标准、支付进度、支付依据合规合法。</w:t>
      </w:r>
    </w:p>
    <w:p>
      <w:pPr>
        <w:adjustRightInd w:val="0"/>
        <w:snapToGrid w:val="0"/>
        <w:spacing w:line="600" w:lineRule="exact"/>
        <w:ind w:firstLine="636" w:firstLineChars="198"/>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项目实施单位财务管理制度健全，严格执行财务管理制度，由各所年初拟定资金使用计划，严格按照项目资金管理办法对资金进行计划申请、划拨、使用，及时、规范进行账务处理和会计核算。</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（一）项目组织架构及实施流程。</w:t>
      </w:r>
      <w:r>
        <w:rPr>
          <w:rFonts w:hint="eastAsia" w:ascii="仿宋" w:hAnsi="仿宋" w:eastAsia="仿宋"/>
          <w:sz w:val="30"/>
          <w:szCs w:val="30"/>
        </w:rPr>
        <w:t>我院高度重视项目实施工作，成立了专门的工作领导小组，办公室设在粮油所，办公室主任由粮油所所长担任。</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（二）项目管理情况。</w:t>
      </w:r>
      <w:r>
        <w:rPr>
          <w:rFonts w:hint="eastAsia" w:ascii="仿宋" w:hAnsi="仿宋" w:eastAsia="仿宋"/>
          <w:sz w:val="30"/>
          <w:szCs w:val="30"/>
        </w:rPr>
        <w:t>本项目采取项目领导小组负责制，全体成员积极配合、通力合作。项目工作领导小组负责协调相关工作，项目实施及资金管理，项目实施严格执行相关法律法规及项目管理制度。</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（三）项目监管情况。</w:t>
      </w:r>
      <w:r>
        <w:rPr>
          <w:rFonts w:hint="eastAsia" w:ascii="仿宋" w:hAnsi="仿宋" w:eastAsia="仿宋"/>
          <w:sz w:val="30"/>
          <w:szCs w:val="30"/>
        </w:rPr>
        <w:t>项目资金由农科院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pPr>
        <w:pStyle w:val="2"/>
        <w:ind w:left="273" w:leftChars="130" w:firstLine="320" w:firstLineChars="100"/>
        <w:rPr>
          <w:rFonts w:ascii="黑体" w:hAnsi="宋体" w:eastAsia="黑体"/>
          <w:sz w:val="32"/>
          <w:szCs w:val="32"/>
        </w:rPr>
      </w:pPr>
      <w:r>
        <w:rPr>
          <w:rFonts w:hint="eastAsia" w:ascii="黑体" w:hAnsi="宋体" w:eastAsia="黑体"/>
          <w:sz w:val="32"/>
          <w:szCs w:val="32"/>
        </w:rPr>
        <w:t>四、项目绩效情况</w:t>
      </w:r>
    </w:p>
    <w:p>
      <w:pPr>
        <w:widowControl/>
        <w:ind w:firstLine="420"/>
        <w:jc w:val="left"/>
        <w:textAlignment w:val="center"/>
        <w:rPr>
          <w:rFonts w:ascii="仿宋" w:hAnsi="仿宋" w:eastAsia="仿宋"/>
          <w:sz w:val="30"/>
          <w:szCs w:val="30"/>
        </w:rPr>
      </w:pPr>
      <w:r>
        <w:rPr>
          <w:rFonts w:hint="eastAsia" w:ascii="楷体_GB2312" w:hAnsi="宋体" w:eastAsia="楷体_GB2312"/>
          <w:b/>
          <w:sz w:val="32"/>
          <w:szCs w:val="32"/>
          <w:lang w:val="zh-CN"/>
        </w:rPr>
        <w:t>（一）项目完成情况。</w:t>
      </w:r>
      <w:r>
        <w:rPr>
          <w:rFonts w:hint="eastAsia" w:ascii="仿宋" w:hAnsi="仿宋" w:eastAsia="仿宋"/>
          <w:sz w:val="30"/>
          <w:szCs w:val="30"/>
        </w:rPr>
        <w:t>2021年项目实际完成旺苍县白水镇租地</w:t>
      </w:r>
      <w:r>
        <w:rPr>
          <w:rFonts w:ascii="仿宋" w:hAnsi="仿宋" w:eastAsia="仿宋"/>
          <w:sz w:val="30"/>
          <w:szCs w:val="30"/>
        </w:rPr>
        <w:t>29.55</w:t>
      </w:r>
      <w:r>
        <w:rPr>
          <w:rFonts w:hint="eastAsia" w:ascii="仿宋" w:hAnsi="仿宋" w:eastAsia="仿宋"/>
          <w:sz w:val="30"/>
          <w:szCs w:val="30"/>
        </w:rPr>
        <w:t>亩、朝天区曾家镇山峰村租地</w:t>
      </w:r>
      <w:r>
        <w:rPr>
          <w:rFonts w:ascii="仿宋" w:hAnsi="仿宋" w:eastAsia="仿宋"/>
          <w:sz w:val="30"/>
          <w:szCs w:val="30"/>
        </w:rPr>
        <w:t>4.5</w:t>
      </w:r>
      <w:r>
        <w:rPr>
          <w:rFonts w:hint="eastAsia" w:ascii="仿宋" w:hAnsi="仿宋" w:eastAsia="仿宋"/>
          <w:sz w:val="30"/>
          <w:szCs w:val="30"/>
        </w:rPr>
        <w:t>亩、海南三亚崖城崖州区租地4.27亩，资金使用6.25万元；项目用地满足科研用地基本要求，进出道路平坦，地力肥力中等偏上，排灌方便，无阴蔽；项目实施按照计划顺利实施，资金支付及时。</w:t>
      </w:r>
    </w:p>
    <w:p>
      <w:pPr>
        <w:widowControl/>
        <w:ind w:firstLine="420"/>
        <w:jc w:val="left"/>
        <w:textAlignment w:val="center"/>
        <w:rPr>
          <w:rFonts w:ascii="仿宋" w:hAnsi="仿宋" w:eastAsia="仿宋"/>
          <w:sz w:val="30"/>
          <w:szCs w:val="30"/>
        </w:rPr>
      </w:pPr>
      <w:r>
        <w:rPr>
          <w:rFonts w:hint="eastAsia" w:ascii="楷体_GB2312" w:hAnsi="宋体" w:eastAsia="楷体_GB2312"/>
          <w:b/>
          <w:sz w:val="32"/>
          <w:szCs w:val="32"/>
          <w:lang w:val="zh-CN"/>
        </w:rPr>
        <w:t>（二）项目效益情况。</w:t>
      </w:r>
    </w:p>
    <w:p>
      <w:pPr>
        <w:pStyle w:val="2"/>
        <w:ind w:left="0" w:leftChars="0" w:firstLine="600" w:firstLineChars="200"/>
        <w:rPr>
          <w:rFonts w:ascii="仿宋" w:hAnsi="仿宋" w:eastAsia="仿宋"/>
          <w:sz w:val="30"/>
          <w:szCs w:val="30"/>
        </w:rPr>
      </w:pPr>
      <w:r>
        <w:rPr>
          <w:rFonts w:hint="eastAsia" w:ascii="仿宋" w:hAnsi="仿宋" w:eastAsia="仿宋"/>
          <w:sz w:val="30"/>
          <w:szCs w:val="30"/>
        </w:rPr>
        <w:t>项目所承担的科研任务涉及新品种选育及新品系试验示范、病虫害防控、作物高产栽培、种质资源引进、收集、利用，涉及到当前在农业生产上亟待解决的重点难点问题，经济效益大。项目社会效益明显：一是通过土地流转，推进农村土地集约化经营、规模化发展进程；二是有利于加快农农业适用技术推广进程，加快了农业新品种、新技术、新材料推广，推动了现代农业发展；三是使当地农民学到了先进的生产技术和管理经验。在土地使用过程中，将严格按照国家有关规定和环保要求，具有可持续性。降低农药使用量，多采用生物防治法防治病虫害，确保了农产品质量，保护了环境；减少化肥使用量，增施有机肥，助力发展绿色农业。服务对象满意度100%。</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农业科研土地租金的投入和使用保障了我院科研工作的正常进行，2021年我院资金到位率100%，在使用中我院严格执行财务管理相关制度和农业科研土地租金项目管理办法规定，财务制度健全，管理规范，做到了专款专用，无贪污、截留、挪用现象。按照围绕专项项目支出绩效评价指标体系评分标准，我院自评得分100分。</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是租地面积难以精确掌握。主要表现在项目增减、亲本材料繁殖、育种亲本材料以及省区试、联试等品系参试数量增减，导致实际使用面积不确定。二是在租金上会出现浮动。根据项目实施地点的变化，土地租地费也会发生增减。三是出租地点不稳定。根据项目的条件和需求，存在项目实施地点发生变化。</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一是提早谋划，把工作做精做细，在用地面积上尽量缩</w:t>
      </w:r>
    </w:p>
    <w:p>
      <w:pPr>
        <w:spacing w:line="580" w:lineRule="exact"/>
        <w:rPr>
          <w:rFonts w:ascii="仿宋" w:hAnsi="仿宋" w:eastAsia="仿宋"/>
          <w:color w:val="000000"/>
          <w:sz w:val="32"/>
          <w:szCs w:val="32"/>
        </w:rPr>
      </w:pPr>
      <w:r>
        <w:rPr>
          <w:rFonts w:hint="eastAsia" w:ascii="仿宋" w:hAnsi="仿宋" w:eastAsia="仿宋"/>
          <w:color w:val="000000"/>
          <w:sz w:val="32"/>
          <w:szCs w:val="32"/>
        </w:rPr>
        <w:t>小与预算的差距。二是尽量固定科研用地地点和租金等。</w:t>
      </w:r>
    </w:p>
    <w:p/>
    <w:p>
      <w:pPr>
        <w:pStyle w:val="2"/>
        <w:ind w:left="840" w:hanging="420"/>
      </w:pPr>
    </w:p>
    <w:p>
      <w:pPr>
        <w:pStyle w:val="2"/>
        <w:ind w:left="840" w:hanging="420"/>
      </w:pPr>
    </w:p>
    <w:p>
      <w:pPr>
        <w:spacing w:line="600" w:lineRule="exact"/>
        <w:ind w:firstLine="883"/>
        <w:jc w:val="center"/>
        <w:rPr>
          <w:rFonts w:ascii="仿宋_GB2312" w:hAnsi="宋体" w:eastAsia="仿宋_GB2312"/>
          <w:sz w:val="32"/>
          <w:szCs w:val="32"/>
          <w:lang w:val="zh-CN"/>
        </w:rPr>
      </w:pPr>
    </w:p>
    <w:p>
      <w:pPr>
        <w:pStyle w:val="2"/>
        <w:rPr>
          <w:rFonts w:ascii="仿宋_GB2312" w:hAnsi="宋体" w:eastAsia="仿宋_GB2312"/>
          <w:sz w:val="32"/>
          <w:szCs w:val="32"/>
          <w:lang w:val="zh-CN"/>
        </w:rPr>
      </w:pPr>
    </w:p>
    <w:p>
      <w:pPr>
        <w:rPr>
          <w:lang w:val="zh-CN"/>
        </w:rPr>
      </w:pPr>
    </w:p>
    <w:p>
      <w:pPr>
        <w:pStyle w:val="6"/>
        <w:spacing w:before="93"/>
        <w:rPr>
          <w:rFonts w:hint="eastAsia"/>
          <w:lang w:val="zh-CN"/>
        </w:rPr>
      </w:pPr>
    </w:p>
    <w:p>
      <w:pPr>
        <w:pStyle w:val="6"/>
        <w:spacing w:before="93"/>
        <w:rPr>
          <w:lang w:val="zh-CN"/>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826"/>
        <w:gridCol w:w="316"/>
        <w:gridCol w:w="1385"/>
        <w:gridCol w:w="250"/>
        <w:gridCol w:w="884"/>
        <w:gridCol w:w="1417"/>
        <w:gridCol w:w="112"/>
        <w:gridCol w:w="2409"/>
        <w:gridCol w:w="236"/>
      </w:tblGrid>
      <w:tr>
        <w:tblPrEx>
          <w:tblCellMar>
            <w:top w:w="0" w:type="dxa"/>
            <w:left w:w="108" w:type="dxa"/>
            <w:bottom w:w="0" w:type="dxa"/>
            <w:right w:w="108" w:type="dxa"/>
          </w:tblCellMar>
        </w:tblPrEx>
        <w:trPr>
          <w:trHeight w:val="675" w:hRule="atLeast"/>
        </w:trPr>
        <w:tc>
          <w:tcPr>
            <w:tcW w:w="9575" w:type="dxa"/>
            <w:gridSpan w:val="9"/>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highlight w:val="none"/>
              </w:rPr>
            </w:pPr>
            <w:r>
              <w:rPr>
                <w:rFonts w:hint="eastAsia" w:ascii="宋体" w:hAnsi="宋体" w:cs="宋体"/>
                <w:b/>
                <w:sz w:val="32"/>
                <w:szCs w:val="32"/>
                <w:highlight w:val="none"/>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highlight w:val="none"/>
              </w:rPr>
            </w:pPr>
          </w:p>
        </w:tc>
      </w:tr>
      <w:tr>
        <w:tblPrEx>
          <w:tblCellMar>
            <w:top w:w="0" w:type="dxa"/>
            <w:left w:w="108" w:type="dxa"/>
            <w:bottom w:w="0" w:type="dxa"/>
            <w:right w:w="108" w:type="dxa"/>
          </w:tblCellMar>
        </w:tblPrEx>
        <w:trPr>
          <w:gridAfter w:val="1"/>
          <w:wAfter w:w="236" w:type="dxa"/>
          <w:trHeight w:val="254" w:hRule="atLeast"/>
        </w:trPr>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广元市农业科学研究院</w:t>
            </w:r>
          </w:p>
        </w:tc>
      </w:tr>
      <w:tr>
        <w:tblPrEx>
          <w:tblCellMar>
            <w:top w:w="0" w:type="dxa"/>
            <w:left w:w="108" w:type="dxa"/>
            <w:bottom w:w="0" w:type="dxa"/>
            <w:right w:w="108" w:type="dxa"/>
          </w:tblCellMar>
        </w:tblPrEx>
        <w:trPr>
          <w:gridAfter w:val="1"/>
          <w:wAfter w:w="236" w:type="dxa"/>
          <w:trHeight w:val="341" w:hRule="atLeast"/>
        </w:trPr>
        <w:tc>
          <w:tcPr>
            <w:tcW w:w="2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6.25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6.25</w:t>
            </w:r>
          </w:p>
        </w:tc>
      </w:tr>
      <w:tr>
        <w:tblPrEx>
          <w:tblCellMar>
            <w:top w:w="0" w:type="dxa"/>
            <w:left w:w="108" w:type="dxa"/>
            <w:bottom w:w="0" w:type="dxa"/>
            <w:right w:w="108" w:type="dxa"/>
          </w:tblCellMar>
        </w:tblPrEx>
        <w:trPr>
          <w:gridAfter w:val="1"/>
          <w:wAfter w:w="236" w:type="dxa"/>
          <w:trHeight w:val="555" w:hRule="atLeast"/>
        </w:trPr>
        <w:tc>
          <w:tcPr>
            <w:tcW w:w="2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6.25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6.25</w:t>
            </w:r>
          </w:p>
        </w:tc>
      </w:tr>
      <w:tr>
        <w:tblPrEx>
          <w:tblCellMar>
            <w:top w:w="0" w:type="dxa"/>
            <w:left w:w="108" w:type="dxa"/>
            <w:bottom w:w="0" w:type="dxa"/>
            <w:right w:w="108" w:type="dxa"/>
          </w:tblCellMar>
        </w:tblPrEx>
        <w:trPr>
          <w:gridAfter w:val="1"/>
          <w:wAfter w:w="236" w:type="dxa"/>
          <w:trHeight w:val="341" w:hRule="atLeast"/>
        </w:trPr>
        <w:tc>
          <w:tcPr>
            <w:tcW w:w="2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0</w:t>
            </w: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13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661"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center"/>
              <w:rPr>
                <w:rFonts w:ascii="宋体" w:hAnsi="宋体" w:cs="宋体"/>
                <w:sz w:val="24"/>
              </w:rPr>
            </w:pPr>
            <w:r>
              <w:rPr>
                <w:rFonts w:hint="eastAsia" w:ascii="宋体" w:hAnsi="宋体" w:cs="宋体"/>
                <w:sz w:val="24"/>
              </w:rPr>
              <w:t>旺苍县白水镇租地26亩、朝天区曾家镇山峰村租地5亩、海南三亚崖城崖州区5.4亩，合计36.4亩。</w:t>
            </w:r>
          </w:p>
        </w:tc>
        <w:tc>
          <w:tcPr>
            <w:tcW w:w="3938"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center"/>
              <w:rPr>
                <w:rFonts w:ascii="宋体" w:hAnsi="宋体" w:cs="宋体"/>
                <w:sz w:val="24"/>
              </w:rPr>
            </w:pPr>
            <w:r>
              <w:rPr>
                <w:rFonts w:hint="eastAsia" w:ascii="宋体" w:hAnsi="宋体" w:cs="宋体"/>
                <w:sz w:val="24"/>
              </w:rPr>
              <w:t>旺苍县白水镇租地29.55亩、朝天区曾家镇山峰村租地4.5亩、海南三亚崖城崖州区4.27亩，合计38.32亩。</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租地地点及面积</w:t>
            </w:r>
          </w:p>
          <w:p>
            <w:pPr>
              <w:widowControl/>
              <w:spacing w:line="320" w:lineRule="exact"/>
              <w:jc w:val="center"/>
              <w:textAlignment w:val="bottom"/>
              <w:rPr>
                <w:rFonts w:ascii="仿宋_GB2312" w:hAnsi="仿宋_GB2312" w:eastAsia="仿宋_GB2312" w:cs="仿宋_GB2312"/>
                <w:sz w:val="28"/>
                <w:szCs w:val="28"/>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sz w:val="20"/>
                <w:szCs w:val="20"/>
              </w:rPr>
            </w:pPr>
            <w:r>
              <w:rPr>
                <w:rFonts w:hint="eastAsia"/>
                <w:sz w:val="20"/>
                <w:szCs w:val="20"/>
              </w:rPr>
              <w:t>1..旺苍县白水镇租地26亩</w:t>
            </w:r>
          </w:p>
          <w:p>
            <w:pPr>
              <w:widowControl/>
              <w:spacing w:line="320" w:lineRule="exact"/>
              <w:jc w:val="center"/>
              <w:textAlignment w:val="bottom"/>
              <w:rPr>
                <w:rFonts w:hint="eastAsia"/>
                <w:sz w:val="20"/>
                <w:szCs w:val="20"/>
              </w:rPr>
            </w:pPr>
            <w:r>
              <w:rPr>
                <w:rFonts w:hint="eastAsia"/>
                <w:sz w:val="20"/>
                <w:szCs w:val="20"/>
              </w:rPr>
              <w:t>2.朝天区曾家镇山峰村租地5亩</w:t>
            </w:r>
          </w:p>
          <w:p>
            <w:pPr>
              <w:widowControl/>
              <w:spacing w:line="320" w:lineRule="exact"/>
              <w:jc w:val="center"/>
              <w:textAlignment w:val="bottom"/>
              <w:rPr>
                <w:rFonts w:hint="eastAsia"/>
                <w:sz w:val="20"/>
                <w:szCs w:val="20"/>
              </w:rPr>
            </w:pPr>
            <w:r>
              <w:rPr>
                <w:rFonts w:hint="eastAsia"/>
                <w:sz w:val="20"/>
                <w:szCs w:val="20"/>
              </w:rPr>
              <w:t>3.海南三亚崖城崖州区5.4亩</w:t>
            </w:r>
          </w:p>
          <w:p>
            <w:pPr>
              <w:pStyle w:val="2"/>
              <w:ind w:left="397" w:leftChars="94" w:firstLineChars="0"/>
              <w:jc w:val="center"/>
            </w:pPr>
            <w:r>
              <w:rPr>
                <w:rFonts w:hint="eastAsia" w:ascii="宋体" w:hAnsi="宋体" w:cs="宋体"/>
                <w:sz w:val="24"/>
              </w:rPr>
              <w:t>合计36.4亩。100%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旺苍县白水镇租地29.55亩、朝天区曾家镇山峰村租地4.5亩、海南三亚崖城崖州区4.27亩，合计38.32亩。105%</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适用于科研用地基本要求</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2021年1月至12月</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租金控制在申报范围内</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涉及农业科研各方面,农民增加收入</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解决困扰农业产业发展的重点、难点问题</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按国家有关环保要求执行</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农业科研一项利国利民的民生工程，具有长期性和可持续性</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行政主管单位及租用土地农户</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≧95%</w:t>
            </w:r>
          </w:p>
          <w:p>
            <w:pPr>
              <w:widowControl/>
              <w:spacing w:line="320" w:lineRule="exact"/>
              <w:jc w:val="center"/>
              <w:textAlignment w:val="bottom"/>
              <w:rPr>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100%</w:t>
            </w:r>
          </w:p>
        </w:tc>
      </w:tr>
    </w:tbl>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附件</w:t>
      </w:r>
    </w:p>
    <w:p>
      <w:pPr>
        <w:pStyle w:val="6"/>
        <w:ind w:firstLine="1200" w:firstLineChars="300"/>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pStyle w:val="6"/>
        <w:jc w:val="center"/>
        <w:rPr>
          <w:rFonts w:hint="eastAsia" w:hAnsi="宋体" w:cs="宋体"/>
          <w:color w:val="auto"/>
          <w:kern w:val="0"/>
          <w:sz w:val="32"/>
          <w:szCs w:val="32"/>
          <w:highlight w:val="none"/>
          <w:shd w:val="clear" w:color="auto" w:fill="FFFFFF"/>
          <w:lang w:val="zh-CN" w:eastAsia="zh-CN"/>
        </w:rPr>
      </w:pPr>
      <w:r>
        <w:rPr>
          <w:rFonts w:hint="eastAsia" w:hAnsi="宋体" w:cs="宋体"/>
          <w:color w:val="auto"/>
          <w:kern w:val="0"/>
          <w:sz w:val="32"/>
          <w:szCs w:val="32"/>
          <w:highlight w:val="none"/>
          <w:shd w:val="clear" w:color="auto" w:fill="FFFFFF"/>
          <w:lang w:val="zh-CN" w:eastAsia="zh-CN"/>
        </w:rPr>
        <w:t>（</w:t>
      </w:r>
      <w:r>
        <w:rPr>
          <w:rFonts w:hint="eastAsia" w:hAnsi="宋体" w:cs="宋体"/>
          <w:color w:val="auto"/>
          <w:kern w:val="0"/>
          <w:sz w:val="32"/>
          <w:szCs w:val="32"/>
          <w:highlight w:val="none"/>
          <w:shd w:val="clear" w:color="auto" w:fill="FFFFFF"/>
          <w:lang w:val="zh-CN"/>
        </w:rPr>
        <w:t>凉山州马铃薯新品种引进试验示范项目</w:t>
      </w:r>
      <w:r>
        <w:rPr>
          <w:rFonts w:hint="eastAsia" w:hAnsi="宋体" w:cs="宋体"/>
          <w:color w:val="auto"/>
          <w:kern w:val="0"/>
          <w:sz w:val="32"/>
          <w:szCs w:val="32"/>
          <w:highlight w:val="none"/>
          <w:shd w:val="clear" w:color="auto" w:fill="FFFFFF"/>
          <w:lang w:val="zh-CN" w:eastAsia="zh-CN"/>
        </w:rPr>
        <w:t>）</w:t>
      </w:r>
    </w:p>
    <w:p>
      <w:pPr>
        <w:spacing w:line="600" w:lineRule="exact"/>
        <w:ind w:firstLine="640" w:firstLineChars="200"/>
        <w:rPr>
          <w:rFonts w:ascii="黑体" w:hAnsi="宋体" w:eastAsia="黑体"/>
          <w:sz w:val="32"/>
          <w:szCs w:val="32"/>
        </w:rPr>
      </w:pPr>
      <w:r>
        <w:rPr>
          <w:rFonts w:hint="eastAsia" w:ascii="黑体" w:hAnsi="黑体" w:eastAsia="黑体" w:cs="黑体"/>
          <w:color w:val="000000"/>
          <w:kern w:val="0"/>
          <w:sz w:val="32"/>
          <w:szCs w:val="32"/>
          <w:lang w:val="zh-CN"/>
        </w:rPr>
        <w:t>一、</w:t>
      </w:r>
      <w:r>
        <w:rPr>
          <w:rFonts w:hint="eastAsia" w:ascii="黑体" w:hAnsi="宋体" w:eastAsia="黑体"/>
          <w:sz w:val="32"/>
          <w:szCs w:val="32"/>
        </w:rPr>
        <w:t>项目概况</w:t>
      </w:r>
    </w:p>
    <w:p>
      <w:pPr>
        <w:adjustRightInd w:val="0"/>
        <w:snapToGrid w:val="0"/>
        <w:spacing w:line="600" w:lineRule="exact"/>
        <w:ind w:firstLine="472" w:firstLineChars="147"/>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1、说明项目主管部门在该项目管理中的职能。</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本项目由广元市农科院根据科研发展的需要，结合现有条件设置，其职能是针对凉山州马铃薯新品种引进试验示范项目进行综合评估和评价。</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2、项目立项、资金申报的依据。</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凉山州是我省马铃薯主产区，总产量及面积均居全省第一。2020年原市委书记王菲要求农业部门引进凉山州种植马铃薯品种在我市开展试验示范种植，市农业农村局将此项引种任务下达我院组织实施。</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3、资金管理办法制定情况，资金支持具体项目的条件、范围与支持方式概况。</w:t>
      </w:r>
    </w:p>
    <w:p>
      <w:pPr>
        <w:spacing w:line="600" w:lineRule="exact"/>
        <w:ind w:firstLine="600" w:firstLineChars="200"/>
        <w:jc w:val="left"/>
        <w:rPr>
          <w:rFonts w:ascii="仿宋" w:hAnsi="仿宋" w:eastAsia="仿宋"/>
          <w:sz w:val="30"/>
          <w:szCs w:val="30"/>
        </w:rPr>
      </w:pPr>
      <w:r>
        <w:rPr>
          <w:rFonts w:hint="eastAsia" w:ascii="仿宋" w:hAnsi="仿宋" w:eastAsia="仿宋"/>
          <w:sz w:val="30"/>
          <w:szCs w:val="30"/>
        </w:rPr>
        <w:t>为做到项目资金的专款专用，我院制定项目财务管理制度，进行分级管理：即科研所要提前制定工作目标，根据实施内容开具发票报账，再由分管院长、财务负责人和院长审批才可打卡报账。其支持具体条件是凉山州马铃薯新品种引进试验示范项目费用。</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4、资金分配的原则及考虑因素。</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一是重点发展原则：结合当前农业科研的重点发展方向和需求，优先考虑引进品种、租地面积和费用。二是根据项目合理安排，避免重复原则，在项目衔接上合理安排，提高土地利用率，避免浪费。三是规范管理，专款专用原则。专项资金应当纳入院财务统一管理，单独核算，确保专款专用。</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1、项目主要内容。</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项目主要内容是马铃薯新品种试验示范，马铃薯亲本筛选、鉴定、评价和利用，开展技术指导和培训。</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2、项目应实现的具体绩效目标，包括目标的量化、细化情况以及项目实施进度计划等。</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绩效考核目标：一是引进凉山州种植的马铃薯优良品种3-5个，试验示范面积100亩；二是引进马铃薯亲本材料20-30个，配制杂交组合20个以上，1000个花序（朵）以上；三是邀请2-3名凉山州国家马铃薯体系、四川马铃薯创新团队栽培、育种专家来我市开展技术指导和技术培训；四是筛选出优质、高产、抗病、适应性等性状，有2项以上优于本地的马铃薯品种；五是筛选出淀粉含量高，抗性好、亲和力强的优良材料。项目计划2021年2-11月完成试验考察记载，并写出试验总结；2021年2-11月完成亲本材料考察记载，组合配制、评价、并作出阶段性总结。</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3、分析评价申报内容是否与实际相符，申报目标是否合理可行。</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本项目开展研究的具体内容与项目申报的内容是紧密关联的。完成目标也与申报目标相符，证明项目设计是合理的可行的，达到了项目申报的预期目标。</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ind w:firstLine="600" w:firstLineChars="200"/>
        <w:rPr>
          <w:rFonts w:ascii="仿宋" w:hAnsi="仿宋" w:eastAsia="仿宋"/>
          <w:sz w:val="30"/>
          <w:szCs w:val="30"/>
        </w:rPr>
      </w:pPr>
      <w:r>
        <w:rPr>
          <w:rFonts w:hint="eastAsia" w:ascii="仿宋" w:hAnsi="仿宋" w:eastAsia="仿宋"/>
          <w:sz w:val="30"/>
          <w:szCs w:val="30"/>
        </w:rPr>
        <w:t>本项目采取自评方式，成立项目自评小组，结合评价内容，按照评价绩效指标体系，自评小组对完成指标、效益指标、满意度指标做出自我评价。</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2021年度凉山州马铃薯新品种引进试验示范项目预算资金3万元，资金及时批复到位。</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 w:hAnsi="仿宋" w:eastAsia="仿宋"/>
          <w:sz w:val="30"/>
          <w:szCs w:val="30"/>
        </w:rPr>
        <w:t>项目预算3万元，其中财政资金3万元，其他资金0万元。项目预算新品种试验示范费用0.8万元，马铃薯亲本材料筛选、鉴定、评价和利用完成费用0.85万元，专家指导培训费用1.35万元。</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sz w:val="30"/>
          <w:szCs w:val="30"/>
        </w:rPr>
        <w:t>截止2021年12月，所有计划资金全部到位，共计3万元，到位率100%，到位及时。</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sz w:val="30"/>
          <w:szCs w:val="30"/>
        </w:rPr>
        <w:t>截止2021年12月底，项目实际完成马铃薯亲本材料筛选、鉴定、评价和利用等各项费用2.494万元，专家指导培训费用0.45万元，其他费用0.056万元，总计3万元。资金支付范围、支付依据与项目紧密相关，支付标准合规合法。</w:t>
      </w:r>
    </w:p>
    <w:p>
      <w:pPr>
        <w:adjustRightInd w:val="0"/>
        <w:snapToGrid w:val="0"/>
        <w:spacing w:line="600" w:lineRule="exact"/>
        <w:ind w:firstLine="636" w:firstLineChars="198"/>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项目实施单位财务管理制度健全，严格执行财务管理制度，由各所年初拟定资金使用计划，严格按照项目资金管理办法对资金进行计划申请、划拨、使用，及时、规范进行账务处理和会计核算。</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（一）项目组织架构及实施流程。</w:t>
      </w:r>
      <w:r>
        <w:rPr>
          <w:rFonts w:hint="eastAsia" w:ascii="仿宋" w:hAnsi="仿宋" w:eastAsia="仿宋"/>
          <w:sz w:val="30"/>
          <w:szCs w:val="30"/>
        </w:rPr>
        <w:t>我院高度重视项目实施工作，成立了项目领导小组，对项目实施工作进行了分工，由分管领导负总责，具体由蔬菜所负责组织实施。</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（二）项目管理情况。</w:t>
      </w:r>
      <w:r>
        <w:rPr>
          <w:rFonts w:hint="eastAsia" w:ascii="仿宋" w:hAnsi="仿宋" w:eastAsia="仿宋"/>
          <w:sz w:val="30"/>
          <w:szCs w:val="30"/>
        </w:rPr>
        <w:t>本项目采取项目领导小组负责制，全体成员积极配合、通力合作。项目工作领导小组负责协调相关工作，项目实施及资金管理，项目实施严格执行相关法律法规及项目管理制度。</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（三）项目监管情况。</w:t>
      </w:r>
      <w:r>
        <w:rPr>
          <w:rFonts w:hint="eastAsia" w:ascii="仿宋" w:hAnsi="仿宋" w:eastAsia="仿宋"/>
          <w:sz w:val="30"/>
          <w:szCs w:val="30"/>
        </w:rPr>
        <w:t>项目资金由农科院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pPr>
        <w:pStyle w:val="2"/>
        <w:ind w:left="273" w:leftChars="130" w:firstLine="320" w:firstLineChars="100"/>
        <w:rPr>
          <w:rFonts w:ascii="黑体" w:hAnsi="宋体" w:eastAsia="黑体"/>
          <w:sz w:val="32"/>
          <w:szCs w:val="32"/>
        </w:rPr>
      </w:pPr>
      <w:r>
        <w:rPr>
          <w:rFonts w:hint="eastAsia" w:ascii="黑体" w:hAnsi="宋体" w:eastAsia="黑体"/>
          <w:sz w:val="32"/>
          <w:szCs w:val="32"/>
        </w:rPr>
        <w:t>四、项目绩效情况</w:t>
      </w:r>
    </w:p>
    <w:p>
      <w:pPr>
        <w:widowControl/>
        <w:ind w:firstLine="420"/>
        <w:jc w:val="left"/>
        <w:textAlignment w:val="center"/>
        <w:rPr>
          <w:rFonts w:ascii="仿宋" w:hAnsi="仿宋" w:eastAsia="仿宋"/>
          <w:sz w:val="30"/>
          <w:szCs w:val="30"/>
        </w:rPr>
      </w:pPr>
      <w:r>
        <w:rPr>
          <w:rFonts w:hint="eastAsia" w:ascii="楷体_GB2312" w:hAnsi="宋体" w:eastAsia="楷体_GB2312"/>
          <w:b/>
          <w:sz w:val="32"/>
          <w:szCs w:val="32"/>
          <w:lang w:val="zh-CN"/>
        </w:rPr>
        <w:t>（一）项目完成情况。</w:t>
      </w:r>
      <w:r>
        <w:rPr>
          <w:rFonts w:hint="eastAsia" w:ascii="仿宋" w:hAnsi="仿宋" w:eastAsia="仿宋"/>
          <w:sz w:val="30"/>
          <w:szCs w:val="30"/>
        </w:rPr>
        <w:t>2021年项目实际完成引进马铃薯新品种5个，集中开展示范50亩，分发到当地业主种植面积50亩，合计100亩；在西昌学院引进亲本材料42个，配制杂交组合22个，1500个花（朵）以上；邀请凉山州农科院国家马铃薯体系、四川马铃薯创新团队专家2人来广元马铃薯种植基地现场指导培训一次；筛选出优质、高产、抗病、适应性强的品种3个；完成了品系抗性、亲本杂交亲和力组合测试，其抗性稳定性、其他突出表现和有关品质检测将在下一年进行。项目实施按照计划顺利实施，资金支付及时。</w:t>
      </w:r>
    </w:p>
    <w:p>
      <w:pPr>
        <w:widowControl/>
        <w:ind w:firstLine="420"/>
        <w:jc w:val="left"/>
        <w:textAlignment w:val="center"/>
        <w:rPr>
          <w:rFonts w:ascii="仿宋" w:hAnsi="仿宋" w:eastAsia="仿宋"/>
          <w:sz w:val="30"/>
          <w:szCs w:val="30"/>
        </w:rPr>
      </w:pPr>
      <w:r>
        <w:rPr>
          <w:rFonts w:hint="eastAsia" w:ascii="楷体_GB2312" w:hAnsi="宋体" w:eastAsia="楷体_GB2312"/>
          <w:b/>
          <w:sz w:val="32"/>
          <w:szCs w:val="32"/>
          <w:lang w:val="zh-CN"/>
        </w:rPr>
        <w:t>（二）项目效益情况。</w:t>
      </w:r>
    </w:p>
    <w:p>
      <w:pPr>
        <w:pStyle w:val="2"/>
        <w:ind w:left="0" w:leftChars="0" w:firstLine="600" w:firstLineChars="200"/>
        <w:rPr>
          <w:rFonts w:ascii="仿宋" w:hAnsi="仿宋" w:eastAsia="仿宋"/>
          <w:sz w:val="30"/>
          <w:szCs w:val="30"/>
        </w:rPr>
      </w:pPr>
      <w:r>
        <w:rPr>
          <w:rFonts w:hint="eastAsia" w:ascii="仿宋" w:hAnsi="仿宋" w:eastAsia="仿宋"/>
          <w:sz w:val="30"/>
          <w:szCs w:val="30"/>
        </w:rPr>
        <w:t>项目所承担的科研任务效益好。一是筛选出了比当地大面积种植品种增产的有3个品种，最高平均增产18.4%，最低增产4.1%，三个品种平均亩增产10.1%，增产增收效益明显。二是开展鉴定亲本材料42份，开展了抗性、生育期以及各形态特性的观察记载，并对其中22个品系开展了杂交组合配制。三是筛选的马铃薯新品种，具有适应性好，抗逆性强，抗病性好，也为农民在生产过程中减少劳动力和农资产品的使用，降低了资源消耗，适应低碳高效的现代农业发展趋势，实现科技扶贫与产业扶贫相结合。四是马铃薯种植地多大处在比较贫瘠山区，它具有产量高（一般亩产1500公斤以上）、用途广（亦菜亦粮）等特点，特别国家把马铃薯纳入主粮化推广战略，对我国粮食安全起着重要的作用。五是通过对种质资源和育种材料的创新，筛选、评价与利用，将会选育出更多，更加优良种质资源和育种材料，具有可持续性。服务对象满意度100%。</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凉山州马铃薯新品种引进试验示范项目资金的投入和使用保障了我院科研工作的正常进行，2021年我院资金到位率100%，在使用中我院严格执行财务管理相关制度和项目管理办法规定，财务制度健全，管理规范，做到了专款专用，无贪污、截留、挪用现象。按照围绕专项项目支出绩效评价指标体系评分标准，我院自评得分95分。</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是在项目实施过程中对生产资料、劳务费、引种费无法精确掌握。二是未完成专家指导培训费用，原计划在马铃薯播种期、开花期、薯块膨大期等主要节点共9人次来我地培训指导，但由于新冠病毒疫情原因，为减小病毒传播风险，经请示有关领导，并与专家沟通，故在马铃薯病虫害高发期邀请了邀请凉山州农科院国家马铃薯体系、四川马铃薯创新团队专家2人来广元马铃薯种植基地现场指导培训一次。三是因本项目承担单位为朝天区农业农村局，该单位将本项目新品种试验示范费用纳入了今年四川省马铃薯高产创建项目预算，故预算费用与实际支出费用有一定变动，但均与本项目紧密相关。</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 w:hAnsi="仿宋" w:eastAsia="仿宋"/>
          <w:color w:val="000000"/>
          <w:sz w:val="32"/>
          <w:szCs w:val="32"/>
        </w:rPr>
        <w:t>持续加强对马铃薯新品种引进示范和选育工作的支持，助力我市马铃薯产业持续健康发展。</w:t>
      </w:r>
    </w:p>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826"/>
        <w:gridCol w:w="316"/>
        <w:gridCol w:w="1385"/>
        <w:gridCol w:w="250"/>
        <w:gridCol w:w="884"/>
        <w:gridCol w:w="1417"/>
        <w:gridCol w:w="112"/>
        <w:gridCol w:w="2409"/>
        <w:gridCol w:w="236"/>
      </w:tblGrid>
      <w:tr>
        <w:tblPrEx>
          <w:tblCellMar>
            <w:top w:w="0" w:type="dxa"/>
            <w:left w:w="108" w:type="dxa"/>
            <w:bottom w:w="0" w:type="dxa"/>
            <w:right w:w="108" w:type="dxa"/>
          </w:tblCellMar>
        </w:tblPrEx>
        <w:trPr>
          <w:trHeight w:val="675" w:hRule="atLeast"/>
        </w:trPr>
        <w:tc>
          <w:tcPr>
            <w:tcW w:w="9575" w:type="dxa"/>
            <w:gridSpan w:val="9"/>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highlight w:val="none"/>
              </w:rPr>
            </w:pPr>
            <w:r>
              <w:rPr>
                <w:rFonts w:hint="eastAsia" w:ascii="宋体" w:hAnsi="宋体" w:cs="宋体"/>
                <w:b/>
                <w:sz w:val="32"/>
                <w:szCs w:val="32"/>
                <w:highlight w:val="none"/>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highlight w:val="none"/>
              </w:rPr>
            </w:pPr>
          </w:p>
        </w:tc>
      </w:tr>
      <w:tr>
        <w:tblPrEx>
          <w:tblCellMar>
            <w:top w:w="0" w:type="dxa"/>
            <w:left w:w="108" w:type="dxa"/>
            <w:bottom w:w="0" w:type="dxa"/>
            <w:right w:w="108" w:type="dxa"/>
          </w:tblCellMar>
        </w:tblPrEx>
        <w:trPr>
          <w:gridAfter w:val="1"/>
          <w:wAfter w:w="236" w:type="dxa"/>
          <w:trHeight w:val="254" w:hRule="atLeast"/>
        </w:trPr>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广元市农业科学研究院</w:t>
            </w:r>
          </w:p>
        </w:tc>
      </w:tr>
      <w:tr>
        <w:tblPrEx>
          <w:tblCellMar>
            <w:top w:w="0" w:type="dxa"/>
            <w:left w:w="108" w:type="dxa"/>
            <w:bottom w:w="0" w:type="dxa"/>
            <w:right w:w="108" w:type="dxa"/>
          </w:tblCellMar>
        </w:tblPrEx>
        <w:trPr>
          <w:gridAfter w:val="1"/>
          <w:wAfter w:w="236" w:type="dxa"/>
          <w:trHeight w:val="341" w:hRule="atLeast"/>
        </w:trPr>
        <w:tc>
          <w:tcPr>
            <w:tcW w:w="2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3</w:t>
            </w:r>
          </w:p>
        </w:tc>
      </w:tr>
      <w:tr>
        <w:tblPrEx>
          <w:tblCellMar>
            <w:top w:w="0" w:type="dxa"/>
            <w:left w:w="108" w:type="dxa"/>
            <w:bottom w:w="0" w:type="dxa"/>
            <w:right w:w="108" w:type="dxa"/>
          </w:tblCellMar>
        </w:tblPrEx>
        <w:trPr>
          <w:gridAfter w:val="1"/>
          <w:wAfter w:w="236" w:type="dxa"/>
          <w:trHeight w:val="555" w:hRule="atLeast"/>
        </w:trPr>
        <w:tc>
          <w:tcPr>
            <w:tcW w:w="2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3</w:t>
            </w:r>
          </w:p>
        </w:tc>
      </w:tr>
      <w:tr>
        <w:tblPrEx>
          <w:tblCellMar>
            <w:top w:w="0" w:type="dxa"/>
            <w:left w:w="108" w:type="dxa"/>
            <w:bottom w:w="0" w:type="dxa"/>
            <w:right w:w="108" w:type="dxa"/>
          </w:tblCellMar>
        </w:tblPrEx>
        <w:trPr>
          <w:gridAfter w:val="1"/>
          <w:wAfter w:w="236" w:type="dxa"/>
          <w:trHeight w:val="341" w:hRule="atLeast"/>
        </w:trPr>
        <w:tc>
          <w:tcPr>
            <w:tcW w:w="2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0</w:t>
            </w: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13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661"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center"/>
              <w:rPr>
                <w:rFonts w:ascii="宋体" w:hAnsi="宋体" w:cs="宋体"/>
                <w:sz w:val="24"/>
              </w:rPr>
            </w:pPr>
            <w:r>
              <w:rPr>
                <w:rFonts w:hint="eastAsia" w:ascii="宋体" w:hAnsi="宋体" w:cs="宋体"/>
                <w:sz w:val="24"/>
              </w:rPr>
              <w:t xml:space="preserve">1、引进凉山州种植的马铃薯新品种3-5个，在我市北部山区开展适应性试验示范，在质优、高产、抗病、适应性广等方面，筛选出具有2项以上优于本地马铃薯品种，面积共计100亩。 </w:t>
            </w:r>
          </w:p>
          <w:p>
            <w:pPr>
              <w:widowControl/>
              <w:spacing w:line="320" w:lineRule="exact"/>
              <w:jc w:val="left"/>
              <w:textAlignment w:val="center"/>
              <w:rPr>
                <w:rFonts w:ascii="宋体" w:hAnsi="宋体" w:cs="宋体"/>
                <w:sz w:val="24"/>
              </w:rPr>
            </w:pPr>
            <w:r>
              <w:rPr>
                <w:rFonts w:hint="eastAsia" w:ascii="宋体" w:hAnsi="宋体" w:cs="宋体"/>
                <w:sz w:val="24"/>
              </w:rPr>
              <w:t>2、对引进凉山州优质马铃薯种质资源和育种材料20-30个，进行进一步鉴定、筛选和评价利用工作。</w:t>
            </w:r>
          </w:p>
          <w:p>
            <w:pPr>
              <w:widowControl/>
              <w:spacing w:line="320" w:lineRule="exact"/>
              <w:jc w:val="left"/>
              <w:textAlignment w:val="center"/>
              <w:rPr>
                <w:rFonts w:ascii="宋体" w:hAnsi="宋体" w:cs="宋体"/>
                <w:sz w:val="24"/>
              </w:rPr>
            </w:pPr>
            <w:r>
              <w:rPr>
                <w:rFonts w:hint="eastAsia" w:ascii="宋体" w:hAnsi="宋体" w:cs="宋体"/>
                <w:sz w:val="24"/>
              </w:rPr>
              <w:t xml:space="preserve">3、针对性配制杂交组合20个以上，1000个花序（朵）以上。 </w:t>
            </w:r>
          </w:p>
          <w:p>
            <w:pPr>
              <w:widowControl/>
              <w:spacing w:line="320" w:lineRule="exact"/>
              <w:jc w:val="left"/>
              <w:textAlignment w:val="center"/>
              <w:rPr>
                <w:rFonts w:ascii="宋体" w:hAnsi="宋体" w:cs="宋体"/>
                <w:sz w:val="24"/>
              </w:rPr>
            </w:pPr>
            <w:r>
              <w:rPr>
                <w:rFonts w:hint="eastAsia" w:ascii="宋体" w:hAnsi="宋体" w:cs="宋体"/>
                <w:sz w:val="24"/>
              </w:rPr>
              <w:t>4、邀请凉山州国家马铃薯体系、四川马铃薯创新团队栽培、育种专家来我市开展技术指导和技术培训</w:t>
            </w:r>
          </w:p>
        </w:tc>
        <w:tc>
          <w:tcPr>
            <w:tcW w:w="3938"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center"/>
              <w:rPr>
                <w:rFonts w:ascii="宋体" w:hAnsi="宋体" w:cs="宋体"/>
                <w:sz w:val="24"/>
              </w:rPr>
            </w:pPr>
            <w:r>
              <w:rPr>
                <w:rFonts w:hint="eastAsia" w:ascii="宋体" w:hAnsi="宋体" w:cs="宋体"/>
                <w:sz w:val="24"/>
              </w:rPr>
              <w:t xml:space="preserve">1、引进凉山州种植的马铃薯新品种5个，在我市北部山区开展适应性试验示范，在质优、高产、抗病、适应性广等方面，筛选出具有2项以上优于本地马铃薯品种，面积共计100亩。 </w:t>
            </w:r>
          </w:p>
          <w:p>
            <w:pPr>
              <w:widowControl/>
              <w:spacing w:line="320" w:lineRule="exact"/>
              <w:jc w:val="left"/>
              <w:textAlignment w:val="center"/>
              <w:rPr>
                <w:rFonts w:ascii="宋体" w:hAnsi="宋体" w:cs="宋体"/>
                <w:sz w:val="24"/>
              </w:rPr>
            </w:pPr>
            <w:r>
              <w:rPr>
                <w:rFonts w:hint="eastAsia" w:ascii="宋体" w:hAnsi="宋体" w:cs="宋体"/>
                <w:sz w:val="24"/>
              </w:rPr>
              <w:t>2、对引进凉山州优质马铃薯种质资源和育种材料42个，进行进一步鉴定、筛选和评价利用工作,超计划40%。</w:t>
            </w:r>
          </w:p>
          <w:p>
            <w:pPr>
              <w:widowControl/>
              <w:spacing w:line="320" w:lineRule="exact"/>
              <w:jc w:val="left"/>
              <w:textAlignment w:val="center"/>
              <w:rPr>
                <w:rFonts w:ascii="宋体" w:hAnsi="宋体" w:cs="宋体"/>
                <w:sz w:val="24"/>
              </w:rPr>
            </w:pPr>
            <w:r>
              <w:rPr>
                <w:rFonts w:hint="eastAsia" w:ascii="宋体" w:hAnsi="宋体" w:cs="宋体"/>
                <w:sz w:val="24"/>
              </w:rPr>
              <w:t xml:space="preserve">3、配制杂交组合22个，1500个花序（朵）以上。 </w:t>
            </w:r>
          </w:p>
          <w:p>
            <w:pPr>
              <w:widowControl/>
              <w:spacing w:line="320" w:lineRule="exact"/>
              <w:jc w:val="left"/>
              <w:textAlignment w:val="center"/>
              <w:rPr>
                <w:rFonts w:ascii="宋体" w:hAnsi="宋体" w:cs="宋体"/>
                <w:sz w:val="24"/>
              </w:rPr>
            </w:pPr>
            <w:r>
              <w:rPr>
                <w:rFonts w:hint="eastAsia" w:ascii="宋体" w:hAnsi="宋体" w:cs="宋体"/>
                <w:sz w:val="24"/>
              </w:rPr>
              <w:t xml:space="preserve">4、邀请凉山州国家马铃薯体系、四川马铃薯创新团队栽培、育种专家2人，来我市开展技术指导和技术培训1次。 </w:t>
            </w:r>
          </w:p>
          <w:p>
            <w:pPr>
              <w:widowControl/>
              <w:spacing w:line="320" w:lineRule="exact"/>
              <w:jc w:val="left"/>
              <w:textAlignment w:val="center"/>
              <w:rPr>
                <w:rFonts w:ascii="宋体" w:hAnsi="宋体" w:cs="宋体"/>
                <w:sz w:val="24"/>
              </w:rPr>
            </w:pPr>
            <w:r>
              <w:rPr>
                <w:rFonts w:hint="eastAsia" w:ascii="宋体" w:hAnsi="宋体" w:cs="宋体"/>
                <w:sz w:val="24"/>
              </w:rPr>
              <w:t>5、筛选适合我地种植马铃薯品种3个。</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马铃薯新品种试验示范;马铃薯亲本筛选、鉴定、评价和利用;开展技术指导和培训</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4"/>
              </w:rPr>
            </w:pPr>
            <w:r>
              <w:rPr>
                <w:rFonts w:hint="eastAsia"/>
              </w:rPr>
              <w:t>引进凉山州种植的马铃薯优良品种3-5个，试验示范面积100亩; 引进马铃薯亲本材料20-30个，配制杂交组合20个以上，1000个花序（朵）以上; 邀请2-3名凉山州国家马铃薯体系、四川马铃薯创新团队栽培、育种专家来我市开展技术指导和技术培训。100%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4"/>
              </w:rPr>
            </w:pPr>
            <w:r>
              <w:rPr>
                <w:rFonts w:hint="eastAsia"/>
              </w:rPr>
              <w:t>引进马铃薯新品种5个，集中开展示范50亩，分发到当地业主种植面积50亩，合计100亩; 引进亲本材料42个，超计划40%。配制杂交组合22个，1500个花（朵）以上; 邀请凉山州农科院国家马铃薯体系、四川马铃薯创新团队专家2人来广元马铃薯种植基地现场培训一次。150%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筛选出适合我市种植的马铃薯品种；筛选优良亲本材料</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2021年2月至11月完成新品种试验示范；完成马铃薯亲本材料筛选、鉴定、评价</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新品种试验示范费用；马铃薯亲本材料筛选、鉴定、评价和利用费用；专家指导培训费用控制在申报范围内</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试验示范至少有2个品种优于本地品种；进一步充实马铃薯亲本材数量，提高杂交组合配制质量</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加快马铃薯新品种更新步伐</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减少用药，减轻土地污染</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农业科研一项利国利民的民生工程，具有长期性和可持续性</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sz w:val="20"/>
                <w:szCs w:val="20"/>
              </w:rPr>
            </w:pPr>
            <w:r>
              <w:rPr>
                <w:rFonts w:hint="eastAsia"/>
                <w:sz w:val="20"/>
                <w:szCs w:val="20"/>
              </w:rPr>
              <w:t>行政主管单位及项目实施业主</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≧95%</w:t>
            </w:r>
          </w:p>
          <w:p>
            <w:pPr>
              <w:widowControl/>
              <w:spacing w:line="320" w:lineRule="exact"/>
              <w:jc w:val="center"/>
              <w:textAlignment w:val="bottom"/>
              <w:rPr>
                <w:sz w:val="20"/>
                <w:szCs w:val="20"/>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sz w:val="20"/>
                <w:szCs w:val="20"/>
              </w:rPr>
              <w:t>100%</w:t>
            </w:r>
          </w:p>
        </w:tc>
      </w:tr>
    </w:tbl>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附件</w:t>
      </w:r>
    </w:p>
    <w:p>
      <w:pPr>
        <w:pStyle w:val="6"/>
        <w:ind w:firstLine="1200" w:firstLineChars="300"/>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pStyle w:val="31"/>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color w:val="auto"/>
          <w:kern w:val="2"/>
          <w:sz w:val="30"/>
          <w:szCs w:val="30"/>
          <w:lang w:val="zh-CN" w:eastAsia="zh-CN" w:bidi="ar-SA"/>
        </w:rPr>
      </w:pPr>
      <w:r>
        <w:rPr>
          <w:rFonts w:hint="eastAsia" w:ascii="仿宋" w:hAnsi="仿宋" w:eastAsia="仿宋" w:cs="Times New Roman"/>
          <w:color w:val="auto"/>
          <w:kern w:val="2"/>
          <w:sz w:val="30"/>
          <w:szCs w:val="30"/>
          <w:lang w:val="zh-CN" w:eastAsia="zh-CN" w:bidi="ar-SA"/>
        </w:rPr>
        <w:t>（</w:t>
      </w:r>
      <w:r>
        <w:rPr>
          <w:rFonts w:hint="eastAsia" w:ascii="仿宋" w:hAnsi="仿宋" w:eastAsia="仿宋" w:cs="Times New Roman"/>
          <w:color w:val="auto"/>
          <w:kern w:val="2"/>
          <w:sz w:val="30"/>
          <w:szCs w:val="30"/>
          <w:lang w:val="en-US" w:eastAsia="zh-CN" w:bidi="ar-SA"/>
        </w:rPr>
        <w:t>脱贫攻坚</w:t>
      </w:r>
      <w:r>
        <w:rPr>
          <w:rFonts w:hint="eastAsia" w:ascii="仿宋" w:hAnsi="仿宋" w:eastAsia="仿宋" w:cs="Times New Roman"/>
          <w:color w:val="auto"/>
          <w:kern w:val="2"/>
          <w:sz w:val="30"/>
          <w:szCs w:val="30"/>
          <w:lang w:val="zh-CN" w:eastAsia="zh-CN" w:bidi="ar-SA"/>
        </w:rPr>
        <w:t>项目）</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eastAsia" w:ascii="仿宋_GB2312" w:hAnsi="宋体" w:eastAsia="仿宋_GB2312"/>
          <w:sz w:val="32"/>
          <w:szCs w:val="32"/>
          <w:lang w:val="zh-CN"/>
        </w:rPr>
      </w:pPr>
      <w:r>
        <w:rPr>
          <w:rFonts w:hint="eastAsia" w:ascii="仿宋" w:hAnsi="仿宋" w:eastAsia="仿宋" w:cs="Times New Roman"/>
          <w:sz w:val="30"/>
          <w:szCs w:val="30"/>
          <w:lang w:val="zh-CN"/>
        </w:rPr>
        <w:t>本项目由广元市农业科学研究院根据</w:t>
      </w:r>
      <w:r>
        <w:rPr>
          <w:rFonts w:hint="eastAsia" w:ascii="仿宋" w:hAnsi="仿宋" w:eastAsia="仿宋" w:cs="Times New Roman"/>
          <w:sz w:val="30"/>
          <w:szCs w:val="30"/>
          <w:lang w:val="zh-CN" w:eastAsia="zh-CN"/>
        </w:rPr>
        <w:t>脱贫攻坚</w:t>
      </w:r>
      <w:r>
        <w:rPr>
          <w:rFonts w:hint="eastAsia" w:ascii="仿宋" w:hAnsi="仿宋" w:eastAsia="仿宋" w:cs="Times New Roman"/>
          <w:sz w:val="30"/>
          <w:szCs w:val="30"/>
          <w:lang w:val="zh-CN"/>
        </w:rPr>
        <w:t>的需要，结合现有驻村工作队人员和帮扶责任人以及帮扶村产业发展而设置，其职能是为了做好巩固脱贫攻坚成果，衔接好乡村振兴，为驻村帮扶提供资金支持和产业发展支持。</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eastAsia"/>
          <w:lang w:val="zh-CN"/>
        </w:rPr>
      </w:pPr>
      <w:r>
        <w:rPr>
          <w:rFonts w:hint="eastAsia" w:ascii="仿宋" w:hAnsi="仿宋" w:eastAsia="仿宋" w:cs="Times New Roman"/>
          <w:sz w:val="30"/>
          <w:szCs w:val="30"/>
          <w:lang w:val="zh-CN"/>
        </w:rPr>
        <w:t>根据党中央、省、市委关于脱贫攻坚部署及要求，广元市农业科学研究院派出</w:t>
      </w:r>
      <w:r>
        <w:rPr>
          <w:rFonts w:hint="eastAsia" w:ascii="仿宋" w:hAnsi="仿宋" w:eastAsia="仿宋" w:cs="Times New Roman"/>
          <w:sz w:val="30"/>
          <w:szCs w:val="30"/>
          <w:lang w:val="en-US" w:eastAsia="zh-CN"/>
        </w:rPr>
        <w:t>2人，</w:t>
      </w:r>
      <w:r>
        <w:rPr>
          <w:rFonts w:hint="eastAsia" w:ascii="仿宋" w:hAnsi="仿宋" w:eastAsia="仿宋" w:cs="Times New Roman"/>
          <w:sz w:val="30"/>
          <w:szCs w:val="30"/>
          <w:lang w:val="zh-CN"/>
        </w:rPr>
        <w:t>其中1人为驻村第一书记，1人为脱产帮扶工作队成员，为顺利完成此项任务，特申请脱贫攻坚项目资金</w:t>
      </w:r>
      <w:r>
        <w:rPr>
          <w:rFonts w:hint="eastAsia" w:ascii="仿宋" w:hAnsi="仿宋" w:eastAsia="仿宋" w:cs="Times New Roman"/>
          <w:sz w:val="30"/>
          <w:szCs w:val="30"/>
          <w:lang w:val="en-US" w:eastAsia="zh-CN"/>
        </w:rPr>
        <w:t>0</w:t>
      </w:r>
      <w:r>
        <w:rPr>
          <w:rFonts w:hint="eastAsia" w:ascii="仿宋" w:hAnsi="仿宋" w:eastAsia="仿宋" w:cs="Times New Roman"/>
          <w:sz w:val="30"/>
          <w:szCs w:val="30"/>
          <w:lang w:val="zh-CN"/>
        </w:rPr>
        <w:t>.</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val="zh-CN"/>
        </w:rPr>
        <w:t>万元。</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eastAsia"/>
          <w:lang w:val="zh-CN"/>
        </w:rPr>
      </w:pPr>
      <w:r>
        <w:rPr>
          <w:rFonts w:hint="eastAsia" w:ascii="仿宋" w:hAnsi="仿宋" w:eastAsia="仿宋"/>
          <w:sz w:val="30"/>
          <w:szCs w:val="30"/>
        </w:rPr>
        <w:t>为做到</w:t>
      </w:r>
      <w:r>
        <w:rPr>
          <w:rFonts w:hint="eastAsia" w:ascii="仿宋" w:hAnsi="仿宋" w:eastAsia="仿宋"/>
          <w:sz w:val="30"/>
          <w:szCs w:val="30"/>
          <w:lang w:eastAsia="zh-CN"/>
        </w:rPr>
        <w:t>驻村帮扶工作经费</w:t>
      </w:r>
      <w:r>
        <w:rPr>
          <w:rFonts w:hint="eastAsia" w:ascii="仿宋" w:hAnsi="仿宋" w:eastAsia="仿宋"/>
          <w:sz w:val="30"/>
          <w:szCs w:val="30"/>
        </w:rPr>
        <w:t>的</w:t>
      </w:r>
      <w:r>
        <w:rPr>
          <w:rFonts w:hint="eastAsia" w:ascii="仿宋" w:hAnsi="仿宋" w:eastAsia="仿宋"/>
          <w:sz w:val="30"/>
          <w:szCs w:val="30"/>
          <w:lang w:eastAsia="zh-CN"/>
        </w:rPr>
        <w:t>专</w:t>
      </w:r>
      <w:r>
        <w:rPr>
          <w:rFonts w:hint="eastAsia" w:ascii="仿宋" w:hAnsi="仿宋" w:eastAsia="仿宋"/>
          <w:sz w:val="30"/>
          <w:szCs w:val="30"/>
        </w:rPr>
        <w:t>款专用，我院制定项目财务管理制度，进行分级管理：即</w:t>
      </w:r>
      <w:r>
        <w:rPr>
          <w:rFonts w:hint="eastAsia" w:ascii="仿宋" w:hAnsi="仿宋" w:eastAsia="仿宋"/>
          <w:sz w:val="30"/>
          <w:szCs w:val="30"/>
          <w:lang w:eastAsia="zh-CN"/>
        </w:rPr>
        <w:t>驻村工作队</w:t>
      </w:r>
      <w:r>
        <w:rPr>
          <w:rFonts w:hint="eastAsia" w:ascii="仿宋" w:hAnsi="仿宋" w:eastAsia="仿宋"/>
          <w:sz w:val="30"/>
          <w:szCs w:val="30"/>
        </w:rPr>
        <w:t>要提前制定工作目标，</w:t>
      </w:r>
      <w:r>
        <w:rPr>
          <w:rFonts w:hint="eastAsia" w:ascii="仿宋" w:hAnsi="仿宋" w:eastAsia="仿宋"/>
          <w:sz w:val="30"/>
          <w:szCs w:val="30"/>
          <w:lang w:eastAsia="zh-CN"/>
        </w:rPr>
        <w:t>根据扶贫任务填写申请报账单</w:t>
      </w:r>
      <w:r>
        <w:rPr>
          <w:rFonts w:hint="eastAsia" w:ascii="仿宋" w:hAnsi="仿宋" w:eastAsia="仿宋"/>
          <w:sz w:val="30"/>
          <w:szCs w:val="30"/>
        </w:rPr>
        <w:t>，再由</w:t>
      </w:r>
      <w:r>
        <w:rPr>
          <w:rFonts w:hint="eastAsia" w:ascii="仿宋" w:hAnsi="仿宋" w:eastAsia="仿宋"/>
          <w:sz w:val="30"/>
          <w:szCs w:val="30"/>
          <w:lang w:eastAsia="zh-CN"/>
        </w:rPr>
        <w:t>办公室、</w:t>
      </w:r>
      <w:r>
        <w:rPr>
          <w:rFonts w:hint="eastAsia" w:ascii="仿宋" w:hAnsi="仿宋" w:eastAsia="仿宋"/>
          <w:sz w:val="30"/>
          <w:szCs w:val="30"/>
        </w:rPr>
        <w:t>分管</w:t>
      </w:r>
      <w:r>
        <w:rPr>
          <w:rFonts w:hint="eastAsia" w:ascii="仿宋" w:hAnsi="仿宋" w:eastAsia="仿宋"/>
          <w:sz w:val="30"/>
          <w:szCs w:val="30"/>
          <w:lang w:eastAsia="zh-CN"/>
        </w:rPr>
        <w:t>副</w:t>
      </w:r>
      <w:r>
        <w:rPr>
          <w:rFonts w:hint="eastAsia" w:ascii="仿宋" w:hAnsi="仿宋" w:eastAsia="仿宋"/>
          <w:sz w:val="30"/>
          <w:szCs w:val="30"/>
        </w:rPr>
        <w:t>院长、财务</w:t>
      </w:r>
      <w:r>
        <w:rPr>
          <w:rFonts w:hint="eastAsia" w:ascii="仿宋" w:hAnsi="仿宋" w:eastAsia="仿宋"/>
          <w:sz w:val="30"/>
          <w:szCs w:val="30"/>
          <w:lang w:eastAsia="zh-CN"/>
        </w:rPr>
        <w:t>科</w:t>
      </w:r>
      <w:r>
        <w:rPr>
          <w:rFonts w:hint="eastAsia" w:ascii="仿宋" w:hAnsi="仿宋" w:eastAsia="仿宋"/>
          <w:sz w:val="30"/>
          <w:szCs w:val="30"/>
        </w:rPr>
        <w:t>和院长审批才可打卡报账。</w:t>
      </w:r>
      <w:r>
        <w:rPr>
          <w:rFonts w:hint="eastAsia" w:ascii="仿宋" w:hAnsi="仿宋" w:eastAsia="仿宋"/>
          <w:sz w:val="30"/>
          <w:szCs w:val="30"/>
          <w:lang w:eastAsia="zh-CN"/>
        </w:rPr>
        <w:t>资金</w:t>
      </w:r>
      <w:r>
        <w:rPr>
          <w:rFonts w:hint="eastAsia" w:ascii="仿宋" w:hAnsi="仿宋" w:eastAsia="仿宋"/>
          <w:sz w:val="30"/>
          <w:szCs w:val="30"/>
        </w:rPr>
        <w:t>支持</w:t>
      </w:r>
      <w:r>
        <w:rPr>
          <w:rFonts w:hint="eastAsia" w:ascii="仿宋" w:hAnsi="仿宋" w:eastAsia="仿宋"/>
          <w:sz w:val="30"/>
          <w:szCs w:val="30"/>
          <w:lang w:eastAsia="zh-CN"/>
        </w:rPr>
        <w:t>范围</w:t>
      </w:r>
      <w:r>
        <w:rPr>
          <w:rFonts w:hint="eastAsia" w:ascii="仿宋" w:hAnsi="仿宋" w:eastAsia="仿宋"/>
          <w:sz w:val="30"/>
          <w:szCs w:val="30"/>
        </w:rPr>
        <w:t>一</w:t>
      </w:r>
      <w:r>
        <w:rPr>
          <w:rFonts w:hint="eastAsia" w:ascii="仿宋" w:hAnsi="仿宋" w:eastAsia="仿宋"/>
          <w:sz w:val="30"/>
          <w:szCs w:val="30"/>
          <w:lang w:eastAsia="zh-CN"/>
        </w:rPr>
        <w:t>是产业发展相关农资、生活用品的购买和产业技术服务费</w:t>
      </w:r>
      <w:r>
        <w:rPr>
          <w:rFonts w:hint="eastAsia" w:ascii="仿宋" w:hAnsi="仿宋" w:eastAsia="仿宋"/>
          <w:sz w:val="30"/>
          <w:szCs w:val="30"/>
        </w:rPr>
        <w:t>；二是</w:t>
      </w:r>
      <w:r>
        <w:rPr>
          <w:rFonts w:hint="eastAsia" w:ascii="仿宋" w:hAnsi="仿宋" w:eastAsia="仿宋"/>
          <w:sz w:val="30"/>
          <w:szCs w:val="30"/>
          <w:lang w:eastAsia="zh-CN"/>
        </w:rPr>
        <w:t>依据驻村帮扶文件要求，下乡帮扶的差旅和公车运行维护报账等</w:t>
      </w:r>
      <w:r>
        <w:rPr>
          <w:rFonts w:hint="eastAsia" w:ascii="仿宋" w:hAnsi="仿宋" w:eastAsia="仿宋"/>
          <w:sz w:val="30"/>
          <w:szCs w:val="30"/>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600" w:lineRule="exact"/>
        <w:ind w:firstLine="591" w:firstLineChars="197"/>
        <w:rPr>
          <w:rFonts w:hint="eastAsia"/>
          <w:lang w:val="zh-CN"/>
        </w:rPr>
      </w:pPr>
      <w:r>
        <w:rPr>
          <w:rFonts w:hint="eastAsia" w:ascii="仿宋" w:hAnsi="仿宋" w:eastAsia="仿宋"/>
          <w:sz w:val="30"/>
          <w:szCs w:val="30"/>
        </w:rPr>
        <w:t>一是重点发展原则：结合</w:t>
      </w:r>
      <w:r>
        <w:rPr>
          <w:rFonts w:hint="eastAsia" w:ascii="仿宋" w:hAnsi="仿宋" w:eastAsia="仿宋"/>
          <w:sz w:val="30"/>
          <w:szCs w:val="30"/>
          <w:lang w:eastAsia="zh-CN"/>
        </w:rPr>
        <w:t>脱贫攻坚产业发展和巩固验收</w:t>
      </w:r>
      <w:r>
        <w:rPr>
          <w:rFonts w:hint="eastAsia" w:ascii="仿宋" w:hAnsi="仿宋" w:eastAsia="仿宋"/>
          <w:sz w:val="30"/>
          <w:szCs w:val="30"/>
        </w:rPr>
        <w:t>的重点方向和需求，优先考虑</w:t>
      </w:r>
      <w:r>
        <w:rPr>
          <w:rFonts w:hint="eastAsia" w:ascii="仿宋" w:hAnsi="仿宋" w:eastAsia="仿宋"/>
          <w:sz w:val="30"/>
          <w:szCs w:val="30"/>
          <w:lang w:eastAsia="zh-CN"/>
        </w:rPr>
        <w:t>产业需求</w:t>
      </w:r>
      <w:r>
        <w:rPr>
          <w:rFonts w:hint="eastAsia" w:ascii="仿宋" w:hAnsi="仿宋" w:eastAsia="仿宋"/>
          <w:sz w:val="30"/>
          <w:szCs w:val="30"/>
        </w:rPr>
        <w:t>和费用。二是根据</w:t>
      </w:r>
      <w:r>
        <w:rPr>
          <w:rFonts w:hint="eastAsia" w:ascii="仿宋" w:hAnsi="仿宋" w:eastAsia="仿宋"/>
          <w:sz w:val="30"/>
          <w:szCs w:val="30"/>
          <w:lang w:eastAsia="zh-CN"/>
        </w:rPr>
        <w:t>驻村帮扶</w:t>
      </w:r>
      <w:r>
        <w:rPr>
          <w:rFonts w:hint="eastAsia" w:ascii="仿宋" w:hAnsi="仿宋" w:eastAsia="仿宋"/>
          <w:sz w:val="30"/>
          <w:szCs w:val="30"/>
        </w:rPr>
        <w:t>合理安排，避免重复原则</w:t>
      </w:r>
      <w:r>
        <w:rPr>
          <w:rFonts w:hint="eastAsia" w:ascii="仿宋" w:hAnsi="仿宋" w:eastAsia="仿宋"/>
          <w:sz w:val="30"/>
          <w:szCs w:val="30"/>
          <w:lang w:eastAsia="zh-CN"/>
        </w:rPr>
        <w:t>：</w:t>
      </w:r>
      <w:r>
        <w:rPr>
          <w:rFonts w:hint="eastAsia" w:ascii="仿宋" w:hAnsi="仿宋" w:eastAsia="仿宋"/>
          <w:sz w:val="30"/>
          <w:szCs w:val="30"/>
        </w:rPr>
        <w:t>在项目衔接上合理安排，提高</w:t>
      </w:r>
      <w:r>
        <w:rPr>
          <w:rFonts w:hint="eastAsia" w:ascii="仿宋" w:hAnsi="仿宋" w:eastAsia="仿宋"/>
          <w:sz w:val="30"/>
          <w:szCs w:val="30"/>
          <w:lang w:eastAsia="zh-CN"/>
        </w:rPr>
        <w:t>帮扶效率</w:t>
      </w:r>
      <w:r>
        <w:rPr>
          <w:rFonts w:hint="eastAsia" w:ascii="仿宋" w:hAnsi="仿宋" w:eastAsia="仿宋"/>
          <w:sz w:val="30"/>
          <w:szCs w:val="30"/>
        </w:rPr>
        <w:t>。三是规范管理，专款专用原则</w:t>
      </w:r>
      <w:r>
        <w:rPr>
          <w:rFonts w:hint="eastAsia" w:ascii="仿宋" w:hAnsi="仿宋" w:eastAsia="仿宋"/>
          <w:sz w:val="30"/>
          <w:szCs w:val="30"/>
          <w:lang w:eastAsia="zh-CN"/>
        </w:rPr>
        <w:t>：驻村帮扶</w:t>
      </w:r>
      <w:r>
        <w:rPr>
          <w:rFonts w:hint="eastAsia" w:ascii="仿宋" w:hAnsi="仿宋" w:eastAsia="仿宋"/>
          <w:sz w:val="30"/>
          <w:szCs w:val="30"/>
        </w:rPr>
        <w:t>资金应当单独核算，确保</w:t>
      </w:r>
      <w:r>
        <w:rPr>
          <w:rFonts w:hint="eastAsia" w:ascii="仿宋" w:hAnsi="仿宋" w:eastAsia="仿宋"/>
          <w:sz w:val="30"/>
          <w:szCs w:val="30"/>
          <w:lang w:eastAsia="zh-CN"/>
        </w:rPr>
        <w:t>用于驻村帮扶</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_GB2312" w:hAnsi="宋体" w:eastAsia="仿宋_GB2312" w:cs="Times New Roman"/>
          <w:kern w:val="2"/>
          <w:sz w:val="28"/>
          <w:szCs w:val="28"/>
          <w:lang w:val="zh-CN" w:eastAsia="zh-CN" w:bidi="ar-SA"/>
        </w:rPr>
      </w:pPr>
      <w:r>
        <w:rPr>
          <w:rFonts w:hint="eastAsia" w:ascii="仿宋" w:hAnsi="仿宋" w:eastAsia="仿宋" w:cs="Times New Roman"/>
          <w:kern w:val="2"/>
          <w:sz w:val="30"/>
          <w:szCs w:val="30"/>
          <w:lang w:val="zh-CN" w:eastAsia="zh-CN" w:bidi="ar-SA"/>
        </w:rPr>
        <w:t>目标1：完成贫困村柏溪村16户脱贫户和非贫困村天官村27户脱贫户（原北斗村部分）全面脱贫后的继续帮扶跟进工作；目标2：进村入户，开展技术服务，巩固发展两村集体经济和户办产业园；目标3：宣讲脱贫攻坚和乡村振兴政策，慰问特殊困难户。</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pStyle w:val="2"/>
        <w:numPr>
          <w:ilvl w:val="0"/>
          <w:numId w:val="0"/>
        </w:numPr>
        <w:ind w:leftChars="0" w:firstLine="640" w:firstLineChars="200"/>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en-US" w:eastAsia="zh-CN" w:bidi="ar-SA"/>
        </w:rPr>
        <w:t>2.1.</w:t>
      </w:r>
      <w:r>
        <w:rPr>
          <w:rFonts w:hint="eastAsia" w:ascii="仿宋_GB2312" w:hAnsi="宋体" w:eastAsia="仿宋_GB2312" w:cs="Times New Roman"/>
          <w:b w:val="0"/>
          <w:bCs w:val="0"/>
          <w:kern w:val="2"/>
          <w:sz w:val="32"/>
          <w:szCs w:val="32"/>
          <w:lang w:val="zh-CN" w:eastAsia="zh-CN" w:bidi="ar-SA"/>
        </w:rPr>
        <w:t>考核目标。</w:t>
      </w:r>
    </w:p>
    <w:tbl>
      <w:tblPr>
        <w:tblStyle w:val="13"/>
        <w:tblpPr w:leftFromText="180" w:rightFromText="180" w:vertAnchor="text" w:horzAnchor="page" w:tblpXSpec="center" w:tblpY="423"/>
        <w:tblOverlap w:val="never"/>
        <w:tblW w:w="5580" w:type="pct"/>
        <w:jc w:val="center"/>
        <w:tblLayout w:type="autofit"/>
        <w:tblCellMar>
          <w:top w:w="0" w:type="dxa"/>
          <w:left w:w="0" w:type="dxa"/>
          <w:bottom w:w="0" w:type="dxa"/>
          <w:right w:w="0" w:type="dxa"/>
        </w:tblCellMar>
      </w:tblPr>
      <w:tblGrid>
        <w:gridCol w:w="1506"/>
        <w:gridCol w:w="4144"/>
        <w:gridCol w:w="3653"/>
      </w:tblGrid>
      <w:tr>
        <w:tblPrEx>
          <w:tblCellMar>
            <w:top w:w="0" w:type="dxa"/>
            <w:left w:w="0" w:type="dxa"/>
            <w:bottom w:w="0" w:type="dxa"/>
            <w:right w:w="0" w:type="dxa"/>
          </w:tblCellMar>
        </w:tblPrEx>
        <w:trPr>
          <w:trHeight w:val="435" w:hRule="atLeast"/>
          <w:jc w:val="center"/>
        </w:trPr>
        <w:tc>
          <w:tcPr>
            <w:tcW w:w="8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bidi="ar"/>
              </w:rPr>
              <w:t>具体</w:t>
            </w:r>
            <w:r>
              <w:rPr>
                <w:rFonts w:hint="eastAsia" w:ascii="宋体" w:hAnsi="宋体" w:cs="宋体"/>
                <w:color w:val="000000"/>
                <w:kern w:val="0"/>
                <w:sz w:val="24"/>
                <w:lang w:bidi="ar"/>
              </w:rPr>
              <w:t>指标</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23"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数量指标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43户已脱贫农户的帮扶跟进</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476户一般农户的农业产业培训</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0" w:type="dxa"/>
            <w:bottom w:w="0" w:type="dxa"/>
            <w:right w:w="0" w:type="dxa"/>
          </w:tblCellMar>
        </w:tblPrEx>
        <w:trPr>
          <w:trHeight w:val="23"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质量指标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天官村藤椒产业园303亩的持续发展</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藤椒成活且长势良好，面积无减少</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天官村林下套作黄精100亩的持续发展</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苹果树、黄精均长势良好，无病害</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43户脱贫户“一超六有”达标</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确保43户已脱贫户不能返贫</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43户脱贫农户的户办产业园发展良好</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产业持续增收</w:t>
            </w:r>
          </w:p>
        </w:tc>
      </w:tr>
      <w:tr>
        <w:tblPrEx>
          <w:tblCellMar>
            <w:top w:w="0" w:type="dxa"/>
            <w:left w:w="0" w:type="dxa"/>
            <w:bottom w:w="0" w:type="dxa"/>
            <w:right w:w="0" w:type="dxa"/>
          </w:tblCellMar>
        </w:tblPrEx>
        <w:trPr>
          <w:trHeight w:val="23"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时效指标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数量指标完成时间</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2021年7月前</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质量指标完成时间</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2021年7月前</w:t>
            </w:r>
          </w:p>
        </w:tc>
      </w:tr>
      <w:tr>
        <w:tblPrEx>
          <w:tblCellMar>
            <w:top w:w="0" w:type="dxa"/>
            <w:left w:w="0" w:type="dxa"/>
            <w:bottom w:w="0" w:type="dxa"/>
            <w:right w:w="0" w:type="dxa"/>
          </w:tblCellMar>
        </w:tblPrEx>
        <w:trPr>
          <w:trHeight w:val="90"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成本指标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1、差旅费</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2、节日慰问费</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0.1万元</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3、公务用车运行维护费</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完成本年度研究任务</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0.5万元</w:t>
            </w:r>
          </w:p>
        </w:tc>
      </w:tr>
      <w:tr>
        <w:tblPrEx>
          <w:tblCellMar>
            <w:top w:w="0" w:type="dxa"/>
            <w:left w:w="0" w:type="dxa"/>
            <w:bottom w:w="0" w:type="dxa"/>
            <w:right w:w="0" w:type="dxa"/>
          </w:tblCellMar>
        </w:tblPrEx>
        <w:trPr>
          <w:trHeight w:val="23"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为两村的脱贫户增加经济收入</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43户脱贫户发展产业，脱贫致富</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为两村519户农户增加经济收入</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指导产业技术，助农增收</w:t>
            </w:r>
          </w:p>
        </w:tc>
      </w:tr>
      <w:tr>
        <w:tblPrEx>
          <w:tblCellMar>
            <w:top w:w="0" w:type="dxa"/>
            <w:left w:w="0" w:type="dxa"/>
            <w:bottom w:w="0" w:type="dxa"/>
            <w:right w:w="0" w:type="dxa"/>
          </w:tblCellMar>
        </w:tblPrEx>
        <w:trPr>
          <w:trHeight w:val="23"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巩固脱贫策成果</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提高农民收入，不返贫</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提高两村的集体经济收入</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村集体富裕，带动农户发展产业，促进就业</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协调当地政府，基础设施建设</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硬化道路，饮水安全，村容整洁</w:t>
            </w:r>
          </w:p>
        </w:tc>
      </w:tr>
      <w:tr>
        <w:tblPrEx>
          <w:tblCellMar>
            <w:top w:w="0" w:type="dxa"/>
            <w:left w:w="0" w:type="dxa"/>
            <w:bottom w:w="0" w:type="dxa"/>
            <w:right w:w="0" w:type="dxa"/>
          </w:tblCellMar>
        </w:tblPrEx>
        <w:trPr>
          <w:trHeight w:val="23"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推广有机绿色品种及农作物栽培方式</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减少农药施用，美化环境条件</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推广修建、使用化粪池</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减少水质污染，优化村居环境</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指导当地农户使用清洁能源，沼气使用</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利用家畜粪便及农作物秸秆，禁止焚烧污染</w:t>
            </w:r>
          </w:p>
        </w:tc>
      </w:tr>
      <w:tr>
        <w:tblPrEx>
          <w:tblCellMar>
            <w:top w:w="0" w:type="dxa"/>
            <w:left w:w="0" w:type="dxa"/>
            <w:bottom w:w="0" w:type="dxa"/>
            <w:right w:w="0" w:type="dxa"/>
          </w:tblCellMar>
        </w:tblPrEx>
        <w:trPr>
          <w:trHeight w:val="23" w:hRule="atLeast"/>
          <w:jc w:val="center"/>
        </w:trPr>
        <w:tc>
          <w:tcPr>
            <w:tcW w:w="8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提高当地环境卫生条件</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循环利用沼气，化粪池</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发展特色产业经济</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≥5年</w:t>
            </w:r>
          </w:p>
        </w:tc>
      </w:tr>
      <w:tr>
        <w:tblPrEx>
          <w:tblCellMar>
            <w:top w:w="0" w:type="dxa"/>
            <w:left w:w="0" w:type="dxa"/>
            <w:bottom w:w="0" w:type="dxa"/>
            <w:right w:w="0" w:type="dxa"/>
          </w:tblCellMar>
        </w:tblPrEx>
        <w:trPr>
          <w:trHeight w:val="23" w:hRule="atLeast"/>
          <w:jc w:val="center"/>
        </w:trPr>
        <w:tc>
          <w:tcPr>
            <w:tcW w:w="8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村集体经济良性发展</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带动当地农户就业增收</w:t>
            </w:r>
          </w:p>
        </w:tc>
      </w:tr>
      <w:tr>
        <w:tblPrEx>
          <w:tblCellMar>
            <w:top w:w="0" w:type="dxa"/>
            <w:left w:w="0" w:type="dxa"/>
            <w:bottom w:w="0" w:type="dxa"/>
            <w:right w:w="0" w:type="dxa"/>
          </w:tblCellMar>
        </w:tblPrEx>
        <w:trPr>
          <w:trHeight w:val="23" w:hRule="atLeast"/>
          <w:jc w:val="center"/>
        </w:trPr>
        <w:tc>
          <w:tcPr>
            <w:tcW w:w="8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满意度指标</w:t>
            </w:r>
          </w:p>
        </w:tc>
        <w:tc>
          <w:tcPr>
            <w:tcW w:w="2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脱贫户的返贫率</w:t>
            </w:r>
          </w:p>
        </w:tc>
        <w:tc>
          <w:tcPr>
            <w:tcW w:w="1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bl>
    <w:p>
      <w:pPr>
        <w:adjustRightInd w:val="0"/>
        <w:snapToGrid w:val="0"/>
        <w:spacing w:line="600" w:lineRule="exact"/>
        <w:ind w:firstLine="72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val="0"/>
          <w:bCs w:val="0"/>
          <w:kern w:val="2"/>
          <w:sz w:val="32"/>
          <w:szCs w:val="32"/>
          <w:lang w:val="en-US" w:eastAsia="zh-CN" w:bidi="ar-SA"/>
        </w:rPr>
        <w:t>2.2.</w:t>
      </w:r>
      <w:r>
        <w:rPr>
          <w:rFonts w:hint="eastAsia" w:ascii="仿宋_GB2312" w:hAnsi="宋体" w:eastAsia="仿宋_GB2312" w:cs="Times New Roman"/>
          <w:b w:val="0"/>
          <w:bCs w:val="0"/>
          <w:kern w:val="2"/>
          <w:sz w:val="32"/>
          <w:szCs w:val="32"/>
          <w:lang w:val="zh-CN" w:eastAsia="zh-CN" w:bidi="ar-SA"/>
        </w:rPr>
        <w:t>年度计划。</w:t>
      </w:r>
    </w:p>
    <w:p>
      <w:pPr>
        <w:adjustRightInd w:val="0"/>
        <w:snapToGrid w:val="0"/>
        <w:spacing w:line="600" w:lineRule="exact"/>
        <w:ind w:firstLine="720"/>
        <w:rPr>
          <w:rFonts w:hint="eastAsia" w:ascii="仿宋_GB2312" w:hAnsi="宋体" w:eastAsia="仿宋_GB2312" w:cs="Times New Roman"/>
          <w:kern w:val="2"/>
          <w:sz w:val="30"/>
          <w:szCs w:val="30"/>
          <w:lang w:val="zh-CN" w:eastAsia="zh-CN" w:bidi="ar-SA"/>
        </w:rPr>
      </w:pPr>
      <w:r>
        <w:rPr>
          <w:rFonts w:hint="eastAsia" w:ascii="仿宋_GB2312" w:hAnsi="宋体" w:eastAsia="仿宋_GB2312" w:cs="Times New Roman"/>
          <w:kern w:val="2"/>
          <w:sz w:val="30"/>
          <w:szCs w:val="30"/>
          <w:lang w:val="en-US" w:eastAsia="zh-CN" w:bidi="ar-SA"/>
        </w:rPr>
        <w:t>1-2月</w:t>
      </w:r>
      <w:r>
        <w:rPr>
          <w:rFonts w:hint="eastAsia" w:ascii="仿宋_GB2312" w:hAnsi="宋体" w:eastAsia="仿宋_GB2312" w:cs="Times New Roman"/>
          <w:kern w:val="2"/>
          <w:sz w:val="30"/>
          <w:szCs w:val="30"/>
          <w:lang w:val="zh-CN" w:eastAsia="zh-CN" w:bidi="ar-SA"/>
        </w:rPr>
        <w:t>：宣讲脱贫攻坚和乡村振兴政策，慰问特殊困难户。</w:t>
      </w:r>
    </w:p>
    <w:p>
      <w:pPr>
        <w:adjustRightInd w:val="0"/>
        <w:snapToGrid w:val="0"/>
        <w:spacing w:line="600" w:lineRule="exact"/>
        <w:ind w:firstLine="720"/>
        <w:rPr>
          <w:rFonts w:hint="eastAsia" w:ascii="仿宋_GB2312" w:hAnsi="宋体" w:eastAsia="仿宋_GB2312" w:cs="Times New Roman"/>
          <w:kern w:val="2"/>
          <w:sz w:val="30"/>
          <w:szCs w:val="30"/>
          <w:lang w:val="zh-CN" w:eastAsia="zh-CN" w:bidi="ar-SA"/>
        </w:rPr>
      </w:pPr>
      <w:r>
        <w:rPr>
          <w:rFonts w:hint="eastAsia" w:ascii="仿宋_GB2312" w:hAnsi="宋体" w:eastAsia="仿宋_GB2312" w:cs="Times New Roman"/>
          <w:kern w:val="2"/>
          <w:sz w:val="30"/>
          <w:szCs w:val="30"/>
          <w:lang w:val="en-US" w:eastAsia="zh-CN" w:bidi="ar-SA"/>
        </w:rPr>
        <w:t>3-5月：</w:t>
      </w:r>
      <w:r>
        <w:rPr>
          <w:rFonts w:hint="eastAsia" w:ascii="仿宋_GB2312" w:hAnsi="宋体" w:eastAsia="仿宋_GB2312" w:cs="Times New Roman"/>
          <w:kern w:val="2"/>
          <w:sz w:val="30"/>
          <w:szCs w:val="30"/>
          <w:lang w:val="zh-CN" w:eastAsia="zh-CN" w:bidi="ar-SA"/>
        </w:rPr>
        <w:t>进村入户，开展技术服务，巩固发展两村集体经济和户办产业园；完成贫困村柏溪村16户脱贫户和非贫困村天官村27户脱贫户（原北斗村部分）全面脱贫后的继续帮扶跟进工作。</w:t>
      </w:r>
    </w:p>
    <w:p>
      <w:pPr>
        <w:adjustRightInd w:val="0"/>
        <w:snapToGrid w:val="0"/>
        <w:spacing w:line="600" w:lineRule="exact"/>
        <w:ind w:firstLine="720"/>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en-US" w:eastAsia="zh-CN" w:bidi="ar-SA"/>
        </w:rPr>
        <w:t>2.3.年度完成情况。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lang w:val="zh-CN"/>
        </w:rPr>
      </w:pPr>
      <w:r>
        <w:rPr>
          <w:rFonts w:hint="eastAsia" w:ascii="仿宋_GB2312" w:hAnsi="宋体" w:eastAsia="仿宋_GB2312" w:cs="Times New Roman"/>
          <w:kern w:val="2"/>
          <w:sz w:val="30"/>
          <w:szCs w:val="30"/>
          <w:lang w:val="en-US" w:eastAsia="zh-CN" w:bidi="ar-SA"/>
        </w:rPr>
        <w:t>顺利完成了3个目标。</w:t>
      </w:r>
      <w:r>
        <w:rPr>
          <w:rFonts w:hint="eastAsia" w:ascii="仿宋" w:hAnsi="仿宋" w:eastAsia="仿宋" w:cs="Times New Roman"/>
          <w:kern w:val="2"/>
          <w:sz w:val="30"/>
          <w:szCs w:val="30"/>
          <w:lang w:val="zh-CN" w:eastAsia="zh-CN" w:bidi="ar-SA"/>
        </w:rPr>
        <w:t>1：完成柏溪村16户脱贫户和天官村27户脱贫户（原北斗村部分）全面脱贫后的继续帮扶跟进工作；2.进村入户，开展技术服务，巩固发展两村集体经济和户办产业园；3.宣讲脱贫攻坚和乡村振兴政策，慰问特殊困难户。</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ascii="仿宋_GB2312" w:hAnsi="宋体" w:eastAsia="仿宋_GB2312"/>
          <w:sz w:val="30"/>
          <w:szCs w:val="30"/>
          <w:lang w:val="zh-CN"/>
        </w:rPr>
      </w:pPr>
      <w:r>
        <w:rPr>
          <w:rFonts w:hint="eastAsia" w:ascii="仿宋_GB2312" w:hAnsi="宋体" w:eastAsia="仿宋_GB2312" w:cs="Times New Roman"/>
          <w:kern w:val="2"/>
          <w:sz w:val="30"/>
          <w:szCs w:val="30"/>
          <w:lang w:val="zh-CN" w:eastAsia="zh-CN" w:bidi="ar-SA"/>
        </w:rPr>
        <w:t>驻村帮扶工作经费项目的资金使用完全按照项目申报计划实施的，其开展研究的具体内容与项目申报研究与示范的内容是紧密关联的。完成目标也与申报目标相符，实际证明，项目设计是合理的可行的，达到了项目申报的预期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ind w:firstLine="600" w:firstLineChars="200"/>
        <w:rPr>
          <w:lang w:val="zh-CN"/>
        </w:rPr>
      </w:pPr>
      <w:r>
        <w:rPr>
          <w:rFonts w:hint="eastAsia" w:ascii="仿宋" w:hAnsi="仿宋" w:eastAsia="仿宋"/>
          <w:sz w:val="30"/>
          <w:szCs w:val="30"/>
        </w:rPr>
        <w:t>本项目采取自评方式，成立项目自评小组，结合评价内容，按照评价绩效指标体系，自评小组</w:t>
      </w:r>
      <w:r>
        <w:rPr>
          <w:rFonts w:hint="eastAsia" w:ascii="仿宋" w:hAnsi="仿宋" w:eastAsia="仿宋"/>
          <w:sz w:val="30"/>
          <w:szCs w:val="30"/>
          <w:lang w:eastAsia="zh-CN"/>
        </w:rPr>
        <w:t>每个季度</w:t>
      </w:r>
      <w:r>
        <w:rPr>
          <w:rFonts w:hint="eastAsia" w:ascii="仿宋" w:hAnsi="仿宋" w:eastAsia="仿宋"/>
          <w:sz w:val="30"/>
          <w:szCs w:val="30"/>
        </w:rPr>
        <w:t>对完成指标、效益指标、满意度指标做出自我评价。</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adjustRightInd w:val="0"/>
        <w:snapToGrid w:val="0"/>
        <w:spacing w:line="600" w:lineRule="exact"/>
        <w:ind w:firstLine="600" w:firstLineChars="200"/>
        <w:rPr>
          <w:rFonts w:hint="eastAsia" w:ascii="仿宋_GB2312" w:hAnsi="宋体" w:eastAsia="仿宋_GB2312"/>
          <w:sz w:val="32"/>
          <w:szCs w:val="32"/>
          <w:lang w:val="zh-CN"/>
        </w:rPr>
      </w:pPr>
      <w:r>
        <w:rPr>
          <w:rFonts w:hint="eastAsia" w:ascii="仿宋" w:hAnsi="仿宋" w:eastAsia="仿宋"/>
          <w:sz w:val="30"/>
          <w:szCs w:val="30"/>
        </w:rPr>
        <w:t>202</w:t>
      </w:r>
      <w:r>
        <w:rPr>
          <w:rFonts w:hint="eastAsia" w:ascii="仿宋" w:hAnsi="仿宋" w:eastAsia="仿宋"/>
          <w:sz w:val="30"/>
          <w:szCs w:val="30"/>
          <w:lang w:val="en-US" w:eastAsia="zh-CN"/>
        </w:rPr>
        <w:t>1</w:t>
      </w:r>
      <w:r>
        <w:rPr>
          <w:rFonts w:hint="eastAsia" w:ascii="仿宋" w:hAnsi="仿宋" w:eastAsia="仿宋"/>
          <w:sz w:val="30"/>
          <w:szCs w:val="30"/>
        </w:rPr>
        <w:t>年度脱贫攻坚项目预算资金</w:t>
      </w:r>
      <w:r>
        <w:rPr>
          <w:rFonts w:hint="eastAsia" w:ascii="仿宋" w:hAnsi="仿宋" w:eastAsia="仿宋"/>
          <w:sz w:val="30"/>
          <w:szCs w:val="30"/>
          <w:lang w:val="en-US" w:eastAsia="zh-CN"/>
        </w:rPr>
        <w:t>0.5</w:t>
      </w:r>
      <w:r>
        <w:rPr>
          <w:rFonts w:hint="eastAsia" w:ascii="仿宋" w:hAnsi="仿宋" w:eastAsia="仿宋"/>
          <w:sz w:val="30"/>
          <w:szCs w:val="30"/>
        </w:rPr>
        <w:t>万元，资金及时批复到位。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1．资金计划。项目</w:t>
      </w:r>
      <w:r>
        <w:rPr>
          <w:rFonts w:hint="eastAsia" w:ascii="仿宋_GB2312" w:hAnsi="宋体" w:eastAsia="仿宋_GB2312"/>
          <w:sz w:val="32"/>
          <w:szCs w:val="32"/>
          <w:lang w:val="en-US" w:eastAsia="zh-CN"/>
        </w:rPr>
        <w:t>2021年</w:t>
      </w:r>
      <w:r>
        <w:rPr>
          <w:rFonts w:hint="eastAsia" w:ascii="仿宋_GB2312" w:hAnsi="宋体" w:eastAsia="仿宋_GB2312"/>
          <w:sz w:val="32"/>
          <w:szCs w:val="32"/>
          <w:lang w:val="zh-CN"/>
        </w:rPr>
        <w:t>计划资金</w:t>
      </w:r>
      <w:r>
        <w:rPr>
          <w:rFonts w:hint="eastAsia" w:ascii="仿宋_GB2312" w:hAnsi="宋体" w:eastAsia="仿宋_GB2312"/>
          <w:sz w:val="32"/>
          <w:szCs w:val="32"/>
          <w:lang w:val="en-US" w:eastAsia="zh-CN"/>
        </w:rPr>
        <w:t>0.5万元。</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2．资金到位。</w:t>
      </w:r>
      <w:r>
        <w:rPr>
          <w:rFonts w:hint="eastAsia" w:ascii="仿宋" w:hAnsi="仿宋" w:eastAsia="仿宋"/>
          <w:sz w:val="30"/>
          <w:szCs w:val="30"/>
        </w:rPr>
        <w:t>截止202</w:t>
      </w:r>
      <w:r>
        <w:rPr>
          <w:rFonts w:hint="eastAsia" w:ascii="仿宋" w:hAnsi="仿宋" w:eastAsia="仿宋"/>
          <w:sz w:val="30"/>
          <w:szCs w:val="30"/>
          <w:lang w:val="en-US" w:eastAsia="zh-CN"/>
        </w:rPr>
        <w:t>1</w:t>
      </w:r>
      <w:r>
        <w:rPr>
          <w:rFonts w:hint="eastAsia"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月，所有计划资金全部到位，共计</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万元，到位率100%，到位及时。</w:t>
      </w:r>
    </w:p>
    <w:p>
      <w:pPr>
        <w:adjustRightInd w:val="0"/>
        <w:snapToGrid w:val="0"/>
        <w:spacing w:line="600" w:lineRule="exact"/>
        <w:ind w:firstLine="720"/>
        <w:rPr>
          <w:rFonts w:hint="eastAsia" w:ascii="仿宋" w:hAnsi="仿宋" w:eastAsia="仿宋" w:cs="仿宋"/>
          <w:sz w:val="30"/>
          <w:szCs w:val="30"/>
          <w:lang w:val="zh-CN" w:eastAsia="zh-CN"/>
        </w:rPr>
      </w:pPr>
      <w:r>
        <w:rPr>
          <w:rFonts w:hint="eastAsia" w:ascii="仿宋_GB2312" w:hAnsi="宋体" w:eastAsia="仿宋_GB2312"/>
          <w:sz w:val="32"/>
          <w:szCs w:val="32"/>
          <w:lang w:val="zh-CN"/>
        </w:rPr>
        <w:t>3．资金使用。</w:t>
      </w:r>
      <w:r>
        <w:rPr>
          <w:rFonts w:hint="eastAsia" w:ascii="仿宋" w:hAnsi="仿宋" w:eastAsia="仿宋" w:cs="仿宋"/>
          <w:sz w:val="30"/>
          <w:szCs w:val="30"/>
          <w:lang w:val="zh-CN" w:eastAsia="zh-CN"/>
        </w:rPr>
        <w:t>合计支出</w:t>
      </w:r>
      <w:r>
        <w:rPr>
          <w:rFonts w:hint="eastAsia" w:ascii="仿宋" w:hAnsi="仿宋" w:eastAsia="仿宋" w:cs="仿宋"/>
          <w:sz w:val="30"/>
          <w:szCs w:val="30"/>
          <w:lang w:val="en-US" w:eastAsia="zh-CN"/>
        </w:rPr>
        <w:t>0.5万</w:t>
      </w:r>
      <w:r>
        <w:rPr>
          <w:rFonts w:hint="eastAsia" w:ascii="仿宋" w:hAnsi="仿宋" w:eastAsia="仿宋" w:cs="仿宋"/>
          <w:sz w:val="30"/>
          <w:szCs w:val="30"/>
          <w:lang w:val="zh-CN" w:eastAsia="zh-CN"/>
        </w:rPr>
        <w:t>元，其中：差旅费</w:t>
      </w:r>
      <w:r>
        <w:rPr>
          <w:rFonts w:hint="eastAsia" w:ascii="仿宋" w:hAnsi="仿宋" w:eastAsia="仿宋" w:cs="仿宋"/>
          <w:sz w:val="30"/>
          <w:szCs w:val="30"/>
          <w:lang w:val="en-US" w:eastAsia="zh-CN"/>
        </w:rPr>
        <w:t>0.39万</w:t>
      </w:r>
      <w:r>
        <w:rPr>
          <w:rFonts w:hint="eastAsia" w:ascii="仿宋" w:hAnsi="仿宋" w:eastAsia="仿宋" w:cs="仿宋"/>
          <w:sz w:val="30"/>
          <w:szCs w:val="30"/>
          <w:lang w:val="zh-CN" w:eastAsia="zh-CN"/>
        </w:rPr>
        <w:t>元，</w:t>
      </w:r>
      <w:r>
        <w:rPr>
          <w:rFonts w:hint="eastAsia" w:ascii="仿宋" w:hAnsi="仿宋" w:eastAsia="仿宋" w:cs="仿宋"/>
          <w:sz w:val="30"/>
          <w:szCs w:val="30"/>
          <w:lang w:val="en-US" w:eastAsia="zh-CN"/>
        </w:rPr>
        <w:t>节日慰问费0.08万，</w:t>
      </w:r>
      <w:r>
        <w:rPr>
          <w:rFonts w:hint="eastAsia" w:ascii="仿宋" w:hAnsi="仿宋" w:eastAsia="仿宋" w:cs="仿宋"/>
          <w:sz w:val="30"/>
          <w:szCs w:val="30"/>
          <w:lang w:val="zh-CN" w:eastAsia="zh-CN"/>
        </w:rPr>
        <w:t>公务用车运行维护费</w:t>
      </w:r>
      <w:r>
        <w:rPr>
          <w:rFonts w:hint="eastAsia" w:ascii="仿宋" w:hAnsi="仿宋" w:eastAsia="仿宋" w:cs="仿宋"/>
          <w:sz w:val="30"/>
          <w:szCs w:val="30"/>
          <w:lang w:val="en-US" w:eastAsia="zh-CN"/>
        </w:rPr>
        <w:t>0.03万</w:t>
      </w:r>
      <w:r>
        <w:rPr>
          <w:rFonts w:hint="eastAsia" w:ascii="仿宋" w:hAnsi="仿宋" w:eastAsia="仿宋" w:cs="仿宋"/>
          <w:sz w:val="30"/>
          <w:szCs w:val="30"/>
          <w:lang w:val="zh-CN" w:eastAsia="zh-CN"/>
        </w:rPr>
        <w:t>元。支付依据按照财务管理相关法律法规要求执行，</w:t>
      </w:r>
      <w:r>
        <w:rPr>
          <w:rFonts w:hint="eastAsia" w:ascii="仿宋" w:hAnsi="仿宋" w:eastAsia="仿宋" w:cs="仿宋"/>
          <w:sz w:val="30"/>
          <w:szCs w:val="30"/>
        </w:rPr>
        <w:t>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0"/>
          <w:szCs w:val="30"/>
          <w:lang w:val="zh-CN" w:eastAsia="zh-CN"/>
        </w:rPr>
        <w:t>严格按照脱贫攻坚专项资金管理办法要求，</w:t>
      </w:r>
      <w:r>
        <w:rPr>
          <w:rFonts w:hint="eastAsia" w:ascii="仿宋" w:hAnsi="仿宋" w:eastAsia="仿宋"/>
          <w:sz w:val="30"/>
          <w:szCs w:val="30"/>
        </w:rPr>
        <w:t>严格执行财务管理制度，</w:t>
      </w:r>
      <w:r>
        <w:rPr>
          <w:rFonts w:hint="eastAsia" w:ascii="仿宋_GB2312" w:hAnsi="宋体" w:eastAsia="仿宋_GB2312"/>
          <w:sz w:val="30"/>
          <w:szCs w:val="30"/>
          <w:lang w:val="zh-CN" w:eastAsia="zh-CN"/>
        </w:rPr>
        <w:t>进行合规合法支付。每年度由院领导和财务组织相关人员对驻村帮扶的实施情况进行全面核查，确保项目资金支付的可行性、合理性和必要性，监督项目实施计划和实施结果相符。</w:t>
      </w:r>
    </w:p>
    <w:p>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楷体_GB2312" w:eastAsia="楷体_GB2312" w:cs="楷体_GB2312"/>
          <w:bCs/>
          <w:sz w:val="32"/>
          <w:szCs w:val="32"/>
          <w:lang w:val="zh-CN"/>
        </w:rPr>
        <w:t>（一）项目组织架构及实施流程。</w:t>
      </w:r>
    </w:p>
    <w:p>
      <w:pPr>
        <w:adjustRightInd w:val="0"/>
        <w:snapToGrid w:val="0"/>
        <w:spacing w:line="600" w:lineRule="exact"/>
        <w:ind w:firstLine="720"/>
        <w:rPr>
          <w:lang w:val="zh-CN"/>
        </w:rPr>
      </w:pPr>
      <w:r>
        <w:rPr>
          <w:rFonts w:hint="eastAsia" w:ascii="仿宋_GB2312" w:hAnsi="宋体" w:eastAsia="仿宋_GB2312" w:cs="Times New Roman"/>
          <w:sz w:val="30"/>
          <w:szCs w:val="30"/>
          <w:lang w:val="zh-CN" w:eastAsia="zh-CN"/>
        </w:rPr>
        <w:t>院长（项目总管）→分管副院长（项目统筹）→财务科长、办公室（项目监督）→帮扶工作队（项目实施）→帮扶村配合实施。</w:t>
      </w:r>
    </w:p>
    <w:p>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楷体_GB2312" w:hAnsi="楷体_GB2312" w:eastAsia="楷体_GB2312" w:cs="楷体_GB2312"/>
          <w:bCs/>
          <w:sz w:val="32"/>
          <w:szCs w:val="32"/>
          <w:lang w:val="zh-CN"/>
        </w:rPr>
        <w:t>（二）项目管理情况。</w:t>
      </w:r>
    </w:p>
    <w:p>
      <w:pPr>
        <w:adjustRightInd w:val="0"/>
        <w:snapToGrid w:val="0"/>
        <w:spacing w:line="600" w:lineRule="exact"/>
        <w:ind w:firstLine="720"/>
        <w:rPr>
          <w:rFonts w:hint="eastAsia" w:ascii="仿宋_GB2312" w:hAnsi="宋体" w:eastAsia="仿宋_GB2312" w:cs="Times New Roman"/>
          <w:sz w:val="30"/>
          <w:szCs w:val="30"/>
          <w:lang w:val="zh-CN" w:eastAsia="zh-CN"/>
        </w:rPr>
      </w:pPr>
      <w:r>
        <w:rPr>
          <w:rFonts w:hint="eastAsia" w:ascii="仿宋_GB2312" w:hAnsi="宋体" w:eastAsia="仿宋_GB2312" w:cs="Times New Roman"/>
          <w:sz w:val="30"/>
          <w:szCs w:val="30"/>
          <w:lang w:val="zh-CN" w:eastAsia="zh-CN"/>
        </w:rPr>
        <w:t>驻村帮扶工作队申报计划→办公室审核→分管副院长审批→帮扶工作队落实执行→帮扶村配合实施→市、县、镇扶贫办监督查看实施规模、效果→分管副院长监督项目实施结果→帮扶工作队提供合规合法票据→分级审核审签票据→财务核实支付。</w:t>
      </w:r>
    </w:p>
    <w:p>
      <w:pPr>
        <w:numPr>
          <w:ilvl w:val="0"/>
          <w:numId w:val="0"/>
        </w:numPr>
        <w:adjustRightInd w:val="0"/>
        <w:snapToGrid w:val="0"/>
        <w:spacing w:line="60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lang w:val="zh-CN"/>
        </w:rPr>
      </w:pPr>
      <w:r>
        <w:rPr>
          <w:rFonts w:hint="eastAsia" w:ascii="仿宋" w:hAnsi="仿宋" w:eastAsia="仿宋"/>
          <w:sz w:val="30"/>
          <w:szCs w:val="30"/>
        </w:rPr>
        <w:t>项目资金由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bCs/>
          <w:sz w:val="32"/>
          <w:szCs w:val="32"/>
          <w:lang w:val="zh-CN"/>
        </w:rPr>
      </w:pPr>
      <w:r>
        <w:rPr>
          <w:rFonts w:hint="eastAsia" w:ascii="黑体" w:hAnsi="黑体" w:eastAsia="黑体" w:cs="黑体"/>
          <w:bCs/>
          <w:sz w:val="32"/>
          <w:szCs w:val="32"/>
        </w:rPr>
        <w:t>四、项目绩效情况</w:t>
      </w:r>
      <w:r>
        <w:rPr>
          <w:rFonts w:hint="eastAsia" w:ascii="黑体" w:hAnsi="黑体" w:eastAsia="黑体" w:cs="黑体"/>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tbl>
      <w:tblPr>
        <w:tblStyle w:val="13"/>
        <w:tblpPr w:leftFromText="180" w:rightFromText="180" w:vertAnchor="text" w:horzAnchor="page" w:tblpXSpec="center" w:tblpY="423"/>
        <w:tblOverlap w:val="never"/>
        <w:tblW w:w="4988" w:type="pct"/>
        <w:jc w:val="center"/>
        <w:tblLayout w:type="autofit"/>
        <w:tblCellMar>
          <w:top w:w="0" w:type="dxa"/>
          <w:left w:w="0" w:type="dxa"/>
          <w:bottom w:w="0" w:type="dxa"/>
          <w:right w:w="0" w:type="dxa"/>
        </w:tblCellMar>
      </w:tblPr>
      <w:tblGrid>
        <w:gridCol w:w="689"/>
        <w:gridCol w:w="3499"/>
        <w:gridCol w:w="4128"/>
      </w:tblGrid>
      <w:tr>
        <w:tblPrEx>
          <w:tblCellMar>
            <w:top w:w="0" w:type="dxa"/>
            <w:left w:w="0" w:type="dxa"/>
            <w:bottom w:w="0" w:type="dxa"/>
            <w:right w:w="0" w:type="dxa"/>
          </w:tblCellMar>
        </w:tblPrEx>
        <w:trPr>
          <w:trHeight w:val="697" w:hRule="atLeast"/>
          <w:jc w:val="center"/>
        </w:trPr>
        <w:tc>
          <w:tcPr>
            <w:tcW w:w="4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指标</w:t>
            </w: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bidi="ar"/>
              </w:rPr>
              <w:t>具体</w:t>
            </w:r>
            <w:r>
              <w:rPr>
                <w:rFonts w:hint="eastAsia" w:ascii="宋体" w:hAnsi="宋体" w:cs="宋体"/>
                <w:color w:val="000000"/>
                <w:kern w:val="0"/>
                <w:sz w:val="24"/>
                <w:lang w:bidi="ar"/>
              </w:rPr>
              <w:t>指标</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数量指标</w:t>
            </w: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43户已脱贫农户的帮扶跟进</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顺利完成43户已脱贫农户的走访</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476户一般农户的农业产业培训</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农业产业培训3次</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质量指标</w:t>
            </w: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天官村藤椒产业园303亩的持续发展</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藤椒产业园303亩长势良好，产量增收</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天官村林下套作黄精100亩的持续发展</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100亩苹果树和黄精均长势良好，督促完成及时除草，防病。</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43户脱贫户“一超六有”达标</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43户脱贫户“一超六有”均达标</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43户脱贫农户的户办产业园发展良好</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43户脱贫农户的户办产业园发展良好</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时效指标</w:t>
            </w: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数量指标完成时间</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43户农户走访在5月30日之前结束，产业培训2月3日、3月11日、4月30日共三次</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质量指标完成时间</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产业发展良好，及时跟进指导</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成本指标</w:t>
            </w: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1、差旅费</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39</w:t>
            </w:r>
            <w:r>
              <w:rPr>
                <w:rFonts w:hint="eastAsia" w:ascii="宋体" w:hAnsi="宋体" w:eastAsia="宋体" w:cs="宋体"/>
                <w:i w:val="0"/>
                <w:iCs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0"/>
                <w:szCs w:val="20"/>
                <w:u w:val="none"/>
                <w:lang w:val="en-US" w:eastAsia="zh-CN" w:bidi="ar"/>
              </w:rPr>
              <w:t>2、节日慰问费</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08</w:t>
            </w:r>
            <w:r>
              <w:rPr>
                <w:rFonts w:hint="eastAsia" w:ascii="宋体" w:hAnsi="宋体" w:eastAsia="宋体" w:cs="宋体"/>
                <w:i w:val="0"/>
                <w:iCs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90"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3、公务用车运行维护费</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0.0</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1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完成本年度研究任务</w:t>
            </w:r>
          </w:p>
        </w:tc>
        <w:tc>
          <w:tcPr>
            <w:tcW w:w="24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0.5万元</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tbl>
      <w:tblPr>
        <w:tblStyle w:val="13"/>
        <w:tblpPr w:leftFromText="180" w:rightFromText="180" w:vertAnchor="text" w:horzAnchor="page" w:tblpXSpec="center" w:tblpY="423"/>
        <w:tblOverlap w:val="never"/>
        <w:tblW w:w="5002" w:type="pct"/>
        <w:jc w:val="center"/>
        <w:tblLayout w:type="autofit"/>
        <w:tblCellMar>
          <w:top w:w="0" w:type="dxa"/>
          <w:left w:w="0" w:type="dxa"/>
          <w:bottom w:w="0" w:type="dxa"/>
          <w:right w:w="0" w:type="dxa"/>
        </w:tblCellMar>
      </w:tblPr>
      <w:tblGrid>
        <w:gridCol w:w="656"/>
        <w:gridCol w:w="3867"/>
        <w:gridCol w:w="3356"/>
        <w:gridCol w:w="460"/>
      </w:tblGrid>
      <w:tr>
        <w:tblPrEx>
          <w:tblCellMar>
            <w:top w:w="0" w:type="dxa"/>
            <w:left w:w="0" w:type="dxa"/>
            <w:bottom w:w="0" w:type="dxa"/>
            <w:right w:w="0" w:type="dxa"/>
          </w:tblCellMar>
        </w:tblPrEx>
        <w:trPr>
          <w:gridAfter w:val="1"/>
          <w:wAfter w:w="275" w:type="pct"/>
          <w:trHeight w:val="519" w:hRule="atLeast"/>
          <w:jc w:val="center"/>
        </w:trPr>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eastAsia="宋体" w:cs="宋体"/>
                <w:color w:val="000000"/>
                <w:sz w:val="24"/>
              </w:rPr>
            </w:pPr>
            <w:r>
              <w:rPr>
                <w:rFonts w:hint="eastAsia" w:ascii="宋体" w:hAnsi="宋体" w:eastAsia="宋体" w:cs="宋体"/>
                <w:color w:val="000000"/>
                <w:kern w:val="0"/>
                <w:sz w:val="24"/>
                <w:lang w:bidi="ar"/>
              </w:rPr>
              <w:t>指标</w:t>
            </w: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eastAsia="宋体" w:cs="宋体"/>
                <w:color w:val="000000"/>
                <w:sz w:val="24"/>
              </w:rPr>
            </w:pPr>
            <w:r>
              <w:rPr>
                <w:rFonts w:hint="eastAsia" w:ascii="宋体" w:hAnsi="宋体" w:eastAsia="宋体" w:cs="宋体"/>
                <w:color w:val="000000"/>
                <w:kern w:val="0"/>
                <w:sz w:val="24"/>
                <w:lang w:eastAsia="zh-CN" w:bidi="ar"/>
              </w:rPr>
              <w:t>具体</w:t>
            </w:r>
            <w:r>
              <w:rPr>
                <w:rFonts w:hint="eastAsia" w:ascii="宋体" w:hAnsi="宋体" w:eastAsia="宋体" w:cs="宋体"/>
                <w:color w:val="000000"/>
                <w:kern w:val="0"/>
                <w:sz w:val="24"/>
                <w:lang w:bidi="ar"/>
              </w:rPr>
              <w:t>指标</w:t>
            </w:r>
          </w:p>
        </w:tc>
        <w:tc>
          <w:tcPr>
            <w:tcW w:w="20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eastAsia="宋体" w:cs="宋体"/>
                <w:color w:val="000000"/>
                <w:sz w:val="24"/>
              </w:rPr>
            </w:pPr>
            <w:r>
              <w:rPr>
                <w:rFonts w:hint="eastAsia" w:ascii="宋体" w:hAnsi="宋体" w:eastAsia="宋体" w:cs="宋体"/>
                <w:color w:val="000000"/>
                <w:kern w:val="0"/>
                <w:sz w:val="24"/>
                <w:lang w:bidi="ar"/>
              </w:rPr>
              <w:t>实际完成指标值</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为两村的脱贫户增加经济收入</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通过产业培训，宣传购买良种、良法，户办产业均有增收</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为两村519户农户增加经济收入</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通过产业培训、宣传销售，使两村519户农户增加经济收入</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巩固脱贫策成果</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介绍就业、农产品销售，巩固脱贫策成果</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提高两村的集体经济收入</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村集体富裕，带动农户发展产业，促进就业</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协调当地政府，基础设施建设</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协调当地政府，基础设施建设，滑坡路段维修，确保每一户不断水</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推广有机绿色品种及农作物栽培方式</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推广有机绿色品种水稻、玉米、油菜等及农作物栽培方式</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推广修建、使用化粪池</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使用化粪池</w:t>
            </w:r>
            <w:r>
              <w:rPr>
                <w:rFonts w:hint="eastAsia" w:ascii="宋体" w:hAnsi="宋体" w:cs="宋体"/>
                <w:i w:val="0"/>
                <w:iCs w:val="0"/>
                <w:color w:val="000000"/>
                <w:kern w:val="0"/>
                <w:sz w:val="20"/>
                <w:szCs w:val="20"/>
                <w:u w:val="none"/>
                <w:lang w:val="en-US" w:eastAsia="zh-CN" w:bidi="ar"/>
              </w:rPr>
              <w:t>，维护宣传</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指导当地农户使用清洁能源，沼气使用</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天官村天然气已入户，宣传当地农户使用清洁能源，沼气使用</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提高当地环境卫生条件</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宣传环境卫生，党员带头打扫路俩旁卫生，提高当地环境卫生条件</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发展特色产业经济</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发展特色产业经济，如柏溪村脆香甜柚、柑橘，天官村藤椒。</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村集体经济良性发展</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村集体经济良性发展，承包户均有利润</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4"/>
                <w:szCs w:val="24"/>
              </w:rPr>
            </w:pPr>
            <w:r>
              <w:rPr>
                <w:rFonts w:hint="eastAsia" w:ascii="宋体" w:hAnsi="宋体" w:eastAsia="宋体" w:cs="宋体"/>
                <w:i w:val="0"/>
                <w:iCs w:val="0"/>
                <w:color w:val="000000"/>
                <w:kern w:val="0"/>
                <w:sz w:val="24"/>
                <w:szCs w:val="24"/>
                <w:u w:val="none"/>
                <w:lang w:val="en-US" w:eastAsia="zh-CN" w:bidi="ar"/>
              </w:rPr>
              <w:t>满意度指标</w:t>
            </w: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脱贫户的返贫率</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集体经济产业发展</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color w:val="000000"/>
                <w:sz w:val="24"/>
                <w:szCs w:val="24"/>
              </w:rPr>
            </w:pPr>
          </w:p>
        </w:tc>
        <w:tc>
          <w:tcPr>
            <w:tcW w:w="23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周围农户的带动发展</w:t>
            </w:r>
          </w:p>
        </w:tc>
        <w:tc>
          <w:tcPr>
            <w:tcW w:w="228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adjustRightInd w:val="0"/>
        <w:snapToGrid w:val="0"/>
        <w:spacing w:line="600" w:lineRule="exact"/>
        <w:ind w:firstLine="600" w:firstLineChars="200"/>
        <w:rPr>
          <w:rFonts w:ascii="仿宋_GB2312" w:hAnsi="宋体" w:eastAsia="仿宋_GB2312"/>
          <w:sz w:val="32"/>
          <w:szCs w:val="32"/>
          <w:bdr w:val="single" w:color="auto" w:sz="4" w:space="0"/>
          <w:lang w:val="zh-CN"/>
        </w:rPr>
      </w:pPr>
      <w:r>
        <w:rPr>
          <w:rFonts w:hint="eastAsia" w:ascii="仿宋" w:hAnsi="仿宋" w:eastAsia="仿宋"/>
          <w:sz w:val="30"/>
          <w:szCs w:val="30"/>
          <w:lang w:eastAsia="zh-CN"/>
        </w:rPr>
        <w:t>驻村帮扶工作项目经费的</w:t>
      </w:r>
      <w:r>
        <w:rPr>
          <w:rFonts w:hint="eastAsia" w:ascii="仿宋" w:hAnsi="仿宋" w:eastAsia="仿宋"/>
          <w:sz w:val="30"/>
          <w:szCs w:val="30"/>
        </w:rPr>
        <w:t>使用保障了我院</w:t>
      </w:r>
      <w:r>
        <w:rPr>
          <w:rFonts w:hint="eastAsia" w:ascii="仿宋" w:hAnsi="仿宋" w:eastAsia="仿宋"/>
          <w:sz w:val="30"/>
          <w:szCs w:val="30"/>
          <w:lang w:eastAsia="zh-CN"/>
        </w:rPr>
        <w:t>脱贫攻坚工作</w:t>
      </w:r>
      <w:r>
        <w:rPr>
          <w:rFonts w:hint="eastAsia" w:ascii="仿宋" w:hAnsi="仿宋" w:eastAsia="仿宋"/>
          <w:sz w:val="30"/>
          <w:szCs w:val="30"/>
        </w:rPr>
        <w:t>的正常进行，202</w:t>
      </w:r>
      <w:r>
        <w:rPr>
          <w:rFonts w:hint="eastAsia" w:ascii="仿宋" w:hAnsi="仿宋" w:eastAsia="仿宋"/>
          <w:sz w:val="30"/>
          <w:szCs w:val="30"/>
          <w:lang w:val="en-US" w:eastAsia="zh-CN"/>
        </w:rPr>
        <w:t>1</w:t>
      </w:r>
      <w:r>
        <w:rPr>
          <w:rFonts w:hint="eastAsia" w:ascii="仿宋" w:hAnsi="仿宋" w:eastAsia="仿宋"/>
          <w:sz w:val="30"/>
          <w:szCs w:val="30"/>
        </w:rPr>
        <w:t>年我院资金到位率100%，在使用中严格执行财务管理相关制度和</w:t>
      </w:r>
      <w:r>
        <w:rPr>
          <w:rFonts w:hint="eastAsia" w:ascii="仿宋" w:hAnsi="仿宋" w:eastAsia="仿宋"/>
          <w:sz w:val="30"/>
          <w:szCs w:val="30"/>
          <w:lang w:eastAsia="zh-CN"/>
        </w:rPr>
        <w:t>脱贫攻坚</w:t>
      </w:r>
      <w:r>
        <w:rPr>
          <w:rFonts w:hint="eastAsia" w:ascii="仿宋" w:hAnsi="仿宋" w:eastAsia="仿宋"/>
          <w:sz w:val="30"/>
          <w:szCs w:val="30"/>
        </w:rPr>
        <w:t>项目管理办法规定，管理规范，做到了专款专用，无贪污、截留、挪用现象。按照围绕专项项目支出绩效评价指标体系评分标准，我院自评得分100分。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adjustRightInd w:val="0"/>
        <w:snapToGrid w:val="0"/>
        <w:spacing w:line="600" w:lineRule="exact"/>
        <w:ind w:firstLine="600" w:firstLineChars="200"/>
        <w:rPr>
          <w:rFonts w:hint="eastAsia" w:ascii="仿宋_GB2312" w:hAnsi="宋体" w:eastAsia="仿宋"/>
          <w:sz w:val="30"/>
          <w:szCs w:val="30"/>
          <w:lang w:val="zh-CN" w:eastAsia="zh-CN"/>
        </w:rPr>
      </w:pPr>
      <w:r>
        <w:rPr>
          <w:rFonts w:hint="eastAsia" w:ascii="仿宋" w:hAnsi="仿宋" w:eastAsia="仿宋"/>
          <w:color w:val="000000"/>
          <w:sz w:val="30"/>
          <w:szCs w:val="30"/>
        </w:rPr>
        <w:t>一是</w:t>
      </w:r>
      <w:r>
        <w:rPr>
          <w:rFonts w:hint="eastAsia" w:ascii="仿宋" w:hAnsi="仿宋" w:eastAsia="仿宋"/>
          <w:color w:val="000000"/>
          <w:sz w:val="30"/>
          <w:szCs w:val="30"/>
          <w:lang w:eastAsia="zh-CN"/>
        </w:rPr>
        <w:t>未谋划资金使用方向，没有优先把重点项目实施方案列出来，抓紧实施。二是</w:t>
      </w:r>
      <w:r>
        <w:rPr>
          <w:rFonts w:hint="eastAsia" w:ascii="仿宋" w:hAnsi="仿宋" w:eastAsia="仿宋"/>
          <w:color w:val="000000"/>
          <w:sz w:val="30"/>
          <w:szCs w:val="30"/>
        </w:rPr>
        <w:t>工作</w:t>
      </w:r>
      <w:r>
        <w:rPr>
          <w:rFonts w:hint="eastAsia" w:ascii="仿宋" w:hAnsi="仿宋" w:eastAsia="仿宋"/>
          <w:color w:val="000000"/>
          <w:sz w:val="30"/>
          <w:szCs w:val="30"/>
          <w:lang w:eastAsia="zh-CN"/>
        </w:rPr>
        <w:t>未</w:t>
      </w:r>
      <w:r>
        <w:rPr>
          <w:rFonts w:hint="eastAsia" w:ascii="仿宋" w:hAnsi="仿宋" w:eastAsia="仿宋"/>
          <w:color w:val="000000"/>
          <w:sz w:val="30"/>
          <w:szCs w:val="30"/>
        </w:rPr>
        <w:t>做精做细，</w:t>
      </w:r>
      <w:r>
        <w:rPr>
          <w:rFonts w:hint="eastAsia" w:ascii="仿宋" w:hAnsi="仿宋" w:eastAsia="仿宋"/>
          <w:color w:val="000000"/>
          <w:sz w:val="30"/>
          <w:szCs w:val="30"/>
          <w:lang w:eastAsia="zh-CN"/>
        </w:rPr>
        <w:t>脱贫农户反应的在产业技术和生产生活方面的困难，要积极设法帮扶。</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adjustRightInd w:val="0"/>
        <w:snapToGrid w:val="0"/>
        <w:spacing w:line="600" w:lineRule="exact"/>
        <w:ind w:firstLine="600" w:firstLineChars="200"/>
        <w:rPr>
          <w:rFonts w:hint="eastAsia" w:ascii="仿宋" w:hAnsi="仿宋" w:eastAsia="仿宋" w:cs="Times New Roman"/>
          <w:color w:val="000000"/>
          <w:sz w:val="30"/>
          <w:szCs w:val="30"/>
          <w:lang w:val="en-US" w:eastAsia="zh-CN"/>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Times New Roman"/>
          <w:color w:val="000000"/>
          <w:sz w:val="30"/>
          <w:szCs w:val="30"/>
          <w:lang w:val="en-US" w:eastAsia="zh-CN"/>
        </w:rPr>
        <w:t>后续乡村振兴实施过程中，要积极争取技术支持和资金支持，为前期开展的集体经济增添活力和支持。持续关注家庭困难户和产业发展销路问题</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tbl>
      <w:tblPr>
        <w:tblStyle w:val="13"/>
        <w:tblpPr w:leftFromText="180" w:rightFromText="180" w:vertAnchor="text" w:horzAnchor="page" w:tblpX="1281" w:tblpY="660"/>
        <w:tblOverlap w:val="never"/>
        <w:tblW w:w="10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4"/>
        <w:gridCol w:w="1140"/>
        <w:gridCol w:w="1410"/>
        <w:gridCol w:w="1545"/>
        <w:gridCol w:w="1440"/>
        <w:gridCol w:w="277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87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1"/>
                <w:szCs w:val="21"/>
                <w:highlight w:val="none"/>
                <w:u w:val="none"/>
              </w:rPr>
              <w:t>广元市农业科学研究院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2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2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2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97" w:hRule="atLeast"/>
        </w:trPr>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1.完成贫困村柏溪村16户脱贫户和非贫困村天官村27户脱贫户（原北斗村部分）全面脱贫后的继续帮扶跟进工作；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2.进村入户，开展技术服务，巩固发展两村集体经济和户办产业园；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3.宣讲脱贫攻坚和乡村振兴政策，慰问特殊困难户</w:t>
            </w:r>
            <w:r>
              <w:rPr>
                <w:rFonts w:hint="eastAsia" w:ascii="宋体" w:hAnsi="宋体" w:cs="宋体"/>
                <w:i w:val="0"/>
                <w:color w:val="auto"/>
                <w:sz w:val="24"/>
                <w:szCs w:val="24"/>
                <w:highlight w:val="none"/>
                <w:u w:val="none"/>
                <w:lang w:eastAsia="zh-CN"/>
              </w:rPr>
              <w:t>。</w:t>
            </w:r>
          </w:p>
        </w:tc>
        <w:tc>
          <w:tcPr>
            <w:tcW w:w="42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1.完成贫困村柏溪村16户脱贫户和非贫困村天官村27户脱贫户（原北斗村部分）全面脱贫后的继续帮扶跟进工作；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2.进村入户，已开展技术服务，巩固发展两村集体经济和户办产业园；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3.持续宣讲脱贫攻坚和乡村振兴政策，已慰问特殊困难户。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15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 43户已脱贫农户的帮扶跟进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顺利完成43户已脱贫农户的走访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 476户一般农户的农业产业培训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农业产业培训3次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0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天官村藤椒产业园303亩的持续发展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藤椒成活且长势良好，面积无减少</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藤椒产业园303亩长势良好，产量增收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0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天官村林下套作黄精100亩的持续发展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苹果树、黄精均长势良好，无病害</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100亩苹果树和黄精均长势良好，督促完成及时除草，防病。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5"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43户脱贫户“一超六有”达标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确保43户已脱贫户不能返贫</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43户脱贫户“一超六有”均达标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0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43户脱贫农户的户办产业园发展良好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产业持续增收</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43户脱贫农户的户办产业园发展良好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2"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数量指标完成时间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2021年7月前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43户农户走访在5月30日之前结束，产业培训2月3日、3月11日、4月30日共三次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2"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质量指标完成时间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2021年7月前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产业发展良好，及时跟进指导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2"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1、差旅费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0.3万元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0.39万元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2"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2、节日慰问费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0.1万元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2"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3、公务用车运行维护费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0.1万元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2"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完成本年度研究任务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0.5万元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25"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效益</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为两村的脱贫户增加经济收入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43户脱贫户发展产业，脱贫致富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通过产业培训，宣传购买良种、良法，户办产业均有增收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25"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为两村519户农户增加经济收入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指导产业技术，助农增收</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通过产业培训、宣传销售，使两村519户农户增加经济收入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巩固脱贫策成果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提高农民收入，不返贫</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介绍就业、农产品销售，巩固脱贫策成果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提高两村的集体经济收入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村集体富裕，带动农户发展产业，促进就业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技术指导、产品销售，提高两村的集体经济收入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协调当地政府，基础设施建设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硬化道路，饮水安全，村容整洁</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协调当地政府，基础设施建设，滑坡路段维修，确保每一户不断水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生效效益指标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推广有机绿色品种及农作物栽培方式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减少农药施用，美化环境条件</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推广有机绿色品种水稻、玉米、油菜等及农作物栽培方式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推广修建、使用化粪池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减少水质污染，优化村居环境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推广修建、使用化粪池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指导当地农户使用清洁能源，沼气使用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利用家畜粪便及农作物秸秆，禁止焚烧污染</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指导当地农户使用清洁能源，沼气使用及天官村天然气入户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可持续影响 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提高当地环境卫生条件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循环利用沼气，化粪池</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宣传环境卫生，党员带头打扫路俩旁卫生，提高当地环境卫生条件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发展特色产业经济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发展特色产业经济，如柏溪村脆香甜柚、柑橘，天官村藤椒。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村集体经济良性发展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带动当地农户就业增收</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村集体经济良性发展，承包户均有利润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满意</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脱贫户的返贫率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14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pPr>
          </w:p>
        </w:tc>
        <w:tc>
          <w:tcPr>
            <w:tcW w:w="14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脱贫农户</w:t>
            </w:r>
            <w:r>
              <w:rPr>
                <w:rFonts w:hint="eastAsia" w:ascii="宋体" w:hAnsi="宋体" w:eastAsia="宋体" w:cs="宋体"/>
                <w:i w:val="0"/>
                <w:iCs w:val="0"/>
                <w:color w:val="000000"/>
                <w:kern w:val="0"/>
                <w:sz w:val="18"/>
                <w:szCs w:val="18"/>
                <w:u w:val="none"/>
                <w:lang w:val="en-US" w:eastAsia="zh-CN" w:bidi="ar"/>
              </w:rPr>
              <w:t>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6" w:hRule="atLeast"/>
        </w:trPr>
        <w:tc>
          <w:tcPr>
            <w:tcW w:w="15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周围农户满意度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r>
    </w:tbl>
    <w:p/>
    <w:p>
      <w:pPr>
        <w:pStyle w:val="6"/>
        <w:rPr>
          <w:rFonts w:hint="eastAsia" w:hAnsi="宋体" w:cs="宋体"/>
          <w:color w:val="auto"/>
          <w:kern w:val="0"/>
          <w:sz w:val="32"/>
          <w:szCs w:val="32"/>
          <w:highlight w:val="none"/>
          <w:shd w:val="clear" w:color="auto" w:fill="FFFFFF"/>
          <w:lang w:val="zh-CN"/>
        </w:rPr>
      </w:pPr>
    </w:p>
    <w:p>
      <w:pPr>
        <w:spacing w:line="600" w:lineRule="exact"/>
        <w:jc w:val="center"/>
        <w:outlineLvl w:val="0"/>
        <w:rPr>
          <w:rFonts w:hint="eastAsia" w:ascii="黑体" w:hAnsi="黑体" w:eastAsia="黑体"/>
          <w:color w:val="auto"/>
          <w:sz w:val="44"/>
          <w:szCs w:val="44"/>
          <w:highlight w:val="none"/>
        </w:rPr>
      </w:pPr>
      <w:bookmarkStart w:id="61" w:name="_Toc15396618"/>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7"/>
      <w:bookmarkEnd w:id="61"/>
      <w:bookmarkStart w:id="62"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62"/>
    </w:p>
    <w:p>
      <w:pPr>
        <w:pStyle w:val="4"/>
        <w:rPr>
          <w:rFonts w:ascii="仿宋" w:hAnsi="仿宋" w:eastAsia="仿宋"/>
          <w:color w:val="auto"/>
          <w:highlight w:val="none"/>
        </w:rPr>
      </w:pPr>
      <w:bookmarkStart w:id="63"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63"/>
    </w:p>
    <w:p>
      <w:pPr>
        <w:pStyle w:val="4"/>
        <w:rPr>
          <w:rFonts w:ascii="仿宋" w:hAnsi="仿宋" w:eastAsia="仿宋"/>
          <w:color w:val="auto"/>
          <w:highlight w:val="none"/>
        </w:rPr>
      </w:pPr>
      <w:bookmarkStart w:id="64"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64"/>
    </w:p>
    <w:p>
      <w:pPr>
        <w:pStyle w:val="4"/>
        <w:rPr>
          <w:rFonts w:ascii="仿宋" w:hAnsi="仿宋" w:eastAsia="仿宋"/>
          <w:b w:val="0"/>
          <w:color w:val="auto"/>
          <w:highlight w:val="none"/>
        </w:rPr>
      </w:pPr>
      <w:bookmarkStart w:id="65"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65"/>
    </w:p>
    <w:p>
      <w:pPr>
        <w:pStyle w:val="4"/>
        <w:rPr>
          <w:rStyle w:val="26"/>
          <w:rFonts w:ascii="仿宋" w:hAnsi="仿宋" w:eastAsia="仿宋"/>
          <w:b w:val="0"/>
          <w:bCs w:val="0"/>
          <w:color w:val="auto"/>
          <w:highlight w:val="none"/>
        </w:rPr>
      </w:pPr>
      <w:bookmarkStart w:id="66"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66"/>
      <w:bookmarkStart w:id="67"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67"/>
    </w:p>
    <w:p>
      <w:pPr>
        <w:pStyle w:val="4"/>
        <w:rPr>
          <w:rFonts w:ascii="仿宋" w:hAnsi="仿宋" w:eastAsia="仿宋"/>
          <w:color w:val="auto"/>
          <w:highlight w:val="none"/>
        </w:rPr>
      </w:pPr>
      <w:bookmarkStart w:id="68"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8"/>
    </w:p>
    <w:p>
      <w:pPr>
        <w:pStyle w:val="4"/>
        <w:rPr>
          <w:rFonts w:ascii="仿宋" w:hAnsi="仿宋" w:eastAsia="仿宋"/>
          <w:color w:val="auto"/>
          <w:highlight w:val="none"/>
        </w:rPr>
      </w:pPr>
      <w:bookmarkStart w:id="69"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9"/>
    </w:p>
    <w:p>
      <w:pPr>
        <w:pStyle w:val="4"/>
        <w:rPr>
          <w:rFonts w:ascii="仿宋" w:hAnsi="仿宋" w:eastAsia="仿宋"/>
          <w:color w:val="auto"/>
          <w:highlight w:val="none"/>
        </w:rPr>
      </w:pPr>
      <w:bookmarkStart w:id="70"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70"/>
    </w:p>
    <w:p>
      <w:pPr>
        <w:pStyle w:val="4"/>
        <w:rPr>
          <w:rFonts w:ascii="仿宋" w:hAnsi="仿宋" w:eastAsia="仿宋"/>
          <w:color w:val="auto"/>
          <w:highlight w:val="none"/>
        </w:rPr>
      </w:pPr>
      <w:bookmarkStart w:id="71"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71"/>
    </w:p>
    <w:p>
      <w:pPr>
        <w:pStyle w:val="4"/>
        <w:rPr>
          <w:rFonts w:ascii="仿宋" w:hAnsi="仿宋" w:eastAsia="仿宋"/>
          <w:color w:val="auto"/>
          <w:highlight w:val="none"/>
        </w:rPr>
      </w:pPr>
      <w:bookmarkStart w:id="72"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72"/>
    </w:p>
    <w:p>
      <w:pPr>
        <w:pStyle w:val="4"/>
        <w:rPr>
          <w:rFonts w:ascii="仿宋" w:hAnsi="仿宋" w:eastAsia="仿宋"/>
          <w:color w:val="auto"/>
          <w:highlight w:val="none"/>
        </w:rPr>
      </w:pPr>
      <w:bookmarkStart w:id="73"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73"/>
    </w:p>
    <w:p>
      <w:pPr>
        <w:pStyle w:val="4"/>
        <w:rPr>
          <w:rStyle w:val="26"/>
          <w:rFonts w:hint="eastAsia" w:ascii="仿宋" w:hAnsi="仿宋" w:eastAsia="仿宋"/>
          <w:b w:val="0"/>
          <w:bCs w:val="0"/>
          <w:color w:val="auto"/>
          <w:highlight w:val="none"/>
        </w:rPr>
      </w:pPr>
      <w:bookmarkStart w:id="74"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74"/>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4FE5A"/>
    <w:multiLevelType w:val="singleLevel"/>
    <w:tmpl w:val="8F24FE5A"/>
    <w:lvl w:ilvl="0" w:tentative="0">
      <w:start w:val="1"/>
      <w:numFmt w:val="chineseCounting"/>
      <w:suff w:val="nothing"/>
      <w:lvlText w:val="%1、"/>
      <w:lvlJc w:val="left"/>
      <w:rPr>
        <w:rFonts w:hint="eastAsia"/>
      </w:rPr>
    </w:lvl>
  </w:abstractNum>
  <w:abstractNum w:abstractNumId="1">
    <w:nsid w:val="8F81D61D"/>
    <w:multiLevelType w:val="singleLevel"/>
    <w:tmpl w:val="8F81D61D"/>
    <w:lvl w:ilvl="0" w:tentative="0">
      <w:start w:val="2"/>
      <w:numFmt w:val="decimal"/>
      <w:suff w:val="nothing"/>
      <w:lvlText w:val="%1．"/>
      <w:lvlJc w:val="left"/>
    </w:lvl>
  </w:abstractNum>
  <w:abstractNum w:abstractNumId="2">
    <w:nsid w:val="BDC728D1"/>
    <w:multiLevelType w:val="singleLevel"/>
    <w:tmpl w:val="BDC728D1"/>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E147A39"/>
    <w:multiLevelType w:val="singleLevel"/>
    <w:tmpl w:val="2E147A39"/>
    <w:lvl w:ilvl="0" w:tentative="0">
      <w:start w:val="2"/>
      <w:numFmt w:val="decimal"/>
      <w:suff w:val="nothing"/>
      <w:lvlText w:val="%1．"/>
      <w:lvlJc w:val="left"/>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mQyZDQxODVjYmFlOTkxNzQ4NTM3NjU2YTdlN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E70F3"/>
    <w:rsid w:val="01CE57B8"/>
    <w:rsid w:val="0248000B"/>
    <w:rsid w:val="025D6B3C"/>
    <w:rsid w:val="02901D65"/>
    <w:rsid w:val="03477FF0"/>
    <w:rsid w:val="03D96696"/>
    <w:rsid w:val="03FC78FA"/>
    <w:rsid w:val="04AC34BA"/>
    <w:rsid w:val="057F6DC9"/>
    <w:rsid w:val="05981D2C"/>
    <w:rsid w:val="05E35A6C"/>
    <w:rsid w:val="066E0107"/>
    <w:rsid w:val="07996F6E"/>
    <w:rsid w:val="08A91427"/>
    <w:rsid w:val="0A2032A3"/>
    <w:rsid w:val="0A2F1479"/>
    <w:rsid w:val="0B99455B"/>
    <w:rsid w:val="0CDA502B"/>
    <w:rsid w:val="0CF54541"/>
    <w:rsid w:val="0D756FCB"/>
    <w:rsid w:val="0E550ABC"/>
    <w:rsid w:val="0F1724C5"/>
    <w:rsid w:val="0F3E4355"/>
    <w:rsid w:val="0FCB77DB"/>
    <w:rsid w:val="10045CAD"/>
    <w:rsid w:val="101860EC"/>
    <w:rsid w:val="101C29CD"/>
    <w:rsid w:val="103510F8"/>
    <w:rsid w:val="10916C0C"/>
    <w:rsid w:val="10C055FF"/>
    <w:rsid w:val="10E56756"/>
    <w:rsid w:val="11542078"/>
    <w:rsid w:val="118107EC"/>
    <w:rsid w:val="11CB117A"/>
    <w:rsid w:val="12284751"/>
    <w:rsid w:val="124A70DD"/>
    <w:rsid w:val="12557610"/>
    <w:rsid w:val="13557D81"/>
    <w:rsid w:val="13570030"/>
    <w:rsid w:val="13D50BC4"/>
    <w:rsid w:val="14B75184"/>
    <w:rsid w:val="16BB723D"/>
    <w:rsid w:val="172E563C"/>
    <w:rsid w:val="175A4366"/>
    <w:rsid w:val="180A5720"/>
    <w:rsid w:val="18694035"/>
    <w:rsid w:val="18CB2F2F"/>
    <w:rsid w:val="1979275E"/>
    <w:rsid w:val="19A87789"/>
    <w:rsid w:val="1A024F63"/>
    <w:rsid w:val="1B5002CC"/>
    <w:rsid w:val="1BE8440E"/>
    <w:rsid w:val="1BF73705"/>
    <w:rsid w:val="1D155CEE"/>
    <w:rsid w:val="1D1C3424"/>
    <w:rsid w:val="1E476CC0"/>
    <w:rsid w:val="1E4E1D03"/>
    <w:rsid w:val="1EB0344F"/>
    <w:rsid w:val="1F2962CC"/>
    <w:rsid w:val="1FF82DDD"/>
    <w:rsid w:val="20457135"/>
    <w:rsid w:val="20634019"/>
    <w:rsid w:val="21130FE1"/>
    <w:rsid w:val="21445B1A"/>
    <w:rsid w:val="22411C35"/>
    <w:rsid w:val="22B85889"/>
    <w:rsid w:val="23860B96"/>
    <w:rsid w:val="240371BF"/>
    <w:rsid w:val="251666B8"/>
    <w:rsid w:val="2533355B"/>
    <w:rsid w:val="25F92DEC"/>
    <w:rsid w:val="264439EB"/>
    <w:rsid w:val="27CF43FC"/>
    <w:rsid w:val="29FD04D3"/>
    <w:rsid w:val="2AC52012"/>
    <w:rsid w:val="2BBA718F"/>
    <w:rsid w:val="2C8A61B5"/>
    <w:rsid w:val="2CC627D9"/>
    <w:rsid w:val="2D1B5331"/>
    <w:rsid w:val="2D201460"/>
    <w:rsid w:val="2D267337"/>
    <w:rsid w:val="2D414068"/>
    <w:rsid w:val="2D8B5A6B"/>
    <w:rsid w:val="2DF04E50"/>
    <w:rsid w:val="2E6136A4"/>
    <w:rsid w:val="2ECC5811"/>
    <w:rsid w:val="2F6550C0"/>
    <w:rsid w:val="2F77157D"/>
    <w:rsid w:val="319F7F4E"/>
    <w:rsid w:val="32F842C3"/>
    <w:rsid w:val="35542952"/>
    <w:rsid w:val="35677EEE"/>
    <w:rsid w:val="359F7AA1"/>
    <w:rsid w:val="35BD319C"/>
    <w:rsid w:val="35C90F76"/>
    <w:rsid w:val="36AA5135"/>
    <w:rsid w:val="37C91A63"/>
    <w:rsid w:val="37E16F03"/>
    <w:rsid w:val="38163439"/>
    <w:rsid w:val="38F16489"/>
    <w:rsid w:val="38F909F9"/>
    <w:rsid w:val="396D187F"/>
    <w:rsid w:val="39D11385"/>
    <w:rsid w:val="39F33D90"/>
    <w:rsid w:val="3A9834B4"/>
    <w:rsid w:val="3AD6361B"/>
    <w:rsid w:val="3AE0388B"/>
    <w:rsid w:val="3B405F83"/>
    <w:rsid w:val="3D845CEA"/>
    <w:rsid w:val="3D98207C"/>
    <w:rsid w:val="3ED572BD"/>
    <w:rsid w:val="400C7DB1"/>
    <w:rsid w:val="407E5CAF"/>
    <w:rsid w:val="40A769E2"/>
    <w:rsid w:val="425031F0"/>
    <w:rsid w:val="429F41F9"/>
    <w:rsid w:val="43392510"/>
    <w:rsid w:val="43B04200"/>
    <w:rsid w:val="43DD12AF"/>
    <w:rsid w:val="44986058"/>
    <w:rsid w:val="44E268DA"/>
    <w:rsid w:val="45A51959"/>
    <w:rsid w:val="46802896"/>
    <w:rsid w:val="478E6C7B"/>
    <w:rsid w:val="482C7C3A"/>
    <w:rsid w:val="49377307"/>
    <w:rsid w:val="49766784"/>
    <w:rsid w:val="49AC5A24"/>
    <w:rsid w:val="4A627F82"/>
    <w:rsid w:val="4AAF5EBB"/>
    <w:rsid w:val="4B4F25DA"/>
    <w:rsid w:val="4B8D4B24"/>
    <w:rsid w:val="4BE068DB"/>
    <w:rsid w:val="4C821688"/>
    <w:rsid w:val="4D577224"/>
    <w:rsid w:val="4DF42C20"/>
    <w:rsid w:val="4EA87620"/>
    <w:rsid w:val="4EAB630A"/>
    <w:rsid w:val="4ECE2238"/>
    <w:rsid w:val="4EDB63EB"/>
    <w:rsid w:val="4F002706"/>
    <w:rsid w:val="4F1A7015"/>
    <w:rsid w:val="5003076B"/>
    <w:rsid w:val="5047158B"/>
    <w:rsid w:val="50AB13A9"/>
    <w:rsid w:val="510A48E4"/>
    <w:rsid w:val="5250055E"/>
    <w:rsid w:val="53397B84"/>
    <w:rsid w:val="562121B1"/>
    <w:rsid w:val="5621327D"/>
    <w:rsid w:val="59426BB8"/>
    <w:rsid w:val="594C0EDC"/>
    <w:rsid w:val="5A2734E6"/>
    <w:rsid w:val="5AB01859"/>
    <w:rsid w:val="5AF92295"/>
    <w:rsid w:val="5C5951DB"/>
    <w:rsid w:val="5CD23851"/>
    <w:rsid w:val="5CD71FC4"/>
    <w:rsid w:val="5D432DCC"/>
    <w:rsid w:val="5E1A091A"/>
    <w:rsid w:val="5EC56770"/>
    <w:rsid w:val="5F2345A8"/>
    <w:rsid w:val="5FC64F55"/>
    <w:rsid w:val="60320108"/>
    <w:rsid w:val="611A7A6C"/>
    <w:rsid w:val="615103D2"/>
    <w:rsid w:val="631E3F54"/>
    <w:rsid w:val="63DD455C"/>
    <w:rsid w:val="64635393"/>
    <w:rsid w:val="66376316"/>
    <w:rsid w:val="672B6D3E"/>
    <w:rsid w:val="6804655B"/>
    <w:rsid w:val="68A00683"/>
    <w:rsid w:val="6A2B6021"/>
    <w:rsid w:val="6AC3666E"/>
    <w:rsid w:val="6B60619E"/>
    <w:rsid w:val="6C4A05C8"/>
    <w:rsid w:val="6CC81F87"/>
    <w:rsid w:val="6E2B5031"/>
    <w:rsid w:val="6E470F4F"/>
    <w:rsid w:val="6E7E3605"/>
    <w:rsid w:val="6FF5CC65"/>
    <w:rsid w:val="711861D1"/>
    <w:rsid w:val="715C0E4B"/>
    <w:rsid w:val="72734D90"/>
    <w:rsid w:val="73822211"/>
    <w:rsid w:val="73AD73D5"/>
    <w:rsid w:val="73B6EB34"/>
    <w:rsid w:val="741B70BF"/>
    <w:rsid w:val="76005868"/>
    <w:rsid w:val="761A53BA"/>
    <w:rsid w:val="766A4BBD"/>
    <w:rsid w:val="772001B6"/>
    <w:rsid w:val="779F48C1"/>
    <w:rsid w:val="77D87B1F"/>
    <w:rsid w:val="79202896"/>
    <w:rsid w:val="79EE5BA4"/>
    <w:rsid w:val="7A894339"/>
    <w:rsid w:val="7A9B65C4"/>
    <w:rsid w:val="7B98728E"/>
    <w:rsid w:val="7C070757"/>
    <w:rsid w:val="7C1D7794"/>
    <w:rsid w:val="7C9E112C"/>
    <w:rsid w:val="7CCD5C25"/>
    <w:rsid w:val="7E0D165C"/>
    <w:rsid w:val="7E6B1E5B"/>
    <w:rsid w:val="7EED7499"/>
    <w:rsid w:val="7EEF11D3"/>
    <w:rsid w:val="7FA30C79"/>
    <w:rsid w:val="7FBD3051"/>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2057.06</c:v>
                </c:pt>
                <c:pt idx="1">
                  <c:v>679.22</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57842200"/>
        <c:axId val="176029420"/>
      </c:barChart>
      <c:catAx>
        <c:axId val="5578422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029420"/>
        <c:crosses val="autoZero"/>
        <c:auto val="1"/>
        <c:lblAlgn val="ctr"/>
        <c:lblOffset val="100"/>
        <c:noMultiLvlLbl val="0"/>
      </c:catAx>
      <c:valAx>
        <c:axId val="1760294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7842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7772182237412"/>
                  <c:y val="-0.28312857774353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200" b="1"/>
                      <a:t>596.27万元，</a:t>
                    </a:r>
                    <a:endParaRPr sz="1200" b="1"/>
                  </a:p>
                  <a:p>
                    <a:pPr defTabSz="914400">
                      <a:defRPr lang="zh-CN" sz="900" b="0" i="0" u="none" strike="noStrike" kern="1200" baseline="0">
                        <a:solidFill>
                          <a:schemeClr val="tx1">
                            <a:lumMod val="75000"/>
                            <a:lumOff val="25000"/>
                          </a:schemeClr>
                        </a:solidFill>
                        <a:latin typeface="+mn-lt"/>
                        <a:ea typeface="+mn-ea"/>
                        <a:cs typeface="+mn-cs"/>
                      </a:defRPr>
                    </a:pPr>
                    <a:r>
                      <a:rPr sz="1200" b="1"/>
                      <a:t>占比</a:t>
                    </a:r>
                    <a:r>
                      <a:rPr lang="en-US" altLang="zh-CN" sz="1200" b="1"/>
                      <a:t>98.17%</a:t>
                    </a:r>
                    <a:endParaRPr lang="en-US" altLang="zh-CN" sz="12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22125"/>
                      <c:h val="0.1085"/>
                    </c:manualLayout>
                  </c15:layout>
                </c:ext>
              </c:extLst>
            </c:dLbl>
            <c:dLbl>
              <c:idx val="1"/>
              <c:layout>
                <c:manualLayout>
                  <c:x val="-0.118859589863291"/>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00" b="1"/>
                      <a:t>11.1万元，</a:t>
                    </a:r>
                    <a:endParaRPr sz="1000" b="1"/>
                  </a:p>
                  <a:p>
                    <a:pPr defTabSz="914400">
                      <a:defRPr lang="zh-CN" sz="900" b="0" i="0" u="none" strike="noStrike" kern="1200" baseline="0">
                        <a:solidFill>
                          <a:schemeClr val="tx1">
                            <a:lumMod val="75000"/>
                            <a:lumOff val="25000"/>
                          </a:schemeClr>
                        </a:solidFill>
                        <a:latin typeface="+mn-lt"/>
                        <a:ea typeface="+mn-ea"/>
                        <a:cs typeface="+mn-cs"/>
                      </a:defRPr>
                    </a:pPr>
                    <a:r>
                      <a:rPr sz="1000" b="1"/>
                      <a:t>占比</a:t>
                    </a:r>
                    <a:r>
                      <a:rPr lang="en-US" altLang="zh-CN" sz="1000" b="1"/>
                      <a:t>1.83%</a:t>
                    </a:r>
                    <a:endParaRPr lang="en-US" altLang="zh-CN" sz="10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144625"/>
                      <c:h val="0.1046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596.27</c:v>
                </c:pt>
                <c:pt idx="1">
                  <c:v>11.1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183456682915553"/>
                  <c:y val="-0.25418206309091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sz="1200"/>
                      <a:t>517.84万元，占</a:t>
                    </a:r>
                    <a:r>
                      <a:rPr lang="en-US" altLang="zh-CN" sz="1200"/>
                      <a:t>88.31%</a:t>
                    </a:r>
                    <a:endParaRPr lang="en-US" altLang="zh-CN" sz="1200"/>
                  </a:p>
                </c:rich>
              </c:tx>
              <c:dLblPos val="bestFit"/>
              <c:showLegendKey val="0"/>
              <c:showVal val="1"/>
              <c:showCatName val="0"/>
              <c:showSerName val="0"/>
              <c:showPercent val="0"/>
              <c:showBubbleSize val="0"/>
              <c:extLst>
                <c:ext xmlns:c15="http://schemas.microsoft.com/office/drawing/2012/chart" uri="{CE6537A1-D6FC-4f65-9D91-7224C49458BB}">
                  <c15:layout>
                    <c:manualLayout>
                      <c:w val="0.26644370122631"/>
                      <c:h val="0.167829457364341"/>
                    </c:manualLayout>
                  </c15:layout>
                </c:ext>
              </c:extLst>
            </c:dLbl>
            <c:dLbl>
              <c:idx val="1"/>
              <c:layout>
                <c:manualLayout>
                  <c:x val="-0.135847144042603"/>
                  <c:y val="0.0035396224919375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sz="1000" b="1"/>
                      <a:t>68.52万元，</a:t>
                    </a:r>
                    <a:endParaRPr sz="1000" b="1"/>
                  </a:p>
                  <a:p>
                    <a:pPr defTabSz="914400">
                      <a:defRPr lang="zh-CN" sz="1000" b="1" i="0" u="none" strike="noStrike" kern="1200" baseline="0">
                        <a:solidFill>
                          <a:schemeClr val="tx1">
                            <a:lumMod val="75000"/>
                            <a:lumOff val="25000"/>
                          </a:schemeClr>
                        </a:solidFill>
                        <a:latin typeface="+mn-lt"/>
                        <a:ea typeface="+mn-ea"/>
                        <a:cs typeface="+mn-cs"/>
                      </a:defRPr>
                    </a:pPr>
                    <a:r>
                      <a:rPr sz="1000" b="1"/>
                      <a:t>占</a:t>
                    </a:r>
                    <a:r>
                      <a:rPr lang="en-US" altLang="zh-CN" sz="1000" b="1"/>
                      <a:t>11.69%</a:t>
                    </a:r>
                    <a:endParaRPr lang="en-US" altLang="zh-CN" sz="10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20457079152731"/>
                      <c:h val="0.230426356589147"/>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517.84</c:v>
                </c:pt>
                <c:pt idx="1">
                  <c:v>68.52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0" i="0" u="none" strike="noStrike" kern="1200" spc="0" baseline="0">
                <a:solidFill>
                  <a:schemeClr val="tx1">
                    <a:lumMod val="65000"/>
                    <a:lumOff val="35000"/>
                  </a:schemeClr>
                </a:solidFill>
                <a:latin typeface="+mn-lt"/>
                <a:ea typeface="+mn-ea"/>
                <a:cs typeface="+mn-cs"/>
              </a:defRPr>
            </a:pPr>
            <a:r>
              <a:rPr sz="1080"/>
              <a:t>单位：万元</a:t>
            </a:r>
            <a:endParaRPr sz="1080"/>
          </a:p>
        </c:rich>
      </c:tx>
      <c:layout>
        <c:manualLayout>
          <c:xMode val="edge"/>
          <c:yMode val="edge"/>
          <c:x val="0.735607227903068"/>
          <c:y val="0.030837004405286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2020年</c:v>
                </c:pt>
                <c:pt idx="1">
                  <c:v>2021年</c:v>
                </c:pt>
              </c:strCache>
            </c:strRef>
          </c:cat>
          <c:val>
            <c:numRef>
              <c:f>Sheet1!$B$2:$B$5</c:f>
              <c:numCache>
                <c:formatCode>General</c:formatCode>
                <c:ptCount val="4"/>
                <c:pt idx="0">
                  <c:v>1996.07</c:v>
                </c:pt>
                <c:pt idx="1">
                  <c:v>654.4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2020年</c:v>
                </c:pt>
                <c:pt idx="1">
                  <c:v>2021年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2020年</c:v>
                </c:pt>
                <c:pt idx="1">
                  <c:v>2021年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835322142"/>
        <c:axId val="924957465"/>
      </c:barChart>
      <c:catAx>
        <c:axId val="8353221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957465"/>
        <c:crosses val="autoZero"/>
        <c:auto val="1"/>
        <c:lblAlgn val="ctr"/>
        <c:lblOffset val="100"/>
        <c:noMultiLvlLbl val="0"/>
      </c:catAx>
      <c:valAx>
        <c:axId val="9249574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532214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numCache>
            </c:numRef>
          </c:cat>
          <c:val>
            <c:numRef>
              <c:f>Sheet1!$B$2:$B$5</c:f>
              <c:numCache>
                <c:formatCode>General</c:formatCode>
                <c:ptCount val="4"/>
                <c:pt idx="0">
                  <c:v>1937.94</c:v>
                </c:pt>
                <c:pt idx="1">
                  <c:v>565.66</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numRef>
              <c:f>Sheet1!$A$2:$A$5</c:f>
              <c:numCache>
                <c:formatCode>General</c:formatCode>
                <c:ptCount val="4"/>
                <c:pt idx="0">
                  <c:v>2020</c:v>
                </c:pt>
                <c:pt idx="1">
                  <c:v>2021</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2020</c:v>
                </c:pt>
                <c:pt idx="1">
                  <c:v>2021</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08893961"/>
        <c:axId val="993734542"/>
      </c:barChart>
      <c:catAx>
        <c:axId val="1088939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734542"/>
        <c:crosses val="autoZero"/>
        <c:auto val="1"/>
        <c:lblAlgn val="ctr"/>
        <c:lblOffset val="100"/>
        <c:noMultiLvlLbl val="0"/>
      </c:catAx>
      <c:valAx>
        <c:axId val="993734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89396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70230241012522"/>
          <c:y val="0.0402021089630931"/>
        </c:manualLayout>
      </c:layout>
      <c:overlay val="0"/>
      <c:spPr>
        <a:noFill/>
        <a:ln>
          <a:noFill/>
        </a:ln>
        <a:effectLst/>
      </c:spPr>
      <c:txPr>
        <a:bodyPr rot="0" spcFirstLastPara="0" vertOverflow="ellipsis" vert="horz" wrap="square" anchor="ctr" anchorCtr="1"/>
        <a:lstStyle/>
        <a:p>
          <a:pPr>
            <a:defRPr lang="zh-CN" sz="108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456688432233491"/>
                  <c:y val="-0.0474095257842761"/>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900" b="1"/>
                      <a:t>30.43，</a:t>
                    </a:r>
                    <a:r>
                      <a:rPr lang="en-US" altLang="zh-CN" sz="900" b="1"/>
                      <a:t>5.38%</a:t>
                    </a:r>
                    <a:endParaRPr lang="en-US" altLang="zh-CN" sz="9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64073167589849"/>
                      <c:h val="0.0624331836647424"/>
                    </c:manualLayout>
                  </c15:layout>
                </c:ext>
              </c:extLst>
            </c:dLbl>
            <c:dLbl>
              <c:idx val="1"/>
              <c:layout>
                <c:manualLayout>
                  <c:x val="0.0382178398943521"/>
                  <c:y val="-0.0314757363797028"/>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900" b="1"/>
                      <a:t>32.46，</a:t>
                    </a:r>
                    <a:r>
                      <a:rPr lang="en-US" altLang="zh-CN" sz="900" b="1"/>
                      <a:t>5.74%</a:t>
                    </a:r>
                    <a:endParaRPr lang="en-US" altLang="zh-CN" sz="9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305294344969728"/>
                      <c:h val="0.064571306392987"/>
                    </c:manualLayout>
                  </c15:layout>
                </c:ext>
              </c:extLst>
            </c:dLbl>
            <c:dLbl>
              <c:idx val="2"/>
              <c:layout>
                <c:manualLayout>
                  <c:x val="0.0795910968552924"/>
                  <c:y val="0.066917801785274"/>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900" b="1"/>
                      <a:t>17.69，</a:t>
                    </a:r>
                    <a:r>
                      <a:rPr lang="en-US" altLang="zh-CN" sz="900" b="1"/>
                      <a:t>3.13%</a:t>
                    </a:r>
                    <a:endParaRPr lang="en-US" altLang="zh-CN" sz="9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6716475589334"/>
                      <c:h val="0.064571306392987"/>
                    </c:manualLayout>
                  </c15:layout>
                </c:ext>
              </c:extLst>
            </c:dLbl>
            <c:dLbl>
              <c:idx val="3"/>
              <c:layout>
                <c:manualLayout>
                  <c:x val="0.0973465477844451"/>
                  <c:y val="-0.207861380690587"/>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900" b="1"/>
                      <a:t>446.71，</a:t>
                    </a:r>
                    <a:endParaRPr sz="900" b="1"/>
                  </a:p>
                  <a:p>
                    <a:pPr defTabSz="914400">
                      <a:defRPr lang="zh-CN" sz="900" b="1" i="0" u="none" strike="noStrike" kern="1200" baseline="0">
                        <a:solidFill>
                          <a:schemeClr val="tx1">
                            <a:lumMod val="75000"/>
                            <a:lumOff val="25000"/>
                          </a:schemeClr>
                        </a:solidFill>
                        <a:latin typeface="+mn-lt"/>
                        <a:ea typeface="+mn-ea"/>
                        <a:cs typeface="+mn-cs"/>
                      </a:defRPr>
                    </a:pPr>
                    <a:r>
                      <a:rPr lang="en-US" altLang="zh-CN" sz="900" b="1"/>
                      <a:t>78.97%</a:t>
                    </a:r>
                    <a:endParaRPr lang="en-US" altLang="zh-CN" sz="9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43570755352094"/>
                      <c:h val="0.158611599297012"/>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科学技术（类）支出</c:v>
                </c:pt>
                <c:pt idx="1">
                  <c:v>社会保障和就业（类）支出</c:v>
                </c:pt>
                <c:pt idx="2">
                  <c:v>卫生健康支出</c:v>
                </c:pt>
                <c:pt idx="3">
                  <c:v>农林水（类）支出</c:v>
                </c:pt>
              </c:strCache>
            </c:strRef>
          </c:cat>
          <c:val>
            <c:numRef>
              <c:f>Sheet1!$B$2:$B$5</c:f>
              <c:numCache>
                <c:formatCode>General</c:formatCode>
                <c:ptCount val="4"/>
                <c:pt idx="0">
                  <c:v>30.43</c:v>
                </c:pt>
                <c:pt idx="1">
                  <c:v>32.46</c:v>
                </c:pt>
                <c:pt idx="2">
                  <c:v>17.69</c:v>
                </c:pt>
                <c:pt idx="3">
                  <c:v>446.71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spc="0" baseline="0">
                <a:solidFill>
                  <a:schemeClr val="tx1">
                    <a:lumMod val="65000"/>
                    <a:lumOff val="35000"/>
                  </a:schemeClr>
                </a:solidFill>
                <a:latin typeface="+mn-lt"/>
                <a:ea typeface="+mn-ea"/>
                <a:cs typeface="+mn-cs"/>
              </a:defRPr>
            </a:pPr>
            <a:r>
              <a:rPr sz="960" b="1"/>
              <a:t>单位：万元</a:t>
            </a:r>
            <a:endParaRPr sz="960" b="1"/>
          </a:p>
        </c:rich>
      </c:tx>
      <c:layout>
        <c:manualLayout>
          <c:xMode val="edge"/>
          <c:yMode val="edge"/>
          <c:x val="0.75356890459364"/>
          <c:y val="0.0410038090970199"/>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353356890459364"/>
                  <c:y val="-0.01120322652924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596207556573"/>
                  <c:y val="-0.0294336208191409"/>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sz="1000" b="1"/>
                      <a:t>0.61，</a:t>
                    </a:r>
                    <a:r>
                      <a:rPr lang="en-US" altLang="zh-CN" sz="1000" b="1"/>
                      <a:t>11.71%</a:t>
                    </a:r>
                    <a:endParaRPr lang="en-US" altLang="zh-CN" sz="100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19222614840989"/>
                      <c:h val="0.0927627156621107"/>
                    </c:manualLayout>
                  </c15:layout>
                </c:ext>
              </c:extLst>
            </c:dLbl>
            <c:dLbl>
              <c:idx val="2"/>
              <c:layout>
                <c:manualLayout>
                  <c:x val="-0.00156704266814585"/>
                  <c:y val="-0.20495011383686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sz="1000" b="1"/>
                      <a:t>4.6，</a:t>
                    </a:r>
                    <a:r>
                      <a:rPr lang="en-US" altLang="zh-CN" sz="1000" b="1"/>
                      <a:t>88.29%</a:t>
                    </a:r>
                    <a:endParaRPr lang="en-US" altLang="zh-CN" sz="100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10742049469965"/>
                      <c:h val="0.0961236836208828"/>
                    </c:manualLayout>
                  </c15:layout>
                </c:ext>
              </c:extLst>
            </c:dLbl>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因公出国（境）费支出决算</c:v>
                </c:pt>
                <c:pt idx="1">
                  <c:v>公务接待费支出决算</c:v>
                </c:pt>
                <c:pt idx="2">
                  <c:v>公务用车购置及运行维护费支出决算</c:v>
                </c:pt>
              </c:strCache>
            </c:strRef>
          </c:cat>
          <c:val>
            <c:numRef>
              <c:f>Sheet1!$B$2:$B$5</c:f>
              <c:numCache>
                <c:formatCode>General</c:formatCode>
                <c:ptCount val="4"/>
                <c:pt idx="0">
                  <c:v>0</c:v>
                </c:pt>
                <c:pt idx="1">
                  <c:v>0.61</c:v>
                </c:pt>
                <c:pt idx="2">
                  <c:v>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Entry>
      <c:legendEntry>
        <c:idx val="3"/>
        <c:delete val="1"/>
      </c:legendEntry>
      <c:layout/>
      <c:overlay val="0"/>
      <c:spPr>
        <a:noFill/>
        <a:ln>
          <a:noFill/>
        </a:ln>
        <a:effectLst/>
      </c:spPr>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19966</Words>
  <Characters>21383</Characters>
  <Lines>61</Lines>
  <Paragraphs>17</Paragraphs>
  <TotalTime>28</TotalTime>
  <ScaleCrop>false</ScaleCrop>
  <LinksUpToDate>false</LinksUpToDate>
  <CharactersWithSpaces>21441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笨鸟飘飘^^^</cp:lastModifiedBy>
  <cp:lastPrinted>2022-08-08T09:11:00Z</cp:lastPrinted>
  <dcterms:modified xsi:type="dcterms:W3CDTF">2023-06-28T02:58:28Z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BD9AB6FFEAA1430982C9A61F5E317330_13</vt:lpwstr>
  </property>
</Properties>
</file>