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96475"/>
      <w:bookmarkStart w:id="1" w:name="_Toc15377425"/>
      <w:bookmarkStart w:id="2" w:name="_Toc15378441"/>
      <w:bookmarkStart w:id="3" w:name="_Toc15377193"/>
      <w:bookmarkStart w:id="4" w:name="_Toc15396597"/>
      <w:bookmarkStart w:id="5" w:name="_Toc15306267"/>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pStyle w:val="2"/>
      </w:pPr>
    </w:p>
    <w:p>
      <w:pPr>
        <w:keepNext w:val="0"/>
        <w:keepLines w:val="0"/>
        <w:pageBreakBefore w:val="0"/>
        <w:widowControl w:val="0"/>
        <w:kinsoku/>
        <w:wordWrap/>
        <w:overflowPunct/>
        <w:topLinePunct w:val="0"/>
        <w:bidi w:val="0"/>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96476"/>
      <w:bookmarkStart w:id="8" w:name="_Toc15377194"/>
      <w:bookmarkStart w:id="9" w:name="_Toc15377426"/>
      <w:bookmarkStart w:id="10"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财政局</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keepNext w:val="0"/>
        <w:keepLines w:val="0"/>
        <w:pageBreakBefore w:val="0"/>
        <w:widowControl w:val="0"/>
        <w:kinsoku/>
        <w:wordWrap/>
        <w:overflowPunct/>
        <w:topLinePunct w:val="0"/>
        <w:bidi w:val="0"/>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keepNext w:val="0"/>
        <w:keepLines w:val="0"/>
        <w:pageBreakBefore w:val="0"/>
        <w:widowControl w:val="0"/>
        <w:kinsoku/>
        <w:wordWrap/>
        <w:overflowPunct/>
        <w:topLinePunct w:val="0"/>
        <w:bidi w:val="0"/>
        <w:jc w:val="center"/>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pPr>
        <w:pStyle w:val="10"/>
        <w:keepNext w:val="0"/>
        <w:keepLines w:val="0"/>
        <w:pageBreakBefore w:val="0"/>
        <w:widowControl w:val="0"/>
        <w:kinsoku/>
        <w:wordWrap/>
        <w:overflowPunct/>
        <w:topLinePunct w:val="0"/>
        <w:bidi w:val="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公开时间：20</w:t>
      </w:r>
      <w:r>
        <w:rPr>
          <w:rFonts w:hint="eastAsia" w:asciiTheme="majorEastAsia" w:hAnsiTheme="majorEastAsia" w:eastAsiaTheme="majorEastAsia" w:cstheme="majorEastAsia"/>
          <w:color w:val="auto"/>
          <w:highlight w:val="none"/>
          <w:lang w:val="en-US" w:eastAsia="zh-CN"/>
        </w:rPr>
        <w:t>22</w:t>
      </w:r>
      <w:r>
        <w:rPr>
          <w:rFonts w:hint="eastAsia" w:asciiTheme="majorEastAsia" w:hAnsiTheme="majorEastAsia" w:eastAsiaTheme="majorEastAsia" w:cstheme="majorEastAsia"/>
          <w:color w:val="auto"/>
          <w:highlight w:val="none"/>
        </w:rPr>
        <w:t>年</w:t>
      </w:r>
      <w:r>
        <w:rPr>
          <w:rFonts w:hint="eastAsia" w:asciiTheme="majorEastAsia" w:hAnsiTheme="majorEastAsia" w:eastAsiaTheme="majorEastAsia" w:cstheme="majorEastAsia"/>
          <w:color w:val="auto"/>
          <w:highlight w:val="none"/>
          <w:lang w:val="en-US" w:eastAsia="zh-CN"/>
        </w:rPr>
        <w:t>9</w:t>
      </w:r>
      <w:r>
        <w:rPr>
          <w:rFonts w:hint="eastAsia" w:asciiTheme="majorEastAsia" w:hAnsiTheme="majorEastAsia" w:eastAsiaTheme="majorEastAsia" w:cstheme="majorEastAsia"/>
          <w:color w:val="auto"/>
          <w:highlight w:val="none"/>
        </w:rPr>
        <w:t>月</w:t>
      </w:r>
      <w:r>
        <w:rPr>
          <w:rFonts w:hint="eastAsia" w:asciiTheme="majorEastAsia" w:hAnsiTheme="majorEastAsia" w:eastAsiaTheme="majorEastAsia" w:cstheme="majorEastAsia"/>
          <w:color w:val="auto"/>
          <w:highlight w:val="none"/>
          <w:lang w:val="en-US" w:eastAsia="zh-CN"/>
        </w:rPr>
        <w:t>26</w:t>
      </w:r>
      <w:r>
        <w:rPr>
          <w:rFonts w:hint="eastAsia" w:asciiTheme="majorEastAsia" w:hAnsiTheme="majorEastAsia" w:eastAsiaTheme="majorEastAsia" w:cstheme="majorEastAsia"/>
          <w:color w:val="auto"/>
          <w:highlight w:val="none"/>
        </w:rPr>
        <w:t>日</w:t>
      </w:r>
    </w:p>
    <w:p>
      <w:pPr>
        <w:keepNext w:val="0"/>
        <w:keepLines w:val="0"/>
        <w:pageBreakBefore w:val="0"/>
        <w:widowControl w:val="0"/>
        <w:kinsoku/>
        <w:wordWrap/>
        <w:overflowPunct/>
        <w:topLinePunct w:val="0"/>
        <w:bidi w:val="0"/>
        <w:rPr>
          <w:rFonts w:hint="eastAsia" w:asciiTheme="majorEastAsia" w:hAnsiTheme="majorEastAsia" w:eastAsiaTheme="majorEastAsia" w:cstheme="majorEastAsia"/>
          <w:color w:val="auto"/>
          <w:highlight w:val="none"/>
        </w:rPr>
      </w:pP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highlight w:val="none"/>
        </w:rPr>
        <w:t>第一部分 部门概况</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_Toc30338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rPr>
        <w:t>一、基本职能及主要工作</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二、机构设置</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10</w:t>
      </w:r>
    </w:p>
    <w:p>
      <w:pPr>
        <w:pStyle w:val="10"/>
        <w:keepNext w:val="0"/>
        <w:keepLines w:val="0"/>
        <w:pageBreakBefore w:val="0"/>
        <w:widowControl w:val="0"/>
        <w:kinsoku/>
        <w:wordWrap/>
        <w:overflowPunct/>
        <w:topLinePunct w:val="0"/>
        <w:bidi w:val="0"/>
        <w:adjustRightInd w:val="0"/>
        <w:snapToGrid w:val="0"/>
        <w:spacing w:before="0" w:line="440" w:lineRule="exact"/>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highlight w:val="none"/>
        </w:rPr>
        <w:t>第二部分</w:t>
      </w:r>
      <w:r>
        <w:rPr>
          <w:rFonts w:hint="eastAsia" w:asciiTheme="majorEastAsia" w:hAnsiTheme="majorEastAsia" w:eastAsiaTheme="majorEastAsia" w:cstheme="majorEastAsia"/>
          <w:color w:val="auto"/>
          <w:sz w:val="24"/>
          <w:highlight w:val="none"/>
          <w:lang w:val="en-US" w:eastAsia="zh-CN"/>
        </w:rPr>
        <w:t xml:space="preserve"> 2021年度</w:t>
      </w:r>
      <w:r>
        <w:rPr>
          <w:rFonts w:hint="eastAsia" w:asciiTheme="majorEastAsia" w:hAnsiTheme="majorEastAsia" w:eastAsiaTheme="majorEastAsia" w:cstheme="majorEastAsia"/>
          <w:color w:val="auto"/>
          <w:sz w:val="24"/>
          <w:highlight w:val="none"/>
        </w:rPr>
        <w:t>部门决算情况说明</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lang w:val="en-US" w:eastAsia="zh-CN"/>
        </w:rPr>
        <w:t>11</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一、收入支出决算总体情况说明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11</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二、收入决算情况说明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11</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三、支出决算情况说明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12</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四、财政拨款收入支出决算总体情况说明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12</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五、一般公共预算财政拨款支出决算情况说明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13</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六、一般公共预算财政拨款基本支出决算情况说明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16</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七、</w:t>
      </w:r>
      <w:r>
        <w:rPr>
          <w:rFonts w:hint="eastAsia" w:asciiTheme="majorEastAsia" w:hAnsiTheme="majorEastAsia" w:eastAsiaTheme="majorEastAsia" w:cstheme="majorEastAsia"/>
          <w:color w:val="auto"/>
          <w:sz w:val="24"/>
          <w:highlight w:val="none"/>
          <w:lang w:eastAsia="zh-CN"/>
        </w:rPr>
        <w:t>“</w:t>
      </w:r>
      <w:r>
        <w:rPr>
          <w:rFonts w:hint="eastAsia" w:asciiTheme="majorEastAsia" w:hAnsiTheme="majorEastAsia" w:eastAsiaTheme="majorEastAsia" w:cstheme="majorEastAsia"/>
          <w:color w:val="auto"/>
          <w:sz w:val="24"/>
          <w:highlight w:val="none"/>
        </w:rPr>
        <w:t>三公”经费财政拨款支出决算情况说明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16</w:t>
      </w:r>
    </w:p>
    <w:p>
      <w:pPr>
        <w:pStyle w:val="11"/>
        <w:keepNext w:val="0"/>
        <w:keepLines w:val="0"/>
        <w:pageBreakBefore w:val="0"/>
        <w:widowControl w:val="0"/>
        <w:kinsoku/>
        <w:wordWrap/>
        <w:overflowPunct/>
        <w:topLinePunct w:val="0"/>
        <w:bidi w:val="0"/>
        <w:adjustRightInd w:val="0"/>
        <w:snapToGrid w:val="0"/>
        <w:spacing w:line="440" w:lineRule="exact"/>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八、政府性基金预算支出决算情况说明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18</w:t>
      </w:r>
    </w:p>
    <w:p>
      <w:pPr>
        <w:pStyle w:val="11"/>
        <w:keepNext w:val="0"/>
        <w:keepLines w:val="0"/>
        <w:pageBreakBefore w:val="0"/>
        <w:widowControl w:val="0"/>
        <w:kinsoku/>
        <w:wordWrap/>
        <w:overflowPunct/>
        <w:topLinePunct w:val="0"/>
        <w:bidi w:val="0"/>
        <w:adjustRightInd w:val="0"/>
        <w:snapToGrid w:val="0"/>
        <w:spacing w:line="440" w:lineRule="exact"/>
        <w:ind w:leftChars="0"/>
        <w:jc w:val="left"/>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rPr>
        <w:t>九、</w:t>
      </w:r>
      <w:r>
        <w:rPr>
          <w:rFonts w:hint="eastAsia" w:asciiTheme="majorEastAsia" w:hAnsiTheme="majorEastAsia" w:eastAsiaTheme="majorEastAsia" w:cstheme="majorEastAsia"/>
          <w:color w:val="auto"/>
          <w:sz w:val="24"/>
          <w:highlight w:val="none"/>
          <w:lang w:eastAsia="zh-CN"/>
        </w:rPr>
        <w:t>国</w:t>
      </w:r>
      <w:r>
        <w:rPr>
          <w:rFonts w:hint="eastAsia" w:asciiTheme="majorEastAsia" w:hAnsiTheme="majorEastAsia" w:eastAsiaTheme="majorEastAsia" w:cstheme="majorEastAsia"/>
          <w:color w:val="auto"/>
          <w:sz w:val="24"/>
          <w:highlight w:val="none"/>
        </w:rPr>
        <w:t>有资本经营预算支出决算情况说明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18</w:t>
      </w:r>
    </w:p>
    <w:p>
      <w:pPr>
        <w:pStyle w:val="11"/>
        <w:keepNext w:val="0"/>
        <w:keepLines w:val="0"/>
        <w:pageBreakBefore w:val="0"/>
        <w:widowControl w:val="0"/>
        <w:kinsoku/>
        <w:wordWrap/>
        <w:overflowPunct/>
        <w:topLinePunct w:val="0"/>
        <w:bidi w:val="0"/>
        <w:adjustRightInd w:val="0"/>
        <w:snapToGrid w:val="0"/>
        <w:spacing w:line="440" w:lineRule="exact"/>
        <w:ind w:leftChars="0"/>
        <w:jc w:val="left"/>
        <w:rPr>
          <w:rFonts w:hint="default" w:asciiTheme="majorEastAsia" w:hAnsiTheme="majorEastAsia" w:eastAsiaTheme="majorEastAsia" w:cstheme="majorEastAsia"/>
          <w:color w:val="auto"/>
          <w:sz w:val="24"/>
          <w:highlight w:val="none"/>
          <w:lang w:val="en-US" w:eastAsia="zh-CN"/>
        </w:rPr>
      </w:pPr>
      <w:r>
        <w:rPr>
          <w:rStyle w:val="16"/>
          <w:rFonts w:hint="eastAsia" w:asciiTheme="majorEastAsia" w:hAnsiTheme="majorEastAsia" w:eastAsiaTheme="majorEastAsia" w:cstheme="majorEastAsia"/>
          <w:color w:val="auto"/>
          <w:sz w:val="24"/>
          <w:highlight w:val="none"/>
          <w:u w:val="none"/>
          <w:lang w:eastAsia="zh-CN"/>
        </w:rPr>
        <w:t>十</w:t>
      </w:r>
      <w:r>
        <w:rPr>
          <w:rStyle w:val="16"/>
          <w:rFonts w:hint="eastAsia" w:asciiTheme="majorEastAsia" w:hAnsiTheme="majorEastAsia" w:eastAsiaTheme="majorEastAsia" w:cstheme="majorEastAsia"/>
          <w:color w:val="auto"/>
          <w:sz w:val="24"/>
          <w:highlight w:val="none"/>
          <w:u w:val="none"/>
        </w:rPr>
        <w:t>、</w:t>
      </w:r>
      <w:r>
        <w:rPr>
          <w:rFonts w:hint="eastAsia" w:asciiTheme="majorEastAsia" w:hAnsiTheme="majorEastAsia" w:eastAsiaTheme="majorEastAsia" w:cstheme="majorEastAsia"/>
          <w:color w:val="auto"/>
          <w:sz w:val="24"/>
          <w:highlight w:val="none"/>
          <w:lang w:val="en-US" w:eastAsia="zh-CN"/>
        </w:rPr>
        <w:t>预算绩效管理情况</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18</w:t>
      </w:r>
    </w:p>
    <w:p>
      <w:pPr>
        <w:pStyle w:val="11"/>
        <w:keepNext w:val="0"/>
        <w:keepLines w:val="0"/>
        <w:pageBreakBefore w:val="0"/>
        <w:widowControl w:val="0"/>
        <w:kinsoku/>
        <w:wordWrap/>
        <w:overflowPunct/>
        <w:topLinePunct w:val="0"/>
        <w:bidi w:val="0"/>
        <w:adjustRightInd w:val="0"/>
        <w:snapToGrid w:val="0"/>
        <w:spacing w:line="440" w:lineRule="exact"/>
        <w:ind w:leftChars="0"/>
        <w:jc w:val="left"/>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auto"/>
          <w:sz w:val="24"/>
          <w:highlight w:val="none"/>
          <w:lang w:val="en-US" w:eastAsia="zh-CN"/>
        </w:rPr>
        <w:t>十一、</w:t>
      </w:r>
      <w:r>
        <w:rPr>
          <w:rFonts w:hint="eastAsia" w:asciiTheme="majorEastAsia" w:hAnsiTheme="majorEastAsia" w:eastAsiaTheme="majorEastAsia" w:cstheme="majorEastAsia"/>
          <w:color w:val="auto"/>
          <w:sz w:val="24"/>
          <w:highlight w:val="none"/>
        </w:rPr>
        <w:t>其他重要事项的情况说明</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19</w:t>
      </w:r>
    </w:p>
    <w:p>
      <w:pPr>
        <w:pStyle w:val="11"/>
        <w:keepNext w:val="0"/>
        <w:keepLines w:val="0"/>
        <w:pageBreakBefore w:val="0"/>
        <w:widowControl w:val="0"/>
        <w:kinsoku/>
        <w:wordWrap/>
        <w:overflowPunct/>
        <w:topLinePunct w:val="0"/>
        <w:bidi w:val="0"/>
        <w:adjustRightInd w:val="0"/>
        <w:snapToGrid w:val="0"/>
        <w:spacing w:line="440" w:lineRule="exact"/>
        <w:ind w:left="0" w:leftChars="0" w:firstLine="0" w:firstLineChars="0"/>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highlight w:val="none"/>
        </w:rPr>
        <w:t>第三部分 名词解释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21</w:t>
      </w:r>
    </w:p>
    <w:p>
      <w:pPr>
        <w:pStyle w:val="11"/>
        <w:keepNext w:val="0"/>
        <w:keepLines w:val="0"/>
        <w:pageBreakBefore w:val="0"/>
        <w:widowControl w:val="0"/>
        <w:kinsoku/>
        <w:wordWrap/>
        <w:overflowPunct/>
        <w:topLinePunct w:val="0"/>
        <w:bidi w:val="0"/>
        <w:adjustRightInd w:val="0"/>
        <w:snapToGrid w:val="0"/>
        <w:spacing w:line="440" w:lineRule="exact"/>
        <w:ind w:left="0" w:leftChars="0" w:firstLine="0" w:firstLineChars="0"/>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highlight w:val="none"/>
        </w:rPr>
        <w:t>第四部分 附件</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24</w:t>
      </w:r>
    </w:p>
    <w:p>
      <w:pPr>
        <w:pStyle w:val="11"/>
        <w:keepNext w:val="0"/>
        <w:keepLines w:val="0"/>
        <w:pageBreakBefore w:val="0"/>
        <w:widowControl w:val="0"/>
        <w:kinsoku/>
        <w:wordWrap/>
        <w:overflowPunct/>
        <w:topLinePunct w:val="0"/>
        <w:bidi w:val="0"/>
        <w:adjustRightInd w:val="0"/>
        <w:snapToGrid w:val="0"/>
        <w:spacing w:line="440" w:lineRule="exact"/>
        <w:ind w:left="0" w:leftChars="0" w:firstLine="0" w:firstLineChars="0"/>
        <w:jc w:val="lef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highlight w:val="none"/>
        </w:rPr>
        <w:t>第五部分 附表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lang w:val="en-US"/>
        </w:rPr>
      </w:pPr>
      <w:r>
        <w:rPr>
          <w:rFonts w:hint="eastAsia" w:asciiTheme="majorEastAsia" w:hAnsiTheme="majorEastAsia" w:eastAsiaTheme="majorEastAsia" w:cstheme="majorEastAsia"/>
          <w:color w:val="auto"/>
          <w:sz w:val="24"/>
          <w:highlight w:val="none"/>
        </w:rPr>
        <w:t>一、收入支出决算总表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lang w:val="en-US"/>
        </w:rPr>
      </w:pPr>
      <w:r>
        <w:rPr>
          <w:rFonts w:hint="eastAsia" w:asciiTheme="majorEastAsia" w:hAnsiTheme="majorEastAsia" w:eastAsiaTheme="majorEastAsia" w:cstheme="majorEastAsia"/>
          <w:color w:val="auto"/>
          <w:sz w:val="24"/>
          <w:highlight w:val="none"/>
        </w:rPr>
        <w:t>二、收入决算表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三、支出决算表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四、财政拨款收入支出决算总表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五、财政拨款支出决算明细表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六、一般公共预算财政拨款支出决算表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七、一般公共预算财政拨款支出决算明细表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auto"/>
          <w:sz w:val="24"/>
          <w:highlight w:val="none"/>
        </w:rPr>
        <w:t>八、一般公共预算财政拨款基本支出决算表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ind w:left="0" w:leftChars="0" w:firstLine="480" w:firstLineChars="200"/>
        <w:jc w:val="left"/>
        <w:rPr>
          <w:rFonts w:hint="eastAsia" w:asciiTheme="majorEastAsia" w:hAnsiTheme="majorEastAsia" w:eastAsiaTheme="majorEastAsia" w:cstheme="majorEastAsia"/>
          <w:color w:val="auto"/>
          <w:sz w:val="24"/>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11"/>
        <w:keepNext w:val="0"/>
        <w:keepLines w:val="0"/>
        <w:pageBreakBefore w:val="0"/>
        <w:widowControl w:val="0"/>
        <w:kinsoku/>
        <w:wordWrap/>
        <w:overflowPunct/>
        <w:topLinePunct w:val="0"/>
        <w:bidi w:val="0"/>
        <w:adjustRightInd w:val="0"/>
        <w:snapToGrid w:val="0"/>
        <w:spacing w:line="440" w:lineRule="exact"/>
        <w:ind w:left="0" w:leftChars="0" w:firstLine="480" w:firstLineChars="200"/>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九、一般公共预算财政拨款项目支出决算表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十、一般公共预算财政拨款“三公”经费支出决算表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十一、政府性基金预算财政拨款收入支出决算表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十二、政府性基金预算财政拨款“三公”经费支出决算表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十三、国有资本经营预算</w:t>
      </w:r>
      <w:r>
        <w:rPr>
          <w:rFonts w:hint="eastAsia" w:asciiTheme="majorEastAsia" w:hAnsiTheme="majorEastAsia" w:eastAsiaTheme="majorEastAsia" w:cstheme="majorEastAsia"/>
          <w:color w:val="auto"/>
          <w:sz w:val="24"/>
          <w:highlight w:val="none"/>
          <w:lang w:eastAsia="zh-CN"/>
        </w:rPr>
        <w:t>财政拨款收入</w:t>
      </w:r>
      <w:r>
        <w:rPr>
          <w:rFonts w:hint="eastAsia" w:asciiTheme="majorEastAsia" w:hAnsiTheme="majorEastAsia" w:eastAsiaTheme="majorEastAsia" w:cstheme="majorEastAsia"/>
          <w:color w:val="auto"/>
          <w:sz w:val="24"/>
          <w:highlight w:val="none"/>
        </w:rPr>
        <w:t>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11"/>
        <w:keepNext w:val="0"/>
        <w:keepLines w:val="0"/>
        <w:pageBreakBefore w:val="0"/>
        <w:widowControl w:val="0"/>
        <w:kinsoku/>
        <w:wordWrap/>
        <w:overflowPunct/>
        <w:topLinePunct w:val="0"/>
        <w:bidi w:val="0"/>
        <w:adjustRightInd w:val="0"/>
        <w:snapToGrid w:val="0"/>
        <w:spacing w:line="440" w:lineRule="exact"/>
        <w:jc w:val="left"/>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十四、国有资本经营预算财政拨款支出决算表</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50</w:t>
      </w:r>
    </w:p>
    <w:p>
      <w:pPr>
        <w:pStyle w:val="2"/>
        <w:keepNext w:val="0"/>
        <w:keepLines w:val="0"/>
        <w:pageBreakBefore w:val="0"/>
        <w:widowControl w:val="0"/>
        <w:kinsoku/>
        <w:wordWrap/>
        <w:overflowPunct/>
        <w:topLinePunct w:val="0"/>
        <w:bidi w:val="0"/>
        <w:rPr>
          <w:rFonts w:hint="eastAsia" w:asciiTheme="majorEastAsia" w:hAnsiTheme="majorEastAsia" w:eastAsiaTheme="majorEastAsia" w:cstheme="majorEastAsia"/>
          <w:lang w:val="en-US" w:eastAsia="zh-CN"/>
        </w:rPr>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79" w:lineRule="auto"/>
        <w:jc w:val="center"/>
        <w:textAlignment w:val="auto"/>
        <w:rPr>
          <w:rFonts w:hint="eastAsia" w:ascii="方正小标宋简体" w:hAnsi="方正小标宋简体" w:eastAsia="方正小标宋简体" w:cs="方正小标宋简体"/>
          <w:color w:val="auto"/>
          <w:sz w:val="44"/>
          <w:szCs w:val="44"/>
          <w:highlight w:val="none"/>
        </w:rPr>
      </w:pPr>
      <w:bookmarkStart w:id="12" w:name="_Toc15396599"/>
      <w:bookmarkStart w:id="13" w:name="_Toc15377196"/>
      <w:r>
        <w:rPr>
          <w:rFonts w:hint="eastAsia" w:ascii="方正小标宋简体" w:hAnsi="方正小标宋简体" w:eastAsia="方正小标宋简体" w:cs="方正小标宋简体"/>
          <w:b w:val="0"/>
          <w:color w:val="auto"/>
          <w:sz w:val="44"/>
          <w:szCs w:val="44"/>
          <w:highlight w:val="none"/>
        </w:rPr>
        <w:t xml:space="preserve">第一部分 </w:t>
      </w:r>
      <w:r>
        <w:rPr>
          <w:rStyle w:val="17"/>
          <w:rFonts w:hint="eastAsia" w:ascii="方正小标宋简体" w:hAnsi="方正小标宋简体" w:eastAsia="方正小标宋简体" w:cs="方正小标宋简体"/>
          <w:b w:val="0"/>
          <w:bCs w:val="0"/>
          <w:color w:val="auto"/>
          <w:sz w:val="44"/>
          <w:szCs w:val="44"/>
          <w:highlight w:val="none"/>
        </w:rPr>
        <w:t>部门概况</w:t>
      </w:r>
      <w:bookmarkEnd w:id="12"/>
      <w:bookmarkEnd w:id="13"/>
    </w:p>
    <w:p>
      <w:pPr>
        <w:pStyle w:val="4"/>
        <w:keepNext w:val="0"/>
        <w:keepLines w:val="0"/>
        <w:pageBreakBefore w:val="0"/>
        <w:widowControl w:val="0"/>
        <w:kinsoku/>
        <w:wordWrap/>
        <w:overflowPunct/>
        <w:topLinePunct w:val="0"/>
        <w:autoSpaceDE/>
        <w:autoSpaceDN/>
        <w:bidi w:val="0"/>
        <w:spacing w:before="0" w:after="0"/>
        <w:ind w:firstLine="640" w:firstLineChars="200"/>
        <w:textAlignment w:val="auto"/>
        <w:rPr>
          <w:rStyle w:val="18"/>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18"/>
          <w:rFonts w:hint="eastAsia" w:ascii="黑体" w:hAnsi="黑体" w:eastAsia="黑体"/>
          <w:b w:val="0"/>
          <w:bCs w:val="0"/>
          <w:color w:val="auto"/>
          <w:highlight w:val="none"/>
        </w:rPr>
        <w:t>本职能及主要工作</w:t>
      </w:r>
      <w:bookmarkEnd w:id="14"/>
      <w:bookmarkEnd w:id="15"/>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楷体_GB2312" w:hAnsi="楷体_GB2312" w:eastAsia="楷体_GB2312" w:cs="楷体_GB2312"/>
          <w:bCs/>
          <w:color w:val="auto"/>
          <w:sz w:val="32"/>
          <w:szCs w:val="32"/>
          <w:highlight w:val="none"/>
        </w:rPr>
      </w:pPr>
      <w:bookmarkStart w:id="16" w:name="_Toc15377198"/>
      <w:bookmarkStart w:id="17" w:name="_Toc15378445"/>
      <w:r>
        <w:rPr>
          <w:rFonts w:hint="eastAsia" w:ascii="楷体_GB2312" w:hAnsi="楷体_GB2312" w:eastAsia="楷体_GB2312" w:cs="楷体_GB2312"/>
          <w:bCs/>
          <w:color w:val="auto"/>
          <w:sz w:val="32"/>
          <w:szCs w:val="32"/>
          <w:highlight w:val="none"/>
        </w:rPr>
        <w:t>（一）主要职能。</w:t>
      </w:r>
      <w:bookmarkEnd w:id="16"/>
      <w:bookmarkEnd w:id="17"/>
      <w:bookmarkStart w:id="18" w:name="_Toc15377199"/>
      <w:bookmarkStart w:id="19" w:name="_Toc15378446"/>
    </w:p>
    <w:p>
      <w:pPr>
        <w:keepNext w:val="0"/>
        <w:keepLines w:val="0"/>
        <w:pageBreakBefore w:val="0"/>
        <w:widowControl w:val="0"/>
        <w:kinsoku/>
        <w:wordWrap/>
        <w:overflowPunct/>
        <w:topLinePunct w:val="0"/>
        <w:bidi w:val="0"/>
        <w:spacing w:line="576" w:lineRule="exact"/>
        <w:ind w:firstLine="640" w:firstLineChars="200"/>
        <w:rPr>
          <w:rFonts w:hint="eastAsia" w:ascii="仿宋" w:hAnsi="仿宋" w:eastAsia="仿宋"/>
          <w:bCs/>
          <w:color w:val="auto"/>
          <w:sz w:val="32"/>
          <w:szCs w:val="32"/>
          <w:highlight w:val="none"/>
        </w:rPr>
      </w:pPr>
      <w:r>
        <w:rPr>
          <w:rFonts w:hint="eastAsia" w:ascii="仿宋_GB2312" w:hAnsi="仿宋_GB2312" w:eastAsia="仿宋_GB2312" w:cs="仿宋_GB2312"/>
          <w:sz w:val="32"/>
          <w:szCs w:val="32"/>
        </w:rPr>
        <w:t>拟订全市财政、税收的发展战略、规划、政策和改革方案并组织实施，参与宏观经济分析预测和全市重大宏观经济政策的制定，提出运用财税政策实施宏观经济调控和综合平衡全市财力的建议。贯彻执行国家财税法律、法规和方针、政策，组织起草地方性财税法规的实施办法和政策规定并组织实施，按照管理权限管理全市税政事项。承担各项财政收支管理，负责编制年度市级预决算草案并组织实施，受市政府委托，向市人民代表大会报告全市和市级预算及其执行情况，向市人大常委会报告决算，组织制定经费开支标准、定额，负责审核批复部门（单位）的年度预决算，完善转移支付制度。负责政府非税收入管理，负责政府性基金管理，按规定管理行政事业性收费，管理财政票据，负责彩票的监管和发行规模的审核上报工作。制定全市国库管理制度、国库集中收付制度，指导和监督国库业务，组织开展国库现金管理工作。制定政府采购制度，编制政府采购预算，监督管理全市政府采购工作。制定全市行政事业单位国有资产管理制度规定及市级机关事业单位国有资产收益管理办法，并对执行情况进行监督检查，负责市级机关国有资产经营收益财政专户管理工作。审核和汇总编制全市国有资本经营预决算草案，制订国有资本经营预算的制度和办法，收取市本级企业国有资本收益，组织实施企业财务制度，管理金融类企业国有资产，参与拟订企业国有资产管理相关制度，管理资产评估工作。负责管理和监督财政性经济发展支出、政府性投资项目的财政拨款，参与拟订政府性建设投资的有关政策，制定基本建设财务制度，负责投资评审管理工作。负责有关政策性补贴和专项储备资金财政管理工作。负责全市农业综合开发管理工作。会同相关部门管理全市社会保障和就业及医疗卫生支出，会同相关部门拟订社会保障资金（基金）的财务管理制度，编制市级社会保障预决算草案。组织实施政府债务管理制度和政策，制定具体管理办法，管理政府债务，防范财政风险，管理外国政府和国际金融机构贷（赠）款项目的有关业务。负责全市的会计工作，监督和规范会计行为，组织实施国家统一的会计制度，指导和监督注册会计师和会计师事务所的业务，指导和管理社会审计。负责财政资金绩效评价。监督检查财税法规、政策的执行情况，反映财政收支管理中的重大问题。依法查处违反财经法纪的行为。负责财政宣传和财政信息管理系统工作，负责全市财政业务培训。承担市政府公布的有关行政审批事项。负责全市PPP政策研究和实施办法的制定、市级PPP项目库的建立更新，项目实施方案的汇总和审核等工作。承办市政府交办的其他事项。</w:t>
      </w:r>
    </w:p>
    <w:p>
      <w:pPr>
        <w:pStyle w:val="2"/>
        <w:keepNext w:val="0"/>
        <w:keepLines w:val="0"/>
        <w:pageBreakBefore w:val="0"/>
        <w:widowControl w:val="0"/>
        <w:kinsoku/>
        <w:wordWrap/>
        <w:overflowPunct/>
        <w:topLinePunct w:val="0"/>
        <w:bidi w:val="0"/>
        <w:adjustRightInd w:val="0"/>
        <w:snapToGrid w:val="0"/>
        <w:spacing w:before="93" w:line="600" w:lineRule="exact"/>
        <w:ind w:firstLine="640" w:firstLineChars="200"/>
        <w:outlineLvl w:val="2"/>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（二）20</w:t>
      </w:r>
      <w:r>
        <w:rPr>
          <w:rFonts w:hint="eastAsia" w:ascii="楷体_GB2312" w:hAnsi="楷体_GB2312" w:eastAsia="楷体_GB2312" w:cs="楷体_GB2312"/>
          <w:bCs/>
          <w:color w:val="auto"/>
          <w:sz w:val="32"/>
          <w:szCs w:val="32"/>
          <w:highlight w:val="none"/>
          <w:lang w:val="en-US" w:eastAsia="zh-CN"/>
        </w:rPr>
        <w:t>21</w:t>
      </w:r>
      <w:r>
        <w:rPr>
          <w:rFonts w:hint="eastAsia" w:ascii="楷体_GB2312" w:hAnsi="楷体_GB2312" w:eastAsia="楷体_GB2312" w:cs="楷体_GB2312"/>
          <w:bCs/>
          <w:color w:val="auto"/>
          <w:sz w:val="32"/>
          <w:szCs w:val="32"/>
          <w:highlight w:val="none"/>
        </w:rPr>
        <w:t>年重点工作完成情况。</w:t>
      </w:r>
      <w:bookmarkEnd w:id="18"/>
      <w:bookmarkEnd w:id="19"/>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bookmarkStart w:id="20" w:name="_Toc15396601"/>
      <w:bookmarkStart w:id="21" w:name="_Toc15377200"/>
      <w:r>
        <w:rPr>
          <w:rFonts w:hint="eastAsia" w:ascii="仿宋_GB2312" w:hAnsi="仿宋_GB2312" w:eastAsia="仿宋_GB2312" w:cs="仿宋_GB2312"/>
          <w:i w:val="0"/>
          <w:caps w:val="0"/>
          <w:color w:val="000000"/>
          <w:spacing w:val="0"/>
          <w:sz w:val="32"/>
          <w:szCs w:val="32"/>
          <w:shd w:val="clear" w:fill="FFFFFF"/>
        </w:rPr>
        <w:t>2021年，在市委、市政府的坚强领导下，市财政局全面贯彻落实党中央和省委、市委系列决策部署，坚决执行“三保一优一防”财政工作要求，在保持经济稳步发展、支持重点工作推进、保障改善民生等方面采取切实有效措施，为全市经济社会高质量发展提供了坚实财力保障。</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财政收支实现“平稳运行”。围绕提高税收占比做优收入质量，以及严格征管、以管促收做大收入体量，不断调整优化支出结构，促进财政经济高质量发展。2021年，全市地方一般公共预算收入59.3亿元，增长12.7%（同口径增长14.6%）。其中：税收收入32.96亿元，非税收入26.34亿元。市本级地方一般公共预算收入23.04亿元，增长4.8%（同口径增长9.7%）。全市财政收入增速高于经济增长。严格落实“过紧日子”要求，执行好“八项规定”及其实施细则，修订《市级部门单位“过紧日子”十三条措施（修订）》，调整预算支出结构，统筹财政绩效评价结果，严禁低效无效支出，全年一般性支出再压减7%。全市一般公共预算支出273.23亿元，剔除一次性抗疫转移支付，同口径增长5.3%。市本级一般公共预算支出59.03亿元。</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2.</w:t>
      </w:r>
      <w:r>
        <w:rPr>
          <w:rFonts w:hint="eastAsia" w:ascii="仿宋_GB2312" w:hAnsi="仿宋_GB2312" w:eastAsia="仿宋_GB2312" w:cs="仿宋_GB2312"/>
          <w:i w:val="0"/>
          <w:caps w:val="0"/>
          <w:color w:val="000000"/>
          <w:spacing w:val="0"/>
          <w:sz w:val="32"/>
          <w:szCs w:val="32"/>
          <w:shd w:val="clear" w:fill="FFFFFF"/>
        </w:rPr>
        <w:t>全力统筹保障“两战全胜”。一是持续巩固疫情防控成果。强化政策资金统筹，优先保障“两站一场”、一线医护人员和其他疫情防控人员工作生活，安排疫情防控资金1.58亿元，支持卫生防疫、医疗和应急物资投入和技术改造；累计上解疫苗采购及接种经费1.98亿元，保障全市疫苗接种圆满完成。二是强力推动产业强市建设。预算安排中孚实业、林丰铝业财政扶持资金1.2亿元，制定支持循环经济产业发展政策，内引外联，做大做优千亿级铝产业；投入绿色家居产业专项债资金3.28亿元，产业园区基本建成，签订入驻协议企业38家，已入驻企业17家，五百亿绿色家居产业初现规模;安排财政支持农业发展资金59.2亿元，建成省星级现代农业园区2个、市级园区14个，建成规模化农产品加工区8个，规模化、组织化、品牌化的优质特色农业成为群众增收的基础；落实现代服务业各项扶持政策，推动菜鸟乡村西南区域客户运营中心落户、京东数字产业园签约，积极完善电子商务网络建设，支持外贸企业稳定出口。三是统筹推动惠企利民资金快速直达。建立“日提醒、月通报”机制，确保预警信息和业务督促类工作每天清零，直达资金分配下达进度稳定保持在100%。全年中央省级下达我市直达资金60.84亿元，分配下达进度100%。全市直达资金支出59.79亿元，进度98.27%，惠及企业82个，惠及人员584.68万人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3.精准有力助推“六稳六保”。一是不折不扣落实减税降费政策。强化地方政策与上级政策相结合，落实城市基础设施建设配套费等行政事业性收费减免政策，切实做到应减尽减、力争多减，全年市场主体实现新增减税5.95亿元。持续清理行政事业性收费项目，并以清单形式向社会公开，全市共减征市场主体和社会个人行政事业性收费等费用0.16亿元。二是助力稳企业活市场。深入实施财金互动政策，充分发挥财政资金撬动引导作用。向政府性担保公司兑现政策性奖补资金0.22亿元，为小微企业、三农主体和个人创业提供融资担保15.8亿元；向开展政策性农业保险业务的保险机构兑现财政承担的政策性保费0.68亿元，为192万户农户提供风险保障105亿元；向银行业金融机构兑现贷款贴息和业务奖补资金0.22亿元，引导金融机构向市场主体提供新增贷款118亿元；成功申报“全国财政支持深化民营和小微企业金融服务综合改革试点城市”，获得财政奖励资金0.5亿元。安排专项资金0.5亿元，推动市级产业发展基金设立和政府性担保机构可持续发展。三是支持稳就业优环境。落实就业优先政策，统筹用好就业创业奖补政策，支持“返乡创业、回家发展”计划持续实施，加大对贫困人口和残疾人员就业的帮扶，稳住就业基本盘。持续深化“放管服”改革，推进政府采购全流程电子化建设，实施中小微企业政府采购优惠政策，提升中小企业参与政府采购竞争力，打造川内最优营商环境，充分激发市场主体活力和发展内生动力。</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4.</w:t>
      </w:r>
      <w:r>
        <w:rPr>
          <w:rFonts w:hint="eastAsia" w:ascii="仿宋_GB2312" w:hAnsi="仿宋_GB2312" w:eastAsia="仿宋_GB2312" w:cs="仿宋_GB2312"/>
          <w:i w:val="0"/>
          <w:caps w:val="0"/>
          <w:color w:val="000000"/>
          <w:spacing w:val="0"/>
          <w:sz w:val="32"/>
          <w:szCs w:val="32"/>
          <w:shd w:val="clear" w:fill="FFFFFF"/>
        </w:rPr>
        <w:t>市区一体深化“城乡融合”。一是支持乡村振兴战略全面实施。持续巩固拓展脱贫攻坚成果同乡村振兴有效衔接，制定《广元市市级财政衔接资金管理办法》，大力支持乡村建设，实施乡村振兴项目。深入做好两项改革“后半篇”文章，健全完善乡镇政府购买服务制度机制，政府购买服务经验信息被财政部官网刊发；盘活用好镇村闲置公有资产13183宗，其“323”模式经验做法在全省推广。二是推进城市环境面貌改善。助力实施城市有机更新行动，加快城市公交场站、市政设施、排水防涝、园林绿化、四好农村路等建设，推动韧性城市、海绵城市、公园城市建设，支持老旧小区改造，统筹推进城乡居住品质提升，助力打好治气治水治废组合拳，高标准推进生态文明建设。三是夯实基础设施建设。储备政府专项债项目169个，总投资921.05亿元，申请债券资金454.19亿元。其中，已实施专项债项目109个，使用专项债资金140.96亿元。同时，使用中省预算内投资和新增地方政府债券资金70.96亿元。</w:t>
      </w:r>
    </w:p>
    <w:p>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rPr>
        <w:t>持续稳步增进“人民福祉”。一是全力保障30件民生实事。统筹财政资金35.33亿元，切实保障义务教育阶段学生营养膳食补助、广播电视户户通工程等群众关心、社会关注的关键小事、民生实事全面高质量完成。二是建好用活“一卡通”阳光审批系统。纳入“一卡通”监管平台项目90个，建成阳光审批系统49个，通过“一卡通”监管平台发放财政补贴资金20.5亿元，惠及群众117万余人。三是推动教育文化事业深入发展。投入全市教育领域资金45亿元，强化教育基础设施建设提升，保障教师工资待遇，推动基础教育全域优质均衡发展。统筹文旅发展资金4.75亿元，支持文旅兴市战略、公共文化服务体系建设、文化精品工程及助推文旅体深度融合发展。四是完善社会救助体系。投入财政资金20.94亿元，托稳兜实低保救助、儿童关爱、养老帮困等基本保障，织密织牢高质量医疗医保服务网、基本公共卫生防护网、重大疾病救助兜底网，有效减轻群众生活负担。五是支持卫生健康事业。提高基层医疗服务水平，增强整体医疗服务救治能力，大力支持川陕甘结合部区域医疗中心建设，推进中国生态康养旅游名市建设。六是坚决打赢污染防治攻坚战。全市统筹安排各类生态环保资金8.79亿元，积极支持水、土、气污染防治，打好蓝天、碧水、净土保卫战；推进生态修复，加强嘉陵江、白龙江优良水体保护，支持实施东河水体保护和西河环境治理，大力保障碳达峰碳中和行动实施，推动碳汇项目开发，积极发展低碳循环经济，加快建设践行绿水青山就是金山银山理念典范城市。七是推进防灾减灾工作。统筹防灾减灾资金3.15亿元，切实保障安全生产、防震减灾、食药安全、森林防灭火、地质灾害防治等工作的投入，加快建设省区域应急救援广元基地，有效提升防灾减灾能力，确保人民群众生命财产安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6.强基固本夯实“财政治理”。一是严格财政预算管理。坚持以收定支、量力而行，从严从紧编制预算。坚持先有预算后有支出，严禁无预算、超预算安排支出。统筹推进预算管理一体化改革，通过“技术+制度”实现预算管理全流程的动态反应和有效控制，确保各级预算管理规范高效。二是全面实施绩效管理。制定《广元市市级项目支出绩效评价管理办法》《广元市预算事前绩效评估管理暂行规定》《广元市市级财政预算绩效结果应用管理办法》等制度，全年对14个预算单位、24个重大项目开展支出绩效评价，及时整改了绩效评价发现的问题，高效推动了绩效评价结果运用。三是财政评审提质增效。积极助力项目投资，制定《市本级政府投资项目施工图财政评审提质增效六条措施》，全年市本级共计完成评审项目118个，送审金额56.56亿元，审定金额52.15亿元，审减4.41亿元，审减率7.8%。四是PPP项目成效明显。全市共有56个项目纳入财政部PPP综合信息平台项目库，总投资602.51亿元，项目数和投资金额分列全省第四位、第八位。五是政府债务风险可控。健全地方政府性债务管理体系，严格政府投资项目源头管控，加强重大项目财政可承受能力评估，规范政府举债融资机制，坚决遏制隐性债务增量，积极稳妥消化隐性债务存量，有序化解行政法律风险和偿债能力风险。全面完成隐性债务化解目标任务。</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6" w:lineRule="atLeast"/>
        <w:ind w:right="0" w:firstLine="640" w:firstLineChars="20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7.全面从严治党“纵深推进”。一是积极履行管党治党主体责任。严格落实党员领导干部双重组织生活制度，班子成员讲党课18次，参加主题党日活动、党员大会92次，党组成员到联系支部指导督促工作19次。选优配齐支部班子，调整支部构架，完成六个党支部换届改选工作，五个支部实现标准化规范化建设。二是持续深化党风廉政建设。带头落实中央八项规定、省委省政府十项规定、市委“六个带头”及其实施细则精神，研究部署党风廉政建设工作10余次，专题研究纪律作风整顿工作6次，听取科室纪律作风整顿工作情况汇报9次，开展作风纪律检查27次，提醒谈话党员干部8人次。三是深入开展巡视巡察和审计发现问题整改。通过强化专项检查，建立健全制度机制、完善配套服务等完成政府采购领域专项巡视发现的75个具体问题的整改销号。通过分级负责、分类处置、全面整改的方式，深入整治政商关系“亲而不清”的问题，共整改销号公共资产出借292笔、公共资金出借33.05亿元、融资担保50.84亿元。四是建好建强干部队伍。深化人才发展体制机制改革，印发《进一步激励干部担当作为干事创业的十条措施》，激发干部职工创新活力，为财政干部搭建了大有可为、大有作为、施展才华的舞台。</w:t>
      </w:r>
    </w:p>
    <w:p>
      <w:pPr>
        <w:pStyle w:val="4"/>
        <w:keepNext w:val="0"/>
        <w:keepLines w:val="0"/>
        <w:pageBreakBefore w:val="0"/>
        <w:widowControl w:val="0"/>
        <w:kinsoku/>
        <w:wordWrap/>
        <w:overflowPunct/>
        <w:topLinePunct w:val="0"/>
        <w:autoSpaceDE/>
        <w:autoSpaceDN/>
        <w:bidi w:val="0"/>
        <w:spacing w:before="0" w:after="0"/>
        <w:ind w:firstLine="640" w:firstLineChars="200"/>
        <w:textAlignment w:val="auto"/>
        <w:rPr>
          <w:rStyle w:val="18"/>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20"/>
      <w:bookmarkEnd w:id="21"/>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广元市财政局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个。</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广元市财政局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年度部门决算编制范围的二级预算单位包括：</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1.广元市财政局机关</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.广元市财政评审中心</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firstLine="640" w:firstLineChars="200"/>
        <w:jc w:val="left"/>
        <w:textAlignment w:val="auto"/>
        <w:rPr>
          <w:rFonts w:ascii="仿宋" w:hAnsi="仿宋" w:eastAsia="仿宋"/>
          <w:color w:val="auto"/>
          <w:kern w:val="0"/>
          <w:sz w:val="32"/>
          <w:szCs w:val="32"/>
          <w:highlight w:val="none"/>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.广元市财政绩效管理中心</w:t>
      </w:r>
      <w:r>
        <w:rPr>
          <w:rFonts w:ascii="仿宋" w:hAnsi="仿宋" w:eastAsia="仿宋"/>
          <w:color w:val="auto"/>
          <w:sz w:val="32"/>
          <w:szCs w:val="32"/>
          <w:highlight w:val="none"/>
        </w:rPr>
        <w:br w:type="page"/>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79" w:lineRule="auto"/>
        <w:jc w:val="center"/>
        <w:textAlignment w:val="auto"/>
        <w:rPr>
          <w:rFonts w:hint="eastAsia" w:ascii="方正小标宋简体" w:hAnsi="方正小标宋简体" w:eastAsia="方正小标宋简体" w:cs="方正小标宋简体"/>
          <w:b w:val="0"/>
          <w:color w:val="auto"/>
          <w:sz w:val="44"/>
          <w:szCs w:val="44"/>
          <w:highlight w:val="none"/>
        </w:rPr>
      </w:pPr>
      <w:bookmarkStart w:id="22" w:name="_Toc15396602"/>
      <w:bookmarkStart w:id="23" w:name="_Toc15377204"/>
      <w:r>
        <w:rPr>
          <w:rFonts w:hint="eastAsia" w:ascii="方正小标宋简体" w:hAnsi="方正小标宋简体" w:eastAsia="方正小标宋简体" w:cs="方正小标宋简体"/>
          <w:b w:val="0"/>
          <w:color w:val="auto"/>
          <w:sz w:val="44"/>
          <w:szCs w:val="44"/>
          <w:highlight w:val="none"/>
        </w:rPr>
        <w:t xml:space="preserve">第二部分 </w:t>
      </w:r>
      <w:r>
        <w:rPr>
          <w:rFonts w:hint="eastAsia" w:ascii="方正小标宋简体" w:hAnsi="方正小标宋简体" w:eastAsia="方正小标宋简体" w:cs="方正小标宋简体"/>
          <w:b w:val="0"/>
          <w:color w:val="auto"/>
          <w:sz w:val="44"/>
          <w:szCs w:val="44"/>
          <w:highlight w:val="none"/>
          <w:lang w:val="en-US" w:eastAsia="zh-CN"/>
        </w:rPr>
        <w:t>2021年度</w:t>
      </w:r>
      <w:r>
        <w:rPr>
          <w:rFonts w:hint="eastAsia" w:ascii="方正小标宋简体" w:hAnsi="方正小标宋简体" w:eastAsia="方正小标宋简体" w:cs="方正小标宋简体"/>
          <w:b w:val="0"/>
          <w:color w:val="auto"/>
          <w:sz w:val="44"/>
          <w:szCs w:val="44"/>
          <w:highlight w:val="none"/>
        </w:rPr>
        <w:t>部门决算情况说明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18"/>
          <w:rFonts w:ascii="黑体" w:hAnsi="黑体" w:eastAsia="黑体"/>
          <w:b w:val="0"/>
          <w:color w:val="auto"/>
          <w:highlight w:val="none"/>
        </w:rPr>
      </w:pPr>
      <w:bookmarkStart w:id="24" w:name="_Toc15396603"/>
      <w:bookmarkStart w:id="25" w:name="_Toc15377205"/>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3887.97</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40.21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为：一是人员变化引起的基本支出增加；二是项目支出增加。</w:t>
      </w:r>
      <w:r>
        <w:rPr>
          <w:rFonts w:hint="eastAsia" w:ascii="仿宋_GB2312" w:hAnsi="仿宋_GB2312" w:eastAsia="仿宋_GB2312" w:cs="仿宋_GB2312"/>
          <w:color w:val="auto"/>
          <w:sz w:val="32"/>
          <w:szCs w:val="32"/>
          <w:highlight w:val="none"/>
        </w:rPr>
        <w:t>（图1：收、支决算总计变动情况图）（柱状图）</w:t>
      </w:r>
    </w:p>
    <w:p>
      <w:pPr>
        <w:pStyle w:val="2"/>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3566795" cy="1816100"/>
            <wp:effectExtent l="4445" t="4445" r="10160" b="825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7"/>
        <w:keepNext w:val="0"/>
        <w:keepLines w:val="0"/>
        <w:pageBreakBefore w:val="0"/>
        <w:widowControl w:val="0"/>
        <w:numPr>
          <w:ilvl w:val="0"/>
          <w:numId w:val="0"/>
        </w:numPr>
        <w:kinsoku/>
        <w:wordWrap/>
        <w:overflowPunct/>
        <w:topLinePunct w:val="0"/>
        <w:bidi w:val="0"/>
        <w:spacing w:line="600" w:lineRule="exact"/>
        <w:ind w:left="640" w:leftChars="0"/>
        <w:outlineLvl w:val="1"/>
        <w:rPr>
          <w:rStyle w:val="18"/>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2864.9</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2859.62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99.82</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5.28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0.18</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2758440" cy="1584960"/>
            <wp:effectExtent l="4445" t="4445" r="18415" b="10795"/>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27"/>
        <w:keepNext w:val="0"/>
        <w:keepLines w:val="0"/>
        <w:pageBreakBefore w:val="0"/>
        <w:widowControl w:val="0"/>
        <w:numPr>
          <w:ilvl w:val="0"/>
          <w:numId w:val="0"/>
        </w:numPr>
        <w:kinsoku/>
        <w:wordWrap/>
        <w:overflowPunct/>
        <w:topLinePunct w:val="0"/>
        <w:bidi w:val="0"/>
        <w:spacing w:line="600" w:lineRule="exact"/>
        <w:ind w:left="640" w:leftChars="0"/>
        <w:outlineLvl w:val="1"/>
        <w:rPr>
          <w:rStyle w:val="18"/>
          <w:rFonts w:ascii="黑体" w:hAnsi="黑体" w:eastAsia="黑体"/>
          <w:b w:val="0"/>
          <w:color w:val="auto"/>
          <w:highlight w:val="none"/>
        </w:rPr>
      </w:pPr>
      <w:bookmarkStart w:id="28" w:name="_Toc15396605"/>
      <w:bookmarkStart w:id="29"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28"/>
      <w:bookmarkEnd w:id="29"/>
    </w:p>
    <w:p>
      <w:pPr>
        <w:keepNext w:val="0"/>
        <w:keepLines w:val="0"/>
        <w:pageBreakBefore w:val="0"/>
        <w:widowControl w:val="0"/>
        <w:kinsoku/>
        <w:wordWrap/>
        <w:overflowPunct/>
        <w:topLinePunct w:val="0"/>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3199.74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2100.11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65.63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1099.63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34.37</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pStyle w:val="2"/>
        <w:keepNext w:val="0"/>
        <w:keepLines w:val="0"/>
        <w:pageBreakBefore w:val="0"/>
        <w:widowControl w:val="0"/>
        <w:kinsoku/>
        <w:wordWrap/>
        <w:overflowPunct/>
        <w:topLinePunct w:val="0"/>
        <w:bidi w:val="0"/>
        <w:jc w:val="center"/>
        <w:rPr>
          <w:rFonts w:ascii="仿宋_GB2312" w:eastAsia="仿宋_GB2312"/>
          <w:color w:val="auto"/>
          <w:sz w:val="32"/>
          <w:szCs w:val="32"/>
          <w:highlight w:val="none"/>
        </w:rPr>
      </w:pPr>
      <w:r>
        <w:drawing>
          <wp:inline distT="0" distB="0" distL="114300" distR="114300">
            <wp:extent cx="3424555" cy="1949450"/>
            <wp:effectExtent l="4445" t="4445" r="19050" b="8255"/>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bidi w:val="0"/>
        <w:spacing w:line="600" w:lineRule="exact"/>
        <w:ind w:firstLine="640" w:firstLineChars="200"/>
        <w:outlineLvl w:val="1"/>
        <w:rPr>
          <w:rStyle w:val="18"/>
          <w:rFonts w:ascii="黑体" w:hAnsi="黑体" w:eastAsia="黑体"/>
          <w:b w:val="0"/>
          <w:color w:val="auto"/>
          <w:highlight w:val="none"/>
        </w:rPr>
      </w:pPr>
      <w:bookmarkStart w:id="30" w:name="_Toc15396606"/>
      <w:bookmarkStart w:id="31" w:name="_Toc15377208"/>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30"/>
      <w:bookmarkEnd w:id="31"/>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3801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63.22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1.69</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一是人员变化引起的基本支出增加；二是项目支出增加。</w:t>
      </w:r>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（图4：财政拨款收、支决算总计变动情况）（柱状图）</w:t>
      </w:r>
    </w:p>
    <w:p>
      <w:pPr>
        <w:pStyle w:val="2"/>
        <w:keepNext w:val="0"/>
        <w:keepLines w:val="0"/>
        <w:pageBreakBefore w:val="0"/>
        <w:widowControl w:val="0"/>
        <w:kinsoku/>
        <w:wordWrap/>
        <w:overflowPunct/>
        <w:topLinePunct w:val="0"/>
        <w:bidi w:val="0"/>
        <w:jc w:val="center"/>
        <w:rPr>
          <w:rFonts w:ascii="仿宋" w:hAnsi="仿宋" w:eastAsia="仿宋"/>
          <w:b/>
          <w:color w:val="auto"/>
          <w:sz w:val="32"/>
          <w:szCs w:val="32"/>
          <w:highlight w:val="none"/>
        </w:rPr>
      </w:pPr>
      <w:r>
        <w:drawing>
          <wp:inline distT="0" distB="0" distL="114300" distR="114300">
            <wp:extent cx="3599180" cy="2440305"/>
            <wp:effectExtent l="4445" t="4445" r="15875" b="1270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kinsoku/>
        <w:wordWrap/>
        <w:overflowPunct/>
        <w:topLinePunct w:val="0"/>
        <w:bidi w:val="0"/>
        <w:spacing w:line="600" w:lineRule="exact"/>
        <w:ind w:firstLine="640" w:firstLineChars="200"/>
        <w:outlineLvl w:val="1"/>
        <w:rPr>
          <w:rStyle w:val="18"/>
          <w:rFonts w:ascii="黑体" w:hAnsi="黑体" w:eastAsia="黑体"/>
          <w:b w:val="0"/>
          <w:color w:val="auto"/>
          <w:highlight w:val="none"/>
        </w:rPr>
      </w:pPr>
      <w:bookmarkStart w:id="32" w:name="_Toc15377209"/>
      <w:bookmarkStart w:id="3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32"/>
      <w:bookmarkEnd w:id="33"/>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Cs/>
          <w:color w:val="auto"/>
          <w:kern w:val="0"/>
          <w:sz w:val="32"/>
          <w:szCs w:val="32"/>
          <w:highlight w:val="none"/>
          <w:lang w:val="en-US" w:eastAsia="zh-CN" w:bidi="ar-SA"/>
        </w:rPr>
      </w:pPr>
      <w:bookmarkStart w:id="34" w:name="_Toc15377210"/>
      <w:r>
        <w:rPr>
          <w:rFonts w:hint="eastAsia" w:ascii="楷体_GB2312" w:hAnsi="楷体_GB2312" w:eastAsia="楷体_GB2312" w:cs="楷体_GB2312"/>
          <w:bCs/>
          <w:color w:val="auto"/>
          <w:kern w:val="0"/>
          <w:sz w:val="32"/>
          <w:szCs w:val="32"/>
          <w:highlight w:val="none"/>
          <w:lang w:val="en-US" w:eastAsia="zh-CN" w:bidi="ar-SA"/>
        </w:rPr>
        <w:t>（一）一般公共预算财政拨款支出决算总体情况</w:t>
      </w:r>
      <w:bookmarkEnd w:id="34"/>
    </w:p>
    <w:p>
      <w:pPr>
        <w:keepNext w:val="0"/>
        <w:keepLines w:val="0"/>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3194.58</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99.84</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670.48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26.56</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一是局机关及下属2个事业单位在职人员增加引起的基本支出增加；二是因实施财政信息安全建设项目、开展财政信息系统运行维护和开展政府性投资项目财政评审工作增加项目支出。</w:t>
      </w:r>
    </w:p>
    <w:p>
      <w:pPr>
        <w:keepNext w:val="0"/>
        <w:keepLines w:val="0"/>
        <w:pageBreakBefore w:val="0"/>
        <w:widowControl w:val="0"/>
        <w:kinsoku/>
        <w:wordWrap/>
        <w:overflowPunct/>
        <w:topLinePunct w:val="0"/>
        <w:bidi w:val="0"/>
        <w:spacing w:line="600" w:lineRule="exact"/>
        <w:jc w:val="center"/>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（图5：一般公共预算财政拨款支出决算变动情况）（柱状图）</w:t>
      </w:r>
    </w:p>
    <w:p>
      <w:pPr>
        <w:pStyle w:val="2"/>
        <w:keepNext w:val="0"/>
        <w:keepLines w:val="0"/>
        <w:pageBreakBefore w:val="0"/>
        <w:widowControl w:val="0"/>
        <w:kinsoku/>
        <w:wordWrap/>
        <w:overflowPunct/>
        <w:topLinePunct w:val="0"/>
        <w:bidi w:val="0"/>
        <w:jc w:val="center"/>
        <w:rPr>
          <w:rFonts w:ascii="仿宋" w:hAnsi="仿宋" w:eastAsia="仿宋"/>
          <w:color w:val="auto"/>
          <w:sz w:val="32"/>
          <w:szCs w:val="32"/>
          <w:highlight w:val="none"/>
        </w:rPr>
      </w:pPr>
      <w:r>
        <w:drawing>
          <wp:inline distT="0" distB="0" distL="114300" distR="114300">
            <wp:extent cx="3687445" cy="1958975"/>
            <wp:effectExtent l="5080" t="4445" r="2222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Cs/>
          <w:color w:val="auto"/>
          <w:kern w:val="0"/>
          <w:sz w:val="32"/>
          <w:szCs w:val="32"/>
          <w:highlight w:val="none"/>
          <w:lang w:val="en-US" w:eastAsia="zh-CN" w:bidi="ar-SA"/>
        </w:rPr>
      </w:pPr>
      <w:bookmarkStart w:id="35" w:name="_Toc15377211"/>
      <w:r>
        <w:rPr>
          <w:rFonts w:hint="eastAsia" w:ascii="楷体_GB2312" w:hAnsi="楷体_GB2312" w:eastAsia="楷体_GB2312" w:cs="楷体_GB2312"/>
          <w:bCs/>
          <w:color w:val="auto"/>
          <w:kern w:val="0"/>
          <w:sz w:val="32"/>
          <w:szCs w:val="32"/>
          <w:highlight w:val="none"/>
          <w:lang w:val="en-US" w:eastAsia="zh-CN" w:bidi="ar-SA"/>
        </w:rPr>
        <w:t>（二）一般公共预算财政拨款支出决算结构情况</w:t>
      </w:r>
      <w:bookmarkEnd w:id="35"/>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3194.58</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2683.09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83.99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220.12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6.89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Fonts w:hint="eastAsia" w:ascii="仿宋_GB2312" w:hAnsi="仿宋_GB2312" w:eastAsia="仿宋_GB2312" w:cs="仿宋_GB2312"/>
          <w:b/>
          <w:color w:val="auto"/>
          <w:sz w:val="32"/>
          <w:szCs w:val="32"/>
          <w:highlight w:val="none"/>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55.63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1.74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w:t>
      </w:r>
      <w:r>
        <w:rPr>
          <w:rFonts w:hint="eastAsia" w:ascii="仿宋_GB2312" w:hAnsi="仿宋_GB2312" w:eastAsia="仿宋_GB2312" w:cs="仿宋_GB2312"/>
          <w:b/>
          <w:color w:val="auto"/>
          <w:sz w:val="32"/>
          <w:szCs w:val="32"/>
          <w:highlight w:val="none"/>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235.74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7.38</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60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pStyle w:val="2"/>
        <w:keepNext w:val="0"/>
        <w:keepLines w:val="0"/>
        <w:pageBreakBefore w:val="0"/>
        <w:widowControl w:val="0"/>
        <w:kinsoku/>
        <w:wordWrap/>
        <w:overflowPunct/>
        <w:topLinePunct w:val="0"/>
        <w:bidi w:val="0"/>
        <w:jc w:val="center"/>
        <w:rPr>
          <w:rFonts w:ascii="仿宋" w:hAnsi="仿宋" w:eastAsia="仿宋"/>
          <w:color w:val="auto"/>
          <w:sz w:val="32"/>
          <w:szCs w:val="32"/>
          <w:highlight w:val="none"/>
        </w:rPr>
      </w:pPr>
      <w:r>
        <w:drawing>
          <wp:inline distT="0" distB="0" distL="114300" distR="114300">
            <wp:extent cx="3531870" cy="1823720"/>
            <wp:effectExtent l="4445" t="5080" r="6985" b="1905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Cs/>
          <w:color w:val="auto"/>
          <w:kern w:val="0"/>
          <w:sz w:val="32"/>
          <w:szCs w:val="32"/>
          <w:highlight w:val="none"/>
          <w:lang w:val="en-US" w:eastAsia="zh-CN" w:bidi="ar-SA"/>
        </w:rPr>
      </w:pPr>
      <w:bookmarkStart w:id="36" w:name="_Toc15377212"/>
      <w:r>
        <w:rPr>
          <w:rFonts w:hint="eastAsia" w:ascii="楷体_GB2312" w:hAnsi="楷体_GB2312" w:eastAsia="楷体_GB2312" w:cs="楷体_GB2312"/>
          <w:bCs/>
          <w:color w:val="auto"/>
          <w:kern w:val="0"/>
          <w:sz w:val="32"/>
          <w:szCs w:val="32"/>
          <w:highlight w:val="none"/>
          <w:lang w:val="en-US" w:eastAsia="zh-CN" w:bidi="ar-SA"/>
        </w:rPr>
        <w:t>（三）一般公共预算财政拨款支出决算具体情况</w:t>
      </w:r>
      <w:bookmarkEnd w:id="36"/>
    </w:p>
    <w:p>
      <w:pPr>
        <w:keepNext w:val="0"/>
        <w:keepLines w:val="0"/>
        <w:pageBreakBefore w:val="0"/>
        <w:widowControl w:val="0"/>
        <w:kinsoku/>
        <w:wordWrap/>
        <w:overflowPunct/>
        <w:topLinePunct w:val="0"/>
        <w:bidi w:val="0"/>
        <w:spacing w:line="600" w:lineRule="exact"/>
        <w:ind w:firstLine="643" w:firstLineChars="200"/>
        <w:outlineLvl w:val="2"/>
        <w:rPr>
          <w:rFonts w:hint="eastAsia" w:ascii="仿宋_GB2312" w:hAnsi="仿宋_GB2312" w:eastAsia="仿宋_GB2312" w:cs="仿宋_GB2312"/>
          <w:color w:val="auto"/>
          <w:sz w:val="32"/>
          <w:szCs w:val="32"/>
          <w:highlight w:val="none"/>
        </w:rPr>
      </w:pPr>
      <w:bookmarkStart w:id="37" w:name="_Toc15377213"/>
      <w:bookmarkStart w:id="38" w:name="_Toc15377444"/>
      <w:bookmarkStart w:id="39" w:name="_Toc15378460"/>
      <w:r>
        <w:rPr>
          <w:rFonts w:hint="eastAsia" w:ascii="仿宋_GB2312" w:hAnsi="仿宋_GB2312" w:eastAsia="仿宋_GB2312" w:cs="仿宋_GB2312"/>
          <w:b/>
          <w:color w:val="auto"/>
          <w:sz w:val="32"/>
          <w:szCs w:val="32"/>
          <w:highlight w:val="none"/>
        </w:rPr>
        <w:t>20</w:t>
      </w:r>
      <w:r>
        <w:rPr>
          <w:rFonts w:hint="eastAsia" w:ascii="仿宋_GB2312" w:hAnsi="仿宋_GB2312" w:eastAsia="仿宋_GB2312" w:cs="仿宋_GB2312"/>
          <w:b/>
          <w:color w:val="auto"/>
          <w:sz w:val="32"/>
          <w:szCs w:val="32"/>
          <w:highlight w:val="none"/>
          <w:lang w:val="en-US" w:eastAsia="zh-CN"/>
        </w:rPr>
        <w:t>21</w:t>
      </w:r>
      <w:r>
        <w:rPr>
          <w:rFonts w:hint="eastAsia" w:ascii="仿宋_GB2312" w:hAnsi="仿宋_GB2312" w:eastAsia="仿宋_GB2312" w:cs="仿宋_GB2312"/>
          <w:b/>
          <w:color w:val="auto"/>
          <w:sz w:val="32"/>
          <w:szCs w:val="32"/>
          <w:highlight w:val="none"/>
        </w:rPr>
        <w:t>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3194.58万元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eastAsia="仿宋_GB2312" w:cs="仿宋_GB2312"/>
          <w:bCs/>
          <w:color w:val="auto"/>
          <w:sz w:val="32"/>
          <w:szCs w:val="32"/>
          <w:highlight w:val="none"/>
          <w:lang w:val="en-US" w:eastAsia="zh-CN"/>
        </w:rPr>
        <w:t>84.05</w:t>
      </w:r>
      <w:r>
        <w:rPr>
          <w:rStyle w:val="15"/>
          <w:rFonts w:hint="eastAsia" w:ascii="仿宋_GB2312" w:hAnsi="仿宋_GB2312" w:eastAsia="仿宋_GB2312" w:cs="仿宋_GB2312"/>
          <w:bCs/>
          <w:color w:val="auto"/>
          <w:sz w:val="32"/>
          <w:szCs w:val="32"/>
          <w:highlight w:val="none"/>
        </w:rPr>
        <w:t>%。其中：</w:t>
      </w:r>
      <w:bookmarkEnd w:id="37"/>
      <w:bookmarkEnd w:id="38"/>
      <w:bookmarkEnd w:id="39"/>
    </w:p>
    <w:p>
      <w:pPr>
        <w:keepNext w:val="0"/>
        <w:keepLines w:val="0"/>
        <w:pageBreakBefore w:val="0"/>
        <w:widowControl w:val="0"/>
        <w:numPr>
          <w:ilvl w:val="0"/>
          <w:numId w:val="0"/>
        </w:numPr>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1.</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行政运行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1353.11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99.99</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576"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2.</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一般行政管理事务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499.8</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81.34</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000000"/>
          <w:sz w:val="32"/>
          <w:szCs w:val="32"/>
        </w:rPr>
        <w:t>部分项目支出202</w:t>
      </w:r>
      <w:r>
        <w:rPr>
          <w:rStyle w:val="15"/>
          <w:rFonts w:hint="eastAsia" w:ascii="仿宋_GB2312" w:hAnsi="仿宋_GB2312" w:eastAsia="仿宋_GB2312" w:cs="仿宋_GB2312"/>
          <w:b w:val="0"/>
          <w:bCs/>
          <w:color w:val="000000"/>
          <w:sz w:val="32"/>
          <w:szCs w:val="32"/>
          <w:lang w:val="en-US" w:eastAsia="zh-CN"/>
        </w:rPr>
        <w:t>1</w:t>
      </w:r>
      <w:r>
        <w:rPr>
          <w:rStyle w:val="15"/>
          <w:rFonts w:hint="eastAsia" w:ascii="仿宋_GB2312" w:hAnsi="仿宋_GB2312" w:eastAsia="仿宋_GB2312" w:cs="仿宋_GB2312"/>
          <w:b w:val="0"/>
          <w:bCs/>
          <w:color w:val="000000"/>
          <w:sz w:val="32"/>
          <w:szCs w:val="32"/>
        </w:rPr>
        <w:t>年尚未完成，202</w:t>
      </w:r>
      <w:r>
        <w:rPr>
          <w:rStyle w:val="15"/>
          <w:rFonts w:hint="eastAsia" w:ascii="仿宋_GB2312" w:hAnsi="仿宋_GB2312" w:eastAsia="仿宋_GB2312" w:cs="仿宋_GB2312"/>
          <w:b w:val="0"/>
          <w:bCs/>
          <w:color w:val="000000"/>
          <w:sz w:val="32"/>
          <w:szCs w:val="32"/>
          <w:lang w:val="en-US" w:eastAsia="zh-CN"/>
        </w:rPr>
        <w:t>2</w:t>
      </w:r>
      <w:r>
        <w:rPr>
          <w:rStyle w:val="15"/>
          <w:rFonts w:hint="eastAsia" w:ascii="仿宋_GB2312" w:hAnsi="仿宋_GB2312" w:eastAsia="仿宋_GB2312" w:cs="仿宋_GB2312"/>
          <w:b w:val="0"/>
          <w:bCs/>
          <w:color w:val="000000"/>
          <w:sz w:val="32"/>
          <w:szCs w:val="32"/>
        </w:rPr>
        <w:t>年还将继续实施</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3</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机关服务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26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4</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信息化建设</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34.13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5</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财政委托业务支出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231.5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66.29</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2021年政府性投资项目评审协作工作尚未完成，2022年还将继续实施</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6</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事业运行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235.35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97.76</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2021年使用了部分上年结转资金</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7</w:t>
      </w:r>
      <w:r>
        <w:rPr>
          <w:rStyle w:val="15"/>
          <w:rFonts w:hint="eastAsia" w:ascii="仿宋_GB2312" w:hAnsi="仿宋_GB2312" w:eastAsia="仿宋_GB2312" w:cs="仿宋_GB2312"/>
          <w:bCs/>
          <w:color w:val="auto"/>
          <w:sz w:val="32"/>
          <w:szCs w:val="32"/>
          <w:highlight w:val="none"/>
        </w:rPr>
        <w:t>.一般公共服务（类）</w:t>
      </w:r>
      <w:r>
        <w:rPr>
          <w:rStyle w:val="15"/>
          <w:rFonts w:hint="eastAsia" w:ascii="仿宋_GB2312" w:hAnsi="仿宋_GB2312" w:eastAsia="仿宋_GB2312" w:cs="仿宋_GB2312"/>
          <w:bCs/>
          <w:color w:val="auto"/>
          <w:sz w:val="32"/>
          <w:szCs w:val="32"/>
          <w:highlight w:val="none"/>
          <w:lang w:val="en-US" w:eastAsia="zh-CN"/>
        </w:rPr>
        <w:t>财政事务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其他财政事务支出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303.2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45.13</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000000"/>
          <w:sz w:val="32"/>
          <w:szCs w:val="32"/>
        </w:rPr>
        <w:t>项目支出202</w:t>
      </w:r>
      <w:r>
        <w:rPr>
          <w:rStyle w:val="15"/>
          <w:rFonts w:hint="eastAsia" w:ascii="仿宋_GB2312" w:hAnsi="仿宋_GB2312" w:eastAsia="仿宋_GB2312" w:cs="仿宋_GB2312"/>
          <w:b w:val="0"/>
          <w:bCs/>
          <w:color w:val="000000"/>
          <w:sz w:val="32"/>
          <w:szCs w:val="32"/>
          <w:lang w:val="en-US" w:eastAsia="zh-CN"/>
        </w:rPr>
        <w:t>1年末</w:t>
      </w:r>
      <w:r>
        <w:rPr>
          <w:rStyle w:val="15"/>
          <w:rFonts w:hint="eastAsia" w:ascii="仿宋_GB2312" w:hAnsi="仿宋_GB2312" w:eastAsia="仿宋_GB2312" w:cs="仿宋_GB2312"/>
          <w:b w:val="0"/>
          <w:bCs/>
          <w:color w:val="000000"/>
          <w:sz w:val="32"/>
          <w:szCs w:val="32"/>
        </w:rPr>
        <w:t>完成，202</w:t>
      </w:r>
      <w:r>
        <w:rPr>
          <w:rStyle w:val="15"/>
          <w:rFonts w:hint="eastAsia" w:ascii="仿宋_GB2312" w:hAnsi="仿宋_GB2312" w:eastAsia="仿宋_GB2312" w:cs="仿宋_GB2312"/>
          <w:b w:val="0"/>
          <w:bCs/>
          <w:color w:val="000000"/>
          <w:sz w:val="32"/>
          <w:szCs w:val="32"/>
          <w:lang w:val="en-US" w:eastAsia="zh-CN"/>
        </w:rPr>
        <w:t>2</w:t>
      </w:r>
      <w:r>
        <w:rPr>
          <w:rStyle w:val="15"/>
          <w:rFonts w:hint="eastAsia" w:ascii="仿宋_GB2312" w:hAnsi="仿宋_GB2312" w:eastAsia="仿宋_GB2312" w:cs="仿宋_GB2312"/>
          <w:b w:val="0"/>
          <w:bCs/>
          <w:color w:val="000000"/>
          <w:sz w:val="32"/>
          <w:szCs w:val="32"/>
        </w:rPr>
        <w:t>年还将继续实施</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8</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人力资源和社会保障管理事务支出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其他人力资源和社会保障管理事务支出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17.2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9</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机关事业单位基本养老保险缴费支出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115.71</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10</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行政事业单位养老支出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机关事业单位职业年金缴费支出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56.26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Cs/>
          <w:color w:val="auto"/>
          <w:sz w:val="32"/>
          <w:szCs w:val="32"/>
          <w:highlight w:val="none"/>
          <w:lang w:val="en-US" w:eastAsia="zh-CN"/>
        </w:rPr>
        <w:t>11</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eastAsia="仿宋_GB2312" w:cs="仿宋_GB2312"/>
          <w:bCs/>
          <w:color w:val="auto"/>
          <w:sz w:val="32"/>
          <w:szCs w:val="32"/>
          <w:highlight w:val="none"/>
          <w:lang w:val="en-US" w:eastAsia="zh-CN"/>
        </w:rPr>
        <w:t>其他社会保障和就业支出（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其他社会保障和就业支出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eastAsia="仿宋_GB2312" w:cs="仿宋_GB2312"/>
          <w:b w:val="0"/>
          <w:bCs/>
          <w:color w:val="auto"/>
          <w:sz w:val="32"/>
          <w:szCs w:val="32"/>
          <w:highlight w:val="none"/>
          <w:lang w:val="en-US" w:eastAsia="zh-CN"/>
        </w:rPr>
        <w:t>30.95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12</w:t>
      </w:r>
      <w:r>
        <w:rPr>
          <w:rStyle w:val="15"/>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行政事业单位医疗</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行政单位医疗</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48.15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lang w:val="en-US" w:eastAsia="zh-CN"/>
        </w:rPr>
        <w:t>13</w:t>
      </w:r>
      <w:r>
        <w:rPr>
          <w:rStyle w:val="15"/>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eastAsia="仿宋_GB2312" w:cs="仿宋_GB2312"/>
          <w:bCs/>
          <w:color w:val="auto"/>
          <w:sz w:val="32"/>
          <w:szCs w:val="32"/>
          <w:highlight w:val="none"/>
          <w:lang w:val="en-US" w:eastAsia="zh-CN"/>
        </w:rPr>
        <w:t>行政事业单位医疗</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eastAsia="仿宋_GB2312" w:cs="仿宋_GB2312"/>
          <w:bCs/>
          <w:color w:val="auto"/>
          <w:sz w:val="32"/>
          <w:szCs w:val="32"/>
          <w:highlight w:val="none"/>
          <w:lang w:val="en-US" w:eastAsia="zh-CN"/>
        </w:rPr>
        <w:t>事业单位医疗</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eastAsia="仿宋_GB2312" w:cs="仿宋_GB2312"/>
          <w:b w:val="0"/>
          <w:bCs/>
          <w:color w:val="auto"/>
          <w:sz w:val="32"/>
          <w:szCs w:val="32"/>
          <w:highlight w:val="none"/>
          <w:lang w:val="en-US" w:eastAsia="zh-CN"/>
        </w:rPr>
        <w:t>7.48</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eastAsia="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3" w:firstLineChars="200"/>
        <w:rPr>
          <w:rFonts w:hint="eastAsia" w:ascii="仿宋_GB2312" w:hAnsi="仿宋_GB2312" w:eastAsia="仿宋_GB2312" w:cs="仿宋_GB2312"/>
          <w:sz w:val="32"/>
          <w:szCs w:val="32"/>
        </w:rPr>
      </w:pPr>
      <w:r>
        <w:rPr>
          <w:rStyle w:val="15"/>
          <w:rFonts w:hint="eastAsia" w:ascii="仿宋_GB2312" w:hAnsi="仿宋_GB2312" w:eastAsia="仿宋_GB2312" w:cs="仿宋_GB2312"/>
          <w:bCs/>
          <w:color w:val="000000"/>
          <w:sz w:val="32"/>
          <w:szCs w:val="32"/>
          <w:lang w:val="en-US" w:eastAsia="zh-CN"/>
        </w:rPr>
        <w:t>14.</w:t>
      </w:r>
      <w:r>
        <w:rPr>
          <w:rStyle w:val="15"/>
          <w:rFonts w:hint="eastAsia" w:ascii="仿宋_GB2312" w:hAnsi="仿宋_GB2312" w:eastAsia="仿宋_GB2312" w:cs="仿宋_GB2312"/>
          <w:bCs/>
          <w:color w:val="000000"/>
          <w:sz w:val="32"/>
          <w:szCs w:val="32"/>
        </w:rPr>
        <w:t>住房保障（类）住房改革</w:t>
      </w:r>
      <w:r>
        <w:rPr>
          <w:rStyle w:val="15"/>
          <w:rFonts w:hint="eastAsia" w:ascii="仿宋_GB2312" w:hAnsi="仿宋_GB2312" w:eastAsia="仿宋_GB2312" w:cs="仿宋_GB2312"/>
          <w:bCs/>
          <w:color w:val="000000"/>
          <w:sz w:val="32"/>
          <w:szCs w:val="32"/>
          <w:lang w:val="en-US" w:eastAsia="zh-CN"/>
        </w:rPr>
        <w:t>支出</w:t>
      </w:r>
      <w:r>
        <w:rPr>
          <w:rStyle w:val="15"/>
          <w:rFonts w:hint="eastAsia" w:ascii="仿宋_GB2312" w:hAnsi="仿宋_GB2312" w:eastAsia="仿宋_GB2312" w:cs="仿宋_GB2312"/>
          <w:bCs/>
          <w:color w:val="000000"/>
          <w:sz w:val="32"/>
          <w:szCs w:val="32"/>
        </w:rPr>
        <w:t>（款）住房公积金（项）:</w:t>
      </w:r>
      <w:r>
        <w:rPr>
          <w:rStyle w:val="15"/>
          <w:rFonts w:hint="eastAsia" w:ascii="仿宋_GB2312" w:hAnsi="仿宋_GB2312" w:eastAsia="仿宋_GB2312" w:cs="仿宋_GB2312"/>
          <w:b w:val="0"/>
          <w:bCs/>
          <w:color w:val="000000"/>
          <w:sz w:val="32"/>
          <w:szCs w:val="32"/>
        </w:rPr>
        <w:t>支出决算为</w:t>
      </w:r>
      <w:r>
        <w:rPr>
          <w:rStyle w:val="15"/>
          <w:rFonts w:hint="eastAsia" w:ascii="仿宋_GB2312" w:hAnsi="仿宋_GB2312" w:eastAsia="仿宋_GB2312" w:cs="仿宋_GB2312"/>
          <w:b w:val="0"/>
          <w:bCs/>
          <w:color w:val="000000"/>
          <w:sz w:val="32"/>
          <w:szCs w:val="32"/>
          <w:lang w:val="en-US" w:eastAsia="zh-CN"/>
        </w:rPr>
        <w:t>235.74</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auto"/>
          <w:sz w:val="32"/>
          <w:szCs w:val="32"/>
          <w:highlight w:val="none"/>
        </w:rPr>
        <w:t>决算数</w:t>
      </w:r>
      <w:r>
        <w:rPr>
          <w:rStyle w:val="15"/>
          <w:rFonts w:hint="eastAsia" w:ascii="仿宋_GB2312" w:hAnsi="仿宋_GB2312" w:eastAsia="仿宋_GB2312" w:cs="仿宋_GB2312"/>
          <w:b w:val="0"/>
          <w:bCs/>
          <w:color w:val="auto"/>
          <w:sz w:val="32"/>
          <w:szCs w:val="32"/>
          <w:highlight w:val="none"/>
          <w:lang w:val="en-US" w:eastAsia="zh-CN"/>
        </w:rPr>
        <w:t>与</w:t>
      </w:r>
      <w:r>
        <w:rPr>
          <w:rStyle w:val="15"/>
          <w:rFonts w:hint="eastAsia" w:ascii="仿宋_GB2312" w:hAnsi="仿宋_GB2312" w:eastAsia="仿宋_GB2312" w:cs="仿宋_GB2312"/>
          <w:b w:val="0"/>
          <w:bCs/>
          <w:color w:val="auto"/>
          <w:sz w:val="32"/>
          <w:szCs w:val="32"/>
          <w:highlight w:val="none"/>
        </w:rPr>
        <w:t>预算数</w:t>
      </w:r>
      <w:r>
        <w:rPr>
          <w:rStyle w:val="15"/>
          <w:rFonts w:hint="eastAsia" w:ascii="仿宋_GB2312" w:hAnsi="仿宋_GB2312" w:eastAsia="仿宋_GB2312" w:cs="仿宋_GB2312"/>
          <w:b w:val="0"/>
          <w:bCs/>
          <w:color w:val="auto"/>
          <w:sz w:val="32"/>
          <w:szCs w:val="32"/>
          <w:highlight w:val="none"/>
          <w:lang w:val="en-US" w:eastAsia="zh-CN"/>
        </w:rPr>
        <w:t>持平</w:t>
      </w:r>
      <w:r>
        <w:rPr>
          <w:rStyle w:val="15"/>
          <w:rFonts w:hint="eastAsia" w:ascii="仿宋_GB2312" w:hAnsi="仿宋_GB2312" w:eastAsia="仿宋_GB2312" w:cs="仿宋_GB2312"/>
          <w:b w:val="0"/>
          <w:bCs/>
          <w:color w:val="auto"/>
          <w:sz w:val="32"/>
          <w:szCs w:val="32"/>
          <w:highlight w:val="none"/>
        </w:rPr>
        <w:t>。</w:t>
      </w:r>
    </w:p>
    <w:p>
      <w:pPr>
        <w:keepNext w:val="0"/>
        <w:keepLines w:val="0"/>
        <w:pageBreakBefore w:val="0"/>
        <w:widowControl w:val="0"/>
        <w:tabs>
          <w:tab w:val="right" w:pos="8306"/>
        </w:tabs>
        <w:kinsoku/>
        <w:wordWrap/>
        <w:overflowPunct/>
        <w:topLinePunct w:val="0"/>
        <w:bidi w:val="0"/>
        <w:spacing w:line="600" w:lineRule="exact"/>
        <w:ind w:firstLine="640"/>
        <w:outlineLvl w:val="1"/>
        <w:rPr>
          <w:rStyle w:val="18"/>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40"/>
      <w:bookmarkEnd w:id="41"/>
      <w:r>
        <w:rPr>
          <w:rStyle w:val="18"/>
          <w:rFonts w:ascii="黑体" w:hAnsi="黑体" w:eastAsia="黑体"/>
          <w:b w:val="0"/>
          <w:color w:val="auto"/>
          <w:highlight w:val="none"/>
        </w:rPr>
        <w:tab/>
      </w:r>
    </w:p>
    <w:p>
      <w:pPr>
        <w:keepNext w:val="0"/>
        <w:keepLines w:val="0"/>
        <w:pageBreakBefore w:val="0"/>
        <w:widowControl w:val="0"/>
        <w:kinsoku/>
        <w:wordWrap/>
        <w:overflowPunct/>
        <w:topLinePunct w:val="0"/>
        <w:bidi w:val="0"/>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2099.95</w:t>
      </w:r>
      <w:r>
        <w:rPr>
          <w:rFonts w:hint="eastAsia" w:ascii="仿宋_GB2312" w:hAnsi="仿宋_GB2312" w:eastAsia="仿宋_GB2312" w:cs="仿宋_GB2312"/>
          <w:color w:val="auto"/>
          <w:sz w:val="32"/>
          <w:szCs w:val="32"/>
          <w:highlight w:val="none"/>
        </w:rPr>
        <w:t>万元，其中：</w:t>
      </w:r>
    </w:p>
    <w:p>
      <w:pPr>
        <w:keepNext w:val="0"/>
        <w:keepLines w:val="0"/>
        <w:pageBreakBefore w:val="0"/>
        <w:widowControl w:val="0"/>
        <w:kinsoku/>
        <w:wordWrap/>
        <w:overflowPunct/>
        <w:topLinePunct w:val="0"/>
        <w:bidi w:val="0"/>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1695.28</w:t>
      </w:r>
      <w:r>
        <w:rPr>
          <w:rFonts w:hint="eastAsia" w:ascii="仿宋_GB2312" w:hAnsi="仿宋_GB2312" w:eastAsia="仿宋_GB2312" w:cs="仿宋_GB2312"/>
          <w:color w:val="auto"/>
          <w:sz w:val="32"/>
          <w:szCs w:val="32"/>
          <w:highlight w:val="none"/>
        </w:rPr>
        <w:t>万元，主要包括：基本工资、津贴补贴、奖金、伙食补助费、绩效工资、机关事业单位基本养老保险缴费、职业年金缴费、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其他社会保障缴费、住房公积金、其他工资福利支出、奖励金、其他对个人和家庭的补助支出等。</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　　公用经费</w:t>
      </w:r>
      <w:r>
        <w:rPr>
          <w:rFonts w:hint="eastAsia" w:ascii="仿宋_GB2312" w:hAnsi="仿宋_GB2312" w:eastAsia="仿宋_GB2312" w:cs="仿宋_GB2312"/>
          <w:color w:val="auto"/>
          <w:sz w:val="32"/>
          <w:szCs w:val="32"/>
          <w:highlight w:val="none"/>
          <w:lang w:val="en-US" w:eastAsia="zh-CN"/>
        </w:rPr>
        <w:t>404.67</w:t>
      </w:r>
      <w:r>
        <w:rPr>
          <w:rFonts w:hint="eastAsia" w:ascii="仿宋_GB2312" w:hAnsi="仿宋_GB2312" w:eastAsia="仿宋_GB2312" w:cs="仿宋_GB2312"/>
          <w:color w:val="auto"/>
          <w:sz w:val="32"/>
          <w:szCs w:val="32"/>
          <w:highlight w:val="none"/>
        </w:rPr>
        <w:t>万元，主要包括：办公费、印刷费、咨询费、水费、电费、邮电费、物业管理费、差旅费、维修（护）费、会议费、培训费、公务接待费、劳务费、工会经费、福利费、公务用车运行维护费、其他交通费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w:t>
      </w:r>
    </w:p>
    <w:p>
      <w:pPr>
        <w:keepNext w:val="0"/>
        <w:keepLines w:val="0"/>
        <w:pageBreakBefore w:val="0"/>
        <w:widowControl w:val="0"/>
        <w:kinsoku/>
        <w:wordWrap/>
        <w:overflowPunct/>
        <w:topLinePunct w:val="0"/>
        <w:bidi w:val="0"/>
        <w:spacing w:line="600" w:lineRule="exact"/>
        <w:ind w:firstLine="640"/>
        <w:outlineLvl w:val="1"/>
        <w:rPr>
          <w:rStyle w:val="18"/>
          <w:rFonts w:ascii="黑体" w:hAnsi="黑体" w:eastAsia="黑体"/>
          <w:b w:val="0"/>
          <w:color w:val="auto"/>
          <w:highlight w:val="none"/>
        </w:rPr>
      </w:pPr>
      <w:bookmarkStart w:id="42" w:name="_Toc15396609"/>
      <w:bookmarkStart w:id="43" w:name="_Toc15377215"/>
      <w:r>
        <w:rPr>
          <w:rFonts w:hint="eastAsia" w:ascii="黑体" w:eastAsia="黑体"/>
          <w:color w:val="auto"/>
          <w:sz w:val="32"/>
          <w:szCs w:val="32"/>
          <w:highlight w:val="none"/>
        </w:rPr>
        <w:t>七、</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三公”经费财政拨款支出决算情况说明</w:t>
      </w:r>
      <w:bookmarkEnd w:id="42"/>
      <w:bookmarkEnd w:id="43"/>
    </w:p>
    <w:p>
      <w:pPr>
        <w:keepNext w:val="0"/>
        <w:keepLines w:val="0"/>
        <w:pageBreakBefore w:val="0"/>
        <w:widowControl w:val="0"/>
        <w:kinsoku/>
        <w:wordWrap/>
        <w:overflowPunct/>
        <w:topLinePunct w:val="0"/>
        <w:bidi w:val="0"/>
        <w:spacing w:line="600" w:lineRule="exact"/>
        <w:ind w:firstLine="640"/>
        <w:outlineLvl w:val="2"/>
        <w:rPr>
          <w:rFonts w:hint="eastAsia" w:ascii="楷体_GB2312" w:hAnsi="楷体_GB2312" w:eastAsia="楷体_GB2312" w:cs="楷体_GB2312"/>
          <w:bCs/>
          <w:color w:val="auto"/>
          <w:kern w:val="0"/>
          <w:sz w:val="32"/>
          <w:szCs w:val="32"/>
          <w:highlight w:val="none"/>
          <w:lang w:val="en-US" w:eastAsia="zh-CN" w:bidi="ar-SA"/>
        </w:rPr>
      </w:pPr>
      <w:bookmarkStart w:id="44" w:name="_Toc15377216"/>
      <w:r>
        <w:rPr>
          <w:rFonts w:hint="eastAsia" w:ascii="楷体_GB2312" w:hAnsi="楷体_GB2312" w:eastAsia="楷体_GB2312" w:cs="楷体_GB2312"/>
          <w:bCs/>
          <w:color w:val="auto"/>
          <w:kern w:val="0"/>
          <w:sz w:val="32"/>
          <w:szCs w:val="32"/>
          <w:highlight w:val="none"/>
          <w:lang w:val="en-US" w:eastAsia="zh-CN" w:bidi="ar-SA"/>
        </w:rPr>
        <w:t>（一）“三公”经费财政拨款支出决算总体情况说明</w:t>
      </w:r>
      <w:bookmarkEnd w:id="44"/>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27.4</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91.7</w:t>
      </w:r>
      <w:r>
        <w:rPr>
          <w:rFonts w:hint="eastAsia" w:ascii="仿宋_GB2312" w:hAnsi="仿宋_GB2312" w:eastAsia="仿宋_GB2312" w:cs="仿宋_GB2312"/>
          <w:color w:val="auto"/>
          <w:sz w:val="32"/>
          <w:szCs w:val="32"/>
          <w:highlight w:val="none"/>
        </w:rPr>
        <w:t>%，决算数小于预算数的主要原因是</w:t>
      </w:r>
      <w:r>
        <w:rPr>
          <w:rFonts w:hint="eastAsia" w:ascii="仿宋_GB2312" w:hAnsi="仿宋_GB2312" w:eastAsia="仿宋_GB2312" w:cs="仿宋_GB2312"/>
          <w:color w:val="auto"/>
          <w:sz w:val="32"/>
          <w:szCs w:val="32"/>
          <w:highlight w:val="none"/>
          <w:lang w:val="en-US" w:eastAsia="zh-CN"/>
        </w:rPr>
        <w:t>压减公务接待支出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600" w:lineRule="exact"/>
        <w:ind w:firstLine="640"/>
        <w:outlineLvl w:val="2"/>
        <w:rPr>
          <w:rFonts w:hint="eastAsia" w:ascii="楷体_GB2312" w:hAnsi="楷体_GB2312" w:eastAsia="楷体_GB2312" w:cs="楷体_GB2312"/>
          <w:bCs/>
          <w:color w:val="auto"/>
          <w:kern w:val="0"/>
          <w:sz w:val="32"/>
          <w:szCs w:val="32"/>
          <w:highlight w:val="none"/>
          <w:lang w:val="en-US" w:eastAsia="zh-CN" w:bidi="ar-SA"/>
        </w:rPr>
      </w:pPr>
      <w:bookmarkStart w:id="45" w:name="_Toc15377217"/>
      <w:r>
        <w:rPr>
          <w:rFonts w:hint="eastAsia" w:ascii="楷体_GB2312" w:hAnsi="楷体_GB2312" w:eastAsia="楷体_GB2312" w:cs="楷体_GB2312"/>
          <w:bCs/>
          <w:color w:val="auto"/>
          <w:kern w:val="0"/>
          <w:sz w:val="32"/>
          <w:szCs w:val="32"/>
          <w:highlight w:val="none"/>
          <w:lang w:val="en-US" w:eastAsia="zh-CN" w:bidi="ar-SA"/>
        </w:rPr>
        <w:t>（二）“三公”经费财政拨款支出决算具体情况说明</w:t>
      </w:r>
      <w:bookmarkEnd w:id="45"/>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25.79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94.16</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5.84</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val="0"/>
        <w:kinsoku/>
        <w:wordWrap/>
        <w:overflowPunct/>
        <w:topLinePunct w:val="0"/>
        <w:bidi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（图7：“三公”经费财政拨款支出结构）（饼状图）</w:t>
      </w:r>
    </w:p>
    <w:p>
      <w:pPr>
        <w:pStyle w:val="2"/>
        <w:keepNext w:val="0"/>
        <w:keepLines w:val="0"/>
        <w:pageBreakBefore w:val="0"/>
        <w:widowControl w:val="0"/>
        <w:kinsoku/>
        <w:wordWrap/>
        <w:overflowPunct/>
        <w:topLinePunct w:val="0"/>
        <w:bidi w:val="0"/>
        <w:jc w:val="center"/>
      </w:pPr>
      <w:r>
        <w:drawing>
          <wp:inline distT="0" distB="0" distL="114300" distR="114300">
            <wp:extent cx="3612515" cy="1887855"/>
            <wp:effectExtent l="4445" t="4445" r="21590" b="1270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无变化</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eastAsia="仿宋_GB2312" w:cs="仿宋_GB2312"/>
          <w:color w:val="auto"/>
          <w:sz w:val="32"/>
          <w:szCs w:val="32"/>
          <w:highlight w:val="none"/>
          <w:lang w:val="en-US" w:eastAsia="zh-CN"/>
        </w:rPr>
        <w:t>25.79</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99.65</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减少1.03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3.84</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严格车辆管理，压减</w:t>
      </w:r>
      <w:r>
        <w:rPr>
          <w:rFonts w:hint="eastAsia" w:ascii="仿宋_GB2312" w:hAnsi="仿宋_GB2312" w:eastAsia="仿宋_GB2312" w:cs="仿宋_GB2312"/>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二是下属事业单位公务车辆减少1辆，运行维护费降低。</w:t>
      </w:r>
    </w:p>
    <w:p>
      <w:pPr>
        <w:keepNext w:val="0"/>
        <w:keepLines w:val="0"/>
        <w:pageBreakBefore w:val="0"/>
        <w:widowControl w:val="0"/>
        <w:kinsoku/>
        <w:wordWrap/>
        <w:overflowPunct/>
        <w:topLinePunct w:val="0"/>
        <w:bidi w:val="0"/>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年12月底，单位共有公务用车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辆，其中：越野车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p>
    <w:p>
      <w:pPr>
        <w:keepNext w:val="0"/>
        <w:keepLines w:val="0"/>
        <w:pageBreakBefore w:val="0"/>
        <w:widowControl w:val="0"/>
        <w:kinsoku/>
        <w:wordWrap/>
        <w:overflowPunct/>
        <w:topLinePunct w:val="0"/>
        <w:bidi w:val="0"/>
        <w:spacing w:line="576"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25.79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sz w:val="32"/>
          <w:szCs w:val="32"/>
        </w:rPr>
        <w:t>主要用于开展财政</w:t>
      </w:r>
      <w:r>
        <w:rPr>
          <w:rFonts w:hint="eastAsia" w:ascii="仿宋_GB2312" w:hAnsi="仿宋_GB2312" w:eastAsia="仿宋_GB2312" w:cs="仿宋_GB2312"/>
          <w:color w:val="000000"/>
          <w:sz w:val="32"/>
          <w:szCs w:val="32"/>
          <w:lang w:val="en-US" w:eastAsia="zh-CN"/>
        </w:rPr>
        <w:t>调研及检查指导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财政评审、乡村振兴</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所需的公务用车燃料费、维修费、过路过桥费、保险费等支出。</w:t>
      </w:r>
    </w:p>
    <w:p>
      <w:pPr>
        <w:keepNext w:val="0"/>
        <w:keepLines w:val="0"/>
        <w:pageBreakBefore w:val="0"/>
        <w:widowControl w:val="0"/>
        <w:kinsoku/>
        <w:wordWrap/>
        <w:overflowPunct/>
        <w:topLinePunct w:val="0"/>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eastAsia="仿宋_GB2312" w:cs="仿宋_GB2312"/>
          <w:b w:val="0"/>
          <w:bCs/>
          <w:color w:val="auto"/>
          <w:sz w:val="32"/>
          <w:szCs w:val="32"/>
          <w:highlight w:val="none"/>
          <w:lang w:val="en-US" w:eastAsia="zh-CN"/>
        </w:rPr>
        <w:t>40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0.37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18.78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rPr>
        <w:t>主要原因是在接待过程中严格执行中央八项规定</w:t>
      </w:r>
      <w:r>
        <w:rPr>
          <w:rFonts w:hint="eastAsia" w:ascii="仿宋_GB2312" w:hAnsi="仿宋_GB2312" w:eastAsia="仿宋_GB2312" w:cs="仿宋_GB2312"/>
          <w:color w:val="000000"/>
          <w:sz w:val="32"/>
          <w:szCs w:val="32"/>
          <w:lang w:val="en-US" w:eastAsia="zh-CN"/>
        </w:rPr>
        <w:t>精神</w:t>
      </w:r>
      <w:r>
        <w:rPr>
          <w:rFonts w:hint="eastAsia" w:ascii="仿宋_GB2312" w:hAnsi="仿宋_GB2312" w:eastAsia="仿宋_GB2312" w:cs="仿宋_GB2312"/>
          <w:color w:val="000000"/>
          <w:sz w:val="32"/>
          <w:szCs w:val="32"/>
        </w:rPr>
        <w:t>、省委省政府十项规定、市委“六个带头”及其实施细则，控制接待标准，限制陪同人数，接待费开支有所下降。</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000000"/>
          <w:sz w:val="32"/>
          <w:szCs w:val="32"/>
        </w:rPr>
        <w:t>主要用于执行公务、开展业务活动开支的用餐费等</w:t>
      </w:r>
      <w:r>
        <w:rPr>
          <w:rFonts w:hint="eastAsia" w:ascii="仿宋_GB2312" w:hAnsi="仿宋_GB2312" w:eastAsia="仿宋_GB2312" w:cs="仿宋_GB2312"/>
          <w:color w:val="auto"/>
          <w:sz w:val="32"/>
          <w:szCs w:val="32"/>
          <w:highlight w:val="none"/>
        </w:rPr>
        <w:t>。国内公务接待</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156</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000000"/>
          <w:sz w:val="32"/>
          <w:szCs w:val="32"/>
        </w:rPr>
        <w:t>省财政厅及上级部门各类检查调研、县区财政局来我局交流</w:t>
      </w:r>
      <w:r>
        <w:rPr>
          <w:rFonts w:hint="eastAsia" w:ascii="仿宋_GB2312" w:hAnsi="仿宋_GB2312" w:eastAsia="仿宋_GB2312" w:cs="仿宋_GB2312"/>
          <w:sz w:val="32"/>
          <w:szCs w:val="32"/>
        </w:rPr>
        <w:t>汇报等</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bidi w:val="0"/>
        <w:spacing w:line="600" w:lineRule="exact"/>
        <w:ind w:firstLine="640"/>
        <w:outlineLvl w:val="1"/>
        <w:rPr>
          <w:rStyle w:val="18"/>
          <w:rFonts w:ascii="黑体" w:hAnsi="黑体" w:eastAsia="黑体"/>
          <w:color w:val="auto"/>
          <w:highlight w:val="none"/>
        </w:rPr>
      </w:pPr>
      <w:bookmarkStart w:id="46" w:name="_Toc15396610"/>
      <w:bookmarkStart w:id="47" w:name="_Toc15377218"/>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6"/>
      <w:bookmarkEnd w:id="47"/>
    </w:p>
    <w:p>
      <w:pPr>
        <w:keepNext w:val="0"/>
        <w:keepLines w:val="0"/>
        <w:pageBreakBefore w:val="0"/>
        <w:widowControl w:val="0"/>
        <w:kinsoku/>
        <w:wordWrap/>
        <w:overflowPunct/>
        <w:topLinePunct w:val="0"/>
        <w:bidi w:val="0"/>
        <w:spacing w:line="576" w:lineRule="exact"/>
        <w:ind w:firstLine="640" w:firstLineChars="200"/>
        <w:rPr>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年本单位未在政府性基金预算拨款安排“三公”经费支出。</w:t>
      </w:r>
    </w:p>
    <w:p>
      <w:pPr>
        <w:keepNext w:val="0"/>
        <w:keepLines w:val="0"/>
        <w:pageBreakBefore w:val="0"/>
        <w:widowControl w:val="0"/>
        <w:numPr>
          <w:ilvl w:val="0"/>
          <w:numId w:val="1"/>
        </w:numPr>
        <w:kinsoku/>
        <w:wordWrap/>
        <w:overflowPunct/>
        <w:topLinePunct w:val="0"/>
        <w:bidi w:val="0"/>
        <w:spacing w:line="600" w:lineRule="exact"/>
        <w:ind w:firstLine="640"/>
        <w:outlineLvl w:val="1"/>
        <w:rPr>
          <w:rStyle w:val="18"/>
          <w:rFonts w:ascii="黑体" w:hAnsi="黑体" w:eastAsia="黑体"/>
          <w:b w:val="0"/>
          <w:color w:val="auto"/>
          <w:highlight w:val="none"/>
        </w:rPr>
      </w:pPr>
      <w:bookmarkStart w:id="48" w:name="_Toc15377219"/>
      <w:bookmarkStart w:id="49" w:name="_Toc15396611"/>
      <w:r>
        <w:rPr>
          <w:rStyle w:val="18"/>
          <w:rFonts w:hint="eastAsia" w:ascii="黑体" w:hAnsi="黑体" w:eastAsia="黑体"/>
          <w:b w:val="0"/>
          <w:color w:val="auto"/>
          <w:highlight w:val="none"/>
        </w:rPr>
        <w:t>国有资本经营预算支出决算情况说明</w:t>
      </w:r>
      <w:bookmarkEnd w:id="48"/>
      <w:bookmarkEnd w:id="49"/>
    </w:p>
    <w:p>
      <w:pPr>
        <w:keepNext w:val="0"/>
        <w:keepLines w:val="0"/>
        <w:pageBreakBefore w:val="0"/>
        <w:widowControl w:val="0"/>
        <w:kinsoku/>
        <w:wordWrap/>
        <w:overflowPunct/>
        <w:topLinePunct w:val="0"/>
        <w:bidi w:val="0"/>
        <w:spacing w:line="60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77221"/>
      <w:bookmarkStart w:id="51" w:name="_Toc15396612"/>
    </w:p>
    <w:p>
      <w:pPr>
        <w:keepNext w:val="0"/>
        <w:keepLines w:val="0"/>
        <w:pageBreakBefore w:val="0"/>
        <w:widowControl w:val="0"/>
        <w:numPr>
          <w:ilvl w:val="0"/>
          <w:numId w:val="1"/>
        </w:numPr>
        <w:kinsoku/>
        <w:wordWrap/>
        <w:overflowPunct/>
        <w:topLinePunct w:val="0"/>
        <w:bidi w:val="0"/>
        <w:spacing w:line="600" w:lineRule="exact"/>
        <w:ind w:firstLine="640"/>
        <w:outlineLvl w:val="1"/>
        <w:rPr>
          <w:rStyle w:val="18"/>
          <w:rFonts w:hint="eastAsia" w:ascii="黑体" w:hAnsi="黑体" w:eastAsia="黑体"/>
          <w:b w:val="0"/>
          <w:color w:val="auto"/>
          <w:highlight w:val="none"/>
        </w:rPr>
      </w:pPr>
      <w:r>
        <w:rPr>
          <w:rStyle w:val="18"/>
          <w:rFonts w:hint="eastAsia" w:ascii="黑体" w:hAnsi="黑体" w:eastAsia="黑体"/>
          <w:b w:val="0"/>
          <w:color w:val="auto"/>
          <w:highlight w:val="none"/>
          <w:lang w:val="en-US" w:eastAsia="zh-CN"/>
        </w:rPr>
        <w:t>预算绩效管理情况</w:t>
      </w:r>
    </w:p>
    <w:p>
      <w:pPr>
        <w:keepNext w:val="0"/>
        <w:keepLines w:val="0"/>
        <w:pageBreakBefore w:val="0"/>
        <w:widowControl w:val="0"/>
        <w:numPr>
          <w:ilvl w:val="0"/>
          <w:numId w:val="0"/>
        </w:numPr>
        <w:kinsoku/>
        <w:wordWrap/>
        <w:overflowPunct/>
        <w:topLinePunct w:val="0"/>
        <w:bidi w:val="0"/>
        <w:spacing w:line="600" w:lineRule="exact"/>
        <w:ind w:firstLine="640" w:firstLineChars="200"/>
        <w:outlineLvl w:val="1"/>
        <w:rPr>
          <w:rFonts w:hint="eastAsia"/>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预算编制阶段，组织对财政管理专项工作经费项目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19个项目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广元市财政局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1"/>
        </w:numPr>
        <w:kinsoku/>
        <w:wordWrap/>
        <w:overflowPunct/>
        <w:topLinePunct w:val="0"/>
        <w:bidi w:val="0"/>
        <w:spacing w:line="600" w:lineRule="exact"/>
        <w:ind w:firstLine="640"/>
        <w:outlineLvl w:val="1"/>
        <w:rPr>
          <w:rStyle w:val="18"/>
          <w:rFonts w:hint="eastAsia" w:ascii="黑体" w:hAnsi="黑体" w:eastAsia="黑体"/>
          <w:b w:val="0"/>
          <w:color w:val="auto"/>
          <w:highlight w:val="none"/>
        </w:rPr>
      </w:pPr>
      <w:r>
        <w:rPr>
          <w:rStyle w:val="18"/>
          <w:rFonts w:hint="eastAsia" w:ascii="黑体" w:hAnsi="黑体" w:eastAsia="黑体"/>
          <w:b w:val="0"/>
          <w:color w:val="auto"/>
          <w:highlight w:val="none"/>
        </w:rPr>
        <w:t>其他重要事项的情况说明</w:t>
      </w:r>
      <w:bookmarkEnd w:id="50"/>
      <w:bookmarkEnd w:id="51"/>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Cs/>
          <w:color w:val="auto"/>
          <w:kern w:val="0"/>
          <w:sz w:val="32"/>
          <w:szCs w:val="32"/>
          <w:highlight w:val="none"/>
          <w:lang w:val="en-US" w:eastAsia="zh-CN" w:bidi="ar-SA"/>
        </w:rPr>
      </w:pPr>
      <w:bookmarkStart w:id="52" w:name="_Toc15377222"/>
      <w:r>
        <w:rPr>
          <w:rFonts w:hint="eastAsia" w:ascii="楷体_GB2312" w:hAnsi="楷体_GB2312" w:eastAsia="楷体_GB2312" w:cs="楷体_GB2312"/>
          <w:bCs/>
          <w:color w:val="auto"/>
          <w:kern w:val="0"/>
          <w:sz w:val="32"/>
          <w:szCs w:val="32"/>
          <w:highlight w:val="none"/>
          <w:lang w:val="en-US" w:eastAsia="zh-CN" w:bidi="ar-SA"/>
        </w:rPr>
        <w:t>（一）机关运行经费支出情况</w:t>
      </w:r>
      <w:bookmarkEnd w:id="52"/>
    </w:p>
    <w:p>
      <w:pPr>
        <w:keepNext w:val="0"/>
        <w:keepLines w:val="0"/>
        <w:pageBreakBefore w:val="0"/>
        <w:widowControl w:val="0"/>
        <w:kinsoku/>
        <w:wordWrap/>
        <w:overflowPunct/>
        <w:topLinePunct w:val="0"/>
        <w:bidi w:val="0"/>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000000"/>
          <w:sz w:val="32"/>
          <w:szCs w:val="32"/>
        </w:rPr>
        <w:t>广元市财政局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383.72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106.7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38.52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val="en-US" w:eastAsia="zh-CN"/>
        </w:rPr>
        <w:t>一是人员增加引起的运行经费增加；二是2020年年末下达的经费结转到2021年实现支出。</w:t>
      </w:r>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3" w:name="_Toc15377223"/>
      <w:r>
        <w:rPr>
          <w:rFonts w:hint="eastAsia" w:ascii="楷体_GB2312" w:hAnsi="楷体_GB2312" w:eastAsia="楷体_GB2312" w:cs="楷体_GB2312"/>
          <w:b w:val="0"/>
          <w:bCs/>
          <w:color w:val="auto"/>
          <w:sz w:val="32"/>
          <w:szCs w:val="32"/>
          <w:highlight w:val="none"/>
        </w:rPr>
        <w:t>（二）政府采购支出情况</w:t>
      </w:r>
      <w:bookmarkEnd w:id="53"/>
    </w:p>
    <w:p>
      <w:pPr>
        <w:keepNext w:val="0"/>
        <w:keepLines w:val="0"/>
        <w:pageBreakBefore w:val="0"/>
        <w:widowControl w:val="0"/>
        <w:kinsoku/>
        <w:wordWrap/>
        <w:overflowPunct/>
        <w:topLinePunct w:val="0"/>
        <w:bidi w:val="0"/>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000000"/>
          <w:sz w:val="32"/>
          <w:szCs w:val="32"/>
        </w:rPr>
        <w:t>广元市财政局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109.97</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109.97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网络安全及信息化建设、</w:t>
      </w:r>
      <w:r>
        <w:rPr>
          <w:rFonts w:hint="eastAsia" w:ascii="仿宋_GB2312" w:eastAsia="仿宋_GB2312"/>
          <w:color w:val="auto"/>
          <w:sz w:val="32"/>
          <w:szCs w:val="32"/>
          <w:highlight w:val="none"/>
          <w:lang w:val="en-US" w:eastAsia="zh-CN"/>
        </w:rPr>
        <w:t>办公设备和打印纸采购等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109.97</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109.97</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4" w:name="_Toc15377224"/>
      <w:r>
        <w:rPr>
          <w:rFonts w:hint="eastAsia" w:ascii="楷体_GB2312" w:hAnsi="楷体_GB2312" w:eastAsia="楷体_GB2312" w:cs="楷体_GB2312"/>
          <w:b w:val="0"/>
          <w:bCs/>
          <w:color w:val="auto"/>
          <w:sz w:val="32"/>
          <w:szCs w:val="32"/>
          <w:highlight w:val="none"/>
        </w:rPr>
        <w:t>（三）国有资产占有使用情况</w:t>
      </w:r>
      <w:bookmarkEnd w:id="54"/>
    </w:p>
    <w:p>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广元市财政局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rPr>
        <w:t>一般公务</w:t>
      </w:r>
      <w:r>
        <w:rPr>
          <w:rFonts w:hint="eastAsia" w:ascii="仿宋_GB2312" w:eastAsia="仿宋_GB2312"/>
          <w:color w:val="000000"/>
          <w:sz w:val="32"/>
          <w:szCs w:val="32"/>
          <w:lang w:val="en-US" w:eastAsia="zh-CN"/>
        </w:rPr>
        <w:t>出行。</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79" w:lineRule="auto"/>
        <w:jc w:val="center"/>
        <w:textAlignment w:val="auto"/>
        <w:rPr>
          <w:rFonts w:hint="eastAsia" w:ascii="方正小标宋简体" w:hAnsi="方正小标宋简体" w:eastAsia="方正小标宋简体" w:cs="方正小标宋简体"/>
          <w:b w:val="0"/>
          <w:color w:val="auto"/>
          <w:sz w:val="44"/>
          <w:szCs w:val="44"/>
          <w:highlight w:val="none"/>
        </w:rPr>
      </w:pPr>
      <w:bookmarkStart w:id="55" w:name="_Toc15396613"/>
      <w:bookmarkStart w:id="56" w:name="_Toc15377225"/>
      <w:r>
        <w:rPr>
          <w:rFonts w:hint="eastAsia" w:ascii="方正小标宋简体" w:hAnsi="方正小标宋简体" w:eastAsia="方正小标宋简体" w:cs="方正小标宋简体"/>
          <w:b w:val="0"/>
          <w:color w:val="auto"/>
          <w:sz w:val="44"/>
          <w:szCs w:val="44"/>
          <w:highlight w:val="none"/>
          <w:lang w:eastAsia="zh-CN"/>
        </w:rPr>
        <w:t>第三部分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名词解释</w:t>
      </w:r>
      <w:bookmarkEnd w:id="55"/>
      <w:bookmarkEnd w:id="56"/>
    </w:p>
    <w:p>
      <w:pPr>
        <w:pStyle w:val="26"/>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利息收入、疫情防控专项收入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6"/>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5.一般公共服务（类）</w:t>
      </w:r>
      <w:r>
        <w:rPr>
          <w:rFonts w:hint="eastAsia" w:ascii="仿宋_GB2312" w:hAnsi="仿宋_GB2312" w:eastAsia="仿宋_GB2312" w:cs="仿宋_GB2312"/>
          <w:sz w:val="32"/>
          <w:szCs w:val="32"/>
          <w:shd w:val="clear" w:color="auto" w:fill="FFFFFF"/>
        </w:rPr>
        <w:t>财政事务（款）行政运行（项）：指局机关用于保障机构正常运行、开展日常工作的基本支出。</w:t>
      </w:r>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6.一般公共服务（类）财政事务（款）一般行政管理事务（项）：指局机关开展财政综合业务专门性财政管理工作的项目支出。</w:t>
      </w:r>
    </w:p>
    <w:p>
      <w:pPr>
        <w:pStyle w:val="2"/>
        <w:keepNext w:val="0"/>
        <w:keepLines w:val="0"/>
        <w:pageBreakBefore w:val="0"/>
        <w:widowControl w:val="0"/>
        <w:kinsoku/>
        <w:wordWrap/>
        <w:overflowPunct/>
        <w:topLinePunct w:val="0"/>
        <w:bidi w:val="0"/>
        <w:ind w:firstLine="640" w:firstLineChars="200"/>
        <w:rPr>
          <w:rFonts w:hint="default" w:eastAsia="仿宋_GB2312"/>
          <w:lang w:val="en-US" w:eastAsia="zh-CN"/>
        </w:rPr>
      </w:pPr>
      <w:r>
        <w:rPr>
          <w:rFonts w:hint="eastAsia" w:hAnsi="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.一般公共服务（类）财政事务（款）</w:t>
      </w:r>
      <w:r>
        <w:rPr>
          <w:rFonts w:hint="eastAsia" w:hAnsi="仿宋_GB2312" w:cs="仿宋_GB2312"/>
          <w:sz w:val="32"/>
          <w:szCs w:val="32"/>
          <w:shd w:val="clear" w:color="auto" w:fill="FFFFFF"/>
          <w:lang w:val="en-US" w:eastAsia="zh-CN"/>
        </w:rPr>
        <w:t>机关服务</w:t>
      </w:r>
      <w:r>
        <w:rPr>
          <w:rFonts w:hint="eastAsia" w:ascii="仿宋_GB2312" w:hAnsi="仿宋_GB2312" w:eastAsia="仿宋_GB2312" w:cs="仿宋_GB2312"/>
          <w:sz w:val="32"/>
          <w:szCs w:val="32"/>
          <w:shd w:val="clear" w:color="auto" w:fill="FFFFFF"/>
        </w:rPr>
        <w:t>（项）：</w:t>
      </w:r>
      <w:r>
        <w:rPr>
          <w:rFonts w:hint="eastAsia" w:hAnsi="仿宋_GB2312" w:cs="仿宋_GB2312"/>
          <w:sz w:val="32"/>
          <w:szCs w:val="32"/>
          <w:shd w:val="clear" w:color="auto" w:fill="FFFFFF"/>
          <w:lang w:val="en-US" w:eastAsia="zh-CN"/>
        </w:rPr>
        <w:t>指局机关开展后勤服务管理发生的支出。</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.一般公共服务（类）财政事务（款）信息化建设（项）：指财政局用于财政信息化建设等方面的项目支出。</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.一般公共服务（类）财政事务（款）财政委托业务支出（项）：指局机关及事业单位委托评审机构进行财政投资评审业务发生的支出。</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.一般公共服务（类）财政事务（款）事业运行（项）：指事业单位用于保障机构正常运行、开展日常工作的基本支出。</w:t>
      </w:r>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.一般公共服务（类）财政事务（款）其他财政事务支出(项）：指事业单位用于除上述项目以外其他财政事务等方面支出。</w:t>
      </w:r>
    </w:p>
    <w:p>
      <w:pPr>
        <w:pStyle w:val="2"/>
        <w:keepNext w:val="0"/>
        <w:keepLines w:val="0"/>
        <w:pageBreakBefore w:val="0"/>
        <w:widowControl w:val="0"/>
        <w:kinsoku/>
        <w:wordWrap/>
        <w:overflowPunct/>
        <w:topLinePunct w:val="0"/>
        <w:bidi w:val="0"/>
        <w:ind w:firstLine="640" w:firstLineChars="200"/>
        <w:rPr>
          <w:rFonts w:hint="default" w:eastAsia="仿宋_GB2312"/>
          <w:lang w:val="en-US" w:eastAsia="zh-CN"/>
        </w:rPr>
      </w:pPr>
      <w:r>
        <w:rPr>
          <w:rStyle w:val="15"/>
          <w:rFonts w:hint="eastAsia" w:ascii="仿宋_GB2312" w:hAnsi="仿宋_GB2312" w:eastAsia="仿宋_GB2312" w:cs="仿宋_GB2312"/>
          <w:b w:val="0"/>
          <w:sz w:val="32"/>
          <w:szCs w:val="32"/>
        </w:rPr>
        <w:t>1</w:t>
      </w:r>
      <w:r>
        <w:rPr>
          <w:rStyle w:val="15"/>
          <w:rFonts w:hint="eastAsia" w:ascii="仿宋_GB2312" w:hAnsi="仿宋_GB2312" w:eastAsia="仿宋_GB2312" w:cs="仿宋_GB2312"/>
          <w:b w:val="0"/>
          <w:sz w:val="32"/>
          <w:szCs w:val="32"/>
          <w:lang w:val="en-US" w:eastAsia="zh-CN"/>
        </w:rPr>
        <w:t>2</w:t>
      </w:r>
      <w:r>
        <w:rPr>
          <w:rStyle w:val="15"/>
          <w:rFonts w:hint="eastAsia" w:ascii="仿宋_GB2312" w:hAnsi="仿宋_GB2312" w:eastAsia="仿宋_GB2312" w:cs="仿宋_GB2312"/>
          <w:b w:val="0"/>
          <w:sz w:val="32"/>
          <w:szCs w:val="32"/>
        </w:rPr>
        <w:t>.社会保障和就业（类）</w:t>
      </w:r>
      <w:r>
        <w:rPr>
          <w:rStyle w:val="15"/>
          <w:rFonts w:hint="eastAsia" w:hAnsi="仿宋_GB2312" w:cs="仿宋_GB2312"/>
          <w:b w:val="0"/>
          <w:sz w:val="32"/>
          <w:szCs w:val="32"/>
          <w:lang w:val="en-US" w:eastAsia="zh-CN"/>
        </w:rPr>
        <w:t>人力资源和社会保障管理事务</w:t>
      </w:r>
      <w:r>
        <w:rPr>
          <w:rStyle w:val="15"/>
          <w:rFonts w:hint="eastAsia" w:ascii="仿宋_GB2312" w:hAnsi="仿宋_GB2312" w:eastAsia="仿宋_GB2312" w:cs="仿宋_GB2312"/>
          <w:b w:val="0"/>
          <w:sz w:val="32"/>
          <w:szCs w:val="32"/>
        </w:rPr>
        <w:t>（款）</w:t>
      </w:r>
      <w:r>
        <w:rPr>
          <w:rStyle w:val="15"/>
          <w:rFonts w:hint="eastAsia" w:hAnsi="仿宋_GB2312" w:cs="仿宋_GB2312"/>
          <w:b w:val="0"/>
          <w:sz w:val="32"/>
          <w:szCs w:val="32"/>
          <w:lang w:val="en-US" w:eastAsia="zh-CN"/>
        </w:rPr>
        <w:t>其他人力资源和社会保障管理事务支出</w:t>
      </w:r>
      <w:r>
        <w:rPr>
          <w:rStyle w:val="15"/>
          <w:rFonts w:hint="eastAsia" w:ascii="仿宋_GB2312" w:hAnsi="仿宋_GB2312" w:eastAsia="仿宋_GB2312" w:cs="仿宋_GB2312"/>
          <w:b w:val="0"/>
          <w:sz w:val="32"/>
          <w:szCs w:val="32"/>
        </w:rPr>
        <w:t>（项）</w:t>
      </w:r>
      <w:r>
        <w:rPr>
          <w:rStyle w:val="15"/>
          <w:rFonts w:hint="eastAsia" w:hAnsi="仿宋_GB2312" w:cs="仿宋_GB2312"/>
          <w:b w:val="0"/>
          <w:sz w:val="32"/>
          <w:szCs w:val="32"/>
          <w:lang w:eastAsia="zh-CN"/>
        </w:rPr>
        <w:t>：</w:t>
      </w:r>
      <w:r>
        <w:rPr>
          <w:rStyle w:val="15"/>
          <w:rFonts w:hint="eastAsia" w:hAnsi="仿宋_GB2312" w:cs="仿宋_GB2312"/>
          <w:b w:val="0"/>
          <w:sz w:val="32"/>
          <w:szCs w:val="32"/>
          <w:lang w:val="en-US" w:eastAsia="zh-CN"/>
        </w:rPr>
        <w:t>指局机关及事业单位其他用于人力资源和社会保障管理事务方面的支出，主要是指引进高层次人才安家补助和工作补助。</w:t>
      </w:r>
    </w:p>
    <w:p>
      <w:pPr>
        <w:keepNext w:val="0"/>
        <w:keepLines w:val="0"/>
        <w:pageBreakBefore w:val="0"/>
        <w:widowControl w:val="0"/>
        <w:kinsoku/>
        <w:wordWrap/>
        <w:overflowPunct/>
        <w:topLinePunct w:val="0"/>
        <w:bidi w:val="0"/>
        <w:spacing w:line="576" w:lineRule="exact"/>
        <w:ind w:firstLine="640" w:firstLineChars="200"/>
        <w:rPr>
          <w:rStyle w:val="15"/>
          <w:rFonts w:ascii="仿宋_GB2312" w:hAnsi="仿宋_GB2312" w:eastAsia="仿宋_GB2312" w:cs="仿宋_GB2312"/>
          <w:b w:val="0"/>
          <w:color w:val="000000"/>
          <w:sz w:val="32"/>
          <w:szCs w:val="32"/>
        </w:rPr>
      </w:pPr>
      <w:r>
        <w:rPr>
          <w:rStyle w:val="15"/>
          <w:rFonts w:hint="eastAsia" w:ascii="仿宋_GB2312" w:hAnsi="仿宋_GB2312" w:eastAsia="仿宋_GB2312" w:cs="仿宋_GB2312"/>
          <w:b w:val="0"/>
          <w:sz w:val="32"/>
          <w:szCs w:val="32"/>
        </w:rPr>
        <w:t>1</w:t>
      </w:r>
      <w:r>
        <w:rPr>
          <w:rStyle w:val="15"/>
          <w:rFonts w:hint="eastAsia" w:ascii="仿宋_GB2312" w:hAnsi="仿宋_GB2312" w:eastAsia="仿宋_GB2312" w:cs="仿宋_GB2312"/>
          <w:b w:val="0"/>
          <w:sz w:val="32"/>
          <w:szCs w:val="32"/>
          <w:lang w:val="en-US" w:eastAsia="zh-CN"/>
        </w:rPr>
        <w:t>3</w:t>
      </w:r>
      <w:r>
        <w:rPr>
          <w:rStyle w:val="15"/>
          <w:rFonts w:hint="eastAsia" w:ascii="仿宋_GB2312" w:hAnsi="仿宋_GB2312" w:eastAsia="仿宋_GB2312" w:cs="仿宋_GB2312"/>
          <w:b w:val="0"/>
          <w:sz w:val="32"/>
          <w:szCs w:val="32"/>
        </w:rPr>
        <w:t>.社会保障和就业（类）行政事业单位养老支出（款）机关事业单位基本养老保险缴费</w:t>
      </w:r>
      <w:r>
        <w:rPr>
          <w:rStyle w:val="15"/>
          <w:rFonts w:hint="eastAsia" w:ascii="仿宋_GB2312" w:hAnsi="仿宋_GB2312" w:eastAsia="仿宋_GB2312" w:cs="仿宋_GB2312"/>
          <w:b w:val="0"/>
          <w:sz w:val="32"/>
          <w:szCs w:val="32"/>
          <w:lang w:val="en-US" w:eastAsia="zh-CN"/>
        </w:rPr>
        <w:t>支出</w:t>
      </w:r>
      <w:r>
        <w:rPr>
          <w:rStyle w:val="15"/>
          <w:rFonts w:hint="eastAsia" w:ascii="仿宋_GB2312" w:hAnsi="仿宋_GB2312" w:eastAsia="仿宋_GB2312" w:cs="仿宋_GB2312"/>
          <w:b w:val="0"/>
          <w:sz w:val="32"/>
          <w:szCs w:val="32"/>
        </w:rPr>
        <w:t>（项）：指机关事业单位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keepNext w:val="0"/>
        <w:keepLines w:val="0"/>
        <w:pageBreakBefore w:val="0"/>
        <w:widowControl w:val="0"/>
        <w:kinsoku/>
        <w:wordWrap/>
        <w:overflowPunct/>
        <w:topLinePunct w:val="0"/>
        <w:bidi w:val="0"/>
        <w:spacing w:line="576" w:lineRule="exact"/>
        <w:ind w:firstLine="640" w:firstLineChars="200"/>
        <w:rPr>
          <w:rStyle w:val="15"/>
          <w:rFonts w:ascii="仿宋_GB2312" w:hAnsi="仿宋_GB2312" w:eastAsia="仿宋_GB2312" w:cs="仿宋_GB2312"/>
          <w:b w:val="0"/>
          <w:sz w:val="32"/>
          <w:szCs w:val="32"/>
        </w:rPr>
      </w:pPr>
      <w:r>
        <w:rPr>
          <w:rStyle w:val="15"/>
          <w:rFonts w:hint="eastAsia" w:ascii="仿宋_GB2312" w:hAnsi="仿宋_GB2312" w:eastAsia="仿宋_GB2312" w:cs="仿宋_GB2312"/>
          <w:b w:val="0"/>
          <w:sz w:val="32"/>
          <w:szCs w:val="32"/>
        </w:rPr>
        <w:t>1</w:t>
      </w:r>
      <w:r>
        <w:rPr>
          <w:rStyle w:val="15"/>
          <w:rFonts w:hint="eastAsia" w:ascii="仿宋_GB2312" w:hAnsi="仿宋_GB2312" w:eastAsia="仿宋_GB2312" w:cs="仿宋_GB2312"/>
          <w:b w:val="0"/>
          <w:sz w:val="32"/>
          <w:szCs w:val="32"/>
          <w:lang w:val="en-US" w:eastAsia="zh-CN"/>
        </w:rPr>
        <w:t>4</w:t>
      </w:r>
      <w:r>
        <w:rPr>
          <w:rStyle w:val="15"/>
          <w:rFonts w:hint="eastAsia" w:ascii="仿宋_GB2312" w:hAnsi="仿宋_GB2312" w:eastAsia="仿宋_GB2312" w:cs="仿宋_GB2312"/>
          <w:b w:val="0"/>
          <w:sz w:val="32"/>
          <w:szCs w:val="32"/>
        </w:rPr>
        <w:t>.社会保障和就业（类）行政事业单位养老支出（款）机关事业单位职业年金缴费</w:t>
      </w:r>
      <w:r>
        <w:rPr>
          <w:rStyle w:val="15"/>
          <w:rFonts w:hint="eastAsia" w:ascii="仿宋_GB2312" w:hAnsi="仿宋_GB2312" w:eastAsia="仿宋_GB2312" w:cs="仿宋_GB2312"/>
          <w:b w:val="0"/>
          <w:sz w:val="32"/>
          <w:szCs w:val="32"/>
          <w:lang w:val="en-US" w:eastAsia="zh-CN"/>
        </w:rPr>
        <w:t>支出</w:t>
      </w:r>
      <w:r>
        <w:rPr>
          <w:rStyle w:val="15"/>
          <w:rFonts w:hint="eastAsia" w:ascii="仿宋_GB2312" w:hAnsi="仿宋_GB2312" w:eastAsia="仿宋_GB2312" w:cs="仿宋_GB2312"/>
          <w:b w:val="0"/>
          <w:sz w:val="32"/>
          <w:szCs w:val="32"/>
        </w:rPr>
        <w:t>（项）：指机关事业单位实施养老保险制度由单位实际缴纳的职业年金支出。</w:t>
      </w:r>
    </w:p>
    <w:p>
      <w:pPr>
        <w:keepNext w:val="0"/>
        <w:keepLines w:val="0"/>
        <w:pageBreakBefore w:val="0"/>
        <w:widowControl w:val="0"/>
        <w:kinsoku/>
        <w:wordWrap/>
        <w:overflowPunct/>
        <w:topLinePunct w:val="0"/>
        <w:bidi w:val="0"/>
        <w:spacing w:line="576" w:lineRule="exact"/>
        <w:ind w:firstLine="640" w:firstLineChars="200"/>
        <w:rPr>
          <w:rStyle w:val="15"/>
          <w:rFonts w:ascii="仿宋_GB2312" w:hAnsi="仿宋_GB2312" w:eastAsia="仿宋_GB2312" w:cs="仿宋_GB2312"/>
          <w:b w:val="0"/>
          <w:sz w:val="32"/>
          <w:szCs w:val="32"/>
        </w:rPr>
      </w:pPr>
      <w:r>
        <w:rPr>
          <w:rStyle w:val="15"/>
          <w:rFonts w:hint="eastAsia" w:ascii="仿宋_GB2312" w:hAnsi="仿宋_GB2312" w:eastAsia="仿宋_GB2312" w:cs="仿宋_GB2312"/>
          <w:b w:val="0"/>
          <w:color w:val="000000"/>
          <w:sz w:val="32"/>
          <w:szCs w:val="32"/>
        </w:rPr>
        <w:t>15.社会保障和就业（类）其他社会保障和就业支出（款）其他社会保障和就业支出（</w:t>
      </w:r>
      <w:r>
        <w:rPr>
          <w:rStyle w:val="15"/>
          <w:rFonts w:hint="eastAsia" w:ascii="仿宋_GB2312" w:hAnsi="仿宋_GB2312" w:eastAsia="仿宋_GB2312" w:cs="仿宋_GB2312"/>
          <w:b w:val="0"/>
          <w:color w:val="000000"/>
          <w:sz w:val="32"/>
          <w:szCs w:val="32"/>
          <w:lang w:eastAsia="zh-CN"/>
        </w:rPr>
        <w:t>项</w:t>
      </w:r>
      <w:r>
        <w:rPr>
          <w:rStyle w:val="15"/>
          <w:rFonts w:hint="eastAsia" w:ascii="仿宋_GB2312" w:hAnsi="仿宋_GB2312" w:eastAsia="仿宋_GB2312" w:cs="仿宋_GB2312"/>
          <w:b w:val="0"/>
          <w:color w:val="000000"/>
          <w:sz w:val="32"/>
          <w:szCs w:val="32"/>
        </w:rPr>
        <w:t>）：反映其他用于社会保障和就业方面的支出。</w:t>
      </w:r>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shd w:val="clear" w:color="auto" w:fill="FFFFFF"/>
        </w:rPr>
      </w:pPr>
      <w:r>
        <w:rPr>
          <w:rStyle w:val="15"/>
          <w:rFonts w:hint="eastAsia" w:ascii="仿宋_GB2312" w:hAnsi="仿宋_GB2312" w:eastAsia="仿宋_GB2312" w:cs="仿宋_GB2312"/>
          <w:b w:val="0"/>
          <w:sz w:val="32"/>
          <w:szCs w:val="32"/>
        </w:rPr>
        <w:t>16.卫生健康支出（类）行政事业单位医疗（款）行政单位医疗（项）：指局机关</w:t>
      </w:r>
      <w:r>
        <w:rPr>
          <w:rFonts w:hint="eastAsia" w:ascii="仿宋_GB2312" w:hAnsi="仿宋_GB2312" w:eastAsia="仿宋_GB2312" w:cs="仿宋_GB2312"/>
          <w:sz w:val="32"/>
          <w:szCs w:val="32"/>
          <w:shd w:val="clear" w:color="auto" w:fill="FFFFFF"/>
        </w:rPr>
        <w:t>用于缴纳单位基本医疗保险支出。</w:t>
      </w:r>
    </w:p>
    <w:p>
      <w:pPr>
        <w:keepNext w:val="0"/>
        <w:keepLines w:val="0"/>
        <w:pageBreakBefore w:val="0"/>
        <w:widowControl w:val="0"/>
        <w:kinsoku/>
        <w:wordWrap/>
        <w:overflowPunct/>
        <w:topLinePunct w:val="0"/>
        <w:bidi w:val="0"/>
        <w:spacing w:line="576" w:lineRule="exact"/>
        <w:ind w:firstLine="640" w:firstLineChars="200"/>
        <w:rPr>
          <w:rStyle w:val="15"/>
          <w:rFonts w:ascii="仿宋_GB2312" w:hAnsi="仿宋_GB2312" w:eastAsia="仿宋_GB2312" w:cs="仿宋_GB2312"/>
          <w:sz w:val="32"/>
          <w:szCs w:val="32"/>
        </w:rPr>
      </w:pPr>
      <w:r>
        <w:rPr>
          <w:rStyle w:val="15"/>
          <w:rFonts w:hint="eastAsia" w:ascii="仿宋_GB2312" w:hAnsi="仿宋_GB2312" w:eastAsia="仿宋_GB2312" w:cs="仿宋_GB2312"/>
          <w:b w:val="0"/>
          <w:sz w:val="32"/>
          <w:szCs w:val="32"/>
        </w:rPr>
        <w:t>17.卫生健康支出（类）行政事业单位医疗（款）事业单位医疗（项）：指</w:t>
      </w:r>
      <w:r>
        <w:rPr>
          <w:rFonts w:hint="eastAsia" w:ascii="仿宋_GB2312" w:hAnsi="仿宋_GB2312" w:eastAsia="仿宋_GB2312" w:cs="仿宋_GB2312"/>
          <w:sz w:val="32"/>
          <w:szCs w:val="32"/>
          <w:shd w:val="clear" w:color="auto" w:fill="FFFFFF"/>
        </w:rPr>
        <w:t>事业单位用于缴纳单位基本医疗保险支出。</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18.住房保障（类）住房改革（款）住房公积金（项）：指局机关及事业单位按行政事业单位按人力资源部和社会保障部、财政部规定的基本工资和津贴补贴以及规定比例为职工缴纳的住房公积金。</w:t>
      </w:r>
    </w:p>
    <w:p>
      <w:pPr>
        <w:keepNext w:val="0"/>
        <w:keepLines w:val="0"/>
        <w:pageBreakBefore w:val="0"/>
        <w:widowControl w:val="0"/>
        <w:kinsoku/>
        <w:wordWrap/>
        <w:overflowPunct/>
        <w:topLinePunct w:val="0"/>
        <w:bidi w:val="0"/>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6"/>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pPr>
        <w:keepNext w:val="0"/>
        <w:keepLines w:val="0"/>
        <w:pageBreakBefore w:val="0"/>
        <w:widowControl w:val="0"/>
        <w:kinsoku/>
        <w:wordWrap/>
        <w:overflowPunct/>
        <w:topLinePunct w:val="0"/>
        <w:bidi w:val="0"/>
        <w:spacing w:line="600" w:lineRule="exact"/>
        <w:jc w:val="center"/>
        <w:outlineLvl w:val="0"/>
        <w:rPr>
          <w:rFonts w:hint="eastAsia" w:ascii="方正小标宋简体" w:hAnsi="方正小标宋简体" w:eastAsia="方正小标宋简体" w:cs="方正小标宋简体"/>
          <w:b w:val="0"/>
          <w:bCs/>
          <w:color w:val="auto"/>
          <w:kern w:val="44"/>
          <w:sz w:val="44"/>
          <w:szCs w:val="44"/>
          <w:highlight w:val="none"/>
          <w:lang w:val="en-US" w:eastAsia="zh-CN" w:bidi="ar-SA"/>
        </w:rPr>
      </w:pPr>
      <w:bookmarkStart w:id="57" w:name="_Toc15377226"/>
      <w:r>
        <w:rPr>
          <w:rFonts w:ascii="宋体"/>
          <w:b/>
          <w:color w:val="auto"/>
          <w:sz w:val="44"/>
          <w:szCs w:val="44"/>
          <w:highlight w:val="none"/>
        </w:rPr>
        <w:br w:type="page"/>
      </w:r>
      <w:bookmarkStart w:id="58" w:name="_Toc15396614"/>
      <w:r>
        <w:rPr>
          <w:rFonts w:hint="eastAsia" w:ascii="方正小标宋简体" w:hAnsi="方正小标宋简体" w:eastAsia="方正小标宋简体" w:cs="方正小标宋简体"/>
          <w:b w:val="0"/>
          <w:bCs/>
          <w:color w:val="auto"/>
          <w:kern w:val="44"/>
          <w:sz w:val="44"/>
          <w:szCs w:val="44"/>
          <w:highlight w:val="none"/>
          <w:lang w:val="en-US" w:eastAsia="zh-CN" w:bidi="ar-SA"/>
        </w:rPr>
        <w:t>第四部分 附件</w:t>
      </w:r>
      <w:bookmarkEnd w:id="58"/>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p>
    <w:p>
      <w:pPr>
        <w:keepNext w:val="0"/>
        <w:keepLines w:val="0"/>
        <w:pageBreakBefore w:val="0"/>
        <w:widowControl w:val="0"/>
        <w:kinsoku/>
        <w:wordWrap/>
        <w:overflowPunct/>
        <w:topLinePunct w:val="0"/>
        <w:bidi w:val="0"/>
        <w:spacing w:line="580" w:lineRule="exact"/>
        <w:contextualSpacing/>
        <w:jc w:val="center"/>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lang w:val="en-US" w:eastAsia="zh-CN"/>
        </w:rPr>
        <w:t>广元市财政局</w:t>
      </w:r>
      <w:r>
        <w:rPr>
          <w:rFonts w:hint="eastAsia" w:ascii="方正小标宋简体" w:hAnsi="方正小标宋简体" w:eastAsia="方正小标宋简体" w:cs="方正小标宋简体"/>
          <w:b w:val="0"/>
          <w:bCs/>
          <w:sz w:val="44"/>
          <w:szCs w:val="44"/>
          <w:shd w:val="clear" w:color="auto" w:fill="FFFFFF"/>
        </w:rPr>
        <w:t>20</w:t>
      </w:r>
      <w:r>
        <w:rPr>
          <w:rFonts w:hint="eastAsia" w:ascii="方正小标宋简体" w:hAnsi="方正小标宋简体" w:eastAsia="方正小标宋简体" w:cs="方正小标宋简体"/>
          <w:b w:val="0"/>
          <w:bCs/>
          <w:sz w:val="44"/>
          <w:szCs w:val="44"/>
          <w:shd w:val="clear" w:color="auto" w:fill="FFFFFF"/>
          <w:lang w:val="en-US" w:eastAsia="zh-CN"/>
        </w:rPr>
        <w:t>21</w:t>
      </w:r>
      <w:r>
        <w:rPr>
          <w:rFonts w:hint="eastAsia" w:ascii="方正小标宋简体" w:hAnsi="方正小标宋简体" w:eastAsia="方正小标宋简体" w:cs="方正小标宋简体"/>
          <w:b w:val="0"/>
          <w:bCs/>
          <w:sz w:val="44"/>
          <w:szCs w:val="44"/>
          <w:shd w:val="clear" w:color="auto" w:fill="FFFFFF"/>
        </w:rPr>
        <w:t>年部门整体支出</w:t>
      </w:r>
    </w:p>
    <w:p>
      <w:pPr>
        <w:keepNext w:val="0"/>
        <w:keepLines w:val="0"/>
        <w:pageBreakBefore w:val="0"/>
        <w:widowControl w:val="0"/>
        <w:kinsoku/>
        <w:wordWrap/>
        <w:overflowPunct/>
        <w:topLinePunct w:val="0"/>
        <w:bidi w:val="0"/>
        <w:spacing w:line="580" w:lineRule="exact"/>
        <w:contextualSpacing/>
        <w:jc w:val="center"/>
        <w:rPr>
          <w:rFonts w:hint="eastAsia" w:ascii="楷体_GB2312" w:hAnsi="楷体_GB2312" w:eastAsia="楷体_GB2312" w:cs="楷体_GB2312"/>
          <w:szCs w:val="32"/>
          <w:shd w:val="clear" w:color="auto" w:fill="FFFFFF"/>
        </w:rPr>
      </w:pPr>
      <w:r>
        <w:rPr>
          <w:rFonts w:hint="eastAsia" w:ascii="方正小标宋简体" w:hAnsi="方正小标宋简体" w:eastAsia="方正小标宋简体" w:cs="方正小标宋简体"/>
          <w:b w:val="0"/>
          <w:bCs/>
          <w:sz w:val="44"/>
          <w:szCs w:val="44"/>
          <w:shd w:val="clear" w:color="auto" w:fill="FFFFFF"/>
        </w:rPr>
        <w:t>绩效评价报告</w:t>
      </w:r>
    </w:p>
    <w:p>
      <w:pPr>
        <w:keepNext w:val="0"/>
        <w:keepLines w:val="0"/>
        <w:pageBreakBefore w:val="0"/>
        <w:widowControl w:val="0"/>
        <w:kinsoku/>
        <w:wordWrap/>
        <w:overflowPunct/>
        <w:topLinePunct w:val="0"/>
        <w:bidi w:val="0"/>
        <w:snapToGrid w:val="0"/>
        <w:spacing w:line="540" w:lineRule="exact"/>
        <w:jc w:val="left"/>
        <w:rPr>
          <w:rFonts w:ascii="黑体" w:hAnsi="宋体" w:eastAsia="黑体" w:cs="宋体"/>
          <w:color w:val="000000"/>
          <w:kern w:val="0"/>
          <w:sz w:val="24"/>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广元市财政局及</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属单位共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个（含市财政局机关、</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rPr>
        <w:t>评审中心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绩效管理中心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政府和社会资本合作</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和财政</w:t>
      </w:r>
      <w:r>
        <w:rPr>
          <w:rFonts w:hint="eastAsia" w:ascii="仿宋_GB2312" w:hAnsi="仿宋_GB2312" w:eastAsia="仿宋_GB2312" w:cs="仿宋_GB2312"/>
          <w:sz w:val="32"/>
          <w:szCs w:val="32"/>
        </w:rPr>
        <w:t>预算编审中心），其中市财政局机关</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独立核算</w:t>
      </w:r>
      <w:r>
        <w:rPr>
          <w:rFonts w:hint="eastAsia" w:ascii="仿宋_GB2312" w:hAnsi="仿宋_GB2312" w:eastAsia="仿宋_GB2312" w:cs="仿宋_GB2312"/>
          <w:sz w:val="32"/>
          <w:szCs w:val="32"/>
          <w:lang w:val="en-US" w:eastAsia="zh-CN"/>
        </w:rPr>
        <w:t>一级预算</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政府和社会资本合作</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和财政</w:t>
      </w:r>
      <w:r>
        <w:rPr>
          <w:rFonts w:hint="eastAsia" w:ascii="仿宋_GB2312" w:hAnsi="仿宋_GB2312" w:eastAsia="仿宋_GB2312" w:cs="仿宋_GB2312"/>
          <w:sz w:val="32"/>
          <w:szCs w:val="32"/>
        </w:rPr>
        <w:t>预算编审中心</w:t>
      </w:r>
      <w:r>
        <w:rPr>
          <w:rFonts w:hint="eastAsia" w:ascii="仿宋_GB2312" w:hAnsi="仿宋_GB2312" w:eastAsia="仿宋_GB2312" w:cs="仿宋_GB2312"/>
          <w:sz w:val="32"/>
          <w:szCs w:val="32"/>
          <w:lang w:val="en-US" w:eastAsia="zh-CN"/>
        </w:rPr>
        <w:t>未独立核算，纳入局机关统一核算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市财政绩效管理中心和财政评审中心为独立核算二级预算单位。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w:t>
      </w:r>
      <w:r>
        <w:rPr>
          <w:rFonts w:hint="eastAsia" w:ascii="楷体_GB2312" w:hAnsi="楷体_GB2312" w:eastAsia="楷体_GB2312" w:cs="楷体_GB2312"/>
          <w:color w:val="000000"/>
          <w:kern w:val="0"/>
          <w:sz w:val="32"/>
          <w:szCs w:val="32"/>
          <w:shd w:val="clear" w:color="auto" w:fill="FFFFFF"/>
          <w:lang w:val="en-US" w:eastAsia="zh-CN"/>
        </w:rPr>
        <w:t>二</w:t>
      </w:r>
      <w:r>
        <w:rPr>
          <w:rFonts w:hint="eastAsia" w:ascii="楷体_GB2312" w:hAnsi="楷体_GB2312" w:eastAsia="楷体_GB2312" w:cs="楷体_GB2312"/>
          <w:color w:val="000000"/>
          <w:kern w:val="0"/>
          <w:sz w:val="32"/>
          <w:szCs w:val="32"/>
          <w:shd w:val="clear" w:color="auto" w:fill="FFFFFF"/>
          <w:lang w:val="zh-CN"/>
        </w:rPr>
        <w:t>）机构职能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cs="宋体"/>
          <w:color w:val="000000"/>
          <w:kern w:val="0"/>
          <w:sz w:val="32"/>
          <w:szCs w:val="32"/>
          <w:shd w:val="clear" w:color="auto" w:fill="FFFFFF"/>
          <w:lang w:val="en-US" w:eastAsia="zh-CN"/>
        </w:rPr>
        <w:t xml:space="preserve">    </w:t>
      </w:r>
      <w:r>
        <w:rPr>
          <w:rFonts w:hint="eastAsia" w:ascii="仿宋_GB2312" w:hAnsi="仿宋_GB2312" w:eastAsia="仿宋_GB2312" w:cs="仿宋_GB2312"/>
          <w:sz w:val="32"/>
          <w:szCs w:val="32"/>
        </w:rPr>
        <w:t>拟订全市财政、税收的发展战略、规划、政策和改革方案并组织实施，参与宏观经济分析预测和全市重大宏观经济政策的制定，提出运用财税政策实施宏观经济调控和综合平衡全市财力的建议。贯彻执行国家财税法律、法规和方针、政策，组织起草地方性财税法规的实施办法和政策规定并组织实施，按照管理权限管理全市税政事项。承担各项财政收支管理，负责编制年度市级预决算草案并组织实施，受市政府委托，向市人民代表大会报告全市和市级预算及其执行情况，向市人大常委会报告决算，组织制定经费开支标准、定额，负责审核批复部门（单位）的年度预决算，完善转移支付制度。负责政府非税收入管理，负责政府性基金管理，按规定管理行政事业性收费，管理财政票据，负责彩票的监管和发行规模的审核上报工作。制定全市国库管理制度、国库集中收付制度，指导和监督国库业务，组织开展国库现金管理工作。制定政府采购制度，编制政府采购预算，监督管理全市政府采购工作。制定全市行政事业单位国有资产管理制度规定及市级机关事业单位国有资产收益管理办法，并对执行情况进行监督检查，负责市级机关国有资产经营收益财政专户管理工作。审核和汇总编制全市国有资本经营预决算草案，制订国有资本经营预算的制度和办法，收取市本级企业国有资本收益，组织实施企业财务制度，管理金融类企业国有资产，参与拟订企业国有资产管理相关制度，管理资产评估工作。负责管理和监督财政性经济发展支出、政府性投资项目的财政拨款，参与拟订政府性建设投资的有关政策，制定基本建设财务制度，负责投资评审管理工作。负责有关政策性补贴和专项储备资金财政管理工作。会同相关部门管理全市社会保障和就业及医疗卫生支出，会同相关部门拟订社会保障资金（基金）的财务管理制度，编制市级社会保障预决算草案。组织实施政府债务管理制度和政策，制定具体管理办法，管理政府债务，防范财政风险，管理外国政府和国际金融机构贷（赠）款项目的有关业务。负责全市的会计工作，监督和规范会计行为，组织实施国家统一的会计制度，指导和监督注册会计师和会计师事务所的业务，指导和管理社会审计。负责财政资金绩效评价。监督检查财税法规、政策的执行情况，反映财政收支管理中的重大问题。依法查处违反财经法纪的行为。负责财政宣传和财政信息管理系统工作，负责全市财政业务培训。承担市政府公布的有关行政审批事项。负责全市PPP政策研究和实施办法的制定、市级PPP项目库的建立更新，项目实施方案的汇总和审核等工作。承办市政府交办的其他事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w:t>
      </w:r>
      <w:r>
        <w:rPr>
          <w:rFonts w:hint="eastAsia" w:ascii="楷体_GB2312" w:hAnsi="楷体_GB2312" w:eastAsia="楷体_GB2312" w:cs="楷体_GB2312"/>
          <w:color w:val="000000"/>
          <w:kern w:val="0"/>
          <w:sz w:val="32"/>
          <w:szCs w:val="32"/>
          <w:shd w:val="clear" w:color="auto" w:fill="FFFFFF"/>
          <w:lang w:val="en-US" w:eastAsia="zh-CN"/>
        </w:rPr>
        <w:t>三</w:t>
      </w:r>
      <w:r>
        <w:rPr>
          <w:rFonts w:hint="eastAsia" w:ascii="楷体_GB2312" w:hAnsi="楷体_GB2312" w:eastAsia="楷体_GB2312" w:cs="楷体_GB2312"/>
          <w:color w:val="000000"/>
          <w:kern w:val="0"/>
          <w:sz w:val="32"/>
          <w:szCs w:val="32"/>
          <w:shd w:val="clear" w:color="auto" w:fill="FFFFFF"/>
          <w:lang w:val="zh-CN"/>
        </w:rPr>
        <w:t>）人员概况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截至2021年末，市财政局部门人员编制共104个，其中：公务员编制63个、工勤人员编制8个、事业人员编制33个。2021年底，实有在职人员101人，其中：公务员65人（含纪检监察组5人）、工勤人员7人、事业人员29人。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（一）部门财政资金收入情况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2021年，市财政局部门财政拨款收入3801万元，其中：一般公共预算财政拨款收入2859.62万元、结转资金941.38万元。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w:t>
      </w:r>
      <w:r>
        <w:rPr>
          <w:rFonts w:hint="eastAsia" w:ascii="楷体_GB2312" w:hAnsi="楷体_GB2312" w:eastAsia="楷体_GB2312" w:cs="楷体_GB2312"/>
          <w:color w:val="000000"/>
          <w:kern w:val="0"/>
          <w:sz w:val="32"/>
          <w:szCs w:val="32"/>
          <w:shd w:val="clear" w:color="auto" w:fill="FFFFFF"/>
          <w:lang w:val="en-US" w:eastAsia="zh-CN"/>
        </w:rPr>
        <w:t>二</w:t>
      </w:r>
      <w:r>
        <w:rPr>
          <w:rFonts w:hint="eastAsia" w:ascii="楷体_GB2312" w:hAnsi="楷体_GB2312" w:eastAsia="楷体_GB2312" w:cs="楷体_GB2312"/>
          <w:color w:val="000000"/>
          <w:kern w:val="0"/>
          <w:sz w:val="32"/>
          <w:szCs w:val="32"/>
          <w:shd w:val="clear" w:color="auto" w:fill="FFFFFF"/>
          <w:lang w:val="zh-CN"/>
        </w:rPr>
        <w:t>）部门财政资金支出情况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宋体" w:cs="宋体"/>
          <w:color w:val="000000"/>
          <w:kern w:val="0"/>
          <w:sz w:val="32"/>
          <w:szCs w:val="32"/>
          <w:shd w:val="clear" w:color="auto" w:fill="FFFFFF"/>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财政拨款</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3194.59</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1695.27</w:t>
      </w:r>
      <w:r>
        <w:rPr>
          <w:rFonts w:hint="eastAsia" w:ascii="仿宋_GB2312" w:hAnsi="仿宋_GB2312" w:eastAsia="仿宋_GB2312" w:cs="仿宋_GB2312"/>
          <w:sz w:val="32"/>
          <w:szCs w:val="32"/>
        </w:rPr>
        <w:t>万元，公用经费</w:t>
      </w:r>
      <w:r>
        <w:rPr>
          <w:rFonts w:hint="eastAsia" w:ascii="仿宋_GB2312" w:hAnsi="仿宋_GB2312" w:eastAsia="仿宋_GB2312" w:cs="仿宋_GB2312"/>
          <w:sz w:val="32"/>
          <w:szCs w:val="32"/>
          <w:lang w:val="en-US" w:eastAsia="zh-CN"/>
        </w:rPr>
        <w:t>404.67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1094.65</w:t>
      </w:r>
      <w:r>
        <w:rPr>
          <w:rFonts w:hint="eastAsia" w:ascii="仿宋_GB2312" w:hAnsi="仿宋_GB2312" w:eastAsia="仿宋_GB2312" w:cs="仿宋_GB2312"/>
          <w:sz w:val="32"/>
          <w:szCs w:val="32"/>
        </w:rPr>
        <w:t>万元。年末结转</w:t>
      </w:r>
      <w:r>
        <w:rPr>
          <w:rFonts w:hint="eastAsia" w:ascii="仿宋_GB2312" w:hAnsi="仿宋_GB2312" w:eastAsia="仿宋_GB2312" w:cs="仿宋_GB2312"/>
          <w:sz w:val="32"/>
          <w:szCs w:val="32"/>
          <w:lang w:val="en-US" w:eastAsia="zh-CN"/>
        </w:rPr>
        <w:t>606.41</w:t>
      </w:r>
      <w:r>
        <w:rPr>
          <w:rFonts w:hint="eastAsia" w:ascii="仿宋_GB2312" w:hAnsi="仿宋_GB2312" w:eastAsia="仿宋_GB2312" w:cs="仿宋_GB2312"/>
          <w:sz w:val="32"/>
          <w:szCs w:val="32"/>
        </w:rPr>
        <w:t>万元。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黑体" w:hAnsi="宋体" w:eastAsia="黑体" w:cs="宋体"/>
          <w:color w:val="000000"/>
          <w:kern w:val="0"/>
          <w:sz w:val="32"/>
          <w:szCs w:val="32"/>
          <w:u w:val="none"/>
          <w:shd w:val="clear" w:color="auto" w:fill="FFFFFF"/>
        </w:rPr>
      </w:pPr>
      <w:r>
        <w:rPr>
          <w:rFonts w:hint="eastAsia" w:ascii="黑体" w:hAnsi="宋体" w:eastAsia="黑体" w:cs="宋体"/>
          <w:color w:val="000000"/>
          <w:kern w:val="0"/>
          <w:sz w:val="32"/>
          <w:szCs w:val="32"/>
          <w:u w:val="none"/>
          <w:shd w:val="clear" w:color="auto" w:fill="FFFFFF"/>
        </w:rPr>
        <w:t>部门整体预算绩效管理情况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（一）部门预算项目绩效管理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部门绩效目标制定。</w:t>
      </w:r>
      <w:r>
        <w:rPr>
          <w:rFonts w:hint="eastAsia" w:ascii="仿宋_GB2312" w:hAnsi="仿宋_GB2312" w:eastAsia="仿宋_GB2312" w:cs="仿宋_GB2312"/>
          <w:sz w:val="32"/>
          <w:szCs w:val="32"/>
          <w:lang w:val="en-US" w:eastAsia="zh-CN"/>
        </w:rPr>
        <w:t>2021年，我部门将预算收支纳入绩效管理，结合部门职责和财政工作需要，在预算编制环节对人员经费、公用经费和专项项目绩效目标进行了绩效指标设定，具体细化完成指标、效益指标和满意度指标。2021年部门预算项目共19个，按规定对19个项目绩效目标进行细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目标实现。</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val="zh-CN"/>
        </w:rPr>
        <w:t>人员</w:t>
      </w:r>
      <w:r>
        <w:rPr>
          <w:rFonts w:hint="eastAsia" w:ascii="仿宋_GB2312" w:hAnsi="仿宋_GB2312" w:eastAsia="仿宋_GB2312" w:cs="仿宋_GB2312"/>
          <w:sz w:val="32"/>
          <w:szCs w:val="32"/>
          <w:lang w:val="en-US" w:eastAsia="zh-CN"/>
        </w:rPr>
        <w:t>经费项目全部实现支出，切实保障了人员工资津补贴发放和各项保险、公积金缴纳。公用经费项目严格用于部门运转，有效保障了财政工作顺利开展。专项</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按照设定目标开展实施，严格制定相关管理规定，对属于政府采购的项目严格按规定实施采购，对项目预算有调整的严格履行预算调整审批。2021年除1个项目进行了调整外，其他项目均实现了既定目标。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支出控制。</w:t>
      </w:r>
      <w:r>
        <w:rPr>
          <w:rFonts w:hint="eastAsia" w:ascii="仿宋_GB2312" w:hAnsi="仿宋_GB2312" w:eastAsia="仿宋_GB2312" w:cs="仿宋_GB2312"/>
          <w:sz w:val="32"/>
          <w:szCs w:val="32"/>
          <w:lang w:val="en-US" w:eastAsia="zh-CN"/>
        </w:rPr>
        <w:t>2021年我部门严格执行部门预算，无超预算情况。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执行进度。</w:t>
      </w:r>
      <w:r>
        <w:rPr>
          <w:rFonts w:hint="eastAsia" w:ascii="仿宋_GB2312" w:hAnsi="仿宋_GB2312" w:eastAsia="仿宋_GB2312" w:cs="仿宋_GB2312"/>
          <w:sz w:val="32"/>
          <w:szCs w:val="32"/>
          <w:lang w:val="en-US" w:eastAsia="zh-CN"/>
        </w:rPr>
        <w:t>我部门在预算执行过程中严格按照预算批复执行，强化预算执行的刚性约束，不随意改变财政预算资金的使用范围、</w:t>
      </w:r>
      <w:r>
        <w:rPr>
          <w:rFonts w:hint="eastAsia" w:ascii="仿宋_GB2312" w:hAnsi="仿宋_GB2312" w:eastAsia="仿宋_GB2312" w:cs="仿宋_GB2312"/>
          <w:sz w:val="32"/>
          <w:szCs w:val="32"/>
          <w:lang w:val="zh-CN" w:eastAsia="zh-CN"/>
        </w:rPr>
        <w:t>支付标准，</w:t>
      </w:r>
      <w:r>
        <w:rPr>
          <w:rFonts w:hint="eastAsia" w:ascii="仿宋_GB2312" w:hAnsi="仿宋_GB2312" w:eastAsia="仿宋_GB2312" w:cs="仿宋_GB2312"/>
          <w:sz w:val="32"/>
          <w:szCs w:val="32"/>
          <w:lang w:val="en-US" w:eastAsia="zh-CN"/>
        </w:rPr>
        <w:t>严控预算执行进度，努力靠近序时进度，提高资金使用效益，保证了收支平衡。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预算完成情况。</w:t>
      </w:r>
      <w:r>
        <w:rPr>
          <w:rFonts w:hint="eastAsia" w:ascii="仿宋_GB2312" w:hAnsi="仿宋_GB2312" w:eastAsia="仿宋_GB2312" w:cs="仿宋_GB2312"/>
          <w:sz w:val="32"/>
          <w:szCs w:val="32"/>
          <w:lang w:val="en-US" w:eastAsia="zh-CN"/>
        </w:rPr>
        <w:t>2021年部门预算全年合计完成3761.47万元，全年预算支出进度为84%，保障了全市财政管理工作稳步推进。</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rPr>
        <w:t>资金结余率。</w:t>
      </w:r>
      <w:r>
        <w:rPr>
          <w:rFonts w:hint="eastAsia" w:ascii="仿宋_GB2312" w:hAnsi="仿宋_GB2312" w:eastAsia="仿宋_GB2312" w:cs="仿宋_GB2312"/>
          <w:sz w:val="32"/>
          <w:szCs w:val="32"/>
          <w:lang w:val="en-US" w:eastAsia="zh-CN"/>
        </w:rPr>
        <w:t>2021年部门预算无结余资金，年度结转资金572.37万元，全部结转到2022年继续使用。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违规记录等情况。</w:t>
      </w:r>
      <w:r>
        <w:rPr>
          <w:rFonts w:hint="eastAsia" w:ascii="仿宋_GB2312" w:hAnsi="仿宋_GB2312" w:eastAsia="仿宋_GB2312" w:cs="仿宋_GB2312"/>
          <w:sz w:val="32"/>
          <w:szCs w:val="32"/>
          <w:lang w:val="en-US" w:eastAsia="zh-CN"/>
        </w:rPr>
        <w:t>我部门2021年不存在部门预算管理方面违规违纪问题。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lang w:val="zh-CN"/>
        </w:rPr>
        <w:t>内部应用。</w:t>
      </w:r>
      <w:r>
        <w:rPr>
          <w:rFonts w:hint="eastAsia" w:ascii="仿宋_GB2312" w:hAnsi="仿宋_GB2312" w:eastAsia="仿宋_GB2312" w:cs="仿宋_GB2312"/>
          <w:color w:val="000000"/>
          <w:kern w:val="0"/>
          <w:sz w:val="32"/>
          <w:szCs w:val="32"/>
          <w:shd w:val="clear" w:color="auto" w:fill="FFFFFF"/>
          <w:lang w:val="en-US" w:eastAsia="zh-CN"/>
        </w:rPr>
        <w:t>我部门针对项目资金执行进度不够高的问题，督促项目科室和直属单位加快支付进度，同时规范资金使用，实现预算绩效目标。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自评公开。</w:t>
      </w:r>
      <w:r>
        <w:rPr>
          <w:rFonts w:hint="eastAsia" w:ascii="仿宋_GB2312" w:hAnsi="仿宋_GB2312" w:eastAsia="仿宋_GB2312" w:cs="仿宋_GB2312"/>
          <w:kern w:val="0"/>
          <w:sz w:val="32"/>
          <w:szCs w:val="32"/>
          <w:lang w:val="en-US" w:eastAsia="zh-CN" w:bidi="ar-SA"/>
        </w:rPr>
        <w:t>我部门认真做好部门预决算和部门整体支出绩效自评情况公开工作，及时、全面向社会公开。</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lang w:val="zh-CN"/>
        </w:rPr>
        <w:t>问题整改和应用反馈等情况。</w:t>
      </w:r>
      <w:r>
        <w:rPr>
          <w:rFonts w:hint="eastAsia" w:ascii="仿宋_GB2312" w:hAnsi="仿宋_GB2312" w:eastAsia="仿宋_GB2312" w:cs="仿宋_GB2312"/>
          <w:kern w:val="0"/>
          <w:sz w:val="32"/>
          <w:szCs w:val="32"/>
          <w:lang w:val="en-US" w:eastAsia="zh-CN" w:bidi="ar-SA"/>
        </w:rPr>
        <w:t>我部门认真落实预算绩效管理工作，对绩效管理过程中发现的问题及时进行整改，逐步完善和改进本部门预算绩效管理工作。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w:t>
      </w:r>
      <w:r>
        <w:rPr>
          <w:rFonts w:hint="eastAsia" w:ascii="楷体_GB2312" w:hAnsi="楷体_GB2312" w:eastAsia="楷体_GB2312" w:cs="楷体_GB2312"/>
          <w:color w:val="000000"/>
          <w:kern w:val="0"/>
          <w:sz w:val="32"/>
          <w:szCs w:val="32"/>
          <w:shd w:val="clear" w:color="auto" w:fill="FFFFFF"/>
          <w:lang w:val="en-US" w:eastAsia="zh-CN"/>
        </w:rPr>
        <w:t>三</w:t>
      </w:r>
      <w:r>
        <w:rPr>
          <w:rFonts w:hint="eastAsia" w:ascii="楷体_GB2312" w:hAnsi="楷体_GB2312" w:eastAsia="楷体_GB2312" w:cs="楷体_GB2312"/>
          <w:color w:val="000000"/>
          <w:kern w:val="0"/>
          <w:sz w:val="32"/>
          <w:szCs w:val="32"/>
          <w:shd w:val="clear" w:color="auto" w:fill="FFFFFF"/>
          <w:lang w:val="zh-CN"/>
        </w:rPr>
        <w:t>）自评质量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我部门认真组织开展绩效自评工作，做到自评真实，部门整体支出自评准确率进一步提高。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（一）评价结论。</w:t>
      </w:r>
      <w:r>
        <w:rPr>
          <w:rFonts w:hint="eastAsia" w:ascii="仿宋_GB2312" w:hAnsi="仿宋_GB2312" w:eastAsia="仿宋_GB2312" w:cs="仿宋_GB2312"/>
          <w:color w:val="000000"/>
          <w:kern w:val="0"/>
          <w:sz w:val="32"/>
          <w:szCs w:val="32"/>
          <w:shd w:val="clear" w:color="auto" w:fill="FFFFFF"/>
          <w:lang w:val="en-US" w:eastAsia="zh-CN"/>
        </w:rPr>
        <w:t>我部门对照《2022年市级部门整体支出绩效评价指标体系》逐一核实并严格自评打分，部门整体支出绩效自评得分为96.3分。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楷体_GB2312" w:hAnsi="楷体_GB2312" w:eastAsia="楷体_GB2312" w:cs="楷体_GB2312"/>
          <w:color w:val="000000"/>
          <w:kern w:val="0"/>
          <w:sz w:val="32"/>
          <w:szCs w:val="32"/>
          <w:shd w:val="clear" w:color="auto" w:fill="FFFFFF"/>
          <w:lang w:val="zh-CN" w:eastAsia="zh-CN"/>
        </w:rPr>
        <w:t>（二）存在问题。</w:t>
      </w:r>
      <w:r>
        <w:rPr>
          <w:rFonts w:hint="eastAsia" w:ascii="仿宋_GB2312" w:hAnsi="仿宋_GB2312" w:eastAsia="仿宋_GB2312" w:cs="仿宋_GB2312"/>
          <w:color w:val="000000"/>
          <w:kern w:val="0"/>
          <w:sz w:val="32"/>
          <w:szCs w:val="32"/>
          <w:shd w:val="clear" w:color="auto" w:fill="FFFFFF"/>
          <w:lang w:val="en-US" w:eastAsia="zh-CN"/>
        </w:rPr>
        <w:t>一是预算编制测算还不够精准。预算编制及项目绩效目标制定主要以上年执行情况为基础进行预估，不能准确预测当年执行中的变化，导致年终实际执行结果与年初项目预算绩效目标存在偏差。二是预算执行进度不高。因部分项目按合同约定付款，存在跨年度支付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zh-CN" w:eastAsia="zh-CN"/>
        </w:rPr>
        <w:t>（三）改进</w:t>
      </w:r>
      <w:r>
        <w:rPr>
          <w:rFonts w:hint="eastAsia" w:ascii="楷体_GB2312" w:hAnsi="楷体_GB2312" w:eastAsia="楷体_GB2312" w:cs="楷体_GB2312"/>
          <w:color w:val="000000"/>
          <w:kern w:val="0"/>
          <w:sz w:val="32"/>
          <w:szCs w:val="32"/>
          <w:shd w:val="clear" w:color="auto" w:fill="FFFFFF"/>
          <w:lang w:val="en-US" w:eastAsia="zh-CN"/>
        </w:rPr>
        <w:t>措施</w:t>
      </w:r>
      <w:r>
        <w:rPr>
          <w:rFonts w:hint="eastAsia" w:ascii="楷体_GB2312" w:hAnsi="楷体_GB2312" w:eastAsia="楷体_GB2312" w:cs="楷体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en-US" w:eastAsia="zh-CN"/>
        </w:rPr>
        <w:t>一是强化认识，重视绩效工作。加强组织领导，认真做好绩效自评工作，全面总结自评工作经验，保质保量完成绩效自评工作任务。二是强化部门整体支出绩效管理</w:t>
      </w:r>
      <w:r>
        <w:rPr>
          <w:rFonts w:hint="default" w:ascii="仿宋_GB2312" w:hAnsi="仿宋_GB2312" w:eastAsia="仿宋_GB2312" w:cs="仿宋_GB2312"/>
          <w:color w:val="000000"/>
          <w:kern w:val="0"/>
          <w:sz w:val="32"/>
          <w:szCs w:val="32"/>
          <w:shd w:val="clear" w:color="auto" w:fill="FFFFFF"/>
          <w:lang w:val="en-US" w:eastAsia="zh-CN"/>
        </w:rPr>
        <w:t>工作。</w:t>
      </w:r>
      <w:r>
        <w:rPr>
          <w:rFonts w:hint="eastAsia" w:ascii="仿宋_GB2312" w:hAnsi="仿宋_GB2312" w:eastAsia="仿宋_GB2312" w:cs="仿宋_GB2312"/>
          <w:color w:val="000000"/>
          <w:kern w:val="0"/>
          <w:sz w:val="32"/>
          <w:szCs w:val="32"/>
          <w:shd w:val="clear" w:color="auto" w:fill="FFFFFF"/>
          <w:lang w:val="en-US" w:eastAsia="zh-CN"/>
        </w:rPr>
        <w:t>加强对绩效管理工作的跟踪督查，实现绩效管理规范化、常态化，积极推动预算项目实施，确保项目绩效目标高质量完成，发挥资金的使用效益，加快部门预算支出进度，提高年度预算完成率。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79" w:lineRule="auto"/>
        <w:jc w:val="center"/>
        <w:textAlignment w:val="auto"/>
        <w:rPr>
          <w:rFonts w:hint="eastAsia" w:ascii="方正小标宋简体" w:hAnsi="方正小标宋简体" w:eastAsia="方正小标宋简体" w:cs="方正小标宋简体"/>
          <w:b w:val="0"/>
          <w:color w:val="auto"/>
          <w:sz w:val="44"/>
          <w:szCs w:val="44"/>
          <w:highlight w:val="none"/>
          <w:lang w:val="en-US" w:eastAsia="zh-CN"/>
        </w:rPr>
      </w:pPr>
    </w:p>
    <w:p>
      <w:pPr>
        <w:pStyle w:val="32"/>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lang w:val="en-US" w:eastAsia="zh-CN"/>
        </w:rPr>
        <w:t>广元市财政局关于2021年</w:t>
      </w:r>
      <w:r>
        <w:rPr>
          <w:rFonts w:hint="eastAsia" w:ascii="方正小标宋简体" w:eastAsia="方正小标宋简体"/>
          <w:sz w:val="44"/>
          <w:szCs w:val="44"/>
        </w:rPr>
        <w:t>财政管理电子平台建设维护费</w:t>
      </w: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本项目根据市委市政府授予市财政局职能职责所设立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项目经局党组会审定同意申报预算资金30万元，《广元市财政局关于批复2021年市级部门预算的通知》（广财预〔2021〕1号）批复该项目预算30万元。</w:t>
      </w:r>
    </w:p>
    <w:p>
      <w:pPr>
        <w:keepNext w:val="0"/>
        <w:keepLines w:val="0"/>
        <w:pageBreakBefore w:val="0"/>
        <w:widowControl w:val="0"/>
        <w:kinsoku/>
        <w:wordWrap/>
        <w:overflowPunct/>
        <w:topLinePunct w:val="0"/>
        <w:bidi w:val="0"/>
        <w:spacing w:line="560" w:lineRule="exact"/>
        <w:ind w:firstLine="640" w:firstLineChars="200"/>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1.项目主要内容。</w:t>
      </w:r>
      <w:r>
        <w:rPr>
          <w:rFonts w:hint="eastAsia" w:ascii="仿宋_GB2312" w:hAnsi="仿宋_GB2312" w:eastAsia="仿宋_GB2312" w:cs="仿宋_GB2312"/>
          <w:sz w:val="32"/>
          <w:szCs w:val="32"/>
          <w:lang w:val="en-US" w:eastAsia="zh-CN"/>
        </w:rPr>
        <w:t>该项目内容为确保</w:t>
      </w:r>
      <w:r>
        <w:rPr>
          <w:rFonts w:hint="eastAsia" w:ascii="仿宋_GB2312" w:hAnsi="仿宋_GB2312" w:eastAsia="仿宋_GB2312" w:cs="仿宋_GB2312"/>
          <w:sz w:val="32"/>
          <w:szCs w:val="32"/>
        </w:rPr>
        <w:t>0A协同办公系统、财政视频会议系统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金财网络</w:t>
      </w:r>
      <w:r>
        <w:rPr>
          <w:rFonts w:hint="eastAsia" w:ascii="仿宋_GB2312" w:hAnsi="仿宋_GB2312" w:eastAsia="仿宋_GB2312" w:cs="仿宋_GB2312"/>
          <w:sz w:val="32"/>
          <w:szCs w:val="32"/>
          <w:lang w:val="en-US" w:eastAsia="zh-CN"/>
        </w:rPr>
        <w:t>等系统和网站正常运行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2.项目绩效目标。保障财政各项系统的顺利运转，确保全市财政资金的顺利拨付和工作开展。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根据单位职能职责设定具体工作内容，</w:t>
      </w:r>
      <w:r>
        <w:rPr>
          <w:rFonts w:hint="eastAsia" w:ascii="仿宋_GB2312" w:hAnsi="仿宋_GB2312" w:eastAsia="仿宋_GB2312" w:cs="仿宋_GB2312"/>
          <w:sz w:val="32"/>
          <w:szCs w:val="32"/>
          <w:lang w:val="zh-CN"/>
        </w:rPr>
        <w:t>申报内容</w:t>
      </w:r>
      <w:r>
        <w:rPr>
          <w:rFonts w:hint="eastAsia" w:ascii="仿宋_GB2312" w:hAnsi="仿宋_GB2312" w:eastAsia="仿宋_GB2312" w:cs="仿宋_GB2312"/>
          <w:sz w:val="32"/>
          <w:szCs w:val="32"/>
          <w:lang w:val="en-US" w:eastAsia="zh-CN"/>
        </w:rPr>
        <w:t>和项目绩效</w:t>
      </w:r>
      <w:r>
        <w:rPr>
          <w:rFonts w:hint="eastAsia" w:ascii="仿宋_GB2312" w:hAnsi="仿宋_GB2312" w:eastAsia="仿宋_GB2312" w:cs="仿宋_GB2312"/>
          <w:sz w:val="32"/>
          <w:szCs w:val="32"/>
          <w:lang w:val="zh-CN"/>
        </w:rPr>
        <w:t>目标</w:t>
      </w:r>
      <w:r>
        <w:rPr>
          <w:rFonts w:hint="eastAsia" w:ascii="仿宋_GB2312" w:hAnsi="仿宋_GB2312" w:eastAsia="仿宋_GB2312" w:cs="仿宋_GB2312"/>
          <w:sz w:val="32"/>
          <w:szCs w:val="32"/>
          <w:lang w:val="en-US" w:eastAsia="zh-CN"/>
        </w:rPr>
        <w:t>与财政管理业务工作</w:t>
      </w:r>
      <w:r>
        <w:rPr>
          <w:rFonts w:hint="eastAsia" w:ascii="仿宋_GB2312" w:hAnsi="仿宋_GB2312" w:eastAsia="仿宋_GB2312" w:cs="仿宋_GB2312"/>
          <w:sz w:val="32"/>
          <w:szCs w:val="32"/>
          <w:lang w:val="zh-CN"/>
        </w:rPr>
        <w:t>相符，</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按照一般公共预算管理要求，市财政局申报项目资金预算，202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rPr>
        <w:t>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全年共支出30万元，支出进度为100%，主要是用于财政各类信息管理系统及门户网站运行维护。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三</w:t>
      </w:r>
      <w:r>
        <w:rPr>
          <w:rFonts w:hint="eastAsia" w:ascii="楷体_GB2312" w:hAnsi="宋体" w:eastAsia="楷体_GB2312"/>
          <w:b w:val="0"/>
          <w:bCs w:val="0"/>
          <w:sz w:val="32"/>
          <w:szCs w:val="32"/>
          <w:lang w:val="zh-CN"/>
        </w:rPr>
        <w:t>）项目财务管理情况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黑体" w:hAnsi="宋体" w:eastAsia="黑体"/>
          <w:b w:val="0"/>
          <w:bCs w:val="0"/>
          <w:sz w:val="32"/>
          <w:szCs w:val="32"/>
          <w:lang w:val="en-US" w:eastAsia="zh-CN"/>
        </w:rPr>
        <w:t>三</w:t>
      </w:r>
      <w:r>
        <w:rPr>
          <w:rFonts w:hint="eastAsia" w:ascii="黑体" w:hAnsi="宋体" w:eastAsia="黑体"/>
          <w:b w:val="0"/>
          <w:bCs w:val="0"/>
          <w:sz w:val="32"/>
          <w:szCs w:val="32"/>
        </w:rPr>
        <w:t>、项目实施及管理情况</w:t>
      </w:r>
    </w:p>
    <w:p>
      <w:pPr>
        <w:keepNext w:val="0"/>
        <w:keepLines w:val="0"/>
        <w:pageBreakBefore w:val="0"/>
        <w:widowControl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b w:val="0"/>
          <w:bCs w:val="0"/>
          <w:sz w:val="32"/>
          <w:szCs w:val="32"/>
          <w:lang w:val="zh-CN"/>
        </w:rPr>
      </w:pPr>
      <w:r>
        <w:rPr>
          <w:rFonts w:hint="eastAsia" w:ascii="黑体" w:hAnsi="宋体" w:eastAsia="黑体"/>
          <w:b w:val="0"/>
          <w:bCs w:val="0"/>
          <w:sz w:val="32"/>
          <w:szCs w:val="32"/>
          <w:lang w:val="en-US" w:eastAsia="zh-CN"/>
        </w:rPr>
        <w:t>四</w:t>
      </w:r>
      <w:r>
        <w:rPr>
          <w:rFonts w:hint="eastAsia" w:ascii="黑体" w:hAnsi="宋体" w:eastAsia="黑体"/>
          <w:b w:val="0"/>
          <w:bCs w:val="0"/>
          <w:sz w:val="32"/>
          <w:szCs w:val="32"/>
        </w:rPr>
        <w:t>、项目绩效情况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通过项目实施，保障财政各项系统的顺利运转，确保</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全市财政资金的顺利拨付和工作开展。</w:t>
      </w:r>
    </w:p>
    <w:p>
      <w:pPr>
        <w:keepNext w:val="0"/>
        <w:keepLines w:val="0"/>
        <w:pageBreakBefore w:val="0"/>
        <w:widowControl w:val="0"/>
        <w:numPr>
          <w:ilvl w:val="0"/>
          <w:numId w:val="3"/>
        </w:numPr>
        <w:kinsoku/>
        <w:wordWrap/>
        <w:overflowPunct/>
        <w:topLinePunct w:val="0"/>
        <w:bidi w:val="0"/>
        <w:spacing w:line="560" w:lineRule="exact"/>
        <w:ind w:firstLine="640" w:firstLineChars="200"/>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1.项目实施对经济和社会的影响。通过该项目顺利实施，保障了各项财政业务正常开展和财政资金及时拨付，为全市经济社会高质量发展提供了坚实保障。</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2.项目服务对象满意度。使用对象满意度达95%以上。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rPr>
        <w:t>专项项目支出绩效评价指标体系，</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自评得分为100分</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（二）存在的问题</w:t>
      </w:r>
      <w:r>
        <w:rPr>
          <w:rFonts w:hint="eastAsia" w:ascii="楷体_GB2312" w:hAnsi="宋体" w:eastAsia="楷体_GB2312"/>
          <w:b w:val="0"/>
          <w:bCs w:val="0"/>
          <w:sz w:val="32"/>
          <w:szCs w:val="32"/>
          <w:lang w:val="en-US" w:eastAsia="zh-CN"/>
        </w:rPr>
        <w:t>和</w:t>
      </w:r>
      <w:r>
        <w:rPr>
          <w:rFonts w:hint="eastAsia" w:ascii="楷体_GB2312" w:hAnsi="宋体" w:eastAsia="楷体_GB2312"/>
          <w:b w:val="0"/>
          <w:bCs w:val="0"/>
          <w:sz w:val="32"/>
          <w:szCs w:val="32"/>
          <w:lang w:val="zh-CN"/>
        </w:rPr>
        <w:t>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tbl>
      <w:tblPr>
        <w:tblStyle w:val="13"/>
        <w:tblpPr w:leftFromText="180" w:rightFromText="180" w:vertAnchor="text" w:horzAnchor="page" w:tblpX="1495" w:tblpY="660"/>
        <w:tblOverlap w:val="never"/>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915"/>
        <w:gridCol w:w="1380"/>
        <w:gridCol w:w="2115"/>
        <w:gridCol w:w="2040"/>
        <w:gridCol w:w="1743"/>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363"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40" w:lineRule="exact"/>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2021年部门预算</w:t>
            </w:r>
            <w:r>
              <w:rPr>
                <w:rFonts w:hint="eastAsia" w:ascii="方正小标宋简体" w:hAnsi="方正小标宋简体" w:eastAsia="方正小标宋简体" w:cs="方正小标宋简体"/>
                <w:sz w:val="44"/>
                <w:szCs w:val="44"/>
              </w:rPr>
              <w:t>财政管理电子平台建设维护费</w:t>
            </w:r>
          </w:p>
          <w:p>
            <w:pPr>
              <w:keepNext w:val="0"/>
              <w:keepLines w:val="0"/>
              <w:pageBreakBefore w:val="0"/>
              <w:widowControl w:val="0"/>
              <w:suppressLineNumbers w:val="0"/>
              <w:kinsoku/>
              <w:wordWrap/>
              <w:overflowPunct/>
              <w:topLinePunct w:val="0"/>
              <w:autoSpaceDE/>
              <w:autoSpaceDN/>
              <w:bidi w:val="0"/>
              <w:adjustRightInd/>
              <w:snapToGrid/>
              <w:spacing w:beforeAutospacing="0" w:line="54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项目绩效目标自评</w:t>
            </w:r>
          </w:p>
          <w:p>
            <w:pPr>
              <w:pStyle w:val="2"/>
              <w:rPr>
                <w:rFonts w:hint="eastAsia"/>
              </w:rPr>
            </w:pP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95"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51" w:hRule="atLeast"/>
        </w:trPr>
        <w:tc>
          <w:tcPr>
            <w:tcW w:w="20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71" w:hRule="atLeast"/>
        </w:trPr>
        <w:tc>
          <w:tcPr>
            <w:tcW w:w="20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20"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保证财政各项系统的顺利运转，确保财政工作顺利开展。</w:t>
            </w:r>
          </w:p>
        </w:tc>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8" w:hRule="atLeast"/>
        </w:trPr>
        <w:tc>
          <w:tcPr>
            <w:tcW w:w="11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1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完成</w:t>
            </w:r>
            <w:r>
              <w:rPr>
                <w:rFonts w:hint="eastAsia" w:asciiTheme="minorEastAsia" w:hAnsiTheme="minorEastAsia" w:eastAsiaTheme="minorEastAsia" w:cstheme="minorEastAsia"/>
                <w:i w:val="0"/>
                <w:color w:val="auto"/>
                <w:sz w:val="21"/>
                <w:szCs w:val="21"/>
                <w:highlight w:val="none"/>
                <w:u w:val="none"/>
              </w:rPr>
              <w:t>OA协同</w:t>
            </w:r>
            <w:r>
              <w:rPr>
                <w:rFonts w:hint="eastAsia" w:asciiTheme="minorEastAsia" w:hAnsiTheme="minorEastAsia" w:eastAsiaTheme="minorEastAsia" w:cstheme="minorEastAsia"/>
                <w:i w:val="0"/>
                <w:color w:val="auto"/>
                <w:sz w:val="21"/>
                <w:szCs w:val="21"/>
                <w:highlight w:val="none"/>
                <w:u w:val="none"/>
                <w:lang w:eastAsia="zh-CN"/>
              </w:rPr>
              <w:t>办公</w:t>
            </w:r>
            <w:bookmarkStart w:id="73" w:name="_GoBack"/>
            <w:bookmarkEnd w:id="73"/>
            <w:r>
              <w:rPr>
                <w:rFonts w:hint="eastAsia" w:asciiTheme="minorEastAsia" w:hAnsiTheme="minorEastAsia" w:eastAsiaTheme="minorEastAsia" w:cstheme="minorEastAsia"/>
                <w:i w:val="0"/>
                <w:color w:val="auto"/>
                <w:sz w:val="21"/>
                <w:szCs w:val="21"/>
                <w:highlight w:val="none"/>
                <w:u w:val="none"/>
              </w:rPr>
              <w:t>系统、财政视频会议系统维护。</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1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信息系统及网站运行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保障顺利运行</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1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信息系统及网站运行</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日常维护及服务费</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30万元</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7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17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keepNext w:val="0"/>
        <w:keepLines w:val="0"/>
        <w:pageBreakBefore w:val="0"/>
        <w:widowControl w:val="0"/>
        <w:kinsoku/>
        <w:wordWrap/>
        <w:overflowPunct/>
        <w:topLinePunct w:val="0"/>
        <w:autoSpaceDE/>
        <w:autoSpaceDN/>
        <w:bidi w:val="0"/>
        <w:adjustRightInd w:val="0"/>
        <w:snapToGrid w:val="0"/>
        <w:spacing w:afterAutospacing="0" w:line="580" w:lineRule="exact"/>
        <w:contextualSpacing/>
        <w:jc w:val="left"/>
        <w:textAlignment w:val="auto"/>
        <w:rPr>
          <w:rFonts w:hint="eastAsia" w:ascii="黑体" w:hAnsi="黑体" w:eastAsia="黑体" w:cs="黑体"/>
          <w:b w:val="0"/>
          <w:bCs w:val="0"/>
          <w:color w:val="auto"/>
          <w:kern w:val="0"/>
          <w:sz w:val="32"/>
          <w:szCs w:val="32"/>
          <w:highlight w:val="none"/>
          <w:shd w:val="clear" w:color="auto" w:fill="FFFFFF"/>
          <w:lang w:val="zh-CN"/>
        </w:rPr>
      </w:pPr>
      <w:r>
        <w:rPr>
          <w:rFonts w:hint="eastAsia" w:ascii="黑体" w:hAnsi="黑体" w:eastAsia="黑体" w:cs="黑体"/>
          <w:b w:val="0"/>
          <w:bCs w:val="0"/>
          <w:color w:val="auto"/>
          <w:kern w:val="0"/>
          <w:sz w:val="32"/>
          <w:szCs w:val="32"/>
          <w:highlight w:val="none"/>
          <w:shd w:val="clear" w:color="auto" w:fill="FFFFFF"/>
          <w:lang w:val="zh-CN"/>
        </w:rPr>
        <w:t>附表</w:t>
      </w:r>
    </w:p>
    <w:p>
      <w:pPr>
        <w:keepNext w:val="0"/>
        <w:keepLines w:val="0"/>
        <w:pageBreakBefore w:val="0"/>
        <w:widowControl w:val="0"/>
        <w:kinsoku/>
        <w:wordWrap/>
        <w:overflowPunct/>
        <w:topLinePunct w:val="0"/>
        <w:bidi w:val="0"/>
        <w:spacing w:line="580" w:lineRule="exact"/>
        <w:rPr>
          <w:rStyle w:val="17"/>
          <w:rFonts w:ascii="黑体" w:hAnsi="黑体" w:eastAsia="黑体"/>
          <w:b w:val="0"/>
          <w:color w:val="auto"/>
          <w:highlight w:val="none"/>
        </w:rPr>
      </w:pPr>
    </w:p>
    <w:p>
      <w:pPr>
        <w:keepNext w:val="0"/>
        <w:keepLines w:val="0"/>
        <w:pageBreakBefore w:val="0"/>
        <w:widowControl w:val="0"/>
        <w:kinsoku/>
        <w:wordWrap/>
        <w:overflowPunct/>
        <w:topLinePunct w:val="0"/>
        <w:bidi w:val="0"/>
        <w:jc w:val="left"/>
        <w:rPr>
          <w:rStyle w:val="17"/>
          <w:rFonts w:ascii="黑体" w:hAnsi="黑体" w:eastAsia="黑体"/>
          <w:b w:val="0"/>
          <w:color w:val="auto"/>
          <w:highlight w:val="none"/>
        </w:rPr>
      </w:pPr>
      <w:r>
        <w:rPr>
          <w:rStyle w:val="17"/>
          <w:rFonts w:ascii="黑体" w:hAnsi="黑体" w:eastAsia="黑体"/>
          <w:b w:val="0"/>
          <w:color w:val="auto"/>
          <w:highlight w:val="none"/>
        </w:rPr>
        <w:br w:type="page"/>
      </w:r>
    </w:p>
    <w:p>
      <w:pPr>
        <w:pStyle w:val="32"/>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en-US" w:eastAsia="zh-CN"/>
        </w:rPr>
      </w:pPr>
      <w:bookmarkStart w:id="59" w:name="_Toc15396618"/>
      <w:r>
        <w:rPr>
          <w:rFonts w:hint="eastAsia" w:ascii="方正小标宋简体" w:hAnsi="宋体" w:eastAsia="方正小标宋简体"/>
          <w:b w:val="0"/>
          <w:bCs w:val="0"/>
          <w:sz w:val="44"/>
          <w:szCs w:val="44"/>
          <w:lang w:val="en-US" w:eastAsia="zh-CN"/>
        </w:rPr>
        <w:t>广元市财政局关于2021年市级预算管理核算</w:t>
      </w:r>
    </w:p>
    <w:p>
      <w:pPr>
        <w:pStyle w:val="32"/>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lang w:val="en-US" w:eastAsia="zh-CN"/>
        </w:rPr>
        <w:t>平台</w:t>
      </w: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pStyle w:val="32"/>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本项目根据市委市政府授予市财政局职能职责所设立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项目经局党组会审定同意申报预算资金27.94万元，《广元市财政局关于批复2021年市级部门预算的通知》（广财预〔2021〕1号）批复该项目预算27.94万元。</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项目绩效目标</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项目主要内容</w:t>
      </w:r>
      <w:r>
        <w:rPr>
          <w:rFonts w:hint="eastAsia" w:ascii="仿宋_GB2312" w:hAnsi="仿宋_GB2312" w:eastAsia="仿宋_GB2312" w:cs="仿宋_GB2312"/>
          <w:sz w:val="32"/>
          <w:szCs w:val="32"/>
          <w:lang w:val="en-US" w:eastAsia="zh-CN"/>
        </w:rPr>
        <w:t>及绩效目标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该项目内容为市级预算单位会计核算管理平台运行维护，实现市级225个预算单位2021年会计核算完成账务处理、报表查询，实现数据实时查询，财政部门实时监控的目标。</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sz w:val="32"/>
          <w:szCs w:val="32"/>
          <w:lang w:val="en-US" w:eastAsia="zh-CN"/>
        </w:rPr>
        <w:t>该项目属于续发项目，每年定期支付运行维护费，项目申报内容与项目实施内容相符，绩效目标合理可行。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sz w:val="32"/>
          <w:szCs w:val="32"/>
        </w:rPr>
      </w:pPr>
      <w:r>
        <w:rPr>
          <w:rFonts w:hint="eastAsia" w:ascii="仿宋_GB2312" w:hAnsi="仿宋_GB2312"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按照一般公共预算管理要求，市财政局申报项目资金预算，202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lang w:val="zh-CN"/>
        </w:rPr>
        <w:t>）资金计划、到位及使用情况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rPr>
        <w:t>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bidi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该项目资金全年共支出</w:t>
      </w:r>
      <w:r>
        <w:rPr>
          <w:rFonts w:hint="eastAsia" w:ascii="仿宋_GB2312" w:hAnsi="仿宋_GB2312" w:eastAsia="仿宋_GB2312" w:cs="仿宋_GB2312"/>
          <w:sz w:val="32"/>
          <w:szCs w:val="32"/>
          <w:lang w:val="en-US" w:eastAsia="zh-CN"/>
        </w:rPr>
        <w:t>27.94</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会计核算平台运行维护。</w:t>
      </w:r>
      <w:r>
        <w:rPr>
          <w:rFonts w:hint="eastAsia" w:ascii="仿宋_GB2312" w:hAnsi="仿宋_GB2312" w:eastAsia="仿宋_GB2312" w:cs="仿宋_GB2312"/>
          <w:sz w:val="32"/>
          <w:szCs w:val="32"/>
        </w:rPr>
        <w:t>在项目执行过程中，严格按照预算批复执行，不随意改变该项目资金支付范围、支付标准，严控预算执行进度和经费支出情况，</w:t>
      </w:r>
      <w:r>
        <w:rPr>
          <w:rFonts w:hint="eastAsia" w:ascii="仿宋_GB2312" w:hAnsi="仿宋_GB2312" w:eastAsia="仿宋_GB2312" w:cs="仿宋_GB2312"/>
          <w:sz w:val="32"/>
          <w:szCs w:val="32"/>
          <w:lang w:val="en-US" w:eastAsia="zh-CN"/>
        </w:rPr>
        <w:t>资金支付与预算相符，</w:t>
      </w:r>
      <w:r>
        <w:rPr>
          <w:rFonts w:hint="eastAsia" w:ascii="仿宋_GB2312" w:hAnsi="仿宋_GB2312" w:eastAsia="仿宋_GB2312" w:cs="仿宋_GB2312"/>
          <w:sz w:val="32"/>
          <w:szCs w:val="32"/>
        </w:rPr>
        <w:t>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三</w:t>
      </w:r>
      <w:r>
        <w:rPr>
          <w:rFonts w:hint="eastAsia" w:ascii="楷体_GB2312" w:hAnsi="宋体" w:eastAsia="楷体_GB2312"/>
          <w:b w:val="0"/>
          <w:bCs w:val="0"/>
          <w:sz w:val="32"/>
          <w:szCs w:val="32"/>
          <w:lang w:val="zh-CN"/>
        </w:rPr>
        <w:t>）项目财务管理情况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该项目不属于政府采购，项目审批及实施、费用报销均严格执行相关管理规定</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通过该系统的运行维护，能够有效监控预警，主动发现问题，快速排查故障，使市级预算单位能够安全高效地使用账务系统，做好决策分析。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b w:val="0"/>
          <w:bCs w:val="0"/>
          <w:sz w:val="32"/>
          <w:szCs w:val="32"/>
          <w:lang w:val="zh-CN"/>
        </w:rPr>
      </w:pPr>
      <w:r>
        <w:rPr>
          <w:rFonts w:hint="eastAsia" w:ascii="黑体" w:hAnsi="宋体" w:eastAsia="黑体"/>
          <w:b w:val="0"/>
          <w:bCs w:val="0"/>
          <w:sz w:val="32"/>
          <w:szCs w:val="32"/>
          <w:lang w:val="en-US" w:eastAsia="zh-CN"/>
        </w:rPr>
        <w:t>四</w:t>
      </w:r>
      <w:r>
        <w:rPr>
          <w:rFonts w:hint="eastAsia" w:ascii="黑体" w:hAnsi="宋体" w:eastAsia="黑体"/>
          <w:b w:val="0"/>
          <w:bCs w:val="0"/>
          <w:sz w:val="32"/>
          <w:szCs w:val="32"/>
        </w:rPr>
        <w:t>、项目绩效情况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通过项目实施，市级225个预算单位顺利完成2021年度账务处理、资产动态管理、部门决算分析上报，进一步提高了市级财政财务管理水平，该项目资金全部实现支付无结余。</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楷体_GB2312" w:hAnsi="宋体" w:eastAsia="楷体_GB2312"/>
          <w:b w:val="0"/>
          <w:bCs w:val="0"/>
          <w:sz w:val="32"/>
          <w:szCs w:val="32"/>
          <w:lang w:val="en-US"/>
        </w:rPr>
      </w:pPr>
      <w:r>
        <w:rPr>
          <w:rFonts w:hint="eastAsia" w:ascii="楷体_GB2312" w:hAnsi="宋体" w:eastAsia="楷体_GB2312"/>
          <w:b w:val="0"/>
          <w:bCs w:val="0"/>
          <w:sz w:val="32"/>
          <w:szCs w:val="32"/>
          <w:lang w:val="zh-CN"/>
        </w:rPr>
        <w:t>（二）项目效益情况</w:t>
      </w:r>
    </w:p>
    <w:p>
      <w:pPr>
        <w:keepNext w:val="0"/>
        <w:keepLines w:val="0"/>
        <w:pageBreakBefore w:val="0"/>
        <w:widowControl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1.通过</w:t>
      </w:r>
      <w:r>
        <w:rPr>
          <w:rFonts w:hint="eastAsia" w:ascii="仿宋_GB2312" w:hAnsi="仿宋_GB2312" w:eastAsia="仿宋_GB2312" w:cs="仿宋_GB2312"/>
          <w:sz w:val="32"/>
          <w:szCs w:val="32"/>
        </w:rPr>
        <w:t>该项目顺利实施，我市</w:t>
      </w:r>
      <w:r>
        <w:rPr>
          <w:rFonts w:hint="eastAsia" w:ascii="仿宋_GB2312" w:hAnsi="仿宋_GB2312" w:eastAsia="仿宋_GB2312" w:cs="仿宋_GB2312"/>
          <w:sz w:val="32"/>
          <w:szCs w:val="32"/>
          <w:lang w:val="en-US" w:eastAsia="zh-CN"/>
        </w:rPr>
        <w:t>会计核算水平进一步提高，为财务工作的顺利开展提高了技术支持。</w:t>
      </w:r>
    </w:p>
    <w:p>
      <w:pPr>
        <w:keepNext w:val="0"/>
        <w:keepLines w:val="0"/>
        <w:pageBreakBefore w:val="0"/>
        <w:widowControl w:val="0"/>
        <w:kinsoku/>
        <w:wordWrap/>
        <w:overflowPunct/>
        <w:topLinePunct w:val="0"/>
        <w:bidi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2.项目服务对象满意度。</w:t>
      </w:r>
      <w:r>
        <w:rPr>
          <w:rFonts w:hint="eastAsia" w:ascii="仿宋_GB2312" w:hAnsi="仿宋_GB2312" w:eastAsia="仿宋_GB2312" w:cs="仿宋_GB2312"/>
          <w:sz w:val="32"/>
          <w:szCs w:val="32"/>
          <w:lang w:val="en-US" w:eastAsia="zh-CN"/>
        </w:rPr>
        <w:t>系统使用人员满意度100%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rPr>
        <w:t>专项项目支出绩效评价指标体系，</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自评得分为100分</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lang w:val="zh-CN"/>
        </w:rPr>
        <w:t>）存在的问题</w:t>
      </w:r>
    </w:p>
    <w:p>
      <w:pPr>
        <w:keepNext w:val="0"/>
        <w:keepLines w:val="0"/>
        <w:pageBreakBefore w:val="0"/>
        <w:widowControl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对核算平台使用功能进一步优化，满足差异化、个性化需求。</w:t>
      </w: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600" w:lineRule="exact"/>
        <w:jc w:val="center"/>
        <w:outlineLvl w:val="0"/>
        <w:rPr>
          <w:rFonts w:hint="eastAsia" w:ascii="黑体" w:hAnsi="黑体" w:eastAsia="黑体"/>
          <w:color w:val="auto"/>
          <w:sz w:val="44"/>
          <w:szCs w:val="44"/>
          <w:highlight w:val="none"/>
        </w:rPr>
      </w:pPr>
    </w:p>
    <w:p>
      <w:pPr>
        <w:pStyle w:val="2"/>
        <w:keepNext w:val="0"/>
        <w:keepLines w:val="0"/>
        <w:pageBreakBefore w:val="0"/>
        <w:widowControl w:val="0"/>
        <w:kinsoku/>
        <w:wordWrap/>
        <w:overflowPunct/>
        <w:topLinePunct w:val="0"/>
        <w:bidi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9"/>
        <w:gridCol w:w="900"/>
        <w:gridCol w:w="1680"/>
        <w:gridCol w:w="1785"/>
        <w:gridCol w:w="2010"/>
        <w:gridCol w:w="2043"/>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sz w:val="44"/>
                <w:szCs w:val="44"/>
                <w:lang w:val="en-US" w:eastAsia="zh-CN"/>
              </w:rPr>
              <w:t>市级预算管理核算平台</w:t>
            </w:r>
            <w:r>
              <w:rPr>
                <w:rFonts w:hint="eastAsia" w:ascii="方正小标宋简体" w:hAnsi="方正小标宋简体" w:eastAsia="方正小标宋简体" w:cs="方正小标宋简体"/>
                <w:b w:val="0"/>
                <w:bCs/>
                <w:sz w:val="44"/>
                <w:szCs w:val="44"/>
                <w:lang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0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0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0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36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完成市级预算单位会计核算管理平台优化维护，实现“核算标准化、软件规范化、信息共享化、分析科学化”。</w:t>
            </w:r>
          </w:p>
        </w:tc>
        <w:tc>
          <w:tcPr>
            <w:tcW w:w="4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08" w:hRule="atLeast"/>
        </w:trPr>
        <w:tc>
          <w:tcPr>
            <w:tcW w:w="11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1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市级预算单位会计核算平台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完成</w:t>
            </w:r>
            <w:r>
              <w:rPr>
                <w:rFonts w:hint="eastAsia" w:asciiTheme="minorEastAsia" w:hAnsiTheme="minorEastAsia" w:eastAsiaTheme="minorEastAsia" w:cstheme="minorEastAsia"/>
                <w:i w:val="0"/>
                <w:color w:val="auto"/>
                <w:sz w:val="21"/>
                <w:szCs w:val="21"/>
                <w:highlight w:val="none"/>
                <w:u w:val="none"/>
              </w:rPr>
              <w:t>市级预算单位会计核算平台维护。</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完成会计核算平台运行维护。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1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平台运行</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保障平台正常运行，实现市级预算单位账务核算网络化。</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1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平台运行维护</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运行维护费用</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27.94</w:t>
            </w:r>
            <w:r>
              <w:rPr>
                <w:rFonts w:hint="eastAsia" w:asciiTheme="minorEastAsia" w:hAnsiTheme="minorEastAsia" w:eastAsiaTheme="minorEastAsia" w:cstheme="minorEastAsia"/>
                <w:i w:val="0"/>
                <w:color w:val="auto"/>
                <w:sz w:val="21"/>
                <w:szCs w:val="21"/>
                <w:highlight w:val="none"/>
                <w:u w:val="none"/>
              </w:rPr>
              <w:t>万元</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27.94万元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1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2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32"/>
        <w:keepNext w:val="0"/>
        <w:keepLines w:val="0"/>
        <w:pageBreakBefore w:val="0"/>
        <w:widowControl w:val="0"/>
        <w:kinsoku/>
        <w:wordWrap/>
        <w:overflowPunct/>
        <w:topLinePunct w:val="0"/>
        <w:bidi w:val="0"/>
        <w:spacing w:line="576" w:lineRule="exact"/>
        <w:jc w:val="center"/>
        <w:rPr>
          <w:rFonts w:ascii="楷体_GB2312" w:hAnsi="楷体_GB2312" w:eastAsia="楷体_GB2312" w:cs="楷体_GB2312"/>
          <w:color w:val="auto"/>
          <w:kern w:val="2"/>
          <w:sz w:val="32"/>
          <w:szCs w:val="32"/>
        </w:rPr>
      </w:pPr>
      <w:r>
        <w:rPr>
          <w:rFonts w:hint="eastAsia" w:ascii="方正小标宋简体" w:hAnsi="方正小标宋简体" w:eastAsia="方正小标宋简体" w:cs="方正小标宋简体"/>
          <w:color w:val="auto"/>
          <w:kern w:val="2"/>
          <w:sz w:val="44"/>
          <w:szCs w:val="44"/>
          <w:lang w:val="en-US"/>
        </w:rPr>
        <w:t>广</w:t>
      </w:r>
      <w:r>
        <w:rPr>
          <w:rFonts w:ascii="方正小标宋简体" w:hAnsi="方正小标宋简体" w:eastAsia="方正小标宋简体" w:cs="方正小标宋简体"/>
          <w:color w:val="auto"/>
          <w:kern w:val="2"/>
          <w:sz w:val="44"/>
          <w:szCs w:val="44"/>
          <w:lang w:val="en-US"/>
        </w:rPr>
        <w:t>元市财政局</w:t>
      </w:r>
      <w:r>
        <w:rPr>
          <w:rFonts w:hint="eastAsia" w:ascii="方正小标宋简体" w:hAnsi="方正小标宋简体" w:eastAsia="方正小标宋简体" w:cs="方正小标宋简体"/>
          <w:color w:val="auto"/>
          <w:kern w:val="2"/>
          <w:sz w:val="44"/>
          <w:szCs w:val="44"/>
          <w:lang w:val="en-US"/>
        </w:rPr>
        <w:t>关于202</w:t>
      </w:r>
      <w:r>
        <w:rPr>
          <w:rFonts w:ascii="方正小标宋简体" w:hAnsi="方正小标宋简体" w:eastAsia="方正小标宋简体" w:cs="方正小标宋简体"/>
          <w:color w:val="auto"/>
          <w:kern w:val="2"/>
          <w:sz w:val="44"/>
          <w:szCs w:val="44"/>
          <w:lang w:val="en-US"/>
        </w:rPr>
        <w:t>1</w:t>
      </w:r>
      <w:r>
        <w:rPr>
          <w:rFonts w:hint="eastAsia" w:ascii="方正小标宋简体" w:hAnsi="方正小标宋简体" w:eastAsia="方正小标宋简体" w:cs="方正小标宋简体"/>
          <w:color w:val="auto"/>
          <w:kern w:val="2"/>
          <w:sz w:val="44"/>
          <w:szCs w:val="44"/>
          <w:lang w:val="en-US"/>
        </w:rPr>
        <w:t>年信息</w:t>
      </w:r>
      <w:r>
        <w:rPr>
          <w:rFonts w:ascii="方正小标宋简体" w:hAnsi="方正小标宋简体" w:eastAsia="方正小标宋简体" w:cs="方正小标宋简体"/>
          <w:color w:val="auto"/>
          <w:kern w:val="2"/>
          <w:sz w:val="44"/>
          <w:szCs w:val="44"/>
          <w:lang w:val="en-US"/>
        </w:rPr>
        <w:t>系统等保测评</w:t>
      </w:r>
      <w:r>
        <w:rPr>
          <w:rFonts w:hint="eastAsia" w:ascii="方正小标宋简体" w:hAnsi="方正小标宋简体" w:eastAsia="方正小标宋简体" w:cs="方正小标宋简体"/>
          <w:color w:val="auto"/>
          <w:kern w:val="2"/>
          <w:sz w:val="44"/>
          <w:szCs w:val="44"/>
        </w:rPr>
        <w:t>项目绩效</w:t>
      </w:r>
      <w:r>
        <w:rPr>
          <w:rFonts w:hint="eastAsia" w:ascii="方正小标宋简体" w:hAnsi="方正小标宋简体" w:eastAsia="方正小标宋简体" w:cs="方正小标宋简体"/>
          <w:color w:val="auto"/>
          <w:kern w:val="2"/>
          <w:sz w:val="44"/>
          <w:szCs w:val="44"/>
          <w:lang w:val="en-US" w:eastAsia="zh-CN"/>
        </w:rPr>
        <w:t>的</w:t>
      </w:r>
      <w:r>
        <w:rPr>
          <w:rFonts w:hint="eastAsia" w:ascii="方正小标宋简体" w:hAnsi="方正小标宋简体" w:eastAsia="方正小标宋简体" w:cs="方正小标宋简体"/>
          <w:color w:val="auto"/>
          <w:kern w:val="2"/>
          <w:sz w:val="44"/>
          <w:szCs w:val="44"/>
        </w:rPr>
        <w:t>自评报告</w:t>
      </w:r>
    </w:p>
    <w:p>
      <w:pPr>
        <w:keepNext w:val="0"/>
        <w:keepLines w:val="0"/>
        <w:pageBreakBefore w:val="0"/>
        <w:widowControl w:val="0"/>
        <w:kinsoku/>
        <w:wordWrap/>
        <w:overflowPunct/>
        <w:topLinePunct w:val="0"/>
        <w:bidi w:val="0"/>
        <w:adjustRightInd w:val="0"/>
        <w:snapToGrid w:val="0"/>
        <w:spacing w:line="576" w:lineRule="exact"/>
        <w:ind w:firstLine="720"/>
        <w:rPr>
          <w:rFonts w:ascii="黑体" w:hAnsi="宋体" w:eastAsia="黑体"/>
        </w:rPr>
      </w:pP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本项目根据市委市政府授予市财政局职能职责所设立，项目经局党组会审定同意申报项目预算。</w:t>
      </w:r>
      <w:r>
        <w:rPr>
          <w:rFonts w:hint="eastAsia" w:ascii="仿宋_GB2312" w:hAnsi="仿宋_GB2312" w:eastAsia="仿宋_GB2312" w:cs="仿宋_GB2312"/>
          <w:sz w:val="32"/>
          <w:szCs w:val="32"/>
          <w:lang w:val="en-US" w:eastAsia="zh-CN"/>
        </w:rPr>
        <w:t>《广元市财政局关于批复2021年市级部门预算的通知》（广财预〔2021〕1号）批复该项目预算32.8万元。</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1．项目主要内容。本次测评主要是根据GB 17859-1999《计算机信息系统安全保护等级划分准则》信息安全的相关标准，对我局的部门预算管理系统（三级）、广元市市级预算单位会计核算与管理平台（二级）、广元市网上竞价采购系统（二级）、广元市财政局网站（二级）、财政人员供养管理信息系统（二级）和预算执行系统（二级）等6个业务系统，在技术和管理两个方面的10个大项内容进行逐一地检查和测试，其内容涉及信息系统的物理安全、网络安全、主机安全、应用安全、数据安全和管理安全等，核查6个信息系统已有的信息安全防护措施是否达到国家关于信息安全等级保护相应等级的防护要求，找出系统在信息安全方面存在的脆弱点，并提出安全整改建议。</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2．项目绩效目标。通过测评来发现问题、解决问题，从而帮助系统的使用者规避信息安全风险。</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3.项目资金申报相符性。该项目根据单位职能职责设定具体工作内容，申报内容和项目绩效目标与财政管理业务工作相符，项目合理可行。</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按照一般公共预算管理要求，市财政局申报项目资金预算，202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lang w:val="zh-CN"/>
        </w:rPr>
        <w:t>文件下达我单位项目资金</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lang w:val="zh-CN"/>
        </w:rPr>
        <w:t>为</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lang w:val="zh-CN"/>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万元，资金拨付率为100%。</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2．资金使用。该项目资金全年共支出</w:t>
      </w:r>
      <w:r>
        <w:rPr>
          <w:rFonts w:hint="eastAsia" w:ascii="仿宋_GB2312" w:hAnsi="仿宋_GB2312" w:eastAsia="仿宋_GB2312" w:cs="仿宋_GB2312"/>
          <w:sz w:val="32"/>
          <w:szCs w:val="32"/>
          <w:lang w:val="en-US" w:eastAsia="zh-CN"/>
        </w:rPr>
        <w:t>32.8</w:t>
      </w:r>
      <w:r>
        <w:rPr>
          <w:rFonts w:hint="eastAsia" w:ascii="仿宋_GB2312" w:hAnsi="仿宋_GB2312" w:eastAsia="仿宋_GB2312" w:cs="仿宋_GB2312"/>
          <w:sz w:val="32"/>
          <w:szCs w:val="32"/>
          <w:lang w:val="zh-CN"/>
        </w:rPr>
        <w:t>万元，支出进度为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%，主要是通过测评</w:t>
      </w:r>
      <w:r>
        <w:rPr>
          <w:rFonts w:hint="eastAsia" w:ascii="仿宋_GB2312" w:hAnsi="仿宋_GB2312" w:eastAsia="仿宋_GB2312" w:cs="仿宋_GB2312"/>
          <w:sz w:val="32"/>
          <w:szCs w:val="32"/>
          <w:lang w:val="en-US" w:eastAsia="zh-CN"/>
        </w:rPr>
        <w:t>6个财政管理业务系统</w:t>
      </w:r>
      <w:r>
        <w:rPr>
          <w:rFonts w:hint="eastAsia" w:ascii="仿宋_GB2312" w:hAnsi="仿宋_GB2312" w:eastAsia="仿宋_GB2312" w:cs="仿宋_GB2312"/>
          <w:sz w:val="32"/>
          <w:szCs w:val="32"/>
          <w:lang w:val="zh-CN"/>
        </w:rPr>
        <w:t>来发现问题、解决问题，从而帮助使用者规避信息安全风险。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总体评价各项目实施单位财务管理制度是否健全，是否严格执行财务管理制度，账务处理是否及时，会计核算是否规范等。</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属于政府采购项目，相关科室严格按照政府采购流程组织实施，在开展财政信息系统等保测评工作前履行审批工作，报销环节严格按照我单位财务管理规定报销费用。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bidi w:val="0"/>
        <w:adjustRightInd w:val="0"/>
        <w:snapToGrid w:val="0"/>
        <w:spacing w:line="576"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项目实施，完成部门预算管理系统（三级）、广元市市级预算单位会计核算与管理平台（二级）、广元市网上竞价采购系统（二级）、广元市财政局网站（二级）、财政人员供养管理信息系统（二级）和预算执行系统（二级）等6个信息系统的等级保护测评服务，并提出了整改建议，提供渗透测试服务和每个系统每年两次的漏洞扫描服务及《网络安全系统漏洞扫描报告》《网络安全等级整改建议》《网络安全等级测评报告》和《渗透测试报告》。</w:t>
      </w:r>
    </w:p>
    <w:p>
      <w:pPr>
        <w:keepNext w:val="0"/>
        <w:keepLines w:val="0"/>
        <w:pageBreakBefore w:val="0"/>
        <w:widowControl w:val="0"/>
        <w:numPr>
          <w:ilvl w:val="0"/>
          <w:numId w:val="5"/>
        </w:numPr>
        <w:kinsoku/>
        <w:wordWrap/>
        <w:overflowPunct/>
        <w:topLinePunct w:val="0"/>
        <w:bidi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项目效益情况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实施对经济和社会的影响。通过该项目顺利实施，确保了部门预算管理系统、广元市市级预算单位会计核算与管理平台、广元市网上竞价采购系统、广元市财政局网站、财政人员供养管理信息系统和预算执行系统等6个财政业务信息系统的安全，保障了全市财政基础数据的安全，推动财政高质量服务</w:t>
      </w:r>
      <w:r>
        <w:rPr>
          <w:rFonts w:hint="eastAsia" w:ascii="仿宋_GB2312" w:hAnsi="仿宋_GB2312" w:eastAsia="仿宋_GB2312" w:cs="仿宋_GB2312"/>
          <w:sz w:val="32"/>
          <w:szCs w:val="32"/>
          <w:lang w:val="en-US" w:eastAsia="zh-CN"/>
        </w:rPr>
        <w:t>再上</w:t>
      </w:r>
      <w:r>
        <w:rPr>
          <w:rFonts w:hint="eastAsia" w:ascii="仿宋_GB2312" w:hAnsi="仿宋_GB2312" w:eastAsia="仿宋_GB2312" w:cs="仿宋_GB2312"/>
          <w:sz w:val="32"/>
          <w:szCs w:val="32"/>
          <w:lang w:val="zh-CN"/>
        </w:rPr>
        <w:t>新台阶。</w:t>
      </w:r>
    </w:p>
    <w:p>
      <w:pPr>
        <w:keepNext w:val="0"/>
        <w:keepLines w:val="0"/>
        <w:pageBreakBefore w:val="0"/>
        <w:widowControl w:val="0"/>
        <w:kinsoku/>
        <w:wordWrap/>
        <w:overflowPunct/>
        <w:topLinePunct w:val="0"/>
        <w:bidi w:val="0"/>
        <w:spacing w:line="560" w:lineRule="exact"/>
        <w:ind w:firstLine="640" w:firstLineChars="200"/>
        <w:rPr>
          <w:rFonts w:ascii="楷体_GB2312" w:hAnsi="宋体" w:eastAsia="楷体_GB2312"/>
          <w:sz w:val="32"/>
          <w:szCs w:val="32"/>
          <w:lang w:val="zh-CN"/>
        </w:rPr>
      </w:pPr>
      <w:r>
        <w:rPr>
          <w:rFonts w:hint="eastAsia" w:ascii="仿宋_GB2312" w:hAnsi="仿宋_GB2312" w:eastAsia="仿宋_GB2312" w:cs="仿宋_GB2312"/>
          <w:sz w:val="32"/>
          <w:szCs w:val="32"/>
          <w:lang w:val="zh-CN"/>
        </w:rPr>
        <w:t>2.项目服务对象满意度。预算单位满意度达96%。</w:t>
      </w:r>
    </w:p>
    <w:p>
      <w:pPr>
        <w:keepNext w:val="0"/>
        <w:keepLines w:val="0"/>
        <w:pageBreakBefore w:val="0"/>
        <w:widowControl w:val="0"/>
        <w:kinsoku/>
        <w:wordWrap/>
        <w:overflowPunct/>
        <w:topLinePunct w:val="0"/>
        <w:bidi w:val="0"/>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五、问题及建议</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结合项目自身特点、评价重点及管理办法等要求，根据专项项目支出绩效评价指标体系，该项目自评得分为100分。</w:t>
      </w:r>
    </w:p>
    <w:p>
      <w:pPr>
        <w:keepNext w:val="0"/>
        <w:keepLines w:val="0"/>
        <w:pageBreakBefore w:val="0"/>
        <w:widowControl w:val="0"/>
        <w:kinsoku/>
        <w:wordWrap/>
        <w:overflowPunct/>
        <w:topLinePunct w:val="0"/>
        <w:bidi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w:t>
      </w:r>
      <w:r>
        <w:rPr>
          <w:rFonts w:hint="eastAsia" w:ascii="楷体_GB2312" w:hAnsi="宋体" w:eastAsia="楷体_GB2312"/>
          <w:sz w:val="32"/>
          <w:szCs w:val="32"/>
        </w:rPr>
        <w:t>二</w:t>
      </w:r>
      <w:r>
        <w:rPr>
          <w:rFonts w:hint="eastAsia" w:ascii="楷体_GB2312" w:hAnsi="宋体" w:eastAsia="楷体_GB2312"/>
          <w:sz w:val="32"/>
          <w:szCs w:val="32"/>
          <w:lang w:val="zh-CN"/>
        </w:rPr>
        <w:t>）存在的问题</w:t>
      </w:r>
      <w:r>
        <w:rPr>
          <w:rFonts w:hint="eastAsia" w:ascii="楷体_GB2312" w:hAnsi="宋体" w:eastAsia="楷体_GB2312"/>
          <w:sz w:val="32"/>
          <w:szCs w:val="32"/>
          <w:lang w:val="en-US" w:eastAsia="zh-CN"/>
        </w:rPr>
        <w:t>及</w:t>
      </w:r>
      <w:r>
        <w:rPr>
          <w:rFonts w:hint="eastAsia" w:ascii="楷体_GB2312" w:hAnsi="宋体" w:eastAsia="楷体_GB2312"/>
          <w:sz w:val="32"/>
          <w:szCs w:val="32"/>
          <w:lang w:val="zh-CN"/>
        </w:rPr>
        <w:t>相关建议</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2"/>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9"/>
        <w:gridCol w:w="1039"/>
        <w:gridCol w:w="1442"/>
        <w:gridCol w:w="1489"/>
        <w:gridCol w:w="1925"/>
        <w:gridCol w:w="1953"/>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方正小标宋简体" w:hAnsi="方正小标宋简体" w:eastAsia="方正小标宋简体" w:cs="方正小标宋简体"/>
                <w:b w:val="0"/>
                <w:bCs/>
                <w:i w:val="0"/>
                <w:color w:val="auto"/>
                <w:sz w:val="44"/>
                <w:szCs w:val="44"/>
                <w:highlight w:val="none"/>
                <w:u w:val="none"/>
                <w:lang w:val="en-US"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color w:val="auto"/>
                <w:kern w:val="2"/>
                <w:sz w:val="44"/>
                <w:szCs w:val="44"/>
                <w:lang w:val="en-US"/>
              </w:rPr>
              <w:t>信息系统等保测评</w:t>
            </w:r>
            <w:r>
              <w:rPr>
                <w:rFonts w:hint="eastAsia" w:ascii="方正小标宋简体" w:hAnsi="方正小标宋简体" w:eastAsia="方正小标宋简体" w:cs="方正小标宋简体"/>
                <w:b w:val="0"/>
                <w:bCs/>
                <w:i w:val="0"/>
                <w:color w:val="auto"/>
                <w:sz w:val="44"/>
                <w:szCs w:val="44"/>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对部门预算、供养系统、会计核算平台、预算执行系统、采购竞价系统和门户网站等6个系统进行等保测评，保证财政各项系统的顺利运转。</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8" w:hRule="atLeast"/>
        </w:trPr>
        <w:tc>
          <w:tcPr>
            <w:tcW w:w="1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1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部门预算、供养系统、会计核算平台、预算执行系统、采购竞价系统和门户网站</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完成6个系统的等保测评。</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2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保障系统安全高效运行。</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信息系统及网站运行</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等保测评费用</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32.8</w:t>
            </w:r>
            <w:r>
              <w:rPr>
                <w:rFonts w:hint="eastAsia" w:asciiTheme="minorEastAsia" w:hAnsiTheme="minorEastAsia" w:eastAsiaTheme="minorEastAsia" w:cstheme="minorEastAsia"/>
                <w:i w:val="0"/>
                <w:color w:val="auto"/>
                <w:sz w:val="21"/>
                <w:szCs w:val="21"/>
                <w:highlight w:val="none"/>
                <w:u w:val="none"/>
              </w:rPr>
              <w:t>万元</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32.8万元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  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7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32"/>
        <w:keepNext w:val="0"/>
        <w:keepLines w:val="0"/>
        <w:pageBreakBefore w:val="0"/>
        <w:widowControl w:val="0"/>
        <w:kinsoku/>
        <w:wordWrap/>
        <w:overflowPunct/>
        <w:topLinePunct w:val="0"/>
        <w:bidi w:val="0"/>
        <w:spacing w:line="576" w:lineRule="exact"/>
        <w:jc w:val="center"/>
        <w:rPr>
          <w:rFonts w:ascii="楷体_GB2312" w:hAnsi="楷体_GB2312" w:eastAsia="楷体_GB2312" w:cs="楷体_GB2312"/>
          <w:color w:val="auto"/>
          <w:kern w:val="2"/>
          <w:sz w:val="44"/>
          <w:szCs w:val="44"/>
        </w:rPr>
      </w:pPr>
      <w:r>
        <w:rPr>
          <w:rFonts w:hint="eastAsia" w:ascii="方正小标宋简体" w:hAnsi="方正小标宋简体" w:eastAsia="方正小标宋简体" w:cs="方正小标宋简体"/>
          <w:color w:val="auto"/>
          <w:kern w:val="2"/>
          <w:sz w:val="44"/>
          <w:szCs w:val="44"/>
          <w:lang w:val="en-US"/>
        </w:rPr>
        <w:t>广</w:t>
      </w:r>
      <w:r>
        <w:rPr>
          <w:rFonts w:ascii="方正小标宋简体" w:hAnsi="方正小标宋简体" w:eastAsia="方正小标宋简体" w:cs="方正小标宋简体"/>
          <w:color w:val="auto"/>
          <w:kern w:val="2"/>
          <w:sz w:val="44"/>
          <w:szCs w:val="44"/>
          <w:lang w:val="en-US"/>
        </w:rPr>
        <w:t>元市财政局</w:t>
      </w:r>
      <w:r>
        <w:rPr>
          <w:rFonts w:hint="eastAsia" w:ascii="方正小标宋简体" w:hAnsi="方正小标宋简体" w:eastAsia="方正小标宋简体" w:cs="方正小标宋简体"/>
          <w:color w:val="auto"/>
          <w:kern w:val="2"/>
          <w:sz w:val="44"/>
          <w:szCs w:val="44"/>
          <w:lang w:val="en-US"/>
        </w:rPr>
        <w:t>关于202</w:t>
      </w:r>
      <w:r>
        <w:rPr>
          <w:rFonts w:ascii="方正小标宋简体" w:hAnsi="方正小标宋简体" w:eastAsia="方正小标宋简体" w:cs="方正小标宋简体"/>
          <w:color w:val="auto"/>
          <w:kern w:val="2"/>
          <w:sz w:val="44"/>
          <w:szCs w:val="44"/>
          <w:lang w:val="en-US"/>
        </w:rPr>
        <w:t>1</w:t>
      </w:r>
      <w:r>
        <w:rPr>
          <w:rFonts w:hint="eastAsia" w:ascii="方正小标宋简体" w:hAnsi="方正小标宋简体" w:eastAsia="方正小标宋简体" w:cs="方正小标宋简体"/>
          <w:color w:val="auto"/>
          <w:kern w:val="2"/>
          <w:sz w:val="44"/>
          <w:szCs w:val="44"/>
          <w:lang w:val="en-US"/>
        </w:rPr>
        <w:t>年网络</w:t>
      </w:r>
      <w:r>
        <w:rPr>
          <w:rFonts w:ascii="方正小标宋简体" w:hAnsi="方正小标宋简体" w:eastAsia="方正小标宋简体" w:cs="方正小标宋简体"/>
          <w:color w:val="auto"/>
          <w:kern w:val="2"/>
          <w:sz w:val="44"/>
          <w:szCs w:val="44"/>
          <w:lang w:val="en-US"/>
        </w:rPr>
        <w:t>安全和信息化</w:t>
      </w:r>
      <w:r>
        <w:rPr>
          <w:rFonts w:hint="eastAsia" w:ascii="方正小标宋简体" w:hAnsi="方正小标宋简体" w:eastAsia="方正小标宋简体" w:cs="方正小标宋简体"/>
          <w:color w:val="auto"/>
          <w:kern w:val="2"/>
          <w:sz w:val="44"/>
          <w:szCs w:val="44"/>
          <w:lang w:val="en-US"/>
        </w:rPr>
        <w:t>建设</w:t>
      </w:r>
      <w:r>
        <w:rPr>
          <w:rFonts w:hint="eastAsia" w:ascii="方正小标宋简体" w:hAnsi="方正小标宋简体" w:eastAsia="方正小标宋简体" w:cs="方正小标宋简体"/>
          <w:color w:val="auto"/>
          <w:kern w:val="2"/>
          <w:sz w:val="44"/>
          <w:szCs w:val="44"/>
        </w:rPr>
        <w:t>项目绩效</w:t>
      </w:r>
      <w:r>
        <w:rPr>
          <w:rFonts w:hint="eastAsia" w:ascii="方正小标宋简体" w:hAnsi="方正小标宋简体" w:eastAsia="方正小标宋简体" w:cs="方正小标宋简体"/>
          <w:color w:val="auto"/>
          <w:kern w:val="2"/>
          <w:sz w:val="44"/>
          <w:szCs w:val="44"/>
          <w:lang w:val="en-US" w:eastAsia="zh-CN"/>
        </w:rPr>
        <w:t>的</w:t>
      </w:r>
      <w:r>
        <w:rPr>
          <w:rFonts w:hint="eastAsia" w:ascii="方正小标宋简体" w:hAnsi="方正小标宋简体" w:eastAsia="方正小标宋简体" w:cs="方正小标宋简体"/>
          <w:color w:val="auto"/>
          <w:kern w:val="2"/>
          <w:sz w:val="44"/>
          <w:szCs w:val="44"/>
        </w:rPr>
        <w:t>自评报告</w:t>
      </w:r>
    </w:p>
    <w:p>
      <w:pPr>
        <w:keepNext w:val="0"/>
        <w:keepLines w:val="0"/>
        <w:pageBreakBefore w:val="0"/>
        <w:widowControl w:val="0"/>
        <w:kinsoku/>
        <w:wordWrap/>
        <w:overflowPunct/>
        <w:topLinePunct w:val="0"/>
        <w:bidi w:val="0"/>
        <w:adjustRightInd w:val="0"/>
        <w:snapToGrid w:val="0"/>
        <w:spacing w:line="576" w:lineRule="exact"/>
        <w:ind w:firstLine="720"/>
        <w:rPr>
          <w:rFonts w:ascii="黑体" w:hAnsi="宋体" w:eastAsia="黑体"/>
          <w:sz w:val="32"/>
          <w:szCs w:val="32"/>
        </w:rPr>
      </w:pP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本项目根据市委市政府授予市财政局职能职责所设立，项目经局党组会审定同意申报项目预算。</w:t>
      </w:r>
      <w:r>
        <w:rPr>
          <w:rFonts w:hint="eastAsia" w:ascii="仿宋_GB2312" w:hAnsi="仿宋_GB2312" w:eastAsia="仿宋_GB2312" w:cs="仿宋_GB2312"/>
          <w:sz w:val="32"/>
          <w:szCs w:val="32"/>
          <w:lang w:val="en-US" w:eastAsia="zh-CN"/>
        </w:rPr>
        <w:t>《广元市财政局关于批复2021年市级部门预算的通知》（广财预〔2021〕1号）批复该项目预算100万元。</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1．项目主要内容。广元市财政局财政业务专网安全项目主要内容为：核心交换机、防火墙、路由器、网络运维软件、安全态势感知平台、潜伏威胁探针系统和桌面管控等网络及安全设备；</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2．项目绩效目标。通过增加网络及安全设备对全市财政业务专网进行网络结构改造。</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3.项目资金申报相符性。该项目根据单位职能职责设定具体工作内容，申报内容和项目绩效目标与财政管理业务工作相符，项目合理可行。</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按照一般公共预算管理要求，市财政局申报项目资金预算，202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lang w:val="zh-CN"/>
        </w:rPr>
        <w:t>文件下达我单位项目资金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（二）资金计划、到位及使用情况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1．资金计划及到位。本项目预算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lang w:val="zh-CN"/>
        </w:rPr>
        <w:t>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lang w:val="zh-CN"/>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万元，资金拨付率为100%。</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2．资金使用。该项目资金全年共支出</w:t>
      </w:r>
      <w:r>
        <w:rPr>
          <w:rFonts w:hint="eastAsia" w:ascii="仿宋_GB2312" w:hAnsi="仿宋_GB2312" w:eastAsia="仿宋_GB2312" w:cs="仿宋_GB2312"/>
          <w:sz w:val="32"/>
          <w:szCs w:val="32"/>
          <w:lang w:val="en-US" w:eastAsia="zh-CN"/>
        </w:rPr>
        <w:t>93.67</w:t>
      </w:r>
      <w:r>
        <w:rPr>
          <w:rFonts w:hint="eastAsia" w:ascii="仿宋_GB2312" w:hAnsi="仿宋_GB2312" w:eastAsia="仿宋_GB2312" w:cs="仿宋_GB2312"/>
          <w:sz w:val="32"/>
          <w:szCs w:val="32"/>
          <w:lang w:val="zh-CN"/>
        </w:rPr>
        <w:t>万元，支出进度为</w:t>
      </w:r>
      <w:r>
        <w:rPr>
          <w:rFonts w:hint="eastAsia" w:ascii="仿宋_GB2312" w:hAnsi="仿宋_GB2312" w:eastAsia="仿宋_GB2312" w:cs="仿宋_GB2312"/>
          <w:sz w:val="32"/>
          <w:szCs w:val="32"/>
          <w:lang w:val="en-US" w:eastAsia="zh-CN"/>
        </w:rPr>
        <w:t>93.67</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未全部支付的</w:t>
      </w:r>
      <w:r>
        <w:rPr>
          <w:rFonts w:hint="eastAsia" w:ascii="仿宋_GB2312" w:hAnsi="仿宋_GB2312" w:eastAsia="仿宋_GB2312" w:cs="仿宋_GB2312"/>
          <w:sz w:val="32"/>
          <w:szCs w:val="32"/>
          <w:lang w:val="zh-CN"/>
        </w:rPr>
        <w:t>主要</w:t>
      </w:r>
      <w:r>
        <w:rPr>
          <w:rFonts w:hint="eastAsia" w:ascii="仿宋_GB2312" w:hAnsi="仿宋_GB2312" w:eastAsia="仿宋_GB2312" w:cs="仿宋_GB2312"/>
          <w:sz w:val="32"/>
          <w:szCs w:val="32"/>
          <w:lang w:val="en-US" w:eastAsia="zh-CN"/>
        </w:rPr>
        <w:t>原因是该项目按合同约定付款，剩余款项为质保金，待质保期满后支付。该项目</w:t>
      </w:r>
      <w:r>
        <w:rPr>
          <w:rFonts w:hint="eastAsia" w:ascii="仿宋_GB2312" w:hAnsi="仿宋_GB2312" w:eastAsia="仿宋_GB2312" w:cs="仿宋_GB2312"/>
          <w:sz w:val="32"/>
          <w:szCs w:val="32"/>
          <w:lang w:val="zh-CN"/>
        </w:rPr>
        <w:t>用于增加</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val="zh-CN"/>
        </w:rPr>
        <w:t>网络及安全设备对全市财政业务专网进行网络结构改造工作。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切实做到专款专用，最大可能发挥专项资金作用。</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属于政府采购项目，相关科室严格按照政府采购流程组织实施，在开展财政业务专网网络安全及信息建设工作前履行审批工作，报销环节严格按照我单位财务管理规定报销费用。我单位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keepNext w:val="0"/>
        <w:keepLines w:val="0"/>
        <w:pageBreakBefore w:val="0"/>
        <w:widowControl w:val="0"/>
        <w:kinsoku/>
        <w:wordWrap/>
        <w:overflowPunct/>
        <w:topLinePunct w:val="0"/>
        <w:bidi w:val="0"/>
        <w:adjustRightInd w:val="0"/>
        <w:snapToGrid w:val="0"/>
        <w:spacing w:line="576"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通过项目实施，完成了全市财政业务专网络结构改造，符合了省财政厅对各市州财政业务专网的网络结构的要求，全市财政业务专网也具备了基础的网络安全防护功能。</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楷体_GB2312" w:hAnsi="宋体" w:eastAsia="楷体_GB2312"/>
          <w:sz w:val="32"/>
          <w:szCs w:val="32"/>
          <w:lang w:val="zh-CN"/>
        </w:rPr>
        <w:t>（</w:t>
      </w:r>
      <w:r>
        <w:rPr>
          <w:rFonts w:hint="eastAsia" w:ascii="楷体_GB2312" w:hAnsi="宋体" w:eastAsia="楷体_GB2312"/>
          <w:sz w:val="32"/>
          <w:szCs w:val="32"/>
          <w:lang w:val="en-US" w:eastAsia="zh-CN"/>
        </w:rPr>
        <w:t>二</w:t>
      </w:r>
      <w:r>
        <w:rPr>
          <w:rFonts w:hint="eastAsia" w:ascii="楷体_GB2312" w:hAnsi="宋体" w:eastAsia="楷体_GB2312"/>
          <w:sz w:val="32"/>
          <w:szCs w:val="32"/>
          <w:lang w:val="zh-CN"/>
        </w:rPr>
        <w:t>）</w:t>
      </w:r>
      <w:r>
        <w:rPr>
          <w:rFonts w:hint="eastAsia" w:ascii="仿宋_GB2312" w:hAnsi="仿宋_GB2312" w:eastAsia="仿宋_GB2312" w:cs="仿宋_GB2312"/>
          <w:sz w:val="32"/>
          <w:szCs w:val="32"/>
          <w:lang w:val="zh-CN"/>
        </w:rPr>
        <w:t>项目效益情况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1.项目实施对经济和社会的影响。通过该项目顺利实施，确保了全市财政业务专网的安全，保障了全市财政业务系统安全、稳定运行，推动了全市经济高质量发展。</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2.项目服务对象满意度。金融部门、预算单位满意度达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bidi w:val="0"/>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五、问题及建议</w:t>
      </w:r>
    </w:p>
    <w:p>
      <w:pPr>
        <w:keepNext w:val="0"/>
        <w:keepLines w:val="0"/>
        <w:pageBreakBefore w:val="0"/>
        <w:widowControl w:val="0"/>
        <w:kinsoku/>
        <w:wordWrap/>
        <w:overflowPunct/>
        <w:topLinePunct w:val="0"/>
        <w:bidi w:val="0"/>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结合项目自身特点、评价重点及管理办法等要求，根据专项项目支出绩效评价指标体系，该项目自评得分为100分。</w:t>
      </w:r>
    </w:p>
    <w:p>
      <w:pPr>
        <w:keepNext w:val="0"/>
        <w:keepLines w:val="0"/>
        <w:pageBreakBefore w:val="0"/>
        <w:widowControl w:val="0"/>
        <w:kinsoku/>
        <w:wordWrap/>
        <w:overflowPunct/>
        <w:topLinePunct w:val="0"/>
        <w:bidi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w:t>
      </w:r>
      <w:r>
        <w:rPr>
          <w:rFonts w:hint="eastAsia" w:ascii="楷体_GB2312" w:hAnsi="宋体" w:eastAsia="楷体_GB2312"/>
          <w:sz w:val="32"/>
          <w:szCs w:val="32"/>
        </w:rPr>
        <w:t>二</w:t>
      </w:r>
      <w:r>
        <w:rPr>
          <w:rFonts w:hint="eastAsia" w:ascii="楷体_GB2312" w:hAnsi="宋体" w:eastAsia="楷体_GB2312"/>
          <w:sz w:val="32"/>
          <w:szCs w:val="32"/>
          <w:lang w:val="zh-CN"/>
        </w:rPr>
        <w:t>）存在的问题</w:t>
      </w:r>
      <w:r>
        <w:rPr>
          <w:rFonts w:hint="eastAsia" w:ascii="楷体_GB2312" w:hAnsi="宋体" w:eastAsia="楷体_GB2312"/>
          <w:sz w:val="32"/>
          <w:szCs w:val="32"/>
          <w:lang w:val="en-US" w:eastAsia="zh-CN"/>
        </w:rPr>
        <w:t>及相关建议</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2"/>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9"/>
        <w:gridCol w:w="1039"/>
        <w:gridCol w:w="1442"/>
        <w:gridCol w:w="1489"/>
        <w:gridCol w:w="1925"/>
        <w:gridCol w:w="1953"/>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方正小标宋简体" w:hAnsi="方正小标宋简体" w:eastAsia="方正小标宋简体" w:cs="方正小标宋简体"/>
                <w:b w:val="0"/>
                <w:bCs/>
                <w:i w:val="0"/>
                <w:color w:val="auto"/>
                <w:sz w:val="44"/>
                <w:szCs w:val="44"/>
                <w:highlight w:val="none"/>
                <w:u w:val="none"/>
                <w:lang w:val="en-US"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color w:val="auto"/>
                <w:kern w:val="2"/>
                <w:sz w:val="44"/>
                <w:szCs w:val="44"/>
                <w:lang w:val="en-US"/>
              </w:rPr>
              <w:t>网络安全和信息化建设</w:t>
            </w:r>
            <w:r>
              <w:rPr>
                <w:rFonts w:hint="eastAsia" w:ascii="方正小标宋简体" w:hAnsi="方正小标宋简体" w:eastAsia="方正小标宋简体" w:cs="方正小标宋简体"/>
                <w:b w:val="0"/>
                <w:bCs/>
                <w:i w:val="0"/>
                <w:color w:val="auto"/>
                <w:sz w:val="44"/>
                <w:szCs w:val="44"/>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9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100</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保证财政各项系统的顺利运转，确保我市金财网络安全高效运行。</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8" w:hRule="atLeast"/>
        </w:trPr>
        <w:tc>
          <w:tcPr>
            <w:tcW w:w="17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10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金财网络安全信息化建设</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金财网络安全信息化建设</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金财网络运行</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保障金财网络安全高效运行。</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信息系统及网站运行</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运行维护费用</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100</w:t>
            </w:r>
            <w:r>
              <w:rPr>
                <w:rFonts w:hint="eastAsia" w:asciiTheme="minorEastAsia" w:hAnsiTheme="minorEastAsia" w:eastAsiaTheme="minorEastAsia" w:cstheme="minorEastAsia"/>
                <w:i w:val="0"/>
                <w:color w:val="auto"/>
                <w:sz w:val="21"/>
                <w:szCs w:val="21"/>
                <w:highlight w:val="none"/>
                <w:u w:val="none"/>
              </w:rPr>
              <w:t>万元</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93.67万元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2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  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72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1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2"/>
        <w:keepNext w:val="0"/>
        <w:keepLines w:val="0"/>
        <w:pageBreakBefore w:val="0"/>
        <w:widowControl w:val="0"/>
        <w:kinsoku/>
        <w:wordWrap/>
        <w:overflowPunct/>
        <w:topLinePunct w:val="0"/>
        <w:bidi w:val="0"/>
        <w:rPr>
          <w:rFonts w:hint="eastAsia" w:ascii="黑体" w:hAnsi="黑体" w:eastAsia="黑体"/>
          <w:color w:val="auto"/>
          <w:sz w:val="44"/>
          <w:szCs w:val="44"/>
          <w:highlight w:val="none"/>
          <w:lang w:val="en-US" w:eastAsia="zh-CN"/>
        </w:rPr>
      </w:pPr>
    </w:p>
    <w:p>
      <w:pPr>
        <w:pStyle w:val="32"/>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lang w:val="en-US" w:eastAsia="zh-CN"/>
        </w:rPr>
        <w:t>广元市财政局关于2021年省级财政业务服务</w:t>
      </w: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pStyle w:val="32"/>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keepNext w:val="0"/>
        <w:keepLines w:val="0"/>
        <w:pageBreakBefore w:val="0"/>
        <w:widowControl w:val="0"/>
        <w:kinsoku/>
        <w:wordWrap/>
        <w:overflowPunct/>
        <w:topLinePunct w:val="0"/>
        <w:bidi w:val="0"/>
        <w:spacing w:line="560" w:lineRule="exact"/>
        <w:ind w:firstLine="640" w:firstLineChars="200"/>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sz w:val="32"/>
          <w:szCs w:val="32"/>
        </w:rPr>
        <w:t>本项目根据市委市政府授予市财政局职能职责所设立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项目经局党组会审定同意申报预算资金26万元，《广元市财政局关于批复2021年市级部门预算的通知》（广财预〔2021〕1号）批复该项目预算26万元。</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项目绩效目标</w:t>
      </w:r>
    </w:p>
    <w:p>
      <w:pPr>
        <w:keepNext w:val="0"/>
        <w:keepLines w:val="0"/>
        <w:pageBreakBefore w:val="0"/>
        <w:widowControl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sz w:val="32"/>
          <w:szCs w:val="32"/>
          <w:lang w:val="en-US" w:eastAsia="zh-CN"/>
        </w:rPr>
        <w:t>及绩效目标</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通过维护省级财政业务系统，确保债务管理、资产管理和财政票据管理工作正常开展。</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根据单位职能职责设定具体工作内容，</w:t>
      </w:r>
      <w:r>
        <w:rPr>
          <w:rFonts w:hint="eastAsia" w:ascii="仿宋_GB2312" w:hAnsi="仿宋_GB2312" w:eastAsia="仿宋_GB2312" w:cs="仿宋_GB2312"/>
          <w:sz w:val="32"/>
          <w:szCs w:val="32"/>
          <w:lang w:val="zh-CN"/>
        </w:rPr>
        <w:t>申报内容</w:t>
      </w:r>
      <w:r>
        <w:rPr>
          <w:rFonts w:hint="eastAsia" w:ascii="仿宋_GB2312" w:hAnsi="仿宋_GB2312" w:eastAsia="仿宋_GB2312" w:cs="仿宋_GB2312"/>
          <w:sz w:val="32"/>
          <w:szCs w:val="32"/>
          <w:lang w:val="en-US" w:eastAsia="zh-CN"/>
        </w:rPr>
        <w:t>和项目绩效</w:t>
      </w:r>
      <w:r>
        <w:rPr>
          <w:rFonts w:hint="eastAsia" w:ascii="仿宋_GB2312" w:hAnsi="仿宋_GB2312" w:eastAsia="仿宋_GB2312" w:cs="仿宋_GB2312"/>
          <w:sz w:val="32"/>
          <w:szCs w:val="32"/>
          <w:lang w:val="zh-CN"/>
        </w:rPr>
        <w:t>目标</w:t>
      </w:r>
      <w:r>
        <w:rPr>
          <w:rFonts w:hint="eastAsia" w:ascii="仿宋_GB2312" w:hAnsi="仿宋_GB2312" w:eastAsia="仿宋_GB2312" w:cs="仿宋_GB2312"/>
          <w:sz w:val="32"/>
          <w:szCs w:val="32"/>
          <w:lang w:val="en-US" w:eastAsia="zh-CN"/>
        </w:rPr>
        <w:t>与财政管理业务工作</w:t>
      </w:r>
      <w:r>
        <w:rPr>
          <w:rFonts w:hint="eastAsia" w:ascii="仿宋_GB2312" w:hAnsi="仿宋_GB2312" w:eastAsia="仿宋_GB2312" w:cs="仿宋_GB2312"/>
          <w:sz w:val="32"/>
          <w:szCs w:val="32"/>
          <w:lang w:val="zh-CN"/>
        </w:rPr>
        <w:t>相符，</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（三）项目自评步骤及方法</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（一）项目资金申报及批复情况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按照一般公共预算管理要求，市财政局申报项目资金预算，202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《广元市财政局关于批复2021年市级部门预算的通知》（广财预〔2021〕1号）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二</w:t>
      </w:r>
      <w:r>
        <w:rPr>
          <w:rFonts w:hint="eastAsia" w:ascii="楷体_GB2312" w:hAnsi="宋体" w:eastAsia="楷体_GB2312"/>
          <w:b w:val="0"/>
          <w:bCs w:val="0"/>
          <w:sz w:val="32"/>
          <w:szCs w:val="32"/>
          <w:lang w:val="zh-CN"/>
        </w:rPr>
        <w:t>）资金计划、到位及使用情况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1．资金计划及到位。</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项目预算</w:t>
      </w:r>
      <w:r>
        <w:rPr>
          <w:rFonts w:hint="eastAsia" w:ascii="仿宋_GB2312" w:hAnsi="仿宋_GB2312" w:eastAsia="仿宋_GB2312" w:cs="仿宋_GB2312"/>
          <w:sz w:val="32"/>
          <w:szCs w:val="32"/>
          <w:lang w:val="en-US" w:eastAsia="zh-CN"/>
        </w:rPr>
        <w:t>批复资金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bidi w:val="0"/>
        <w:spacing w:line="560" w:lineRule="exact"/>
        <w:ind w:firstLine="640" w:firstLineChars="200"/>
        <w:rPr>
          <w:rFonts w:ascii="仿宋_GB2312" w:hAnsi="宋体"/>
          <w:b w:val="0"/>
          <w:bCs w:val="0"/>
          <w:sz w:val="32"/>
          <w:szCs w:val="32"/>
          <w:lang w:val="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该项目资金全年共支出</w:t>
      </w:r>
      <w:r>
        <w:rPr>
          <w:rFonts w:hint="eastAsia" w:ascii="仿宋_GB2312" w:hAnsi="仿宋_GB2312" w:eastAsia="仿宋_GB2312" w:cs="仿宋_GB2312"/>
          <w:sz w:val="32"/>
          <w:szCs w:val="32"/>
          <w:lang w:val="en-US" w:eastAsia="zh-CN"/>
        </w:rPr>
        <w:t>25.85</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99.42</w:t>
      </w:r>
      <w:r>
        <w:rPr>
          <w:rFonts w:hint="eastAsia" w:ascii="仿宋_GB2312" w:hAnsi="仿宋_GB2312" w:eastAsia="仿宋_GB2312" w:cs="仿宋_GB2312"/>
          <w:sz w:val="32"/>
          <w:szCs w:val="32"/>
        </w:rPr>
        <w:t>%，主要是用于</w:t>
      </w:r>
      <w:r>
        <w:rPr>
          <w:rFonts w:hint="eastAsia" w:ascii="仿宋_GB2312" w:hAnsi="仿宋_GB2312" w:eastAsia="仿宋_GB2312" w:cs="仿宋_GB2312"/>
          <w:sz w:val="32"/>
          <w:szCs w:val="32"/>
          <w:lang w:val="en-US" w:eastAsia="zh-CN"/>
        </w:rPr>
        <w:t>政府性债务系统、资产管理系统和财政票据管理系统等3个省级业务系统的运行维护。</w:t>
      </w:r>
      <w:r>
        <w:rPr>
          <w:rFonts w:hint="eastAsia" w:ascii="仿宋_GB2312" w:hAnsi="仿宋_GB2312" w:eastAsia="仿宋_GB2312" w:cs="仿宋_GB2312"/>
          <w:sz w:val="32"/>
          <w:szCs w:val="32"/>
        </w:rPr>
        <w:t>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w:t>
      </w:r>
      <w:r>
        <w:rPr>
          <w:rFonts w:hint="eastAsia" w:ascii="楷体_GB2312" w:hAnsi="宋体" w:eastAsia="楷体_GB2312"/>
          <w:b w:val="0"/>
          <w:bCs w:val="0"/>
          <w:sz w:val="32"/>
          <w:szCs w:val="32"/>
          <w:lang w:val="en-US" w:eastAsia="zh-CN"/>
        </w:rPr>
        <w:t>三</w:t>
      </w:r>
      <w:r>
        <w:rPr>
          <w:rFonts w:hint="eastAsia" w:ascii="楷体_GB2312" w:hAnsi="宋体" w:eastAsia="楷体_GB2312"/>
          <w:b w:val="0"/>
          <w:bCs w:val="0"/>
          <w:sz w:val="32"/>
          <w:szCs w:val="32"/>
          <w:lang w:val="zh-CN"/>
        </w:rPr>
        <w:t>）项目财务管理情况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sz w:val="32"/>
          <w:szCs w:val="32"/>
        </w:rPr>
      </w:pPr>
      <w:r>
        <w:rPr>
          <w:rFonts w:hint="eastAsia" w:ascii="黑体" w:hAnsi="宋体" w:eastAsia="黑体"/>
          <w:b w:val="0"/>
          <w:bCs w:val="0"/>
          <w:sz w:val="32"/>
          <w:szCs w:val="32"/>
        </w:rPr>
        <w:t>三、项目实施及管理情况</w:t>
      </w:r>
    </w:p>
    <w:p>
      <w:pPr>
        <w:keepNext w:val="0"/>
        <w:keepLines w:val="0"/>
        <w:pageBreakBefore w:val="0"/>
        <w:widowControl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该项目不属于政府采购，项目审批及实施、费用报销均严格执行相关管理规定</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该项目所含的政府性债务系统、资产管理系统和财政票据管理系统等3个省级业务系统均按合同约定实施维护并支付款项，确保了财政工作正常开展。</w:t>
      </w:r>
    </w:p>
    <w:p>
      <w:pPr>
        <w:keepNext w:val="0"/>
        <w:keepLines w:val="0"/>
        <w:pageBreakBefore w:val="0"/>
        <w:widowControl w:val="0"/>
        <w:kinsoku/>
        <w:wordWrap/>
        <w:overflowPunct/>
        <w:topLinePunct w:val="0"/>
        <w:bidi w:val="0"/>
        <w:spacing w:line="560" w:lineRule="exact"/>
        <w:ind w:firstLine="640" w:firstLineChars="200"/>
        <w:rPr>
          <w:rFonts w:ascii="仿宋_GB2312" w:hAnsi="宋体"/>
          <w:b w:val="0"/>
          <w:bCs w:val="0"/>
          <w:sz w:val="32"/>
          <w:szCs w:val="32"/>
          <w:lang w:val="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hAnsi="宋体"/>
          <w:b w:val="0"/>
          <w:bCs w:val="0"/>
          <w:sz w:val="32"/>
          <w:szCs w:val="32"/>
          <w:lang w:val="zh-CN"/>
        </w:rPr>
      </w:pPr>
      <w:r>
        <w:rPr>
          <w:rFonts w:hint="eastAsia" w:ascii="黑体" w:hAnsi="宋体" w:eastAsia="黑体"/>
          <w:b w:val="0"/>
          <w:bCs w:val="0"/>
          <w:sz w:val="32"/>
          <w:szCs w:val="32"/>
          <w:lang w:val="en-US" w:eastAsia="zh-CN"/>
        </w:rPr>
        <w:t>四</w:t>
      </w:r>
      <w:r>
        <w:rPr>
          <w:rFonts w:hint="eastAsia" w:ascii="黑体" w:hAnsi="宋体" w:eastAsia="黑体"/>
          <w:b w:val="0"/>
          <w:bCs w:val="0"/>
          <w:sz w:val="32"/>
          <w:szCs w:val="32"/>
        </w:rPr>
        <w:t>、项目绩效情况</w:t>
      </w:r>
      <w:r>
        <w:rPr>
          <w:rFonts w:hint="eastAsia" w:ascii="仿宋_GB2312" w:hAnsi="宋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（一）项目完成情况</w:t>
      </w:r>
    </w:p>
    <w:p>
      <w:pPr>
        <w:keepNext w:val="0"/>
        <w:keepLines w:val="0"/>
        <w:pageBreakBefore w:val="0"/>
        <w:widowControl w:val="0"/>
        <w:kinsoku/>
        <w:wordWrap/>
        <w:overflowPunct/>
        <w:topLinePunct w:val="0"/>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实施该项目，我市政府性债务系统、资产管理系统和财政票据管理系统等3个省级业务系统正常运行，完成全市预算单位的财政电子票据管理，完成全市债务数据分析，及时监控债务风险状况。完成全市单位国有资产信息录入及维护，顺利完成年度资产报告报送工作。</w:t>
      </w:r>
    </w:p>
    <w:p>
      <w:pPr>
        <w:keepNext w:val="0"/>
        <w:keepLines w:val="0"/>
        <w:pageBreakBefore w:val="0"/>
        <w:widowControl w:val="0"/>
        <w:numPr>
          <w:ilvl w:val="0"/>
          <w:numId w:val="7"/>
        </w:numPr>
        <w:kinsoku/>
        <w:wordWrap/>
        <w:overflowPunct/>
        <w:topLinePunct w:val="0"/>
        <w:bidi w:val="0"/>
        <w:spacing w:line="560" w:lineRule="exact"/>
        <w:ind w:firstLine="640" w:firstLineChars="200"/>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项目效益情况</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1.项目实施对经济和社会的影响。通过该项目顺利实施，保障了各项财政业务正常开展和财政资金及时拨付，为全市经济社会高质量发展提供了坚实保障。</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2.项目服务对象满意度。使用对象满意度达95%以上。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b w:val="0"/>
          <w:bCs w:val="0"/>
          <w:sz w:val="32"/>
          <w:szCs w:val="32"/>
        </w:rPr>
      </w:pPr>
      <w:r>
        <w:rPr>
          <w:rFonts w:hint="eastAsia" w:ascii="黑体" w:hAnsi="宋体" w:eastAsia="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（一）评价结论</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rPr>
        <w:t>专项项目支出绩效评价指标体系，</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自评得分为100分</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存在的问题</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项目绩效目标细化和量化不够明细。</w:t>
      </w:r>
    </w:p>
    <w:p>
      <w:pPr>
        <w:pStyle w:val="12"/>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150" w:beforeAutospacing="0" w:after="0" w:afterAutospacing="0" w:line="555" w:lineRule="atLeast"/>
        <w:ind w:left="0" w:leftChars="0" w:right="0" w:firstLine="640" w:firstLineChars="200"/>
        <w:rPr>
          <w:rFonts w:hint="eastAsia" w:ascii="楷体_GB2312" w:hAnsi="宋体" w:eastAsia="楷体_GB2312"/>
          <w:b w:val="0"/>
          <w:bCs w:val="0"/>
          <w:sz w:val="32"/>
          <w:szCs w:val="32"/>
          <w:lang w:val="zh-CN"/>
        </w:rPr>
      </w:pPr>
      <w:r>
        <w:rPr>
          <w:rFonts w:hint="eastAsia" w:ascii="楷体_GB2312" w:hAnsi="宋体" w:eastAsia="楷体_GB2312"/>
          <w:b w:val="0"/>
          <w:bCs w:val="0"/>
          <w:sz w:val="32"/>
          <w:szCs w:val="32"/>
          <w:lang w:val="zh-CN"/>
        </w:rPr>
        <w:t>相关建议</w:t>
      </w:r>
    </w:p>
    <w:p>
      <w:pPr>
        <w:keepNext w:val="0"/>
        <w:keepLines w:val="0"/>
        <w:pageBreakBefore w:val="0"/>
        <w:widowControl w:val="0"/>
        <w:kinsoku/>
        <w:wordWrap/>
        <w:overflowPunct/>
        <w:topLinePunct w:val="0"/>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强化预算编制管理</w:t>
      </w:r>
      <w:r>
        <w:rPr>
          <w:rFonts w:hint="eastAsia" w:ascii="仿宋_GB2312" w:hAnsi="仿宋_GB2312" w:eastAsia="仿宋_GB2312" w:cs="仿宋_GB2312"/>
          <w:sz w:val="32"/>
          <w:szCs w:val="32"/>
        </w:rPr>
        <w:t>，提高资金支出时效。</w:t>
      </w: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pP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sectPr>
          <w:footerReference r:id="rId10" w:type="first"/>
          <w:footerReference r:id="rId9" w:type="default"/>
          <w:pgSz w:w="11906" w:h="16838"/>
          <w:pgMar w:top="2098" w:right="1474" w:bottom="1984" w:left="1587" w:header="851" w:footer="1559" w:gutter="0"/>
          <w:pgNumType w:fmt="decimal" w:start="1"/>
          <w:cols w:space="425" w:num="1"/>
          <w:titlePg/>
          <w:docGrid w:type="lines" w:linePitch="312" w:charSpace="0"/>
        </w:sect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9"/>
        <w:gridCol w:w="900"/>
        <w:gridCol w:w="1230"/>
        <w:gridCol w:w="1800"/>
        <w:gridCol w:w="2175"/>
        <w:gridCol w:w="2013"/>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方正小标宋简体" w:hAnsi="方正小标宋简体" w:eastAsia="方正小标宋简体" w:cs="方正小标宋简体"/>
                <w:b w:val="0"/>
                <w:bCs/>
                <w:i w:val="0"/>
                <w:color w:val="auto"/>
                <w:sz w:val="44"/>
                <w:szCs w:val="44"/>
                <w:highlight w:val="none"/>
                <w:u w:val="none"/>
                <w:lang w:val="en-US" w:eastAsia="zh-CN"/>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2021年部门预算</w:t>
            </w:r>
            <w:r>
              <w:rPr>
                <w:rFonts w:hint="eastAsia" w:ascii="方正小标宋简体" w:hAnsi="方正小标宋简体" w:eastAsia="方正小标宋简体" w:cs="方正小标宋简体"/>
                <w:b w:val="0"/>
                <w:bCs/>
                <w:sz w:val="44"/>
                <w:szCs w:val="44"/>
                <w:lang w:val="en-US" w:eastAsia="zh-CN"/>
              </w:rPr>
              <w:t>省级财政业务服务</w:t>
            </w:r>
            <w:r>
              <w:rPr>
                <w:rFonts w:hint="eastAsia" w:ascii="方正小标宋简体" w:hAnsi="方正小标宋简体" w:eastAsia="方正小标宋简体" w:cs="方正小标宋简体"/>
                <w:b w:val="0"/>
                <w:bCs/>
                <w:i w:val="0"/>
                <w:color w:val="auto"/>
                <w:sz w:val="44"/>
                <w:szCs w:val="44"/>
                <w:highlight w:val="none"/>
                <w:u w:val="none"/>
                <w:lang w:val="en-US" w:eastAsia="zh-CN"/>
              </w:rPr>
              <w:t>项目</w:t>
            </w:r>
          </w:p>
          <w:p>
            <w:pPr>
              <w:keepNext w:val="0"/>
              <w:keepLines w:val="0"/>
              <w:pageBreakBefore w:val="0"/>
              <w:widowControl w:val="0"/>
              <w:suppressLineNumbers w:val="0"/>
              <w:kinsoku/>
              <w:wordWrap/>
              <w:overflowPunct/>
              <w:topLinePunct w:val="0"/>
              <w:autoSpaceDE/>
              <w:autoSpaceDN/>
              <w:bidi w:val="0"/>
              <w:adjustRightInd/>
              <w:snapToGrid/>
              <w:spacing w:beforeAutospacing="0" w:line="520" w:lineRule="exact"/>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44"/>
                <w:szCs w:val="44"/>
                <w:highlight w:val="none"/>
                <w:u w:val="none"/>
                <w:lang w:val="en-US" w:eastAsia="zh-CN"/>
              </w:rPr>
              <w:t>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bidi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广元市财政局</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项目预算</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执行情况</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（万元）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3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99"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年度总体目标完成情况</w:t>
            </w: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67"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保障省级财政业务系统顺利运转，确保财政工作正常开展。</w:t>
            </w:r>
          </w:p>
        </w:tc>
        <w:tc>
          <w:tcPr>
            <w:tcW w:w="418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已完成目标任务。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8" w:hRule="atLeast"/>
        </w:trPr>
        <w:tc>
          <w:tcPr>
            <w:tcW w:w="14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年度绩效指标完成情况</w:t>
            </w:r>
          </w:p>
        </w:tc>
        <w:tc>
          <w:tcPr>
            <w:tcW w:w="9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二级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三级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预期指标值</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完成</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四川省资产管理信息系统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全市国有资产</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信息管理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完成系统维护。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四川省财政非税收缴暨财政票据管理系统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完成对至少150个</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单位的财政电子票据管理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877"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政府债务数据综合服务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完成全市债务数据分析，及时监控债务风险状况</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105"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质量指标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保障省级财政业务系统正常运行，顺利完成各项财政工作</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时效指标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系统技术</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服务时效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按合同约定完成</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成本指标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四川省资产管理信息系统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8</w:t>
            </w:r>
            <w:r>
              <w:rPr>
                <w:rFonts w:hint="eastAsia" w:asciiTheme="minorEastAsia" w:hAnsiTheme="minorEastAsia" w:eastAsiaTheme="minorEastAsia" w:cstheme="minorEastAsia"/>
                <w:i w:val="0"/>
                <w:color w:val="auto"/>
                <w:sz w:val="21"/>
                <w:szCs w:val="21"/>
                <w:highlight w:val="none"/>
                <w:u w:val="none"/>
              </w:rPr>
              <w:t>万元</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23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四川省财政非税收缴暨财政票据管理系统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10万元</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9.85万元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政府债务数据综合服务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8</w:t>
            </w:r>
            <w:r>
              <w:rPr>
                <w:rFonts w:hint="eastAsia" w:asciiTheme="minorEastAsia" w:hAnsiTheme="minorEastAsia" w:eastAsiaTheme="minorEastAsia" w:cstheme="minorEastAsia"/>
                <w:i w:val="0"/>
                <w:color w:val="auto"/>
                <w:sz w:val="21"/>
                <w:szCs w:val="21"/>
                <w:highlight w:val="none"/>
                <w:u w:val="none"/>
              </w:rPr>
              <w:t>万元</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8</w:t>
            </w:r>
            <w:r>
              <w:rPr>
                <w:rFonts w:hint="eastAsia" w:asciiTheme="minorEastAsia" w:hAnsiTheme="minorEastAsia" w:eastAsiaTheme="minorEastAsia" w:cstheme="minorEastAsia"/>
                <w:i w:val="0"/>
                <w:color w:val="auto"/>
                <w:sz w:val="21"/>
                <w:szCs w:val="21"/>
                <w:highlight w:val="none"/>
                <w:u w:val="none"/>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45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效益</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社会效益  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财政工作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为财政工作顺利开展提供技术保证</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4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Theme="minorEastAsia" w:hAnsiTheme="minorEastAsia" w:eastAsiaTheme="minorEastAsia" w:cstheme="minorEastAsia"/>
                <w:i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w:t>
            </w:r>
            <w:r>
              <w:rPr>
                <w:rFonts w:hint="eastAsia" w:asciiTheme="minorEastAsia" w:hAnsiTheme="minorEastAsia" w:eastAsiaTheme="minorEastAsia" w:cstheme="minorEastAsia"/>
                <w:i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color w:val="auto"/>
                <w:kern w:val="0"/>
                <w:sz w:val="24"/>
                <w:szCs w:val="24"/>
                <w:highlight w:val="none"/>
                <w:u w:val="none"/>
                <w:lang w:val="en-US" w:eastAsia="zh-CN" w:bidi="ar"/>
              </w:rPr>
              <w:t>度指标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满意度</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指标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系统运行满意度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eastAsia" w:asciiTheme="minorEastAsia" w:hAnsiTheme="minorEastAsia" w:eastAsiaTheme="minorEastAsia" w:cstheme="minorEastAsia"/>
                <w:i w:val="0"/>
                <w:color w:val="auto"/>
                <w:sz w:val="21"/>
                <w:szCs w:val="21"/>
                <w:highlight w:val="none"/>
                <w:u w:val="none"/>
              </w:rPr>
            </w:pPr>
            <w:r>
              <w:rPr>
                <w:rFonts w:hint="eastAsia" w:asciiTheme="minorEastAsia" w:hAnsiTheme="minorEastAsia" w:eastAsiaTheme="minorEastAsia" w:cstheme="minorEastAsia"/>
                <w:i w:val="0"/>
                <w:color w:val="auto"/>
                <w:sz w:val="21"/>
                <w:szCs w:val="21"/>
                <w:highlight w:val="none"/>
                <w:u w:val="none"/>
              </w:rPr>
              <w:t>100%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bottom"/>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eastAsiaTheme="minorEastAsia" w:cstheme="minorEastAsia"/>
                <w:i w:val="0"/>
                <w:color w:val="auto"/>
                <w:sz w:val="21"/>
                <w:szCs w:val="21"/>
                <w:highlight w:val="none"/>
                <w:u w:val="none"/>
                <w:lang w:val="en-US" w:eastAsia="zh-CN"/>
              </w:rPr>
              <w:t>100%</w:t>
            </w:r>
          </w:p>
        </w:tc>
      </w:tr>
    </w:tbl>
    <w:p>
      <w:pPr>
        <w:pStyle w:val="2"/>
        <w:keepNext w:val="0"/>
        <w:keepLines w:val="0"/>
        <w:pageBreakBefore w:val="0"/>
        <w:widowControl w:val="0"/>
        <w:kinsoku/>
        <w:wordWrap/>
        <w:overflowPunct/>
        <w:topLinePunct w:val="0"/>
        <w:autoSpaceDE/>
        <w:autoSpaceDN/>
        <w:bidi w:val="0"/>
        <w:adjustRightInd/>
        <w:snapToGrid/>
        <w:spacing w:beforeLines="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p>
      <w:pPr>
        <w:keepNext w:val="0"/>
        <w:keepLines w:val="0"/>
        <w:pageBreakBefore w:val="0"/>
        <w:widowControl w:val="0"/>
        <w:kinsoku/>
        <w:wordWrap/>
        <w:overflowPunct/>
        <w:topLinePunct w:val="0"/>
        <w:bidi w:val="0"/>
        <w:spacing w:line="560" w:lineRule="exact"/>
        <w:ind w:firstLine="880" w:firstLineChars="200"/>
        <w:rPr>
          <w:rFonts w:hint="eastAsia" w:ascii="黑体" w:hAnsi="黑体" w:eastAsia="黑体"/>
          <w:color w:val="auto"/>
          <w:sz w:val="44"/>
          <w:szCs w:val="44"/>
          <w:highlight w:val="none"/>
        </w:rPr>
        <w:sectPr>
          <w:footerReference r:id="rId12" w:type="first"/>
          <w:footerReference r:id="rId11" w:type="default"/>
          <w:pgSz w:w="11906" w:h="16838"/>
          <w:pgMar w:top="1134" w:right="1474" w:bottom="1134" w:left="1587" w:header="851" w:footer="1559" w:gutter="0"/>
          <w:pgNumType w:fmt="decimal" w:start="49"/>
          <w:cols w:space="0" w:num="1"/>
          <w:titlePg/>
          <w:rtlGutter w:val="0"/>
          <w:docGrid w:type="lines" w:linePitch="312" w:charSpace="0"/>
        </w:sectPr>
      </w:pPr>
    </w:p>
    <w:p>
      <w:pPr>
        <w:keepNext w:val="0"/>
        <w:keepLines w:val="0"/>
        <w:pageBreakBefore w:val="0"/>
        <w:widowControl w:val="0"/>
        <w:numPr>
          <w:ilvl w:val="0"/>
          <w:numId w:val="8"/>
        </w:numPr>
        <w:kinsoku/>
        <w:wordWrap/>
        <w:overflowPunct/>
        <w:topLinePunct w:val="0"/>
        <w:bidi w:val="0"/>
        <w:spacing w:line="560" w:lineRule="exact"/>
        <w:jc w:val="center"/>
        <w:rPr>
          <w:rStyle w:val="17"/>
          <w:rFonts w:hint="eastAsia" w:ascii="黑体" w:hAnsi="黑体" w:eastAsia="黑体"/>
          <w:b w:val="0"/>
          <w:color w:val="auto"/>
          <w:highlight w:val="none"/>
        </w:rPr>
      </w:pPr>
      <w:r>
        <w:rPr>
          <w:rStyle w:val="17"/>
          <w:rFonts w:hint="eastAsia" w:ascii="黑体" w:hAnsi="黑体" w:eastAsia="黑体"/>
          <w:b w:val="0"/>
          <w:color w:val="auto"/>
          <w:highlight w:val="none"/>
        </w:rPr>
        <w:t>附表</w:t>
      </w:r>
      <w:bookmarkEnd w:id="57"/>
      <w:bookmarkEnd w:id="59"/>
      <w:bookmarkStart w:id="60" w:name="_Toc15396619"/>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ind w:firstLine="600" w:firstLineChars="200"/>
        <w:textAlignment w:val="auto"/>
        <w:rPr>
          <w:rFonts w:hint="eastAsia"/>
        </w:rPr>
      </w:pP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z w:val="32"/>
          <w:szCs w:val="32"/>
          <w:highlight w:val="none"/>
        </w:rPr>
        <w:t>一、收</w:t>
      </w:r>
      <w:r>
        <w:rPr>
          <w:rStyle w:val="18"/>
          <w:rFonts w:hint="eastAsia" w:ascii="仿宋_GB2312" w:hAnsi="仿宋_GB2312" w:eastAsia="仿宋_GB2312" w:cs="仿宋_GB2312"/>
          <w:b w:val="0"/>
          <w:bCs w:val="0"/>
          <w:color w:val="auto"/>
          <w:sz w:val="32"/>
          <w:szCs w:val="32"/>
          <w:highlight w:val="none"/>
        </w:rPr>
        <w:t>入支出决算总表</w:t>
      </w:r>
      <w:bookmarkEnd w:id="60"/>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61" w:name="_Toc15396620"/>
      <w:r>
        <w:rPr>
          <w:rFonts w:hint="eastAsia" w:ascii="仿宋_GB2312" w:hAnsi="仿宋_GB2312" w:eastAsia="仿宋_GB2312" w:cs="仿宋_GB2312"/>
          <w:b w:val="0"/>
          <w:color w:val="auto"/>
          <w:sz w:val="32"/>
          <w:szCs w:val="32"/>
          <w:highlight w:val="none"/>
        </w:rPr>
        <w:t>二、收</w:t>
      </w:r>
      <w:r>
        <w:rPr>
          <w:rStyle w:val="18"/>
          <w:rFonts w:hint="eastAsia" w:ascii="仿宋_GB2312" w:hAnsi="仿宋_GB2312" w:eastAsia="仿宋_GB2312" w:cs="仿宋_GB2312"/>
          <w:b w:val="0"/>
          <w:bCs w:val="0"/>
          <w:color w:val="auto"/>
          <w:sz w:val="32"/>
          <w:szCs w:val="32"/>
          <w:highlight w:val="none"/>
        </w:rPr>
        <w:t>入决算表</w:t>
      </w:r>
      <w:bookmarkEnd w:id="61"/>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62" w:name="_Toc15396621"/>
      <w:r>
        <w:rPr>
          <w:rStyle w:val="18"/>
          <w:rFonts w:hint="eastAsia" w:ascii="仿宋_GB2312" w:hAnsi="仿宋_GB2312" w:eastAsia="仿宋_GB2312" w:cs="仿宋_GB2312"/>
          <w:b w:val="0"/>
          <w:bCs w:val="0"/>
          <w:color w:val="auto"/>
          <w:sz w:val="32"/>
          <w:szCs w:val="32"/>
          <w:highlight w:val="none"/>
        </w:rPr>
        <w:t>三、</w:t>
      </w:r>
      <w:r>
        <w:rPr>
          <w:rFonts w:hint="eastAsia" w:ascii="仿宋_GB2312" w:hAnsi="仿宋_GB2312" w:eastAsia="仿宋_GB2312" w:cs="仿宋_GB2312"/>
          <w:b w:val="0"/>
          <w:color w:val="auto"/>
          <w:sz w:val="32"/>
          <w:szCs w:val="32"/>
          <w:highlight w:val="none"/>
        </w:rPr>
        <w:t>支</w:t>
      </w:r>
      <w:r>
        <w:rPr>
          <w:rStyle w:val="18"/>
          <w:rFonts w:hint="eastAsia" w:ascii="仿宋_GB2312" w:hAnsi="仿宋_GB2312" w:eastAsia="仿宋_GB2312" w:cs="仿宋_GB2312"/>
          <w:b w:val="0"/>
          <w:bCs w:val="0"/>
          <w:color w:val="auto"/>
          <w:sz w:val="32"/>
          <w:szCs w:val="32"/>
          <w:highlight w:val="none"/>
        </w:rPr>
        <w:t>出决算表</w:t>
      </w:r>
      <w:bookmarkEnd w:id="62"/>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color w:val="auto"/>
          <w:sz w:val="32"/>
          <w:szCs w:val="32"/>
          <w:highlight w:val="none"/>
        </w:rPr>
      </w:pPr>
      <w:bookmarkStart w:id="63" w:name="_Toc15396622"/>
      <w:r>
        <w:rPr>
          <w:rStyle w:val="18"/>
          <w:rFonts w:hint="eastAsia" w:ascii="仿宋_GB2312" w:hAnsi="仿宋_GB2312" w:eastAsia="仿宋_GB2312" w:cs="仿宋_GB2312"/>
          <w:b w:val="0"/>
          <w:bCs w:val="0"/>
          <w:color w:val="auto"/>
          <w:sz w:val="32"/>
          <w:szCs w:val="32"/>
          <w:highlight w:val="none"/>
        </w:rPr>
        <w:t>四、</w:t>
      </w:r>
      <w:r>
        <w:rPr>
          <w:rFonts w:hint="eastAsia" w:ascii="仿宋_GB2312" w:hAnsi="仿宋_GB2312" w:eastAsia="仿宋_GB2312" w:cs="仿宋_GB2312"/>
          <w:b w:val="0"/>
          <w:color w:val="auto"/>
          <w:sz w:val="32"/>
          <w:szCs w:val="32"/>
          <w:highlight w:val="none"/>
        </w:rPr>
        <w:t>财</w:t>
      </w:r>
      <w:r>
        <w:rPr>
          <w:rStyle w:val="18"/>
          <w:rFonts w:hint="eastAsia" w:ascii="仿宋_GB2312" w:hAnsi="仿宋_GB2312" w:eastAsia="仿宋_GB2312" w:cs="仿宋_GB2312"/>
          <w:b w:val="0"/>
          <w:bCs w:val="0"/>
          <w:color w:val="auto"/>
          <w:sz w:val="32"/>
          <w:szCs w:val="32"/>
          <w:highlight w:val="none"/>
        </w:rPr>
        <w:t>政拨款收入支出决算总表</w:t>
      </w:r>
      <w:bookmarkEnd w:id="63"/>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bookmarkStart w:id="64" w:name="_Toc15396623"/>
      <w:r>
        <w:rPr>
          <w:rStyle w:val="18"/>
          <w:rFonts w:hint="eastAsia" w:ascii="仿宋_GB2312" w:hAnsi="仿宋_GB2312" w:eastAsia="仿宋_GB2312" w:cs="仿宋_GB2312"/>
          <w:b w:val="0"/>
          <w:bCs w:val="0"/>
          <w:color w:val="auto"/>
          <w:sz w:val="32"/>
          <w:szCs w:val="32"/>
          <w:highlight w:val="none"/>
        </w:rPr>
        <w:t>五、</w:t>
      </w:r>
      <w:r>
        <w:rPr>
          <w:rFonts w:hint="eastAsia" w:ascii="仿宋_GB2312" w:hAnsi="仿宋_GB2312" w:eastAsia="仿宋_GB2312" w:cs="仿宋_GB2312"/>
          <w:b w:val="0"/>
          <w:color w:val="auto"/>
          <w:sz w:val="32"/>
          <w:szCs w:val="32"/>
          <w:highlight w:val="none"/>
        </w:rPr>
        <w:t>财</w:t>
      </w:r>
      <w:r>
        <w:rPr>
          <w:rStyle w:val="18"/>
          <w:rFonts w:hint="eastAsia" w:ascii="仿宋_GB2312" w:hAnsi="仿宋_GB2312" w:eastAsia="仿宋_GB2312" w:cs="仿宋_GB2312"/>
          <w:b w:val="0"/>
          <w:bCs w:val="0"/>
          <w:color w:val="auto"/>
          <w:sz w:val="32"/>
          <w:szCs w:val="32"/>
          <w:highlight w:val="none"/>
        </w:rPr>
        <w:t>政拨款支出决算明细表</w:t>
      </w:r>
      <w:bookmarkEnd w:id="64"/>
      <w:bookmarkStart w:id="65" w:name="_Toc15396624"/>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Style w:val="18"/>
          <w:rFonts w:hint="eastAsia" w:ascii="仿宋_GB2312" w:hAnsi="仿宋_GB2312" w:eastAsia="仿宋_GB2312" w:cs="仿宋_GB2312"/>
          <w:b w:val="0"/>
          <w:bCs w:val="0"/>
          <w:color w:val="auto"/>
          <w:sz w:val="32"/>
          <w:szCs w:val="32"/>
          <w:highlight w:val="none"/>
        </w:rPr>
        <w:t>六、</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般公共预算财政拨款支出决算表</w:t>
      </w:r>
      <w:bookmarkEnd w:id="65"/>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66" w:name="_Toc15396625"/>
      <w:r>
        <w:rPr>
          <w:rStyle w:val="18"/>
          <w:rFonts w:hint="eastAsia" w:ascii="仿宋_GB2312" w:hAnsi="仿宋_GB2312" w:eastAsia="仿宋_GB2312" w:cs="仿宋_GB2312"/>
          <w:b w:val="0"/>
          <w:bCs w:val="0"/>
          <w:color w:val="auto"/>
          <w:sz w:val="32"/>
          <w:szCs w:val="32"/>
          <w:highlight w:val="none"/>
        </w:rPr>
        <w:t>七、</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般公共预算财政拨款支出决算明细表</w:t>
      </w:r>
      <w:bookmarkEnd w:id="66"/>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67" w:name="_Toc15396626"/>
      <w:r>
        <w:rPr>
          <w:rStyle w:val="18"/>
          <w:rFonts w:hint="eastAsia" w:ascii="仿宋_GB2312" w:hAnsi="仿宋_GB2312" w:eastAsia="仿宋_GB2312" w:cs="仿宋_GB2312"/>
          <w:b w:val="0"/>
          <w:bCs w:val="0"/>
          <w:color w:val="auto"/>
          <w:sz w:val="32"/>
          <w:szCs w:val="32"/>
          <w:highlight w:val="none"/>
        </w:rPr>
        <w:t>八、</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般公共预算财政拨款基本支出决算表</w:t>
      </w:r>
      <w:bookmarkEnd w:id="67"/>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68" w:name="_Toc15396627"/>
      <w:r>
        <w:rPr>
          <w:rStyle w:val="18"/>
          <w:rFonts w:hint="eastAsia" w:ascii="仿宋_GB2312" w:hAnsi="仿宋_GB2312" w:eastAsia="仿宋_GB2312" w:cs="仿宋_GB2312"/>
          <w:b w:val="0"/>
          <w:bCs w:val="0"/>
          <w:color w:val="auto"/>
          <w:sz w:val="32"/>
          <w:szCs w:val="32"/>
          <w:highlight w:val="none"/>
        </w:rPr>
        <w:t>九、</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般公共预算财政拨款项目支出决算表</w:t>
      </w:r>
      <w:bookmarkEnd w:id="68"/>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69" w:name="_Toc15396628"/>
      <w:r>
        <w:rPr>
          <w:rStyle w:val="18"/>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color w:val="auto"/>
          <w:sz w:val="32"/>
          <w:szCs w:val="32"/>
          <w:highlight w:val="none"/>
        </w:rPr>
        <w:t>一</w:t>
      </w:r>
      <w:r>
        <w:rPr>
          <w:rStyle w:val="18"/>
          <w:rFonts w:hint="eastAsia" w:ascii="仿宋_GB2312" w:hAnsi="仿宋_GB2312" w:eastAsia="仿宋_GB2312" w:cs="仿宋_GB2312"/>
          <w:b w:val="0"/>
          <w:bCs w:val="0"/>
          <w:color w:val="auto"/>
          <w:sz w:val="32"/>
          <w:szCs w:val="32"/>
          <w:highlight w:val="none"/>
        </w:rPr>
        <w:t>般公共预算财政拨款“三公”经费支出决算表</w:t>
      </w:r>
      <w:bookmarkEnd w:id="69"/>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70" w:name="_Toc15396629"/>
      <w:r>
        <w:rPr>
          <w:rStyle w:val="18"/>
          <w:rFonts w:hint="eastAsia" w:ascii="仿宋_GB2312" w:hAnsi="仿宋_GB2312" w:eastAsia="仿宋_GB2312" w:cs="仿宋_GB2312"/>
          <w:b w:val="0"/>
          <w:bCs w:val="0"/>
          <w:color w:val="auto"/>
          <w:sz w:val="32"/>
          <w:szCs w:val="32"/>
          <w:highlight w:val="none"/>
        </w:rPr>
        <w:t>十一、</w:t>
      </w:r>
      <w:r>
        <w:rPr>
          <w:rFonts w:hint="eastAsia" w:ascii="仿宋_GB2312" w:hAnsi="仿宋_GB2312" w:eastAsia="仿宋_GB2312" w:cs="仿宋_GB2312"/>
          <w:b w:val="0"/>
          <w:color w:val="auto"/>
          <w:sz w:val="32"/>
          <w:szCs w:val="32"/>
          <w:highlight w:val="none"/>
        </w:rPr>
        <w:t>政</w:t>
      </w:r>
      <w:r>
        <w:rPr>
          <w:rStyle w:val="18"/>
          <w:rFonts w:hint="eastAsia" w:ascii="仿宋_GB2312" w:hAnsi="仿宋_GB2312" w:eastAsia="仿宋_GB2312" w:cs="仿宋_GB2312"/>
          <w:b w:val="0"/>
          <w:bCs w:val="0"/>
          <w:color w:val="auto"/>
          <w:sz w:val="32"/>
          <w:szCs w:val="32"/>
          <w:highlight w:val="none"/>
        </w:rPr>
        <w:t>府性基金预算财政拨款收入支出决算表</w:t>
      </w:r>
      <w:bookmarkEnd w:id="70"/>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bookmarkStart w:id="71" w:name="_Toc15396630"/>
      <w:r>
        <w:rPr>
          <w:rStyle w:val="18"/>
          <w:rFonts w:hint="eastAsia" w:ascii="仿宋_GB2312" w:hAnsi="仿宋_GB2312" w:eastAsia="仿宋_GB2312" w:cs="仿宋_GB2312"/>
          <w:b w:val="0"/>
          <w:bCs w:val="0"/>
          <w:color w:val="auto"/>
          <w:sz w:val="32"/>
          <w:szCs w:val="32"/>
          <w:highlight w:val="none"/>
        </w:rPr>
        <w:t>十二、</w:t>
      </w:r>
      <w:r>
        <w:rPr>
          <w:rFonts w:hint="eastAsia" w:ascii="仿宋_GB2312" w:hAnsi="仿宋_GB2312" w:eastAsia="仿宋_GB2312" w:cs="仿宋_GB2312"/>
          <w:b w:val="0"/>
          <w:color w:val="auto"/>
          <w:sz w:val="32"/>
          <w:szCs w:val="32"/>
          <w:highlight w:val="none"/>
        </w:rPr>
        <w:t>政</w:t>
      </w:r>
      <w:r>
        <w:rPr>
          <w:rStyle w:val="18"/>
          <w:rFonts w:hint="eastAsia" w:ascii="仿宋_GB2312" w:hAnsi="仿宋_GB2312" w:eastAsia="仿宋_GB2312" w:cs="仿宋_GB2312"/>
          <w:b w:val="0"/>
          <w:bCs w:val="0"/>
          <w:color w:val="auto"/>
          <w:sz w:val="32"/>
          <w:szCs w:val="32"/>
          <w:highlight w:val="none"/>
        </w:rPr>
        <w:t>府性基金预算财政拨款“三公”经费支出决算表</w:t>
      </w:r>
      <w:bookmarkEnd w:id="71"/>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18"/>
          <w:rFonts w:hint="eastAsia" w:ascii="仿宋_GB2312" w:hAnsi="仿宋_GB2312" w:eastAsia="仿宋_GB2312" w:cs="仿宋_GB2312"/>
          <w:b w:val="0"/>
          <w:bCs w:val="0"/>
          <w:color w:val="auto"/>
          <w:sz w:val="32"/>
          <w:szCs w:val="32"/>
          <w:highlight w:val="none"/>
        </w:rPr>
      </w:pPr>
      <w:bookmarkStart w:id="72" w:name="_Toc15396631"/>
      <w:r>
        <w:rPr>
          <w:rStyle w:val="18"/>
          <w:rFonts w:hint="eastAsia" w:ascii="仿宋_GB2312" w:hAnsi="仿宋_GB2312" w:eastAsia="仿宋_GB2312" w:cs="仿宋_GB2312"/>
          <w:b w:val="0"/>
          <w:bCs w:val="0"/>
          <w:color w:val="auto"/>
          <w:sz w:val="32"/>
          <w:szCs w:val="32"/>
          <w:highlight w:val="none"/>
        </w:rPr>
        <w:t>十三、</w:t>
      </w:r>
      <w:r>
        <w:rPr>
          <w:rFonts w:hint="eastAsia" w:ascii="仿宋_GB2312" w:hAnsi="仿宋_GB2312" w:eastAsia="仿宋_GB2312" w:cs="仿宋_GB2312"/>
          <w:b w:val="0"/>
          <w:color w:val="auto"/>
          <w:sz w:val="32"/>
          <w:szCs w:val="32"/>
          <w:highlight w:val="none"/>
        </w:rPr>
        <w:t>国</w:t>
      </w:r>
      <w:r>
        <w:rPr>
          <w:rStyle w:val="18"/>
          <w:rFonts w:hint="eastAsia" w:ascii="仿宋_GB2312" w:hAnsi="仿宋_GB2312" w:eastAsia="仿宋_GB2312" w:cs="仿宋_GB2312"/>
          <w:b w:val="0"/>
          <w:bCs w:val="0"/>
          <w:color w:val="auto"/>
          <w:sz w:val="32"/>
          <w:szCs w:val="32"/>
          <w:highlight w:val="none"/>
        </w:rPr>
        <w:t>有资本经营预算</w:t>
      </w:r>
      <w:r>
        <w:rPr>
          <w:rStyle w:val="18"/>
          <w:rFonts w:hint="eastAsia" w:ascii="仿宋_GB2312" w:hAnsi="仿宋_GB2312" w:eastAsia="仿宋_GB2312" w:cs="仿宋_GB2312"/>
          <w:b w:val="0"/>
          <w:bCs w:val="0"/>
          <w:color w:val="auto"/>
          <w:sz w:val="32"/>
          <w:szCs w:val="32"/>
          <w:highlight w:val="none"/>
          <w:lang w:eastAsia="zh-CN"/>
        </w:rPr>
        <w:t>财政拨款收入</w:t>
      </w:r>
      <w:r>
        <w:rPr>
          <w:rStyle w:val="18"/>
          <w:rFonts w:hint="eastAsia" w:ascii="仿宋_GB2312" w:hAnsi="仿宋_GB2312" w:eastAsia="仿宋_GB2312" w:cs="仿宋_GB2312"/>
          <w:b w:val="0"/>
          <w:bCs w:val="0"/>
          <w:color w:val="auto"/>
          <w:sz w:val="32"/>
          <w:szCs w:val="32"/>
          <w:highlight w:val="none"/>
        </w:rPr>
        <w:t>支出决算表</w:t>
      </w:r>
      <w:bookmarkEnd w:id="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Style w:val="18"/>
          <w:rFonts w:hint="eastAsia" w:ascii="仿宋_GB2312" w:hAnsi="仿宋_GB2312" w:eastAsia="仿宋_GB2312" w:cs="仿宋_GB2312"/>
          <w:b w:val="0"/>
          <w:bCs w:val="0"/>
          <w:color w:val="auto"/>
          <w:sz w:val="32"/>
          <w:szCs w:val="32"/>
          <w:highlight w:val="none"/>
          <w:lang w:eastAsia="zh-CN"/>
        </w:rPr>
        <w:t>十四、国有资本经营预算财政拨款支出决算表</w:t>
      </w:r>
    </w:p>
    <w:sectPr>
      <w:footerReference r:id="rId14" w:type="first"/>
      <w:footerReference r:id="rId13" w:type="default"/>
      <w:pgSz w:w="11906" w:h="16838"/>
      <w:pgMar w:top="2098" w:right="1474" w:bottom="1984" w:left="1587" w:header="851" w:footer="1559" w:gutter="0"/>
      <w:pgNumType w:fmt="decimal" w:start="5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DB5227-411A-40D6-B731-B3F2AE41DD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9767EED5-249A-4767-8DE3-17FD24EA0C02}"/>
  </w:font>
  <w:font w:name="Cambria">
    <w:panose1 w:val="02040503050406030204"/>
    <w:charset w:val="00"/>
    <w:family w:val="roman"/>
    <w:pitch w:val="default"/>
    <w:sig w:usb0="E00006FF" w:usb1="420024FF" w:usb2="02000000" w:usb3="00000000" w:csb0="2000019F" w:csb1="00000000"/>
    <w:embedRegular r:id="rId3" w:fontKey="{A7581826-B623-44E2-AF93-FD2975F73B0B}"/>
  </w:font>
  <w:font w:name="仿宋">
    <w:panose1 w:val="02010609060101010101"/>
    <w:charset w:val="86"/>
    <w:family w:val="auto"/>
    <w:pitch w:val="default"/>
    <w:sig w:usb0="800002BF" w:usb1="38CF7CFA" w:usb2="00000016" w:usb3="00000000" w:csb0="00040001" w:csb1="00000000"/>
    <w:embedRegular r:id="rId4" w:fontKey="{E4B3E13D-B2BC-4435-BA48-7949185D9593}"/>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5EF4120F-B6DD-46AD-BBA0-34CD10AB2B21}"/>
  </w:font>
  <w:font w:name="楷体_GB2312">
    <w:altName w:val="楷体"/>
    <w:panose1 w:val="02010609030101010101"/>
    <w:charset w:val="86"/>
    <w:family w:val="auto"/>
    <w:pitch w:val="default"/>
    <w:sig w:usb0="00000000" w:usb1="00000000" w:usb2="00000000" w:usb3="00000000" w:csb0="00040000" w:csb1="00000000"/>
    <w:embedRegular r:id="rId6" w:fontKey="{ED9E5C42-AC37-4656-8B01-D42B19B71C09}"/>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D545C"/>
    <w:multiLevelType w:val="singleLevel"/>
    <w:tmpl w:val="80FD545C"/>
    <w:lvl w:ilvl="0" w:tentative="0">
      <w:start w:val="2"/>
      <w:numFmt w:val="chineseCounting"/>
      <w:suff w:val="nothing"/>
      <w:lvlText w:val="（%1）"/>
      <w:lvlJc w:val="left"/>
      <w:rPr>
        <w:rFonts w:hint="eastAsia"/>
      </w:rPr>
    </w:lvl>
  </w:abstractNum>
  <w:abstractNum w:abstractNumId="1">
    <w:nsid w:val="AB95E3F0"/>
    <w:multiLevelType w:val="singleLevel"/>
    <w:tmpl w:val="AB95E3F0"/>
    <w:lvl w:ilvl="0" w:tentative="0">
      <w:start w:val="5"/>
      <w:numFmt w:val="chineseCounting"/>
      <w:suff w:val="space"/>
      <w:lvlText w:val="第%1部分"/>
      <w:lvlJc w:val="left"/>
      <w:rPr>
        <w:rFonts w:hint="eastAsia"/>
      </w:rPr>
    </w:lvl>
  </w:abstractNum>
  <w:abstractNum w:abstractNumId="2">
    <w:nsid w:val="C4E71FE9"/>
    <w:multiLevelType w:val="singleLevel"/>
    <w:tmpl w:val="C4E71FE9"/>
    <w:lvl w:ilvl="0" w:tentative="0">
      <w:start w:val="3"/>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F4B785F6"/>
    <w:multiLevelType w:val="singleLevel"/>
    <w:tmpl w:val="F4B785F6"/>
    <w:lvl w:ilvl="0" w:tentative="0">
      <w:start w:val="2"/>
      <w:numFmt w:val="chineseCounting"/>
      <w:suff w:val="nothing"/>
      <w:lvlText w:val="（%1）"/>
      <w:lvlJc w:val="left"/>
      <w:rPr>
        <w:rFonts w:hint="eastAsia"/>
      </w:rPr>
    </w:lvl>
  </w:abstractNum>
  <w:abstractNum w:abstractNumId="5">
    <w:nsid w:val="06E69FFC"/>
    <w:multiLevelType w:val="singleLevel"/>
    <w:tmpl w:val="06E69FFC"/>
    <w:lvl w:ilvl="0" w:tentative="0">
      <w:start w:val="2"/>
      <w:numFmt w:val="chineseCounting"/>
      <w:suff w:val="nothing"/>
      <w:lvlText w:val="（%1）"/>
      <w:lvlJc w:val="left"/>
      <w:rPr>
        <w:rFonts w:hint="eastAsia"/>
      </w:rPr>
    </w:lvl>
  </w:abstractNum>
  <w:abstractNum w:abstractNumId="6">
    <w:nsid w:val="3583FC3E"/>
    <w:multiLevelType w:val="singleLevel"/>
    <w:tmpl w:val="3583FC3E"/>
    <w:lvl w:ilvl="0" w:tentative="0">
      <w:start w:val="2"/>
      <w:numFmt w:val="chineseCounting"/>
      <w:suff w:val="nothing"/>
      <w:lvlText w:val="（%1）"/>
      <w:lvlJc w:val="left"/>
      <w:rPr>
        <w:rFonts w:hint="eastAsia"/>
      </w:rPr>
    </w:lvl>
  </w:abstractNum>
  <w:abstractNum w:abstractNumId="7">
    <w:nsid w:val="6048B6E0"/>
    <w:multiLevelType w:val="singleLevel"/>
    <w:tmpl w:val="6048B6E0"/>
    <w:lvl w:ilvl="0" w:tentative="0">
      <w:start w:val="2"/>
      <w:numFmt w:val="chineseCounting"/>
      <w:suff w:val="nothing"/>
      <w:lvlText w:val="（%1）"/>
      <w:lvlJc w:val="left"/>
      <w:rPr>
        <w:rFonts w:hint="eastAsia"/>
      </w:rPr>
    </w:lvl>
  </w:abstractNum>
  <w:num w:numId="1">
    <w:abstractNumId w:val="3"/>
  </w:num>
  <w:num w:numId="2">
    <w:abstractNumId w:val="2"/>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070B"/>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105E"/>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4AE0"/>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7152A"/>
    <w:rsid w:val="01516CA1"/>
    <w:rsid w:val="01F34B33"/>
    <w:rsid w:val="03041C6F"/>
    <w:rsid w:val="034C25AE"/>
    <w:rsid w:val="0374619D"/>
    <w:rsid w:val="03764E82"/>
    <w:rsid w:val="05DA4368"/>
    <w:rsid w:val="06284BD6"/>
    <w:rsid w:val="065814B9"/>
    <w:rsid w:val="066E0107"/>
    <w:rsid w:val="068530EB"/>
    <w:rsid w:val="06B90822"/>
    <w:rsid w:val="07246C5B"/>
    <w:rsid w:val="074035FC"/>
    <w:rsid w:val="078A1722"/>
    <w:rsid w:val="07996F6E"/>
    <w:rsid w:val="07BD6369"/>
    <w:rsid w:val="07CD2DA5"/>
    <w:rsid w:val="0807641A"/>
    <w:rsid w:val="086C7AE1"/>
    <w:rsid w:val="086D0A57"/>
    <w:rsid w:val="08D110BC"/>
    <w:rsid w:val="08FA1CE4"/>
    <w:rsid w:val="09513EB4"/>
    <w:rsid w:val="09630759"/>
    <w:rsid w:val="09806E14"/>
    <w:rsid w:val="09815408"/>
    <w:rsid w:val="098A61D4"/>
    <w:rsid w:val="09DA52F4"/>
    <w:rsid w:val="0A2032A3"/>
    <w:rsid w:val="0A5936EC"/>
    <w:rsid w:val="0A8766EE"/>
    <w:rsid w:val="0B5F2FA6"/>
    <w:rsid w:val="0BA3316A"/>
    <w:rsid w:val="0BFA02BD"/>
    <w:rsid w:val="0C0D0872"/>
    <w:rsid w:val="0C850160"/>
    <w:rsid w:val="0C981647"/>
    <w:rsid w:val="0CC639A8"/>
    <w:rsid w:val="0CE30E51"/>
    <w:rsid w:val="0D2A7C21"/>
    <w:rsid w:val="0D8416B9"/>
    <w:rsid w:val="0D9B601C"/>
    <w:rsid w:val="0E5417D4"/>
    <w:rsid w:val="0E7E0769"/>
    <w:rsid w:val="0EB52DF5"/>
    <w:rsid w:val="0F7440DF"/>
    <w:rsid w:val="101860EC"/>
    <w:rsid w:val="1034235B"/>
    <w:rsid w:val="10495F17"/>
    <w:rsid w:val="104C4D15"/>
    <w:rsid w:val="10C055FF"/>
    <w:rsid w:val="11055843"/>
    <w:rsid w:val="118107EC"/>
    <w:rsid w:val="11C14F78"/>
    <w:rsid w:val="12037164"/>
    <w:rsid w:val="1220348B"/>
    <w:rsid w:val="12367C50"/>
    <w:rsid w:val="12557610"/>
    <w:rsid w:val="127C354F"/>
    <w:rsid w:val="12CB06A1"/>
    <w:rsid w:val="131E48A3"/>
    <w:rsid w:val="13303508"/>
    <w:rsid w:val="13472B60"/>
    <w:rsid w:val="13615A08"/>
    <w:rsid w:val="13D50BC4"/>
    <w:rsid w:val="13E92CB0"/>
    <w:rsid w:val="14031C96"/>
    <w:rsid w:val="14261C6E"/>
    <w:rsid w:val="14D518B3"/>
    <w:rsid w:val="14E16AF3"/>
    <w:rsid w:val="14F42D81"/>
    <w:rsid w:val="15393F60"/>
    <w:rsid w:val="1548564D"/>
    <w:rsid w:val="15906385"/>
    <w:rsid w:val="15C965AF"/>
    <w:rsid w:val="15CB20B4"/>
    <w:rsid w:val="15EE68E7"/>
    <w:rsid w:val="16B62E57"/>
    <w:rsid w:val="16BB723D"/>
    <w:rsid w:val="173266FE"/>
    <w:rsid w:val="17443FDB"/>
    <w:rsid w:val="177D6330"/>
    <w:rsid w:val="17B078F3"/>
    <w:rsid w:val="17C00996"/>
    <w:rsid w:val="17F864CB"/>
    <w:rsid w:val="180B43CE"/>
    <w:rsid w:val="185B4A50"/>
    <w:rsid w:val="187F70BF"/>
    <w:rsid w:val="18E77FED"/>
    <w:rsid w:val="1AAD3FDB"/>
    <w:rsid w:val="1AD77A35"/>
    <w:rsid w:val="1AF8663B"/>
    <w:rsid w:val="1B5D6B58"/>
    <w:rsid w:val="1BE735BC"/>
    <w:rsid w:val="1BE8440E"/>
    <w:rsid w:val="1C0E2686"/>
    <w:rsid w:val="1C144666"/>
    <w:rsid w:val="1C305F5F"/>
    <w:rsid w:val="1CA03A91"/>
    <w:rsid w:val="1CCE1717"/>
    <w:rsid w:val="1D155CEE"/>
    <w:rsid w:val="1D894B3D"/>
    <w:rsid w:val="1E7A0ABC"/>
    <w:rsid w:val="1F033E4B"/>
    <w:rsid w:val="1F3702DD"/>
    <w:rsid w:val="1F634ECD"/>
    <w:rsid w:val="1F8C6CB5"/>
    <w:rsid w:val="1FA354B2"/>
    <w:rsid w:val="1FA479ED"/>
    <w:rsid w:val="1FC02B53"/>
    <w:rsid w:val="1FF7F151"/>
    <w:rsid w:val="20075DA9"/>
    <w:rsid w:val="20695730"/>
    <w:rsid w:val="209B175C"/>
    <w:rsid w:val="223B5C73"/>
    <w:rsid w:val="226578E7"/>
    <w:rsid w:val="22A62066"/>
    <w:rsid w:val="232A0494"/>
    <w:rsid w:val="23506F81"/>
    <w:rsid w:val="23860B96"/>
    <w:rsid w:val="240371BF"/>
    <w:rsid w:val="24797613"/>
    <w:rsid w:val="24905AA6"/>
    <w:rsid w:val="25B70008"/>
    <w:rsid w:val="25DB27FA"/>
    <w:rsid w:val="25F738DD"/>
    <w:rsid w:val="25FB4E3E"/>
    <w:rsid w:val="26567638"/>
    <w:rsid w:val="2718255C"/>
    <w:rsid w:val="271C7B91"/>
    <w:rsid w:val="273823D0"/>
    <w:rsid w:val="279D730E"/>
    <w:rsid w:val="27C678BF"/>
    <w:rsid w:val="27DA6C52"/>
    <w:rsid w:val="27DD95D2"/>
    <w:rsid w:val="28151D03"/>
    <w:rsid w:val="28634927"/>
    <w:rsid w:val="28B95174"/>
    <w:rsid w:val="28EB4D7B"/>
    <w:rsid w:val="28F90A1B"/>
    <w:rsid w:val="29EE7C7E"/>
    <w:rsid w:val="29FD04D3"/>
    <w:rsid w:val="2A22691F"/>
    <w:rsid w:val="2A3B3499"/>
    <w:rsid w:val="2A6A66B0"/>
    <w:rsid w:val="2B526788"/>
    <w:rsid w:val="2C144D86"/>
    <w:rsid w:val="2C8A61B5"/>
    <w:rsid w:val="2CC773ED"/>
    <w:rsid w:val="2CFF2411"/>
    <w:rsid w:val="2D976810"/>
    <w:rsid w:val="2DA2431B"/>
    <w:rsid w:val="2DC16210"/>
    <w:rsid w:val="2DF04E50"/>
    <w:rsid w:val="2EE44F55"/>
    <w:rsid w:val="2FD17DF0"/>
    <w:rsid w:val="2FDF153A"/>
    <w:rsid w:val="2FFC74C3"/>
    <w:rsid w:val="30240A94"/>
    <w:rsid w:val="307A206F"/>
    <w:rsid w:val="308D6987"/>
    <w:rsid w:val="30B40AA7"/>
    <w:rsid w:val="30B4684F"/>
    <w:rsid w:val="311E1EE9"/>
    <w:rsid w:val="319200A3"/>
    <w:rsid w:val="319F7F4E"/>
    <w:rsid w:val="32543A73"/>
    <w:rsid w:val="32C76685"/>
    <w:rsid w:val="330D6609"/>
    <w:rsid w:val="332114F9"/>
    <w:rsid w:val="332A615A"/>
    <w:rsid w:val="334B17A2"/>
    <w:rsid w:val="336712F7"/>
    <w:rsid w:val="33680871"/>
    <w:rsid w:val="33C148BB"/>
    <w:rsid w:val="33EF1A3E"/>
    <w:rsid w:val="34420F43"/>
    <w:rsid w:val="34551931"/>
    <w:rsid w:val="345B6F2B"/>
    <w:rsid w:val="348C6F71"/>
    <w:rsid w:val="34E33495"/>
    <w:rsid w:val="355306E3"/>
    <w:rsid w:val="359F7AA1"/>
    <w:rsid w:val="35C96905"/>
    <w:rsid w:val="3609017A"/>
    <w:rsid w:val="362734F3"/>
    <w:rsid w:val="367C1E27"/>
    <w:rsid w:val="36AA5135"/>
    <w:rsid w:val="36D27AB9"/>
    <w:rsid w:val="370834C1"/>
    <w:rsid w:val="376364A8"/>
    <w:rsid w:val="37E16F03"/>
    <w:rsid w:val="37E346B6"/>
    <w:rsid w:val="37E85770"/>
    <w:rsid w:val="37EF586D"/>
    <w:rsid w:val="37FB660D"/>
    <w:rsid w:val="3826453B"/>
    <w:rsid w:val="390F331D"/>
    <w:rsid w:val="39132517"/>
    <w:rsid w:val="39B21425"/>
    <w:rsid w:val="39C36166"/>
    <w:rsid w:val="3A1851AD"/>
    <w:rsid w:val="3A702062"/>
    <w:rsid w:val="3A7A43B9"/>
    <w:rsid w:val="3B77653B"/>
    <w:rsid w:val="3B7A54E6"/>
    <w:rsid w:val="3B9E0CF4"/>
    <w:rsid w:val="3BDB7904"/>
    <w:rsid w:val="3C0B603C"/>
    <w:rsid w:val="3C633739"/>
    <w:rsid w:val="3CCA1080"/>
    <w:rsid w:val="3CD56D8A"/>
    <w:rsid w:val="3D6D6DD8"/>
    <w:rsid w:val="3D98207C"/>
    <w:rsid w:val="3ED67D31"/>
    <w:rsid w:val="3ED7019F"/>
    <w:rsid w:val="3EDE27D7"/>
    <w:rsid w:val="3F0C7688"/>
    <w:rsid w:val="3FCF389E"/>
    <w:rsid w:val="401067C4"/>
    <w:rsid w:val="409B2706"/>
    <w:rsid w:val="40B034C9"/>
    <w:rsid w:val="41662610"/>
    <w:rsid w:val="427F1E49"/>
    <w:rsid w:val="431A27AF"/>
    <w:rsid w:val="43E67F7C"/>
    <w:rsid w:val="43FA5F11"/>
    <w:rsid w:val="44385B3C"/>
    <w:rsid w:val="444D3BC7"/>
    <w:rsid w:val="44E268DA"/>
    <w:rsid w:val="44E55BB5"/>
    <w:rsid w:val="44E92C7B"/>
    <w:rsid w:val="45652367"/>
    <w:rsid w:val="45926B10"/>
    <w:rsid w:val="45F839A1"/>
    <w:rsid w:val="45FC26D8"/>
    <w:rsid w:val="4676716C"/>
    <w:rsid w:val="46C95285"/>
    <w:rsid w:val="475A1696"/>
    <w:rsid w:val="47AD0343"/>
    <w:rsid w:val="48951E3F"/>
    <w:rsid w:val="489F7C6C"/>
    <w:rsid w:val="49364730"/>
    <w:rsid w:val="49656EEA"/>
    <w:rsid w:val="499D5E96"/>
    <w:rsid w:val="49DC1183"/>
    <w:rsid w:val="49E24BA6"/>
    <w:rsid w:val="49FA46C6"/>
    <w:rsid w:val="4A3F340D"/>
    <w:rsid w:val="4A406752"/>
    <w:rsid w:val="4A4C6BCF"/>
    <w:rsid w:val="4A627F82"/>
    <w:rsid w:val="4ABF6C1D"/>
    <w:rsid w:val="4AEB5A0A"/>
    <w:rsid w:val="4B133832"/>
    <w:rsid w:val="4B4F25DA"/>
    <w:rsid w:val="4B917498"/>
    <w:rsid w:val="4BE068DB"/>
    <w:rsid w:val="4C5D5259"/>
    <w:rsid w:val="4D181567"/>
    <w:rsid w:val="4D577224"/>
    <w:rsid w:val="4DB82E68"/>
    <w:rsid w:val="4E6553A4"/>
    <w:rsid w:val="4E7F15E3"/>
    <w:rsid w:val="4E847FB3"/>
    <w:rsid w:val="4EAB630A"/>
    <w:rsid w:val="4ECE2238"/>
    <w:rsid w:val="4F0D07CB"/>
    <w:rsid w:val="4F30401C"/>
    <w:rsid w:val="4F9C27E5"/>
    <w:rsid w:val="50DC2FB4"/>
    <w:rsid w:val="51315BA8"/>
    <w:rsid w:val="51AD04F7"/>
    <w:rsid w:val="51F479B9"/>
    <w:rsid w:val="529758C0"/>
    <w:rsid w:val="532F08F4"/>
    <w:rsid w:val="533132E3"/>
    <w:rsid w:val="53F43B0B"/>
    <w:rsid w:val="55022E75"/>
    <w:rsid w:val="55966B24"/>
    <w:rsid w:val="55AC239B"/>
    <w:rsid w:val="55D9534A"/>
    <w:rsid w:val="569677D4"/>
    <w:rsid w:val="574E53F6"/>
    <w:rsid w:val="57793D22"/>
    <w:rsid w:val="57B355D4"/>
    <w:rsid w:val="57CD1740"/>
    <w:rsid w:val="57D94057"/>
    <w:rsid w:val="586B4CFB"/>
    <w:rsid w:val="5894510D"/>
    <w:rsid w:val="59125759"/>
    <w:rsid w:val="59557A26"/>
    <w:rsid w:val="59DE7C7D"/>
    <w:rsid w:val="5A5810DC"/>
    <w:rsid w:val="5A770704"/>
    <w:rsid w:val="5AF92295"/>
    <w:rsid w:val="5B676CDC"/>
    <w:rsid w:val="5B68691D"/>
    <w:rsid w:val="5B726311"/>
    <w:rsid w:val="5BE764D3"/>
    <w:rsid w:val="5CD71FC4"/>
    <w:rsid w:val="5D1055F9"/>
    <w:rsid w:val="5D975E0D"/>
    <w:rsid w:val="5E357939"/>
    <w:rsid w:val="5E3801CB"/>
    <w:rsid w:val="5E702788"/>
    <w:rsid w:val="5E78339B"/>
    <w:rsid w:val="5EA540F0"/>
    <w:rsid w:val="5EFC7D68"/>
    <w:rsid w:val="5F174A07"/>
    <w:rsid w:val="5F2345A8"/>
    <w:rsid w:val="5F73474C"/>
    <w:rsid w:val="5FC47D70"/>
    <w:rsid w:val="5FE251AD"/>
    <w:rsid w:val="60124D53"/>
    <w:rsid w:val="601A2A44"/>
    <w:rsid w:val="603E10C8"/>
    <w:rsid w:val="60566DD7"/>
    <w:rsid w:val="607242A3"/>
    <w:rsid w:val="60944646"/>
    <w:rsid w:val="62204041"/>
    <w:rsid w:val="62471EC0"/>
    <w:rsid w:val="628944DF"/>
    <w:rsid w:val="62AE79F4"/>
    <w:rsid w:val="630277F4"/>
    <w:rsid w:val="633C5500"/>
    <w:rsid w:val="63AE488E"/>
    <w:rsid w:val="63C56E48"/>
    <w:rsid w:val="63EC3F5E"/>
    <w:rsid w:val="6474616C"/>
    <w:rsid w:val="64AE5FC5"/>
    <w:rsid w:val="64CB495F"/>
    <w:rsid w:val="6618217D"/>
    <w:rsid w:val="66376316"/>
    <w:rsid w:val="664021E1"/>
    <w:rsid w:val="66B30FFA"/>
    <w:rsid w:val="67336F95"/>
    <w:rsid w:val="67937EBC"/>
    <w:rsid w:val="683C7E43"/>
    <w:rsid w:val="68444FBC"/>
    <w:rsid w:val="686076E9"/>
    <w:rsid w:val="686E6B15"/>
    <w:rsid w:val="69386DEF"/>
    <w:rsid w:val="69943B6F"/>
    <w:rsid w:val="69FD5FCE"/>
    <w:rsid w:val="6A3C7A0F"/>
    <w:rsid w:val="6A573C52"/>
    <w:rsid w:val="6AE535A7"/>
    <w:rsid w:val="6BBD3BA0"/>
    <w:rsid w:val="6BFF68B3"/>
    <w:rsid w:val="6C4A05C8"/>
    <w:rsid w:val="6C52131D"/>
    <w:rsid w:val="6C7F1CC2"/>
    <w:rsid w:val="6C962C79"/>
    <w:rsid w:val="6D4F31CB"/>
    <w:rsid w:val="6D707194"/>
    <w:rsid w:val="6D7230FC"/>
    <w:rsid w:val="6DA34D94"/>
    <w:rsid w:val="6E3575D8"/>
    <w:rsid w:val="6E681704"/>
    <w:rsid w:val="6E7A1CE2"/>
    <w:rsid w:val="6E7E3605"/>
    <w:rsid w:val="6E994F5A"/>
    <w:rsid w:val="6EAF30B9"/>
    <w:rsid w:val="6ED7325E"/>
    <w:rsid w:val="6EE135C6"/>
    <w:rsid w:val="6F764B18"/>
    <w:rsid w:val="6F8D3D5E"/>
    <w:rsid w:val="6FD43076"/>
    <w:rsid w:val="6FF43284"/>
    <w:rsid w:val="6FF5CC65"/>
    <w:rsid w:val="708A4A64"/>
    <w:rsid w:val="70D31411"/>
    <w:rsid w:val="715C0E4B"/>
    <w:rsid w:val="71EA30DE"/>
    <w:rsid w:val="72734D90"/>
    <w:rsid w:val="72A47B94"/>
    <w:rsid w:val="732F7373"/>
    <w:rsid w:val="733F3965"/>
    <w:rsid w:val="73A149CC"/>
    <w:rsid w:val="73AD73D5"/>
    <w:rsid w:val="73B6EB34"/>
    <w:rsid w:val="749F3FF3"/>
    <w:rsid w:val="753319D5"/>
    <w:rsid w:val="75730A6F"/>
    <w:rsid w:val="75E04F05"/>
    <w:rsid w:val="769E366E"/>
    <w:rsid w:val="770A4808"/>
    <w:rsid w:val="77610A51"/>
    <w:rsid w:val="77984A32"/>
    <w:rsid w:val="77BD55A0"/>
    <w:rsid w:val="77D322FB"/>
    <w:rsid w:val="77DB7E31"/>
    <w:rsid w:val="77EF6F5E"/>
    <w:rsid w:val="78735EC2"/>
    <w:rsid w:val="791C2F7D"/>
    <w:rsid w:val="79404471"/>
    <w:rsid w:val="7950146E"/>
    <w:rsid w:val="795F6596"/>
    <w:rsid w:val="797B76D9"/>
    <w:rsid w:val="79A970CB"/>
    <w:rsid w:val="79E812A9"/>
    <w:rsid w:val="79EE5BA4"/>
    <w:rsid w:val="7A894339"/>
    <w:rsid w:val="7AE86369"/>
    <w:rsid w:val="7B763395"/>
    <w:rsid w:val="7BB36D5D"/>
    <w:rsid w:val="7BE13AFB"/>
    <w:rsid w:val="7BE2721A"/>
    <w:rsid w:val="7C2D46B0"/>
    <w:rsid w:val="7C3C221C"/>
    <w:rsid w:val="7C4866A2"/>
    <w:rsid w:val="7C9F6603"/>
    <w:rsid w:val="7CE00B28"/>
    <w:rsid w:val="7D9C4192"/>
    <w:rsid w:val="7DEC3A0C"/>
    <w:rsid w:val="7E686858"/>
    <w:rsid w:val="7EEF11D3"/>
    <w:rsid w:val="7EFF6199"/>
    <w:rsid w:val="7F2B525C"/>
    <w:rsid w:val="7F8B719B"/>
    <w:rsid w:val="7FA30C79"/>
    <w:rsid w:val="7FC96657"/>
    <w:rsid w:val="AFFFE672"/>
    <w:rsid w:val="BB5DF5AE"/>
    <w:rsid w:val="D8D6DB89"/>
    <w:rsid w:val="DB6F4CAB"/>
    <w:rsid w:val="DF6F9789"/>
    <w:rsid w:val="FEEB1FB1"/>
    <w:rsid w:val="FFB3AC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basedOn w:val="14"/>
    <w:link w:val="3"/>
    <w:qFormat/>
    <w:uiPriority w:val="9"/>
    <w:rPr>
      <w:rFonts w:ascii="Times New Roman" w:hAnsi="Times New Roman"/>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4"/>
    <w:link w:val="5"/>
    <w:qFormat/>
    <w:uiPriority w:val="9"/>
    <w:rPr>
      <w:rFonts w:ascii="Times New Roman" w:hAnsi="Times New Roman"/>
      <w:b/>
      <w:bCs/>
      <w:kern w:val="2"/>
      <w:sz w:val="32"/>
      <w:szCs w:val="32"/>
    </w:rPr>
  </w:style>
  <w:style w:type="character" w:customStyle="1" w:styleId="20">
    <w:name w:val="Header Char"/>
    <w:basedOn w:val="14"/>
    <w:semiHidden/>
    <w:qFormat/>
    <w:uiPriority w:val="99"/>
    <w:rPr>
      <w:rFonts w:ascii="Times New Roman" w:hAnsi="Times New Roman"/>
      <w:sz w:val="18"/>
      <w:szCs w:val="18"/>
    </w:rPr>
  </w:style>
  <w:style w:type="character" w:customStyle="1" w:styleId="21">
    <w:name w:val="页眉 Char"/>
    <w:link w:val="9"/>
    <w:semiHidden/>
    <w:qFormat/>
    <w:locked/>
    <w:uiPriority w:val="99"/>
    <w:rPr>
      <w:sz w:val="18"/>
    </w:rPr>
  </w:style>
  <w:style w:type="character" w:customStyle="1" w:styleId="22">
    <w:name w:val="Footer Char"/>
    <w:basedOn w:val="14"/>
    <w:semiHidden/>
    <w:qFormat/>
    <w:uiPriority w:val="99"/>
    <w:rPr>
      <w:rFonts w:ascii="Times New Roman" w:hAnsi="Times New Roman"/>
      <w:sz w:val="18"/>
      <w:szCs w:val="18"/>
    </w:rPr>
  </w:style>
  <w:style w:type="character" w:customStyle="1" w:styleId="23">
    <w:name w:val="页脚 Char"/>
    <w:link w:val="8"/>
    <w:qFormat/>
    <w:locked/>
    <w:uiPriority w:val="99"/>
    <w:rPr>
      <w:sz w:val="18"/>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样式 行距: 固定值 28.9 磅"/>
    <w:basedOn w:val="1"/>
    <w:qFormat/>
    <w:uiPriority w:val="0"/>
    <w:pPr>
      <w:spacing w:line="578" w:lineRule="exact"/>
    </w:pPr>
    <w:rPr>
      <w:rFonts w:cs="宋体"/>
      <w:szCs w:val="20"/>
    </w:rPr>
  </w:style>
  <w:style w:type="paragraph" w:customStyle="1" w:styleId="32">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[工作簿1]Sheet1!$D$6:$D$7</c:f>
              <c:strCache>
                <c:ptCount val="2"/>
                <c:pt idx="0">
                  <c:v>2021年</c:v>
                </c:pt>
                <c:pt idx="1">
                  <c:v>2020年</c:v>
                </c:pt>
              </c:strCache>
            </c:strRef>
          </c:cat>
          <c:val>
            <c:numRef>
              <c:f>[工作簿1]Sheet1!$E$6:$E$7</c:f>
              <c:numCache>
                <c:formatCode>General</c:formatCode>
                <c:ptCount val="2"/>
                <c:pt idx="0">
                  <c:v>3887.97</c:v>
                </c:pt>
                <c:pt idx="1">
                  <c:v>3847.76</c:v>
                </c:pt>
              </c:numCache>
            </c:numRef>
          </c:val>
        </c:ser>
        <c:dLbls>
          <c:showLegendKey val="0"/>
          <c:showVal val="1"/>
          <c:showCatName val="0"/>
          <c:showSerName val="0"/>
          <c:showPercent val="0"/>
          <c:showBubbleSize val="0"/>
        </c:dLbls>
        <c:gapWidth val="150"/>
        <c:overlap val="100"/>
        <c:axId val="703052240"/>
        <c:axId val="691567756"/>
      </c:barChart>
      <c:catAx>
        <c:axId val="7030522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67756"/>
        <c:crosses val="autoZero"/>
        <c:auto val="1"/>
        <c:lblAlgn val="ctr"/>
        <c:lblOffset val="100"/>
        <c:noMultiLvlLbl val="0"/>
      </c:catAx>
      <c:valAx>
        <c:axId val="6915677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05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99.82%</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0.18%</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[工作簿1]Sheet1!$D$6:$D$7</c:f>
              <c:strCache>
                <c:ptCount val="2"/>
                <c:pt idx="0">
                  <c:v>一般公共预算财政拨款收入</c:v>
                </c:pt>
                <c:pt idx="1">
                  <c:v>其他收入</c:v>
                </c:pt>
              </c:strCache>
            </c:strRef>
          </c:cat>
          <c:val>
            <c:numRef>
              <c:f>[工作簿1]Sheet1!$E$6:$E$7</c:f>
              <c:numCache>
                <c:formatCode>General</c:formatCode>
                <c:ptCount val="2"/>
                <c:pt idx="0">
                  <c:v>2859.62</c:v>
                </c:pt>
                <c:pt idx="1">
                  <c:v>5.28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[工作簿1]Sheet1!$D$6:$D$7</c:f>
              <c:strCache>
                <c:ptCount val="2"/>
                <c:pt idx="0">
                  <c:v>基本支出</c:v>
                </c:pt>
                <c:pt idx="1">
                  <c:v>项目支出</c:v>
                </c:pt>
              </c:strCache>
            </c:strRef>
          </c:cat>
          <c:val>
            <c:numRef>
              <c:f>[工作簿1]Sheet1!$E$6:$E$7</c:f>
              <c:numCache>
                <c:formatCode>General</c:formatCode>
                <c:ptCount val="2"/>
                <c:pt idx="0">
                  <c:v>2100.11</c:v>
                </c:pt>
                <c:pt idx="1">
                  <c:v>1099.63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08310249307479"/>
          <c:y val="0.04844392248972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3801</a:t>
                    </a:r>
                  </a:p>
                </c:rich>
              </c:tx>
              <c:dLblPos val="inEnd"/>
              <c:showLegendKey val="0"/>
              <c:showVal val="1"/>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[工作簿1]Sheet1!$D$6:$D$7</c:f>
              <c:strCache>
                <c:ptCount val="2"/>
                <c:pt idx="0">
                  <c:v>2021年财政拨款收、支</c:v>
                </c:pt>
                <c:pt idx="1">
                  <c:v>2020年财政拨款收、支</c:v>
                </c:pt>
              </c:strCache>
            </c:strRef>
          </c:cat>
          <c:val>
            <c:numRef>
              <c:f>[工作簿1]Sheet1!$E$6:$E$7</c:f>
              <c:numCache>
                <c:formatCode>General</c:formatCode>
                <c:ptCount val="2"/>
                <c:pt idx="0">
                  <c:v>3801</c:v>
                </c:pt>
                <c:pt idx="1">
                  <c:v>3737.78</c:v>
                </c:pt>
              </c:numCache>
            </c:numRef>
          </c:val>
        </c:ser>
        <c:dLbls>
          <c:showLegendKey val="0"/>
          <c:showVal val="1"/>
          <c:showCatName val="0"/>
          <c:showSerName val="0"/>
          <c:showPercent val="1"/>
          <c:showBubbleSize val="0"/>
        </c:dLbls>
        <c:gapWidth val="150"/>
        <c:overlap val="0"/>
        <c:axId val="703052240"/>
        <c:axId val="691567756"/>
      </c:barChart>
      <c:catAx>
        <c:axId val="7030522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67756"/>
        <c:crosses val="autoZero"/>
        <c:auto val="1"/>
        <c:lblAlgn val="ctr"/>
        <c:lblOffset val="100"/>
        <c:noMultiLvlLbl val="0"/>
      </c:catAx>
      <c:valAx>
        <c:axId val="6915677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05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20797151337748"/>
          <c:y val="0.048146371711320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[工作簿1]Sheet1!$C$5:$C$6</c:f>
              <c:strCache>
                <c:ptCount val="2"/>
                <c:pt idx="0">
                  <c:v>2021年一般公共预算财政拨款</c:v>
                </c:pt>
                <c:pt idx="1">
                  <c:v>2020年一般公共预算财政拨款</c:v>
                </c:pt>
              </c:strCache>
            </c:strRef>
          </c:cat>
          <c:val>
            <c:numRef>
              <c:f>[工作簿1]Sheet1!$D$5:$D$6</c:f>
              <c:numCache>
                <c:formatCode>General</c:formatCode>
                <c:ptCount val="2"/>
                <c:pt idx="0">
                  <c:v>3194.58</c:v>
                </c:pt>
                <c:pt idx="1">
                  <c:v>2524.1</c:v>
                </c:pt>
              </c:numCache>
            </c:numRef>
          </c:val>
        </c:ser>
        <c:dLbls>
          <c:showLegendKey val="0"/>
          <c:showVal val="1"/>
          <c:showCatName val="0"/>
          <c:showSerName val="0"/>
          <c:showPercent val="0"/>
          <c:showBubbleSize val="0"/>
        </c:dLbls>
        <c:gapWidth val="75"/>
        <c:overlap val="40"/>
        <c:axId val="690026825"/>
        <c:axId val="800617949"/>
      </c:barChart>
      <c:catAx>
        <c:axId val="6900268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617949"/>
        <c:crosses val="autoZero"/>
        <c:auto val="1"/>
        <c:lblAlgn val="ctr"/>
        <c:lblOffset val="100"/>
        <c:noMultiLvlLbl val="0"/>
      </c:catAx>
      <c:valAx>
        <c:axId val="8006179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00268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[工作簿1]Sheet1!$C$5:$C$8</c:f>
              <c:strCache>
                <c:ptCount val="4"/>
                <c:pt idx="0">
                  <c:v>一般公共服务</c:v>
                </c:pt>
                <c:pt idx="1">
                  <c:v>社会保障和就业</c:v>
                </c:pt>
                <c:pt idx="2">
                  <c:v>卫生健康</c:v>
                </c:pt>
                <c:pt idx="3">
                  <c:v>住房保障</c:v>
                </c:pt>
              </c:strCache>
            </c:strRef>
          </c:cat>
          <c:val>
            <c:numRef>
              <c:f>[工作簿1]Sheet1!$D$5:$D$8</c:f>
              <c:numCache>
                <c:formatCode>General</c:formatCode>
                <c:ptCount val="4"/>
                <c:pt idx="0">
                  <c:v>2683.09</c:v>
                </c:pt>
                <c:pt idx="1">
                  <c:v>220.12</c:v>
                </c:pt>
                <c:pt idx="2">
                  <c:v>55.63</c:v>
                </c:pt>
                <c:pt idx="3">
                  <c:v>235.74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25186722802954"/>
                  <c:y val="0.03356374032906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878347259295314"/>
                  <c:y val="0.09385997676221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[工作簿1]Sheet1!$C$3:$C$5</c:f>
              <c:strCache>
                <c:ptCount val="3"/>
                <c:pt idx="0">
                  <c:v>因公出国（境）费支出</c:v>
                </c:pt>
                <c:pt idx="1">
                  <c:v>公务用车购置及运行维护费支出</c:v>
                </c:pt>
                <c:pt idx="2">
                  <c:v>公务接待费支出</c:v>
                </c:pt>
              </c:strCache>
            </c:strRef>
          </c:cat>
          <c:val>
            <c:numRef>
              <c:f>[工作簿1]Sheet1!$D$3:$D$5</c:f>
              <c:numCache>
                <c:formatCode>General</c:formatCode>
                <c:ptCount val="3"/>
                <c:pt idx="0">
                  <c:v>0</c:v>
                </c:pt>
                <c:pt idx="1">
                  <c:v>25.79</c:v>
                </c:pt>
                <c:pt idx="2">
                  <c:v>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252768500615222"/>
          <c:y val="0.212579885637403"/>
          <c:w val="0.611882580418351"/>
          <c:h val="0.20854355869492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20381</Words>
  <Characters>21682</Characters>
  <Lines>61</Lines>
  <Paragraphs>17</Paragraphs>
  <TotalTime>5</TotalTime>
  <ScaleCrop>false</ScaleCrop>
  <LinksUpToDate>false</LinksUpToDate>
  <CharactersWithSpaces>22354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玖千余为春秋</cp:lastModifiedBy>
  <cp:lastPrinted>2022-08-09T09:11:00Z</cp:lastPrinted>
  <dcterms:modified xsi:type="dcterms:W3CDTF">2023-07-28T13:48:55Z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