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96475"/>
      <w:bookmarkStart w:id="4" w:name="_Toc15377193"/>
      <w:bookmarkStart w:id="5" w:name="_Toc15378441"/>
      <w:r>
        <w:rPr>
          <w:rFonts w:ascii="黑体" w:hAnsi="黑体" w:eastAsia="黑体"/>
          <w:color w:val="000000"/>
          <w:sz w:val="72"/>
          <w:szCs w:val="72"/>
        </w:rPr>
        <w:t>202</w:t>
      </w:r>
      <w:r>
        <w:rPr>
          <w:rFonts w:hint="eastAsia" w:ascii="黑体" w:hAnsi="黑体" w:eastAsia="黑体"/>
          <w:color w:val="000000"/>
          <w:sz w:val="72"/>
          <w:szCs w:val="72"/>
        </w:rPr>
        <w:t>1</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476"/>
      <w:bookmarkStart w:id="8" w:name="_Toc15377194"/>
      <w:bookmarkStart w:id="9" w:name="_Toc15396598"/>
      <w:bookmarkStart w:id="10" w:name="_Toc15378442"/>
      <w:r>
        <w:rPr>
          <w:rFonts w:hint="eastAsia" w:ascii="方正小标宋简体" w:hAnsi="宋体" w:eastAsia="方正小标宋简体"/>
          <w:color w:val="000000"/>
          <w:sz w:val="72"/>
          <w:szCs w:val="72"/>
        </w:rPr>
        <w:t>广元市</w:t>
      </w:r>
      <w:bookmarkStart w:id="11" w:name="_Toc15306268"/>
      <w:r>
        <w:rPr>
          <w:rFonts w:hint="eastAsia" w:ascii="方正小标宋简体" w:hAnsi="宋体" w:eastAsia="方正小标宋简体"/>
          <w:color w:val="000000"/>
          <w:sz w:val="72"/>
          <w:szCs w:val="72"/>
        </w:rPr>
        <w:t>实验小学校</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w:t>
      </w:r>
      <w:bookmarkEnd w:id="6"/>
      <w:bookmarkEnd w:id="7"/>
      <w:bookmarkEnd w:id="8"/>
      <w:bookmarkEnd w:id="9"/>
      <w:bookmarkEnd w:id="10"/>
      <w:bookmarkEnd w:id="11"/>
      <w:r>
        <w:rPr>
          <w:rFonts w:hint="eastAsia" w:ascii="方正小标宋简体" w:hAnsi="宋体" w:eastAsia="方正小标宋简体"/>
          <w:color w:val="000000"/>
          <w:sz w:val="72"/>
          <w:szCs w:val="72"/>
        </w:rPr>
        <w:t>决算编制说明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公开时间：2022年10月9日</w:t>
      </w:r>
    </w:p>
    <w:p/>
    <w:p>
      <w:pPr>
        <w:pStyle w:val="10"/>
        <w:adjustRightInd w:val="0"/>
        <w:snapToGrid w:val="0"/>
        <w:spacing w:line="440" w:lineRule="exact"/>
        <w:jc w:val="left"/>
        <w:rPr>
          <w:sz w:val="24"/>
          <w:szCs w:val="24"/>
        </w:rPr>
      </w:pPr>
      <w:bookmarkStart w:id="12" w:name="_Toc15377196"/>
      <w:bookmarkStart w:id="13" w:name="_Toc15396599"/>
      <w:r>
        <w:rPr>
          <w:rFonts w:hint="eastAsia"/>
          <w:sz w:val="24"/>
        </w:rPr>
        <w:t>第一部分</w:t>
      </w:r>
      <w:r>
        <w:rPr>
          <w:sz w:val="24"/>
        </w:rPr>
        <w:t xml:space="preserve"> </w:t>
      </w:r>
      <w:r>
        <w:rPr>
          <w:rFonts w:hint="eastAsia"/>
          <w:sz w:val="24"/>
        </w:rPr>
        <w:t>单位概况</w:t>
      </w:r>
      <w:r>
        <w:tab/>
      </w:r>
      <w:r>
        <w:rPr>
          <w:sz w:val="21"/>
          <w:szCs w:val="21"/>
        </w:rPr>
        <w:t>4</w:t>
      </w:r>
    </w:p>
    <w:p>
      <w:pPr>
        <w:pStyle w:val="11"/>
        <w:adjustRightInd w:val="0"/>
        <w:snapToGrid w:val="0"/>
        <w:spacing w:line="440" w:lineRule="exact"/>
        <w:jc w:val="left"/>
        <w:rPr>
          <w:sz w:val="24"/>
        </w:rPr>
      </w:pPr>
      <w:r>
        <w:rPr>
          <w:rFonts w:hint="eastAsia"/>
          <w:sz w:val="24"/>
        </w:rPr>
        <w:t>一、职能简介</w:t>
      </w:r>
      <w:r>
        <w:tab/>
      </w:r>
      <w:r>
        <w:t>4</w:t>
      </w:r>
    </w:p>
    <w:p>
      <w:pPr>
        <w:pStyle w:val="11"/>
        <w:numPr>
          <w:ilvl w:val="0"/>
          <w:numId w:val="1"/>
        </w:numPr>
        <w:adjustRightInd w:val="0"/>
        <w:snapToGrid w:val="0"/>
        <w:spacing w:line="440" w:lineRule="exact"/>
        <w:jc w:val="left"/>
      </w:pPr>
      <w:r>
        <w:rPr>
          <w:rFonts w:hint="eastAsia"/>
          <w:sz w:val="24"/>
        </w:rPr>
        <w:t>2021年重点工作完成情况</w:t>
      </w:r>
      <w:r>
        <w:tab/>
      </w:r>
      <w:r>
        <w:rPr>
          <w:rFonts w:hint="eastAsia"/>
        </w:rPr>
        <w:t>4</w:t>
      </w:r>
    </w:p>
    <w:p>
      <w:pPr>
        <w:pStyle w:val="10"/>
        <w:adjustRightInd w:val="0"/>
        <w:snapToGrid w:val="0"/>
        <w:spacing w:before="0" w:line="440" w:lineRule="exact"/>
        <w:jc w:val="left"/>
        <w:rPr>
          <w:sz w:val="24"/>
          <w:szCs w:val="24"/>
        </w:rPr>
      </w:pPr>
      <w:r>
        <w:rPr>
          <w:rFonts w:hint="eastAsia"/>
          <w:sz w:val="24"/>
        </w:rPr>
        <w:t>第二部分 2021年度单位决算情况说明</w:t>
      </w:r>
      <w:r>
        <w:tab/>
      </w:r>
      <w:r>
        <w:rPr>
          <w:rFonts w:hint="eastAsia"/>
          <w:sz w:val="21"/>
          <w:szCs w:val="21"/>
        </w:rPr>
        <w:t>11</w:t>
      </w:r>
    </w:p>
    <w:p>
      <w:pPr>
        <w:pStyle w:val="11"/>
        <w:numPr>
          <w:ilvl w:val="0"/>
          <w:numId w:val="2"/>
        </w:numPr>
        <w:adjustRightInd w:val="0"/>
        <w:snapToGrid w:val="0"/>
        <w:spacing w:line="440" w:lineRule="exact"/>
        <w:jc w:val="left"/>
      </w:pPr>
      <w:r>
        <w:rPr>
          <w:rFonts w:hint="eastAsia"/>
          <w:sz w:val="24"/>
        </w:rPr>
        <w:t>收入支出决算总体情况说明</w:t>
      </w:r>
      <w:r>
        <w:tab/>
      </w:r>
      <w:r>
        <w:rPr>
          <w:rFonts w:hint="eastAsia"/>
        </w:rPr>
        <w:t>11</w:t>
      </w:r>
    </w:p>
    <w:p>
      <w:pPr>
        <w:pStyle w:val="11"/>
        <w:numPr>
          <w:ilvl w:val="0"/>
          <w:numId w:val="2"/>
        </w:numPr>
        <w:adjustRightInd w:val="0"/>
        <w:snapToGrid w:val="0"/>
        <w:spacing w:line="440" w:lineRule="exact"/>
        <w:jc w:val="left"/>
        <w:rPr>
          <w:sz w:val="24"/>
        </w:rPr>
      </w:pPr>
      <w:r>
        <w:rPr>
          <w:rFonts w:hint="eastAsia"/>
          <w:sz w:val="24"/>
        </w:rPr>
        <w:t>收入决算情况说明</w:t>
      </w:r>
      <w:r>
        <w:tab/>
      </w:r>
      <w:r>
        <w:rPr>
          <w:rFonts w:hint="eastAsia"/>
        </w:rPr>
        <w:t>11</w:t>
      </w:r>
    </w:p>
    <w:p>
      <w:pPr>
        <w:pStyle w:val="11"/>
        <w:adjustRightInd w:val="0"/>
        <w:snapToGrid w:val="0"/>
        <w:spacing w:line="440" w:lineRule="exact"/>
        <w:jc w:val="left"/>
        <w:rPr>
          <w:sz w:val="24"/>
        </w:rPr>
      </w:pPr>
      <w:r>
        <w:rPr>
          <w:rFonts w:hint="eastAsia"/>
          <w:sz w:val="24"/>
        </w:rPr>
        <w:t>三、支出决算情况说明</w:t>
      </w:r>
      <w:r>
        <w:tab/>
      </w:r>
      <w:r>
        <w:rPr>
          <w:rFonts w:hint="eastAsia"/>
        </w:rPr>
        <w:t>12</w:t>
      </w:r>
    </w:p>
    <w:p>
      <w:pPr>
        <w:pStyle w:val="11"/>
        <w:adjustRightInd w:val="0"/>
        <w:snapToGrid w:val="0"/>
        <w:spacing w:line="440" w:lineRule="exact"/>
        <w:jc w:val="left"/>
        <w:rPr>
          <w:sz w:val="24"/>
        </w:rPr>
      </w:pPr>
      <w:r>
        <w:rPr>
          <w:rFonts w:hint="eastAsia"/>
          <w:sz w:val="24"/>
        </w:rPr>
        <w:t>四、财政拨款收入支出决算总体情况说明</w:t>
      </w:r>
      <w:r>
        <w:tab/>
      </w:r>
      <w:r>
        <w:rPr>
          <w:rFonts w:hint="eastAsia"/>
        </w:rPr>
        <w:t>12</w:t>
      </w:r>
    </w:p>
    <w:p>
      <w:pPr>
        <w:pStyle w:val="11"/>
        <w:adjustRightInd w:val="0"/>
        <w:snapToGrid w:val="0"/>
        <w:spacing w:line="440" w:lineRule="exact"/>
        <w:jc w:val="left"/>
        <w:rPr>
          <w:sz w:val="24"/>
        </w:rPr>
      </w:pPr>
      <w:r>
        <w:rPr>
          <w:rFonts w:hint="eastAsia"/>
          <w:sz w:val="24"/>
        </w:rPr>
        <w:t>五、一般公共预算财政拨款支出决算情况说明</w:t>
      </w:r>
      <w:r>
        <w:tab/>
      </w:r>
      <w:r>
        <w:rPr>
          <w:rFonts w:hint="eastAsia"/>
        </w:rPr>
        <w:t>13</w:t>
      </w:r>
    </w:p>
    <w:p>
      <w:pPr>
        <w:pStyle w:val="11"/>
        <w:adjustRightInd w:val="0"/>
        <w:snapToGrid w:val="0"/>
        <w:spacing w:line="440" w:lineRule="exact"/>
        <w:jc w:val="left"/>
        <w:rPr>
          <w:sz w:val="24"/>
        </w:rPr>
      </w:pPr>
      <w:r>
        <w:rPr>
          <w:rFonts w:hint="eastAsia"/>
          <w:sz w:val="24"/>
        </w:rPr>
        <w:t>六、一般公共预算财政拨款基本支出决算情况说明</w:t>
      </w:r>
      <w:r>
        <w:tab/>
      </w:r>
      <w:r>
        <w:rPr>
          <w:rFonts w:hint="eastAsia"/>
        </w:rPr>
        <w:t>15</w:t>
      </w:r>
    </w:p>
    <w:p>
      <w:pPr>
        <w:pStyle w:val="11"/>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w:t>
      </w:r>
      <w:r>
        <w:tab/>
      </w:r>
      <w:r>
        <w:rPr>
          <w:rFonts w:hint="eastAsia"/>
        </w:rPr>
        <w:t>16</w:t>
      </w:r>
    </w:p>
    <w:p>
      <w:pPr>
        <w:pStyle w:val="11"/>
        <w:adjustRightInd w:val="0"/>
        <w:snapToGrid w:val="0"/>
        <w:spacing w:line="440" w:lineRule="exact"/>
        <w:jc w:val="left"/>
        <w:rPr>
          <w:rFonts w:ascii="仿宋" w:hAnsi="仿宋" w:eastAsia="仿宋"/>
          <w:sz w:val="24"/>
        </w:rPr>
      </w:pPr>
      <w:r>
        <w:rPr>
          <w:rFonts w:hint="eastAsia"/>
          <w:sz w:val="24"/>
        </w:rPr>
        <w:t>八、政府性基金预算支出决算情况说明</w:t>
      </w:r>
      <w:r>
        <w:tab/>
      </w:r>
      <w:r>
        <w:rPr>
          <w:rFonts w:hint="eastAsia"/>
        </w:rPr>
        <w:t>18</w:t>
      </w:r>
    </w:p>
    <w:p>
      <w:pPr>
        <w:pStyle w:val="11"/>
        <w:adjustRightInd w:val="0"/>
        <w:snapToGrid w:val="0"/>
        <w:spacing w:line="440" w:lineRule="exact"/>
        <w:ind w:leftChars="0"/>
        <w:jc w:val="left"/>
      </w:pPr>
      <w:r>
        <w:rPr>
          <w:rFonts w:hint="eastAsia" w:asciiTheme="minorEastAsia" w:hAnsiTheme="minorEastAsia" w:eastAsiaTheme="minorEastAsia"/>
          <w:sz w:val="24"/>
        </w:rPr>
        <w:t>九</w:t>
      </w:r>
      <w:r>
        <w:rPr>
          <w:rFonts w:hint="eastAsia" w:ascii="仿宋" w:hAnsi="仿宋" w:eastAsia="仿宋"/>
          <w:sz w:val="24"/>
        </w:rPr>
        <w:t>、</w:t>
      </w:r>
      <w:r>
        <w:rPr>
          <w:rFonts w:hint="eastAsia"/>
          <w:sz w:val="24"/>
        </w:rPr>
        <w:t>国有资本经营预算支出决算情况说明</w:t>
      </w:r>
      <w:r>
        <w:tab/>
      </w:r>
      <w:r>
        <w:rPr>
          <w:rFonts w:hint="eastAsia"/>
        </w:rPr>
        <w:t>18</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十</w:t>
      </w:r>
      <w:r>
        <w:rPr>
          <w:rFonts w:hint="eastAsia" w:ascii="仿宋" w:hAnsi="仿宋" w:eastAsia="仿宋"/>
          <w:sz w:val="24"/>
        </w:rPr>
        <w:t>、</w:t>
      </w:r>
      <w:r>
        <w:rPr>
          <w:rFonts w:hint="eastAsia"/>
          <w:sz w:val="24"/>
        </w:rPr>
        <w:t>预算绩效管理情况</w:t>
      </w:r>
      <w:r>
        <w:tab/>
      </w:r>
      <w:r>
        <w:rPr>
          <w:rFonts w:hint="eastAsia"/>
        </w:rPr>
        <w:t>18</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十一</w:t>
      </w:r>
      <w:r>
        <w:rPr>
          <w:rFonts w:hint="eastAsia" w:ascii="仿宋" w:hAnsi="仿宋" w:eastAsia="仿宋"/>
          <w:sz w:val="24"/>
        </w:rPr>
        <w:t>、</w:t>
      </w:r>
      <w:r>
        <w:rPr>
          <w:rFonts w:hint="eastAsia"/>
          <w:sz w:val="24"/>
        </w:rPr>
        <w:t>其他重要事项的情况说明</w:t>
      </w:r>
      <w:r>
        <w:tab/>
      </w:r>
      <w:r>
        <w:rPr>
          <w:rFonts w:hint="eastAsia"/>
        </w:rPr>
        <w:t>18</w:t>
      </w:r>
    </w:p>
    <w:p>
      <w:pPr>
        <w:pStyle w:val="10"/>
        <w:adjustRightInd w:val="0"/>
        <w:snapToGrid w:val="0"/>
        <w:spacing w:before="0" w:line="440" w:lineRule="exact"/>
        <w:jc w:val="left"/>
        <w:rPr>
          <w:rFonts w:cstheme="minorBidi"/>
          <w:sz w:val="24"/>
          <w:szCs w:val="24"/>
        </w:rPr>
      </w:pPr>
      <w:r>
        <w:rPr>
          <w:rFonts w:hint="eastAsia"/>
          <w:sz w:val="24"/>
        </w:rPr>
        <w:t>第三部分名词解释</w:t>
      </w:r>
      <w:r>
        <w:tab/>
      </w:r>
      <w:r>
        <w:rPr>
          <w:rFonts w:hint="eastAsia"/>
          <w:sz w:val="21"/>
          <w:szCs w:val="21"/>
        </w:rPr>
        <w:t>19</w:t>
      </w:r>
    </w:p>
    <w:p>
      <w:pPr>
        <w:pStyle w:val="10"/>
        <w:adjustRightInd w:val="0"/>
        <w:snapToGrid w:val="0"/>
        <w:spacing w:before="0" w:line="440" w:lineRule="exact"/>
        <w:jc w:val="left"/>
        <w:rPr>
          <w:rFonts w:cstheme="minorBidi"/>
          <w:sz w:val="24"/>
          <w:szCs w:val="24"/>
        </w:rPr>
      </w:pPr>
      <w:r>
        <w:rPr>
          <w:rFonts w:hint="eastAsia"/>
          <w:sz w:val="24"/>
        </w:rPr>
        <w:t>第四部分附件</w:t>
      </w:r>
      <w:r>
        <w:tab/>
      </w:r>
      <w:r>
        <w:rPr>
          <w:rFonts w:hint="eastAsia"/>
          <w:sz w:val="21"/>
          <w:szCs w:val="21"/>
        </w:rPr>
        <w:t>21</w:t>
      </w:r>
    </w:p>
    <w:p>
      <w:pPr>
        <w:pStyle w:val="10"/>
        <w:adjustRightInd w:val="0"/>
        <w:snapToGrid w:val="0"/>
        <w:spacing w:before="0" w:line="440" w:lineRule="exact"/>
        <w:jc w:val="left"/>
        <w:rPr>
          <w:sz w:val="21"/>
          <w:szCs w:val="21"/>
        </w:rPr>
      </w:pPr>
      <w:r>
        <w:rPr>
          <w:rFonts w:hint="eastAsia"/>
          <w:sz w:val="24"/>
        </w:rPr>
        <w:t>第五部分</w:t>
      </w:r>
      <w:r>
        <w:rPr>
          <w:sz w:val="24"/>
        </w:rPr>
        <w:t xml:space="preserve"> </w:t>
      </w:r>
      <w:r>
        <w:rPr>
          <w:rFonts w:hint="eastAsia"/>
          <w:sz w:val="24"/>
        </w:rPr>
        <w:t>附表</w:t>
      </w:r>
      <w:r>
        <w:tab/>
      </w:r>
      <w:r>
        <w:rPr>
          <w:rFonts w:hint="eastAsia"/>
          <w:sz w:val="21"/>
          <w:szCs w:val="21"/>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一、</w:t>
      </w:r>
      <w:r>
        <w:rPr>
          <w:rFonts w:hint="eastAsia"/>
          <w:sz w:val="24"/>
        </w:rPr>
        <w:t>收入支出决算总表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二</w:t>
      </w:r>
      <w:r>
        <w:rPr>
          <w:rFonts w:hint="eastAsia" w:ascii="仿宋" w:hAnsi="仿宋" w:eastAsia="仿宋"/>
          <w:sz w:val="24"/>
        </w:rPr>
        <w:t>、</w:t>
      </w:r>
      <w:r>
        <w:rPr>
          <w:rFonts w:hint="eastAsia"/>
          <w:sz w:val="24"/>
        </w:rPr>
        <w:t>收入</w:t>
      </w:r>
      <w:r>
        <w:rPr>
          <w:rFonts w:hint="eastAsia" w:ascii="仿宋" w:hAnsi="仿宋" w:eastAsia="仿宋"/>
          <w:sz w:val="24"/>
        </w:rPr>
        <w:t>决算</w:t>
      </w:r>
      <w:r>
        <w:rPr>
          <w:rFonts w:hint="eastAsia"/>
          <w:sz w:val="24"/>
        </w:rPr>
        <w:t>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三</w:t>
      </w:r>
      <w:r>
        <w:rPr>
          <w:rFonts w:hint="eastAsia" w:ascii="仿宋" w:hAnsi="仿宋" w:eastAsia="仿宋"/>
          <w:sz w:val="24"/>
        </w:rPr>
        <w:t>、</w:t>
      </w:r>
      <w:r>
        <w:rPr>
          <w:rFonts w:hint="eastAsia"/>
          <w:sz w:val="24"/>
        </w:rPr>
        <w:t>支出</w:t>
      </w:r>
      <w:r>
        <w:rPr>
          <w:rFonts w:hint="eastAsia" w:ascii="仿宋" w:hAnsi="仿宋" w:eastAsia="仿宋"/>
          <w:sz w:val="24"/>
        </w:rPr>
        <w:t>决算</w:t>
      </w:r>
      <w:r>
        <w:rPr>
          <w:rFonts w:hint="eastAsia"/>
          <w:sz w:val="24"/>
        </w:rPr>
        <w:t>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四</w:t>
      </w:r>
      <w:r>
        <w:rPr>
          <w:rFonts w:hint="eastAsia" w:ascii="仿宋" w:hAnsi="仿宋" w:eastAsia="仿宋"/>
          <w:sz w:val="24"/>
        </w:rPr>
        <w:t>、</w:t>
      </w:r>
      <w:r>
        <w:rPr>
          <w:rFonts w:hint="eastAsia"/>
          <w:sz w:val="24"/>
        </w:rPr>
        <w:t>财政拨款收入支出决算总表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五</w:t>
      </w:r>
      <w:r>
        <w:rPr>
          <w:rFonts w:hint="eastAsia" w:ascii="仿宋" w:hAnsi="仿宋" w:eastAsia="仿宋"/>
          <w:sz w:val="24"/>
        </w:rPr>
        <w:t>、</w:t>
      </w:r>
      <w:r>
        <w:rPr>
          <w:rFonts w:hint="eastAsia" w:asciiTheme="minorEastAsia" w:hAnsiTheme="minorEastAsia" w:eastAsiaTheme="minorEastAsia"/>
          <w:sz w:val="24"/>
        </w:rPr>
        <w:t>财政拨款支出决算明细表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六</w:t>
      </w:r>
      <w:r>
        <w:rPr>
          <w:rFonts w:hint="eastAsia" w:ascii="仿宋" w:hAnsi="仿宋" w:eastAsia="仿宋"/>
          <w:sz w:val="24"/>
        </w:rPr>
        <w:t>、</w:t>
      </w:r>
      <w:r>
        <w:rPr>
          <w:rFonts w:hint="eastAsia"/>
          <w:sz w:val="24"/>
        </w:rPr>
        <w:t>一般公共预算财政拨款支出决算表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七</w:t>
      </w:r>
      <w:r>
        <w:rPr>
          <w:rFonts w:hint="eastAsia" w:ascii="仿宋" w:hAnsi="仿宋" w:eastAsia="仿宋"/>
          <w:sz w:val="24"/>
        </w:rPr>
        <w:t>、</w:t>
      </w:r>
      <w:r>
        <w:rPr>
          <w:rFonts w:hint="eastAsia"/>
          <w:sz w:val="24"/>
        </w:rPr>
        <w:t>一般公共预算财政拨款支出决算明细表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八</w:t>
      </w:r>
      <w:r>
        <w:rPr>
          <w:rFonts w:hint="eastAsia" w:ascii="仿宋" w:hAnsi="仿宋" w:eastAsia="仿宋"/>
          <w:sz w:val="24"/>
        </w:rPr>
        <w:t>、</w:t>
      </w:r>
      <w:r>
        <w:rPr>
          <w:rFonts w:hint="eastAsia"/>
          <w:sz w:val="24"/>
        </w:rPr>
        <w:t>一般公共预算财政拨款基本支出决算表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九</w:t>
      </w:r>
      <w:r>
        <w:rPr>
          <w:rFonts w:hint="eastAsia" w:ascii="仿宋" w:hAnsi="仿宋" w:eastAsia="仿宋"/>
          <w:sz w:val="24"/>
        </w:rPr>
        <w:t>、</w:t>
      </w:r>
      <w:r>
        <w:rPr>
          <w:rFonts w:hint="eastAsia"/>
          <w:sz w:val="24"/>
        </w:rPr>
        <w:t>一般公共预算财政拨款项目支出决算表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十</w:t>
      </w:r>
      <w:r>
        <w:rPr>
          <w:rFonts w:hint="eastAsia" w:ascii="仿宋" w:hAnsi="仿宋" w:eastAsia="仿宋"/>
          <w:sz w:val="24"/>
        </w:rPr>
        <w:t>、</w:t>
      </w:r>
      <w:r>
        <w:rPr>
          <w:rFonts w:hint="eastAsia"/>
          <w:sz w:val="24"/>
        </w:rPr>
        <w:t>一般公共预算财政拨款“三公”经费支出决算表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十一</w:t>
      </w:r>
      <w:r>
        <w:rPr>
          <w:rFonts w:hint="eastAsia" w:ascii="仿宋" w:hAnsi="仿宋" w:eastAsia="仿宋"/>
          <w:sz w:val="24"/>
        </w:rPr>
        <w:t>、</w:t>
      </w:r>
      <w:r>
        <w:rPr>
          <w:rFonts w:hint="eastAsia"/>
          <w:sz w:val="24"/>
        </w:rPr>
        <w:t>政府性基金预算财政拨款收入支出决算表</w:t>
      </w:r>
      <w:r>
        <w:tab/>
      </w:r>
      <w:r>
        <w:rPr>
          <w:rFonts w:hint="eastAsia"/>
        </w:rPr>
        <w:t>36</w:t>
      </w:r>
    </w:p>
    <w:p>
      <w:pPr>
        <w:pStyle w:val="11"/>
        <w:adjustRightInd w:val="0"/>
        <w:snapToGrid w:val="0"/>
        <w:spacing w:line="440" w:lineRule="exact"/>
        <w:jc w:val="left"/>
        <w:rPr>
          <w:rFonts w:ascii="仿宋" w:hAnsi="仿宋" w:eastAsia="仿宋"/>
          <w:sz w:val="24"/>
        </w:rPr>
      </w:pPr>
      <w:r>
        <w:rPr>
          <w:rFonts w:hint="eastAsia" w:asciiTheme="minorEastAsia" w:hAnsiTheme="minorEastAsia" w:eastAsiaTheme="minorEastAsia"/>
          <w:sz w:val="24"/>
        </w:rPr>
        <w:t>十二</w:t>
      </w:r>
      <w:r>
        <w:rPr>
          <w:rFonts w:hint="eastAsia" w:ascii="仿宋" w:hAnsi="仿宋" w:eastAsia="仿宋"/>
          <w:sz w:val="24"/>
        </w:rPr>
        <w:t>、</w:t>
      </w:r>
      <w:r>
        <w:rPr>
          <w:rFonts w:hint="eastAsia"/>
          <w:sz w:val="24"/>
        </w:rPr>
        <w:t>政府性基金预算财政拨款“三公”经费支出决算表</w:t>
      </w:r>
      <w:r>
        <w:tab/>
      </w:r>
      <w:r>
        <w:rPr>
          <w:rFonts w:hint="eastAsia"/>
        </w:rPr>
        <w:t>36</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24"/>
        </w:rPr>
        <w:t>十三、</w:t>
      </w:r>
      <w:r>
        <w:rPr>
          <w:rFonts w:hint="eastAsia"/>
          <w:sz w:val="24"/>
        </w:rPr>
        <w:t>国有资本经营预算财政拨款收入支出决算表</w:t>
      </w:r>
      <w:r>
        <w:rPr>
          <w:rFonts w:asciiTheme="majorEastAsia" w:hAnsiTheme="majorEastAsia" w:eastAsiaTheme="majorEastAsia"/>
        </w:rPr>
        <w:tab/>
      </w:r>
      <w:r>
        <w:rPr>
          <w:rFonts w:hint="eastAsia"/>
        </w:rPr>
        <w:t>36</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24"/>
        </w:rPr>
        <w:t>十四、</w:t>
      </w:r>
      <w:r>
        <w:rPr>
          <w:rFonts w:hint="eastAsia"/>
          <w:sz w:val="24"/>
        </w:rPr>
        <w:t>国有资本经营预算财政拨款支出决算表</w:t>
      </w:r>
      <w:r>
        <w:rPr>
          <w:rFonts w:asciiTheme="majorEastAsia" w:hAnsiTheme="majorEastAsia" w:eastAsiaTheme="majorEastAsia"/>
        </w:rPr>
        <w:tab/>
      </w:r>
      <w:r>
        <w:rPr>
          <w:rFonts w:hint="eastAsia"/>
        </w:rPr>
        <w:t>36</w:t>
      </w:r>
    </w:p>
    <w:p>
      <w:pPr>
        <w:pStyle w:val="11"/>
        <w:adjustRightInd w:val="0"/>
        <w:snapToGrid w:val="0"/>
        <w:spacing w:line="440" w:lineRule="exact"/>
        <w:jc w:val="left"/>
        <w:rPr>
          <w:rFonts w:ascii="仿宋" w:hAnsi="仿宋" w:eastAsia="仿宋"/>
          <w:sz w:val="24"/>
        </w:rPr>
      </w:pPr>
    </w:p>
    <w:p>
      <w:pPr>
        <w:pStyle w:val="11"/>
        <w:adjustRightInd w:val="0"/>
        <w:snapToGrid w:val="0"/>
        <w:spacing w:line="440" w:lineRule="exact"/>
        <w:ind w:left="0" w:leftChars="0"/>
        <w:jc w:val="left"/>
        <w:rPr>
          <w:rFonts w:ascii="仿宋" w:hAnsi="仿宋" w:eastAsia="仿宋"/>
          <w:sz w:val="24"/>
        </w:rPr>
      </w:pPr>
    </w:p>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3"/>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职能简介</w:t>
      </w:r>
    </w:p>
    <w:p>
      <w:pPr>
        <w:pStyle w:val="23"/>
        <w:widowControl/>
        <w:shd w:val="clear" w:color="auto" w:fill="FFFFFF"/>
        <w:spacing w:before="100" w:beforeAutospacing="1" w:after="100" w:afterAutospacing="1" w:line="480" w:lineRule="auto"/>
        <w:ind w:left="672" w:firstLine="0" w:firstLineChars="0"/>
        <w:rPr>
          <w:rFonts w:ascii="仿宋" w:hAnsi="仿宋" w:eastAsia="仿宋" w:cs="宋体"/>
          <w:kern w:val="0"/>
          <w:sz w:val="32"/>
          <w:szCs w:val="32"/>
        </w:rPr>
      </w:pPr>
      <w:r>
        <w:rPr>
          <w:rFonts w:hint="eastAsia" w:ascii="仿宋" w:hAnsi="仿宋" w:eastAsia="仿宋" w:cs="宋体"/>
          <w:kern w:val="0"/>
          <w:sz w:val="32"/>
          <w:szCs w:val="32"/>
        </w:rPr>
        <w:t>实施小学义务教育，促进基础教育发展。小学学历教育。</w:t>
      </w:r>
    </w:p>
    <w:p>
      <w:pPr>
        <w:pStyle w:val="4"/>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spacing w:line="500" w:lineRule="exact"/>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(一)、牢固树立“四个意识”，深入落实全面从严治党要求</w:t>
      </w:r>
    </w:p>
    <w:p>
      <w:pPr>
        <w:ind w:left="210" w:leftChars="100" w:firstLine="560" w:firstLineChars="200"/>
        <w:jc w:val="left"/>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2021年，学校党总支部深入贯彻落实中央、省委和市委重大决策部署，不断强化学习，提高政治站位，不断增强“四个意识”、坚定“四个自信”、做到“两个维护”，不断增强党组织的凝聚力和战斗力，发挥党组织的政治核心作用，全面推进学校党的思想、组织、作风、廉政建设，切实担负起领导学校德育和思想政治工作，培养和践行社会主义核心价值观，引领学校改革向纵深发展。开展了建党100周年系列庆祝活动，举办了6场“百年百歌颂党恩”大型年级歌咏会，组织党员赴巴中开展红色实践体验及现场教学活动。党员名师工作室开展支教送教到苍溪、朝天、旺苍等部分乡镇学校6场次，服务乡村学校发展；发挥党员教育教学教研的带头作用，每期评选校内身边的榜样好老师并予以宣传表扬；长期开展“红色星期五”走进光荣院少先队员志愿服务活动；开展“红色星期六”党员志愿服务活动6次，在社区治理，文明城市创建，疫情防控等方面发挥积极作用。认真落实党员教育培训、“三会一课”、党费收缴、民主评议等基本制度；按要求开展主题党日活动12次；做好党员发展工作，今年</w:t>
      </w:r>
      <w:r>
        <w:rPr>
          <w:rFonts w:hint="eastAsia" w:ascii="方正仿宋简体" w:hAnsi="方正仿宋简体" w:eastAsia="方正仿宋简体" w:cs="方正仿宋简体"/>
          <w:bCs/>
          <w:sz w:val="28"/>
          <w:szCs w:val="28"/>
          <w:lang w:val="en-US" w:eastAsia="zh-CN"/>
        </w:rPr>
        <w:t>接收</w:t>
      </w:r>
      <w:r>
        <w:rPr>
          <w:rFonts w:hint="eastAsia" w:ascii="方正仿宋简体" w:hAnsi="方正仿宋简体" w:eastAsia="方正仿宋简体" w:cs="方正仿宋简体"/>
          <w:bCs/>
          <w:sz w:val="28"/>
          <w:szCs w:val="28"/>
        </w:rPr>
        <w:t>预备党员4名，转正式党员1名，培养积极分子1名，向组织递交入党申请书2名。班子成员带头遵守党风廉政建设工作规定，落实工作责任制；积极参加各类教育学习；研制并运用好“三张清单”，做实日常监督。全体党员参加了市委“学史知纪明法”周末教育培训（第23期）；今年暑期，组织全校教师进行了为期五天的集中学习教育；召开了专题组织生活会，吸取付健案的深刻教训；先后4次对学生、家长、群众反映的问题进行梳理，形成问题清单；开展“学党史、正师风、铸师魂”专项治理工作。</w:t>
      </w:r>
    </w:p>
    <w:p>
      <w:pPr>
        <w:spacing w:line="500" w:lineRule="exact"/>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(二)、拓宽拓深德育途径，抓实抓牢安全风险管控</w:t>
      </w:r>
    </w:p>
    <w:p>
      <w:pPr>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2021年度我校坚持以“立足未来，做好当下，追求有良心、正效应、可持续的教育质量”的办学理念统领学校德育工作。以创建平安校园为目标，严格落实疫情防控，坚守安全底线，全面深化细化工作，使其各项工作落地落实。</w:t>
      </w:r>
    </w:p>
    <w:p>
      <w:pPr>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1.开展了百年百歌颂党恩活动，以中国共产党成立100周年为契机，全校分年级开展6场百年百歌颂党恩活动。开展了“学党史 立信仰”主题队会活动；“学党史 跟党走——传承红色基因”主题队会活动；“请党放心 强国有我”主题队日活动；“红心润童心，党史进美术”教育活动；“实小少先讲党史”活动、“丹青绘百年 童心颂党恩”美术节活动。</w:t>
      </w:r>
    </w:p>
    <w:p>
      <w:pPr>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立项了《少先队员信仰启蒙教育研究》课题，培养学生的信仰。开展了传统文化、品格教育、进军海洋形成了系统化、序列化的少先队员信仰启蒙教育的价值观训育。每周周一第二节课对学生进行价值观训育课程教育。结合九一八纪念日、九月三十日人民英雄纪念碑献花活动、国家公祭日开展致敬英烈活动，丰富的少先队政治启蒙教育活动，不仅充实了学校德育活动的育人课程和活动体系，也是学校德育思政教育的有力助推器。借助中国好老师平台开展了全市少先队辅导员线上培训活动。2021年12月3日我校承办实施全市少先队辅导员线上培训活动，在线关注5000余人次，累计3万余人次关注观摩。</w:t>
      </w:r>
    </w:p>
    <w:p>
      <w:pPr>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3.加强家校沟通，共筑德育教育网络。教师走进学困学生家庭，开展家访活动。暑假，学校全面开展了教师家访活动，全面了解学生成长的环境、了解孩子的家庭教育情况，并向家长讲解教育理念，指导教育方法。实施家长进课堂，演绎多彩育人故事。为完美融通家校教育，充分发挥家长教育资源在学生成长中的作用，学校开发实施了“家长进学校”系列活动，每学年两期。以校务咨议委员会方式促进家校和谐沟通。学校每期组织一次校务咨议委员会，就学校办学思路、工作安排与家长坦诚沟通，就学生就餐、校服等事宜进行磋商改善。</w:t>
      </w:r>
    </w:p>
    <w:p>
      <w:pPr>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4.关注学生和教师的心理健康，促进师生身心健康发展。全面升级了心育指导中心。学校今年对心育指导中心进行了全面升级，购买了学生心理测评量表，可以对心理有问题的学生进行全面监测；对团队辅导室进行装修升级，让学生感到更加温馨、温暖。对学生心理健康进行了排查，学校为了对学生心理情况进行全面了解和掌握，聘请了专业人员对学生进行了心理测试，让心理健康教师心理辅导更加有的放矢。对心理存在问题的学生，建立了专门的心理健康档案，纳入专项管理。对全体教师进行了高水平的心理健康系统培训，为了能更好</w:t>
      </w:r>
      <w:r>
        <w:rPr>
          <w:rFonts w:hint="eastAsia" w:ascii="方正仿宋简体" w:hAnsi="方正仿宋简体" w:eastAsia="方正仿宋简体" w:cs="方正仿宋简体"/>
          <w:bCs/>
          <w:sz w:val="28"/>
          <w:szCs w:val="28"/>
          <w:lang w:val="en-US" w:eastAsia="zh-CN"/>
        </w:rPr>
        <w:t>地</w:t>
      </w:r>
      <w:r>
        <w:rPr>
          <w:rFonts w:hint="eastAsia" w:ascii="方正仿宋简体" w:hAnsi="方正仿宋简体" w:eastAsia="方正仿宋简体" w:cs="方正仿宋简体"/>
          <w:bCs/>
          <w:sz w:val="28"/>
          <w:szCs w:val="28"/>
        </w:rPr>
        <w:t>对学生进行教育，掌握方法，学校全体教师分批次，每次20名老师，赴成都双流棠湖中学进行为期两天的高水平的心理健康系统培训。</w:t>
      </w:r>
    </w:p>
    <w:p>
      <w:pPr>
        <w:spacing w:line="540" w:lineRule="exact"/>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5.奉献爱心，做好资助和捐赠。组织师生“99公益日”爱心捐赠。通过电子倡议书、线上捐赠仪式。严格执行政策，按时规范发放并填报教育资助平台相关信息。春季学期资助困难学生96名，秋季学期资助困难学生109名，共发放5.125万元。5名学生和2名教师享受教育扶贫专项资助金。持续开展留守儿童报捐订工作，共捐订180份。</w:t>
      </w:r>
    </w:p>
    <w:p>
      <w:pPr>
        <w:spacing w:line="540" w:lineRule="exact"/>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6.强化细节，落实常态化防疫工作。做好3-11岁学生和教职工疫苗接种的工作。严格落实学生晨午检，把工作做细、做实。学校加强对班级晨午检的督查工作，每周由分管副校长带领负责卫生防疫工作的中层干部、校医一起对每位班主任的晨午检进行全面检查，对其不规范的由校医进行指导，把缺勤学生的追踪做细做实，确保每位学生可查，可追。严把入校关。学生每天入校必须经过体温检测后方可进入学校，校园严格落实封闭管理，非必要不准外来人员入校，必须入校的，必须经过审批，亮码、测温、登记等才能进入。严格落实消杀、通风制度。每天下午放学后学校专门安排了4名工人对校园全面消杀，并严格记录。每天规定上午大课间活动的39分钟和下午小课间活动25分钟两个时段为教室强制通风时段，保证教室空气流通，确保师生的健康。利用班队会及微信公众号，对学生及家长宣传，</w:t>
      </w:r>
      <w:r>
        <w:rPr>
          <w:rFonts w:hint="eastAsia" w:ascii="方正仿宋简体" w:hAnsi="方正仿宋简体" w:eastAsia="方正仿宋简体" w:cs="方正仿宋简体"/>
          <w:bCs/>
          <w:sz w:val="28"/>
          <w:szCs w:val="28"/>
          <w:lang w:val="en-US" w:eastAsia="zh-CN"/>
        </w:rPr>
        <w:t>结核</w:t>
      </w:r>
      <w:r>
        <w:rPr>
          <w:rFonts w:hint="eastAsia" w:ascii="方正仿宋简体" w:hAnsi="方正仿宋简体" w:eastAsia="方正仿宋简体" w:cs="方正仿宋简体"/>
          <w:bCs/>
          <w:sz w:val="28"/>
          <w:szCs w:val="28"/>
        </w:rPr>
        <w:t>病、流感、新冠肺炎等传染病的预防知识。为科学预防起到了良好的效果。</w:t>
      </w:r>
    </w:p>
    <w:p>
      <w:pPr>
        <w:spacing w:line="540" w:lineRule="exact"/>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7.落实责任，筑牢安全防线。开展了反恐防暴演练。升级制定《安全责任管理清单2.0版》。定期开展隐患排查，规范整改流程，确保无疏漏、无盲区。加大安全宣传教育，提升安全意识能力。</w:t>
      </w:r>
    </w:p>
    <w:p>
      <w:pPr>
        <w:spacing w:line="500" w:lineRule="exact"/>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(三)、落实“双减”新政，优化教学教研，教学质效显著提升</w:t>
      </w:r>
    </w:p>
    <w:p>
      <w:pPr>
        <w:ind w:firstLine="560" w:firstLineChars="200"/>
        <w:rPr>
          <w:rFonts w:ascii="方正仿宋简体" w:hAnsi="方正仿宋简体" w:eastAsia="方正仿宋简体" w:cs="方正仿宋简体"/>
          <w:bCs/>
          <w:color w:val="191919"/>
          <w:sz w:val="28"/>
          <w:szCs w:val="28"/>
          <w:shd w:val="clear" w:color="auto" w:fill="FFFFFF"/>
        </w:rPr>
      </w:pPr>
      <w:r>
        <w:rPr>
          <w:rFonts w:hint="eastAsia" w:ascii="方正仿宋简体" w:hAnsi="方正仿宋简体" w:eastAsia="方正仿宋简体" w:cs="方正仿宋简体"/>
          <w:bCs/>
          <w:color w:val="191919"/>
          <w:sz w:val="28"/>
          <w:szCs w:val="28"/>
          <w:shd w:val="clear" w:color="auto" w:fill="FFFFFF"/>
        </w:rPr>
        <w:t>开齐课程，开足课时，严格落实五项管理，强化课堂常规要求，坚持“1+1”校本研修模式，坚持发挥辐射引领作用，全面提升教学质量。</w:t>
      </w:r>
    </w:p>
    <w:p>
      <w:pPr>
        <w:spacing w:line="500" w:lineRule="exact"/>
        <w:ind w:firstLine="560" w:firstLineChars="200"/>
        <w:rPr>
          <w:rFonts w:ascii="方正仿宋简体" w:hAnsi="方正仿宋简体" w:eastAsia="方正仿宋简体" w:cs="方正仿宋简体"/>
          <w:bCs/>
          <w:color w:val="191919"/>
          <w:sz w:val="28"/>
          <w:szCs w:val="28"/>
          <w:shd w:val="clear" w:color="auto" w:fill="FFFFFF"/>
        </w:rPr>
      </w:pPr>
      <w:r>
        <w:rPr>
          <w:rFonts w:hint="eastAsia" w:ascii="方正仿宋简体" w:hAnsi="方正仿宋简体" w:eastAsia="方正仿宋简体" w:cs="方正仿宋简体"/>
          <w:bCs/>
          <w:sz w:val="28"/>
          <w:szCs w:val="28"/>
        </w:rPr>
        <w:t>1.学习领会系列新政，细化管理制度措施。</w:t>
      </w:r>
      <w:r>
        <w:rPr>
          <w:rFonts w:hint="eastAsia" w:ascii="方正仿宋简体" w:hAnsi="方正仿宋简体" w:eastAsia="方正仿宋简体" w:cs="方正仿宋简体"/>
          <w:bCs/>
          <w:color w:val="191919"/>
          <w:sz w:val="28"/>
          <w:szCs w:val="28"/>
          <w:shd w:val="clear" w:color="auto" w:fill="FFFFFF"/>
        </w:rPr>
        <w:t xml:space="preserve">组织全体教师认真学习中共中央办公厅和国务院办公厅印发《关于进一步减轻义务教育阶段学生作业负担和校外培训负担的意见》及教育部关于加强“五项管理”的系列通知要求，对照我校实际，迅速制定校本化落实方案，完善了关于课堂教学、作业管理、课后服务等教育教学常规管理考核制度，同时通过告家长书、家长访谈等家校协同的方式，落实关于手机、体质及睡眠管理相关要求。 </w:t>
      </w:r>
    </w:p>
    <w:p>
      <w:pPr>
        <w:ind w:firstLine="560" w:firstLineChars="200"/>
        <w:rPr>
          <w:rFonts w:ascii="方正仿宋简体" w:hAnsi="方正仿宋简体" w:eastAsia="方正仿宋简体" w:cs="方正仿宋简体"/>
          <w:bCs/>
          <w:color w:val="191919"/>
          <w:sz w:val="28"/>
          <w:szCs w:val="28"/>
          <w:shd w:val="clear" w:color="auto" w:fill="FFFFFF"/>
        </w:rPr>
      </w:pPr>
      <w:r>
        <w:rPr>
          <w:rFonts w:hint="eastAsia" w:ascii="方正仿宋简体" w:hAnsi="方正仿宋简体" w:eastAsia="方正仿宋简体" w:cs="方正仿宋简体"/>
          <w:bCs/>
          <w:color w:val="191919"/>
          <w:sz w:val="28"/>
          <w:szCs w:val="28"/>
          <w:shd w:val="clear" w:color="auto" w:fill="FFFFFF"/>
        </w:rPr>
        <w:t>2.多措并举研修学习，淬炼教师专业能力。认真完成教育主管部门安排的各类线上线下培训学习，参培率达100%。立足需求创设学习机会，学习汲取优质资源。9月份组织60余名教师分三批次赴棠湖中学开展教师心理健康教育专题学习；10月下旬，数学、音乐学科组和美术学科组教师三批次分别赴川大附小、乐山师范附小跟岗观摩学习；密切与城区优质初高中学校交流，开展“仰望中高考方向，走实教学评路子”研讨学习。通过阅读赋能活动、创设价值观训育微课、拟写专题公众号等方式，丰富教师人文积淀，提高教师时政观察的深广度和敏锐度。通过营养课堂、信仰启蒙教育、学生自主管理、双减政策背景下的教学评价等省市级立项课题的任务驱动，推动教师有针对性</w:t>
      </w:r>
      <w:r>
        <w:rPr>
          <w:rFonts w:hint="eastAsia" w:ascii="方正仿宋简体" w:hAnsi="方正仿宋简体" w:eastAsia="方正仿宋简体" w:cs="方正仿宋简体"/>
          <w:bCs/>
          <w:color w:val="191919"/>
          <w:sz w:val="28"/>
          <w:szCs w:val="28"/>
          <w:shd w:val="clear" w:color="auto" w:fill="FFFFFF"/>
          <w:lang w:val="en-US" w:eastAsia="zh-CN"/>
        </w:rPr>
        <w:t>地</w:t>
      </w:r>
      <w:r>
        <w:rPr>
          <w:rFonts w:hint="eastAsia" w:ascii="方正仿宋简体" w:hAnsi="方正仿宋简体" w:eastAsia="方正仿宋简体" w:cs="方正仿宋简体"/>
          <w:bCs/>
          <w:color w:val="191919"/>
          <w:sz w:val="28"/>
          <w:szCs w:val="28"/>
          <w:shd w:val="clear" w:color="auto" w:fill="FFFFFF"/>
        </w:rPr>
        <w:t>强基补薄式专业学习。</w:t>
      </w:r>
    </w:p>
    <w:p>
      <w:pPr>
        <w:ind w:firstLine="560" w:firstLineChars="200"/>
        <w:rPr>
          <w:rFonts w:ascii="方正仿宋简体" w:hAnsi="方正仿宋简体" w:eastAsia="方正仿宋简体" w:cs="方正仿宋简体"/>
          <w:bCs/>
          <w:color w:val="191919"/>
          <w:sz w:val="28"/>
          <w:szCs w:val="28"/>
          <w:shd w:val="clear" w:color="auto" w:fill="FFFFFF"/>
        </w:rPr>
      </w:pPr>
      <w:r>
        <w:rPr>
          <w:rFonts w:hint="eastAsia" w:ascii="方正仿宋简体" w:hAnsi="方正仿宋简体" w:eastAsia="方正仿宋简体" w:cs="方正仿宋简体"/>
          <w:bCs/>
          <w:color w:val="191919"/>
          <w:sz w:val="28"/>
          <w:szCs w:val="28"/>
          <w:shd w:val="clear" w:color="auto" w:fill="FFFFFF"/>
        </w:rPr>
        <w:t>2.聚力打磨营养课堂，凸显教学品牌特色。根据国家省市教育主管部门对于课堂教学规范的要求，立足学校实际制定了校本化的《 关于强化课堂教学关键环节提高课堂教学质量的通知》，对教学准备、实施过程、作业处理等方面均作出明确要求，并纳入教务处常态巡视抽查。</w:t>
      </w:r>
    </w:p>
    <w:p>
      <w:pPr>
        <w:numPr>
          <w:ilvl w:val="0"/>
          <w:numId w:val="4"/>
        </w:numPr>
        <w:ind w:firstLine="560" w:firstLineChars="200"/>
        <w:rPr>
          <w:rFonts w:ascii="方正仿宋简体" w:hAnsi="方正仿宋简体" w:eastAsia="方正仿宋简体" w:cs="方正仿宋简体"/>
          <w:bCs/>
          <w:color w:val="191919"/>
          <w:sz w:val="28"/>
          <w:szCs w:val="28"/>
          <w:shd w:val="clear" w:color="auto" w:fill="FFFFFF"/>
        </w:rPr>
      </w:pPr>
      <w:r>
        <w:rPr>
          <w:rFonts w:hint="eastAsia" w:ascii="方正仿宋简体" w:hAnsi="方正仿宋简体" w:eastAsia="方正仿宋简体" w:cs="方正仿宋简体"/>
          <w:bCs/>
          <w:color w:val="191919"/>
          <w:sz w:val="28"/>
          <w:szCs w:val="28"/>
          <w:shd w:val="clear" w:color="auto" w:fill="FFFFFF"/>
        </w:rPr>
        <w:t>巩固营养课堂课题研究成果，持续推进课堂精细化研磨。立足不同学科特点，在语文“语用课堂”、数学“思维课堂”、英语I Show课堂、科学“探究课堂”、玩美艺术、全能体育的分立架构下，定期开展整组参与的课堂教学研磨展示活动。本年度呈现校级优质课92节，参加课堂教学竞赛获省级一等奖1人，市级一等奖3人。</w:t>
      </w:r>
    </w:p>
    <w:p>
      <w:pPr>
        <w:numPr>
          <w:ilvl w:val="0"/>
          <w:numId w:val="4"/>
        </w:numPr>
        <w:ind w:firstLine="560" w:firstLineChars="200"/>
        <w:rPr>
          <w:rFonts w:ascii="方正仿宋简体" w:hAnsi="方正仿宋简体" w:eastAsia="方正仿宋简体" w:cs="方正仿宋简体"/>
          <w:bCs/>
          <w:color w:val="191919"/>
          <w:sz w:val="28"/>
          <w:szCs w:val="28"/>
          <w:shd w:val="clear" w:color="auto" w:fill="FFFFFF"/>
        </w:rPr>
      </w:pPr>
      <w:r>
        <w:rPr>
          <w:rFonts w:hint="eastAsia" w:ascii="方正仿宋简体" w:hAnsi="方正仿宋简体" w:eastAsia="方正仿宋简体" w:cs="方正仿宋简体"/>
          <w:bCs/>
          <w:color w:val="191919"/>
          <w:sz w:val="28"/>
          <w:szCs w:val="28"/>
          <w:shd w:val="clear" w:color="auto" w:fill="FFFFFF"/>
        </w:rPr>
        <w:t>承办市教科所市区一体小学课堂教学开放日联合研讨活动，通过此平台开展我校第二届“营养课堂”展示活动，活动共呈现优质课19节，主题讲座9堂，直播期间点击观看达2.8万人次，进一步凸显学校“营养课堂”品牌特色。</w:t>
      </w:r>
    </w:p>
    <w:p>
      <w:pPr>
        <w:ind w:firstLine="560" w:firstLineChars="200"/>
        <w:rPr>
          <w:rFonts w:ascii="方正仿宋简体" w:hAnsi="方正仿宋简体" w:eastAsia="方正仿宋简体" w:cs="方正仿宋简体"/>
          <w:bCs/>
          <w:color w:val="000000" w:themeColor="text1"/>
          <w:sz w:val="28"/>
          <w:szCs w:val="28"/>
        </w:rPr>
      </w:pPr>
      <w:r>
        <w:rPr>
          <w:rFonts w:hint="eastAsia" w:ascii="方正仿宋简体" w:hAnsi="方正仿宋简体" w:eastAsia="方正仿宋简体" w:cs="方正仿宋简体"/>
          <w:bCs/>
          <w:sz w:val="28"/>
          <w:szCs w:val="28"/>
        </w:rPr>
        <w:t>3.强化教育情怀担当，积极发挥辐射引领。各名师工作室结合学科特点，通过送教送培、线上研训、影子式跟岗等方式，帮扶县区乡村学校。本年度共开展送教送培活动4次，承办市级线上研训展示交流活动1次，承办市级线下课堂教学展评2次，承办昭化区“国培”青年教师助力项目第二阶段（能力提升）培训活动，</w:t>
      </w:r>
      <w:r>
        <w:rPr>
          <w:rFonts w:hint="eastAsia" w:ascii="方正仿宋简体" w:hAnsi="方正仿宋简体" w:eastAsia="方正仿宋简体" w:cs="方正仿宋简体"/>
          <w:bCs/>
          <w:color w:val="000000" w:themeColor="text1"/>
          <w:sz w:val="28"/>
          <w:szCs w:val="28"/>
        </w:rPr>
        <w:t>承办市教科所县区一体化课堂教学展示活动，全体名师参与“第二届营养课堂”教学展评磨课并做主题讲座。</w:t>
      </w:r>
    </w:p>
    <w:p>
      <w:pPr>
        <w:spacing w:line="576" w:lineRule="exact"/>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(四)、多措并举，全面提升服务保障水平</w:t>
      </w:r>
    </w:p>
    <w:p>
      <w:pPr>
        <w:spacing w:line="600" w:lineRule="exact"/>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后勤工会财务工作围绕年度总体工作目标，本着为教师学生服务、为教育教学服务、为学校发展服务的宗旨稳步推进。</w:t>
      </w:r>
    </w:p>
    <w:p>
      <w:pPr>
        <w:spacing w:line="576" w:lineRule="exact"/>
        <w:ind w:firstLine="560" w:firstLineChars="200"/>
        <w:rPr>
          <w:rFonts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bCs/>
          <w:sz w:val="28"/>
          <w:szCs w:val="28"/>
        </w:rPr>
        <w:t>1.</w:t>
      </w:r>
      <w:r>
        <w:rPr>
          <w:rFonts w:hint="eastAsia" w:ascii="方正仿宋简体" w:hAnsi="方正仿宋简体" w:eastAsia="方正仿宋简体" w:cs="方正仿宋简体"/>
          <w:bCs/>
          <w:color w:val="000000"/>
          <w:sz w:val="28"/>
          <w:szCs w:val="28"/>
        </w:rPr>
        <w:t>防疫不松懈，大力</w:t>
      </w:r>
      <w:r>
        <w:rPr>
          <w:rFonts w:hint="eastAsia" w:ascii="方正仿宋简体" w:hAnsi="方正仿宋简体" w:eastAsia="方正仿宋简体" w:cs="方正仿宋简体"/>
          <w:bCs/>
          <w:color w:val="000000"/>
          <w:sz w:val="28"/>
          <w:szCs w:val="28"/>
          <w:lang w:val="en-US" w:eastAsia="zh-CN"/>
        </w:rPr>
        <w:t>保护</w:t>
      </w:r>
      <w:r>
        <w:rPr>
          <w:rFonts w:hint="eastAsia" w:ascii="方正仿宋简体" w:hAnsi="方正仿宋简体" w:eastAsia="方正仿宋简体" w:cs="方正仿宋简体"/>
          <w:bCs/>
          <w:color w:val="000000"/>
          <w:sz w:val="28"/>
          <w:szCs w:val="28"/>
        </w:rPr>
        <w:t>师生安全。总务室及时采购“84”消毒液、75%含量酒精、体温枪、洗手液、医用口罩等防疫物资，最大限度满足防疫需求，为学校师生安全、疫情常态化防控提供了坚实的物质保障。</w:t>
      </w:r>
    </w:p>
    <w:p>
      <w:pPr>
        <w:spacing w:line="600" w:lineRule="exact"/>
        <w:ind w:firstLine="560" w:firstLineChars="200"/>
        <w:rPr>
          <w:rFonts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bCs/>
          <w:sz w:val="28"/>
          <w:szCs w:val="28"/>
        </w:rPr>
        <w:t>2.</w:t>
      </w:r>
      <w:r>
        <w:rPr>
          <w:rFonts w:hint="eastAsia" w:ascii="方正仿宋简体" w:hAnsi="方正仿宋简体" w:eastAsia="方正仿宋简体" w:cs="方正仿宋简体"/>
          <w:bCs/>
          <w:color w:val="000000"/>
          <w:sz w:val="28"/>
          <w:szCs w:val="28"/>
        </w:rPr>
        <w:t>食安为本，加强学校食堂管理</w:t>
      </w:r>
    </w:p>
    <w:p>
      <w:pPr>
        <w:spacing w:line="600" w:lineRule="exact"/>
        <w:ind w:firstLine="560" w:firstLineChars="200"/>
        <w:rPr>
          <w:rFonts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bCs/>
          <w:color w:val="000000"/>
          <w:sz w:val="28"/>
          <w:szCs w:val="28"/>
        </w:rPr>
        <w:t>民以食为天，我校就餐师生达3000余人，食堂管理成为学校正常运转的基础性保障。我们始终坚持“以人为本、安全第一，强化管理、预防为主”的方针，深入贯彻落实国家、省、市关于学校食品安全工作的要求，把保障学生食品安全、健康作为后勤工作的出发点和最终目标，切实做到了领导重视，管理严格，责任落实，措施有效，实现了食品安全长年“零事故”。</w:t>
      </w:r>
    </w:p>
    <w:p>
      <w:pPr>
        <w:spacing w:line="600" w:lineRule="exact"/>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color w:val="000000"/>
          <w:sz w:val="28"/>
          <w:szCs w:val="28"/>
        </w:rPr>
        <w:t>3.</w:t>
      </w:r>
      <w:r>
        <w:rPr>
          <w:rFonts w:hint="eastAsia" w:ascii="方正仿宋简体" w:hAnsi="方正仿宋简体" w:eastAsia="方正仿宋简体" w:cs="方正仿宋简体"/>
          <w:bCs/>
          <w:sz w:val="28"/>
          <w:szCs w:val="28"/>
        </w:rPr>
        <w:t>强力推进，建设项目取得突破。在市委、</w:t>
      </w:r>
      <w:r>
        <w:rPr>
          <w:rFonts w:hint="eastAsia" w:ascii="方正仿宋简体" w:hAnsi="方正仿宋简体" w:eastAsia="方正仿宋简体" w:cs="方正仿宋简体"/>
          <w:bCs/>
          <w:sz w:val="28"/>
          <w:szCs w:val="28"/>
          <w:lang w:val="en-US" w:eastAsia="zh-CN"/>
        </w:rPr>
        <w:t>市政府</w:t>
      </w:r>
      <w:r>
        <w:rPr>
          <w:rFonts w:hint="eastAsia" w:ascii="方正仿宋简体" w:hAnsi="方正仿宋简体" w:eastAsia="方正仿宋简体" w:cs="方正仿宋简体"/>
          <w:bCs/>
          <w:sz w:val="28"/>
          <w:szCs w:val="28"/>
        </w:rPr>
        <w:t>和市教育局的关心支持下，学校综合楼及运动场馆建设项目有序推进，总务处积极配合学校做好各项推进工作，保障工程项目的施工、设计顺利开展，审批工作有序推进。</w:t>
      </w:r>
    </w:p>
    <w:p>
      <w:pPr>
        <w:widowControl/>
        <w:jc w:val="left"/>
        <w:rPr>
          <w:rFonts w:ascii="仿宋" w:hAnsi="仿宋" w:eastAsia="仿宋"/>
          <w:kern w:val="0"/>
          <w:sz w:val="32"/>
          <w:szCs w:val="32"/>
        </w:rPr>
      </w:pPr>
    </w:p>
    <w:p>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2021年度</w:t>
      </w:r>
      <w:r>
        <w:rPr>
          <w:rStyle w:val="24"/>
          <w:rFonts w:hint="eastAsia" w:ascii="黑体" w:hAnsi="黑体" w:eastAsia="黑体"/>
          <w:b w:val="0"/>
          <w:bCs/>
        </w:rPr>
        <w:t>单位决算情况说明</w:t>
      </w:r>
      <w:bookmarkEnd w:id="16"/>
      <w:bookmarkEnd w:id="17"/>
    </w:p>
    <w:p/>
    <w:p>
      <w:pPr>
        <w:pStyle w:val="23"/>
        <w:numPr>
          <w:ilvl w:val="0"/>
          <w:numId w:val="5"/>
        </w:numPr>
        <w:spacing w:line="600" w:lineRule="exact"/>
        <w:ind w:firstLineChars="0"/>
        <w:outlineLvl w:val="1"/>
        <w:rPr>
          <w:rStyle w:val="25"/>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2021年度收、支总计3463.52万元。与2020年相比，收、支总计各增加616.72万元，增长22</w:t>
      </w:r>
      <w:r>
        <w:rPr>
          <w:rFonts w:ascii="仿宋" w:hAnsi="仿宋" w:eastAsia="仿宋"/>
          <w:sz w:val="32"/>
          <w:szCs w:val="32"/>
        </w:rPr>
        <w:t>%</w:t>
      </w:r>
      <w:r>
        <w:rPr>
          <w:rFonts w:hint="eastAsia" w:ascii="仿宋" w:hAnsi="仿宋" w:eastAsia="仿宋"/>
          <w:sz w:val="32"/>
          <w:szCs w:val="32"/>
        </w:rPr>
        <w:t>。主要变动原因是财政拨款收入增加。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rPr>
          <w:color w:val="000000"/>
          <w:sz w:val="32"/>
          <w:szCs w:val="32"/>
        </w:rPr>
      </w:pPr>
      <w:r>
        <w:rPr>
          <w:color w:val="000000"/>
          <w:sz w:val="32"/>
          <w:szCs w:val="32"/>
        </w:rPr>
        <w:drawing>
          <wp:inline distT="0" distB="0" distL="0" distR="0">
            <wp:extent cx="4572000" cy="3002280"/>
            <wp:effectExtent l="19050" t="0" r="0" b="0"/>
            <wp:docPr id="8" name="图表 7" descr="7b0a202020202263686172745265734964223a202232303437313133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5"/>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21年本年收入合计2753.52万元，其中：一般公共预</w:t>
      </w:r>
    </w:p>
    <w:p>
      <w:pPr>
        <w:spacing w:line="600" w:lineRule="exact"/>
        <w:outlineLvl w:val="1"/>
        <w:rPr>
          <w:rFonts w:ascii="仿宋" w:hAnsi="仿宋" w:eastAsia="仿宋"/>
          <w:color w:val="000000"/>
          <w:sz w:val="32"/>
          <w:szCs w:val="32"/>
        </w:rPr>
      </w:pPr>
      <w:r>
        <w:rPr>
          <w:rFonts w:hint="eastAsia" w:ascii="仿宋" w:hAnsi="仿宋" w:eastAsia="仿宋"/>
          <w:sz w:val="32"/>
          <w:szCs w:val="32"/>
        </w:rPr>
        <w:t>算财政拨款收入2753.52万元，占100</w:t>
      </w:r>
      <w:r>
        <w:rPr>
          <w:rFonts w:ascii="仿宋" w:hAnsi="仿宋" w:eastAsia="仿宋"/>
          <w:sz w:val="32"/>
          <w:szCs w:val="32"/>
        </w:rPr>
        <w:t xml:space="preserve"> %</w:t>
      </w:r>
      <w:r>
        <w:rPr>
          <w:rFonts w:hint="eastAsia" w:ascii="仿宋" w:hAnsi="仿宋" w:eastAsia="仿宋"/>
          <w:color w:val="000000"/>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
        <w:spacing w:before="93"/>
        <w:rPr>
          <w:rFonts w:ascii="仿宋" w:hAnsi="仿宋" w:eastAsia="仿宋"/>
          <w:color w:val="000000"/>
          <w:sz w:val="32"/>
          <w:szCs w:val="32"/>
        </w:rPr>
      </w:pPr>
    </w:p>
    <w:p>
      <w:pPr>
        <w:pStyle w:val="2"/>
        <w:spacing w:before="93"/>
        <w:rPr>
          <w:rFonts w:ascii="仿宋" w:hAnsi="仿宋" w:eastAsia="仿宋"/>
          <w:color w:val="000000"/>
          <w:sz w:val="32"/>
          <w:szCs w:val="32"/>
        </w:rPr>
      </w:pPr>
    </w:p>
    <w:p>
      <w:pPr>
        <w:pStyle w:val="2"/>
        <w:spacing w:before="93"/>
        <w:rPr>
          <w:rFonts w:ascii="仿宋" w:hAnsi="仿宋" w:eastAsia="仿宋"/>
          <w:color w:val="000000"/>
          <w:sz w:val="32"/>
          <w:szCs w:val="32"/>
        </w:rPr>
      </w:pPr>
      <w:r>
        <w:rPr>
          <w:rFonts w:ascii="仿宋" w:hAnsi="仿宋" w:eastAsia="仿宋"/>
          <w:color w:val="000000"/>
          <w:sz w:val="32"/>
          <w:szCs w:val="32"/>
        </w:rPr>
        <w:drawing>
          <wp:inline distT="0" distB="0" distL="0" distR="0">
            <wp:extent cx="4572000" cy="3002280"/>
            <wp:effectExtent l="19050" t="0" r="19050" b="7620"/>
            <wp:docPr id="3" name="图表 1" descr="7b0a202020202263686172745265734964223a202232303437313535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5"/>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21年本年支出合计3043.57万元，其中：基本支出2093.91万元，占69</w:t>
      </w:r>
      <w:r>
        <w:rPr>
          <w:rFonts w:ascii="仿宋" w:hAnsi="仿宋" w:eastAsia="仿宋"/>
          <w:sz w:val="32"/>
          <w:szCs w:val="32"/>
        </w:rPr>
        <w:t>%</w:t>
      </w:r>
      <w:r>
        <w:rPr>
          <w:rFonts w:hint="eastAsia" w:ascii="仿宋" w:hAnsi="仿宋" w:eastAsia="仿宋"/>
          <w:sz w:val="32"/>
          <w:szCs w:val="32"/>
        </w:rPr>
        <w:t>；项目支出949.66万元，占31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pStyle w:val="2"/>
        <w:spacing w:before="93"/>
      </w:pPr>
      <w:r>
        <w:drawing>
          <wp:inline distT="0" distB="0" distL="0" distR="0">
            <wp:extent cx="4572000" cy="3002280"/>
            <wp:effectExtent l="19050" t="0" r="19050" b="7620"/>
            <wp:docPr id="9" name="图表 3" descr="7b0a202020202263686172745265734964223a202232303437313938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21年财政拨款收、支总计3463.52万元。与2020年相比，收、支总计各增加616.72万元，增长22</w:t>
      </w:r>
      <w:r>
        <w:rPr>
          <w:rFonts w:ascii="仿宋" w:hAnsi="仿宋" w:eastAsia="仿宋"/>
          <w:sz w:val="32"/>
          <w:szCs w:val="32"/>
        </w:rPr>
        <w:t>%</w:t>
      </w:r>
      <w:r>
        <w:rPr>
          <w:rFonts w:hint="eastAsia" w:ascii="仿宋" w:hAnsi="仿宋" w:eastAsia="仿宋"/>
          <w:sz w:val="32"/>
          <w:szCs w:val="32"/>
        </w:rPr>
        <w:t>。主要变动原因是财政拨款收入增加。</w:t>
      </w: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pPr>
      <w:r>
        <w:drawing>
          <wp:inline distT="0" distB="0" distL="0" distR="0">
            <wp:extent cx="4572000" cy="274320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21年一般公共预算财政拨款支出3043.57万元，占本年支出合计的100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20年相比，一般公共预算财政拨款支出增加906.77万元，增长42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财政拨款收入增加。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2"/>
        <w:spacing w:before="93"/>
      </w:pPr>
      <w:r>
        <w:drawing>
          <wp:inline distT="0" distB="0" distL="0" distR="0">
            <wp:extent cx="4777740" cy="2857500"/>
            <wp:effectExtent l="19050" t="0" r="22860" b="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21年一般公共预算财政拨款支出3043.57万元，主要用于以下方面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2537.78万元，占83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支出257.54万元，占9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85.67万元，占3</w:t>
      </w:r>
      <w:r>
        <w:rPr>
          <w:rFonts w:ascii="仿宋" w:hAnsi="仿宋" w:eastAsia="仿宋"/>
          <w:sz w:val="32"/>
          <w:szCs w:val="32"/>
        </w:rPr>
        <w:t>%</w:t>
      </w:r>
      <w:r>
        <w:rPr>
          <w:rFonts w:hint="eastAsia" w:ascii="仿宋" w:hAnsi="仿宋" w:eastAsia="仿宋"/>
          <w:sz w:val="32"/>
          <w:szCs w:val="32"/>
        </w:rPr>
        <w:t>；住房保障支出162.58万元，占5</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pPr>
      <w:r>
        <w:drawing>
          <wp:inline distT="0" distB="0" distL="0" distR="0">
            <wp:extent cx="4587240" cy="3030855"/>
            <wp:effectExtent l="19050" t="0" r="22860" b="0"/>
            <wp:docPr id="1" name="图表 12" descr="7b0a202020202263686172745265734964223a202232303437313438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2021年一般公共预算支出决算数为3043.57</w:t>
      </w:r>
      <w:r>
        <w:rPr>
          <w:rFonts w:hint="eastAsia" w:ascii="仿宋" w:hAnsi="仿宋" w:eastAsia="仿宋"/>
          <w:sz w:val="32"/>
          <w:szCs w:val="32"/>
        </w:rPr>
        <w:t>，</w:t>
      </w:r>
      <w:r>
        <w:rPr>
          <w:rStyle w:val="14"/>
          <w:rFonts w:hint="eastAsia" w:ascii="仿宋" w:hAnsi="仿宋" w:eastAsia="仿宋"/>
          <w:bCs/>
          <w:sz w:val="32"/>
          <w:szCs w:val="32"/>
        </w:rPr>
        <w:t>完成预算87.88</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教育支出（类）普通教育（款）小学教育（项）</w:t>
      </w:r>
      <w:r>
        <w:rPr>
          <w:rStyle w:val="14"/>
          <w:rFonts w:ascii="仿宋" w:hAnsi="仿宋" w:eastAsia="仿宋"/>
          <w:bCs/>
          <w:sz w:val="32"/>
          <w:szCs w:val="32"/>
        </w:rPr>
        <w:t>:</w:t>
      </w:r>
      <w:r>
        <w:rPr>
          <w:rStyle w:val="14"/>
          <w:rFonts w:hint="eastAsia" w:ascii="仿宋" w:hAnsi="仿宋" w:eastAsia="仿宋"/>
          <w:b w:val="0"/>
          <w:bCs/>
          <w:sz w:val="32"/>
          <w:szCs w:val="32"/>
        </w:rPr>
        <w:t>支出决算为2537.78万元，完成预算85.8</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000000"/>
          <w:sz w:val="32"/>
          <w:szCs w:val="32"/>
        </w:rPr>
        <w:t>决算数小于预算数的主要原因是</w:t>
      </w:r>
      <w:r>
        <w:rPr>
          <w:rFonts w:hint="eastAsia" w:ascii="仿宋_GB2312" w:eastAsia="仿宋_GB2312" w:cs="仿宋_GB2312"/>
          <w:color w:val="000000"/>
          <w:sz w:val="32"/>
          <w:szCs w:val="32"/>
        </w:rPr>
        <w:t>部分项目未实施完成</w:t>
      </w:r>
      <w:r>
        <w:rPr>
          <w:rStyle w:val="14"/>
          <w:rFonts w:hint="eastAsia" w:ascii="仿宋" w:hAnsi="仿宋" w:eastAsia="仿宋"/>
          <w:bCs/>
          <w:color w:val="000000"/>
          <w:sz w:val="32"/>
          <w:szCs w:val="32"/>
        </w:rPr>
        <w:t>。</w:t>
      </w: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社会保障和就业支出（类）行政事业单位养老支出（款）事业单位离退休（项）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hint="eastAsia" w:ascii="仿宋_GB2312" w:hAnsi="仿宋_GB2312" w:eastAsia="仿宋_GB2312" w:cs="仿宋_GB2312"/>
          <w:b/>
          <w:color w:val="000000"/>
          <w:sz w:val="32"/>
          <w:szCs w:val="32"/>
        </w:rPr>
        <w:t>1.89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3.</w:t>
      </w:r>
      <w:r>
        <w:rPr>
          <w:rStyle w:val="14"/>
          <w:rFonts w:hint="eastAsia" w:ascii="仿宋" w:hAnsi="仿宋" w:eastAsia="仿宋"/>
          <w:bCs/>
          <w:sz w:val="32"/>
          <w:szCs w:val="32"/>
        </w:rPr>
        <w:t>社会保障和就业支出（类）行政事业单位养老支出（款）机关事业单位基本养老保险缴费支出（项）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hint="eastAsia" w:ascii="仿宋_GB2312" w:hAnsi="仿宋_GB2312" w:eastAsia="仿宋_GB2312" w:cs="仿宋_GB2312"/>
          <w:b/>
          <w:color w:val="000000"/>
          <w:sz w:val="32"/>
          <w:szCs w:val="32"/>
        </w:rPr>
        <w:t>169.59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bCs/>
          <w:sz w:val="32"/>
          <w:szCs w:val="32"/>
        </w:rPr>
      </w:pPr>
      <w:r>
        <w:rPr>
          <w:rStyle w:val="14"/>
          <w:rFonts w:ascii="仿宋" w:hAnsi="仿宋" w:eastAsia="仿宋"/>
          <w:bCs/>
          <w:sz w:val="32"/>
          <w:szCs w:val="32"/>
        </w:rPr>
        <w:t>4.</w:t>
      </w:r>
      <w:r>
        <w:rPr>
          <w:rStyle w:val="14"/>
          <w:rFonts w:hint="eastAsia" w:ascii="仿宋" w:hAnsi="仿宋" w:eastAsia="仿宋"/>
          <w:bCs/>
          <w:sz w:val="32"/>
          <w:szCs w:val="32"/>
        </w:rPr>
        <w:t>社会保障和就业支出（类）行政事业单位养老支出（款）机关事业单位职业年金缴费支出（项）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hint="eastAsia" w:ascii="仿宋_GB2312" w:hAnsi="仿宋_GB2312" w:eastAsia="仿宋_GB2312" w:cs="仿宋_GB2312"/>
          <w:b/>
          <w:color w:val="000000"/>
          <w:sz w:val="32"/>
          <w:szCs w:val="32"/>
        </w:rPr>
        <w:t>27.6</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Cs/>
          <w:sz w:val="32"/>
          <w:szCs w:val="32"/>
        </w:rPr>
      </w:pPr>
      <w:r>
        <w:rPr>
          <w:rStyle w:val="14"/>
          <w:rFonts w:hint="eastAsia" w:ascii="仿宋" w:hAnsi="仿宋" w:eastAsia="仿宋"/>
          <w:bCs/>
          <w:sz w:val="32"/>
          <w:szCs w:val="32"/>
        </w:rPr>
        <w:t>5</w:t>
      </w:r>
      <w:r>
        <w:rPr>
          <w:rStyle w:val="14"/>
          <w:rFonts w:ascii="仿宋" w:hAnsi="仿宋" w:eastAsia="仿宋"/>
          <w:bCs/>
          <w:sz w:val="32"/>
          <w:szCs w:val="32"/>
        </w:rPr>
        <w:t>.</w:t>
      </w:r>
      <w:r>
        <w:rPr>
          <w:rStyle w:val="14"/>
          <w:rFonts w:hint="eastAsia" w:ascii="仿宋" w:hAnsi="仿宋" w:eastAsia="仿宋"/>
          <w:bCs/>
          <w:sz w:val="32"/>
          <w:szCs w:val="32"/>
        </w:rPr>
        <w:t>社会保障和就业支出（类）行政事业单位养老支出（款）其他社会保障和就业支出（项）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hint="eastAsia" w:ascii="仿宋_GB2312" w:hAnsi="仿宋_GB2312" w:eastAsia="仿宋_GB2312" w:cs="仿宋_GB2312"/>
          <w:b/>
          <w:color w:val="000000"/>
          <w:sz w:val="32"/>
          <w:szCs w:val="32"/>
        </w:rPr>
        <w:t>58.46</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支出决算为85.67万元，完成预算100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 w:val="0"/>
          <w:bCs/>
          <w:color w:val="000000"/>
          <w:sz w:val="32"/>
          <w:szCs w:val="32"/>
        </w:rPr>
        <w:t>:</w:t>
      </w:r>
      <w:r>
        <w:rPr>
          <w:rStyle w:val="14"/>
          <w:rFonts w:hint="eastAsia" w:ascii="仿宋" w:hAnsi="仿宋" w:eastAsia="仿宋"/>
          <w:bCs/>
          <w:color w:val="000000"/>
          <w:sz w:val="32"/>
          <w:szCs w:val="32"/>
        </w:rPr>
        <w:t>支出决算为</w:t>
      </w:r>
      <w:r>
        <w:rPr>
          <w:rFonts w:hint="eastAsia" w:ascii="仿宋" w:hAnsi="仿宋" w:eastAsia="仿宋"/>
          <w:bCs/>
          <w:color w:val="000000"/>
          <w:sz w:val="32"/>
          <w:szCs w:val="32"/>
        </w:rPr>
        <w:t>162.58</w:t>
      </w:r>
      <w:r>
        <w:rPr>
          <w:rStyle w:val="14"/>
          <w:rFonts w:hint="eastAsia" w:ascii="仿宋" w:hAnsi="仿宋" w:eastAsia="仿宋"/>
          <w:bCs/>
          <w:color w:val="000000"/>
          <w:sz w:val="32"/>
          <w:szCs w:val="32"/>
        </w:rPr>
        <w:t>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21年一般公共预算财政拨款基本支出2093.9</w:t>
      </w:r>
      <w:r>
        <w:rPr>
          <w:rFonts w:hint="eastAsia" w:ascii="仿宋" w:hAnsi="仿宋" w:eastAsia="仿宋"/>
          <w:sz w:val="32"/>
          <w:szCs w:val="32"/>
          <w:lang w:val="en-US" w:eastAsia="zh-CN"/>
        </w:rPr>
        <w:t>1</w:t>
      </w:r>
      <w:bookmarkStart w:id="67" w:name="_GoBack"/>
      <w:bookmarkEnd w:id="67"/>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1834.51万元，主要包括：基本工资、津贴补贴、绩效工资、机关事业单位基本养老保险缴费、机关事业单位职业年金缴费、职工医疗保险缴费、其他社会保障缴费、其他工资福利支出、生活补助、住房公积金等。</w:t>
      </w:r>
      <w:r>
        <w:rPr>
          <w:rFonts w:ascii="仿宋" w:hAnsi="仿宋" w:eastAsia="仿宋"/>
          <w:sz w:val="32"/>
          <w:szCs w:val="32"/>
        </w:rPr>
        <w:br w:type="textWrapping"/>
      </w:r>
      <w:r>
        <w:rPr>
          <w:rFonts w:hint="eastAsia" w:ascii="仿宋" w:hAnsi="仿宋" w:eastAsia="仿宋"/>
          <w:sz w:val="32"/>
          <w:szCs w:val="32"/>
        </w:rPr>
        <w:t>　　公用经费259.4万元，主要包括：办公费、印刷费、咨询费、水费、电费、邮电费、物业管理费、差旅费、维修（护）费、培训费、公务接待费、专用材料费、劳务费、工会经费、福利费、其他交通费、其他商品和服务支出等。</w:t>
      </w: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21年“三公”经费财政拨款支出决算为0.15万元，完成预算15</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 w:hAnsi="仿宋" w:eastAsia="仿宋"/>
          <w:color w:val="000000"/>
          <w:sz w:val="32"/>
          <w:szCs w:val="32"/>
        </w:rPr>
        <w:t>本年度公务接待数量减少。</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；公务接待费支出决算0.15万元，占100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pPr>
      <w:r>
        <w:drawing>
          <wp:inline distT="0" distB="0" distL="0" distR="0">
            <wp:extent cx="3891915" cy="3030855"/>
            <wp:effectExtent l="19050" t="0" r="13335" b="0"/>
            <wp:docPr id="5" name="图表 2" descr="7b0a202020202263686172745265734964223a202232303437313438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年初未安排预算。</w:t>
      </w:r>
      <w:r>
        <w:rPr>
          <w:rFonts w:hint="eastAsia" w:ascii="仿宋_GB2312" w:eastAsia="仿宋_GB2312"/>
          <w:sz w:val="32"/>
          <w:szCs w:val="32"/>
        </w:rPr>
        <w:t>因公出国（境）支出决算较2020年无变化。</w:t>
      </w:r>
    </w:p>
    <w:p>
      <w:pPr>
        <w:spacing w:line="600" w:lineRule="exact"/>
        <w:ind w:firstLine="640"/>
        <w:rPr>
          <w:rFonts w:ascii="仿宋" w:hAnsi="仿宋" w:eastAsia="仿宋"/>
          <w:color w:val="000000"/>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 w:hAnsi="仿宋" w:eastAsia="仿宋"/>
          <w:color w:val="000000"/>
          <w:sz w:val="32"/>
          <w:szCs w:val="32"/>
        </w:rPr>
        <w:t xml:space="preserve"> 年初未安排预算。公务用车购置及运行维护费支出决算与2020年持平。主要原因是截止2021年12月31日，本单位无公务用车。</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0.15万元，</w:t>
      </w:r>
      <w:r>
        <w:rPr>
          <w:rStyle w:val="14"/>
          <w:rFonts w:hint="eastAsia" w:ascii="仿宋" w:hAnsi="仿宋" w:eastAsia="仿宋"/>
          <w:b w:val="0"/>
          <w:bCs/>
          <w:sz w:val="32"/>
          <w:szCs w:val="32"/>
        </w:rPr>
        <w:t>完成预算15</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20年减少0.05万元，下降33</w:t>
      </w:r>
      <w:r>
        <w:rPr>
          <w:rFonts w:ascii="仿宋_GB2312" w:eastAsia="仿宋_GB2312"/>
          <w:sz w:val="32"/>
          <w:szCs w:val="32"/>
        </w:rPr>
        <w:t>%</w:t>
      </w:r>
      <w:r>
        <w:rPr>
          <w:rFonts w:hint="eastAsia" w:ascii="仿宋_GB2312" w:eastAsia="仿宋_GB2312"/>
          <w:sz w:val="32"/>
          <w:szCs w:val="32"/>
        </w:rPr>
        <w:t>。主要原因是本年度接待数量减少。其中：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0.15</w:t>
      </w:r>
      <w:r>
        <w:rPr>
          <w:rFonts w:hint="eastAsia" w:ascii="仿宋_GB2312" w:eastAsia="仿宋_GB2312"/>
          <w:sz w:val="32"/>
          <w:szCs w:val="32"/>
        </w:rPr>
        <w:t>万元，</w:t>
      </w:r>
      <w:r>
        <w:rPr>
          <w:rFonts w:hint="eastAsia" w:ascii="仿宋" w:hAnsi="仿宋" w:eastAsia="仿宋"/>
          <w:color w:val="000000"/>
          <w:sz w:val="32"/>
          <w:szCs w:val="32"/>
        </w:rPr>
        <w:t>主要用于开展业务活动开支的用餐费等</w:t>
      </w:r>
      <w:r>
        <w:rPr>
          <w:rFonts w:hint="eastAsia" w:ascii="仿宋_GB2312" w:eastAsia="仿宋_GB2312"/>
          <w:sz w:val="32"/>
          <w:szCs w:val="32"/>
        </w:rPr>
        <w:t>。国内公务接待1批次，15人次（不包括陪同人员），共计支出0.15万元，具体内容包括：</w:t>
      </w:r>
      <w:r>
        <w:rPr>
          <w:rFonts w:ascii="仿宋_GB2312" w:eastAsia="仿宋_GB2312"/>
          <w:sz w:val="32"/>
          <w:szCs w:val="32"/>
        </w:rPr>
        <w:t>2021年7月8日，苍溪县文昌学区校长团队赴广元市实验小学校开展研学活动，发生金额1450元，接待人数15人</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r>
        <w:rPr>
          <w:rFonts w:hint="eastAsia" w:ascii="仿宋" w:hAnsi="仿宋" w:eastAsia="仿宋"/>
          <w:color w:val="000000"/>
          <w:sz w:val="32"/>
          <w:szCs w:val="32"/>
        </w:rPr>
        <w:t>。</w:t>
      </w:r>
    </w:p>
    <w:p>
      <w:pPr>
        <w:spacing w:line="600" w:lineRule="exact"/>
        <w:ind w:firstLine="640"/>
        <w:outlineLvl w:val="1"/>
        <w:rPr>
          <w:rStyle w:val="25"/>
          <w:rFonts w:ascii="黑体" w:hAnsi="黑体" w:eastAsia="黑体"/>
        </w:rPr>
      </w:pPr>
      <w:bookmarkStart w:id="40" w:name="_Toc15377218"/>
      <w:bookmarkStart w:id="41" w:name="_Toc15396610"/>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1年政府性基金预算支出决算数为0万元，本单位未在政府性基金预算拨款安排“三公经费”支出。</w:t>
      </w:r>
    </w:p>
    <w:p>
      <w:pPr>
        <w:numPr>
          <w:ilvl w:val="0"/>
          <w:numId w:val="6"/>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6"/>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中央薄弱环节改善与能力提升资金项目等5个项目开展了预算事前绩效评估，对3个项目编制了绩效目标，预算执行过程中，选取3个项目开展绩效监控，年终执行完毕后，对3个项目开展了绩效自评，2021年部门预算项目绩效目标自评表见附件（第四部分）。</w:t>
      </w:r>
    </w:p>
    <w:p>
      <w:pPr>
        <w:pStyle w:val="2"/>
        <w:spacing w:before="93"/>
      </w:pPr>
    </w:p>
    <w:p>
      <w:pPr>
        <w:numPr>
          <w:ilvl w:val="0"/>
          <w:numId w:val="6"/>
        </w:numPr>
        <w:spacing w:line="600" w:lineRule="exact"/>
        <w:ind w:firstLine="640"/>
        <w:outlineLvl w:val="1"/>
        <w:rPr>
          <w:rStyle w:val="25"/>
          <w:rFonts w:ascii="黑体" w:hAnsi="黑体" w:eastAsia="黑体"/>
          <w:b w:val="0"/>
        </w:rPr>
      </w:pPr>
      <w:r>
        <w:rPr>
          <w:rStyle w:val="25"/>
          <w:rFonts w:hint="eastAsia" w:ascii="黑体" w:hAnsi="黑体" w:eastAsia="黑体"/>
          <w:b w:val="0"/>
        </w:rPr>
        <w:t>其他重要事项的情况说明</w:t>
      </w:r>
      <w:bookmarkEnd w:id="44"/>
      <w:bookmarkEnd w:id="45"/>
    </w:p>
    <w:p>
      <w:pPr>
        <w:pStyle w:val="23"/>
        <w:numPr>
          <w:ilvl w:val="0"/>
          <w:numId w:val="7"/>
        </w:numPr>
        <w:spacing w:line="600" w:lineRule="exact"/>
        <w:ind w:firstLineChars="0"/>
        <w:outlineLvl w:val="2"/>
        <w:rPr>
          <w:rFonts w:ascii="仿宋" w:hAnsi="仿宋" w:eastAsia="仿宋"/>
          <w:b/>
          <w:sz w:val="32"/>
          <w:szCs w:val="32"/>
        </w:rPr>
      </w:pPr>
      <w:bookmarkStart w:id="46" w:name="_Toc15377222"/>
      <w:r>
        <w:rPr>
          <w:rFonts w:hint="eastAsia" w:ascii="仿宋" w:hAnsi="仿宋" w:eastAsia="仿宋"/>
          <w:b/>
          <w:sz w:val="32"/>
          <w:szCs w:val="32"/>
        </w:rPr>
        <w:t>机关运行经费支出情况</w:t>
      </w:r>
      <w:bookmarkEnd w:id="46"/>
    </w:p>
    <w:p>
      <w:pPr>
        <w:pStyle w:val="2"/>
        <w:spacing w:before="93"/>
        <w:ind w:firstLine="627" w:firstLineChars="196"/>
      </w:pPr>
      <w:r>
        <w:rPr>
          <w:rFonts w:hint="eastAsia" w:ascii="仿宋" w:hAnsi="仿宋" w:eastAsia="仿宋" w:cs="仿宋"/>
          <w:sz w:val="32"/>
          <w:szCs w:val="32"/>
        </w:rPr>
        <w:t>2021年</w:t>
      </w:r>
      <w:r>
        <w:rPr>
          <w:rFonts w:hint="eastAsia" w:ascii="仿宋" w:hAnsi="仿宋" w:eastAsia="仿宋" w:cs="仿宋"/>
          <w:color w:val="000000"/>
          <w:sz w:val="32"/>
          <w:szCs w:val="32"/>
        </w:rPr>
        <w:t>未发生机关运行经费支出，与2020年决算数持平。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21年，政府采购支出总额39.05万元，其中：政府采购货物支出39.05万元。授予中小企业合同金额39.05万元，占政府采购支出总额的100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，其中：授予小微企业合同金额39.05万元，占政府采购支出总额的100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bookmarkStart w:id="49" w:name="_Toc15396613"/>
      <w:bookmarkStart w:id="50" w:name="_Toc15377225"/>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日，广元市实验小学校共有车辆0辆，其中：主要领导干部用车0辆、机要通信用车0辆、应急保障用车0辆、其他用车0辆。单价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widowControl/>
        <w:jc w:val="center"/>
        <w:rPr>
          <w:rFonts w:ascii="黑体" w:hAnsi="黑体" w:eastAsia="黑体"/>
          <w:sz w:val="44"/>
          <w:szCs w:val="44"/>
        </w:rPr>
      </w:pPr>
    </w:p>
    <w:p>
      <w:pPr>
        <w:widowControl/>
        <w:jc w:val="center"/>
        <w:rPr>
          <w:rFonts w:ascii="仿宋_GB2312" w:eastAsia="仿宋_GB2312"/>
          <w:b/>
          <w:sz w:val="32"/>
          <w:szCs w:val="32"/>
        </w:rPr>
      </w:pPr>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pStyle w:val="22"/>
        <w:spacing w:line="560" w:lineRule="exact"/>
        <w:ind w:firstLine="640" w:firstLineChars="200"/>
        <w:rPr>
          <w:rFonts w:ascii="仿宋_GB2312" w:eastAsia="仿宋_GB2312"/>
          <w:sz w:val="32"/>
          <w:szCs w:val="32"/>
        </w:rPr>
      </w:pPr>
      <w:bookmarkStart w:id="51" w:name="_Toc15396614"/>
      <w:bookmarkStart w:id="52"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教育支出（类）普通教育（款）小学教育（项）：指小学教育支出。</w:t>
      </w:r>
    </w:p>
    <w:p>
      <w:pPr>
        <w:ind w:firstLine="640" w:firstLineChars="200"/>
        <w:rPr>
          <w:rFonts w:ascii="仿宋_GB2312" w:eastAsia="仿宋_GB2312"/>
          <w:color w:val="000000"/>
          <w:sz w:val="32"/>
          <w:szCs w:val="32"/>
        </w:rPr>
      </w:pPr>
      <w:r>
        <w:rPr>
          <w:rFonts w:ascii="仿宋_GB2312" w:eastAsia="仿宋_GB2312"/>
          <w:sz w:val="32"/>
          <w:szCs w:val="32"/>
        </w:rPr>
        <w:t>5.</w:t>
      </w:r>
      <w:r>
        <w:rPr>
          <w:rFonts w:hint="eastAsia" w:ascii="仿宋_GB2312" w:eastAsia="仿宋_GB2312"/>
          <w:color w:val="000000"/>
          <w:sz w:val="32"/>
          <w:szCs w:val="32"/>
        </w:rPr>
        <w:t>社会保障和就业支出（类）行政事业单位养老支出（款）事业单位离退休（项）：指用于单位离退休人员的支出。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6.社会保障和就业支出（类）行政事业单位养老支出（款）机关事业单位基本养老保险缴费支出（项）：指用于实施养老保险制度由单位缴纳的基本养老保险费支出。</w:t>
      </w:r>
      <w:r>
        <w:rPr>
          <w:rFonts w:hint="eastAsia" w:ascii="仿宋_GB2312" w:eastAsia="仿宋_GB2312"/>
          <w:sz w:val="32"/>
          <w:szCs w:val="32"/>
        </w:rPr>
        <w:br w:type="textWrapping"/>
      </w:r>
      <w:r>
        <w:rPr>
          <w:rFonts w:hint="eastAsia" w:ascii="仿宋_GB2312" w:eastAsia="仿宋_GB2312"/>
          <w:sz w:val="32"/>
          <w:szCs w:val="32"/>
        </w:rPr>
        <w:t xml:space="preserve">    7.社会保障和就业支出（类）行政事业单位养老支出（款）机关事业单位职业年金缴费支出（项）：指用于单位职业年金缴费。</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w:t>
      </w:r>
      <w:r>
        <w:rPr>
          <w:rFonts w:ascii="仿宋_GB2312" w:hAnsi="Calibri" w:eastAsia="仿宋_GB2312" w:cs="仿宋"/>
          <w:color w:val="000000"/>
          <w:kern w:val="0"/>
          <w:sz w:val="32"/>
          <w:szCs w:val="32"/>
        </w:rPr>
        <w:t>社会保障和就业（类）</w:t>
      </w:r>
      <w:r>
        <w:rPr>
          <w:rFonts w:hint="eastAsia" w:ascii="仿宋_GB2312" w:hAnsi="Calibri" w:eastAsia="仿宋_GB2312" w:cs="仿宋"/>
          <w:color w:val="000000"/>
          <w:kern w:val="0"/>
          <w:sz w:val="32"/>
          <w:szCs w:val="32"/>
        </w:rPr>
        <w:t>其他</w:t>
      </w:r>
      <w:r>
        <w:rPr>
          <w:rFonts w:ascii="仿宋_GB2312" w:hAnsi="Calibri" w:eastAsia="仿宋_GB2312" w:cs="仿宋"/>
          <w:color w:val="000000"/>
          <w:kern w:val="0"/>
          <w:sz w:val="32"/>
          <w:szCs w:val="32"/>
        </w:rPr>
        <w:t>社会保障和就业（款）</w:t>
      </w:r>
      <w:r>
        <w:rPr>
          <w:rFonts w:hint="eastAsia" w:ascii="仿宋_GB2312" w:hAnsi="Calibri" w:eastAsia="仿宋_GB2312" w:cs="仿宋"/>
          <w:color w:val="000000"/>
          <w:kern w:val="0"/>
          <w:sz w:val="32"/>
          <w:szCs w:val="32"/>
        </w:rPr>
        <w:t>其他</w:t>
      </w:r>
      <w:r>
        <w:rPr>
          <w:rFonts w:ascii="仿宋_GB2312" w:hAnsi="Calibri" w:eastAsia="仿宋_GB2312" w:cs="仿宋"/>
          <w:color w:val="000000"/>
          <w:kern w:val="0"/>
          <w:sz w:val="32"/>
          <w:szCs w:val="32"/>
        </w:rPr>
        <w:t>社会保障和就业（项）：</w:t>
      </w:r>
      <w:r>
        <w:rPr>
          <w:rFonts w:hint="eastAsia" w:ascii="仿宋_GB2312" w:hAnsi="Calibri" w:eastAsia="仿宋_GB2312" w:cs="仿宋"/>
          <w:color w:val="000000"/>
          <w:kern w:val="0"/>
          <w:sz w:val="32"/>
          <w:szCs w:val="32"/>
        </w:rPr>
        <w:t>指事业单位其他社会保险缴费及离退休人员其他方面的支出。</w:t>
      </w:r>
    </w:p>
    <w:p>
      <w:pPr>
        <w:spacing w:line="560" w:lineRule="exact"/>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rPr>
        <w:t>9.卫生健康支出</w:t>
      </w:r>
      <w:r>
        <w:rPr>
          <w:rFonts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rPr>
        <w:t>行政事业单位医疗</w:t>
      </w:r>
      <w:r>
        <w:rPr>
          <w:rFonts w:ascii="仿宋_GB2312" w:hAnsi="Calibri" w:eastAsia="仿宋_GB2312" w:cs="仿宋"/>
          <w:color w:val="000000"/>
          <w:kern w:val="0"/>
          <w:sz w:val="32"/>
          <w:szCs w:val="32"/>
        </w:rPr>
        <w:t>（款）事业单位医疗（项）：</w:t>
      </w:r>
      <w:r>
        <w:rPr>
          <w:rFonts w:hint="eastAsia" w:ascii="仿宋_GB2312" w:eastAsia="仿宋_GB2312"/>
          <w:color w:val="000000"/>
          <w:sz w:val="32"/>
          <w:szCs w:val="32"/>
        </w:rPr>
        <w:t>指用于单位基本医疗保险缴费。</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ascii="仿宋_GB2312" w:hAnsi="Calibri" w:eastAsia="仿宋_GB2312" w:cs="仿宋"/>
          <w:color w:val="000000"/>
          <w:kern w:val="0"/>
          <w:sz w:val="32"/>
          <w:szCs w:val="32"/>
        </w:rPr>
        <w:t>住房保障（类）住房改革支出（款）住房公积金（项）：指行政事业单位按人力资源和社会保障部、财政部规定的基本工资和津贴补贴以及规定比例为职工缴纳的住房公积金。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黑体" w:hAnsi="黑体" w:eastAsia="黑体"/>
          <w:color w:val="000000"/>
          <w:sz w:val="44"/>
          <w:szCs w:val="44"/>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黑体" w:hAnsi="黑体" w:eastAsia="黑体"/>
          <w:sz w:val="44"/>
          <w:szCs w:val="44"/>
        </w:rPr>
      </w:pPr>
    </w:p>
    <w:p>
      <w:pPr>
        <w:spacing w:line="600" w:lineRule="exact"/>
        <w:jc w:val="center"/>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bookmarkEnd w:id="51"/>
    </w:p>
    <w:p>
      <w:pPr>
        <w:pStyle w:val="2"/>
        <w:spacing w:before="93"/>
        <w:rPr>
          <w:lang w:val="zh-CN"/>
        </w:rPr>
      </w:pPr>
      <w:r>
        <w:rPr>
          <w:rFonts w:hint="eastAsia" w:hAnsi="宋体" w:cs="宋体"/>
          <w:sz w:val="32"/>
          <w:szCs w:val="32"/>
          <w:shd w:val="clear" w:color="auto" w:fill="FFFFFF"/>
          <w:lang w:val="zh-CN"/>
        </w:rPr>
        <w:t>附件1</w:t>
      </w:r>
    </w:p>
    <w:p>
      <w:pPr>
        <w:adjustRightInd w:val="0"/>
        <w:snapToGrid w:val="0"/>
        <w:spacing w:line="700" w:lineRule="exact"/>
        <w:jc w:val="center"/>
        <w:rPr>
          <w:rFonts w:ascii="方正小标宋简体" w:hAnsi="方正小标宋简体" w:eastAsia="方正小标宋简体" w:cs="方正小标宋简体"/>
          <w:sz w:val="44"/>
          <w:szCs w:val="44"/>
        </w:rPr>
      </w:pPr>
    </w:p>
    <w:p>
      <w:pPr>
        <w:adjustRightInd w:val="0"/>
        <w:snapToGrid w:val="0"/>
        <w:spacing w:line="700" w:lineRule="exact"/>
        <w:jc w:val="center"/>
        <w:rPr>
          <w:rFonts w:ascii="方正小标宋简体" w:hAnsi="方正小标宋简体" w:eastAsia="方正小标宋简体" w:cs="方正小标宋简体"/>
          <w:sz w:val="44"/>
          <w:szCs w:val="44"/>
        </w:rPr>
      </w:pP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广元市实验小学校</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2021年度“三区”人才计划教师专项计划</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pPr>
        <w:adjustRightInd w:val="0"/>
        <w:snapToGrid w:val="0"/>
        <w:spacing w:line="584" w:lineRule="exact"/>
        <w:ind w:firstLine="720" w:firstLineChars="200"/>
        <w:rPr>
          <w:rFonts w:ascii="仿宋_GB2312" w:hAnsi="方正小标宋简体" w:eastAsia="仿宋_GB2312" w:cs="方正小标宋简体"/>
          <w:sz w:val="36"/>
          <w:szCs w:val="36"/>
        </w:rPr>
      </w:pPr>
    </w:p>
    <w:p>
      <w:pPr>
        <w:adjustRightInd w:val="0"/>
        <w:snapToGrid w:val="0"/>
        <w:spacing w:line="600" w:lineRule="atLeas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区”人才计划教师专项计划项目按照《省委组织部等五部门关于印发&lt;四川省边远贫困地区、民族地区和革命老区人才计划教师专项计划实施方案&gt;的通知》（川教[2013]54号）和《四川省教育厅、四川省财政厅关于做好银龄讲学计划实施工作的通知》（川教函[2018]441号）</w:t>
      </w:r>
      <w:r>
        <w:rPr>
          <w:rFonts w:hint="eastAsia" w:ascii="仿宋_GB2312" w:eastAsia="仿宋_GB2312"/>
          <w:color w:val="000000"/>
          <w:sz w:val="32"/>
          <w:szCs w:val="32"/>
        </w:rPr>
        <w:t>文件执行，</w:t>
      </w:r>
      <w:r>
        <w:rPr>
          <w:rFonts w:hint="eastAsia" w:ascii="仿宋_GB2312" w:hAnsi="仿宋_GB2312" w:eastAsia="仿宋_GB2312" w:cs="仿宋_GB2312"/>
          <w:color w:val="000000"/>
          <w:sz w:val="32"/>
          <w:szCs w:val="32"/>
        </w:rPr>
        <w:t>2021年</w:t>
      </w:r>
      <w:r>
        <w:rPr>
          <w:rFonts w:hint="eastAsia" w:ascii="仿宋_GB2312" w:eastAsia="仿宋_GB2312"/>
          <w:color w:val="000000"/>
          <w:sz w:val="32"/>
          <w:szCs w:val="32"/>
        </w:rPr>
        <w:t>以财政资金拨付为主。</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（二）项目绩效目标。</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“三区”人才计划教师专项计划项目通过教师支教工作，确保支教工作正常有序进行，发挥支教工作辐射引领作用，有利于促进小学义务教育高质量发展。</w:t>
      </w:r>
    </w:p>
    <w:p>
      <w:pPr>
        <w:adjustRightInd w:val="0"/>
        <w:snapToGrid w:val="0"/>
        <w:spacing w:line="600" w:lineRule="atLeast"/>
        <w:ind w:firstLine="640" w:firstLineChars="200"/>
        <w:rPr>
          <w:rFonts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该项目于2021年1至12月期间组织实施完成。根据项目支出绩效自评要求，我校认真梳理、核实申报实施项目、支出账务等，2021年申报内容与预算资金基本合理可行。</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（三）项目自评步骤及方法。</w:t>
      </w:r>
    </w:p>
    <w:p>
      <w:pPr>
        <w:adjustRightInd w:val="0"/>
        <w:snapToGrid w:val="0"/>
        <w:spacing w:line="600" w:lineRule="atLeast"/>
        <w:ind w:firstLine="640" w:firstLineChars="200"/>
        <w:rPr>
          <w:rFonts w:ascii="黑体" w:hAnsi="黑体" w:eastAsia="仿宋_GB2312" w:cs="黑体"/>
          <w:color w:val="000000"/>
          <w:sz w:val="32"/>
          <w:szCs w:val="32"/>
        </w:rPr>
      </w:pPr>
      <w:r>
        <w:rPr>
          <w:rFonts w:hint="eastAsia" w:ascii="仿宋_GB2312" w:hAnsi="仿宋_GB2312" w:eastAsia="仿宋_GB2312" w:cs="仿宋_GB2312"/>
          <w:color w:val="000000"/>
          <w:sz w:val="32"/>
          <w:szCs w:val="32"/>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w:t>
      </w:r>
      <w:r>
        <w:rPr>
          <w:rFonts w:hint="eastAsia" w:ascii="仿宋_GB2312" w:hAnsi="仿宋_GB2312" w:eastAsia="仿宋_GB2312" w:cs="仿宋_GB2312"/>
          <w:color w:val="000000"/>
          <w:sz w:val="32"/>
          <w:szCs w:val="32"/>
          <w:lang w:val="en-US" w:eastAsia="zh-CN"/>
        </w:rPr>
        <w:t>作出</w:t>
      </w:r>
      <w:r>
        <w:rPr>
          <w:rFonts w:hint="eastAsia" w:ascii="仿宋_GB2312" w:hAnsi="仿宋_GB2312" w:eastAsia="仿宋_GB2312" w:cs="仿宋_GB2312"/>
          <w:color w:val="000000"/>
          <w:sz w:val="32"/>
          <w:szCs w:val="32"/>
        </w:rPr>
        <w:t>自我评价。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（一）项目资金申报及批复情况。</w:t>
      </w:r>
    </w:p>
    <w:p>
      <w:pPr>
        <w:adjustRightInd w:val="0"/>
        <w:snapToGrid w:val="0"/>
        <w:spacing w:line="600" w:lineRule="atLeast"/>
        <w:ind w:firstLine="640" w:firstLineChars="200"/>
        <w:rPr>
          <w:rFonts w:ascii="KaiTi_GB2312" w:hAnsi="宋体" w:eastAsia="仿宋_GB2312"/>
          <w:b/>
          <w:sz w:val="32"/>
          <w:szCs w:val="32"/>
          <w:lang w:val="zh-CN"/>
        </w:rPr>
      </w:pPr>
      <w:r>
        <w:rPr>
          <w:rFonts w:hint="eastAsia" w:ascii="仿宋_GB2312" w:hAnsi="仿宋_GB2312" w:eastAsia="仿宋_GB2312" w:cs="仿宋_GB2312"/>
          <w:color w:val="000000"/>
          <w:sz w:val="32"/>
          <w:szCs w:val="32"/>
        </w:rPr>
        <w:t>2021年“三区”人才计划教师专项计划项目预算2万元，由市财政拨付。</w:t>
      </w:r>
    </w:p>
    <w:p>
      <w:pPr>
        <w:adjustRightInd w:val="0"/>
        <w:snapToGrid w:val="0"/>
        <w:spacing w:line="600" w:lineRule="atLeast"/>
        <w:ind w:firstLine="643" w:firstLineChars="200"/>
        <w:rPr>
          <w:rFonts w:ascii="KaiTi_GB2312" w:hAnsi="宋体" w:eastAsia="KaiTi_GB2312"/>
          <w:b/>
          <w:sz w:val="32"/>
          <w:szCs w:val="32"/>
          <w:lang w:val="zh-CN"/>
        </w:rPr>
      </w:pPr>
      <w:r>
        <w:rPr>
          <w:rFonts w:hint="eastAsia" w:ascii="KaiTi_GB2312" w:hAnsi="宋体" w:eastAsia="KaiTi_GB2312"/>
          <w:b/>
          <w:sz w:val="32"/>
          <w:szCs w:val="32"/>
          <w:lang w:val="zh-CN"/>
        </w:rPr>
        <w:t>（二）资金计划、到位及使用情况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1.2021年“三区”人才计划教师专项计划项目预算2万元。</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2.截止2021年12月，市财政拨付到位“三区”人才计划教师专项计划项目资金经费2万元。</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3.资金使用。我校严格按照经费的管理、使用规定，合理合规合法使用预算资金，确保每一笔资金使用有理有据。截止2021年12月，发放资助资金2万元，用于教师支教工作。</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（三）项目财务管理情况。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w:t>
      </w:r>
      <w:r>
        <w:rPr>
          <w:rFonts w:hint="eastAsia" w:ascii="仿宋_GB2312" w:eastAsia="仿宋_GB2312"/>
          <w:color w:val="000000"/>
          <w:sz w:val="32"/>
          <w:szCs w:val="32"/>
        </w:rPr>
        <w:t>项目</w:t>
      </w:r>
      <w:r>
        <w:rPr>
          <w:rFonts w:hint="eastAsia" w:ascii="仿宋_GB2312" w:hAnsi="仿宋_GB2312" w:eastAsia="仿宋_GB2312" w:cs="仿宋_GB2312"/>
          <w:color w:val="000000"/>
          <w:sz w:val="32"/>
          <w:szCs w:val="32"/>
        </w:rPr>
        <w:t>支出报销凭证须由经办人员粘贴、填制简述事由和签字，分管主任、业务分管领导分别对事项的附件佐证材料等真实性进行审核并签字，财务人员、分管财务领导审批并签字，校长审定签字确认，</w:t>
      </w:r>
      <w:r>
        <w:rPr>
          <w:rFonts w:hint="eastAsia" w:ascii="仿宋_GB2312" w:eastAsia="仿宋_GB2312"/>
          <w:color w:val="000000"/>
          <w:sz w:val="32"/>
          <w:szCs w:val="32"/>
        </w:rPr>
        <w:t xml:space="preserve">将资金发放到支教教师银行卡中。 </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（一）项目组织架构及实施流程。</w:t>
      </w:r>
    </w:p>
    <w:p>
      <w:pPr>
        <w:adjustRightInd w:val="0"/>
        <w:snapToGrid w:val="0"/>
        <w:spacing w:line="600" w:lineRule="atLeas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学校</w:t>
      </w:r>
      <w:r>
        <w:rPr>
          <w:rFonts w:hint="eastAsia" w:ascii="仿宋_GB2312" w:hAnsi="仿宋_GB2312" w:eastAsia="仿宋_GB2312" w:cs="仿宋_GB2312"/>
          <w:color w:val="000000"/>
          <w:sz w:val="32"/>
          <w:szCs w:val="32"/>
          <w:lang w:val="zh-CN"/>
        </w:rPr>
        <w:t>高度重视项目管理，成立工作领导小组。</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组长:</w:t>
      </w:r>
      <w:r>
        <w:rPr>
          <w:rFonts w:hint="eastAsia" w:ascii="仿宋_GB2312" w:hAnsi="仿宋_GB2312" w:eastAsia="仿宋_GB2312" w:cs="仿宋_GB2312"/>
          <w:color w:val="000000"/>
          <w:sz w:val="32"/>
          <w:szCs w:val="32"/>
        </w:rPr>
        <w:t>高齐君</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副组长:</w:t>
      </w:r>
      <w:r>
        <w:rPr>
          <w:rFonts w:hint="eastAsia" w:ascii="仿宋_GB2312" w:hAnsi="仿宋_GB2312" w:eastAsia="仿宋_GB2312" w:cs="仿宋_GB2312"/>
          <w:color w:val="000000"/>
          <w:sz w:val="32"/>
          <w:szCs w:val="32"/>
        </w:rPr>
        <w:t>周莉琼</w:t>
      </w:r>
    </w:p>
    <w:p>
      <w:pPr>
        <w:adjustRightInd w:val="0"/>
        <w:snapToGrid w:val="0"/>
        <w:spacing w:line="600" w:lineRule="atLeas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成员:</w:t>
      </w:r>
      <w:r>
        <w:rPr>
          <w:rFonts w:hint="eastAsia" w:ascii="仿宋_GB2312" w:hAnsi="仿宋_GB2312" w:eastAsia="仿宋_GB2312" w:cs="仿宋_GB2312"/>
          <w:color w:val="000000"/>
          <w:sz w:val="32"/>
          <w:szCs w:val="32"/>
        </w:rPr>
        <w:t>史远、朱小花、卢静</w:t>
      </w:r>
    </w:p>
    <w:p>
      <w:pPr>
        <w:pStyle w:val="23"/>
        <w:numPr>
          <w:ilvl w:val="0"/>
          <w:numId w:val="7"/>
        </w:numPr>
        <w:adjustRightInd w:val="0"/>
        <w:snapToGrid w:val="0"/>
        <w:spacing w:line="600" w:lineRule="exact"/>
        <w:ind w:firstLineChars="0"/>
        <w:rPr>
          <w:rFonts w:ascii="KaiTi_GB2312" w:hAnsi="宋体" w:eastAsia="KaiTi_GB2312"/>
          <w:b/>
          <w:sz w:val="32"/>
          <w:szCs w:val="32"/>
          <w:lang w:val="zh-CN"/>
        </w:rPr>
      </w:pPr>
      <w:r>
        <w:rPr>
          <w:rFonts w:hint="eastAsia" w:ascii="KaiTi_GB2312" w:hAnsi="宋体" w:eastAsia="KaiTi_GB2312"/>
          <w:b/>
          <w:sz w:val="32"/>
          <w:szCs w:val="32"/>
          <w:lang w:val="zh-CN"/>
        </w:rPr>
        <w:t>项目管理情况。</w:t>
      </w:r>
    </w:p>
    <w:p>
      <w:pPr>
        <w:adjustRightInd w:val="0"/>
        <w:snapToGrid w:val="0"/>
        <w:spacing w:line="600" w:lineRule="exact"/>
        <w:ind w:left="643" w:leftChars="306" w:firstLine="320" w:firstLineChars="100"/>
        <w:rPr>
          <w:rFonts w:ascii="仿宋_GB2312" w:hAnsi="宋体" w:eastAsia="仿宋_GB2312"/>
          <w:sz w:val="32"/>
          <w:szCs w:val="32"/>
          <w:lang w:val="zh-CN"/>
        </w:rPr>
      </w:pPr>
      <w:r>
        <w:rPr>
          <w:rFonts w:hint="eastAsia" w:ascii="仿宋_GB2312" w:hAnsi="宋体" w:eastAsia="仿宋_GB2312"/>
          <w:sz w:val="32"/>
          <w:szCs w:val="32"/>
          <w:lang w:val="zh-CN"/>
        </w:rPr>
        <w:t>本项目采取项目工作领导小组负责制，全体成员积极配合、通力合作。项目工作领导小组负责协调相关工作，项目实施及资金管理。</w:t>
      </w:r>
    </w:p>
    <w:p>
      <w:pPr>
        <w:adjustRightInd w:val="0"/>
        <w:snapToGrid w:val="0"/>
        <w:spacing w:line="600" w:lineRule="atLeast"/>
        <w:ind w:firstLine="643" w:firstLineChars="200"/>
        <w:rPr>
          <w:rFonts w:ascii="KaiTi_GB2312" w:hAnsi="宋体" w:eastAsia="KaiTi_GB2312"/>
          <w:b/>
          <w:sz w:val="32"/>
          <w:szCs w:val="32"/>
          <w:lang w:val="zh-CN"/>
        </w:rPr>
      </w:pPr>
      <w:r>
        <w:rPr>
          <w:rFonts w:hint="eastAsia" w:ascii="KaiTi_GB2312" w:hAnsi="宋体" w:eastAsia="KaiTi_GB2312"/>
          <w:b/>
          <w:sz w:val="32"/>
          <w:szCs w:val="32"/>
          <w:lang w:val="zh-CN"/>
        </w:rPr>
        <w:t>（三）项目监管情况。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相关政策要求，我校严格按教育局统一制定的帮扶规划上报支教教师名额，坚持求真务实、注重实效的原则，结合受援学校的现状与实情，精心组织，周密实施，努力推动帮扶工作规范化、制度化运作，使双方达到相互促进、共同提高，优质资源共享的目的，为逐步改变农村薄弱学校的办学条件，实现城乡教育均衡发展作出应有的贡献。</w:t>
      </w:r>
      <w:r>
        <w:rPr>
          <w:rFonts w:hint="eastAsia" w:ascii="仿宋_GB2312" w:eastAsia="仿宋_GB2312"/>
          <w:color w:val="000000"/>
          <w:sz w:val="32"/>
          <w:szCs w:val="32"/>
        </w:rPr>
        <w:t>2021年春季学期和秋季学期各派出数名教师完成数次支教工作。</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w:t>
      </w:r>
      <w:r>
        <w:rPr>
          <w:rFonts w:hint="eastAsia" w:ascii="仿宋_GB2312" w:hAnsi="宋体" w:eastAsia="仿宋_GB2312"/>
          <w:sz w:val="32"/>
          <w:szCs w:val="32"/>
        </w:rPr>
        <w:t>财务室</w:t>
      </w:r>
      <w:r>
        <w:rPr>
          <w:rFonts w:hint="eastAsia" w:ascii="仿宋_GB2312" w:hAnsi="宋体" w:eastAsia="仿宋_GB2312"/>
          <w:sz w:val="32"/>
          <w:szCs w:val="32"/>
          <w:lang w:val="zh-CN"/>
        </w:rPr>
        <w:t>具体管理，对项目资金按项目单独核算实行“专款专用、专人管理”，不得挤占挪用项目资金。对项目实施定期或不定期</w:t>
      </w:r>
      <w:r>
        <w:rPr>
          <w:rFonts w:hint="eastAsia" w:ascii="仿宋_GB2312" w:hAnsi="宋体" w:eastAsia="仿宋_GB2312"/>
          <w:sz w:val="32"/>
          <w:szCs w:val="32"/>
          <w:lang w:val="en-US" w:eastAsia="zh-CN"/>
        </w:rPr>
        <w:t>地</w:t>
      </w:r>
      <w:r>
        <w:rPr>
          <w:rFonts w:hint="eastAsia" w:ascii="仿宋_GB2312" w:hAnsi="宋体" w:eastAsia="仿宋_GB2312"/>
          <w:sz w:val="32"/>
          <w:szCs w:val="32"/>
          <w:lang w:val="zh-CN"/>
        </w:rPr>
        <w:t>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（一）项目完成情况。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“三区”人才计划教师专项计划项目1个，实际实施项目1个。</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（二）项目效益情况。</w:t>
      </w:r>
    </w:p>
    <w:p>
      <w:pPr>
        <w:spacing w:line="600" w:lineRule="atLeast"/>
        <w:ind w:firstLine="640" w:firstLineChars="200"/>
        <w:rPr>
          <w:rFonts w:ascii="黑体" w:hAnsi="黑体" w:eastAsia="仿宋_GB2312" w:cs="黑体"/>
          <w:b/>
          <w:bCs/>
          <w:color w:val="000000"/>
          <w:sz w:val="32"/>
          <w:szCs w:val="32"/>
        </w:rPr>
      </w:pPr>
      <w:r>
        <w:rPr>
          <w:rFonts w:hint="eastAsia" w:ascii="仿宋_GB2312" w:hAnsi="仿宋_GB2312" w:eastAsia="仿宋_GB2312" w:cs="仿宋_GB2312"/>
          <w:color w:val="000000"/>
          <w:sz w:val="32"/>
          <w:szCs w:val="32"/>
        </w:rPr>
        <w:t xml:space="preserve"> “三区”人才计划教师专项计划项目资金的发放确保支教工作正常有序进行，发挥支教工作辐射引领作用，</w:t>
      </w:r>
      <w:r>
        <w:rPr>
          <w:rFonts w:hint="eastAsia" w:ascii="仿宋_GB2312" w:eastAsia="仿宋_GB2312"/>
          <w:color w:val="000000"/>
          <w:sz w:val="32"/>
          <w:szCs w:val="32"/>
        </w:rPr>
        <w:t>有利于</w:t>
      </w:r>
      <w:r>
        <w:rPr>
          <w:rFonts w:hint="eastAsia" w:ascii="仿宋_GB2312" w:hAnsi="仿宋_GB2312" w:eastAsia="仿宋_GB2312" w:cs="仿宋_GB2312"/>
          <w:color w:val="000000"/>
          <w:sz w:val="32"/>
          <w:szCs w:val="32"/>
        </w:rPr>
        <w:t>促进小学义务教育高质量发展，支教教师满意率达100%。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仿宋_GB2312" w:eastAsia="仿宋_GB2312" w:cs="仿宋_GB2312"/>
          <w:color w:val="000000"/>
          <w:sz w:val="32"/>
          <w:szCs w:val="32"/>
        </w:rPr>
        <w:t xml:space="preserve"> “三区”人才计划教师专项计划项目实现了优质资源共享，为逐步改变农村薄弱学校的办学条件，实现城乡教育均衡发展作出应有的贡献</w:t>
      </w:r>
      <w:r>
        <w:rPr>
          <w:rFonts w:hint="eastAsia" w:ascii="仿宋_GB2312" w:hAnsi="宋体" w:eastAsia="仿宋_GB2312"/>
          <w:sz w:val="32"/>
          <w:szCs w:val="32"/>
          <w:lang w:val="zh-CN"/>
        </w:rPr>
        <w:t>。</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因疫情原因，</w:t>
      </w:r>
      <w:r>
        <w:rPr>
          <w:rFonts w:hint="eastAsia" w:ascii="仿宋_GB2312" w:hAnsi="仿宋_GB2312" w:eastAsia="仿宋_GB2312" w:cs="仿宋_GB2312"/>
          <w:color w:val="000000"/>
          <w:sz w:val="32"/>
          <w:szCs w:val="32"/>
        </w:rPr>
        <w:t>“三区”人才计划教师专项计划项目工作部署和实际落实存在时间差，导致</w:t>
      </w:r>
      <w:r>
        <w:rPr>
          <w:rFonts w:hint="eastAsia" w:ascii="仿宋_GB2312" w:hAnsi="宋体" w:eastAsia="仿宋_GB2312"/>
          <w:sz w:val="32"/>
          <w:szCs w:val="32"/>
        </w:rPr>
        <w:t>项目资金支付滞后，学校将统筹安排，全力保障项目实施</w:t>
      </w:r>
      <w:r>
        <w:rPr>
          <w:rFonts w:hint="eastAsia" w:ascii="仿宋_GB2312" w:hAnsi="宋体" w:eastAsia="仿宋_GB2312"/>
          <w:sz w:val="32"/>
          <w:szCs w:val="32"/>
          <w:lang w:val="zh-CN"/>
        </w:rPr>
        <w:t>。</w:t>
      </w:r>
      <w:r>
        <w:rPr>
          <w:rFonts w:hint="eastAsia" w:ascii="仿宋_GB2312" w:hAnsi="宋体" w:eastAsia="仿宋_GB2312"/>
          <w:sz w:val="32"/>
          <w:szCs w:val="32"/>
          <w:lang w:val="zh-CN"/>
        </w:rPr>
        <w:tab/>
      </w:r>
    </w:p>
    <w:p>
      <w:pPr>
        <w:pStyle w:val="23"/>
        <w:numPr>
          <w:ilvl w:val="0"/>
          <w:numId w:val="7"/>
        </w:numPr>
        <w:adjustRightInd w:val="0"/>
        <w:snapToGrid w:val="0"/>
        <w:spacing w:line="600" w:lineRule="exact"/>
        <w:ind w:firstLineChars="0"/>
        <w:rPr>
          <w:rFonts w:ascii="KaiTi_GB2312" w:hAnsi="宋体" w:eastAsia="KaiTi_GB2312"/>
          <w:b/>
          <w:sz w:val="32"/>
          <w:szCs w:val="32"/>
          <w:lang w:val="zh-CN"/>
        </w:rPr>
      </w:pPr>
      <w:r>
        <w:rPr>
          <w:rFonts w:hint="eastAsia" w:ascii="KaiTi_GB2312" w:hAnsi="宋体" w:eastAsia="KaiTi_GB2312"/>
          <w:b/>
          <w:sz w:val="32"/>
          <w:szCs w:val="32"/>
          <w:lang w:val="zh-CN"/>
        </w:rPr>
        <w:t>相关建议。</w:t>
      </w:r>
    </w:p>
    <w:p>
      <w:pPr>
        <w:pStyle w:val="2"/>
        <w:spacing w:before="93"/>
        <w:ind w:left="643"/>
        <w:rPr>
          <w:sz w:val="32"/>
          <w:szCs w:val="32"/>
          <w:lang w:val="zh-CN"/>
        </w:rPr>
      </w:pPr>
      <w:r>
        <w:rPr>
          <w:rFonts w:hint="eastAsia"/>
          <w:sz w:val="32"/>
          <w:szCs w:val="32"/>
          <w:lang w:val="zh-CN"/>
        </w:rPr>
        <w:t>目前暂无建议。</w:t>
      </w:r>
    </w:p>
    <w:p>
      <w:pPr>
        <w:spacing w:line="600" w:lineRule="atLeast"/>
        <w:ind w:firstLine="640" w:firstLineChars="200"/>
        <w:rPr>
          <w:rFonts w:ascii="仿宋_GB2312" w:hAnsi="仿宋_GB2312" w:eastAsia="仿宋_GB2312" w:cs="仿宋_GB2312"/>
          <w:color w:val="000000"/>
          <w:sz w:val="32"/>
          <w:szCs w:val="32"/>
        </w:rPr>
      </w:pPr>
    </w:p>
    <w:p>
      <w:pPr>
        <w:spacing w:line="572" w:lineRule="exact"/>
        <w:jc w:val="left"/>
        <w:outlineLvl w:val="0"/>
        <w:rPr>
          <w:rFonts w:ascii="仿宋_GB2312" w:hAnsi="仿宋_GB2312" w:eastAsia="黑体" w:cs="仿宋_GB2312"/>
          <w:sz w:val="32"/>
          <w:szCs w:val="32"/>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592"/>
        <w:gridCol w:w="1134"/>
        <w:gridCol w:w="142"/>
        <w:gridCol w:w="1954"/>
        <w:gridCol w:w="236"/>
      </w:tblGrid>
      <w:tr>
        <w:tblPrEx>
          <w:tblCellMar>
            <w:top w:w="0" w:type="dxa"/>
            <w:left w:w="108" w:type="dxa"/>
            <w:bottom w:w="0" w:type="dxa"/>
            <w:right w:w="108" w:type="dxa"/>
          </w:tblCellMar>
        </w:tblPrEx>
        <w:trPr>
          <w:trHeight w:val="675" w:hRule="atLeast"/>
        </w:trPr>
        <w:tc>
          <w:tcPr>
            <w:tcW w:w="9575" w:type="dxa"/>
            <w:gridSpan w:val="7"/>
            <w:tcBorders>
              <w:top w:val="nil"/>
              <w:left w:val="nil"/>
              <w:bottom w:val="nil"/>
              <w:right w:val="nil"/>
            </w:tcBorders>
            <w:shd w:val="clear" w:color="auto" w:fill="auto"/>
            <w:vAlign w:val="center"/>
          </w:tcPr>
          <w:p>
            <w:pPr>
              <w:adjustRightInd w:val="0"/>
              <w:snapToGrid w:val="0"/>
              <w:spacing w:line="700" w:lineRule="exact"/>
              <w:jc w:val="center"/>
              <w:rPr>
                <w:rFonts w:cs="方正小标宋简体" w:asciiTheme="majorEastAsia" w:hAnsiTheme="majorEastAsia" w:eastAsiaTheme="majorEastAsia"/>
                <w:sz w:val="32"/>
                <w:szCs w:val="32"/>
              </w:rPr>
            </w:pPr>
            <w:bookmarkStart w:id="53" w:name="_Toc15396618"/>
            <w:r>
              <w:rPr>
                <w:rFonts w:hint="eastAsia" w:cs="宋体" w:asciiTheme="majorEastAsia" w:hAnsiTheme="majorEastAsia" w:eastAsiaTheme="majorEastAsia"/>
                <w:b/>
                <w:sz w:val="32"/>
                <w:szCs w:val="32"/>
              </w:rPr>
              <w:t>2021年</w:t>
            </w:r>
            <w:r>
              <w:rPr>
                <w:rFonts w:hint="eastAsia" w:cs="方正小标宋简体" w:asciiTheme="majorEastAsia" w:hAnsiTheme="majorEastAsia" w:eastAsiaTheme="majorEastAsia"/>
                <w:sz w:val="32"/>
                <w:szCs w:val="32"/>
              </w:rPr>
              <w:t>“三区”人才计划教师专项计划</w:t>
            </w:r>
          </w:p>
          <w:p>
            <w:pPr>
              <w:pStyle w:val="2"/>
              <w:spacing w:before="93"/>
              <w:jc w:val="center"/>
            </w:pPr>
            <w:r>
              <w:rPr>
                <w:rFonts w:hint="eastAsia" w:cs="方正小标宋简体" w:asciiTheme="majorEastAsia" w:hAnsiTheme="majorEastAsia" w:eastAsiaTheme="majorEastAsia"/>
                <w:sz w:val="32"/>
                <w:szCs w:val="32"/>
              </w:rPr>
              <w:t>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广元市教育局322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广元市实验小学校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360" w:firstLineChars="150"/>
              <w:jc w:val="left"/>
              <w:textAlignment w:val="center"/>
              <w:rPr>
                <w:rFonts w:ascii="宋体" w:hAnsi="宋体" w:cs="宋体"/>
                <w:sz w:val="24"/>
              </w:rPr>
            </w:pPr>
            <w:r>
              <w:rPr>
                <w:rFonts w:hint="eastAsia" w:ascii="宋体" w:hAnsi="宋体" w:cs="宋体"/>
                <w:sz w:val="24"/>
              </w:rPr>
              <w:t>2万元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80"/>
              <w:textAlignment w:val="center"/>
              <w:rPr>
                <w:rFonts w:ascii="宋体" w:hAnsi="宋体" w:cs="宋体"/>
                <w:sz w:val="24"/>
              </w:rPr>
            </w:pPr>
            <w:r>
              <w:rPr>
                <w:rFonts w:hint="eastAsia" w:ascii="宋体" w:hAnsi="宋体" w:cs="宋体"/>
                <w:sz w:val="24"/>
              </w:rPr>
              <w:t xml:space="preserve">      2万元</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360" w:firstLineChars="150"/>
              <w:jc w:val="left"/>
              <w:textAlignment w:val="center"/>
              <w:rPr>
                <w:rFonts w:ascii="宋体" w:hAnsi="宋体" w:cs="宋体"/>
                <w:sz w:val="24"/>
              </w:rPr>
            </w:pPr>
            <w:r>
              <w:rPr>
                <w:rFonts w:hint="eastAsia" w:ascii="宋体" w:hAnsi="宋体" w:cs="宋体"/>
                <w:sz w:val="24"/>
              </w:rPr>
              <w:t>2万元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 xml:space="preserve">      2万元</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color w:val="000000"/>
                <w:sz w:val="24"/>
              </w:rPr>
              <w:t>确保支教工作正常有序进行，发挥支教工作辐射引领作用，促进小学义务教育高质量发展。</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color w:val="000000"/>
                <w:sz w:val="24"/>
              </w:rPr>
              <w:t>确保支教工作正常有序进行，发挥支教工作辐射引领作用，促进小学义务教育高质量发展。</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按要求完成支教计划</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多人</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多人</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补助标准</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2万元</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2万元</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完成时间</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ascii="宋体" w:hAnsi="宋体" w:cs="宋体"/>
                <w:color w:val="000000"/>
                <w:sz w:val="24"/>
              </w:rPr>
              <w:t>20</w:t>
            </w:r>
            <w:r>
              <w:rPr>
                <w:rFonts w:hint="eastAsia" w:ascii="宋体" w:hAnsi="宋体" w:cs="宋体"/>
                <w:color w:val="000000"/>
                <w:sz w:val="24"/>
              </w:rPr>
              <w:t>21年</w:t>
            </w:r>
            <w:r>
              <w:rPr>
                <w:rFonts w:ascii="宋体" w:hAnsi="宋体" w:cs="宋体"/>
                <w:color w:val="000000"/>
                <w:sz w:val="24"/>
              </w:rPr>
              <w:t>12</w:t>
            </w:r>
            <w:r>
              <w:rPr>
                <w:rFonts w:hint="eastAsia" w:ascii="宋体" w:hAnsi="宋体" w:cs="宋体"/>
                <w:color w:val="000000"/>
                <w:sz w:val="24"/>
              </w:rPr>
              <w:t>月31日前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ascii="宋体" w:hAnsi="宋体" w:cs="宋体"/>
                <w:color w:val="000000"/>
                <w:sz w:val="24"/>
              </w:rPr>
              <w:t>20</w:t>
            </w:r>
            <w:r>
              <w:rPr>
                <w:rFonts w:hint="eastAsia" w:ascii="宋体" w:hAnsi="宋体" w:cs="宋体"/>
                <w:color w:val="000000"/>
                <w:sz w:val="24"/>
              </w:rPr>
              <w:t>21年</w:t>
            </w:r>
            <w:r>
              <w:rPr>
                <w:rFonts w:ascii="宋体" w:hAnsi="宋体" w:cs="宋体"/>
                <w:color w:val="000000"/>
                <w:sz w:val="24"/>
              </w:rPr>
              <w:t>12</w:t>
            </w:r>
            <w:r>
              <w:rPr>
                <w:rFonts w:hint="eastAsia" w:ascii="宋体" w:hAnsi="宋体" w:cs="宋体"/>
                <w:color w:val="000000"/>
                <w:sz w:val="24"/>
              </w:rPr>
              <w:t>月31日前</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下达资金</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2万元</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2万元</w:t>
            </w:r>
          </w:p>
        </w:tc>
      </w:tr>
      <w:tr>
        <w:tblPrEx>
          <w:tblCellMar>
            <w:top w:w="0" w:type="dxa"/>
            <w:left w:w="108" w:type="dxa"/>
            <w:bottom w:w="0" w:type="dxa"/>
            <w:right w:w="108" w:type="dxa"/>
          </w:tblCellMar>
        </w:tblPrEx>
        <w:trPr>
          <w:gridAfter w:val="1"/>
          <w:wAfter w:w="236" w:type="dxa"/>
          <w:trHeight w:val="46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提升小学教育质量，发挥支教工作辐射引领作用</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有效</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有效</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师生满意度</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师生满意率达95%以上</w:t>
            </w:r>
          </w:p>
        </w:tc>
      </w:tr>
    </w:tbl>
    <w:p>
      <w:pPr>
        <w:spacing w:line="600" w:lineRule="exact"/>
        <w:outlineLvl w:val="0"/>
        <w:rPr>
          <w:rFonts w:ascii="黑体" w:hAnsi="黑体" w:eastAsia="黑体"/>
          <w:sz w:val="32"/>
          <w:szCs w:val="32"/>
        </w:rPr>
      </w:pPr>
      <w:r>
        <w:rPr>
          <w:rFonts w:hint="eastAsia" w:ascii="黑体" w:hAnsi="黑体" w:eastAsia="黑体"/>
          <w:sz w:val="32"/>
          <w:szCs w:val="32"/>
        </w:rPr>
        <w:t>附表1</w:t>
      </w:r>
    </w:p>
    <w:p>
      <w:pPr>
        <w:spacing w:line="600" w:lineRule="exact"/>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
        <w:spacing w:before="93"/>
      </w:pPr>
    </w:p>
    <w:p>
      <w:pPr>
        <w:spacing w:line="600" w:lineRule="exact"/>
        <w:outlineLvl w:val="0"/>
        <w:rPr>
          <w:rFonts w:ascii="黑体" w:hAnsi="黑体" w:eastAsia="黑体"/>
          <w:sz w:val="32"/>
          <w:szCs w:val="32"/>
        </w:rPr>
      </w:pPr>
      <w:r>
        <w:rPr>
          <w:rFonts w:hint="eastAsia" w:ascii="黑体" w:hAnsi="黑体" w:eastAsia="黑体"/>
          <w:sz w:val="32"/>
          <w:szCs w:val="32"/>
        </w:rPr>
        <w:t>附件2</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广元市实验小学校</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2021年度综合楼及运动场馆建设项目</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adjustRightInd w:val="0"/>
        <w:snapToGrid w:val="0"/>
        <w:spacing w:line="600" w:lineRule="atLeast"/>
        <w:ind w:firstLine="640" w:firstLineChars="200"/>
        <w:rPr>
          <w:rFonts w:ascii="黑体" w:hAnsi="黑体" w:eastAsia="黑体" w:cs="黑体"/>
          <w:sz w:val="32"/>
          <w:szCs w:val="32"/>
        </w:rPr>
      </w:pPr>
    </w:p>
    <w:p>
      <w:pPr>
        <w:adjustRightInd w:val="0"/>
        <w:snapToGrid w:val="0"/>
        <w:spacing w:line="600" w:lineRule="atLeas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广元市实验小学综合楼项目，包括综合楼及配套工程和学生食堂功能提升工程（编码：2020-510800-83-01-456298）、运动场馆工程（编码：2020-510800-83-01-498879）两项合并实施，总建筑面积 8796. 1 平方米，其中：地上(平方米/米)5909.6平方米， 地下(平方米/米)2886.5平方米。总投资4329.61万元，合同价格 3726.0572万元 。立项文号、立项文件：广发改函[2020]22、广发改函[2020]82、广发改函[2021]10。</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项目设计单位：广元零八一建筑勘察设计院有限公司。 监理单位：中鸿亿博集团有限公司。施工总承包商单位：广元市永昌建设有限公司。勘察单位：广元零八一建筑勘察设计院有限公司。</w:t>
      </w:r>
    </w:p>
    <w:p>
      <w:pPr>
        <w:adjustRightInd w:val="0"/>
        <w:snapToGrid w:val="0"/>
        <w:spacing w:line="600" w:lineRule="atLeast"/>
        <w:ind w:firstLine="643" w:firstLineChars="200"/>
        <w:rPr>
          <w:rFonts w:ascii="KaiTi_GB2312" w:hAnsi="宋体" w:eastAsia="KaiTi_GB2312"/>
          <w:b/>
          <w:sz w:val="32"/>
          <w:szCs w:val="32"/>
          <w:lang w:val="zh-CN"/>
        </w:rPr>
      </w:pPr>
      <w:r>
        <w:rPr>
          <w:rFonts w:hint="eastAsia" w:ascii="KaiTi_GB2312" w:hAnsi="宋体" w:eastAsia="KaiTi_GB2312"/>
          <w:b/>
          <w:sz w:val="32"/>
          <w:szCs w:val="32"/>
          <w:lang w:val="zh-CN"/>
        </w:rPr>
        <w:t>（二）项目绩效目标。</w:t>
      </w:r>
    </w:p>
    <w:p>
      <w:pPr>
        <w:adjustRightInd w:val="0"/>
        <w:snapToGrid w:val="0"/>
        <w:spacing w:line="600" w:lineRule="atLeast"/>
        <w:ind w:firstLine="640" w:firstLineChars="200"/>
        <w:rPr>
          <w:rFonts w:ascii="仿宋_GB2312" w:hAnsi="仿宋_GB2312" w:eastAsia="仿宋_GB2312" w:cs="仿宋_GB2312"/>
          <w:color w:val="000000"/>
          <w:sz w:val="32"/>
          <w:szCs w:val="32"/>
          <w:highlight w:val="yellow"/>
        </w:rPr>
      </w:pPr>
      <w:r>
        <w:rPr>
          <w:rFonts w:hint="eastAsia" w:ascii="仿宋_GB2312" w:hAnsi="宋体" w:eastAsia="仿宋_GB2312"/>
          <w:sz w:val="32"/>
          <w:szCs w:val="32"/>
        </w:rPr>
        <w:t>该项目解决了学校现有用地紧张，空间小，教学空间不足、停车难的问题，满足了学校师生的相对独立艺、体空间以及室内集中活动空间</w:t>
      </w:r>
      <w:r>
        <w:rPr>
          <w:rFonts w:hint="eastAsia" w:ascii="仿宋_GB2312" w:hAnsi="仿宋_GB2312" w:eastAsia="仿宋_GB2312" w:cs="仿宋_GB2312"/>
          <w:color w:val="000000"/>
          <w:sz w:val="32"/>
          <w:szCs w:val="32"/>
        </w:rPr>
        <w:t>。2021年计划使用资金1200万元。</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（三）项目自评步骤及方法。</w:t>
      </w:r>
    </w:p>
    <w:p>
      <w:pPr>
        <w:adjustRightInd w:val="0"/>
        <w:snapToGrid w:val="0"/>
        <w:spacing w:line="600" w:lineRule="atLeast"/>
        <w:ind w:firstLine="640" w:firstLineChars="200"/>
        <w:rPr>
          <w:rFonts w:ascii="黑体" w:hAnsi="黑体" w:eastAsia="仿宋_GB2312" w:cs="黑体"/>
          <w:color w:val="000000"/>
          <w:sz w:val="32"/>
          <w:szCs w:val="32"/>
        </w:rPr>
      </w:pPr>
      <w:r>
        <w:rPr>
          <w:rFonts w:hint="eastAsia" w:ascii="仿宋_GB2312" w:hAnsi="仿宋_GB2312" w:eastAsia="仿宋_GB2312" w:cs="仿宋_GB2312"/>
          <w:color w:val="000000"/>
          <w:sz w:val="32"/>
          <w:szCs w:val="32"/>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w:t>
      </w:r>
      <w:r>
        <w:rPr>
          <w:rFonts w:hint="eastAsia" w:ascii="仿宋_GB2312" w:hAnsi="仿宋_GB2312" w:eastAsia="仿宋_GB2312" w:cs="仿宋_GB2312"/>
          <w:color w:val="000000"/>
          <w:sz w:val="32"/>
          <w:szCs w:val="32"/>
          <w:lang w:val="en-US" w:eastAsia="zh-CN"/>
        </w:rPr>
        <w:t>作出</w:t>
      </w:r>
      <w:r>
        <w:rPr>
          <w:rFonts w:hint="eastAsia" w:ascii="仿宋_GB2312" w:hAnsi="仿宋_GB2312" w:eastAsia="仿宋_GB2312" w:cs="仿宋_GB2312"/>
          <w:color w:val="000000"/>
          <w:sz w:val="32"/>
          <w:szCs w:val="32"/>
        </w:rPr>
        <w:t>自我评价。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（一）项目资金申报及批复情况。</w:t>
      </w:r>
    </w:p>
    <w:p>
      <w:pPr>
        <w:adjustRightInd w:val="0"/>
        <w:snapToGrid w:val="0"/>
        <w:spacing w:line="600" w:lineRule="atLeas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争取“十四五”中央、省专项资金及本级基建预算资金、教育资金4329.61万元。</w:t>
      </w:r>
    </w:p>
    <w:p>
      <w:pPr>
        <w:adjustRightInd w:val="0"/>
        <w:snapToGrid w:val="0"/>
        <w:spacing w:line="600" w:lineRule="atLeast"/>
        <w:ind w:firstLine="643" w:firstLineChars="200"/>
        <w:rPr>
          <w:rFonts w:ascii="KaiTi_GB2312" w:hAnsi="宋体" w:eastAsia="KaiTi_GB2312"/>
          <w:b/>
          <w:sz w:val="32"/>
          <w:szCs w:val="32"/>
          <w:lang w:val="zh-CN"/>
        </w:rPr>
      </w:pPr>
      <w:r>
        <w:rPr>
          <w:rFonts w:hint="eastAsia" w:ascii="KaiTi_GB2312" w:hAnsi="宋体" w:eastAsia="KaiTi_GB2312"/>
          <w:b/>
          <w:sz w:val="32"/>
          <w:szCs w:val="32"/>
          <w:lang w:val="zh-CN"/>
        </w:rPr>
        <w:t>（二）资金计划、到位及使用情况。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1.2020年，市财政下达义务教育薄弱环节改善与能力提升中央补助资金700万元。2021年，市财政下达义务教育薄弱环节改善与能力提升中央补助资金500万元。2021年，市财政下达优化义务教育资源配置财政奖补资金1067万元。合计到位2067万元。</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2.资金使用。我校严格按照经费的管理、使用规定，合理合规合法使用预算资金，确保每一笔资金使用有理有据。2021年实际支出项目资金</w:t>
      </w:r>
      <w:r>
        <w:rPr>
          <w:rFonts w:hint="eastAsia" w:ascii="仿宋_GB2312" w:hAnsi="宋体" w:eastAsia="仿宋_GB2312"/>
          <w:sz w:val="32"/>
          <w:szCs w:val="32"/>
        </w:rPr>
        <w:t>878.69</w:t>
      </w:r>
      <w:r>
        <w:rPr>
          <w:rFonts w:hint="eastAsia" w:ascii="仿宋_GB2312" w:hAnsi="仿宋_GB2312" w:eastAsia="仿宋_GB2312" w:cs="仿宋_GB2312"/>
          <w:color w:val="000000"/>
          <w:sz w:val="32"/>
          <w:szCs w:val="32"/>
        </w:rPr>
        <w:t>万元。</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（三）项目财务管理情况。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w:t>
      </w:r>
      <w:r>
        <w:rPr>
          <w:rFonts w:hint="eastAsia" w:ascii="仿宋_GB2312" w:eastAsia="仿宋_GB2312"/>
          <w:color w:val="000000"/>
          <w:sz w:val="32"/>
          <w:szCs w:val="32"/>
        </w:rPr>
        <w:t>项目</w:t>
      </w:r>
      <w:r>
        <w:rPr>
          <w:rFonts w:hint="eastAsia" w:ascii="仿宋_GB2312" w:hAnsi="仿宋_GB2312" w:eastAsia="仿宋_GB2312" w:cs="仿宋_GB2312"/>
          <w:color w:val="000000"/>
          <w:sz w:val="32"/>
          <w:szCs w:val="32"/>
        </w:rPr>
        <w:t>支出报销凭证须由建设方出具合同、发票等财务资料，经监理等</w:t>
      </w:r>
      <w:r>
        <w:rPr>
          <w:rFonts w:hint="eastAsia" w:ascii="仿宋_GB2312" w:hAnsi="仿宋_GB2312" w:eastAsia="仿宋_GB2312" w:cs="仿宋_GB2312"/>
          <w:color w:val="000000"/>
          <w:sz w:val="32"/>
          <w:szCs w:val="32"/>
          <w:lang w:val="en-US" w:eastAsia="zh-CN"/>
        </w:rPr>
        <w:t>经</w:t>
      </w:r>
      <w:r>
        <w:rPr>
          <w:rFonts w:hint="eastAsia" w:ascii="仿宋_GB2312" w:hAnsi="仿宋_GB2312" w:eastAsia="仿宋_GB2312" w:cs="仿宋_GB2312"/>
          <w:color w:val="000000"/>
          <w:sz w:val="32"/>
          <w:szCs w:val="32"/>
        </w:rPr>
        <w:t>办人员签字，业务分管领导分别对事项的附件佐证材料等真实性进行审核并签字，财务人员、分管财务领导审批并签字，校长审定签字确认，</w:t>
      </w:r>
      <w:r>
        <w:rPr>
          <w:rFonts w:hint="eastAsia" w:ascii="仿宋_GB2312" w:eastAsia="仿宋_GB2312"/>
          <w:color w:val="000000"/>
          <w:sz w:val="32"/>
          <w:szCs w:val="32"/>
        </w:rPr>
        <w:t xml:space="preserve">将资金支付建设方。 </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（一）项目组织架构及实施流程。</w:t>
      </w:r>
    </w:p>
    <w:p>
      <w:pPr>
        <w:adjustRightInd w:val="0"/>
        <w:snapToGrid w:val="0"/>
        <w:spacing w:line="600" w:lineRule="atLeas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学校</w:t>
      </w:r>
      <w:r>
        <w:rPr>
          <w:rFonts w:hint="eastAsia" w:ascii="仿宋_GB2312" w:hAnsi="仿宋_GB2312" w:eastAsia="仿宋_GB2312" w:cs="仿宋_GB2312"/>
          <w:color w:val="000000"/>
          <w:sz w:val="32"/>
          <w:szCs w:val="32"/>
          <w:lang w:val="zh-CN"/>
        </w:rPr>
        <w:t>高度重视项目管理，成立工作领导小组。</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组长:</w:t>
      </w:r>
      <w:r>
        <w:rPr>
          <w:rFonts w:hint="eastAsia" w:ascii="仿宋_GB2312" w:hAnsi="仿宋_GB2312" w:eastAsia="仿宋_GB2312" w:cs="仿宋_GB2312"/>
          <w:color w:val="000000"/>
          <w:sz w:val="32"/>
          <w:szCs w:val="32"/>
        </w:rPr>
        <w:t>高齐君（校长）</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副组长:</w:t>
      </w:r>
      <w:r>
        <w:rPr>
          <w:rFonts w:hint="eastAsia" w:ascii="仿宋_GB2312" w:hAnsi="仿宋_GB2312" w:eastAsia="仿宋_GB2312" w:cs="仿宋_GB2312"/>
          <w:color w:val="000000"/>
          <w:sz w:val="32"/>
          <w:szCs w:val="32"/>
        </w:rPr>
        <w:t>姚思龙（总支书记）、罗德勇（分管副校长）、李钢（项目总监）、黄先俊（项目负责人）</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成员:</w:t>
      </w:r>
      <w:r>
        <w:rPr>
          <w:rFonts w:hint="eastAsia" w:ascii="仿宋_GB2312" w:hAnsi="仿宋_GB2312" w:eastAsia="仿宋_GB2312" w:cs="仿宋_GB2312"/>
          <w:color w:val="000000"/>
          <w:sz w:val="32"/>
          <w:szCs w:val="32"/>
        </w:rPr>
        <w:t>史远、杨雄、冯宗平、卢静、严建国、余义敏、何明光、兰怡、杜溢泉、罗星元、李俊</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本项目采取项目工作领导小组负责制，全体成员积极配合、通力合作。项目工作领导小组负责协调相关工作，项目实施及资金管理。</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w:t>
      </w:r>
      <w:r>
        <w:rPr>
          <w:rFonts w:hint="eastAsia" w:ascii="仿宋_GB2312" w:hAnsi="宋体" w:eastAsia="仿宋_GB2312"/>
          <w:sz w:val="32"/>
          <w:szCs w:val="32"/>
        </w:rPr>
        <w:t>由财务室</w:t>
      </w:r>
      <w:r>
        <w:rPr>
          <w:rFonts w:hint="eastAsia" w:ascii="仿宋_GB2312" w:hAnsi="宋体" w:eastAsia="仿宋_GB2312"/>
          <w:sz w:val="32"/>
          <w:szCs w:val="32"/>
          <w:lang w:val="zh-CN"/>
        </w:rPr>
        <w:t>具体管理，对项目资金按项目单独核算实行“专款专用、专人管理”，不得挤占挪用项目资金。对项目实施定期或不定期地进行现场检查和监督，及时协调解决困难和问题，保证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（一）项目完成情况。</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宋体" w:eastAsia="仿宋_GB2312"/>
          <w:sz w:val="32"/>
          <w:szCs w:val="32"/>
        </w:rPr>
        <w:t>截止2022年9月已完成综合楼主体建设，完成运动场馆底板浇筑、完成配套工程连廊建设。2021年支出项目</w:t>
      </w:r>
      <w:r>
        <w:rPr>
          <w:rFonts w:hint="eastAsia" w:ascii="仿宋_GB2312" w:hAnsi="宋体" w:eastAsia="仿宋_GB2312"/>
          <w:sz w:val="32"/>
          <w:szCs w:val="32"/>
          <w:lang w:val="zh-CN"/>
        </w:rPr>
        <w:t>资金</w:t>
      </w:r>
      <w:r>
        <w:rPr>
          <w:rFonts w:hint="eastAsia" w:ascii="仿宋_GB2312" w:hAnsi="宋体" w:eastAsia="仿宋_GB2312"/>
          <w:sz w:val="32"/>
          <w:szCs w:val="32"/>
        </w:rPr>
        <w:t>878.69</w:t>
      </w:r>
      <w:r>
        <w:rPr>
          <w:rFonts w:hint="eastAsia" w:ascii="仿宋_GB2312" w:hAnsi="宋体" w:eastAsia="仿宋_GB2312"/>
          <w:sz w:val="32"/>
          <w:szCs w:val="32"/>
          <w:lang w:val="zh-CN"/>
        </w:rPr>
        <w:t>万元</w:t>
      </w:r>
      <w:r>
        <w:rPr>
          <w:rFonts w:hint="eastAsia" w:ascii="仿宋_GB2312" w:hAnsi="仿宋_GB2312" w:eastAsia="仿宋_GB2312" w:cs="仿宋_GB2312"/>
          <w:color w:val="000000"/>
          <w:sz w:val="32"/>
          <w:szCs w:val="32"/>
        </w:rPr>
        <w:t>。</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（二）项目效益情况。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该项目建设推动学校建成当地设施完善、功能齐全、师资雄厚的中心小学，并以此为龙头，带动广元市学前教育、基础教育的发展，满意率达100%。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（一）评价结论。</w:t>
      </w:r>
    </w:p>
    <w:p>
      <w:pPr>
        <w:adjustRightInd w:val="0"/>
        <w:snapToGrid w:val="0"/>
        <w:spacing w:line="600" w:lineRule="exact"/>
        <w:ind w:firstLine="640" w:firstLineChars="200"/>
        <w:rPr>
          <w:rFonts w:ascii="宋体" w:hAnsi="宋体" w:cs="宋体"/>
          <w:sz w:val="24"/>
        </w:rPr>
      </w:pPr>
      <w:r>
        <w:rPr>
          <w:rFonts w:hint="eastAsia" w:ascii="仿宋_GB2312" w:hAnsi="宋体" w:eastAsia="仿宋_GB2312"/>
          <w:sz w:val="32"/>
          <w:szCs w:val="32"/>
        </w:rPr>
        <w:t>该项目的建设解决了学校现有用地紧张，空间小，教学空间不足、停车难的问题，满足了学校师生的相对独立艺、体空间以及室内集中活动空间，对解决义务教育深层次矛盾、推动教育事业科学发展，促进教育公平、构建社会主义和谐社会，进一步提升国民素质具有重大的现实意义和深远的历史意义。</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因规划部门要求学校合并实施两个项目，土地划拨迟迟未能进行，项目投资概算核增必须经由市政府、市委审批等原因，致使不能及时使用项目资金。</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（三）相关建议。</w:t>
      </w:r>
    </w:p>
    <w:p>
      <w:pPr>
        <w:pStyle w:val="2"/>
        <w:spacing w:before="93"/>
        <w:rPr>
          <w:lang w:val="zh-CN"/>
        </w:rPr>
      </w:pPr>
      <w:r>
        <w:rPr>
          <w:rFonts w:hint="eastAsia"/>
          <w:lang w:val="zh-CN"/>
        </w:rPr>
        <w:t xml:space="preserve">     目前暂无建议。</w:t>
      </w:r>
    </w:p>
    <w:p>
      <w:pPr>
        <w:pStyle w:val="2"/>
        <w:spacing w:before="93"/>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313"/>
        <w:gridCol w:w="2096"/>
        <w:gridCol w:w="236"/>
      </w:tblGrid>
      <w:tr>
        <w:tblPrEx>
          <w:tblCellMar>
            <w:top w:w="0" w:type="dxa"/>
            <w:left w:w="108" w:type="dxa"/>
            <w:bottom w:w="0" w:type="dxa"/>
            <w:right w:w="108" w:type="dxa"/>
          </w:tblCellMar>
        </w:tblPrEx>
        <w:trPr>
          <w:trHeight w:val="675" w:hRule="atLeast"/>
        </w:trPr>
        <w:tc>
          <w:tcPr>
            <w:tcW w:w="9575" w:type="dxa"/>
            <w:gridSpan w:val="7"/>
            <w:tcBorders>
              <w:top w:val="nil"/>
              <w:left w:val="nil"/>
              <w:bottom w:val="nil"/>
              <w:right w:val="nil"/>
            </w:tcBorders>
            <w:shd w:val="clear" w:color="auto" w:fill="auto"/>
            <w:vAlign w:val="center"/>
          </w:tcPr>
          <w:p>
            <w:pPr>
              <w:adjustRightInd w:val="0"/>
              <w:snapToGrid w:val="0"/>
              <w:spacing w:line="700" w:lineRule="exact"/>
              <w:rPr>
                <w:rFonts w:ascii="宋体" w:hAnsi="宋体" w:cs="宋体"/>
                <w:b/>
                <w:sz w:val="32"/>
                <w:szCs w:val="32"/>
              </w:rPr>
            </w:pPr>
          </w:p>
          <w:p>
            <w:pPr>
              <w:spacing w:line="600" w:lineRule="exact"/>
              <w:outlineLvl w:val="0"/>
              <w:rPr>
                <w:rFonts w:ascii="黑体" w:hAnsi="黑体" w:eastAsia="黑体"/>
                <w:sz w:val="32"/>
                <w:szCs w:val="32"/>
              </w:rPr>
            </w:pPr>
            <w:r>
              <w:rPr>
                <w:rFonts w:hint="eastAsia" w:ascii="黑体" w:hAnsi="黑体" w:eastAsia="黑体"/>
                <w:sz w:val="32"/>
                <w:szCs w:val="32"/>
              </w:rPr>
              <w:t>附表2</w:t>
            </w:r>
          </w:p>
          <w:p>
            <w:pPr>
              <w:adjustRightInd w:val="0"/>
              <w:snapToGrid w:val="0"/>
              <w:spacing w:line="700" w:lineRule="exact"/>
              <w:jc w:val="center"/>
              <w:rPr>
                <w:rFonts w:cs="方正小标宋简体" w:asciiTheme="minorEastAsia" w:hAnsiTheme="minorEastAsia" w:eastAsiaTheme="minorEastAsia"/>
                <w:sz w:val="32"/>
                <w:szCs w:val="32"/>
              </w:rPr>
            </w:pPr>
            <w:r>
              <w:rPr>
                <w:rFonts w:hint="eastAsia" w:cs="方正小标宋简体" w:asciiTheme="minorEastAsia" w:hAnsiTheme="minorEastAsia" w:eastAsiaTheme="minorEastAsia"/>
                <w:sz w:val="32"/>
                <w:szCs w:val="32"/>
              </w:rPr>
              <w:t>2021年度综合楼及运动场馆建设项目</w:t>
            </w:r>
          </w:p>
          <w:p>
            <w:pPr>
              <w:pStyle w:val="2"/>
              <w:spacing w:before="93"/>
              <w:jc w:val="center"/>
            </w:pPr>
            <w:r>
              <w:rPr>
                <w:rFonts w:hint="eastAsia" w:cs="方正小标宋简体" w:asciiTheme="minorEastAsia" w:hAnsiTheme="minorEastAsia" w:eastAsiaTheme="minorEastAsia"/>
                <w:sz w:val="32"/>
                <w:szCs w:val="32"/>
              </w:rPr>
              <w:t>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580"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广元市教育局322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广元市实验小学校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80"/>
              <w:textAlignment w:val="center"/>
              <w:rPr>
                <w:rFonts w:ascii="宋体" w:hAnsi="宋体" w:cs="宋体"/>
                <w:sz w:val="24"/>
              </w:rPr>
            </w:pPr>
            <w:r>
              <w:rPr>
                <w:rFonts w:hint="eastAsia" w:ascii="宋体" w:hAnsi="宋体" w:cs="宋体"/>
                <w:sz w:val="24"/>
              </w:rPr>
              <w:t>878.69</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878.69</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仿宋_GB2312" w:hAnsi="宋体" w:eastAsia="仿宋_GB2312"/>
                <w:sz w:val="24"/>
              </w:rPr>
              <w:t>该项目解决了学校现有用地紧张，空间小，教学空间不足、停车难的问题，满足了学校师生的相对独立艺、体空间以及室内集中活动空间</w:t>
            </w:r>
            <w:r>
              <w:rPr>
                <w:rFonts w:hint="eastAsia" w:ascii="仿宋_GB2312" w:hAnsi="仿宋_GB2312" w:eastAsia="仿宋_GB2312" w:cs="仿宋_GB2312"/>
                <w:color w:val="000000"/>
                <w:sz w:val="24"/>
              </w:rPr>
              <w:t>。</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仿宋_GB2312" w:hAnsi="宋体" w:eastAsia="仿宋_GB2312"/>
                <w:sz w:val="24"/>
              </w:rPr>
              <w:t>该项目解决了学校现有用地紧张，空间小，教学空间不足、停车难的问题，满足了学校师生的相对独立艺、体空间以及室内集中活动空间</w:t>
            </w:r>
            <w:r>
              <w:rPr>
                <w:rFonts w:hint="eastAsia" w:ascii="仿宋_GB2312" w:hAnsi="仿宋_GB2312" w:eastAsia="仿宋_GB2312" w:cs="仿宋_GB2312"/>
                <w:color w:val="000000"/>
                <w:sz w:val="24"/>
              </w:rPr>
              <w:t>。</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综合楼项目</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1项</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1项</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项目金额</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4329.61万元</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4329.61万元</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完成时间</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2023年12月</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2023年12月</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本年度内预算指标</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1200万元</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878.69万元</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r>
      <w:tr>
        <w:tblPrEx>
          <w:tblCellMar>
            <w:top w:w="0" w:type="dxa"/>
            <w:left w:w="108" w:type="dxa"/>
            <w:bottom w:w="0" w:type="dxa"/>
            <w:right w:w="108" w:type="dxa"/>
          </w:tblCellMar>
        </w:tblPrEx>
        <w:trPr>
          <w:gridAfter w:val="1"/>
          <w:wAfter w:w="236" w:type="dxa"/>
          <w:trHeight w:val="116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提升办学条件</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有效提高办学条件及质量</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有效提高办学条件及质量</w:t>
            </w:r>
          </w:p>
        </w:tc>
      </w:tr>
      <w:tr>
        <w:tblPrEx>
          <w:tblCellMar>
            <w:top w:w="0" w:type="dxa"/>
            <w:left w:w="108" w:type="dxa"/>
            <w:bottom w:w="0" w:type="dxa"/>
            <w:right w:w="108" w:type="dxa"/>
          </w:tblCellMar>
        </w:tblPrEx>
        <w:trPr>
          <w:gridAfter w:val="1"/>
          <w:wAfter w:w="236" w:type="dxa"/>
          <w:trHeight w:val="836"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改善学生就学条件</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多元化满足学习环境</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多元化满足学习环境</w:t>
            </w:r>
          </w:p>
        </w:tc>
      </w:tr>
      <w:tr>
        <w:tblPrEx>
          <w:tblCellMar>
            <w:top w:w="0" w:type="dxa"/>
            <w:left w:w="108" w:type="dxa"/>
            <w:bottom w:w="0" w:type="dxa"/>
            <w:right w:w="108" w:type="dxa"/>
          </w:tblCellMar>
        </w:tblPrEx>
        <w:trPr>
          <w:gridAfter w:val="1"/>
          <w:wAfter w:w="236" w:type="dxa"/>
          <w:trHeight w:val="834"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≥95%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满意率达</w:t>
            </w:r>
            <w:r>
              <w:rPr>
                <w:rFonts w:hint="eastAsia" w:ascii="宋体" w:hAnsi="宋体" w:cs="宋体"/>
                <w:color w:val="000000"/>
                <w:sz w:val="24"/>
              </w:rPr>
              <w:t>95%以上</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adjustRightInd w:val="0"/>
        <w:snapToGrid w:val="0"/>
        <w:spacing w:line="700" w:lineRule="exact"/>
        <w:rPr>
          <w:rFonts w:ascii="方正小标宋简体" w:hAnsi="方正小标宋简体" w:eastAsia="方正小标宋简体" w:cs="方正小标宋简体"/>
          <w:sz w:val="44"/>
          <w:szCs w:val="44"/>
        </w:rPr>
      </w:pPr>
    </w:p>
    <w:p>
      <w:pPr>
        <w:pStyle w:val="2"/>
        <w:spacing w:before="93"/>
      </w:pPr>
    </w:p>
    <w:p>
      <w:pPr>
        <w:spacing w:line="600" w:lineRule="exact"/>
        <w:outlineLvl w:val="0"/>
        <w:rPr>
          <w:rFonts w:ascii="黑体" w:hAnsi="黑体" w:eastAsia="黑体"/>
          <w:sz w:val="32"/>
          <w:szCs w:val="32"/>
        </w:rPr>
      </w:pPr>
      <w:r>
        <w:rPr>
          <w:rFonts w:hint="eastAsia" w:ascii="黑体" w:hAnsi="黑体" w:eastAsia="黑体"/>
          <w:sz w:val="32"/>
          <w:szCs w:val="32"/>
        </w:rPr>
        <w:t>附件3</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广元市实验小学校</w:t>
      </w:r>
    </w:p>
    <w:p>
      <w:pPr>
        <w:adjustRightInd w:val="0"/>
        <w:snapToGrid w:val="0"/>
        <w:spacing w:line="700" w:lineRule="exact"/>
        <w:jc w:val="center"/>
        <w:rPr>
          <w:rFonts w:ascii="方正小标宋简体" w:hAnsi="方正小标宋简体" w:eastAsia="黑体" w:cs="方正小标宋简体"/>
          <w:sz w:val="44"/>
          <w:szCs w:val="44"/>
        </w:rPr>
      </w:pPr>
      <w:r>
        <w:rPr>
          <w:rFonts w:hint="eastAsia" w:ascii="方正小标宋简体" w:hAnsi="方正小标宋简体" w:eastAsia="方正小标宋简体" w:cs="方正小标宋简体"/>
          <w:sz w:val="44"/>
          <w:szCs w:val="44"/>
        </w:rPr>
        <w:t>2021年度屋面维修、更换课桌椅、安防设备、校园风貌设计等市级专项资金</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支出绩效自评报告</w:t>
      </w:r>
    </w:p>
    <w:p>
      <w:pPr>
        <w:adjustRightInd w:val="0"/>
        <w:snapToGrid w:val="0"/>
        <w:spacing w:line="600" w:lineRule="atLeast"/>
        <w:ind w:firstLine="640" w:firstLineChars="200"/>
        <w:rPr>
          <w:rFonts w:ascii="黑体" w:hAnsi="黑体" w:eastAsia="黑体" w:cs="黑体"/>
          <w:sz w:val="32"/>
          <w:szCs w:val="32"/>
        </w:rPr>
      </w:pPr>
    </w:p>
    <w:p>
      <w:pPr>
        <w:adjustRightInd w:val="0"/>
        <w:snapToGrid w:val="0"/>
        <w:spacing w:line="600" w:lineRule="atLeas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（一）项目基本情况。</w:t>
      </w:r>
    </w:p>
    <w:p>
      <w:pPr>
        <w:adjustRightInd w:val="0"/>
        <w:snapToGrid w:val="0"/>
        <w:spacing w:line="600" w:lineRule="atLeast"/>
        <w:ind w:firstLine="640" w:firstLineChars="200"/>
        <w:rPr>
          <w:rFonts w:ascii="黑体" w:hAnsi="黑体" w:eastAsia="黑体" w:cs="黑体"/>
          <w:sz w:val="32"/>
          <w:szCs w:val="32"/>
        </w:rPr>
      </w:pPr>
      <w:r>
        <w:rPr>
          <w:rFonts w:hint="eastAsia" w:ascii="仿宋_GB2312" w:hAnsi="仿宋_GB2312" w:eastAsia="仿宋_GB2312" w:cs="仿宋_GB2312"/>
          <w:color w:val="000000"/>
          <w:sz w:val="32"/>
          <w:szCs w:val="32"/>
        </w:rPr>
        <w:t>2021年11月，根据学校完成基本建设、改善办学条件、优化育人环境的需要，向市财政局报告屋面维修、更换课桌椅、安防设备、校园风貌设计等建设经费需求情况。12月，市财政局下达2021年市级教育专项资金136万元（广财教〔2021] 128号），要求学校结合实际专款专用,严禁挤占挪用，切实提高财政资金使用绩效。涉及政府采购事项的，按政府采购有关规定执行。</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（二）项目绩效目标。</w:t>
      </w:r>
    </w:p>
    <w:p>
      <w:pPr>
        <w:adjustRightInd w:val="0"/>
        <w:snapToGrid w:val="0"/>
        <w:spacing w:line="600" w:lineRule="atLeast"/>
        <w:ind w:firstLine="640" w:firstLineChars="200"/>
        <w:rPr>
          <w:rFonts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该项目的实施利于改善办学条件、优化育人环境。该项目于2022年1至12月期间组织实施完成。根据项目支出绩效自评要求，我校认真梳理、核实申报实施项目、支出账务等，2021年申报内容与预算资金基本合理可行。</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（三）项目自评步骤及方法。</w:t>
      </w:r>
    </w:p>
    <w:p>
      <w:pPr>
        <w:adjustRightInd w:val="0"/>
        <w:snapToGrid w:val="0"/>
        <w:spacing w:line="600" w:lineRule="atLeast"/>
        <w:ind w:firstLine="640" w:firstLineChars="200"/>
        <w:rPr>
          <w:rFonts w:ascii="黑体" w:hAnsi="黑体" w:eastAsia="仿宋_GB2312" w:cs="黑体"/>
          <w:color w:val="000000"/>
          <w:sz w:val="32"/>
          <w:szCs w:val="32"/>
        </w:rPr>
      </w:pPr>
      <w:r>
        <w:rPr>
          <w:rFonts w:hint="eastAsia" w:ascii="仿宋_GB2312" w:hAnsi="仿宋_GB2312" w:eastAsia="仿宋_GB2312" w:cs="仿宋_GB2312"/>
          <w:color w:val="000000"/>
          <w:sz w:val="32"/>
          <w:szCs w:val="32"/>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w:t>
      </w:r>
      <w:r>
        <w:rPr>
          <w:rFonts w:hint="eastAsia" w:ascii="仿宋_GB2312" w:hAnsi="仿宋_GB2312" w:eastAsia="仿宋_GB2312" w:cs="仿宋_GB2312"/>
          <w:color w:val="000000"/>
          <w:sz w:val="32"/>
          <w:szCs w:val="32"/>
          <w:lang w:val="en-US" w:eastAsia="zh-CN"/>
        </w:rPr>
        <w:t>作出</w:t>
      </w:r>
      <w:r>
        <w:rPr>
          <w:rFonts w:hint="eastAsia" w:ascii="仿宋_GB2312" w:hAnsi="仿宋_GB2312" w:eastAsia="仿宋_GB2312" w:cs="仿宋_GB2312"/>
          <w:color w:val="000000"/>
          <w:sz w:val="32"/>
          <w:szCs w:val="32"/>
        </w:rPr>
        <w:t>自我评价。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（一）项目资金申报及批复情况。</w:t>
      </w:r>
    </w:p>
    <w:p>
      <w:pPr>
        <w:adjustRightInd w:val="0"/>
        <w:snapToGrid w:val="0"/>
        <w:spacing w:line="600" w:lineRule="atLeast"/>
        <w:ind w:firstLine="640" w:firstLineChars="200"/>
        <w:rPr>
          <w:rFonts w:ascii="KaiTi_GB2312" w:hAnsi="宋体" w:eastAsia="仿宋_GB2312"/>
          <w:b/>
          <w:sz w:val="32"/>
          <w:szCs w:val="32"/>
          <w:lang w:val="zh-CN"/>
        </w:rPr>
      </w:pPr>
      <w:r>
        <w:rPr>
          <w:rFonts w:hint="eastAsia" w:ascii="仿宋_GB2312" w:hAnsi="仿宋_GB2312" w:eastAsia="仿宋_GB2312" w:cs="仿宋_GB2312"/>
          <w:color w:val="000000"/>
          <w:sz w:val="32"/>
          <w:szCs w:val="32"/>
        </w:rPr>
        <w:t>学校申报2021年屋面维修、更换课桌椅、安防设备、校园风貌设计等市级专项资金140万元，由市财政拨付。</w:t>
      </w:r>
    </w:p>
    <w:p>
      <w:pPr>
        <w:adjustRightInd w:val="0"/>
        <w:snapToGrid w:val="0"/>
        <w:spacing w:line="600" w:lineRule="atLeast"/>
        <w:ind w:firstLine="643" w:firstLineChars="200"/>
        <w:rPr>
          <w:rFonts w:ascii="KaiTi_GB2312" w:hAnsi="宋体" w:eastAsia="KaiTi_GB2312"/>
          <w:b/>
          <w:sz w:val="32"/>
          <w:szCs w:val="32"/>
          <w:lang w:val="zh-CN"/>
        </w:rPr>
      </w:pPr>
      <w:r>
        <w:rPr>
          <w:rFonts w:hint="eastAsia" w:ascii="KaiTi_GB2312" w:hAnsi="宋体" w:eastAsia="KaiTi_GB2312"/>
          <w:b/>
          <w:sz w:val="32"/>
          <w:szCs w:val="32"/>
          <w:lang w:val="zh-CN"/>
        </w:rPr>
        <w:t>（二）资金计划、到位及使用情况。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1.市财政下达2021年屋面维修、更换课桌椅、安防设备、校园风貌设计等市级专项资金136万元。</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2.资金使用。我校严格按照经费的管理、使用规定，合理合规合法使用预算资金，确保每一笔资金使用有理有据。2021年实际支出项目资金58.36万元。</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（三）项目财务管理情况。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w:t>
      </w:r>
      <w:r>
        <w:rPr>
          <w:rFonts w:hint="eastAsia" w:ascii="仿宋_GB2312" w:eastAsia="仿宋_GB2312"/>
          <w:color w:val="000000"/>
          <w:sz w:val="32"/>
          <w:szCs w:val="32"/>
        </w:rPr>
        <w:t>项目</w:t>
      </w:r>
      <w:r>
        <w:rPr>
          <w:rFonts w:hint="eastAsia" w:ascii="仿宋_GB2312" w:hAnsi="仿宋_GB2312" w:eastAsia="仿宋_GB2312" w:cs="仿宋_GB2312"/>
          <w:color w:val="000000"/>
          <w:sz w:val="32"/>
          <w:szCs w:val="32"/>
        </w:rPr>
        <w:t>支出报销凭证须由建设方出具合同、审计报告、发票等财务资料，经办人员签字，业务分管领导分别对事项的附件佐证材料等真实性进行审核并签字，财务人员、分管财务领导审批并签字，校长审定签字确认，</w:t>
      </w:r>
      <w:r>
        <w:rPr>
          <w:rFonts w:hint="eastAsia" w:ascii="仿宋_GB2312" w:eastAsia="仿宋_GB2312"/>
          <w:color w:val="000000"/>
          <w:sz w:val="32"/>
          <w:szCs w:val="32"/>
        </w:rPr>
        <w:t xml:space="preserve">将资金支付建设方。 </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（一）项目组织架构及实施流程。</w:t>
      </w:r>
    </w:p>
    <w:p>
      <w:pPr>
        <w:adjustRightInd w:val="0"/>
        <w:snapToGrid w:val="0"/>
        <w:spacing w:line="600" w:lineRule="atLeas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学校</w:t>
      </w:r>
      <w:r>
        <w:rPr>
          <w:rFonts w:hint="eastAsia" w:ascii="仿宋_GB2312" w:hAnsi="仿宋_GB2312" w:eastAsia="仿宋_GB2312" w:cs="仿宋_GB2312"/>
          <w:color w:val="000000"/>
          <w:sz w:val="32"/>
          <w:szCs w:val="32"/>
          <w:lang w:val="zh-CN"/>
        </w:rPr>
        <w:t>高度重视项目管理，成立工作领导小组。</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组长:</w:t>
      </w:r>
      <w:r>
        <w:rPr>
          <w:rFonts w:hint="eastAsia" w:ascii="仿宋_GB2312" w:hAnsi="仿宋_GB2312" w:eastAsia="仿宋_GB2312" w:cs="仿宋_GB2312"/>
          <w:color w:val="000000"/>
          <w:sz w:val="32"/>
          <w:szCs w:val="32"/>
        </w:rPr>
        <w:t>高齐君</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副组长:</w:t>
      </w:r>
      <w:r>
        <w:rPr>
          <w:rFonts w:hint="eastAsia" w:ascii="仿宋_GB2312" w:hAnsi="仿宋_GB2312" w:eastAsia="仿宋_GB2312" w:cs="仿宋_GB2312"/>
          <w:color w:val="000000"/>
          <w:sz w:val="32"/>
          <w:szCs w:val="32"/>
        </w:rPr>
        <w:t>史远</w:t>
      </w:r>
    </w:p>
    <w:p>
      <w:pPr>
        <w:adjustRightInd w:val="0"/>
        <w:snapToGrid w:val="0"/>
        <w:spacing w:line="600" w:lineRule="atLeas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成员:</w:t>
      </w:r>
      <w:r>
        <w:rPr>
          <w:rFonts w:hint="eastAsia" w:ascii="仿宋_GB2312" w:hAnsi="仿宋_GB2312" w:eastAsia="仿宋_GB2312" w:cs="仿宋_GB2312"/>
          <w:color w:val="000000"/>
          <w:sz w:val="32"/>
          <w:szCs w:val="32"/>
        </w:rPr>
        <w:t>周莉琼、卢艳华、罗德勇、杨雄、卢静</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本项目采取项目工作领导小组负责制，全体成员积极配合、通力合作。项目工作领导小组负责协调相关工作，项目实施及资金管理。</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w:t>
      </w:r>
      <w:r>
        <w:rPr>
          <w:rFonts w:hint="eastAsia" w:ascii="仿宋_GB2312" w:hAnsi="宋体" w:eastAsia="仿宋_GB2312"/>
          <w:sz w:val="32"/>
          <w:szCs w:val="32"/>
        </w:rPr>
        <w:t>财务室</w:t>
      </w:r>
      <w:r>
        <w:rPr>
          <w:rFonts w:hint="eastAsia" w:ascii="仿宋_GB2312" w:hAnsi="宋体" w:eastAsia="仿宋_GB2312"/>
          <w:sz w:val="32"/>
          <w:szCs w:val="32"/>
          <w:lang w:val="zh-CN"/>
        </w:rPr>
        <w:t>具体管理，对项目资金按项目单独核算实行“专款专用、专人管理”，不得挤占挪用项目资金。对项目实施定期或不定期地进行现场检查和监督，及时协调解决困难和问题，保证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（一）项目完成情况。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屋面维修、更换课桌椅、安防设备、校园风貌设计等市级专项资金支出项目资金58.36万元。完成了学生课桌椅的购置工作，因该项目资金下达时间比较晚，接近2021年末，导致该项目在本年度未能有效实施，预计于2022年度内实施完成。</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（二）项目效益情况。</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该项目推动学校屋面维修、更换课桌椅、安防设备、校园风貌设计等建设，改善了办学条件、优化了育人环境，满意率达100%。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仿宋_GB2312" w:eastAsia="仿宋_GB2312" w:cs="仿宋_GB2312"/>
          <w:color w:val="000000"/>
          <w:sz w:val="32"/>
          <w:szCs w:val="32"/>
        </w:rPr>
        <w:t>该项目进一步改善了办学条件，提升了学校综合实力，助力学校办人民满意的教育</w:t>
      </w:r>
      <w:r>
        <w:rPr>
          <w:rFonts w:hint="eastAsia" w:ascii="仿宋_GB2312" w:hAnsi="宋体" w:eastAsia="仿宋_GB2312"/>
          <w:sz w:val="32"/>
          <w:szCs w:val="32"/>
          <w:lang w:val="zh-CN"/>
        </w:rPr>
        <w:t>。</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因该项目资金系2021年</w:t>
      </w:r>
      <w:r>
        <w:rPr>
          <w:rFonts w:hint="eastAsia" w:ascii="仿宋_GB2312" w:hAnsi="仿宋_GB2312" w:eastAsia="仿宋_GB2312" w:cs="仿宋_GB2312"/>
          <w:color w:val="000000"/>
          <w:sz w:val="32"/>
          <w:szCs w:val="32"/>
        </w:rPr>
        <w:t>市级专项资金（切块资金），下达时间临近年末，2021年无法</w:t>
      </w:r>
      <w:r>
        <w:rPr>
          <w:rFonts w:hint="eastAsia" w:ascii="仿宋_GB2312" w:hAnsi="宋体" w:eastAsia="仿宋_GB2312"/>
          <w:sz w:val="32"/>
          <w:szCs w:val="32"/>
        </w:rPr>
        <w:t>实施，致使项目实施和资金支付延至2022年</w:t>
      </w:r>
      <w:r>
        <w:rPr>
          <w:rFonts w:hint="eastAsia" w:ascii="仿宋_GB2312" w:hAnsi="宋体" w:eastAsia="仿宋_GB2312"/>
          <w:sz w:val="32"/>
          <w:szCs w:val="32"/>
          <w:lang w:val="zh-CN"/>
        </w:rPr>
        <w:t>。</w:t>
      </w:r>
      <w:r>
        <w:rPr>
          <w:rFonts w:hint="eastAsia" w:ascii="仿宋_GB2312" w:hAnsi="宋体" w:eastAsia="仿宋_GB2312"/>
          <w:sz w:val="32"/>
          <w:szCs w:val="32"/>
          <w:lang w:val="zh-CN"/>
        </w:rPr>
        <w:tab/>
      </w:r>
    </w:p>
    <w:p>
      <w:pPr>
        <w:adjustRightInd w:val="0"/>
        <w:snapToGrid w:val="0"/>
        <w:spacing w:line="600" w:lineRule="exact"/>
        <w:ind w:firstLine="720"/>
        <w:rPr>
          <w:rFonts w:ascii="KaiTi_GB2312" w:hAnsi="宋体" w:eastAsia="KaiTi_GB2312"/>
          <w:b/>
          <w:sz w:val="32"/>
          <w:szCs w:val="32"/>
          <w:lang w:val="zh-CN"/>
        </w:rPr>
      </w:pPr>
      <w:r>
        <w:rPr>
          <w:rFonts w:hint="eastAsia"/>
          <w:lang w:val="zh-CN"/>
        </w:rPr>
        <w:t xml:space="preserve"> </w:t>
      </w:r>
      <w:r>
        <w:rPr>
          <w:rFonts w:hint="eastAsia" w:ascii="KaiTi_GB2312" w:hAnsi="宋体" w:eastAsia="KaiTi_GB2312"/>
          <w:b/>
          <w:sz w:val="32"/>
          <w:szCs w:val="32"/>
          <w:lang w:val="zh-CN"/>
        </w:rPr>
        <w:t>（三）相关建议。</w:t>
      </w:r>
    </w:p>
    <w:p>
      <w:pPr>
        <w:pStyle w:val="2"/>
        <w:spacing w:before="93"/>
        <w:rPr>
          <w:sz w:val="32"/>
          <w:szCs w:val="32"/>
          <w:lang w:val="zh-CN"/>
        </w:rPr>
      </w:pPr>
      <w:r>
        <w:rPr>
          <w:rFonts w:hint="eastAsia"/>
          <w:lang w:val="zh-CN"/>
        </w:rPr>
        <w:t xml:space="preserve">   </w:t>
      </w:r>
      <w:r>
        <w:rPr>
          <w:rFonts w:hint="eastAsia"/>
          <w:sz w:val="32"/>
          <w:szCs w:val="32"/>
          <w:lang w:val="zh-CN"/>
        </w:rPr>
        <w:t xml:space="preserve">  目前暂无建议。</w:t>
      </w:r>
    </w:p>
    <w:p>
      <w:pPr>
        <w:pStyle w:val="2"/>
        <w:spacing w:before="93"/>
        <w:rPr>
          <w:lang w:val="zh-CN"/>
        </w:rPr>
      </w:pPr>
    </w:p>
    <w:p>
      <w:pPr>
        <w:spacing w:line="600" w:lineRule="exact"/>
        <w:jc w:val="center"/>
        <w:outlineLvl w:val="0"/>
        <w:rPr>
          <w:rFonts w:ascii="黑体" w:hAnsi="黑体" w:eastAsia="黑体"/>
          <w:sz w:val="44"/>
          <w:szCs w:val="44"/>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313"/>
        <w:gridCol w:w="2096"/>
        <w:gridCol w:w="236"/>
      </w:tblGrid>
      <w:tr>
        <w:tblPrEx>
          <w:tblCellMar>
            <w:top w:w="0" w:type="dxa"/>
            <w:left w:w="108" w:type="dxa"/>
            <w:bottom w:w="0" w:type="dxa"/>
            <w:right w:w="108" w:type="dxa"/>
          </w:tblCellMar>
        </w:tblPrEx>
        <w:trPr>
          <w:trHeight w:val="675" w:hRule="atLeast"/>
        </w:trPr>
        <w:tc>
          <w:tcPr>
            <w:tcW w:w="9575" w:type="dxa"/>
            <w:gridSpan w:val="7"/>
            <w:tcBorders>
              <w:top w:val="nil"/>
              <w:left w:val="nil"/>
              <w:bottom w:val="nil"/>
              <w:right w:val="nil"/>
            </w:tcBorders>
            <w:shd w:val="clear" w:color="auto" w:fill="auto"/>
            <w:vAlign w:val="center"/>
          </w:tcPr>
          <w:p>
            <w:pPr>
              <w:spacing w:line="600" w:lineRule="exact"/>
              <w:outlineLvl w:val="0"/>
              <w:rPr>
                <w:rFonts w:ascii="黑体" w:hAnsi="黑体" w:eastAsia="黑体"/>
                <w:sz w:val="32"/>
                <w:szCs w:val="32"/>
              </w:rPr>
            </w:pPr>
          </w:p>
          <w:p>
            <w:pPr>
              <w:spacing w:line="600" w:lineRule="exact"/>
              <w:outlineLvl w:val="0"/>
              <w:rPr>
                <w:rFonts w:ascii="黑体" w:hAnsi="黑体" w:eastAsia="黑体"/>
                <w:sz w:val="32"/>
                <w:szCs w:val="32"/>
              </w:rPr>
            </w:pPr>
          </w:p>
          <w:p>
            <w:pPr>
              <w:spacing w:line="600" w:lineRule="exact"/>
              <w:outlineLvl w:val="0"/>
              <w:rPr>
                <w:rFonts w:ascii="黑体" w:hAnsi="黑体" w:eastAsia="黑体"/>
                <w:sz w:val="32"/>
                <w:szCs w:val="32"/>
              </w:rPr>
            </w:pPr>
          </w:p>
          <w:p>
            <w:pPr>
              <w:spacing w:line="600" w:lineRule="exact"/>
              <w:outlineLvl w:val="0"/>
              <w:rPr>
                <w:rFonts w:ascii="黑体" w:hAnsi="黑体" w:eastAsia="黑体"/>
                <w:sz w:val="32"/>
                <w:szCs w:val="32"/>
              </w:rPr>
            </w:pPr>
          </w:p>
          <w:p>
            <w:pPr>
              <w:spacing w:line="600" w:lineRule="exact"/>
              <w:outlineLvl w:val="0"/>
              <w:rPr>
                <w:rFonts w:ascii="黑体" w:hAnsi="黑体" w:eastAsia="黑体"/>
                <w:sz w:val="32"/>
                <w:szCs w:val="32"/>
              </w:rPr>
            </w:pPr>
          </w:p>
          <w:p>
            <w:pPr>
              <w:spacing w:line="600" w:lineRule="exact"/>
              <w:outlineLvl w:val="0"/>
              <w:rPr>
                <w:rFonts w:ascii="黑体" w:hAnsi="黑体" w:eastAsia="黑体"/>
                <w:sz w:val="32"/>
                <w:szCs w:val="32"/>
              </w:rPr>
            </w:pPr>
          </w:p>
          <w:p>
            <w:pPr>
              <w:spacing w:line="600" w:lineRule="exact"/>
              <w:outlineLvl w:val="0"/>
              <w:rPr>
                <w:rFonts w:ascii="黑体" w:hAnsi="黑体" w:eastAsia="黑体"/>
                <w:sz w:val="32"/>
                <w:szCs w:val="32"/>
              </w:rPr>
            </w:pPr>
            <w:r>
              <w:rPr>
                <w:rFonts w:hint="eastAsia" w:ascii="黑体" w:hAnsi="黑体" w:eastAsia="黑体"/>
                <w:sz w:val="32"/>
                <w:szCs w:val="32"/>
              </w:rPr>
              <w:t>附表3</w:t>
            </w:r>
          </w:p>
          <w:p>
            <w:pPr>
              <w:adjustRightInd w:val="0"/>
              <w:snapToGrid w:val="0"/>
              <w:spacing w:line="700" w:lineRule="exact"/>
              <w:jc w:val="center"/>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2021年度屋面维修、更换课桌椅、安防设备、校园风貌设计等市级专项资金项目绩效自评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438"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广元市教育局322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广元市实验小学校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136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80"/>
              <w:textAlignment w:val="center"/>
              <w:rPr>
                <w:rFonts w:ascii="宋体" w:hAnsi="宋体" w:cs="宋体"/>
                <w:sz w:val="24"/>
              </w:rPr>
            </w:pPr>
            <w:r>
              <w:rPr>
                <w:rFonts w:hint="eastAsia" w:ascii="宋体" w:hAnsi="宋体" w:cs="宋体"/>
                <w:sz w:val="24"/>
              </w:rPr>
              <w:t xml:space="preserve">  58.36</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136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 xml:space="preserve">  58.36</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仿宋_GB2312" w:asciiTheme="minorEastAsia" w:hAnsiTheme="minorEastAsia" w:eastAsiaTheme="minorEastAsia"/>
                <w:color w:val="000000"/>
                <w:sz w:val="24"/>
              </w:rPr>
              <w:t>改善办学条件、优化育人环境。</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cs="仿宋_GB2312" w:asciiTheme="minorEastAsia" w:hAnsiTheme="minorEastAsia" w:eastAsiaTheme="minorEastAsia"/>
                <w:color w:val="000000"/>
                <w:sz w:val="24"/>
              </w:rPr>
              <w:t>改善办学条件、优化育人环境。</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完成情况</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136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58.36</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完成工作率</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100%</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40%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完成时间</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2022年12月31日前</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2022年12月31日前</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指标下达</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136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58.36</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优化办学条件</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有效</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有效</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解决学校个性设施建设</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100%</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100%</w:t>
            </w:r>
          </w:p>
        </w:tc>
      </w:tr>
      <w:tr>
        <w:tblPrEx>
          <w:tblCellMar>
            <w:top w:w="0" w:type="dxa"/>
            <w:left w:w="108" w:type="dxa"/>
            <w:bottom w:w="0" w:type="dxa"/>
            <w:right w:w="108" w:type="dxa"/>
          </w:tblCellMar>
        </w:tblPrEx>
        <w:trPr>
          <w:gridAfter w:val="1"/>
          <w:wAfter w:w="236" w:type="dxa"/>
          <w:trHeight w:val="765"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师生满意度</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s="宋体"/>
                <w:color w:val="000000"/>
                <w:sz w:val="24"/>
              </w:rPr>
              <w:t>≥95%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宋体" w:hAnsi="宋体"/>
                <w:color w:val="000000"/>
                <w:sz w:val="24"/>
              </w:rPr>
              <w:t>100</w:t>
            </w:r>
            <w:r>
              <w:rPr>
                <w:rFonts w:ascii="宋体" w:hAnsi="宋体"/>
                <w:color w:val="000000"/>
                <w:sz w:val="24"/>
              </w:rPr>
              <w:t>%</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63"/>
    </w:p>
    <w:p>
      <w:pPr>
        <w:pStyle w:val="4"/>
        <w:rPr>
          <w:rFonts w:ascii="仿宋" w:hAnsi="仿宋" w:eastAsia="仿宋"/>
        </w:rPr>
      </w:pPr>
      <w:bookmarkStart w:id="64"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64"/>
    </w:p>
    <w:p>
      <w:pPr>
        <w:pStyle w:val="4"/>
        <w:rPr>
          <w:rFonts w:ascii="仿宋" w:hAnsi="仿宋" w:eastAsia="仿宋"/>
        </w:rPr>
      </w:pPr>
      <w:bookmarkStart w:id="65"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65"/>
    </w:p>
    <w:p>
      <w:pPr>
        <w:pStyle w:val="4"/>
        <w:rPr>
          <w:rStyle w:val="25"/>
          <w:rFonts w:ascii="仿宋" w:hAnsi="仿宋" w:eastAsia="仿宋"/>
          <w:b w:val="0"/>
          <w:bCs w:val="0"/>
        </w:rPr>
      </w:pPr>
      <w:bookmarkStart w:id="66"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66"/>
    </w:p>
    <w:p>
      <w:pPr>
        <w:rPr>
          <w:rFonts w:eastAsia="仿宋"/>
        </w:rPr>
      </w:pPr>
      <w:r>
        <w:rPr>
          <w:rStyle w:val="25"/>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16</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56F85E6"/>
    <w:multiLevelType w:val="singleLevel"/>
    <w:tmpl w:val="D56F85E6"/>
    <w:lvl w:ilvl="0" w:tentative="0">
      <w:start w:val="1"/>
      <w:numFmt w:val="chineseCounting"/>
      <w:suff w:val="nothing"/>
      <w:lvlText w:val="%1、"/>
      <w:lvlJc w:val="left"/>
      <w:rPr>
        <w:rFonts w:hint="eastAsia"/>
      </w:rPr>
    </w:lvl>
  </w:abstractNum>
  <w:abstractNum w:abstractNumId="2">
    <w:nsid w:val="0A4C1168"/>
    <w:multiLevelType w:val="singleLevel"/>
    <w:tmpl w:val="0A4C1168"/>
    <w:lvl w:ilvl="0" w:tentative="0">
      <w:start w:val="1"/>
      <w:numFmt w:val="decimal"/>
      <w:lvlText w:val="%1."/>
      <w:lvlJc w:val="left"/>
      <w:pPr>
        <w:tabs>
          <w:tab w:val="left" w:pos="312"/>
        </w:tabs>
      </w:pPr>
    </w:lvl>
  </w:abstractNum>
  <w:abstractNum w:abstractNumId="3">
    <w:nsid w:val="0C4B3F9A"/>
    <w:multiLevelType w:val="multilevel"/>
    <w:tmpl w:val="0C4B3F9A"/>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0E460A9A"/>
    <w:multiLevelType w:val="singleLevel"/>
    <w:tmpl w:val="0E460A9A"/>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429"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8E1285A"/>
    <w:multiLevelType w:val="multilevel"/>
    <w:tmpl w:val="78E1285A"/>
    <w:lvl w:ilvl="0" w:tentative="0">
      <w:start w:val="1"/>
      <w:numFmt w:val="japaneseCounting"/>
      <w:lvlText w:val="%1、"/>
      <w:lvlJc w:val="left"/>
      <w:pPr>
        <w:ind w:left="672" w:hanging="6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wMzQ1MjI5YTVlOWIwODZiNWIxOWY2OWI1NzI3ODQifQ=="/>
  </w:docVars>
  <w:rsids>
    <w:rsidRoot w:val="00F1361C"/>
    <w:rsid w:val="00013C34"/>
    <w:rsid w:val="000222C6"/>
    <w:rsid w:val="0002549F"/>
    <w:rsid w:val="00026CC3"/>
    <w:rsid w:val="000468DB"/>
    <w:rsid w:val="0006487A"/>
    <w:rsid w:val="00065F8F"/>
    <w:rsid w:val="00070A43"/>
    <w:rsid w:val="000768F2"/>
    <w:rsid w:val="0009184B"/>
    <w:rsid w:val="0009308B"/>
    <w:rsid w:val="00094236"/>
    <w:rsid w:val="0009593C"/>
    <w:rsid w:val="00097322"/>
    <w:rsid w:val="000A5F55"/>
    <w:rsid w:val="000A6A92"/>
    <w:rsid w:val="000B047F"/>
    <w:rsid w:val="000B5923"/>
    <w:rsid w:val="000B5A48"/>
    <w:rsid w:val="000B6FF3"/>
    <w:rsid w:val="000C3467"/>
    <w:rsid w:val="000C3CA6"/>
    <w:rsid w:val="000D1267"/>
    <w:rsid w:val="000D1D50"/>
    <w:rsid w:val="000D5782"/>
    <w:rsid w:val="000E6613"/>
    <w:rsid w:val="000E7119"/>
    <w:rsid w:val="00102811"/>
    <w:rsid w:val="00114E9B"/>
    <w:rsid w:val="00122184"/>
    <w:rsid w:val="001254D1"/>
    <w:rsid w:val="00142216"/>
    <w:rsid w:val="00144D6A"/>
    <w:rsid w:val="0014729F"/>
    <w:rsid w:val="00157BAB"/>
    <w:rsid w:val="001654D1"/>
    <w:rsid w:val="00174518"/>
    <w:rsid w:val="0018106D"/>
    <w:rsid w:val="00185644"/>
    <w:rsid w:val="001877A7"/>
    <w:rsid w:val="00191536"/>
    <w:rsid w:val="00196687"/>
    <w:rsid w:val="001A3BA4"/>
    <w:rsid w:val="001A57E0"/>
    <w:rsid w:val="001B5BA2"/>
    <w:rsid w:val="001C0962"/>
    <w:rsid w:val="001D7531"/>
    <w:rsid w:val="001E737D"/>
    <w:rsid w:val="001E7ECA"/>
    <w:rsid w:val="001F0592"/>
    <w:rsid w:val="001F1685"/>
    <w:rsid w:val="001F7506"/>
    <w:rsid w:val="002006CD"/>
    <w:rsid w:val="00202B36"/>
    <w:rsid w:val="002037F2"/>
    <w:rsid w:val="00204B7A"/>
    <w:rsid w:val="00204CDE"/>
    <w:rsid w:val="0021101A"/>
    <w:rsid w:val="00220536"/>
    <w:rsid w:val="00235629"/>
    <w:rsid w:val="00260C38"/>
    <w:rsid w:val="002616C0"/>
    <w:rsid w:val="00265372"/>
    <w:rsid w:val="002662AA"/>
    <w:rsid w:val="00280496"/>
    <w:rsid w:val="002918CD"/>
    <w:rsid w:val="00294DC9"/>
    <w:rsid w:val="00295495"/>
    <w:rsid w:val="002A31DE"/>
    <w:rsid w:val="002B2613"/>
    <w:rsid w:val="002B312E"/>
    <w:rsid w:val="002D6D05"/>
    <w:rsid w:val="002E3B61"/>
    <w:rsid w:val="002F1818"/>
    <w:rsid w:val="002F2050"/>
    <w:rsid w:val="002F567B"/>
    <w:rsid w:val="00300181"/>
    <w:rsid w:val="003106A4"/>
    <w:rsid w:val="003216A9"/>
    <w:rsid w:val="0033348B"/>
    <w:rsid w:val="00335A74"/>
    <w:rsid w:val="00337CCF"/>
    <w:rsid w:val="00346029"/>
    <w:rsid w:val="003556ED"/>
    <w:rsid w:val="0036561B"/>
    <w:rsid w:val="0037013F"/>
    <w:rsid w:val="00380C92"/>
    <w:rsid w:val="003A484F"/>
    <w:rsid w:val="003A4883"/>
    <w:rsid w:val="003B0BE0"/>
    <w:rsid w:val="003B0C1B"/>
    <w:rsid w:val="003B688C"/>
    <w:rsid w:val="003C0291"/>
    <w:rsid w:val="003C39AE"/>
    <w:rsid w:val="003C6D47"/>
    <w:rsid w:val="003C7B60"/>
    <w:rsid w:val="003D0C0F"/>
    <w:rsid w:val="003D1FB2"/>
    <w:rsid w:val="003D66DA"/>
    <w:rsid w:val="003E1310"/>
    <w:rsid w:val="003E6F55"/>
    <w:rsid w:val="004018E1"/>
    <w:rsid w:val="00406254"/>
    <w:rsid w:val="004223DE"/>
    <w:rsid w:val="00434489"/>
    <w:rsid w:val="00437085"/>
    <w:rsid w:val="00443880"/>
    <w:rsid w:val="004464F4"/>
    <w:rsid w:val="00454097"/>
    <w:rsid w:val="004700C0"/>
    <w:rsid w:val="00471401"/>
    <w:rsid w:val="00473F31"/>
    <w:rsid w:val="0048263A"/>
    <w:rsid w:val="00487E5D"/>
    <w:rsid w:val="004A711F"/>
    <w:rsid w:val="004B199D"/>
    <w:rsid w:val="004B4690"/>
    <w:rsid w:val="004B59E9"/>
    <w:rsid w:val="004E0A2D"/>
    <w:rsid w:val="004E206B"/>
    <w:rsid w:val="004E6DF7"/>
    <w:rsid w:val="004F0FBD"/>
    <w:rsid w:val="004F7CC8"/>
    <w:rsid w:val="00505A47"/>
    <w:rsid w:val="0050660F"/>
    <w:rsid w:val="00512FDA"/>
    <w:rsid w:val="00520DA0"/>
    <w:rsid w:val="005307E9"/>
    <w:rsid w:val="005346CC"/>
    <w:rsid w:val="0056293B"/>
    <w:rsid w:val="005664BB"/>
    <w:rsid w:val="00566FFA"/>
    <w:rsid w:val="00570481"/>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08EE"/>
    <w:rsid w:val="0062270A"/>
    <w:rsid w:val="00622830"/>
    <w:rsid w:val="00623DA0"/>
    <w:rsid w:val="00630AEF"/>
    <w:rsid w:val="006325F8"/>
    <w:rsid w:val="00633463"/>
    <w:rsid w:val="00634C9A"/>
    <w:rsid w:val="006440E4"/>
    <w:rsid w:val="00644903"/>
    <w:rsid w:val="0066202E"/>
    <w:rsid w:val="0066343B"/>
    <w:rsid w:val="00664777"/>
    <w:rsid w:val="006748A4"/>
    <w:rsid w:val="00681A31"/>
    <w:rsid w:val="00683DA2"/>
    <w:rsid w:val="00683E73"/>
    <w:rsid w:val="0068677D"/>
    <w:rsid w:val="006A1653"/>
    <w:rsid w:val="006A1F28"/>
    <w:rsid w:val="006A3141"/>
    <w:rsid w:val="006A5E34"/>
    <w:rsid w:val="006B2422"/>
    <w:rsid w:val="006B2B9A"/>
    <w:rsid w:val="006C1937"/>
    <w:rsid w:val="006F020C"/>
    <w:rsid w:val="0070162C"/>
    <w:rsid w:val="007127B7"/>
    <w:rsid w:val="0071798E"/>
    <w:rsid w:val="00723DC7"/>
    <w:rsid w:val="007314D8"/>
    <w:rsid w:val="007416B6"/>
    <w:rsid w:val="00744812"/>
    <w:rsid w:val="00744E81"/>
    <w:rsid w:val="00746F48"/>
    <w:rsid w:val="0075404D"/>
    <w:rsid w:val="00757385"/>
    <w:rsid w:val="0076182A"/>
    <w:rsid w:val="00761AED"/>
    <w:rsid w:val="00767B7E"/>
    <w:rsid w:val="007707F4"/>
    <w:rsid w:val="007740B1"/>
    <w:rsid w:val="007770C3"/>
    <w:rsid w:val="00784D24"/>
    <w:rsid w:val="00785FBA"/>
    <w:rsid w:val="00786E4A"/>
    <w:rsid w:val="007875EB"/>
    <w:rsid w:val="0079426B"/>
    <w:rsid w:val="007C36DE"/>
    <w:rsid w:val="007C3AA6"/>
    <w:rsid w:val="007D1682"/>
    <w:rsid w:val="007D312A"/>
    <w:rsid w:val="007D3F19"/>
    <w:rsid w:val="007E23B0"/>
    <w:rsid w:val="007E23E5"/>
    <w:rsid w:val="007F1991"/>
    <w:rsid w:val="007F2C2F"/>
    <w:rsid w:val="007F55FC"/>
    <w:rsid w:val="007F5665"/>
    <w:rsid w:val="00800112"/>
    <w:rsid w:val="00810169"/>
    <w:rsid w:val="00813348"/>
    <w:rsid w:val="008253BB"/>
    <w:rsid w:val="0083706E"/>
    <w:rsid w:val="00837821"/>
    <w:rsid w:val="008408F6"/>
    <w:rsid w:val="008423A5"/>
    <w:rsid w:val="00850625"/>
    <w:rsid w:val="00853718"/>
    <w:rsid w:val="00855221"/>
    <w:rsid w:val="00860645"/>
    <w:rsid w:val="00864D26"/>
    <w:rsid w:val="00871F71"/>
    <w:rsid w:val="00872FD8"/>
    <w:rsid w:val="008845AA"/>
    <w:rsid w:val="00885AF4"/>
    <w:rsid w:val="00885FB2"/>
    <w:rsid w:val="008939CD"/>
    <w:rsid w:val="008A2288"/>
    <w:rsid w:val="008B768C"/>
    <w:rsid w:val="008C4DB1"/>
    <w:rsid w:val="008C4EAF"/>
    <w:rsid w:val="008C5176"/>
    <w:rsid w:val="008C7841"/>
    <w:rsid w:val="008C7FD0"/>
    <w:rsid w:val="008E1DE7"/>
    <w:rsid w:val="008E3567"/>
    <w:rsid w:val="008E707C"/>
    <w:rsid w:val="00900B08"/>
    <w:rsid w:val="00902155"/>
    <w:rsid w:val="00902FA3"/>
    <w:rsid w:val="0092107F"/>
    <w:rsid w:val="00923564"/>
    <w:rsid w:val="0092392E"/>
    <w:rsid w:val="009315F9"/>
    <w:rsid w:val="00933499"/>
    <w:rsid w:val="00935C98"/>
    <w:rsid w:val="00946945"/>
    <w:rsid w:val="00951248"/>
    <w:rsid w:val="0095152F"/>
    <w:rsid w:val="00954C49"/>
    <w:rsid w:val="00955E37"/>
    <w:rsid w:val="0097099F"/>
    <w:rsid w:val="00971997"/>
    <w:rsid w:val="00971FFC"/>
    <w:rsid w:val="00972958"/>
    <w:rsid w:val="00973B80"/>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075A6"/>
    <w:rsid w:val="00A079EA"/>
    <w:rsid w:val="00A13CC1"/>
    <w:rsid w:val="00A15B61"/>
    <w:rsid w:val="00A16847"/>
    <w:rsid w:val="00A16CAA"/>
    <w:rsid w:val="00A237D8"/>
    <w:rsid w:val="00A268C4"/>
    <w:rsid w:val="00A307CD"/>
    <w:rsid w:val="00A331C8"/>
    <w:rsid w:val="00A35CE0"/>
    <w:rsid w:val="00A40A00"/>
    <w:rsid w:val="00A4142F"/>
    <w:rsid w:val="00A41D98"/>
    <w:rsid w:val="00A422EB"/>
    <w:rsid w:val="00A4453E"/>
    <w:rsid w:val="00A45BB7"/>
    <w:rsid w:val="00A56DF2"/>
    <w:rsid w:val="00A56E6E"/>
    <w:rsid w:val="00A61949"/>
    <w:rsid w:val="00A629E6"/>
    <w:rsid w:val="00A67AB5"/>
    <w:rsid w:val="00A733B2"/>
    <w:rsid w:val="00A741C2"/>
    <w:rsid w:val="00A86F4E"/>
    <w:rsid w:val="00A91760"/>
    <w:rsid w:val="00A93B00"/>
    <w:rsid w:val="00A93C21"/>
    <w:rsid w:val="00AA7111"/>
    <w:rsid w:val="00AB09DE"/>
    <w:rsid w:val="00AB64C9"/>
    <w:rsid w:val="00AC3C6A"/>
    <w:rsid w:val="00AC5589"/>
    <w:rsid w:val="00AC73DC"/>
    <w:rsid w:val="00AD5620"/>
    <w:rsid w:val="00AD656B"/>
    <w:rsid w:val="00AD7C1B"/>
    <w:rsid w:val="00AE16BA"/>
    <w:rsid w:val="00AE1EBE"/>
    <w:rsid w:val="00AE23D2"/>
    <w:rsid w:val="00B03C9D"/>
    <w:rsid w:val="00B060AE"/>
    <w:rsid w:val="00B07F5A"/>
    <w:rsid w:val="00B10517"/>
    <w:rsid w:val="00B13DDD"/>
    <w:rsid w:val="00B14E76"/>
    <w:rsid w:val="00B161B8"/>
    <w:rsid w:val="00B17271"/>
    <w:rsid w:val="00B2048C"/>
    <w:rsid w:val="00B310B9"/>
    <w:rsid w:val="00B31E25"/>
    <w:rsid w:val="00B34CC2"/>
    <w:rsid w:val="00B35F3F"/>
    <w:rsid w:val="00B36CBB"/>
    <w:rsid w:val="00B379C4"/>
    <w:rsid w:val="00B425E0"/>
    <w:rsid w:val="00B440AA"/>
    <w:rsid w:val="00B44B70"/>
    <w:rsid w:val="00B44CBB"/>
    <w:rsid w:val="00B53C56"/>
    <w:rsid w:val="00B57DAF"/>
    <w:rsid w:val="00B6492E"/>
    <w:rsid w:val="00B73F7C"/>
    <w:rsid w:val="00B77EA6"/>
    <w:rsid w:val="00B81598"/>
    <w:rsid w:val="00B841F1"/>
    <w:rsid w:val="00B9062E"/>
    <w:rsid w:val="00B944D6"/>
    <w:rsid w:val="00BB4DF0"/>
    <w:rsid w:val="00BC289F"/>
    <w:rsid w:val="00BC2D50"/>
    <w:rsid w:val="00BC5361"/>
    <w:rsid w:val="00BC5460"/>
    <w:rsid w:val="00BC6B50"/>
    <w:rsid w:val="00BD0E25"/>
    <w:rsid w:val="00BE2D7E"/>
    <w:rsid w:val="00BF2D58"/>
    <w:rsid w:val="00BF5BD6"/>
    <w:rsid w:val="00C03E31"/>
    <w:rsid w:val="00C33E72"/>
    <w:rsid w:val="00C354B2"/>
    <w:rsid w:val="00C35554"/>
    <w:rsid w:val="00C4268D"/>
    <w:rsid w:val="00C42709"/>
    <w:rsid w:val="00C52665"/>
    <w:rsid w:val="00C533CC"/>
    <w:rsid w:val="00C5751C"/>
    <w:rsid w:val="00C61BFC"/>
    <w:rsid w:val="00C62B85"/>
    <w:rsid w:val="00C65438"/>
    <w:rsid w:val="00C71439"/>
    <w:rsid w:val="00C75DAF"/>
    <w:rsid w:val="00C8502C"/>
    <w:rsid w:val="00C861BE"/>
    <w:rsid w:val="00C87FD8"/>
    <w:rsid w:val="00C90F23"/>
    <w:rsid w:val="00C91381"/>
    <w:rsid w:val="00C91CBB"/>
    <w:rsid w:val="00CB09A9"/>
    <w:rsid w:val="00CB4E70"/>
    <w:rsid w:val="00CB4F4D"/>
    <w:rsid w:val="00CC09B6"/>
    <w:rsid w:val="00CC666F"/>
    <w:rsid w:val="00CD1E3F"/>
    <w:rsid w:val="00CE44F6"/>
    <w:rsid w:val="00CE49DA"/>
    <w:rsid w:val="00CE7B61"/>
    <w:rsid w:val="00CF7C03"/>
    <w:rsid w:val="00D00095"/>
    <w:rsid w:val="00D0646B"/>
    <w:rsid w:val="00D114F0"/>
    <w:rsid w:val="00D11EDC"/>
    <w:rsid w:val="00D20620"/>
    <w:rsid w:val="00D254F7"/>
    <w:rsid w:val="00D26091"/>
    <w:rsid w:val="00D2685C"/>
    <w:rsid w:val="00D34E7C"/>
    <w:rsid w:val="00D35489"/>
    <w:rsid w:val="00D36AFE"/>
    <w:rsid w:val="00D44F51"/>
    <w:rsid w:val="00D51276"/>
    <w:rsid w:val="00D54539"/>
    <w:rsid w:val="00D56099"/>
    <w:rsid w:val="00D5649C"/>
    <w:rsid w:val="00D6492E"/>
    <w:rsid w:val="00D7035F"/>
    <w:rsid w:val="00D87EA7"/>
    <w:rsid w:val="00DA634F"/>
    <w:rsid w:val="00DA65AC"/>
    <w:rsid w:val="00DB1913"/>
    <w:rsid w:val="00DC410D"/>
    <w:rsid w:val="00DC5A81"/>
    <w:rsid w:val="00DC68CA"/>
    <w:rsid w:val="00DC7CBA"/>
    <w:rsid w:val="00DD73B7"/>
    <w:rsid w:val="00DE304B"/>
    <w:rsid w:val="00DF28BC"/>
    <w:rsid w:val="00DF2A8C"/>
    <w:rsid w:val="00DF34B9"/>
    <w:rsid w:val="00E00F62"/>
    <w:rsid w:val="00E01053"/>
    <w:rsid w:val="00E07ACF"/>
    <w:rsid w:val="00E331A1"/>
    <w:rsid w:val="00E33202"/>
    <w:rsid w:val="00E336A9"/>
    <w:rsid w:val="00E43DA8"/>
    <w:rsid w:val="00E472B1"/>
    <w:rsid w:val="00E50624"/>
    <w:rsid w:val="00E53916"/>
    <w:rsid w:val="00E568DF"/>
    <w:rsid w:val="00E64269"/>
    <w:rsid w:val="00E82267"/>
    <w:rsid w:val="00E853CE"/>
    <w:rsid w:val="00E867B6"/>
    <w:rsid w:val="00E86E02"/>
    <w:rsid w:val="00EA010F"/>
    <w:rsid w:val="00EA0293"/>
    <w:rsid w:val="00EA5B47"/>
    <w:rsid w:val="00ED1B63"/>
    <w:rsid w:val="00ED3C1F"/>
    <w:rsid w:val="00ED4085"/>
    <w:rsid w:val="00ED420E"/>
    <w:rsid w:val="00ED6FBE"/>
    <w:rsid w:val="00EE2F57"/>
    <w:rsid w:val="00EF4C34"/>
    <w:rsid w:val="00EF77C6"/>
    <w:rsid w:val="00F03C20"/>
    <w:rsid w:val="00F05438"/>
    <w:rsid w:val="00F1167B"/>
    <w:rsid w:val="00F1361C"/>
    <w:rsid w:val="00F156F0"/>
    <w:rsid w:val="00F160C7"/>
    <w:rsid w:val="00F2408F"/>
    <w:rsid w:val="00F240E9"/>
    <w:rsid w:val="00F34838"/>
    <w:rsid w:val="00F36D8F"/>
    <w:rsid w:val="00F417B1"/>
    <w:rsid w:val="00F430B8"/>
    <w:rsid w:val="00F45853"/>
    <w:rsid w:val="00F602DF"/>
    <w:rsid w:val="00F66547"/>
    <w:rsid w:val="00F754A1"/>
    <w:rsid w:val="00F81FD9"/>
    <w:rsid w:val="00F841AA"/>
    <w:rsid w:val="00F849C1"/>
    <w:rsid w:val="00F84A94"/>
    <w:rsid w:val="00F87E96"/>
    <w:rsid w:val="00FA23E8"/>
    <w:rsid w:val="00FC04A3"/>
    <w:rsid w:val="00FC43FD"/>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795B0E"/>
    <w:rsid w:val="3F9F3A96"/>
    <w:rsid w:val="40350D30"/>
    <w:rsid w:val="493C27E9"/>
    <w:rsid w:val="496F39ED"/>
    <w:rsid w:val="49FF41D3"/>
    <w:rsid w:val="4A185DC8"/>
    <w:rsid w:val="4BE068DB"/>
    <w:rsid w:val="4BF6002B"/>
    <w:rsid w:val="4ECE2238"/>
    <w:rsid w:val="51DB4B86"/>
    <w:rsid w:val="526D7AE8"/>
    <w:rsid w:val="55333C3E"/>
    <w:rsid w:val="64CA39A1"/>
    <w:rsid w:val="6C4A05C8"/>
    <w:rsid w:val="72734D90"/>
    <w:rsid w:val="79E7B28D"/>
    <w:rsid w:val="7C775BAB"/>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25991;&#26723;%201!_1724656330"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25991;&#26723;%201!_1725258678"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25991;&#26723;%201!_1724656060"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5991;&#26723;%201!_1724655917"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5991;&#26723;%201!_1724656941"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25991;&#26723;%201!_1724657458"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25991;&#26723;%202!_1725091406"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00" b="1" i="0" u="none" strike="noStrike" kern="1200" baseline="0">
                <a:solidFill>
                  <a:srgbClr val="33CCCC"/>
                </a:solidFill>
                <a:latin typeface="微软雅黑" panose="020B0503020204020204" charset="-122"/>
                <a:ea typeface="微软雅黑" panose="020B0503020204020204" charset="-122"/>
                <a:cs typeface="微软雅黑" panose="020B0503020204020204" charset="-122"/>
              </a:defRPr>
            </a:pPr>
            <a:r>
              <a:rPr lang="zh-CN" altLang="en-US"/>
              <a:t>收、支决算总计变动情况图</a:t>
            </a:r>
            <a:endParaRPr lang="zh-CN" altLang="en-US"/>
          </a:p>
        </c:rich>
      </c:tx>
      <c:layout/>
      <c:overlay val="0"/>
      <c:spPr>
        <a:noFill/>
        <a:ln>
          <a:noFill/>
        </a:ln>
        <a:effectLst/>
      </c:spPr>
    </c:title>
    <c:autoTitleDeleted val="0"/>
    <c:plotArea>
      <c:layout>
        <c:manualLayout>
          <c:layoutTarget val="inner"/>
          <c:xMode val="edge"/>
          <c:yMode val="edge"/>
          <c:x val="0.185000075276723"/>
          <c:y val="0.423859181234083"/>
          <c:w val="0.743333635796564"/>
          <c:h val="0.34771681334772"/>
        </c:manualLayout>
      </c:layout>
      <c:barChart>
        <c:barDir val="col"/>
        <c:grouping val="clustered"/>
        <c:varyColors val="0"/>
        <c:ser>
          <c:idx val="0"/>
          <c:order val="0"/>
          <c:tx>
            <c:strRef>
              <c:f>'[图表 在 文档 1]Sheet1'!$B$3</c:f>
              <c:strCache>
                <c:ptCount val="1"/>
                <c:pt idx="0">
                  <c:v>收支</c:v>
                </c:pt>
              </c:strCache>
            </c:strRef>
          </c:tx>
          <c:spPr>
            <a:solidFill>
              <a:srgbClr val="2582E8"/>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微软雅黑" panose="020B0503020204020204" charset="-122"/>
                    <a:ea typeface="微软雅黑" panose="020B0503020204020204" charset="-122"/>
                    <a:cs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'[图表 在 文档 1]Sheet1'!$C$2:$F$2</c:f>
              <c:numCache>
                <c:formatCode>General</c:formatCode>
                <c:ptCount val="4"/>
                <c:pt idx="0">
                  <c:v>2020</c:v>
                </c:pt>
                <c:pt idx="1">
                  <c:v>2021</c:v>
                </c:pt>
              </c:numCache>
            </c:numRef>
          </c:cat>
          <c:val>
            <c:numRef>
              <c:f>'[图表 在 文档 1]Sheet1'!$C$3:$F$3</c:f>
              <c:numCache>
                <c:formatCode>General</c:formatCode>
                <c:ptCount val="4"/>
                <c:pt idx="0">
                  <c:v>2846.8</c:v>
                </c:pt>
                <c:pt idx="1">
                  <c:v>3463.52</c:v>
                </c:pt>
              </c:numCache>
            </c:numRef>
          </c:val>
        </c:ser>
        <c:dLbls>
          <c:showLegendKey val="0"/>
          <c:showVal val="1"/>
          <c:showCatName val="0"/>
          <c:showSerName val="0"/>
          <c:showPercent val="0"/>
          <c:showBubbleSize val="0"/>
        </c:dLbls>
        <c:gapWidth val="403"/>
        <c:overlap val="-53"/>
        <c:axId val="81941632"/>
        <c:axId val="81943168"/>
      </c:barChart>
      <c:catAx>
        <c:axId val="819416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微软雅黑" panose="020B0503020204020204" charset="-122"/>
                <a:ea typeface="微软雅黑" panose="020B0503020204020204" charset="-122"/>
                <a:cs typeface="微软雅黑" panose="020B0503020204020204" charset="-122"/>
              </a:defRPr>
            </a:pPr>
          </a:p>
        </c:txPr>
        <c:crossAx val="81943168"/>
        <c:crosses val="autoZero"/>
        <c:auto val="1"/>
        <c:lblAlgn val="ctr"/>
        <c:lblOffset val="100"/>
        <c:noMultiLvlLbl val="0"/>
      </c:catAx>
      <c:valAx>
        <c:axId val="819431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微软雅黑" panose="020B0503020204020204" charset="-122"/>
                <a:ea typeface="微软雅黑" panose="020B0503020204020204" charset="-122"/>
                <a:cs typeface="微软雅黑" panose="020B0503020204020204" charset="-122"/>
              </a:defRPr>
            </a:pPr>
          </a:p>
        </c:txPr>
        <c:crossAx val="81941632"/>
        <c:crosses val="autoZero"/>
        <c:crossBetween val="between"/>
      </c:valAx>
      <c:spPr>
        <a:noFill/>
        <a:ln>
          <a:noFill/>
        </a:ln>
        <a:effectLst/>
      </c:spPr>
    </c:plotArea>
    <c:legend>
      <c:legendPos val="t"/>
      <c:layout>
        <c:manualLayout>
          <c:xMode val="edge"/>
          <c:yMode val="edge"/>
          <c:x val="0.4545"/>
          <c:y val="0.1515"/>
          <c:w val="0.0907500000000002"/>
          <c:h val="0.0805000000000002"/>
        </c:manualLayout>
      </c:layout>
      <c:overlay val="0"/>
      <c:spPr>
        <a:noFill/>
        <a:ln>
          <a:noFill/>
        </a:ln>
        <a:effectLst/>
      </c:spPr>
      <c:txPr>
        <a:bodyPr rot="0" spcFirstLastPara="0" vertOverflow="ellipsis" vert="horz" wrap="square" anchor="ctr" anchorCtr="1"/>
        <a:lstStyle/>
        <a:p>
          <a:pPr>
            <a:defRPr lang="zh-CN" sz="825" b="0" i="0" u="none" strike="noStrike" kern="1200" baseline="0">
              <a:solidFill>
                <a:srgbClr val="808080"/>
              </a:solidFill>
              <a:latin typeface="微软雅黑" panose="020B0503020204020204" charset="-122"/>
              <a:ea typeface="微软雅黑" panose="020B0503020204020204" charset="-122"/>
              <a:cs typeface="微软雅黑" panose="020B0503020204020204" charset="-122"/>
            </a:defRPr>
          </a:pPr>
        </a:p>
      </c:txPr>
    </c:legend>
    <c:plotVisOnly val="1"/>
    <c:dispBlanksAs val="gap"/>
    <c:showDLblsOverMax val="0"/>
  </c:chart>
  <c:spPr>
    <a:blipFill>
      <a:blip xmlns:r="http://schemas.openxmlformats.org/officeDocument/2006/relationships" r:embed="rId3"/>
      <a:stretch>
        <a:fillRect/>
      </a:stretch>
    </a:blipFill>
    <a:ln w="9525" cap="flat" cmpd="sng" algn="ctr">
      <a:noFill/>
      <a:prstDash val="solid"/>
      <a:round/>
    </a:ln>
    <a:effectLst>
      <a:outerShdw blurRad="63500" dist="37357" dir="2700000" sx="0" sy="0" rotWithShape="0">
        <a:scrgbClr r="0" g="0" b="0"/>
      </a:outerShdw>
    </a:effectLst>
  </c:spPr>
  <c:txPr>
    <a:bodyPr/>
    <a:lstStyle/>
    <a:p>
      <a:pPr>
        <a:defRPr lang="zh-CN" sz="1000" b="0" i="0" u="none" strike="noStrike" baseline="0">
          <a:solidFill>
            <a:srgbClr val="000000"/>
          </a:solidFill>
          <a:latin typeface="微软雅黑" panose="020B0503020204020204" charset="-122"/>
          <a:ea typeface="微软雅黑" panose="020B0503020204020204" charset="-122"/>
          <a:cs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rgbClr val="000000"/>
                </a:solidFill>
                <a:latin typeface="微软雅黑" panose="020B0503020204020204" charset="-122"/>
                <a:ea typeface="微软雅黑" panose="020B0503020204020204" charset="-122"/>
                <a:cs typeface="微软雅黑" panose="020B0503020204020204" charset="-122"/>
              </a:defRPr>
            </a:pPr>
            <a:r>
              <a:rPr lang="zh-CN" altLang="en-US"/>
              <a:t>收入决算结构图</a:t>
            </a:r>
            <a:endParaRPr lang="zh-CN" altLang="en-US"/>
          </a:p>
        </c:rich>
      </c:tx>
      <c:layout/>
      <c:overlay val="0"/>
    </c:title>
    <c:autoTitleDeleted val="0"/>
    <c:plotArea>
      <c:layout/>
      <c:pieChart>
        <c:varyColors val="1"/>
        <c:ser>
          <c:idx val="0"/>
          <c:order val="0"/>
          <c:spPr>
            <a:ln w="12700">
              <a:solidFill>
                <a:schemeClr val="bg1"/>
              </a:solidFill>
            </a:ln>
            <a:effectLst/>
          </c:spPr>
          <c:explosion val="0"/>
          <c:dPt>
            <c:idx val="0"/>
            <c:bubble3D val="0"/>
            <c:spPr>
              <a:solidFill>
                <a:srgbClr val="FE5A5A"/>
              </a:solidFill>
              <a:ln w="12700">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微软雅黑" panose="020B0503020204020204" charset="-122"/>
                    <a:ea typeface="微软雅黑" panose="020B0503020204020204" charset="-122"/>
                    <a:cs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'[图表 在 文档 1]Sheet1'!$C$3</c:f>
              <c:strCache>
                <c:ptCount val="1"/>
                <c:pt idx="0">
                  <c:v>一般公共预算</c:v>
                </c:pt>
              </c:strCache>
            </c:strRef>
          </c:cat>
          <c:val>
            <c:numRef>
              <c:f>'[图表 在 文档 1]Sheet1'!$C$4</c:f>
              <c:numCache>
                <c:formatCode>General</c:formatCode>
                <c:ptCount val="1"/>
                <c:pt idx="0">
                  <c:v>28181100</c:v>
                </c:pt>
              </c:numCache>
            </c:numRef>
          </c:val>
        </c:ser>
        <c:dLbls>
          <c:showLegendKey val="0"/>
          <c:showVal val="0"/>
          <c:showCatName val="0"/>
          <c:showSerName val="0"/>
          <c:showPercent val="1"/>
          <c:showBubbleSize val="0"/>
          <c:showLeaderLines val="1"/>
        </c:dLbls>
        <c:firstSliceAng val="257"/>
      </c:pieChart>
      <c:spPr>
        <a:noFill/>
        <a:ln>
          <a:noFill/>
        </a:ln>
        <a:effectLst/>
      </c:spPr>
    </c:plotArea>
    <c:legend>
      <c:legendPos val="r"/>
      <c:layout>
        <c:manualLayout>
          <c:xMode val="edge"/>
          <c:yMode val="edge"/>
          <c:x val="0.753333639865578"/>
          <c:y val="0.573605838077257"/>
          <c:w val="0.218333422173431"/>
          <c:h val="0.149746656843178"/>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微软雅黑" panose="020B0503020204020204" charset="-122"/>
              <a:ea typeface="微软雅黑" panose="020B0503020204020204" charset="-122"/>
              <a:cs typeface="微软雅黑" panose="020B0503020204020204" charset="-122"/>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sz="1000" b="0" i="0" u="none" strike="noStrike" baseline="0">
          <a:solidFill>
            <a:srgbClr val="000000"/>
          </a:solidFill>
          <a:latin typeface="微软雅黑" panose="020B0503020204020204" charset="-122"/>
          <a:ea typeface="微软雅黑" panose="020B0503020204020204" charset="-122"/>
          <a:cs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00" b="0" i="0" u="none" strike="noStrike" kern="1200" baseline="0">
                <a:solidFill>
                  <a:srgbClr val="808080"/>
                </a:solidFill>
                <a:latin typeface="微软雅黑" panose="020B0503020204020204" charset="-122"/>
                <a:ea typeface="微软雅黑" panose="020B0503020204020204" charset="-122"/>
                <a:cs typeface="微软雅黑" panose="020B0503020204020204" charset="-122"/>
              </a:defRPr>
            </a:pPr>
            <a:r>
              <a:rPr lang="zh-CN" altLang="en-US"/>
              <a:t>支出决算结构图</a:t>
            </a:r>
            <a:endParaRPr lang="zh-CN" altLang="en-US"/>
          </a:p>
        </c:rich>
      </c:tx>
      <c:layout/>
      <c:overlay val="0"/>
      <c:spPr>
        <a:noFill/>
        <a:ln>
          <a:noFill/>
        </a:ln>
        <a:effectLst/>
      </c:spPr>
    </c:title>
    <c:autoTitleDeleted val="0"/>
    <c:plotArea>
      <c:layout>
        <c:manualLayout>
          <c:layoutTarget val="inner"/>
          <c:xMode val="edge"/>
          <c:yMode val="edge"/>
          <c:x val="0.335000136311907"/>
          <c:y val="0.340102576559081"/>
          <c:w val="0.381666821967298"/>
          <c:h val="0.581220074865893"/>
        </c:manualLayout>
      </c:layout>
      <c:pieChart>
        <c:varyColors val="1"/>
        <c:ser>
          <c:idx val="0"/>
          <c:order val="0"/>
          <c:spPr>
            <a:gradFill>
              <a:gsLst>
                <a:gs pos="80000">
                  <a:srgbClr val="333F50"/>
                </a:gs>
                <a:gs pos="61000">
                  <a:srgbClr val="992028">
                    <a:alpha val="100000"/>
                  </a:srgbClr>
                </a:gs>
                <a:gs pos="29000">
                  <a:srgbClr val="FF0000"/>
                </a:gs>
              </a:gsLst>
              <a:lin ang="18900000" scaled="0"/>
            </a:gradFill>
            <a:ln w="3175">
              <a:noFill/>
            </a:ln>
            <a:effectLst/>
          </c:spPr>
          <c:explosion val="0"/>
          <c:dPt>
            <c:idx val="0"/>
            <c:bubble3D val="0"/>
            <c:spPr>
              <a:solidFill>
                <a:srgbClr val="F8E4DB"/>
              </a:solidFill>
              <a:ln w="3175">
                <a:noFill/>
              </a:ln>
              <a:effectLst/>
            </c:spPr>
          </c:dPt>
          <c:dPt>
            <c:idx val="1"/>
            <c:bubble3D val="0"/>
            <c:spPr>
              <a:solidFill>
                <a:srgbClr val="EDBB72"/>
              </a:solidFill>
              <a:ln w="3175">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666699"/>
                    </a:solidFill>
                    <a:latin typeface="微软雅黑" panose="020B0503020204020204" charset="-122"/>
                    <a:ea typeface="微软雅黑" panose="020B0503020204020204" charset="-122"/>
                    <a:cs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 在 文档 1]Sheet1'!$D$9:$E$9</c:f>
              <c:strCache>
                <c:ptCount val="2"/>
                <c:pt idx="0">
                  <c:v>基本支出</c:v>
                </c:pt>
                <c:pt idx="1">
                  <c:v>项目支出</c:v>
                </c:pt>
              </c:strCache>
            </c:strRef>
          </c:cat>
          <c:val>
            <c:numRef>
              <c:f>'[图表 在 文档 1]Sheet1'!$D$10:$E$10</c:f>
              <c:numCache>
                <c:formatCode>General</c:formatCode>
                <c:ptCount val="2"/>
                <c:pt idx="0">
                  <c:v>20939100</c:v>
                </c:pt>
                <c:pt idx="1">
                  <c:v>9496600</c:v>
                </c:pt>
              </c:numCache>
            </c:numRef>
          </c:val>
        </c:ser>
        <c:dLbls>
          <c:showLegendKey val="0"/>
          <c:showVal val="0"/>
          <c:showCatName val="0"/>
          <c:showSerName val="0"/>
          <c:showPercent val="1"/>
          <c:showBubbleSize val="0"/>
          <c:showLeaderLines val="1"/>
        </c:dLbls>
        <c:firstSliceAng val="32"/>
      </c:pieChart>
      <c:spPr>
        <a:noFill/>
        <a:ln w="3175">
          <a:noFill/>
        </a:ln>
        <a:effectLst/>
      </c:spPr>
    </c:plotArea>
    <c:legend>
      <c:legendPos val="r"/>
      <c:layout>
        <c:manualLayout>
          <c:xMode val="edge"/>
          <c:yMode val="edge"/>
          <c:x val="0.0416666836208838"/>
          <c:y val="0.421321102304536"/>
          <c:w val="0.0833333672417673"/>
          <c:h val="0.357869129065901"/>
        </c:manualLayout>
      </c:layout>
      <c:overlay val="0"/>
      <c:spPr>
        <a:noFill/>
        <a:ln>
          <a:noFill/>
        </a:ln>
        <a:effectLst/>
      </c:spPr>
      <c:txPr>
        <a:bodyPr rot="0" spcFirstLastPara="0" vertOverflow="ellipsis" vert="horz" wrap="square" anchor="ctr" anchorCtr="1"/>
        <a:lstStyle/>
        <a:p>
          <a:pPr>
            <a:defRPr lang="zh-CN" sz="825" b="0" i="0" u="none" strike="noStrike" kern="1200" baseline="0">
              <a:solidFill>
                <a:srgbClr val="808080"/>
              </a:solidFill>
              <a:latin typeface="微软雅黑" panose="020B0503020204020204" charset="-122"/>
              <a:ea typeface="微软雅黑" panose="020B0503020204020204" charset="-122"/>
              <a:cs typeface="微软雅黑" panose="020B0503020204020204" charset="-122"/>
            </a:defRPr>
          </a:pPr>
        </a:p>
      </c:txPr>
    </c:legend>
    <c:plotVisOnly val="1"/>
    <c:dispBlanksAs val="zero"/>
    <c:showDLblsOverMax val="0"/>
  </c:chart>
  <c:spPr>
    <a:solidFill>
      <a:schemeClr val="bg1"/>
    </a:solidFill>
    <a:ln w="9525" cap="flat" cmpd="sng" algn="ctr">
      <a:solidFill>
        <a:srgbClr val="6D8B94"/>
      </a:solidFill>
      <a:prstDash val="solid"/>
      <a:round/>
    </a:ln>
    <a:effectLst>
      <a:outerShdw blurRad="63500" dist="37357" dir="2700000" sx="0" sy="0" rotWithShape="0">
        <a:scrgbClr r="0" g="0" b="0"/>
      </a:outerShdw>
    </a:effectLst>
  </c:spPr>
  <c:txPr>
    <a:bodyPr/>
    <a:lstStyle/>
    <a:p>
      <a:pPr>
        <a:defRPr lang="zh-CN" sz="1000" b="0" i="0" u="none" strike="noStrike" baseline="0">
          <a:solidFill>
            <a:srgbClr val="000000"/>
          </a:solidFill>
          <a:latin typeface="微软雅黑" panose="020B0503020204020204" charset="-122"/>
          <a:ea typeface="微软雅黑" panose="020B0503020204020204" charset="-122"/>
          <a:cs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文档 1]Sheet1'!$C$7:$D$7</c:f>
              <c:strCache>
                <c:ptCount val="2"/>
                <c:pt idx="0">
                  <c:v>2020年</c:v>
                </c:pt>
                <c:pt idx="1">
                  <c:v>2021年</c:v>
                </c:pt>
              </c:strCache>
            </c:strRef>
          </c:cat>
          <c:val>
            <c:numRef>
              <c:f>'[图表 在 文档 1]Sheet1'!$C$8:$D$8</c:f>
              <c:numCache>
                <c:formatCode>General</c:formatCode>
                <c:ptCount val="2"/>
                <c:pt idx="0">
                  <c:v>2846.8</c:v>
                </c:pt>
                <c:pt idx="1">
                  <c:v>3463.52</c:v>
                </c:pt>
              </c:numCache>
            </c:numRef>
          </c:val>
        </c:ser>
        <c:dLbls>
          <c:showLegendKey val="0"/>
          <c:showVal val="1"/>
          <c:showCatName val="0"/>
          <c:showSerName val="0"/>
          <c:showPercent val="0"/>
          <c:showBubbleSize val="0"/>
        </c:dLbls>
        <c:gapWidth val="219"/>
        <c:overlap val="-27"/>
        <c:axId val="84515072"/>
        <c:axId val="84525056"/>
      </c:barChart>
      <c:catAx>
        <c:axId val="8451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84525056"/>
        <c:crosses val="autoZero"/>
        <c:auto val="1"/>
        <c:lblAlgn val="ctr"/>
        <c:lblOffset val="100"/>
        <c:noMultiLvlLbl val="0"/>
      </c:catAx>
      <c:valAx>
        <c:axId val="84525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84515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a:t>一般公共预算财政拨款支出决算变动情况</a:t>
            </a:r>
            <a:endParaRPr lang="zh-CN" altLang="en-US"/>
          </a:p>
        </c:rich>
      </c:tx>
      <c:layout/>
      <c:overlay val="0"/>
      <c:spPr>
        <a:noFill/>
        <a:ln>
          <a:noFill/>
        </a:ln>
        <a:effectLst/>
      </c:spPr>
    </c:title>
    <c:autoTitleDeleted val="0"/>
    <c:plotArea>
      <c:layout>
        <c:manualLayout>
          <c:layoutTarget val="inner"/>
          <c:xMode val="edge"/>
          <c:yMode val="edge"/>
          <c:x val="0.132162073490814"/>
          <c:y val="0.142824074074074"/>
          <c:w val="0.865060148731409"/>
          <c:h val="0.67834098862642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文档 1]Sheet1'!$C$5:$D$5</c:f>
              <c:strCache>
                <c:ptCount val="2"/>
                <c:pt idx="0">
                  <c:v>2020年</c:v>
                </c:pt>
                <c:pt idx="1">
                  <c:v>2021年</c:v>
                </c:pt>
              </c:strCache>
            </c:strRef>
          </c:cat>
          <c:val>
            <c:numRef>
              <c:f>'[图表 在 文档 1]Sheet1'!$C$6:$D$6</c:f>
              <c:numCache>
                <c:formatCode>General</c:formatCode>
                <c:ptCount val="2"/>
                <c:pt idx="0">
                  <c:v>2136.8</c:v>
                </c:pt>
                <c:pt idx="1">
                  <c:v>3043.57</c:v>
                </c:pt>
              </c:numCache>
            </c:numRef>
          </c:val>
        </c:ser>
        <c:dLbls>
          <c:showLegendKey val="0"/>
          <c:showVal val="1"/>
          <c:showCatName val="0"/>
          <c:showSerName val="0"/>
          <c:showPercent val="0"/>
          <c:showBubbleSize val="0"/>
        </c:dLbls>
        <c:gapWidth val="219"/>
        <c:overlap val="-27"/>
        <c:axId val="107017728"/>
        <c:axId val="107019264"/>
      </c:barChart>
      <c:catAx>
        <c:axId val="10701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07019264"/>
        <c:crosses val="autoZero"/>
        <c:auto val="1"/>
        <c:lblAlgn val="ctr"/>
        <c:lblOffset val="100"/>
        <c:noMultiLvlLbl val="0"/>
      </c:catAx>
      <c:valAx>
        <c:axId val="107019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07017728"/>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00" b="0" i="0" u="none" strike="noStrike" kern="1200" baseline="0">
                <a:solidFill>
                  <a:srgbClr val="000000"/>
                </a:solidFill>
                <a:latin typeface="微软雅黑" panose="020B0503020204020204" charset="-122"/>
                <a:ea typeface="微软雅黑" panose="020B0503020204020204" charset="-122"/>
                <a:cs typeface="微软雅黑" panose="020B0503020204020204" charset="-122"/>
              </a:defRPr>
            </a:pPr>
            <a:r>
              <a:rPr lang="zh-CN" altLang="en-US"/>
              <a:t>一般公共预算财政拨款支出决算结构</a:t>
            </a:r>
            <a:endParaRPr lang="zh-CN" altLang="en-US"/>
          </a:p>
        </c:rich>
      </c:tx>
      <c:layout/>
      <c:overlay val="0"/>
      <c:spPr>
        <a:noFill/>
        <a:ln>
          <a:noFill/>
        </a:ln>
        <a:effectLst/>
      </c:spPr>
    </c:title>
    <c:autoTitleDeleted val="0"/>
    <c:plotArea>
      <c:layout>
        <c:manualLayout>
          <c:layoutTarget val="inner"/>
          <c:xMode val="edge"/>
          <c:yMode val="edge"/>
          <c:x val="0.317195325542571"/>
          <c:y val="0.335026418699994"/>
          <c:w val="0.370617696160269"/>
          <c:h val="0.563453522359076"/>
        </c:manualLayout>
      </c:layout>
      <c:pieChart>
        <c:varyColors val="1"/>
        <c:ser>
          <c:idx val="0"/>
          <c:order val="0"/>
          <c:spPr>
            <a:pattFill prst="pct5">
              <a:fgClr>
                <a:schemeClr val="accent1"/>
              </a:fgClr>
              <a:bgClr>
                <a:schemeClr val="bg1"/>
              </a:bgClr>
            </a:pattFill>
            <a:ln w="12700">
              <a:solidFill>
                <a:schemeClr val="bg1"/>
              </a:solidFill>
            </a:ln>
            <a:effectLst>
              <a:outerShdw blurRad="63500" sx="102000" sy="102000" algn="ctr" rotWithShape="0">
                <a:prstClr val="black">
                  <a:alpha val="40000"/>
                </a:prstClr>
              </a:outerShdw>
            </a:effectLst>
          </c:spPr>
          <c:explosion val="0"/>
          <c:dPt>
            <c:idx val="0"/>
            <c:bubble3D val="0"/>
            <c:spPr>
              <a:solidFill>
                <a:srgbClr val="1C2B56"/>
              </a:solidFill>
              <a:ln w="12700">
                <a:solidFill>
                  <a:schemeClr val="bg1"/>
                </a:solidFill>
              </a:ln>
              <a:effectLst>
                <a:outerShdw blurRad="63500" sx="102000" sy="102000" algn="ctr" rotWithShape="0">
                  <a:prstClr val="black">
                    <a:alpha val="40000"/>
                  </a:prstClr>
                </a:outerShdw>
              </a:effectLst>
            </c:spPr>
          </c:dPt>
          <c:dPt>
            <c:idx val="1"/>
            <c:bubble3D val="0"/>
            <c:spPr>
              <a:solidFill>
                <a:srgbClr val="35B3C1"/>
              </a:solidFill>
              <a:ln w="12700">
                <a:solidFill>
                  <a:schemeClr val="bg1"/>
                </a:solidFill>
              </a:ln>
              <a:effectLst>
                <a:outerShdw blurRad="63500" sx="102000" sy="102000" algn="ctr" rotWithShape="0">
                  <a:prstClr val="black">
                    <a:alpha val="40000"/>
                  </a:prstClr>
                </a:outerShdw>
              </a:effectLst>
            </c:spPr>
          </c:dPt>
          <c:dPt>
            <c:idx val="2"/>
            <c:bubble3D val="0"/>
            <c:spPr>
              <a:solidFill>
                <a:srgbClr val="3A579D"/>
              </a:solidFill>
              <a:ln w="12700">
                <a:solidFill>
                  <a:schemeClr val="bg1"/>
                </a:solidFill>
              </a:ln>
              <a:effectLst>
                <a:outerShdw blurRad="63500" sx="102000" sy="102000" algn="ctr" rotWithShape="0">
                  <a:prstClr val="black">
                    <a:alpha val="40000"/>
                  </a:prstClr>
                </a:outerShdw>
              </a:effectLst>
            </c:spPr>
          </c:dPt>
          <c:dPt>
            <c:idx val="3"/>
            <c:bubble3D val="0"/>
            <c:spPr>
              <a:solidFill>
                <a:srgbClr val="3B7B9B"/>
              </a:solidFill>
              <a:ln w="12700">
                <a:solidFill>
                  <a:schemeClr val="bg1"/>
                </a:solidFill>
              </a:ln>
              <a:effectLst>
                <a:outerShdw blurRad="63500" sx="102000" sy="102000" algn="ctr" rotWithShape="0">
                  <a:prstClr val="black">
                    <a:alpha val="40000"/>
                  </a:prstClr>
                </a:outerShdw>
              </a:effectLst>
            </c:spPr>
          </c:dPt>
          <c:dLbls>
            <c:dLbl>
              <c:idx val="0"/>
              <c:layout/>
              <c:numFmt formatCode="General" sourceLinked="1"/>
              <c:spPr>
                <a:solidFill>
                  <a:srgbClr val="1C2B56"/>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1"/>
              <c:layout/>
              <c:numFmt formatCode="General" sourceLinked="1"/>
              <c:spPr>
                <a:solidFill>
                  <a:srgbClr val="35B3C1"/>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3"/>
              <c:layout/>
              <c:numFmt formatCode="General" sourceLinked="1"/>
              <c:spPr>
                <a:solidFill>
                  <a:srgbClr val="3B7B9B"/>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defRPr>
                  </a:pPr>
                </a:p>
              </c:txPr>
              <c:dLblPos val="ctr"/>
              <c:showLegendKey val="0"/>
              <c:showVal val="0"/>
              <c:showCatName val="0"/>
              <c:showSerName val="0"/>
              <c:showPercent val="1"/>
              <c:showBubbleSize val="0"/>
              <c:extLst>
                <c:ext xmlns:c15="http://schemas.microsoft.com/office/drawing/2012/chart" uri="{CE6537A1-D6FC-4f65-9D91-7224C49458BB}">
                  <c15:layout/>
                </c:ext>
              </c:extLst>
            </c:dLbl>
            <c:spPr>
              <a:solidFill>
                <a:srgbClr val="3A579D"/>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808080"/>
                      </a:solidFill>
                      <a:prstDash val="solid"/>
                      <a:round/>
                    </a:ln>
                  </c:spPr>
                </c15:leaderLines>
              </c:ext>
            </c:extLst>
          </c:dLbls>
          <c:cat>
            <c:strRef>
              <c:f>'[图表 在 文档 1]Sheet1'!$F$10:$I$10</c:f>
              <c:strCache>
                <c:ptCount val="4"/>
                <c:pt idx="0">
                  <c:v>教育支出</c:v>
                </c:pt>
                <c:pt idx="1">
                  <c:v>社会保障和就业（类）</c:v>
                </c:pt>
                <c:pt idx="2">
                  <c:v>卫生健康支出</c:v>
                </c:pt>
                <c:pt idx="3">
                  <c:v>住房保障支出</c:v>
                </c:pt>
              </c:strCache>
            </c:strRef>
          </c:cat>
          <c:val>
            <c:numRef>
              <c:f>'[图表 在 文档 1]Sheet1'!$F$11:$I$11</c:f>
              <c:numCache>
                <c:formatCode>General</c:formatCode>
                <c:ptCount val="4"/>
                <c:pt idx="0">
                  <c:v>25377800</c:v>
                </c:pt>
                <c:pt idx="1">
                  <c:v>2575400</c:v>
                </c:pt>
                <c:pt idx="2">
                  <c:v>856700</c:v>
                </c:pt>
                <c:pt idx="3">
                  <c:v>1625800</c:v>
                </c:pt>
              </c:numCache>
            </c:numRef>
          </c:val>
        </c:ser>
        <c:dLbls>
          <c:showLegendKey val="0"/>
          <c:showVal val="0"/>
          <c:showCatName val="0"/>
          <c:showSerName val="0"/>
          <c:showPercent val="1"/>
          <c:showBubbleSize val="0"/>
          <c:showLeaderLines val="1"/>
        </c:dLbls>
        <c:firstSliceAng val="221"/>
      </c:pieChart>
      <c:spPr>
        <a:noFill/>
        <a:ln>
          <a:noFill/>
        </a:ln>
        <a:effectLst/>
      </c:spPr>
    </c:plotArea>
    <c:legend>
      <c:legendPos val="r"/>
      <c:layout>
        <c:manualLayout>
          <c:xMode val="edge"/>
          <c:yMode val="edge"/>
          <c:x val="0.677796327212022"/>
          <c:y val="0.487311154472714"/>
          <c:w val="0.293823038397329"/>
          <c:h val="0.256345971884086"/>
        </c:manualLayout>
      </c:layout>
      <c:overlay val="0"/>
      <c:spPr>
        <a:noFill/>
        <a:ln>
          <a:noFill/>
        </a:ln>
        <a:effectLst/>
      </c:spPr>
      <c:txPr>
        <a:bodyPr rot="0" spcFirstLastPara="0" vertOverflow="ellipsis" vert="horz" wrap="square" anchor="ctr" anchorCtr="1"/>
        <a:lstStyle/>
        <a:p>
          <a:pPr>
            <a:defRPr lang="zh-CN" sz="825" b="0" i="0" u="none" strike="noStrike" kern="1200" baseline="0">
              <a:solidFill>
                <a:srgbClr val="000000"/>
              </a:solidFill>
              <a:latin typeface="微软雅黑" panose="020B0503020204020204" charset="-122"/>
              <a:ea typeface="微软雅黑" panose="020B0503020204020204" charset="-122"/>
              <a:cs typeface="微软雅黑" panose="020B0503020204020204" charset="-122"/>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sz="900" b="0" i="0" u="none" strike="noStrike" baseline="0">
          <a:solidFill>
            <a:srgbClr val="000000"/>
          </a:solidFill>
          <a:latin typeface="微软雅黑" panose="020B0503020204020204" charset="-122"/>
          <a:ea typeface="微软雅黑" panose="020B0503020204020204" charset="-122"/>
          <a:cs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00" b="0" i="0" u="none" strike="noStrike" kern="1200" baseline="0">
                <a:solidFill>
                  <a:srgbClr val="000000"/>
                </a:solidFill>
                <a:latin typeface="微软雅黑" panose="020B0503020204020204" charset="-122"/>
                <a:ea typeface="微软雅黑" panose="020B0503020204020204" charset="-122"/>
                <a:cs typeface="微软雅黑" panose="020B0503020204020204" charset="-122"/>
              </a:defRPr>
            </a:pPr>
            <a:r>
              <a:rPr lang="zh-CN" altLang="en-US"/>
              <a:t>“三公”经费财政拨款支出结构</a:t>
            </a:r>
            <a:endParaRPr lang="zh-CN" altLang="en-US"/>
          </a:p>
        </c:rich>
      </c:tx>
      <c:layout>
        <c:manualLayout>
          <c:xMode val="edge"/>
          <c:yMode val="edge"/>
          <c:x val="0.178848283499448"/>
          <c:y val="0.0377121307353866"/>
        </c:manualLayout>
      </c:layout>
      <c:overlay val="0"/>
      <c:spPr>
        <a:noFill/>
        <a:ln>
          <a:noFill/>
        </a:ln>
        <a:effectLst/>
      </c:spPr>
    </c:title>
    <c:autoTitleDeleted val="0"/>
    <c:plotArea>
      <c:layout>
        <c:manualLayout>
          <c:layoutTarget val="inner"/>
          <c:xMode val="edge"/>
          <c:yMode val="edge"/>
          <c:x val="0.317195325542571"/>
          <c:y val="0.335026418699993"/>
          <c:w val="0.370617696160269"/>
          <c:h val="0.563453522359076"/>
        </c:manualLayout>
      </c:layout>
      <c:pieChart>
        <c:varyColors val="1"/>
        <c:ser>
          <c:idx val="0"/>
          <c:order val="0"/>
          <c:spPr>
            <a:pattFill prst="pct5">
              <a:fgClr>
                <a:schemeClr val="accent1"/>
              </a:fgClr>
              <a:bgClr>
                <a:schemeClr val="bg1"/>
              </a:bgClr>
            </a:pattFill>
            <a:ln w="12700">
              <a:solidFill>
                <a:schemeClr val="bg1"/>
              </a:solidFill>
            </a:ln>
            <a:effectLst>
              <a:outerShdw blurRad="63500" sx="102000" sy="102000" algn="ctr" rotWithShape="0">
                <a:prstClr val="black">
                  <a:alpha val="40000"/>
                </a:prstClr>
              </a:outerShdw>
            </a:effectLst>
          </c:spPr>
          <c:explosion val="0"/>
          <c:dPt>
            <c:idx val="0"/>
            <c:bubble3D val="0"/>
            <c:spPr>
              <a:solidFill>
                <a:srgbClr val="1C2B56"/>
              </a:solidFill>
              <a:ln w="12700">
                <a:solidFill>
                  <a:schemeClr val="bg1"/>
                </a:solidFill>
              </a:ln>
              <a:effectLst>
                <a:outerShdw blurRad="63500" sx="102000" sy="102000" algn="ctr" rotWithShape="0">
                  <a:prstClr val="black">
                    <a:alpha val="40000"/>
                  </a:prstClr>
                </a:outerShdw>
              </a:effectLst>
            </c:spPr>
          </c:dPt>
          <c:dPt>
            <c:idx val="1"/>
            <c:bubble3D val="0"/>
            <c:spPr>
              <a:solidFill>
                <a:srgbClr val="35B3C1"/>
              </a:solidFill>
              <a:ln w="12700">
                <a:solidFill>
                  <a:schemeClr val="bg1"/>
                </a:solidFill>
              </a:ln>
              <a:effectLst>
                <a:outerShdw blurRad="63500" sx="102000" sy="102000" algn="ctr" rotWithShape="0">
                  <a:prstClr val="black">
                    <a:alpha val="40000"/>
                  </a:prstClr>
                </a:outerShdw>
              </a:effectLst>
            </c:spPr>
          </c:dPt>
          <c:dPt>
            <c:idx val="2"/>
            <c:bubble3D val="0"/>
            <c:spPr>
              <a:solidFill>
                <a:srgbClr val="3A579D"/>
              </a:solidFill>
              <a:ln w="12700">
                <a:solidFill>
                  <a:schemeClr val="bg1"/>
                </a:solidFill>
              </a:ln>
              <a:effectLst>
                <a:outerShdw blurRad="63500" sx="102000" sy="102000" algn="ctr" rotWithShape="0">
                  <a:prstClr val="black">
                    <a:alpha val="40000"/>
                  </a:prstClr>
                </a:outerShdw>
              </a:effectLst>
            </c:spPr>
          </c:dPt>
          <c:dLbls>
            <c:dLbl>
              <c:idx val="0"/>
              <c:layout/>
              <c:numFmt formatCode="General" sourceLinked="1"/>
              <c:spPr>
                <a:solidFill>
                  <a:srgbClr val="1C2B56"/>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1"/>
              <c:layout/>
              <c:numFmt formatCode="General" sourceLinked="1"/>
              <c:spPr>
                <a:solidFill>
                  <a:srgbClr val="35B3C1"/>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defRPr>
                  </a:pPr>
                </a:p>
              </c:txPr>
              <c:dLblPos val="bestFit"/>
              <c:showLegendKey val="0"/>
              <c:showVal val="0"/>
              <c:showCatName val="0"/>
              <c:showSerName val="1"/>
              <c:showPercent val="1"/>
              <c:showBubbleSize val="0"/>
              <c:extLst>
                <c:ext xmlns:c15="http://schemas.microsoft.com/office/drawing/2012/chart" uri="{CE6537A1-D6FC-4f65-9D91-7224C49458BB}"/>
              </c:extLst>
            </c:dLbl>
            <c:spPr>
              <a:solidFill>
                <a:srgbClr val="3A579D"/>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808080"/>
                      </a:solidFill>
                      <a:prstDash val="solid"/>
                      <a:round/>
                    </a:ln>
                  </c:spPr>
                </c15:leaderLines>
              </c:ext>
            </c:extLst>
          </c:dLbls>
          <c:cat>
            <c:strRef>
              <c:f>'[图表 在 文档 2]Sheet1'!$F$10:$H$10</c:f>
              <c:strCache>
                <c:ptCount val="3"/>
                <c:pt idx="0">
                  <c:v>因公出国（境）</c:v>
                </c:pt>
                <c:pt idx="1">
                  <c:v>公务用车购置及运行维护</c:v>
                </c:pt>
                <c:pt idx="2">
                  <c:v>公务接待费</c:v>
                </c:pt>
              </c:strCache>
            </c:strRef>
          </c:cat>
          <c:val>
            <c:numRef>
              <c:f>'[图表 在 文档 2]Sheet1'!$F$11:$H$11</c:f>
              <c:numCache>
                <c:formatCode>General</c:formatCode>
                <c:ptCount val="3"/>
                <c:pt idx="0">
                  <c:v>0</c:v>
                </c:pt>
                <c:pt idx="1">
                  <c:v>0</c:v>
                </c:pt>
                <c:pt idx="2">
                  <c:v>0.15</c:v>
                </c:pt>
              </c:numCache>
            </c:numRef>
          </c:val>
        </c:ser>
        <c:dLbls>
          <c:showLegendKey val="0"/>
          <c:showVal val="0"/>
          <c:showCatName val="0"/>
          <c:showSerName val="0"/>
          <c:showPercent val="1"/>
          <c:showBubbleSize val="0"/>
          <c:showLeaderLines val="1"/>
        </c:dLbls>
        <c:firstSliceAng val="221"/>
      </c:pieChart>
      <c:spPr>
        <a:noFill/>
        <a:ln>
          <a:noFill/>
        </a:ln>
        <a:effectLst/>
      </c:spPr>
    </c:plotArea>
    <c:legend>
      <c:legendPos val="r"/>
      <c:layout>
        <c:manualLayout>
          <c:xMode val="edge"/>
          <c:yMode val="edge"/>
          <c:x val="0.677796327212022"/>
          <c:y val="0.487311154472714"/>
          <c:w val="0.293823038397329"/>
          <c:h val="0.256345971884086"/>
        </c:manualLayout>
      </c:layout>
      <c:overlay val="0"/>
      <c:spPr>
        <a:noFill/>
        <a:ln>
          <a:noFill/>
        </a:ln>
        <a:effectLst/>
      </c:spPr>
      <c:txPr>
        <a:bodyPr rot="0" spcFirstLastPara="0" vertOverflow="ellipsis" vert="horz" wrap="square" anchor="ctr" anchorCtr="1"/>
        <a:lstStyle/>
        <a:p>
          <a:pPr>
            <a:defRPr lang="zh-CN" sz="825" b="0" i="0" u="none" strike="noStrike" kern="1200" baseline="0">
              <a:solidFill>
                <a:srgbClr val="000000"/>
              </a:solidFill>
              <a:latin typeface="微软雅黑" panose="020B0503020204020204" charset="-122"/>
              <a:ea typeface="微软雅黑" panose="020B0503020204020204" charset="-122"/>
              <a:cs typeface="微软雅黑" panose="020B0503020204020204" charset="-122"/>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sz="900" b="0" i="0" u="none" strike="noStrike" baseline="0">
          <a:solidFill>
            <a:srgbClr val="000000"/>
          </a:solidFill>
          <a:latin typeface="微软雅黑" panose="020B0503020204020204" charset="-122"/>
          <a:ea typeface="微软雅黑" panose="020B0503020204020204" charset="-122"/>
          <a:cs typeface="微软雅黑" panose="020B0503020204020204"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4B2C9-3115-4D21-A8C2-0C8B3BB6E71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13449</Words>
  <Characters>14331</Characters>
  <Lines>107</Lines>
  <Paragraphs>30</Paragraphs>
  <TotalTime>2145</TotalTime>
  <ScaleCrop>false</ScaleCrop>
  <LinksUpToDate>false</LinksUpToDate>
  <CharactersWithSpaces>14448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Sung</cp:lastModifiedBy>
  <cp:lastPrinted>2022-08-06T02:23:00Z</cp:lastPrinted>
  <dcterms:modified xsi:type="dcterms:W3CDTF">2023-07-12T08:08:29Z</dcterms:modified>
  <dc:title>四川省***</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18C4299B72334D3095585539B3212D20</vt:lpwstr>
  </property>
</Properties>
</file>