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06267"/>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2021年</w:t>
      </w:r>
      <w:r>
        <w:rPr>
          <w:rFonts w:hint="eastAsia" w:ascii="方正小标宋简体" w:hAnsi="方正小标宋简体" w:eastAsia="方正小标宋简体" w:cs="方正小标宋简体"/>
          <w:sz w:val="72"/>
          <w:szCs w:val="72"/>
          <w:lang w:eastAsia="zh-CN"/>
        </w:rPr>
        <w:t>度</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14563610"/>
      <w:r>
        <w:rPr>
          <w:rFonts w:hint="eastAsia" w:ascii="方正小标宋简体" w:hAnsi="方正小标宋简体" w:eastAsia="方正小标宋简体" w:cs="方正小标宋简体"/>
          <w:sz w:val="72"/>
          <w:szCs w:val="72"/>
        </w:rPr>
        <w:t>广元市零八一中学</w:t>
      </w:r>
      <w:bookmarkEnd w:id="1"/>
      <w:bookmarkStart w:id="2" w:name="_Toc114563611"/>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2"/>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1"/>
      </w:pPr>
      <w:r>
        <w:rPr>
          <w:rFonts w:hint="eastAsia"/>
        </w:rPr>
        <w:t>公开时间：2022年10月</w:t>
      </w:r>
      <w:r>
        <w:rPr>
          <w:rFonts w:hint="eastAsia"/>
          <w:lang w:val="en-US" w:eastAsia="zh-CN"/>
        </w:rPr>
        <w:t>9</w:t>
      </w:r>
      <w:r>
        <w:rPr>
          <w:rFonts w:hint="eastAsia"/>
        </w:rPr>
        <w:t>日</w:t>
      </w:r>
    </w:p>
    <w:sdt>
      <w:sdtPr>
        <w:rPr>
          <w:lang w:val="zh-CN"/>
        </w:rPr>
        <w:id w:val="1794719471"/>
        <w:docPartObj>
          <w:docPartGallery w:val="Table of Contents"/>
          <w:docPartUnique/>
        </w:docPartObj>
      </w:sdtPr>
      <w:sdtEndPr>
        <w:rPr>
          <w:rFonts w:ascii="Times New Roman" w:hAnsi="Times New Roman" w:eastAsia="宋体" w:cs="Times New Roman"/>
          <w:color w:val="auto"/>
          <w:kern w:val="2"/>
          <w:sz w:val="21"/>
          <w:szCs w:val="24"/>
          <w:lang w:val="zh-CN"/>
        </w:rPr>
      </w:sdtEndPr>
      <w:sdtContent>
        <w:p>
          <w:pPr>
            <w:pStyle w:val="33"/>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"_Toc114563612" </w:instrText>
          </w:r>
          <w:r>
            <w:fldChar w:fldCharType="separate"/>
          </w:r>
          <w:r>
            <w:rPr>
              <w:rStyle w:val="15"/>
              <w:rFonts w:hint="eastAsia" w:ascii="黑体" w:hAnsi="黑体" w:eastAsia="黑体"/>
            </w:rPr>
            <w:t>第一部分</w:t>
          </w:r>
          <w:r>
            <w:rPr>
              <w:rStyle w:val="15"/>
              <w:rFonts w:ascii="黑体" w:hAnsi="黑体" w:eastAsia="黑体"/>
            </w:rPr>
            <w:t xml:space="preserve"> </w:t>
          </w:r>
          <w:r>
            <w:rPr>
              <w:rStyle w:val="15"/>
              <w:rFonts w:hint="eastAsia" w:ascii="黑体" w:hAnsi="黑体" w:eastAsia="黑体"/>
            </w:rPr>
            <w:t>单位概况</w:t>
          </w:r>
          <w:r>
            <w:tab/>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"_Toc114563613" </w:instrText>
          </w:r>
          <w:r>
            <w:fldChar w:fldCharType="separate"/>
          </w:r>
          <w:r>
            <w:rPr>
              <w:rStyle w:val="15"/>
              <w:rFonts w:hint="eastAsia" w:ascii="黑体" w:hAnsi="黑体" w:eastAsia="黑体"/>
            </w:rPr>
            <w:t>一、 职能简介</w:t>
          </w:r>
          <w:r>
            <w:tab/>
          </w:r>
          <w:r>
            <w:fldChar w:fldCharType="begin"/>
          </w:r>
          <w:r>
            <w:instrText xml:space="preserve"> PAGEREF _Toc114563613 \h </w:instrText>
          </w:r>
          <w:r>
            <w:fldChar w:fldCharType="separate"/>
          </w:r>
          <w:r>
            <w:t>3</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"_Toc114563614" </w:instrText>
          </w:r>
          <w:r>
            <w:fldChar w:fldCharType="separate"/>
          </w:r>
          <w:r>
            <w:rPr>
              <w:rStyle w:val="15"/>
              <w:rFonts w:hint="eastAsia" w:ascii="黑体" w:hAnsi="黑体" w:eastAsia="黑体"/>
            </w:rPr>
            <w:t>二、</w:t>
          </w:r>
          <w:r>
            <w:rPr>
              <w:rStyle w:val="15"/>
              <w:rFonts w:ascii="黑体" w:hAnsi="黑体" w:eastAsia="黑体"/>
            </w:rPr>
            <w:t>2021</w:t>
          </w:r>
          <w:r>
            <w:rPr>
              <w:rStyle w:val="15"/>
              <w:rFonts w:hint="eastAsia" w:ascii="黑体" w:hAnsi="黑体" w:eastAsia="黑体"/>
            </w:rPr>
            <w:t>年重点工作完成情况</w:t>
          </w:r>
          <w:r>
            <w:tab/>
          </w:r>
          <w:r>
            <w:fldChar w:fldCharType="begin"/>
          </w:r>
          <w:r>
            <w:instrText xml:space="preserve"> PAGEREF _Toc114563614 \h </w:instrText>
          </w:r>
          <w:r>
            <w:fldChar w:fldCharType="separate"/>
          </w:r>
          <w:r>
            <w:t>3</w:t>
          </w:r>
          <w:r>
            <w:fldChar w:fldCharType="end"/>
          </w:r>
          <w:r>
            <w:fldChar w:fldCharType="end"/>
          </w:r>
        </w:p>
        <w:p>
          <w:pPr>
            <w:pStyle w:val="11"/>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 w:val="21"/>
              <w:szCs w:val="22"/>
            </w:rPr>
          </w:pPr>
          <w:r>
            <w:fldChar w:fldCharType="begin"/>
          </w:r>
          <w:r>
            <w:instrText xml:space="preserve"> HYPERLINK \l "_Toc114563615" </w:instrText>
          </w:r>
          <w:r>
            <w:fldChar w:fldCharType="separate"/>
          </w:r>
          <w:r>
            <w:rPr>
              <w:rStyle w:val="15"/>
              <w:rFonts w:hint="eastAsia" w:ascii="黑体" w:hAnsi="黑体" w:eastAsia="黑体"/>
            </w:rPr>
            <w:t>第二部分</w:t>
          </w:r>
          <w:r>
            <w:rPr>
              <w:rStyle w:val="15"/>
              <w:rFonts w:ascii="黑体" w:hAnsi="黑体" w:eastAsia="黑体"/>
            </w:rPr>
            <w:t xml:space="preserve"> 2021</w:t>
          </w:r>
          <w:r>
            <w:rPr>
              <w:rStyle w:val="15"/>
              <w:rFonts w:hint="eastAsia" w:ascii="黑体" w:hAnsi="黑体" w:eastAsia="黑体"/>
            </w:rPr>
            <w:t>年度单位决算情况说明</w:t>
          </w:r>
          <w:r>
            <w:tab/>
          </w:r>
          <w:r>
            <w:fldChar w:fldCharType="begin"/>
          </w:r>
          <w:r>
            <w:instrText xml:space="preserve"> PAGEREF _Toc114563615 \h </w:instrText>
          </w:r>
          <w:r>
            <w:fldChar w:fldCharType="separate"/>
          </w:r>
          <w:r>
            <w:t>4</w:t>
          </w:r>
          <w:r>
            <w:fldChar w:fldCharType="end"/>
          </w:r>
          <w:r>
            <w:fldChar w:fldCharType="end"/>
          </w:r>
        </w:p>
        <w:p>
          <w:pPr>
            <w:pStyle w:val="12"/>
            <w:pageBreakBefore w:val="0"/>
            <w:tabs>
              <w:tab w:val="left" w:pos="1260"/>
            </w:tabs>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"_Toc114563616" </w:instrText>
          </w:r>
          <w:r>
            <w:fldChar w:fldCharType="separate"/>
          </w:r>
          <w:r>
            <w:rPr>
              <w:rStyle w:val="15"/>
              <w:rFonts w:hint="eastAsia" w:ascii="黑体" w:hAnsi="黑体" w:eastAsia="黑体" w:cstheme="majorBidi"/>
              <w:bCs/>
            </w:rPr>
            <w:t>一、</w:t>
          </w:r>
          <w:r>
            <w:rPr>
              <w:rStyle w:val="15"/>
              <w:rFonts w:hint="eastAsia" w:ascii="黑体" w:hAnsi="黑体" w:eastAsia="黑体"/>
            </w:rPr>
            <w:t>收</w:t>
          </w:r>
          <w:r>
            <w:rPr>
              <w:rStyle w:val="15"/>
              <w:rFonts w:hint="eastAsia" w:ascii="黑体" w:hAnsi="黑体" w:eastAsia="黑体" w:cstheme="majorBidi"/>
              <w:bCs/>
            </w:rPr>
            <w:t>入支出决算总体情况说明</w:t>
          </w:r>
          <w:r>
            <w:tab/>
          </w:r>
          <w:r>
            <w:fldChar w:fldCharType="begin"/>
          </w:r>
          <w:r>
            <w:instrText xml:space="preserve"> PAGEREF _Toc114563616 \h </w:instrText>
          </w:r>
          <w:r>
            <w:fldChar w:fldCharType="separate"/>
          </w:r>
          <w:r>
            <w:t>4</w:t>
          </w:r>
          <w:r>
            <w:fldChar w:fldCharType="end"/>
          </w:r>
          <w:r>
            <w:fldChar w:fldCharType="end"/>
          </w:r>
        </w:p>
        <w:p>
          <w:pPr>
            <w:pStyle w:val="12"/>
            <w:pageBreakBefore w:val="0"/>
            <w:tabs>
              <w:tab w:val="left" w:pos="1260"/>
            </w:tabs>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"_Toc114563617" </w:instrText>
          </w:r>
          <w:r>
            <w:fldChar w:fldCharType="separate"/>
          </w:r>
          <w:r>
            <w:rPr>
              <w:rStyle w:val="15"/>
              <w:rFonts w:hint="eastAsia" w:ascii="黑体" w:hAnsi="黑体" w:eastAsia="黑体" w:cstheme="majorBidi"/>
              <w:bCs/>
            </w:rPr>
            <w:t>二、</w:t>
          </w:r>
          <w:r>
            <w:rPr>
              <w:rStyle w:val="15"/>
              <w:rFonts w:hint="eastAsia" w:ascii="黑体" w:hAnsi="黑体" w:eastAsia="黑体"/>
            </w:rPr>
            <w:t>收</w:t>
          </w:r>
          <w:r>
            <w:rPr>
              <w:rStyle w:val="15"/>
              <w:rFonts w:hint="eastAsia" w:ascii="黑体" w:hAnsi="黑体" w:eastAsia="黑体" w:cstheme="majorBidi"/>
              <w:bCs/>
            </w:rPr>
            <w:t>入决算情况说明</w:t>
          </w:r>
          <w:r>
            <w:tab/>
          </w:r>
          <w:r>
            <w:fldChar w:fldCharType="begin"/>
          </w:r>
          <w:r>
            <w:instrText xml:space="preserve"> PAGEREF _Toc114563617 \h </w:instrText>
          </w:r>
          <w:r>
            <w:fldChar w:fldCharType="separate"/>
          </w:r>
          <w:r>
            <w:t>4</w:t>
          </w:r>
          <w:r>
            <w:fldChar w:fldCharType="end"/>
          </w:r>
          <w:r>
            <w:fldChar w:fldCharType="end"/>
          </w:r>
        </w:p>
        <w:p>
          <w:pPr>
            <w:pStyle w:val="12"/>
            <w:pageBreakBefore w:val="0"/>
            <w:tabs>
              <w:tab w:val="left" w:pos="1260"/>
            </w:tabs>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"_Toc114563618" </w:instrText>
          </w:r>
          <w:r>
            <w:fldChar w:fldCharType="separate"/>
          </w:r>
          <w:r>
            <w:rPr>
              <w:rStyle w:val="15"/>
              <w:rFonts w:hint="eastAsia" w:ascii="黑体" w:hAnsi="黑体" w:eastAsia="黑体" w:cstheme="majorBidi"/>
              <w:bCs/>
            </w:rPr>
            <w:t>三、</w:t>
          </w:r>
          <w:r>
            <w:rPr>
              <w:rStyle w:val="15"/>
              <w:rFonts w:hint="eastAsia" w:ascii="黑体" w:hAnsi="黑体" w:eastAsia="黑体"/>
            </w:rPr>
            <w:t>支</w:t>
          </w:r>
          <w:r>
            <w:rPr>
              <w:rStyle w:val="15"/>
              <w:rFonts w:hint="eastAsia" w:ascii="黑体" w:hAnsi="黑体" w:eastAsia="黑体" w:cstheme="majorBidi"/>
              <w:bCs/>
            </w:rPr>
            <w:t>出决算情况说明</w:t>
          </w:r>
          <w:r>
            <w:tab/>
          </w:r>
          <w:r>
            <w:fldChar w:fldCharType="begin"/>
          </w:r>
          <w:r>
            <w:instrText xml:space="preserve"> PAGEREF _Toc114563618 \h </w:instrText>
          </w:r>
          <w:r>
            <w:fldChar w:fldCharType="separate"/>
          </w:r>
          <w:r>
            <w:t>5</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"_Toc114563619" </w:instrText>
          </w:r>
          <w:r>
            <w:fldChar w:fldCharType="separate"/>
          </w:r>
          <w:r>
            <w:rPr>
              <w:rStyle w:val="15"/>
              <w:rFonts w:hint="eastAsia" w:ascii="黑体" w:hAnsi="黑体" w:eastAsia="黑体"/>
            </w:rPr>
            <w:t>四、财</w:t>
          </w:r>
          <w:r>
            <w:rPr>
              <w:rStyle w:val="15"/>
              <w:rFonts w:hint="eastAsia" w:ascii="黑体" w:hAnsi="黑体" w:eastAsia="黑体" w:cstheme="majorBidi"/>
              <w:bCs/>
            </w:rPr>
            <w:t>政拨款收入支出决算总体情况说明</w:t>
          </w:r>
          <w:r>
            <w:tab/>
          </w:r>
          <w:r>
            <w:fldChar w:fldCharType="begin"/>
          </w:r>
          <w:r>
            <w:instrText xml:space="preserve"> PAGEREF _Toc114563619 \h </w:instrText>
          </w:r>
          <w:r>
            <w:fldChar w:fldCharType="separate"/>
          </w:r>
          <w:r>
            <w:t>5</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"_Toc114563620" </w:instrText>
          </w:r>
          <w:r>
            <w:fldChar w:fldCharType="separate"/>
          </w:r>
          <w:r>
            <w:rPr>
              <w:rStyle w:val="15"/>
              <w:rFonts w:hint="eastAsia" w:ascii="黑体" w:hAnsi="黑体" w:eastAsia="黑体"/>
            </w:rPr>
            <w:t>五、</w:t>
          </w:r>
          <w:r>
            <w:rPr>
              <w:rStyle w:val="15"/>
              <w:rFonts w:hint="eastAsia" w:ascii="黑体" w:hAnsi="黑体" w:eastAsia="黑体"/>
              <w:b/>
            </w:rPr>
            <w:t>一</w:t>
          </w:r>
          <w:r>
            <w:rPr>
              <w:rStyle w:val="15"/>
              <w:rFonts w:hint="eastAsia" w:ascii="黑体" w:hAnsi="黑体" w:eastAsia="黑体" w:cstheme="majorBidi"/>
              <w:bCs/>
            </w:rPr>
            <w:t>般公共预算财政拨款支出决算情况说明</w:t>
          </w:r>
          <w:r>
            <w:tab/>
          </w:r>
          <w:r>
            <w:fldChar w:fldCharType="begin"/>
          </w:r>
          <w:r>
            <w:instrText xml:space="preserve"> PAGEREF _Toc114563620 \h </w:instrText>
          </w:r>
          <w:r>
            <w:fldChar w:fldCharType="separate"/>
          </w:r>
          <w:r>
            <w:t>6</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"_Toc114563621" </w:instrText>
          </w:r>
          <w:r>
            <w:fldChar w:fldCharType="separate"/>
          </w:r>
          <w:r>
            <w:rPr>
              <w:rStyle w:val="15"/>
              <w:rFonts w:hint="eastAsia" w:ascii="黑体" w:eastAsia="黑体"/>
            </w:rPr>
            <w:t>六</w:t>
          </w:r>
          <w:r>
            <w:rPr>
              <w:rStyle w:val="15"/>
              <w:rFonts w:hint="eastAsia" w:ascii="黑体" w:eastAsia="黑体"/>
              <w:b/>
            </w:rPr>
            <w:t>、</w:t>
          </w:r>
          <w:r>
            <w:rPr>
              <w:rStyle w:val="15"/>
              <w:rFonts w:hint="eastAsia" w:ascii="黑体" w:hAnsi="黑体" w:eastAsia="黑体"/>
              <w:b/>
            </w:rPr>
            <w:t>一</w:t>
          </w:r>
          <w:r>
            <w:rPr>
              <w:rStyle w:val="15"/>
              <w:rFonts w:hint="eastAsia" w:ascii="黑体" w:hAnsi="黑体" w:eastAsia="黑体" w:cstheme="majorBidi"/>
              <w:bCs/>
            </w:rPr>
            <w:t>般公共预算财政拨款基本支出决算情况说明</w:t>
          </w:r>
          <w:r>
            <w:tab/>
          </w:r>
          <w:r>
            <w:fldChar w:fldCharType="begin"/>
          </w:r>
          <w:r>
            <w:instrText xml:space="preserve"> PAGEREF _Toc114563621 \h </w:instrText>
          </w:r>
          <w:r>
            <w:fldChar w:fldCharType="separate"/>
          </w:r>
          <w:r>
            <w:t>9</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"_Toc114563622" </w:instrText>
          </w:r>
          <w:r>
            <w:fldChar w:fldCharType="separate"/>
          </w:r>
          <w:r>
            <w:rPr>
              <w:rStyle w:val="15"/>
              <w:rFonts w:hint="eastAsia" w:ascii="黑体" w:eastAsia="黑体"/>
            </w:rPr>
            <w:t>七、</w:t>
          </w:r>
          <w:r>
            <w:rPr>
              <w:rStyle w:val="15"/>
              <w:rFonts w:ascii="黑体" w:hAnsi="黑体" w:eastAsia="黑体" w:cstheme="majorBidi"/>
              <w:b/>
              <w:bCs/>
            </w:rPr>
            <w:t>“</w:t>
          </w:r>
          <w:r>
            <w:rPr>
              <w:rStyle w:val="15"/>
              <w:rFonts w:hint="eastAsia" w:ascii="黑体" w:hAnsi="黑体" w:eastAsia="黑体" w:cstheme="majorBidi"/>
              <w:bCs/>
            </w:rPr>
            <w:t>三公”经费财政拨款支出决算情况说明</w:t>
          </w:r>
          <w:r>
            <w:tab/>
          </w:r>
          <w:r>
            <w:fldChar w:fldCharType="begin"/>
          </w:r>
          <w:r>
            <w:instrText xml:space="preserve"> PAGEREF _Toc114563622 \h </w:instrText>
          </w:r>
          <w:r>
            <w:fldChar w:fldCharType="separate"/>
          </w:r>
          <w:r>
            <w:t>10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"_Toc114563623" </w:instrText>
          </w:r>
          <w:r>
            <w:fldChar w:fldCharType="separate"/>
          </w:r>
          <w:r>
            <w:rPr>
              <w:rStyle w:val="15"/>
              <w:rFonts w:hint="eastAsia" w:ascii="黑体" w:eastAsia="黑体"/>
            </w:rPr>
            <w:t>八、</w:t>
          </w:r>
          <w:r>
            <w:rPr>
              <w:rStyle w:val="15"/>
              <w:rFonts w:hint="eastAsia" w:ascii="黑体" w:hAnsi="黑体" w:eastAsia="黑体" w:cstheme="majorBidi"/>
              <w:bCs/>
            </w:rPr>
            <w:t>政府性基金预算支出决算情况说明</w:t>
          </w:r>
          <w:r>
            <w:tab/>
          </w:r>
          <w:r>
            <w:fldChar w:fldCharType="begin"/>
          </w:r>
          <w:r>
            <w:instrText xml:space="preserve"> PAGEREF _Toc114563623 \h </w:instrText>
          </w:r>
          <w:r>
            <w:fldChar w:fldCharType="separate"/>
          </w:r>
          <w:r>
            <w:t>11</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"_Toc114563624" </w:instrText>
          </w:r>
          <w:r>
            <w:fldChar w:fldCharType="separate"/>
          </w:r>
          <w:r>
            <w:rPr>
              <w:rStyle w:val="15"/>
              <w:rFonts w:hint="eastAsia" w:ascii="黑体" w:hAnsi="黑体" w:eastAsia="黑体" w:cstheme="majorBidi"/>
              <w:bCs/>
            </w:rPr>
            <w:t>九、 国有资本经营预算支出决算情况说明</w:t>
          </w:r>
          <w:r>
            <w:tab/>
          </w:r>
          <w:r>
            <w:fldChar w:fldCharType="begin"/>
          </w:r>
          <w:r>
            <w:instrText xml:space="preserve"> PAGEREF _Toc114563624 \h </w:instrText>
          </w:r>
          <w:r>
            <w:fldChar w:fldCharType="separate"/>
          </w:r>
          <w:r>
            <w:t>11</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"_Toc114563625" </w:instrText>
          </w:r>
          <w:r>
            <w:fldChar w:fldCharType="separate"/>
          </w:r>
          <w:r>
            <w:rPr>
              <w:rStyle w:val="15"/>
              <w:rFonts w:hint="eastAsia" w:ascii="黑体" w:hAnsi="黑体" w:eastAsia="黑体" w:cstheme="majorBidi"/>
              <w:bCs/>
            </w:rPr>
            <w:t>十、 预算绩效管理情况</w:t>
          </w:r>
          <w:r>
            <w:tab/>
          </w:r>
          <w:r>
            <w:fldChar w:fldCharType="begin"/>
          </w:r>
          <w:r>
            <w:instrText xml:space="preserve"> PAGEREF _Toc114563625 \h </w:instrText>
          </w:r>
          <w:r>
            <w:fldChar w:fldCharType="separate"/>
          </w:r>
          <w:r>
            <w:t>12</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"_Toc114563626" </w:instrText>
          </w:r>
          <w:r>
            <w:fldChar w:fldCharType="separate"/>
          </w:r>
          <w:r>
            <w:rPr>
              <w:rStyle w:val="15"/>
              <w:rFonts w:hint="eastAsia" w:ascii="黑体" w:hAnsi="黑体" w:eastAsia="黑体" w:cstheme="majorBidi"/>
              <w:bCs/>
            </w:rPr>
            <w:t>十一、 其他重要事项的情况说明</w:t>
          </w:r>
          <w:r>
            <w:tab/>
          </w:r>
          <w:r>
            <w:fldChar w:fldCharType="begin"/>
          </w:r>
          <w:r>
            <w:instrText xml:space="preserve"> PAGEREF _Toc114563626 \h </w:instrText>
          </w:r>
          <w:r>
            <w:fldChar w:fldCharType="separate"/>
          </w:r>
          <w:r>
            <w:t>12</w:t>
          </w:r>
          <w:r>
            <w:fldChar w:fldCharType="end"/>
          </w:r>
          <w:r>
            <w:fldChar w:fldCharType="end"/>
          </w:r>
        </w:p>
        <w:p>
          <w:pPr>
            <w:pStyle w:val="11"/>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 w:val="21"/>
              <w:szCs w:val="22"/>
            </w:rPr>
          </w:pPr>
          <w:r>
            <w:fldChar w:fldCharType="begin"/>
          </w:r>
          <w:r>
            <w:instrText xml:space="preserve"> HYPERLINK \l "_Toc114563627" </w:instrText>
          </w:r>
          <w:r>
            <w:fldChar w:fldCharType="separate"/>
          </w:r>
          <w:r>
            <w:rPr>
              <w:rStyle w:val="15"/>
              <w:rFonts w:hint="eastAsia" w:ascii="黑体" w:hAnsi="黑体" w:eastAsia="黑体" w:cs="黑体"/>
              <w:bCs/>
              <w:kern w:val="44"/>
            </w:rPr>
            <w:t>第三部分</w:t>
          </w:r>
          <w:r>
            <w:rPr>
              <w:rStyle w:val="15"/>
              <w:rFonts w:hint="eastAsia" w:ascii="黑体" w:hAnsi="黑体" w:eastAsia="黑体"/>
            </w:rPr>
            <w:t xml:space="preserve"> 名</w:t>
          </w:r>
          <w:r>
            <w:rPr>
              <w:rStyle w:val="15"/>
              <w:rFonts w:hint="eastAsia" w:ascii="黑体" w:hAnsi="黑体" w:eastAsia="黑体"/>
              <w:bCs/>
              <w:kern w:val="44"/>
            </w:rPr>
            <w:t>词解释</w:t>
          </w:r>
          <w:r>
            <w:tab/>
          </w:r>
          <w:r>
            <w:fldChar w:fldCharType="begin"/>
          </w:r>
          <w:r>
            <w:instrText xml:space="preserve"> PAGEREF _Toc114563627 \h </w:instrText>
          </w:r>
          <w:r>
            <w:fldChar w:fldCharType="separate"/>
          </w:r>
          <w:r>
            <w:t>13</w:t>
          </w:r>
          <w:r>
            <w:fldChar w:fldCharType="end"/>
          </w:r>
          <w:r>
            <w:fldChar w:fldCharType="end"/>
          </w:r>
        </w:p>
        <w:p>
          <w:pPr>
            <w:pStyle w:val="11"/>
            <w:pageBreakBefore w:val="0"/>
            <w:kinsoku/>
            <w:wordWrap/>
            <w:overflowPunct/>
            <w:topLinePunct w:val="0"/>
            <w:autoSpaceDE/>
            <w:autoSpaceDN/>
            <w:bidi w:val="0"/>
            <w:adjustRightInd/>
            <w:snapToGrid/>
            <w:spacing w:line="240" w:lineRule="auto"/>
            <w:jc w:val="both"/>
            <w:textAlignment w:val="auto"/>
            <w:rPr>
              <w:rFonts w:asciiTheme="minorHAnsi" w:hAnsiTheme="minorHAnsi" w:eastAsiaTheme="minorEastAsia" w:cstheme="minorBidi"/>
              <w:sz w:val="21"/>
              <w:szCs w:val="22"/>
            </w:rPr>
          </w:pPr>
          <w:r>
            <w:fldChar w:fldCharType="begin"/>
          </w:r>
          <w:r>
            <w:instrText xml:space="preserve"> HYPERLINK \l "_Toc114563628" </w:instrText>
          </w:r>
          <w:r>
            <w:fldChar w:fldCharType="separate"/>
          </w:r>
          <w:r>
            <w:rPr>
              <w:rStyle w:val="15"/>
              <w:rFonts w:hint="eastAsia" w:ascii="黑体" w:hAnsi="黑体" w:eastAsia="黑体"/>
            </w:rPr>
            <w:t>第</w:t>
          </w:r>
          <w:r>
            <w:rPr>
              <w:rStyle w:val="15"/>
              <w:rFonts w:hint="eastAsia" w:ascii="黑体" w:hAnsi="黑体" w:eastAsia="黑体"/>
              <w:bCs/>
              <w:kern w:val="44"/>
            </w:rPr>
            <w:t>四部分</w:t>
          </w:r>
          <w:r>
            <w:rPr>
              <w:rStyle w:val="15"/>
              <w:rFonts w:ascii="黑体" w:hAnsi="黑体" w:eastAsia="黑体"/>
              <w:bCs/>
              <w:kern w:val="44"/>
            </w:rPr>
            <w:t xml:space="preserve"> </w:t>
          </w:r>
          <w:r>
            <w:rPr>
              <w:rStyle w:val="15"/>
              <w:rFonts w:hint="eastAsia" w:ascii="黑体" w:hAnsi="黑体" w:eastAsia="黑体"/>
              <w:bCs/>
              <w:kern w:val="44"/>
            </w:rPr>
            <w:t>附件</w:t>
          </w:r>
          <w:r>
            <w:tab/>
          </w:r>
          <w:r>
            <w:fldChar w:fldCharType="begin"/>
          </w:r>
          <w:r>
            <w:instrText xml:space="preserve"> PAGEREF _Toc114563628 \h </w:instrText>
          </w:r>
          <w:r>
            <w:fldChar w:fldCharType="separate"/>
          </w:r>
          <w:r>
            <w:t>16</w:t>
          </w:r>
          <w:r>
            <w:fldChar w:fldCharType="end"/>
          </w:r>
          <w:r>
            <w:fldChar w:fldCharType="end"/>
          </w:r>
        </w:p>
        <w:p>
          <w:pPr>
            <w:pStyle w:val="11"/>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 w:val="21"/>
              <w:szCs w:val="22"/>
            </w:rPr>
          </w:pPr>
          <w:r>
            <w:fldChar w:fldCharType="begin"/>
          </w:r>
          <w:r>
            <w:instrText xml:space="preserve"> HYPERLINK \l "_Toc114563629" </w:instrText>
          </w:r>
          <w:r>
            <w:fldChar w:fldCharType="separate"/>
          </w:r>
          <w:r>
            <w:rPr>
              <w:rStyle w:val="15"/>
              <w:rFonts w:hint="eastAsia" w:ascii="黑体" w:hAnsi="黑体" w:eastAsia="黑体"/>
            </w:rPr>
            <w:t>第</w:t>
          </w:r>
          <w:r>
            <w:rPr>
              <w:rStyle w:val="15"/>
              <w:rFonts w:hint="eastAsia" w:ascii="黑体" w:hAnsi="黑体" w:eastAsia="黑体"/>
              <w:bCs/>
              <w:kern w:val="44"/>
            </w:rPr>
            <w:t>五部分</w:t>
          </w:r>
          <w:r>
            <w:rPr>
              <w:rStyle w:val="15"/>
              <w:rFonts w:ascii="黑体" w:hAnsi="黑体" w:eastAsia="黑体"/>
              <w:bCs/>
              <w:kern w:val="44"/>
            </w:rPr>
            <w:t xml:space="preserve"> </w:t>
          </w:r>
          <w:r>
            <w:rPr>
              <w:rStyle w:val="15"/>
              <w:rFonts w:hint="eastAsia" w:ascii="黑体" w:hAnsi="黑体" w:eastAsia="黑体"/>
              <w:bCs/>
              <w:kern w:val="44"/>
            </w:rPr>
            <w:t>附表</w:t>
          </w:r>
          <w:r>
            <w:tab/>
          </w:r>
          <w:r>
            <w:fldChar w:fldCharType="begin"/>
          </w:r>
          <w:r>
            <w:instrText xml:space="preserve"> PAGEREF _Toc114563629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"_Toc114563630" </w:instrText>
          </w:r>
          <w:r>
            <w:fldChar w:fldCharType="separate"/>
          </w:r>
          <w:r>
            <w:rPr>
              <w:rStyle w:val="15"/>
              <w:rFonts w:hint="eastAsia" w:ascii="仿宋" w:hAnsi="仿宋" w:eastAsia="仿宋"/>
            </w:rPr>
            <w:t>一、收入支出决算总表</w:t>
          </w:r>
          <w:r>
            <w:tab/>
          </w:r>
          <w:r>
            <w:fldChar w:fldCharType="begin"/>
          </w:r>
          <w:r>
            <w:instrText xml:space="preserve"> PAGEREF _Toc114563630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"_Toc114563631" </w:instrText>
          </w:r>
          <w:r>
            <w:fldChar w:fldCharType="separate"/>
          </w:r>
          <w:r>
            <w:rPr>
              <w:rStyle w:val="15"/>
              <w:rFonts w:hint="eastAsia" w:ascii="仿宋" w:hAnsi="仿宋" w:eastAsia="仿宋"/>
            </w:rPr>
            <w:t>二、收入决算表</w:t>
          </w:r>
          <w:r>
            <w:tab/>
          </w:r>
          <w:r>
            <w:fldChar w:fldCharType="begin"/>
          </w:r>
          <w:r>
            <w:instrText xml:space="preserve"> PAGEREF _Toc114563631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"_Toc114563632" </w:instrText>
          </w:r>
          <w:r>
            <w:fldChar w:fldCharType="separate"/>
          </w:r>
          <w:r>
            <w:rPr>
              <w:rStyle w:val="15"/>
              <w:rFonts w:hint="eastAsia" w:ascii="仿宋" w:hAnsi="仿宋" w:eastAsia="仿宋"/>
            </w:rPr>
            <w:t>三、支出决算表</w:t>
          </w:r>
          <w:r>
            <w:tab/>
          </w:r>
          <w:r>
            <w:fldChar w:fldCharType="begin"/>
          </w:r>
          <w:r>
            <w:instrText xml:space="preserve"> PAGEREF _Toc114563632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"_Toc114563633" </w:instrText>
          </w:r>
          <w:r>
            <w:fldChar w:fldCharType="separate"/>
          </w:r>
          <w:r>
            <w:rPr>
              <w:rStyle w:val="15"/>
              <w:rFonts w:hint="eastAsia" w:ascii="仿宋" w:hAnsi="仿宋" w:eastAsia="仿宋"/>
            </w:rPr>
            <w:t>四、财政拨款收入支出决算总表</w:t>
          </w:r>
          <w:r>
            <w:tab/>
          </w:r>
          <w:r>
            <w:fldChar w:fldCharType="begin"/>
          </w:r>
          <w:r>
            <w:instrText xml:space="preserve"> PAGEREF _Toc114563633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"_Toc114563634" </w:instrText>
          </w:r>
          <w:r>
            <w:fldChar w:fldCharType="separate"/>
          </w:r>
          <w:r>
            <w:rPr>
              <w:rStyle w:val="15"/>
              <w:rFonts w:hint="eastAsia" w:ascii="仿宋" w:hAnsi="仿宋" w:eastAsia="仿宋"/>
            </w:rPr>
            <w:t>五、财政拨款支出决算明细表</w:t>
          </w:r>
          <w:r>
            <w:tab/>
          </w:r>
          <w:r>
            <w:fldChar w:fldCharType="begin"/>
          </w:r>
          <w:r>
            <w:instrText xml:space="preserve"> PAGEREF _Toc114563634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"_Toc114563635" </w:instrText>
          </w:r>
          <w:r>
            <w:fldChar w:fldCharType="separate"/>
          </w:r>
          <w:r>
            <w:rPr>
              <w:rStyle w:val="15"/>
              <w:rFonts w:hint="eastAsia" w:ascii="仿宋" w:hAnsi="仿宋" w:eastAsia="仿宋"/>
            </w:rPr>
            <w:t>六、一般公共预算财政拨款支出决算表</w:t>
          </w:r>
          <w:r>
            <w:tab/>
          </w:r>
          <w:r>
            <w:fldChar w:fldCharType="begin"/>
          </w:r>
          <w:r>
            <w:instrText xml:space="preserve"> PAGEREF _Toc114563635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"_Toc114563636" </w:instrText>
          </w:r>
          <w:r>
            <w:fldChar w:fldCharType="separate"/>
          </w:r>
          <w:r>
            <w:rPr>
              <w:rStyle w:val="15"/>
              <w:rFonts w:hint="eastAsia" w:ascii="仿宋" w:hAnsi="仿宋" w:eastAsia="仿宋"/>
            </w:rPr>
            <w:t>七、一般公共预算财政拨款支出决算明细表</w:t>
          </w:r>
          <w:r>
            <w:tab/>
          </w:r>
          <w:r>
            <w:fldChar w:fldCharType="begin"/>
          </w:r>
          <w:r>
            <w:instrText xml:space="preserve"> PAGEREF _Toc114563636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"_Toc114563637" </w:instrText>
          </w:r>
          <w:r>
            <w:fldChar w:fldCharType="separate"/>
          </w:r>
          <w:r>
            <w:rPr>
              <w:rStyle w:val="15"/>
              <w:rFonts w:hint="eastAsia" w:ascii="仿宋" w:hAnsi="仿宋" w:eastAsia="仿宋"/>
            </w:rPr>
            <w:t>八、一般公共预算财政拨款基本支出决算表</w:t>
          </w:r>
          <w:r>
            <w:tab/>
          </w:r>
          <w:r>
            <w:fldChar w:fldCharType="begin"/>
          </w:r>
          <w:r>
            <w:instrText xml:space="preserve"> PAGEREF _Toc114563637 \h </w:instrText>
          </w:r>
          <w:r>
            <w:fldChar w:fldCharType="separate"/>
          </w:r>
          <w:r>
            <w:t>30</w:t>
          </w:r>
          <w:r>
            <w:fldChar w:fldCharType="end"/>
          </w:r>
          <w:r>
            <w:fldChar w:fldCharType="end"/>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heme="minorHAnsi" w:hAnsiTheme="minorHAnsi" w:eastAsiaTheme="minorEastAsia" w:cstheme="minorBidi"/>
              <w:szCs w:val="22"/>
            </w:rPr>
          </w:pPr>
          <w:r>
            <w:fldChar w:fldCharType="begin"/>
          </w:r>
          <w:r>
            <w:instrText xml:space="preserve"> HYPERLINK \l "_Toc114563638" </w:instrText>
          </w:r>
          <w:r>
            <w:fldChar w:fldCharType="separate"/>
          </w:r>
          <w:r>
            <w:rPr>
              <w:rStyle w:val="15"/>
              <w:rFonts w:hint="eastAsia" w:ascii="仿宋" w:hAnsi="仿宋" w:eastAsia="仿宋"/>
            </w:rPr>
            <w:t>九、一般公共预算财政拨款项目支出决算表</w:t>
          </w:r>
          <w:r>
            <w:tab/>
          </w:r>
          <w:r>
            <w:fldChar w:fldCharType="begin"/>
          </w:r>
          <w:r>
            <w:instrText xml:space="preserve"> PAGEREF _Toc114563638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"_Toc114563639" </w:instrText>
          </w:r>
          <w:r>
            <w:fldChar w:fldCharType="separate"/>
          </w:r>
          <w:r>
            <w:rPr>
              <w:rStyle w:val="15"/>
              <w:rFonts w:hint="eastAsia" w:ascii="仿宋" w:hAnsi="仿宋" w:eastAsia="仿宋"/>
            </w:rPr>
            <w:t>十、一般公共预算财政拨款“三公”经费支出决算表</w:t>
          </w:r>
          <w:r>
            <w:tab/>
          </w:r>
          <w:r>
            <w:fldChar w:fldCharType="begin"/>
          </w:r>
          <w:r>
            <w:instrText xml:space="preserve"> PAGEREF _Toc114563639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"_Toc114563640" </w:instrText>
          </w:r>
          <w:r>
            <w:fldChar w:fldCharType="separate"/>
          </w:r>
          <w:r>
            <w:rPr>
              <w:rStyle w:val="15"/>
              <w:rFonts w:hint="eastAsia" w:ascii="仿宋" w:hAnsi="仿宋" w:eastAsia="仿宋"/>
            </w:rPr>
            <w:t>十一、政府性基金预算财政拨款收入支出决算表</w:t>
          </w:r>
          <w:r>
            <w:tab/>
          </w:r>
          <w:r>
            <w:fldChar w:fldCharType="begin"/>
          </w:r>
          <w:r>
            <w:instrText xml:space="preserve"> PAGEREF _Toc114563640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"_Toc114563641" </w:instrText>
          </w:r>
          <w:r>
            <w:fldChar w:fldCharType="separate"/>
          </w:r>
          <w:r>
            <w:rPr>
              <w:rStyle w:val="15"/>
              <w:rFonts w:hint="eastAsia" w:ascii="仿宋" w:hAnsi="仿宋" w:eastAsia="仿宋"/>
            </w:rPr>
            <w:t>十二、政府性基金预算财政拨款“三公”经费支出决算表</w:t>
          </w:r>
          <w:r>
            <w:tab/>
          </w:r>
          <w:r>
            <w:fldChar w:fldCharType="begin"/>
          </w:r>
          <w:r>
            <w:instrText xml:space="preserve"> PAGEREF _Toc114563641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line="240" w:lineRule="auto"/>
            <w:textAlignment w:val="auto"/>
            <w:rPr>
              <w:rFonts w:asciiTheme="minorHAnsi" w:hAnsiTheme="minorHAnsi" w:eastAsiaTheme="minorEastAsia" w:cstheme="minorBidi"/>
              <w:szCs w:val="22"/>
            </w:rPr>
          </w:pPr>
          <w:r>
            <w:fldChar w:fldCharType="begin"/>
          </w:r>
          <w:r>
            <w:instrText xml:space="preserve"> HYPERLINK \l "_Toc114563642" </w:instrText>
          </w:r>
          <w:r>
            <w:fldChar w:fldCharType="separate"/>
          </w:r>
          <w:r>
            <w:rPr>
              <w:rStyle w:val="15"/>
              <w:rFonts w:hint="eastAsia" w:ascii="仿宋" w:hAnsi="仿宋" w:eastAsia="仿宋"/>
            </w:rPr>
            <w:t>十三、国有资本经营预算财政拨款收入支出决算表</w:t>
          </w:r>
          <w:r>
            <w:tab/>
          </w:r>
          <w:r>
            <w:fldChar w:fldCharType="begin"/>
          </w:r>
          <w:r>
            <w:instrText xml:space="preserve"> PAGEREF _Toc114563642 \h </w:instrText>
          </w:r>
          <w:r>
            <w:fldChar w:fldCharType="separate"/>
          </w:r>
          <w:r>
            <w:t>30</w:t>
          </w:r>
          <w:r>
            <w:fldChar w:fldCharType="end"/>
          </w:r>
          <w:r>
            <w:fldChar w:fldCharType="end"/>
          </w:r>
        </w:p>
        <w:p>
          <w:pPr>
            <w:pStyle w:val="12"/>
            <w:pageBreakBefore w:val="0"/>
            <w:kinsoku/>
            <w:wordWrap/>
            <w:overflowPunct/>
            <w:topLinePunct w:val="0"/>
            <w:autoSpaceDE/>
            <w:autoSpaceDN/>
            <w:bidi w:val="0"/>
            <w:adjustRightInd/>
            <w:snapToGrid/>
            <w:spacing w:before="93" w:line="240" w:lineRule="auto"/>
            <w:textAlignment w:val="auto"/>
            <w:rPr>
              <w:rFonts w:asciiTheme="minorHAnsi" w:hAnsiTheme="minorHAnsi" w:eastAsiaTheme="minorEastAsia" w:cstheme="minorBidi"/>
              <w:szCs w:val="22"/>
            </w:rPr>
          </w:pPr>
          <w:r>
            <w:fldChar w:fldCharType="begin"/>
          </w:r>
          <w:r>
            <w:instrText xml:space="preserve"> HYPERLINK \l "_Toc114563643" </w:instrText>
          </w:r>
          <w:r>
            <w:fldChar w:fldCharType="separate"/>
          </w:r>
          <w:r>
            <w:rPr>
              <w:rStyle w:val="15"/>
              <w:rFonts w:hint="eastAsia" w:ascii="仿宋" w:hAnsi="仿宋" w:eastAsia="仿宋"/>
            </w:rPr>
            <w:t>十四、国有资本经营预算财政拨款支出决算表</w:t>
          </w:r>
          <w:r>
            <w:tab/>
          </w:r>
          <w:r>
            <w:fldChar w:fldCharType="begin"/>
          </w:r>
          <w:r>
            <w:instrText xml:space="preserve"> PAGEREF _Toc114563643 \h </w:instrText>
          </w:r>
          <w:r>
            <w:fldChar w:fldCharType="separate"/>
          </w:r>
          <w:r>
            <w:t>30</w:t>
          </w:r>
          <w:r>
            <w:fldChar w:fldCharType="end"/>
          </w:r>
          <w:r>
            <w:fldChar w:fldCharType="end"/>
          </w:r>
        </w:p>
        <w:p>
          <w:r>
            <w:rPr>
              <w:b/>
              <w:bCs/>
              <w:lang w:val="zh-CN"/>
            </w:rPr>
            <w:fldChar w:fldCharType="end"/>
          </w:r>
        </w:p>
      </w:sdtContent>
    </w:sdt>
    <w:p>
      <w:pPr>
        <w:pStyle w:val="3"/>
        <w:jc w:val="center"/>
        <w:rPr>
          <w:rStyle w:val="25"/>
          <w:rFonts w:ascii="黑体" w:hAnsi="黑体" w:eastAsia="黑体"/>
          <w:b/>
          <w:bCs w:val="0"/>
        </w:rPr>
      </w:pPr>
      <w:bookmarkStart w:id="3" w:name="_Toc114563612"/>
      <w:r>
        <w:rPr>
          <w:rFonts w:hint="eastAsia" w:ascii="黑体" w:hAnsi="黑体" w:eastAsia="黑体"/>
          <w:b w:val="0"/>
        </w:rPr>
        <w:t>第一部分 单位</w:t>
      </w:r>
      <w:r>
        <w:rPr>
          <w:rStyle w:val="25"/>
          <w:rFonts w:hint="eastAsia" w:ascii="黑体" w:hAnsi="黑体" w:eastAsia="黑体"/>
          <w:b w:val="0"/>
          <w:bCs w:val="0"/>
        </w:rPr>
        <w:t>概况</w:t>
      </w:r>
      <w:bookmarkEnd w:id="3"/>
    </w:p>
    <w:p>
      <w:pPr>
        <w:pStyle w:val="4"/>
        <w:numPr>
          <w:ilvl w:val="0"/>
          <w:numId w:val="1"/>
        </w:numPr>
        <w:rPr>
          <w:rStyle w:val="26"/>
          <w:rFonts w:ascii="黑体" w:hAnsi="黑体" w:eastAsia="黑体"/>
          <w:b w:val="0"/>
          <w:bCs w:val="0"/>
        </w:rPr>
      </w:pPr>
      <w:bookmarkStart w:id="4" w:name="_Toc114563613"/>
      <w:bookmarkStart w:id="5" w:name="_Toc15396600"/>
      <w:bookmarkStart w:id="6" w:name="_Toc15377197"/>
      <w:r>
        <w:rPr>
          <w:rStyle w:val="26"/>
          <w:rFonts w:hint="eastAsia" w:ascii="黑体" w:hAnsi="黑体" w:eastAsia="黑体"/>
          <w:b w:val="0"/>
          <w:bCs w:val="0"/>
        </w:rPr>
        <w:t>职能简介</w:t>
      </w:r>
      <w:bookmarkEnd w:id="4"/>
    </w:p>
    <w:p>
      <w:pPr>
        <w:ind w:firstLine="640" w:firstLineChars="200"/>
      </w:pPr>
      <w:r>
        <w:rPr>
          <w:rFonts w:hint="eastAsia" w:ascii="仿宋_GB2312" w:eastAsia="仿宋_GB2312" w:cs="仿宋_GB2312"/>
          <w:color w:val="333333"/>
          <w:kern w:val="0"/>
          <w:sz w:val="32"/>
          <w:szCs w:val="32"/>
          <w:shd w:val="clear" w:color="auto" w:fill="FFFFFF"/>
          <w:lang w:bidi="ar"/>
        </w:rPr>
        <w:t>广元市零八一中学隶属广元市教育局直属义务教育学校，负责实施九年制义务教育，促进基础教育发展。</w:t>
      </w:r>
    </w:p>
    <w:p>
      <w:pPr>
        <w:pStyle w:val="4"/>
        <w:rPr>
          <w:rFonts w:ascii="黑体" w:hAnsi="黑体" w:eastAsia="黑体"/>
          <w:b w:val="0"/>
        </w:rPr>
      </w:pPr>
      <w:bookmarkStart w:id="7" w:name="_Toc114563614"/>
      <w:r>
        <w:rPr>
          <w:rFonts w:hint="eastAsia" w:ascii="黑体" w:hAnsi="黑体" w:eastAsia="黑体"/>
          <w:b w:val="0"/>
        </w:rPr>
        <w:t>二、2021年重点工作</w:t>
      </w:r>
      <w:bookmarkEnd w:id="5"/>
      <w:bookmarkEnd w:id="6"/>
      <w:r>
        <w:rPr>
          <w:rFonts w:hint="eastAsia" w:ascii="黑体" w:hAnsi="黑体" w:eastAsia="黑体"/>
          <w:b w:val="0"/>
        </w:rPr>
        <w:t>完成情况</w:t>
      </w:r>
      <w:bookmarkEnd w:id="7"/>
    </w:p>
    <w:p>
      <w:pPr>
        <w:ind w:firstLine="640" w:firstLineChars="200"/>
        <w:rPr>
          <w:rFonts w:ascii="仿宋" w:hAnsi="仿宋" w:eastAsia="仿宋"/>
          <w:sz w:val="32"/>
          <w:szCs w:val="32"/>
        </w:rPr>
      </w:pPr>
      <w:r>
        <w:rPr>
          <w:rFonts w:hint="eastAsia" w:ascii="仿宋" w:hAnsi="仿宋" w:eastAsia="仿宋"/>
          <w:sz w:val="32"/>
          <w:szCs w:val="32"/>
        </w:rPr>
        <w:t>（一）着力加强党务工作, 充分发挥战斗堡垒作用</w:t>
      </w:r>
    </w:p>
    <w:p>
      <w:pPr>
        <w:widowControl/>
        <w:ind w:firstLine="640" w:firstLineChars="200"/>
        <w:jc w:val="left"/>
        <w:rPr>
          <w:rFonts w:ascii="仿宋" w:hAnsi="仿宋" w:eastAsia="仿宋" w:cs="宋体"/>
          <w:kern w:val="0"/>
          <w:sz w:val="32"/>
          <w:szCs w:val="32"/>
        </w:rPr>
      </w:pPr>
      <w:r>
        <w:rPr>
          <w:rFonts w:hint="eastAsia" w:ascii="仿宋" w:hAnsi="仿宋" w:eastAsia="仿宋"/>
          <w:sz w:val="32"/>
          <w:szCs w:val="32"/>
        </w:rPr>
        <w:t>（二）</w:t>
      </w:r>
      <w:r>
        <w:rPr>
          <w:rFonts w:hint="eastAsia" w:ascii="仿宋" w:hAnsi="仿宋" w:eastAsia="仿宋" w:cs="宋体"/>
          <w:kern w:val="0"/>
          <w:sz w:val="32"/>
          <w:szCs w:val="32"/>
        </w:rPr>
        <w:t>中考成绩稳步提升，稳控优质生源成效显著</w:t>
      </w:r>
    </w:p>
    <w:p>
      <w:pPr>
        <w:ind w:firstLine="640" w:firstLineChars="200"/>
        <w:rPr>
          <w:rFonts w:ascii="仿宋" w:hAnsi="仿宋" w:eastAsia="仿宋"/>
          <w:sz w:val="32"/>
          <w:szCs w:val="32"/>
        </w:rPr>
      </w:pPr>
      <w:r>
        <w:rPr>
          <w:rFonts w:hint="eastAsia" w:ascii="仿宋" w:hAnsi="仿宋" w:eastAsia="仿宋"/>
          <w:sz w:val="32"/>
          <w:szCs w:val="32"/>
        </w:rPr>
        <w:t>（三）打造德育特色名片，五育并举全面提高育人实效</w:t>
      </w:r>
    </w:p>
    <w:p>
      <w:pPr>
        <w:ind w:firstLine="640" w:firstLineChars="200"/>
        <w:rPr>
          <w:rFonts w:ascii="仿宋" w:hAnsi="仿宋" w:eastAsia="仿宋"/>
          <w:sz w:val="32"/>
          <w:szCs w:val="32"/>
        </w:rPr>
      </w:pPr>
      <w:r>
        <w:rPr>
          <w:rFonts w:hint="eastAsia" w:ascii="仿宋" w:hAnsi="仿宋" w:eastAsia="仿宋"/>
          <w:sz w:val="32"/>
          <w:szCs w:val="32"/>
        </w:rPr>
        <w:t>（四）细化责任，认真开展学校安全防范工作</w:t>
      </w:r>
    </w:p>
    <w:p>
      <w:pPr>
        <w:ind w:firstLine="640" w:firstLineChars="200"/>
        <w:rPr>
          <w:rFonts w:ascii="仿宋" w:hAnsi="仿宋" w:eastAsia="仿宋"/>
          <w:sz w:val="32"/>
          <w:szCs w:val="32"/>
        </w:rPr>
      </w:pPr>
      <w:r>
        <w:rPr>
          <w:rFonts w:hint="eastAsia" w:ascii="仿宋" w:hAnsi="仿宋" w:eastAsia="仿宋"/>
          <w:sz w:val="32"/>
          <w:szCs w:val="32"/>
        </w:rPr>
        <w:t>（五）立足发展，夯实过程，加强教学常规管理</w:t>
      </w:r>
    </w:p>
    <w:p>
      <w:pPr>
        <w:pStyle w:val="24"/>
        <w:ind w:firstLine="640"/>
        <w:rPr>
          <w:rFonts w:ascii="仿宋" w:hAnsi="仿宋" w:eastAsia="仿宋"/>
          <w:sz w:val="32"/>
          <w:szCs w:val="32"/>
        </w:rPr>
      </w:pPr>
      <w:r>
        <w:rPr>
          <w:rFonts w:hint="eastAsia" w:ascii="仿宋" w:hAnsi="仿宋" w:eastAsia="仿宋"/>
          <w:sz w:val="32"/>
          <w:szCs w:val="32"/>
        </w:rPr>
        <w:t>（六）创新科研，科研兴校，全面提升教学科研质量</w:t>
      </w:r>
    </w:p>
    <w:p>
      <w:pPr>
        <w:ind w:firstLine="640" w:firstLineChars="200"/>
        <w:rPr>
          <w:rFonts w:ascii="仿宋" w:hAnsi="仿宋" w:eastAsia="仿宋"/>
          <w:sz w:val="32"/>
          <w:szCs w:val="32"/>
        </w:rPr>
      </w:pPr>
      <w:r>
        <w:rPr>
          <w:rFonts w:hint="eastAsia" w:ascii="仿宋" w:hAnsi="仿宋" w:eastAsia="仿宋"/>
          <w:sz w:val="32"/>
          <w:szCs w:val="32"/>
        </w:rPr>
        <w:t>（七）把握机遇促发展，小学部扩建项目取得新突破</w:t>
      </w:r>
    </w:p>
    <w:p>
      <w:pPr>
        <w:ind w:firstLine="640" w:firstLineChars="200"/>
        <w:rPr>
          <w:rFonts w:ascii="仿宋" w:hAnsi="仿宋" w:eastAsia="仿宋"/>
          <w:sz w:val="32"/>
          <w:szCs w:val="32"/>
        </w:rPr>
      </w:pPr>
      <w:r>
        <w:rPr>
          <w:rFonts w:hint="eastAsia" w:ascii="仿宋" w:hAnsi="仿宋" w:eastAsia="仿宋"/>
          <w:sz w:val="32"/>
          <w:szCs w:val="32"/>
        </w:rPr>
        <w:t>（八）工会营造和谐工作氛围，关注教师幸福健康</w:t>
      </w:r>
    </w:p>
    <w:p>
      <w:pPr>
        <w:ind w:firstLine="640" w:firstLineChars="200"/>
        <w:rPr>
          <w:rFonts w:ascii="仿宋" w:hAnsi="仿宋" w:eastAsia="仿宋"/>
          <w:sz w:val="32"/>
          <w:szCs w:val="32"/>
        </w:rPr>
      </w:pPr>
      <w:r>
        <w:rPr>
          <w:rFonts w:hint="eastAsia" w:ascii="仿宋" w:hAnsi="仿宋" w:eastAsia="仿宋"/>
          <w:sz w:val="32"/>
          <w:szCs w:val="32"/>
        </w:rPr>
        <w:t>（九）团委工作用心走心，活动有声有色</w:t>
      </w:r>
    </w:p>
    <w:p>
      <w:pPr>
        <w:ind w:firstLine="640" w:firstLineChars="200"/>
        <w:rPr>
          <w:rFonts w:ascii="仿宋" w:hAnsi="仿宋" w:eastAsia="仿宋"/>
          <w:sz w:val="32"/>
          <w:szCs w:val="32"/>
        </w:rPr>
      </w:pPr>
      <w:r>
        <w:rPr>
          <w:rFonts w:hint="eastAsia" w:ascii="仿宋" w:hAnsi="仿宋" w:eastAsia="仿宋"/>
          <w:sz w:val="32"/>
          <w:szCs w:val="32"/>
        </w:rPr>
        <w:t>（十）精细管理，加强后勤服务，构建和谐校园</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8" w:name="_Toc15396602"/>
      <w:bookmarkStart w:id="9" w:name="_Toc15377204"/>
      <w:bookmarkStart w:id="10" w:name="_Toc114563615"/>
      <w:r>
        <w:rPr>
          <w:rFonts w:hint="eastAsia" w:ascii="黑体" w:hAnsi="黑体" w:eastAsia="黑体"/>
          <w:b w:val="0"/>
        </w:rPr>
        <w:t>第二部分 2021年度</w:t>
      </w:r>
      <w:r>
        <w:rPr>
          <w:rStyle w:val="25"/>
          <w:rFonts w:hint="eastAsia" w:ascii="黑体" w:hAnsi="黑体" w:eastAsia="黑体"/>
          <w:b w:val="0"/>
          <w:bCs/>
        </w:rPr>
        <w:t>单位决算情况说明</w:t>
      </w:r>
      <w:bookmarkEnd w:id="8"/>
      <w:bookmarkEnd w:id="9"/>
      <w:bookmarkEnd w:id="10"/>
    </w:p>
    <w:p>
      <w:pPr>
        <w:pStyle w:val="24"/>
        <w:numPr>
          <w:ilvl w:val="0"/>
          <w:numId w:val="2"/>
        </w:numPr>
        <w:spacing w:line="600" w:lineRule="exact"/>
        <w:ind w:firstLineChars="0"/>
        <w:outlineLvl w:val="1"/>
        <w:rPr>
          <w:rStyle w:val="26"/>
          <w:rFonts w:ascii="黑体" w:hAnsi="黑体" w:eastAsia="黑体"/>
          <w:b w:val="0"/>
        </w:rPr>
      </w:pPr>
      <w:bookmarkStart w:id="11" w:name="_Toc15396603"/>
      <w:bookmarkStart w:id="12" w:name="_Toc15377205"/>
      <w:bookmarkStart w:id="13" w:name="_Toc114563616"/>
      <w:r>
        <w:rPr>
          <w:rFonts w:hint="eastAsia" w:ascii="黑体" w:hAnsi="黑体" w:eastAsia="黑体"/>
          <w:sz w:val="32"/>
          <w:szCs w:val="32"/>
        </w:rPr>
        <w:t>收</w:t>
      </w:r>
      <w:r>
        <w:rPr>
          <w:rStyle w:val="26"/>
          <w:rFonts w:hint="eastAsia" w:ascii="黑体" w:hAnsi="黑体" w:eastAsia="黑体"/>
          <w:b w:val="0"/>
        </w:rPr>
        <w:t>入支出决算总体情况说明</w:t>
      </w:r>
      <w:bookmarkEnd w:id="11"/>
      <w:bookmarkEnd w:id="12"/>
      <w:bookmarkEnd w:id="13"/>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2021年度收、支总计3913.03万元。与2020年2257.63万元相比，收、支总计各增加1655.4万元，增长73.32</w:t>
      </w:r>
      <w:r>
        <w:rPr>
          <w:rFonts w:ascii="仿宋" w:hAnsi="仿宋" w:eastAsia="仿宋"/>
          <w:sz w:val="32"/>
          <w:szCs w:val="32"/>
        </w:rPr>
        <w:t>%</w:t>
      </w:r>
      <w:r>
        <w:rPr>
          <w:rFonts w:hint="eastAsia" w:ascii="仿宋" w:hAnsi="仿宋" w:eastAsia="仿宋"/>
          <w:sz w:val="32"/>
          <w:szCs w:val="32"/>
        </w:rPr>
        <w:t>。主要变动原因是一是人员增加，二是新建小学部设施设备购置费，三是小学食堂及教辅用房建设资金，四是小学部异地扩建项目（一期）建设资金</w:t>
      </w:r>
      <w:r>
        <w:rPr>
          <w:rFonts w:hint="eastAsia" w:ascii="仿宋" w:hAnsi="仿宋" w:eastAsia="仿宋"/>
          <w:sz w:val="32"/>
          <w:szCs w:val="32"/>
          <w:lang w:eastAsia="zh-CN"/>
        </w:rPr>
        <w:t>和拆迁资金</w:t>
      </w:r>
      <w:r>
        <w:rPr>
          <w:rFonts w:hint="eastAsia" w:ascii="仿宋" w:hAnsi="仿宋" w:eastAsia="仿宋"/>
          <w:sz w:val="32"/>
          <w:szCs w:val="32"/>
        </w:rPr>
        <w:t>。</w:t>
      </w:r>
    </w:p>
    <w:p>
      <w:pPr>
        <w:pStyle w:val="2"/>
        <w:ind w:left="1060" w:hanging="640"/>
        <w:rPr>
          <w:rFonts w:ascii="仿宋" w:hAnsi="仿宋" w:eastAsia="仿宋"/>
          <w:szCs w:val="32"/>
        </w:rPr>
      </w:pPr>
      <w:r>
        <w:rPr>
          <w:rFonts w:hint="eastAsia" w:eastAsiaTheme="minorEastAsia"/>
        </w:rPr>
        <w:t xml:space="preserve">  </w:t>
      </w:r>
      <w:r>
        <w:rPr>
          <w:rFonts w:hint="eastAsia" w:eastAsiaTheme="minorEastAsia"/>
        </w:rPr>
        <w:drawing>
          <wp:inline distT="0" distB="0" distL="114300" distR="114300">
            <wp:extent cx="4347845" cy="2200275"/>
            <wp:effectExtent l="4445" t="4445" r="10160" b="5080"/>
            <wp:docPr id="1" name="391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280" w:firstLineChars="4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pPr>
    </w:p>
    <w:p>
      <w:pPr>
        <w:pStyle w:val="24"/>
        <w:numPr>
          <w:ilvl w:val="0"/>
          <w:numId w:val="2"/>
        </w:numPr>
        <w:spacing w:line="600" w:lineRule="exact"/>
        <w:ind w:firstLineChars="0"/>
        <w:outlineLvl w:val="1"/>
        <w:rPr>
          <w:rStyle w:val="26"/>
          <w:rFonts w:ascii="黑体" w:hAnsi="黑体" w:eastAsia="黑体"/>
          <w:b w:val="0"/>
        </w:rPr>
      </w:pPr>
      <w:bookmarkStart w:id="14" w:name="_Toc15377206"/>
      <w:bookmarkStart w:id="15" w:name="_Toc15396604"/>
      <w:bookmarkStart w:id="16" w:name="_Toc114563617"/>
      <w:r>
        <w:rPr>
          <w:rFonts w:hint="eastAsia" w:ascii="黑体" w:hAnsi="黑体" w:eastAsia="黑体"/>
          <w:sz w:val="32"/>
          <w:szCs w:val="32"/>
        </w:rPr>
        <w:t>收</w:t>
      </w:r>
      <w:r>
        <w:rPr>
          <w:rStyle w:val="26"/>
          <w:rFonts w:hint="eastAsia" w:ascii="黑体" w:hAnsi="黑体" w:eastAsia="黑体"/>
          <w:b w:val="0"/>
        </w:rPr>
        <w:t>入决算情况说明</w:t>
      </w:r>
      <w:bookmarkEnd w:id="14"/>
      <w:bookmarkEnd w:id="15"/>
      <w:bookmarkEnd w:id="16"/>
    </w:p>
    <w:p>
      <w:pPr>
        <w:ind w:left="0" w:leftChars="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21年本年收入合计3742.14万元，其中：一般公共预算财政拨款收入3146.64万元，占84.09</w:t>
      </w:r>
      <w:r>
        <w:rPr>
          <w:rFonts w:ascii="仿宋" w:hAnsi="仿宋" w:eastAsia="仿宋"/>
          <w:sz w:val="32"/>
          <w:szCs w:val="32"/>
        </w:rPr>
        <w:t>%</w:t>
      </w:r>
      <w:r>
        <w:rPr>
          <w:rFonts w:hint="eastAsia" w:ascii="仿宋" w:hAnsi="仿宋" w:eastAsia="仿宋"/>
          <w:sz w:val="32"/>
          <w:szCs w:val="32"/>
        </w:rPr>
        <w:t>；政府性基金预算财政拨款收入500.5万元，占13.37</w:t>
      </w:r>
      <w:r>
        <w:rPr>
          <w:rFonts w:ascii="仿宋" w:hAnsi="仿宋" w:eastAsia="仿宋"/>
          <w:sz w:val="32"/>
          <w:szCs w:val="32"/>
        </w:rPr>
        <w:t>%</w:t>
      </w:r>
      <w:r>
        <w:rPr>
          <w:rFonts w:hint="eastAsia" w:ascii="仿宋" w:hAnsi="仿宋" w:eastAsia="仿宋"/>
          <w:sz w:val="32"/>
          <w:szCs w:val="32"/>
        </w:rPr>
        <w:t>；事业收入95万元，占2.54</w:t>
      </w:r>
      <w:r>
        <w:rPr>
          <w:rFonts w:ascii="仿宋" w:hAnsi="仿宋" w:eastAsia="仿宋"/>
          <w:sz w:val="32"/>
          <w:szCs w:val="32"/>
        </w:rPr>
        <w:t>%</w:t>
      </w:r>
      <w:r>
        <w:rPr>
          <w:rFonts w:hint="eastAsia" w:ascii="仿宋" w:hAnsi="仿宋" w:eastAsia="仿宋"/>
          <w:sz w:val="32"/>
          <w:szCs w:val="32"/>
        </w:rPr>
        <w:t>。</w:t>
      </w:r>
    </w:p>
    <w:p>
      <w:pPr>
        <w:rPr>
          <w:rFonts w:ascii="仿宋" w:hAnsi="仿宋" w:eastAsia="仿宋"/>
          <w:szCs w:val="32"/>
        </w:rPr>
      </w:pPr>
      <w:r>
        <w:rPr>
          <w:rFonts w:hint="eastAsia" w:eastAsiaTheme="minorEastAsia"/>
        </w:rPr>
        <w:drawing>
          <wp:inline distT="0" distB="0" distL="114300" distR="114300">
            <wp:extent cx="4826000" cy="2304415"/>
            <wp:effectExtent l="5080" t="4445" r="7620"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1600" w:firstLineChars="500"/>
        <w:rPr>
          <w:rFonts w:hint="eastAsia" w:ascii="仿宋" w:hAnsi="仿宋" w:eastAsia="仿宋"/>
          <w:sz w:val="32"/>
          <w:szCs w:val="32"/>
        </w:rPr>
      </w:pPr>
      <w:r>
        <w:rPr>
          <w:rFonts w:hint="eastAsia" w:ascii="仿宋" w:hAnsi="仿宋" w:eastAsia="仿宋"/>
          <w:sz w:val="32"/>
          <w:szCs w:val="32"/>
        </w:rPr>
        <w:t>（图2：收入决算结构图）</w:t>
      </w:r>
    </w:p>
    <w:p>
      <w:pPr>
        <w:pStyle w:val="2"/>
      </w:pPr>
    </w:p>
    <w:p>
      <w:pPr>
        <w:pStyle w:val="24"/>
        <w:numPr>
          <w:ilvl w:val="0"/>
          <w:numId w:val="2"/>
        </w:numPr>
        <w:spacing w:line="600" w:lineRule="exact"/>
        <w:ind w:firstLineChars="0"/>
        <w:outlineLvl w:val="1"/>
        <w:rPr>
          <w:rStyle w:val="26"/>
          <w:rFonts w:ascii="黑体" w:hAnsi="黑体" w:eastAsia="黑体"/>
          <w:b w:val="0"/>
        </w:rPr>
      </w:pPr>
      <w:bookmarkStart w:id="17" w:name="_Toc15396605"/>
      <w:bookmarkStart w:id="18" w:name="_Toc15377207"/>
      <w:bookmarkStart w:id="19" w:name="_Toc114563618"/>
      <w:r>
        <w:rPr>
          <w:rFonts w:hint="eastAsia" w:ascii="黑体" w:hAnsi="黑体" w:eastAsia="黑体"/>
          <w:sz w:val="32"/>
          <w:szCs w:val="32"/>
        </w:rPr>
        <w:t>支</w:t>
      </w:r>
      <w:r>
        <w:rPr>
          <w:rStyle w:val="26"/>
          <w:rFonts w:hint="eastAsia" w:ascii="黑体" w:hAnsi="黑体" w:eastAsia="黑体"/>
          <w:b w:val="0"/>
        </w:rPr>
        <w:t>出决算情况说明</w:t>
      </w:r>
      <w:bookmarkEnd w:id="17"/>
      <w:bookmarkEnd w:id="18"/>
      <w:bookmarkEnd w:id="19"/>
    </w:p>
    <w:p>
      <w:pPr>
        <w:ind w:left="0" w:leftChars="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21年本年支出合计2950.72万元，其中：基本支出1969.68万元，占66.75</w:t>
      </w:r>
      <w:r>
        <w:rPr>
          <w:rFonts w:ascii="仿宋" w:hAnsi="仿宋" w:eastAsia="仿宋"/>
          <w:sz w:val="32"/>
          <w:szCs w:val="32"/>
        </w:rPr>
        <w:t>%</w:t>
      </w:r>
      <w:r>
        <w:rPr>
          <w:rFonts w:hint="eastAsia" w:ascii="仿宋" w:hAnsi="仿宋" w:eastAsia="仿宋"/>
          <w:sz w:val="32"/>
          <w:szCs w:val="32"/>
        </w:rPr>
        <w:t>；项目支出981.04万元，占33.25</w:t>
      </w:r>
      <w:r>
        <w:rPr>
          <w:rFonts w:ascii="仿宋" w:hAnsi="仿宋" w:eastAsia="仿宋"/>
          <w:sz w:val="32"/>
          <w:szCs w:val="32"/>
        </w:rPr>
        <w:t>%</w:t>
      </w:r>
      <w:r>
        <w:rPr>
          <w:rFonts w:hint="eastAsia" w:ascii="仿宋" w:hAnsi="仿宋" w:eastAsia="仿宋"/>
          <w:sz w:val="32"/>
          <w:szCs w:val="32"/>
        </w:rPr>
        <w:t>。</w:t>
      </w:r>
    </w:p>
    <w:p>
      <w:pPr>
        <w:pStyle w:val="2"/>
        <w:ind w:left="1060" w:hanging="640"/>
      </w:pPr>
      <w:r>
        <w:rPr>
          <w:rFonts w:hint="eastAsia" w:eastAsiaTheme="minorEastAsia"/>
        </w:rPr>
        <w:t xml:space="preserve">     </w:t>
      </w:r>
      <w:r>
        <w:rPr>
          <w:rFonts w:hint="eastAsia" w:eastAsiaTheme="minorEastAsia"/>
        </w:rPr>
        <w:drawing>
          <wp:inline distT="0" distB="0" distL="114300" distR="114300">
            <wp:extent cx="3889375" cy="2583815"/>
            <wp:effectExtent l="4445" t="4445" r="11430" b="215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560" w:firstLineChars="800"/>
        <w:rPr>
          <w:rFonts w:hint="eastAsia" w:ascii="仿宋" w:hAnsi="仿宋" w:eastAsia="仿宋"/>
          <w:sz w:val="32"/>
          <w:szCs w:val="32"/>
        </w:rPr>
      </w:pPr>
      <w:r>
        <w:rPr>
          <w:rFonts w:hint="eastAsia" w:ascii="仿宋" w:hAnsi="仿宋" w:eastAsia="仿宋"/>
          <w:sz w:val="32"/>
          <w:szCs w:val="32"/>
        </w:rPr>
        <w:t>（图3：支出决算结构图）</w:t>
      </w:r>
    </w:p>
    <w:p>
      <w:pPr>
        <w:pStyle w:val="2"/>
      </w:pPr>
    </w:p>
    <w:p>
      <w:pPr>
        <w:spacing w:line="600" w:lineRule="exact"/>
        <w:ind w:firstLine="640" w:firstLineChars="200"/>
        <w:outlineLvl w:val="1"/>
        <w:rPr>
          <w:rStyle w:val="26"/>
          <w:rFonts w:ascii="黑体" w:hAnsi="黑体" w:eastAsia="黑体"/>
          <w:b w:val="0"/>
        </w:rPr>
      </w:pPr>
      <w:bookmarkStart w:id="20" w:name="_Toc114563619"/>
      <w:bookmarkStart w:id="21" w:name="_Toc15377208"/>
      <w:bookmarkStart w:id="22"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0"/>
      <w:bookmarkEnd w:id="21"/>
      <w:bookmarkEnd w:id="2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hint="eastAsia" w:ascii="仿宋" w:hAnsi="仿宋" w:eastAsia="仿宋"/>
          <w:sz w:val="32"/>
          <w:szCs w:val="32"/>
          <w:lang w:val="en-US" w:eastAsia="zh-CN"/>
        </w:rPr>
        <w:t>3818.03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20年2166.43万元相比，财政拨款收、支总计各增加</w:t>
      </w:r>
      <w:r>
        <w:rPr>
          <w:rFonts w:hint="eastAsia" w:ascii="仿宋" w:hAnsi="仿宋" w:eastAsia="仿宋"/>
          <w:sz w:val="32"/>
          <w:szCs w:val="32"/>
          <w:lang w:val="en-US" w:eastAsia="zh-CN"/>
        </w:rPr>
        <w:t>1651.6</w:t>
      </w:r>
      <w:r>
        <w:rPr>
          <w:rFonts w:hint="eastAsia" w:ascii="仿宋" w:hAnsi="仿宋" w:eastAsia="仿宋"/>
          <w:sz w:val="32"/>
          <w:szCs w:val="32"/>
        </w:rPr>
        <w:t>万元，增长</w:t>
      </w:r>
      <w:r>
        <w:rPr>
          <w:rFonts w:hint="eastAsia" w:ascii="仿宋" w:hAnsi="仿宋" w:eastAsia="仿宋"/>
          <w:sz w:val="32"/>
          <w:szCs w:val="32"/>
          <w:lang w:val="en-US" w:eastAsia="zh-CN"/>
        </w:rPr>
        <w:t>76.24</w:t>
      </w:r>
      <w:r>
        <w:rPr>
          <w:rFonts w:ascii="仿宋" w:hAnsi="仿宋" w:eastAsia="仿宋"/>
          <w:sz w:val="32"/>
          <w:szCs w:val="32"/>
        </w:rPr>
        <w:t>%</w:t>
      </w:r>
      <w:r>
        <w:rPr>
          <w:rFonts w:hint="eastAsia" w:ascii="仿宋" w:hAnsi="仿宋" w:eastAsia="仿宋"/>
          <w:sz w:val="32"/>
          <w:szCs w:val="32"/>
        </w:rPr>
        <w:t>。主要变动原因是一是人员增加，二是新建小学部设施设备购置费，三是小学食堂及教辅用房建设资金，四是小学部异地扩建项目（一期）建设资金</w:t>
      </w:r>
      <w:r>
        <w:rPr>
          <w:rFonts w:hint="eastAsia" w:ascii="仿宋" w:hAnsi="仿宋" w:eastAsia="仿宋"/>
          <w:sz w:val="32"/>
          <w:szCs w:val="32"/>
          <w:lang w:eastAsia="zh-CN"/>
        </w:rPr>
        <w:t>和拆迁资金</w:t>
      </w:r>
      <w:r>
        <w:rPr>
          <w:rFonts w:hint="eastAsia" w:ascii="仿宋" w:hAnsi="仿宋" w:eastAsia="仿宋"/>
          <w:sz w:val="32"/>
          <w:szCs w:val="32"/>
        </w:rPr>
        <w:t>。</w:t>
      </w:r>
    </w:p>
    <w:p>
      <w:pPr>
        <w:pStyle w:val="2"/>
        <w:ind w:left="1060" w:hanging="640"/>
        <w:rPr>
          <w:rFonts w:ascii="仿宋" w:hAnsi="仿宋" w:eastAsia="仿宋"/>
          <w:szCs w:val="32"/>
        </w:rPr>
      </w:pPr>
      <w:r>
        <w:rPr>
          <w:rFonts w:hint="eastAsia" w:eastAsiaTheme="minorEastAsia"/>
        </w:rPr>
        <w:t xml:space="preserve">   </w:t>
      </w:r>
      <w:r>
        <w:rPr>
          <w:rFonts w:hint="eastAsia" w:eastAsiaTheme="minorEastAsia"/>
        </w:rPr>
        <w:drawing>
          <wp:inline distT="0" distB="0" distL="114300" distR="114300">
            <wp:extent cx="4311650" cy="2617470"/>
            <wp:effectExtent l="4445" t="4445" r="8255"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280" w:firstLineChars="400"/>
        <w:rPr>
          <w:rFonts w:hint="eastAsia" w:ascii="仿宋" w:hAnsi="仿宋" w:eastAsia="仿宋"/>
          <w:sz w:val="32"/>
          <w:szCs w:val="32"/>
        </w:rPr>
      </w:pPr>
      <w:r>
        <w:rPr>
          <w:rFonts w:hint="eastAsia" w:ascii="仿宋" w:hAnsi="仿宋" w:eastAsia="仿宋"/>
          <w:sz w:val="32"/>
          <w:szCs w:val="32"/>
        </w:rPr>
        <w:t>（图4：财政拨款收、支决算总计变动情况）</w:t>
      </w:r>
    </w:p>
    <w:p>
      <w:pPr>
        <w:pStyle w:val="2"/>
      </w:pPr>
    </w:p>
    <w:p>
      <w:pPr>
        <w:spacing w:line="600" w:lineRule="exact"/>
        <w:ind w:firstLine="640" w:firstLineChars="200"/>
        <w:outlineLvl w:val="1"/>
        <w:rPr>
          <w:rStyle w:val="26"/>
          <w:rFonts w:ascii="黑体" w:hAnsi="黑体" w:eastAsia="黑体"/>
          <w:b w:val="0"/>
        </w:rPr>
      </w:pPr>
      <w:bookmarkStart w:id="23" w:name="_Toc15396607"/>
      <w:bookmarkStart w:id="24" w:name="_Toc15377209"/>
      <w:bookmarkStart w:id="25" w:name="_Toc114563620"/>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3"/>
      <w:bookmarkEnd w:id="24"/>
      <w:bookmarkEnd w:id="25"/>
    </w:p>
    <w:p>
      <w:pPr>
        <w:ind w:firstLine="643" w:firstLineChars="200"/>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21年一般公共预算财政拨款支出2355.22万元，占本年支出合计的79.82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20年相比，一般公共预算财政拨款支出增加194.79万元，增长9.02</w:t>
      </w:r>
      <w:r>
        <w:rPr>
          <w:rFonts w:ascii="仿宋" w:hAnsi="仿宋" w:eastAsia="仿宋"/>
          <w:sz w:val="32"/>
          <w:szCs w:val="32"/>
        </w:rPr>
        <w:t>%</w:t>
      </w:r>
      <w:r>
        <w:rPr>
          <w:rFonts w:hint="eastAsia" w:ascii="仿宋" w:hAnsi="仿宋" w:eastAsia="仿宋"/>
          <w:sz w:val="32"/>
          <w:szCs w:val="32"/>
        </w:rPr>
        <w:t>。主要变动原因是一是人员增加，二是小学食堂及教辅用房建设支出</w:t>
      </w:r>
      <w:r>
        <w:rPr>
          <w:rFonts w:hint="eastAsia" w:ascii="仿宋" w:hAnsi="仿宋" w:eastAsia="仿宋"/>
          <w:sz w:val="32"/>
          <w:szCs w:val="32"/>
          <w:lang w:eastAsia="zh-CN"/>
        </w:rPr>
        <w:t>，三</w:t>
      </w:r>
      <w:r>
        <w:rPr>
          <w:rFonts w:hint="eastAsia" w:ascii="仿宋" w:hAnsi="仿宋" w:eastAsia="仿宋"/>
          <w:sz w:val="32"/>
          <w:szCs w:val="32"/>
        </w:rPr>
        <w:t>是小学部异地扩建项目（一期）建设资金</w:t>
      </w:r>
      <w:r>
        <w:rPr>
          <w:rFonts w:hint="eastAsia" w:ascii="仿宋" w:hAnsi="仿宋" w:eastAsia="仿宋"/>
          <w:sz w:val="32"/>
          <w:szCs w:val="32"/>
          <w:lang w:eastAsia="zh-CN"/>
        </w:rPr>
        <w:t>和拆迁资金</w:t>
      </w:r>
      <w:r>
        <w:rPr>
          <w:rFonts w:hint="eastAsia" w:ascii="仿宋" w:hAnsi="仿宋" w:eastAsia="仿宋"/>
          <w:sz w:val="32"/>
          <w:szCs w:val="32"/>
        </w:rPr>
        <w:t>。</w:t>
      </w:r>
    </w:p>
    <w:p>
      <w:pPr>
        <w:ind w:firstLine="640" w:firstLineChars="200"/>
        <w:rPr>
          <w:rFonts w:ascii="仿宋" w:hAnsi="仿宋" w:eastAsia="仿宋"/>
          <w:sz w:val="32"/>
          <w:szCs w:val="32"/>
        </w:rPr>
      </w:pPr>
    </w:p>
    <w:p>
      <w:pPr>
        <w:pStyle w:val="2"/>
        <w:ind w:left="1060" w:hanging="640"/>
        <w:rPr>
          <w:rFonts w:ascii="仿宋" w:hAnsi="仿宋" w:eastAsia="仿宋"/>
          <w:szCs w:val="32"/>
        </w:rPr>
      </w:pPr>
      <w:r>
        <w:rPr>
          <w:rFonts w:hint="eastAsia" w:eastAsiaTheme="minorEastAsia"/>
        </w:rPr>
        <w:t xml:space="preserve">     </w:t>
      </w:r>
      <w:r>
        <w:rPr>
          <w:rFonts w:hint="eastAsia" w:eastAsiaTheme="minorEastAsia"/>
        </w:rPr>
        <w:drawing>
          <wp:inline distT="0" distB="0" distL="114300" distR="114300">
            <wp:extent cx="3781425" cy="2109470"/>
            <wp:effectExtent l="5080" t="4445" r="4445"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pStyle w:val="2"/>
        <w:rPr>
          <w:rFonts w:hint="eastAsia"/>
        </w:rPr>
      </w:pPr>
    </w:p>
    <w:p>
      <w:pPr>
        <w:ind w:firstLine="643" w:firstLineChars="200"/>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pPr>
        <w:ind w:firstLine="640" w:firstLineChars="20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21年一般公共预算财政拨款支出2355.22万元，主要用于以下方面</w:t>
      </w:r>
      <w:r>
        <w:rPr>
          <w:rFonts w:ascii="仿宋" w:hAnsi="仿宋" w:eastAsia="仿宋"/>
          <w:sz w:val="32"/>
          <w:szCs w:val="32"/>
        </w:rPr>
        <w:t>:</w:t>
      </w:r>
      <w:r>
        <w:rPr>
          <w:rFonts w:hint="eastAsia" w:ascii="仿宋" w:hAnsi="仿宋" w:eastAsia="仿宋"/>
          <w:sz w:val="32"/>
          <w:szCs w:val="32"/>
        </w:rPr>
        <w:t>教育支出（类）1887.44万元，占80.14%；社会保障和就业支出（类）232.19万元，占9.86%；卫生健康支出（类）89.42万元，占3.80</w:t>
      </w:r>
      <w:r>
        <w:rPr>
          <w:rFonts w:ascii="仿宋" w:hAnsi="仿宋" w:eastAsia="仿宋"/>
          <w:sz w:val="32"/>
          <w:szCs w:val="32"/>
        </w:rPr>
        <w:t>%</w:t>
      </w:r>
      <w:r>
        <w:rPr>
          <w:rFonts w:hint="eastAsia" w:ascii="仿宋" w:hAnsi="仿宋" w:eastAsia="仿宋"/>
          <w:sz w:val="32"/>
          <w:szCs w:val="32"/>
        </w:rPr>
        <w:t>；住房保障支出（类）140.18万元，占5.95</w:t>
      </w:r>
      <w:r>
        <w:rPr>
          <w:rFonts w:ascii="仿宋" w:hAnsi="仿宋" w:eastAsia="仿宋"/>
          <w:sz w:val="32"/>
          <w:szCs w:val="32"/>
        </w:rPr>
        <w:t>%</w:t>
      </w:r>
      <w:r>
        <w:rPr>
          <w:rFonts w:hint="eastAsia" w:ascii="仿宋" w:hAnsi="仿宋" w:eastAsia="仿宋"/>
          <w:sz w:val="32"/>
          <w:szCs w:val="32"/>
        </w:rPr>
        <w:t>；灾害防治及应急管理支出（类） 6万元，占0.25%。</w:t>
      </w:r>
    </w:p>
    <w:p>
      <w:pPr>
        <w:rPr>
          <w:rFonts w:eastAsiaTheme="minorEastAsia"/>
        </w:rPr>
      </w:pPr>
      <w:r>
        <w:rPr>
          <w:rFonts w:hint="eastAsia" w:eastAsiaTheme="minorEastAsia"/>
        </w:rPr>
        <w:t xml:space="preserve">         </w:t>
      </w:r>
      <w:r>
        <w:rPr>
          <w:rFonts w:hint="eastAsia" w:eastAsiaTheme="minorEastAsia"/>
        </w:rPr>
        <w:drawing>
          <wp:inline distT="0" distB="0" distL="114300" distR="114300">
            <wp:extent cx="4459605" cy="2487930"/>
            <wp:effectExtent l="4445" t="5080" r="12700"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（图6：一般公共预算财政拨款支出决算结构）</w:t>
      </w:r>
    </w:p>
    <w:p>
      <w:pPr>
        <w:ind w:firstLine="643" w:firstLineChars="200"/>
        <w:rPr>
          <w:rFonts w:ascii="仿宋" w:hAnsi="仿宋" w:eastAsia="仿宋"/>
          <w:b/>
          <w:sz w:val="32"/>
          <w:szCs w:val="32"/>
        </w:rPr>
      </w:pPr>
      <w:bookmarkStart w:id="28" w:name="_Toc15377212"/>
      <w:r>
        <w:rPr>
          <w:rFonts w:hint="eastAsia" w:ascii="仿宋" w:hAnsi="仿宋" w:eastAsia="仿宋"/>
          <w:b/>
          <w:sz w:val="32"/>
          <w:szCs w:val="32"/>
        </w:rPr>
        <w:t>（三）一般公共预算财政拨款支出决算具体情况</w:t>
      </w:r>
      <w:bookmarkEnd w:id="28"/>
    </w:p>
    <w:p>
      <w:pPr>
        <w:ind w:firstLine="643" w:firstLineChars="200"/>
        <w:rPr>
          <w:rFonts w:ascii="仿宋" w:hAnsi="仿宋" w:eastAsia="仿宋"/>
          <w:sz w:val="32"/>
          <w:szCs w:val="32"/>
        </w:rPr>
      </w:pPr>
      <w:bookmarkStart w:id="29" w:name="_Toc15378460"/>
      <w:bookmarkStart w:id="30" w:name="_Toc15377213"/>
      <w:bookmarkStart w:id="31" w:name="_Toc15377444"/>
      <w:r>
        <w:rPr>
          <w:rFonts w:hint="eastAsia" w:ascii="仿宋" w:hAnsi="仿宋" w:eastAsia="仿宋"/>
          <w:b/>
          <w:sz w:val="32"/>
          <w:szCs w:val="32"/>
        </w:rPr>
        <w:t>2021年一般公共预算支出决算数为2355.22</w:t>
      </w:r>
      <w:r>
        <w:rPr>
          <w:rFonts w:hint="eastAsia" w:ascii="仿宋" w:hAnsi="仿宋" w:eastAsia="仿宋"/>
          <w:b/>
          <w:sz w:val="32"/>
          <w:szCs w:val="32"/>
          <w:lang w:eastAsia="zh-CN"/>
        </w:rPr>
        <w:t>万元</w:t>
      </w:r>
      <w:r>
        <w:rPr>
          <w:rFonts w:hint="eastAsia" w:ascii="仿宋" w:hAnsi="仿宋" w:eastAsia="仿宋"/>
          <w:sz w:val="32"/>
          <w:szCs w:val="32"/>
        </w:rPr>
        <w:t>，</w:t>
      </w:r>
      <w:r>
        <w:rPr>
          <w:rStyle w:val="14"/>
          <w:rFonts w:hint="eastAsia" w:ascii="仿宋" w:hAnsi="仿宋" w:eastAsia="仿宋"/>
          <w:bCs/>
          <w:sz w:val="32"/>
          <w:szCs w:val="32"/>
        </w:rPr>
        <w:t>完成预算70.99</w:t>
      </w:r>
      <w:r>
        <w:rPr>
          <w:rStyle w:val="14"/>
          <w:rFonts w:ascii="仿宋" w:hAnsi="仿宋" w:eastAsia="仿宋"/>
          <w:bCs/>
          <w:sz w:val="32"/>
          <w:szCs w:val="32"/>
        </w:rPr>
        <w:t>%</w:t>
      </w:r>
      <w:r>
        <w:rPr>
          <w:rStyle w:val="14"/>
          <w:rFonts w:hint="eastAsia" w:ascii="仿宋" w:hAnsi="仿宋" w:eastAsia="仿宋"/>
          <w:bCs/>
          <w:sz w:val="32"/>
          <w:szCs w:val="32"/>
        </w:rPr>
        <w:t>。其中：</w:t>
      </w:r>
      <w:bookmarkEnd w:id="29"/>
      <w:bookmarkEnd w:id="30"/>
      <w:bookmarkEnd w:id="31"/>
    </w:p>
    <w:p>
      <w:pPr>
        <w:ind w:firstLine="643" w:firstLineChars="200"/>
        <w:rPr>
          <w:rFonts w:ascii="仿宋" w:hAnsi="仿宋" w:eastAsia="仿宋"/>
          <w:b/>
          <w:sz w:val="32"/>
          <w:szCs w:val="32"/>
        </w:rPr>
      </w:pPr>
      <w:r>
        <w:rPr>
          <w:rStyle w:val="14"/>
          <w:rFonts w:hint="eastAsia" w:ascii="仿宋" w:hAnsi="仿宋" w:eastAsia="仿宋"/>
          <w:bCs/>
          <w:sz w:val="32"/>
          <w:szCs w:val="32"/>
        </w:rPr>
        <w:t>1</w:t>
      </w:r>
      <w:r>
        <w:rPr>
          <w:rStyle w:val="14"/>
          <w:rFonts w:ascii="仿宋" w:hAnsi="仿宋" w:eastAsia="仿宋"/>
          <w:bCs/>
          <w:sz w:val="32"/>
          <w:szCs w:val="32"/>
        </w:rPr>
        <w:t>.</w:t>
      </w:r>
      <w:r>
        <w:rPr>
          <w:rStyle w:val="14"/>
          <w:rFonts w:hint="eastAsia" w:ascii="仿宋" w:hAnsi="仿宋" w:eastAsia="仿宋"/>
          <w:bCs/>
          <w:sz w:val="32"/>
          <w:szCs w:val="32"/>
        </w:rPr>
        <w:t>教育</w:t>
      </w:r>
      <w:r>
        <w:rPr>
          <w:rStyle w:val="14"/>
          <w:rFonts w:hint="eastAsia" w:ascii="仿宋" w:hAnsi="仿宋" w:eastAsia="仿宋"/>
          <w:bCs/>
          <w:sz w:val="32"/>
          <w:szCs w:val="32"/>
          <w:lang w:eastAsia="zh-CN"/>
        </w:rPr>
        <w:t>支出</w:t>
      </w:r>
      <w:r>
        <w:rPr>
          <w:rStyle w:val="14"/>
          <w:rFonts w:hint="eastAsia" w:ascii="仿宋" w:hAnsi="仿宋" w:eastAsia="仿宋"/>
          <w:bCs/>
          <w:sz w:val="32"/>
          <w:szCs w:val="32"/>
        </w:rPr>
        <w:t>（类）普通教育（款）小学教育（项）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支出决算为88.75万元，完成预算8.44</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，决算数小于预算数的主要原因一是新建小学部设施设备购置未完成，二是小学部食堂及教辅用房建设</w:t>
      </w:r>
      <w:r>
        <w:rPr>
          <w:rStyle w:val="14"/>
          <w:rFonts w:hint="eastAsia" w:ascii="仿宋" w:hAnsi="仿宋" w:eastAsia="仿宋"/>
          <w:b w:val="0"/>
          <w:bCs/>
          <w:sz w:val="32"/>
          <w:szCs w:val="32"/>
          <w:lang w:eastAsia="zh-CN"/>
        </w:rPr>
        <w:t>仍在实施中</w:t>
      </w:r>
      <w:r>
        <w:rPr>
          <w:rStyle w:val="14"/>
          <w:rFonts w:hint="eastAsia" w:ascii="仿宋" w:hAnsi="仿宋" w:eastAsia="仿宋"/>
          <w:b w:val="0"/>
          <w:bCs/>
          <w:sz w:val="32"/>
          <w:szCs w:val="32"/>
        </w:rPr>
        <w:t>。</w:t>
      </w:r>
    </w:p>
    <w:p>
      <w:pPr>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教育</w:t>
      </w:r>
      <w:r>
        <w:rPr>
          <w:rStyle w:val="14"/>
          <w:rFonts w:hint="eastAsia" w:ascii="仿宋" w:hAnsi="仿宋" w:eastAsia="仿宋"/>
          <w:bCs/>
          <w:sz w:val="32"/>
          <w:szCs w:val="32"/>
          <w:lang w:eastAsia="zh-CN"/>
        </w:rPr>
        <w:t>支出</w:t>
      </w:r>
      <w:r>
        <w:rPr>
          <w:rStyle w:val="14"/>
          <w:rFonts w:hint="eastAsia" w:ascii="仿宋" w:hAnsi="仿宋" w:eastAsia="仿宋"/>
          <w:bCs/>
          <w:sz w:val="32"/>
          <w:szCs w:val="32"/>
          <w:lang w:val="en-US" w:eastAsia="zh-CN"/>
        </w:rPr>
        <w:t xml:space="preserve"> </w:t>
      </w:r>
      <w:r>
        <w:rPr>
          <w:rStyle w:val="14"/>
          <w:rFonts w:hint="eastAsia" w:ascii="仿宋" w:hAnsi="仿宋" w:eastAsia="仿宋"/>
          <w:bCs/>
          <w:sz w:val="32"/>
          <w:szCs w:val="32"/>
        </w:rPr>
        <w:t>（类）普通教育（款）初中教育（项）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支出决算为1633.82万元，完成预算100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ind w:firstLine="643" w:firstLineChars="200"/>
        <w:rPr>
          <w:rFonts w:ascii="仿宋" w:hAnsi="仿宋" w:eastAsia="仿宋"/>
          <w:b/>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教育</w:t>
      </w:r>
      <w:r>
        <w:rPr>
          <w:rStyle w:val="14"/>
          <w:rFonts w:hint="eastAsia" w:ascii="仿宋" w:hAnsi="仿宋" w:eastAsia="仿宋"/>
          <w:bCs/>
          <w:sz w:val="32"/>
          <w:szCs w:val="32"/>
          <w:lang w:eastAsia="zh-CN"/>
        </w:rPr>
        <w:t>支出</w:t>
      </w:r>
      <w:r>
        <w:rPr>
          <w:rStyle w:val="14"/>
          <w:rFonts w:hint="eastAsia" w:ascii="仿宋" w:hAnsi="仿宋" w:eastAsia="仿宋"/>
          <w:bCs/>
          <w:sz w:val="32"/>
          <w:szCs w:val="32"/>
        </w:rPr>
        <w:t>（类）其他教育支出（款）其他教育支出（项）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支出决算为164.88万元，完成预算100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ind w:firstLine="643" w:firstLineChars="200"/>
        <w:rPr>
          <w:rFonts w:ascii="仿宋" w:hAnsi="仿宋" w:eastAsia="仿宋"/>
          <w:b/>
          <w:sz w:val="32"/>
          <w:szCs w:val="32"/>
        </w:rPr>
      </w:pPr>
      <w:r>
        <w:rPr>
          <w:rStyle w:val="14"/>
          <w:rFonts w:ascii="仿宋" w:hAnsi="仿宋" w:eastAsia="仿宋"/>
          <w:bCs/>
          <w:sz w:val="32"/>
          <w:szCs w:val="32"/>
        </w:rPr>
        <w:t>4.</w:t>
      </w:r>
      <w:r>
        <w:rPr>
          <w:rStyle w:val="14"/>
          <w:rFonts w:hint="eastAsia" w:ascii="仿宋" w:hAnsi="仿宋" w:eastAsia="仿宋"/>
          <w:bCs/>
          <w:sz w:val="32"/>
          <w:szCs w:val="32"/>
        </w:rPr>
        <w:t>社会保障和就业（类）人力资源和社会保障管理事务（款）其他人力资源和社会保障管理事务支出（项）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5.社会保障和就业（类）行政事业单位养老支出（款）机关事业单位基本养老保险缴费支出（项）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支出决算为155.30万元，完成预算100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6.社会保障和就业（类）行政事业单位养老支出（款）机关事业单位职业年金缴费支出（项）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支出决算为16.27万元，完成预算100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Style w:val="14"/>
          <w:rFonts w:hint="eastAsia" w:ascii="仿宋" w:hAnsi="仿宋" w:eastAsia="仿宋"/>
          <w:bCs/>
          <w:sz w:val="32"/>
          <w:szCs w:val="32"/>
        </w:rPr>
        <w:t>社会保障和就业（类）其他社会保障和就业支出（款）其他社会保障和就业支出（项）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支出决算为56.62万元，完成预算100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8</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（类）行政事业单位医疗（款）事业医疗（项）</w:t>
      </w:r>
      <w:r>
        <w:rPr>
          <w:rStyle w:val="14"/>
          <w:rFonts w:ascii="仿宋" w:hAnsi="仿宋" w:eastAsia="仿宋"/>
          <w:bCs/>
          <w:sz w:val="32"/>
          <w:szCs w:val="32"/>
        </w:rPr>
        <w:t>:</w:t>
      </w:r>
      <w:r>
        <w:rPr>
          <w:rStyle w:val="14"/>
          <w:rFonts w:hint="eastAsia" w:ascii="仿宋" w:hAnsi="仿宋" w:eastAsia="仿宋"/>
          <w:b w:val="0"/>
          <w:bCs/>
          <w:sz w:val="32"/>
          <w:szCs w:val="32"/>
        </w:rPr>
        <w:t>支出决算为89.42万元，完成预算100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9.住房保障支出（类）住房改革支出（款）住房公积金（项）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支出决算为140.18万元，完成预算100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rPr>
        <w:t>10.灾害防治及应急管理支出（类）自然灾害救灾及恢复重建支出（款）其他自然灾害救灾及恢复重建支出（项）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支出决算为6</w:t>
      </w:r>
      <w:r>
        <w:rPr>
          <w:rStyle w:val="14"/>
          <w:rFonts w:hint="eastAsia" w:ascii="仿宋" w:hAnsi="仿宋" w:eastAsia="仿宋"/>
          <w:b w:val="0"/>
          <w:bCs/>
          <w:sz w:val="32"/>
          <w:szCs w:val="32"/>
          <w:lang w:eastAsia="zh-CN"/>
        </w:rPr>
        <w:t>万</w:t>
      </w:r>
      <w:r>
        <w:rPr>
          <w:rStyle w:val="14"/>
          <w:rFonts w:hint="eastAsia" w:ascii="仿宋" w:hAnsi="仿宋" w:eastAsia="仿宋"/>
          <w:b w:val="0"/>
          <w:bCs/>
          <w:sz w:val="32"/>
          <w:szCs w:val="32"/>
        </w:rPr>
        <w:t>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pPr>
    </w:p>
    <w:p>
      <w:pPr>
        <w:tabs>
          <w:tab w:val="right" w:pos="8306"/>
        </w:tabs>
        <w:spacing w:line="600" w:lineRule="exact"/>
        <w:ind w:firstLine="640"/>
        <w:outlineLvl w:val="1"/>
        <w:rPr>
          <w:rStyle w:val="26"/>
        </w:rPr>
      </w:pPr>
      <w:bookmarkStart w:id="32" w:name="_Toc114563621"/>
      <w:bookmarkStart w:id="33" w:name="_Toc15396608"/>
      <w:bookmarkStart w:id="34"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2"/>
      <w:bookmarkEnd w:id="33"/>
      <w:bookmarkEnd w:id="34"/>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21年一般公共预算财政拨款基本支出1886.07万元，其中：</w:t>
      </w:r>
    </w:p>
    <w:p>
      <w:pPr>
        <w:spacing w:line="600" w:lineRule="exact"/>
        <w:ind w:left="0" w:leftChars="0" w:firstLine="640" w:firstLineChars="200"/>
        <w:rPr>
          <w:rFonts w:ascii="仿宋" w:hAnsi="仿宋" w:eastAsia="仿宋"/>
          <w:sz w:val="32"/>
          <w:szCs w:val="32"/>
        </w:rPr>
      </w:pPr>
      <w:r>
        <w:rPr>
          <w:rFonts w:hint="eastAsia" w:ascii="仿宋" w:hAnsi="仿宋" w:eastAsia="仿宋"/>
          <w:sz w:val="32"/>
          <w:szCs w:val="32"/>
        </w:rPr>
        <w:t>人员经费1691.15万元，主要包括：基本工资、津贴补贴、奖金、绩效工资、机关事业单位基本养老保险缴费、职业年金缴费、职工医疗保险缴费、其他社会保障缴费、住房公积金、生活补助、助学金、奖励金、其他对个人和家庭的补助支出等。</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 w:hAnsi="仿宋" w:eastAsia="仿宋"/>
          <w:sz w:val="32"/>
          <w:szCs w:val="32"/>
        </w:rPr>
        <w:t>公用经费194.92万元，主要包括：办公费、印刷费、咨询费、水费、电费、邮电费、物业管理费、差旅费、维修（护）费、培训费、公务接待费、专用材料费、劳务费、工会经费、福利费、其他交通费、其他商品和服务支出、办公设备购置、其他资本性支出等。</w:t>
      </w:r>
    </w:p>
    <w:p>
      <w:pPr>
        <w:spacing w:line="600" w:lineRule="exact"/>
        <w:ind w:firstLine="640"/>
        <w:outlineLvl w:val="1"/>
        <w:rPr>
          <w:rStyle w:val="26"/>
          <w:rFonts w:ascii="黑体" w:hAnsi="黑体" w:eastAsia="黑体"/>
          <w:b w:val="0"/>
        </w:rPr>
      </w:pPr>
      <w:bookmarkStart w:id="35" w:name="_Toc15396609"/>
      <w:bookmarkStart w:id="36" w:name="_Toc15377215"/>
      <w:bookmarkStart w:id="37" w:name="_Toc114563622"/>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5"/>
      <w:bookmarkEnd w:id="36"/>
      <w:bookmarkEnd w:id="37"/>
    </w:p>
    <w:p>
      <w:pPr>
        <w:ind w:firstLine="643" w:firstLineChars="200"/>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21年“三公”经费财政拨款支出决算为0.33万元，完成预算66</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小于</w:t>
      </w:r>
      <w:r>
        <w:rPr>
          <w:rFonts w:hint="eastAsia" w:ascii="仿宋" w:hAnsi="仿宋" w:eastAsia="仿宋"/>
          <w:sz w:val="32"/>
          <w:szCs w:val="32"/>
        </w:rPr>
        <w:t>预算数主要原因是</w:t>
      </w:r>
      <w:r>
        <w:rPr>
          <w:rFonts w:hint="eastAsia" w:ascii="仿宋" w:hAnsi="仿宋" w:eastAsia="仿宋"/>
          <w:sz w:val="32"/>
          <w:szCs w:val="32"/>
          <w:lang w:eastAsia="zh-Hans"/>
        </w:rPr>
        <w:t xml:space="preserve">继续本着厉行节约原则，严格控制公务接待费。 </w:t>
      </w:r>
    </w:p>
    <w:p>
      <w:pPr>
        <w:ind w:firstLine="643" w:firstLineChars="200"/>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；公务接待费支出决算0.33万元，占100</w:t>
      </w:r>
      <w:r>
        <w:rPr>
          <w:rFonts w:ascii="仿宋" w:hAnsi="仿宋" w:eastAsia="仿宋"/>
          <w:sz w:val="32"/>
          <w:szCs w:val="32"/>
        </w:rPr>
        <w:t>%</w:t>
      </w:r>
      <w:r>
        <w:rPr>
          <w:rFonts w:hint="eastAsia" w:ascii="仿宋" w:hAnsi="仿宋" w:eastAsia="仿宋"/>
          <w:sz w:val="32"/>
          <w:szCs w:val="32"/>
        </w:rPr>
        <w:t>。具体情况如下：</w:t>
      </w:r>
    </w:p>
    <w:p>
      <w:pPr>
        <w:pStyle w:val="2"/>
        <w:ind w:left="1060" w:hanging="640"/>
      </w:pPr>
      <w:r>
        <w:rPr>
          <w:rFonts w:hint="eastAsia" w:ascii="仿宋" w:hAnsi="仿宋" w:eastAsia="仿宋"/>
          <w:szCs w:val="32"/>
        </w:rPr>
        <w:t xml:space="preserve">    </w:t>
      </w:r>
      <w:r>
        <w:rPr>
          <w:rFonts w:hint="eastAsia" w:ascii="仿宋" w:hAnsi="仿宋" w:eastAsia="仿宋"/>
          <w:szCs w:val="32"/>
        </w:rPr>
        <w:drawing>
          <wp:inline distT="0" distB="0" distL="114300" distR="114300">
            <wp:extent cx="4221480" cy="2366645"/>
            <wp:effectExtent l="5080" t="4445" r="21590" b="101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292" w:firstLineChars="404"/>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年初</w:t>
      </w:r>
      <w:r>
        <w:rPr>
          <w:rStyle w:val="14"/>
          <w:rFonts w:hint="eastAsia" w:ascii="仿宋" w:hAnsi="仿宋" w:eastAsia="仿宋"/>
          <w:b w:val="0"/>
          <w:bCs/>
          <w:sz w:val="32"/>
          <w:szCs w:val="32"/>
          <w:lang w:eastAsia="zh-CN"/>
        </w:rPr>
        <w:t>未</w:t>
      </w:r>
      <w:r>
        <w:rPr>
          <w:rStyle w:val="14"/>
          <w:rFonts w:hint="eastAsia" w:ascii="仿宋" w:hAnsi="仿宋" w:eastAsia="仿宋"/>
          <w:b w:val="0"/>
          <w:bCs/>
          <w:sz w:val="32"/>
          <w:szCs w:val="32"/>
        </w:rPr>
        <w:t>安排预算。因公出国（境）支出决算较2020年无变化</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年初</w:t>
      </w:r>
      <w:r>
        <w:rPr>
          <w:rStyle w:val="14"/>
          <w:rFonts w:hint="eastAsia" w:ascii="仿宋" w:hAnsi="仿宋" w:eastAsia="仿宋"/>
          <w:b w:val="0"/>
          <w:bCs/>
          <w:sz w:val="32"/>
          <w:szCs w:val="32"/>
          <w:lang w:eastAsia="zh-CN"/>
        </w:rPr>
        <w:t>未</w:t>
      </w:r>
      <w:r>
        <w:rPr>
          <w:rStyle w:val="14"/>
          <w:rFonts w:hint="eastAsia" w:ascii="仿宋" w:hAnsi="仿宋" w:eastAsia="仿宋"/>
          <w:b w:val="0"/>
          <w:bCs/>
          <w:sz w:val="32"/>
          <w:szCs w:val="32"/>
        </w:rPr>
        <w:t>安排预算。</w:t>
      </w:r>
      <w:r>
        <w:rPr>
          <w:rFonts w:hint="eastAsia" w:ascii="仿宋_GB2312" w:eastAsia="仿宋_GB2312"/>
          <w:sz w:val="32"/>
          <w:szCs w:val="32"/>
        </w:rPr>
        <w:t>公务用车购置及运行维护费支出决算较</w:t>
      </w:r>
      <w:r>
        <w:rPr>
          <w:rFonts w:ascii="仿宋_GB2312" w:eastAsia="仿宋_GB2312"/>
          <w:sz w:val="32"/>
          <w:szCs w:val="32"/>
        </w:rPr>
        <w:t>20</w:t>
      </w:r>
      <w:r>
        <w:rPr>
          <w:rFonts w:hint="eastAsia" w:ascii="仿宋_GB2312" w:eastAsia="仿宋_GB2312"/>
          <w:sz w:val="32"/>
          <w:szCs w:val="32"/>
        </w:rPr>
        <w:t>20年无变化。</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ind w:firstLine="649" w:firstLineChars="202"/>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0.33万元，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66</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20年减少0.23万元，下降41.07</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Hans"/>
        </w:rPr>
        <w:t>继续本着厉行节约原则，严格控制公务接待费。</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0.33</w:t>
      </w:r>
      <w:r>
        <w:rPr>
          <w:rFonts w:hint="eastAsia" w:ascii="仿宋_GB2312" w:eastAsia="仿宋_GB2312"/>
          <w:sz w:val="32"/>
          <w:szCs w:val="32"/>
        </w:rPr>
        <w:t>万元，主要用于开展业务活动</w:t>
      </w:r>
    </w:p>
    <w:p>
      <w:pPr>
        <w:spacing w:line="600" w:lineRule="exact"/>
        <w:ind w:left="0" w:leftChars="0" w:firstLine="0" w:firstLineChars="0"/>
        <w:rPr>
          <w:rFonts w:ascii="仿宋_GB2312" w:eastAsia="仿宋_GB2312"/>
          <w:sz w:val="32"/>
          <w:szCs w:val="32"/>
        </w:rPr>
      </w:pPr>
      <w:r>
        <w:rPr>
          <w:rFonts w:hint="eastAsia" w:ascii="仿宋_GB2312" w:eastAsia="仿宋_GB2312"/>
          <w:sz w:val="32"/>
          <w:szCs w:val="32"/>
        </w:rPr>
        <w:t>用餐费。国内公务接待2批次，43人次（不包括陪同人员），共计支出0.33万元，具体内容包括：</w:t>
      </w:r>
    </w:p>
    <w:tbl>
      <w:tblPr>
        <w:tblStyle w:val="16"/>
        <w:tblpPr w:leftFromText="180" w:rightFromText="180" w:vertAnchor="text" w:horzAnchor="page" w:tblpX="1575" w:tblpY="423"/>
        <w:tblOverlap w:val="never"/>
        <w:tblW w:w="9300" w:type="dxa"/>
        <w:tblInd w:w="0" w:type="dxa"/>
        <w:tblLayout w:type="fixed"/>
        <w:tblCellMar>
          <w:top w:w="15" w:type="dxa"/>
          <w:left w:w="15" w:type="dxa"/>
          <w:bottom w:w="15" w:type="dxa"/>
          <w:right w:w="15" w:type="dxa"/>
        </w:tblCellMar>
      </w:tblPr>
      <w:tblGrid>
        <w:gridCol w:w="690"/>
        <w:gridCol w:w="708"/>
        <w:gridCol w:w="1967"/>
        <w:gridCol w:w="2436"/>
        <w:gridCol w:w="690"/>
        <w:gridCol w:w="690"/>
        <w:gridCol w:w="689"/>
        <w:gridCol w:w="1430"/>
      </w:tblGrid>
      <w:tr>
        <w:tblPrEx>
          <w:tblLayout w:type="fixed"/>
          <w:tblCellMar>
            <w:top w:w="15" w:type="dxa"/>
            <w:left w:w="15" w:type="dxa"/>
            <w:bottom w:w="15" w:type="dxa"/>
            <w:right w:w="15" w:type="dxa"/>
          </w:tblCellMar>
        </w:tblPrEx>
        <w:trPr>
          <w:trHeight w:val="8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时间</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接待对象</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接待事项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陪餐人数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金额</w:t>
            </w:r>
            <w:r>
              <w:rPr>
                <w:rFonts w:hint="eastAsia" w:ascii="宋体" w:hAnsi="宋体" w:cs="宋体"/>
                <w:color w:val="000000"/>
                <w:kern w:val="0"/>
                <w:sz w:val="22"/>
                <w:szCs w:val="22"/>
                <w:lang w:val="en-US" w:eastAsia="zh-CN" w:bidi="ar"/>
              </w:rPr>
              <w:t>(元)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Layout w:type="fixed"/>
          <w:tblCellMar>
            <w:top w:w="15" w:type="dxa"/>
            <w:left w:w="15" w:type="dxa"/>
            <w:bottom w:w="15" w:type="dxa"/>
            <w:right w:w="15" w:type="dxa"/>
          </w:tblCellMar>
        </w:tblPrEx>
        <w:trPr>
          <w:trHeight w:val="8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4月28日</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思政大赛评委</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广元首届初中思政教师教学能力大赛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广教所（2021）37号</w:t>
            </w:r>
          </w:p>
        </w:tc>
      </w:tr>
      <w:tr>
        <w:tblPrEx>
          <w:tblLayout w:type="fixed"/>
          <w:tblCellMar>
            <w:top w:w="15" w:type="dxa"/>
            <w:left w:w="15" w:type="dxa"/>
            <w:bottom w:w="15" w:type="dxa"/>
            <w:right w:w="15" w:type="dxa"/>
          </w:tblCellMar>
        </w:tblPrEx>
        <w:trPr>
          <w:trHeight w:val="8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9月23日</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遂宁市大英县郪江外国语学校</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观摩学习考察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2914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6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3334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bl>
    <w:p>
      <w:pPr>
        <w:spacing w:line="600" w:lineRule="exact"/>
        <w:ind w:firstLine="643" w:firstLineChars="200"/>
        <w:rPr>
          <w:rFonts w:hint="eastAsia" w:ascii="仿宋_GB2312" w:eastAsia="仿宋"/>
          <w:sz w:val="32"/>
          <w:szCs w:val="32"/>
          <w:lang w:eastAsia="zh-CN"/>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r>
        <w:rPr>
          <w:rStyle w:val="14"/>
          <w:rFonts w:hint="eastAsia" w:ascii="仿宋" w:hAnsi="仿宋" w:eastAsia="仿宋"/>
          <w:b w:val="0"/>
          <w:bCs/>
          <w:sz w:val="32"/>
          <w:szCs w:val="32"/>
        </w:rPr>
        <w:t>较2020年无变化</w:t>
      </w:r>
      <w:r>
        <w:rPr>
          <w:rStyle w:val="14"/>
          <w:rFonts w:hint="eastAsia" w:ascii="仿宋" w:hAnsi="仿宋" w:eastAsia="仿宋"/>
          <w:b w:val="0"/>
          <w:bCs/>
          <w:sz w:val="32"/>
          <w:szCs w:val="32"/>
          <w:lang w:eastAsia="zh-CN"/>
        </w:rPr>
        <w:t>。</w:t>
      </w:r>
    </w:p>
    <w:p>
      <w:pPr>
        <w:spacing w:line="600" w:lineRule="exact"/>
        <w:ind w:firstLine="640"/>
        <w:outlineLvl w:val="1"/>
        <w:rPr>
          <w:rStyle w:val="26"/>
          <w:rFonts w:ascii="黑体" w:hAnsi="黑体" w:eastAsia="黑体"/>
        </w:rPr>
      </w:pPr>
      <w:bookmarkStart w:id="40" w:name="_Toc15377218"/>
      <w:bookmarkStart w:id="41" w:name="_Toc114563623"/>
      <w:bookmarkStart w:id="42" w:name="_Toc15396610"/>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21年政府性基金预算财政拨款支出500.5万元。</w:t>
      </w:r>
    </w:p>
    <w:p>
      <w:pPr>
        <w:numPr>
          <w:ilvl w:val="0"/>
          <w:numId w:val="3"/>
        </w:numPr>
        <w:spacing w:line="600" w:lineRule="exact"/>
        <w:ind w:firstLine="640"/>
        <w:outlineLvl w:val="1"/>
        <w:rPr>
          <w:rStyle w:val="26"/>
          <w:rFonts w:ascii="黑体" w:hAnsi="黑体" w:eastAsia="黑体"/>
          <w:b w:val="0"/>
        </w:rPr>
      </w:pPr>
      <w:bookmarkStart w:id="43" w:name="_Toc114563624"/>
      <w:bookmarkStart w:id="44" w:name="_Toc15377219"/>
      <w:bookmarkStart w:id="45" w:name="_Toc15396611"/>
      <w:r>
        <w:rPr>
          <w:rStyle w:val="26"/>
          <w:rFonts w:hint="eastAsia" w:ascii="黑体" w:hAnsi="黑体" w:eastAsia="黑体"/>
          <w:b w:val="0"/>
        </w:rPr>
        <w:t>国有资本经营预算支出决算情况说明</w:t>
      </w:r>
      <w:bookmarkEnd w:id="43"/>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46" w:name="_Toc114563625"/>
      <w:bookmarkStart w:id="47" w:name="_Toc15396612"/>
      <w:bookmarkStart w:id="48" w:name="_Toc15377221"/>
      <w:r>
        <w:rPr>
          <w:rStyle w:val="26"/>
          <w:rFonts w:hint="eastAsia" w:ascii="黑体" w:hAnsi="黑体" w:eastAsia="黑体"/>
          <w:b w:val="0"/>
        </w:rPr>
        <w:t>预算绩效管理情况</w:t>
      </w:r>
      <w:bookmarkEnd w:id="46"/>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恢复重建项目、校园安保、小学部异地扩建项目一期等三个项目开展了预算事前绩效评估，对三个项目编制了绩效目标，预算执行过程中，选取三个项目开展绩效监控，年终执行完毕后，对三个项目开展了绩效自评，2021年部门预算项目绩效目标自评表见附件（第四部分）。</w:t>
      </w:r>
    </w:p>
    <w:p>
      <w:pPr>
        <w:numPr>
          <w:ilvl w:val="0"/>
          <w:numId w:val="3"/>
        </w:numPr>
        <w:spacing w:line="600" w:lineRule="exact"/>
        <w:ind w:firstLine="640"/>
        <w:outlineLvl w:val="1"/>
        <w:rPr>
          <w:rStyle w:val="26"/>
          <w:rFonts w:ascii="黑体" w:hAnsi="黑体" w:eastAsia="黑体"/>
          <w:b w:val="0"/>
        </w:rPr>
      </w:pPr>
      <w:bookmarkStart w:id="49" w:name="_Toc114563626"/>
      <w:r>
        <w:rPr>
          <w:rStyle w:val="26"/>
          <w:rFonts w:hint="eastAsia" w:ascii="黑体" w:hAnsi="黑体" w:eastAsia="黑体"/>
          <w:b w:val="0"/>
        </w:rPr>
        <w:t>其他重要事项的情况说明</w:t>
      </w:r>
      <w:bookmarkEnd w:id="47"/>
      <w:bookmarkEnd w:id="48"/>
      <w:bookmarkEnd w:id="49"/>
    </w:p>
    <w:p>
      <w:pPr>
        <w:ind w:firstLine="643" w:firstLineChars="200"/>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ind w:left="0" w:leftChars="0" w:firstLine="640" w:firstLineChars="200"/>
        <w:rPr>
          <w:rFonts w:ascii="仿宋_GB2312" w:eastAsia="仿宋_GB2312"/>
          <w:sz w:val="32"/>
          <w:szCs w:val="32"/>
        </w:rPr>
      </w:pPr>
      <w:r>
        <w:rPr>
          <w:rFonts w:hint="eastAsia" w:ascii="仿宋_GB2312" w:eastAsia="仿宋_GB2312"/>
          <w:sz w:val="32"/>
          <w:szCs w:val="32"/>
        </w:rPr>
        <w:t>2021年未发生机关运行经费支出，与2020年决算数持平。</w:t>
      </w:r>
    </w:p>
    <w:p>
      <w:pPr>
        <w:ind w:firstLine="643" w:firstLineChars="200"/>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ind w:left="0" w:leftChars="0"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21年，零八一中学政府采购支出总额27.45万元，其中：政府采购工程支出27.45万元，主要用于小学部食堂及教辅用房建设项目勘察设计费支出。授予中小企业合同金额0万元，占政府采购支出总额的0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ind w:firstLine="643" w:firstLineChars="200"/>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日，零八一中学共有车辆0辆，单价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3" w:name="_Toc15396613"/>
      <w:bookmarkStart w:id="54" w:name="_Toc15377225"/>
      <w:bookmarkStart w:id="55" w:name="_Toc114563627"/>
      <w:r>
        <w:rPr>
          <w:rFonts w:hint="eastAsia" w:ascii="黑体" w:hAnsi="黑体" w:eastAsia="黑体"/>
          <w:sz w:val="44"/>
          <w:szCs w:val="44"/>
        </w:rPr>
        <w:t>名</w:t>
      </w:r>
      <w:r>
        <w:rPr>
          <w:rStyle w:val="25"/>
          <w:rFonts w:hint="eastAsia" w:ascii="黑体" w:hAnsi="黑体" w:eastAsia="黑体"/>
          <w:b w:val="0"/>
        </w:rPr>
        <w:t>词解释</w:t>
      </w:r>
      <w:bookmarkEnd w:id="53"/>
      <w:bookmarkEnd w:id="54"/>
      <w:bookmarkEnd w:id="55"/>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事业收入：指事业单位开展专业业务活动及辅助活动取得的收入。如初中住校费收入等。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教育支出（类）普通教育（款）小学教育（项）：指小学教育支出</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教育支出（类）普通教育（款）初中教育（项）：指初中教育支出。</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教育支出（类）普通教育（款）其他普通教育支出（项）：指其他用于普通教育方面的支出。</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社会保障和就业（类）人力资源和社会保障管理事务（款）其他人力资源和社会保障管理事务支出（项）：指用于人力资源和社会保障管理事务方面的支出。我校用于引进人才安家补助。</w:t>
      </w:r>
    </w:p>
    <w:p>
      <w:pPr>
        <w:ind w:firstLine="640" w:firstLineChars="200"/>
        <w:rPr>
          <w:rFonts w:ascii="仿宋_GB2312" w:eastAsia="仿宋_GB2312"/>
          <w:sz w:val="32"/>
          <w:szCs w:val="32"/>
        </w:rPr>
      </w:pPr>
      <w:r>
        <w:rPr>
          <w:rFonts w:hint="eastAsia" w:ascii="仿宋_GB2312" w:eastAsia="仿宋_GB2312"/>
          <w:sz w:val="32"/>
          <w:szCs w:val="32"/>
        </w:rPr>
        <w:t>7.社会保障和就业（类）行政事业单位养老支出（款）机关事业单位基本养老保险缴费支出（项）：指由单位缴纳的基本养老保险费支出。</w:t>
      </w:r>
    </w:p>
    <w:p>
      <w:pPr>
        <w:ind w:firstLine="640" w:firstLineChars="200"/>
        <w:rPr>
          <w:rFonts w:ascii="仿宋_GB2312" w:eastAsia="仿宋_GB2312"/>
          <w:sz w:val="32"/>
          <w:szCs w:val="32"/>
        </w:rPr>
      </w:pPr>
      <w:r>
        <w:rPr>
          <w:rFonts w:hint="eastAsia" w:ascii="仿宋_GB2312" w:eastAsia="仿宋_GB2312"/>
          <w:sz w:val="32"/>
          <w:szCs w:val="32"/>
        </w:rPr>
        <w:t>8.社会保障和就业（类）行政事业单位养老支出（款）机关事业单位职业年金缴费支出（项）：指由单位实际缴纳的职业年金支出。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9.社会保障和就业（类）其他社会保障和就业支出（款）其他社会保障和就业支出（项）：指其他用于社会保障和就业方面的支出。</w:t>
      </w:r>
      <w:r>
        <w:rPr>
          <w:rFonts w:hint="eastAsia" w:ascii="仿宋_GB2312" w:eastAsia="仿宋_GB2312"/>
          <w:sz w:val="32"/>
          <w:szCs w:val="32"/>
          <w:lang w:eastAsia="zh-CN"/>
        </w:rPr>
        <w:t>我校用于退休人员“退休一次性”补贴支出。</w:t>
      </w:r>
    </w:p>
    <w:p>
      <w:pPr>
        <w:ind w:firstLine="640" w:firstLineChars="200"/>
        <w:rPr>
          <w:rFonts w:ascii="仿宋_GB2312" w:eastAsia="仿宋_GB2312"/>
          <w:sz w:val="32"/>
          <w:szCs w:val="32"/>
        </w:rPr>
      </w:pPr>
      <w:r>
        <w:rPr>
          <w:rFonts w:hint="eastAsia" w:ascii="仿宋_GB2312" w:eastAsia="仿宋_GB2312"/>
          <w:sz w:val="32"/>
          <w:szCs w:val="32"/>
        </w:rPr>
        <w:t>10.卫生健康（类）行政事业单位医疗（款）事业医疗（项）：指财政安排的事业单位基本医疗保险缴费经费。</w:t>
      </w:r>
    </w:p>
    <w:p>
      <w:pPr>
        <w:ind w:firstLine="640" w:firstLineChars="200"/>
        <w:rPr>
          <w:rFonts w:ascii="仿宋_GB2312" w:eastAsia="仿宋_GB2312"/>
          <w:sz w:val="32"/>
          <w:szCs w:val="32"/>
        </w:rPr>
      </w:pPr>
      <w:r>
        <w:rPr>
          <w:rFonts w:hint="eastAsia" w:ascii="仿宋_GB2312" w:eastAsia="仿宋_GB2312"/>
          <w:sz w:val="32"/>
          <w:szCs w:val="32"/>
        </w:rPr>
        <w:t>11.住房保障支出（类）住房改革支出（款）住房公积金（项）：指单位按规定比例为职工缴纳的住房公积金。</w:t>
      </w:r>
    </w:p>
    <w:p>
      <w:pPr>
        <w:ind w:firstLine="640" w:firstLineChars="200"/>
        <w:rPr>
          <w:rFonts w:hint="eastAsia" w:ascii="仿宋_GB2312" w:eastAsia="仿宋_GB2312"/>
          <w:sz w:val="32"/>
          <w:szCs w:val="32"/>
        </w:rPr>
      </w:pPr>
      <w:r>
        <w:rPr>
          <w:rFonts w:hint="eastAsia" w:ascii="仿宋_GB2312" w:eastAsia="仿宋_GB2312"/>
          <w:sz w:val="32"/>
          <w:szCs w:val="32"/>
        </w:rPr>
        <w:t>12.灾害防治及应急管理支出（类）自然灾害救灾及恢复重建支出（款）其他自然灾害救灾及恢复重建支出（项）：指用于自然灾害救灾、灾后恢复重建等方面的支出。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13.城乡社区支出（类）国有土地使用权出让收入安排的支出（款）征地和拆迁补偿支出（项）：指用于支付拆迁补偿费支出。我校用于小学部异地扩建项目拆迁补偿支出。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城乡社区支出（类）国有土地使用权出让收入安排的支出（款）城市建设支出（项）：指用于完善国有土地使用功能的配套设施建设和城市基础设施建设支出。我校用于小学部异地扩建项目地下停车场建设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bookmarkStart w:id="56" w:name="_Toc15377226"/>
      <w:r>
        <w:rPr>
          <w:rFonts w:ascii="宋体"/>
          <w:b/>
          <w:sz w:val="44"/>
          <w:szCs w:val="44"/>
        </w:rPr>
        <w:br w:type="page"/>
      </w:r>
      <w:bookmarkStart w:id="57" w:name="_Toc15396614"/>
      <w:bookmarkStart w:id="58" w:name="_Toc114563628"/>
      <w:r>
        <w:rPr>
          <w:rFonts w:hint="eastAsia" w:ascii="黑体" w:hAnsi="黑体" w:eastAsia="黑体"/>
          <w:sz w:val="44"/>
          <w:szCs w:val="44"/>
        </w:rPr>
        <w:t>第</w:t>
      </w:r>
      <w:r>
        <w:rPr>
          <w:rStyle w:val="25"/>
          <w:rFonts w:hint="eastAsia" w:ascii="黑体" w:hAnsi="黑体" w:eastAsia="黑体"/>
          <w:b w:val="0"/>
        </w:rPr>
        <w:t>四部分 附件</w:t>
      </w:r>
      <w:bookmarkEnd w:id="57"/>
      <w:bookmarkEnd w:id="58"/>
    </w:p>
    <w:p>
      <w:pPr>
        <w:pStyle w:val="6"/>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1</w:t>
      </w:r>
    </w:p>
    <w:p>
      <w:pPr>
        <w:spacing w:line="600" w:lineRule="exact"/>
        <w:jc w:val="center"/>
        <w:rPr>
          <w:rFonts w:ascii="方正小标宋简体" w:hAnsi="方正小标宋简体" w:eastAsia="方正小标宋简体" w:cs="方正小标宋简体"/>
          <w:sz w:val="40"/>
          <w:szCs w:val="40"/>
          <w:lang w:val="zh-CN"/>
        </w:rPr>
      </w:pPr>
      <w:bookmarkStart w:id="59" w:name="_Toc604_WPSOffice_Level2"/>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bookmarkEnd w:id="59"/>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（恢复重建项目）</w:t>
      </w:r>
    </w:p>
    <w:p>
      <w:pPr>
        <w:adjustRightInd w:val="0"/>
        <w:snapToGrid w:val="0"/>
        <w:spacing w:line="600" w:lineRule="exact"/>
        <w:ind w:firstLine="720"/>
        <w:rPr>
          <w:rFonts w:ascii="黑体" w:hAnsi="宋体" w:eastAsia="黑体"/>
          <w:sz w:val="32"/>
          <w:szCs w:val="32"/>
          <w:lang w:val="zh-CN"/>
        </w:rPr>
      </w:pPr>
      <w:bookmarkStart w:id="60" w:name="_Toc531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6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1．中央预算下达</w:t>
      </w:r>
      <w:r>
        <w:rPr>
          <w:rFonts w:hint="eastAsia" w:ascii="仿宋_GB2312" w:hAnsi="宋体" w:eastAsia="仿宋_GB2312"/>
          <w:sz w:val="32"/>
          <w:szCs w:val="32"/>
        </w:rPr>
        <w:t>2020年暴雨洪涝灾害救灾应急项目</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2．学校宏志楼背后堡坎围墙垮塌二十余米，堡坎25立方米，对宏志楼造成严重的安全隐患，申请专项资金对其进行恢复重建。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3．中央专项资金用于恢复学校宏志楼背后垮塌堡坎，排除宏志楼造成严重的安全隐患。</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4．资金分配的原则：专款专用。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pStyle w:val="2"/>
        <w:ind w:left="0" w:leftChars="0" w:firstLine="636" w:firstLineChars="199"/>
        <w:rPr>
          <w:lang w:val="zh-CN"/>
        </w:rPr>
      </w:pPr>
      <w:r>
        <w:rPr>
          <w:rFonts w:hint="eastAsia" w:ascii="仿宋_GB2312" w:hAnsi="宋体"/>
          <w:szCs w:val="32"/>
          <w:lang w:val="zh-CN"/>
        </w:rPr>
        <w:t>用于恢复学校宏志楼背后垮塌堡坎，排除宏志楼造成严重的安全隐患。</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2．项目应实现的具体绩效目标，包括恢复受损垮塌围墙</w:t>
      </w:r>
      <w:r>
        <w:rPr>
          <w:rFonts w:hint="eastAsia" w:ascii="仿宋_GB2312" w:hAnsi="宋体" w:eastAsia="仿宋_GB2312"/>
          <w:sz w:val="32"/>
          <w:szCs w:val="32"/>
        </w:rPr>
        <w:t>20</w:t>
      </w:r>
      <w:r>
        <w:rPr>
          <w:rFonts w:hint="eastAsia" w:ascii="仿宋_GB2312" w:hAnsi="宋体" w:eastAsia="仿宋_GB2312"/>
          <w:sz w:val="32"/>
          <w:szCs w:val="32"/>
          <w:lang w:val="zh-CN"/>
        </w:rPr>
        <w:t>余米，堡坎</w:t>
      </w:r>
      <w:r>
        <w:rPr>
          <w:rFonts w:hint="eastAsia" w:ascii="仿宋_GB2312" w:hAnsi="宋体" w:eastAsia="仿宋_GB2312"/>
          <w:sz w:val="32"/>
          <w:szCs w:val="32"/>
        </w:rPr>
        <w:t>25平方米，计划2021年1月底完工。</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3．该项目分析评价申报内容与实际相符，申报目标合理可行。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shd w:val="clear" w:color="FFFFFF" w:fill="D9D9D9"/>
          <w:lang w:val="zh-CN"/>
        </w:rPr>
      </w:pPr>
      <w:r>
        <w:rPr>
          <w:rFonts w:hint="eastAsia" w:ascii="仿宋_GB2312" w:hAnsi="宋体" w:eastAsia="仿宋_GB2312"/>
          <w:sz w:val="32"/>
          <w:szCs w:val="32"/>
          <w:lang w:val="zh-CN"/>
        </w:rPr>
        <w:t>通过访谈、观察、检查、分析、计算项目投入、项目过程、项目产出和项目效果所涉及的各项具体指标，客观公正反映恢复重建项目经费实际使用和产生的绩效状况。</w:t>
      </w:r>
    </w:p>
    <w:p>
      <w:pPr>
        <w:adjustRightInd w:val="0"/>
        <w:snapToGrid w:val="0"/>
        <w:spacing w:line="600" w:lineRule="exact"/>
        <w:ind w:firstLine="720"/>
        <w:rPr>
          <w:rFonts w:ascii="黑体" w:hAnsi="宋体" w:eastAsia="黑体"/>
          <w:sz w:val="32"/>
          <w:szCs w:val="32"/>
        </w:rPr>
      </w:pPr>
      <w:bookmarkStart w:id="61" w:name="_Toc8085_WPSOffice_Level2"/>
      <w:r>
        <w:rPr>
          <w:rFonts w:hint="eastAsia" w:ascii="黑体" w:hAnsi="宋体" w:eastAsia="黑体"/>
          <w:sz w:val="32"/>
          <w:szCs w:val="32"/>
        </w:rPr>
        <w:t>二、项目资金申报及使用情况</w:t>
      </w:r>
      <w:bookmarkEnd w:id="6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left="319" w:leftChars="152" w:firstLine="774" w:firstLineChars="242"/>
        <w:rPr>
          <w:rFonts w:ascii="仿宋_GB2312" w:hAnsi="宋体" w:eastAsia="仿宋_GB2312"/>
          <w:sz w:val="32"/>
          <w:szCs w:val="32"/>
          <w:lang w:val="zh-CN"/>
        </w:rPr>
      </w:pPr>
      <w:r>
        <w:rPr>
          <w:rFonts w:hint="eastAsia" w:ascii="仿宋_GB2312" w:hAnsi="宋体" w:eastAsia="仿宋_GB2312"/>
          <w:sz w:val="32"/>
          <w:szCs w:val="32"/>
          <w:lang w:val="zh-CN"/>
        </w:rPr>
        <w:t>该项目资金申报</w:t>
      </w:r>
      <w:r>
        <w:rPr>
          <w:rFonts w:hint="eastAsia" w:ascii="仿宋_GB2312" w:hAnsi="宋体" w:eastAsia="仿宋_GB2312"/>
          <w:sz w:val="32"/>
          <w:szCs w:val="32"/>
        </w:rPr>
        <w:t>6万元</w:t>
      </w:r>
      <w:r>
        <w:rPr>
          <w:rFonts w:hint="eastAsia" w:ascii="仿宋_GB2312" w:hAnsi="宋体" w:eastAsia="仿宋_GB2312"/>
          <w:sz w:val="32"/>
          <w:szCs w:val="32"/>
          <w:lang w:val="zh-CN"/>
        </w:rPr>
        <w:t>、批复资金</w:t>
      </w:r>
      <w:r>
        <w:rPr>
          <w:rFonts w:hint="eastAsia" w:ascii="仿宋_GB2312" w:hAnsi="宋体" w:eastAsia="仿宋_GB2312"/>
          <w:sz w:val="32"/>
          <w:szCs w:val="32"/>
        </w:rPr>
        <w:t>6万元（广财投【2020】114号），</w:t>
      </w:r>
      <w:r>
        <w:rPr>
          <w:rFonts w:hint="eastAsia" w:ascii="仿宋_GB2312" w:hAnsi="宋体" w:eastAsia="仿宋_GB2312"/>
          <w:sz w:val="32"/>
          <w:szCs w:val="32"/>
          <w:lang w:val="zh-CN"/>
        </w:rPr>
        <w:t>程序符合规定。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中央预算内投资预算</w:t>
      </w:r>
      <w:r>
        <w:rPr>
          <w:rFonts w:hint="eastAsia" w:ascii="仿宋_GB2312" w:hAnsi="宋体" w:eastAsia="仿宋_GB2312"/>
          <w:sz w:val="32"/>
          <w:szCs w:val="32"/>
        </w:rPr>
        <w:t>2020年暴雨洪涝灾害救灾应急专项资金6万元。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该项目到位资金</w:t>
      </w:r>
      <w:r>
        <w:rPr>
          <w:rFonts w:hint="eastAsia" w:ascii="仿宋_GB2312" w:hAnsi="宋体" w:eastAsia="仿宋_GB2312"/>
          <w:sz w:val="32"/>
          <w:szCs w:val="32"/>
        </w:rPr>
        <w:t>6万元</w:t>
      </w:r>
      <w:r>
        <w:rPr>
          <w:rFonts w:hint="eastAsia" w:ascii="仿宋_GB2312" w:hAnsi="宋体" w:eastAsia="仿宋_GB2312"/>
          <w:sz w:val="32"/>
          <w:szCs w:val="32"/>
          <w:lang w:val="zh-CN"/>
        </w:rPr>
        <w:t>，其中中央财政资金</w:t>
      </w:r>
      <w:r>
        <w:rPr>
          <w:rFonts w:hint="eastAsia" w:ascii="仿宋_GB2312" w:hAnsi="宋体" w:eastAsia="仿宋_GB2312"/>
          <w:sz w:val="32"/>
          <w:szCs w:val="32"/>
        </w:rPr>
        <w:t>6万元</w:t>
      </w:r>
      <w:r>
        <w:rPr>
          <w:rFonts w:hint="eastAsia" w:ascii="仿宋_GB2312" w:hAnsi="宋体" w:eastAsia="仿宋_GB2312"/>
          <w:sz w:val="32"/>
          <w:szCs w:val="32"/>
          <w:lang w:val="zh-CN"/>
        </w:rPr>
        <w:t>。将资金到位情况与资金计划进行比对，资金到位率</w:t>
      </w:r>
      <w:r>
        <w:rPr>
          <w:rFonts w:hint="eastAsia" w:ascii="仿宋_GB2312" w:hAnsi="宋体" w:eastAsia="仿宋_GB2312"/>
          <w:sz w:val="32"/>
          <w:szCs w:val="32"/>
        </w:rPr>
        <w:t>100%</w:t>
      </w:r>
      <w:r>
        <w:rPr>
          <w:rFonts w:hint="eastAsia" w:ascii="仿宋_GB2312" w:hAnsi="宋体" w:eastAsia="仿宋_GB2312"/>
          <w:sz w:val="32"/>
          <w:szCs w:val="32"/>
          <w:lang w:val="zh-CN"/>
        </w:rPr>
        <w:t>、到位及时。</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恢复重建项目支付资金</w:t>
      </w:r>
      <w:r>
        <w:rPr>
          <w:rFonts w:hint="eastAsia" w:ascii="仿宋_GB2312" w:hAnsi="宋体" w:eastAsia="仿宋_GB2312"/>
          <w:sz w:val="32"/>
          <w:szCs w:val="32"/>
        </w:rPr>
        <w:t>6万元，工程结束后一次性支付。支付过程合规合法，</w:t>
      </w:r>
      <w:r>
        <w:rPr>
          <w:rFonts w:hint="eastAsia" w:ascii="仿宋_GB2312" w:hAnsi="宋体" w:eastAsia="仿宋_GB2312"/>
          <w:sz w:val="32"/>
          <w:szCs w:val="32"/>
          <w:lang w:val="zh-CN"/>
        </w:rPr>
        <w:t>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bookmarkStart w:id="62" w:name="_Toc21069_WPSOffice_Level2"/>
      <w:r>
        <w:rPr>
          <w:rFonts w:hint="eastAsia" w:ascii="黑体" w:hAnsi="宋体" w:eastAsia="黑体"/>
          <w:sz w:val="32"/>
          <w:szCs w:val="32"/>
        </w:rPr>
        <w:t>三、项目实施及管理情况</w:t>
      </w:r>
      <w:bookmarkEnd w:id="62"/>
    </w:p>
    <w:p>
      <w:pPr>
        <w:adjustRightInd w:val="0"/>
        <w:snapToGrid w:val="0"/>
        <w:spacing w:line="600" w:lineRule="exact"/>
        <w:ind w:firstLine="720"/>
        <w:rPr>
          <w:rFonts w:ascii="黑体" w:hAnsi="宋体" w:eastAsia="黑体"/>
          <w:sz w:val="32"/>
          <w:szCs w:val="32"/>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宋体" w:eastAsia="仿宋_GB2312"/>
          <w:sz w:val="32"/>
          <w:szCs w:val="32"/>
          <w:lang w:val="zh-CN"/>
        </w:rPr>
        <w:t>恢复学校宏志楼背后垮塌堡坎，排除宏志楼造成严重的安全隐患。</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结合恢复重建特点，按相关法律法规及项目管理制度对项目</w:t>
      </w:r>
      <w:bookmarkStart w:id="106" w:name="_GoBack"/>
      <w:bookmarkEnd w:id="106"/>
      <w:r>
        <w:rPr>
          <w:rFonts w:hint="eastAsia" w:ascii="仿宋_GB2312" w:hAnsi="宋体" w:eastAsia="仿宋_GB2312"/>
          <w:sz w:val="32"/>
          <w:szCs w:val="32"/>
          <w:lang w:val="zh-CN"/>
        </w:rPr>
        <w:t>实施。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对该项目采取了全过程监督管理，保证了工程质量，并按时完成项目施工。</w:t>
      </w:r>
    </w:p>
    <w:p>
      <w:pPr>
        <w:adjustRightInd w:val="0"/>
        <w:snapToGrid w:val="0"/>
        <w:spacing w:line="600" w:lineRule="exact"/>
        <w:ind w:firstLine="720"/>
        <w:rPr>
          <w:rFonts w:ascii="仿宋_GB2312" w:hAnsi="宋体" w:eastAsia="仿宋_GB2312"/>
          <w:sz w:val="32"/>
          <w:szCs w:val="32"/>
          <w:lang w:val="zh-CN"/>
        </w:rPr>
      </w:pPr>
      <w:bookmarkStart w:id="63" w:name="_Toc13536_WPSOffice_Level2"/>
      <w:r>
        <w:rPr>
          <w:rFonts w:hint="eastAsia" w:ascii="黑体" w:hAnsi="宋体" w:eastAsia="黑体"/>
          <w:sz w:val="32"/>
          <w:szCs w:val="32"/>
        </w:rPr>
        <w:t>四、项目绩效情况</w:t>
      </w:r>
      <w:bookmarkEnd w:id="63"/>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恢复重建项目完成恢复受损垮塌围墙</w:t>
      </w:r>
      <w:r>
        <w:rPr>
          <w:rFonts w:hint="eastAsia" w:ascii="仿宋_GB2312" w:hAnsi="宋体" w:eastAsia="仿宋_GB2312"/>
          <w:sz w:val="32"/>
          <w:szCs w:val="32"/>
        </w:rPr>
        <w:t>20</w:t>
      </w:r>
      <w:r>
        <w:rPr>
          <w:rFonts w:hint="eastAsia" w:ascii="仿宋_GB2312" w:hAnsi="宋体" w:eastAsia="仿宋_GB2312"/>
          <w:sz w:val="32"/>
          <w:szCs w:val="32"/>
          <w:lang w:val="zh-CN"/>
        </w:rPr>
        <w:t>余米、堡坎</w:t>
      </w:r>
      <w:r>
        <w:rPr>
          <w:rFonts w:hint="eastAsia" w:ascii="仿宋_GB2312" w:hAnsi="宋体" w:eastAsia="仿宋_GB2312"/>
          <w:sz w:val="32"/>
          <w:szCs w:val="32"/>
        </w:rPr>
        <w:t>25平方米，完成后该项目抗震强度达7度，使用年限达30年</w:t>
      </w:r>
      <w:r>
        <w:rPr>
          <w:rFonts w:hint="eastAsia" w:ascii="仿宋_GB2312" w:hAnsi="宋体" w:eastAsia="仿宋_GB2312"/>
          <w:sz w:val="32"/>
          <w:szCs w:val="32"/>
          <w:lang w:eastAsia="zh-CN"/>
        </w:rPr>
        <w:t>。</w:t>
      </w:r>
      <w:r>
        <w:rPr>
          <w:rFonts w:hint="eastAsia" w:ascii="仿宋_GB2312" w:hAnsi="宋体" w:eastAsia="仿宋_GB2312"/>
          <w:sz w:val="32"/>
          <w:szCs w:val="32"/>
        </w:rPr>
        <w:t>达到预期要求</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项目完成后，排除宏志楼造成严重的安全隐患，教师、学生及家长满意度达</w:t>
      </w:r>
      <w:r>
        <w:rPr>
          <w:rFonts w:hint="eastAsia" w:ascii="仿宋_GB2312" w:hAnsi="宋体" w:eastAsia="仿宋_GB2312"/>
          <w:sz w:val="32"/>
          <w:szCs w:val="32"/>
        </w:rPr>
        <w:t>100%</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bookmarkStart w:id="64" w:name="_Toc1956_WPSOffice_Level2"/>
      <w:r>
        <w:rPr>
          <w:rFonts w:hint="eastAsia" w:ascii="黑体" w:hAnsi="宋体" w:eastAsia="黑体"/>
          <w:sz w:val="32"/>
          <w:szCs w:val="32"/>
        </w:rPr>
        <w:t>五、评价结论及建议</w:t>
      </w:r>
      <w:bookmarkEnd w:id="6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恢复学校宏志楼背后垮塌堡坎，排除宏志楼造成严重的安全隐患，达到预期效果。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无。</w:t>
      </w:r>
    </w:p>
    <w:p>
      <w:pPr>
        <w:pStyle w:val="2"/>
        <w:ind w:left="1060" w:hanging="640"/>
        <w:rPr>
          <w:rFonts w:ascii="仿宋_GB2312" w:hAnsi="宋体"/>
          <w:szCs w:val="32"/>
          <w:lang w:val="zh-CN"/>
        </w:rPr>
      </w:pPr>
    </w:p>
    <w:p>
      <w:pPr>
        <w:rPr>
          <w:rFonts w:ascii="仿宋_GB2312" w:hAnsi="宋体" w:eastAsia="仿宋_GB2312"/>
          <w:sz w:val="32"/>
          <w:szCs w:val="32"/>
          <w:lang w:val="zh-CN"/>
        </w:rPr>
      </w:pPr>
    </w:p>
    <w:p>
      <w:pPr>
        <w:pStyle w:val="2"/>
        <w:ind w:left="1060" w:hanging="640"/>
        <w:rPr>
          <w:rFonts w:ascii="仿宋_GB2312" w:hAnsi="宋体"/>
          <w:szCs w:val="32"/>
          <w:lang w:val="zh-CN"/>
        </w:rPr>
      </w:pPr>
    </w:p>
    <w:p>
      <w:pPr>
        <w:rPr>
          <w:lang w:val="zh-CN"/>
        </w:rPr>
      </w:pPr>
    </w:p>
    <w:p>
      <w:pPr>
        <w:spacing w:line="572" w:lineRule="exact"/>
        <w:jc w:val="left"/>
        <w:rPr>
          <w:rFonts w:ascii="仿宋_GB2312" w:hAnsi="仿宋_GB2312" w:eastAsia="黑体" w:cs="仿宋_GB2312"/>
          <w:sz w:val="32"/>
          <w:szCs w:val="32"/>
        </w:rPr>
      </w:pPr>
      <w:r>
        <w:rPr>
          <w:rFonts w:hint="eastAsia" w:ascii="黑体" w:hAnsi="黑体" w:eastAsia="黑体" w:cs="黑体"/>
          <w:sz w:val="32"/>
          <w:szCs w:val="32"/>
        </w:rPr>
        <w:t>附表</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Layout w:type="fixed"/>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pStyle w:val="2"/>
              <w:jc w:val="center"/>
            </w:pPr>
            <w:bookmarkStart w:id="65" w:name="_Toc15396618"/>
            <w:r>
              <w:rPr>
                <w:rFonts w:hint="eastAsia" w:asciiTheme="minorEastAsia" w:hAnsiTheme="minorEastAsia" w:eastAsiaTheme="minorEastAsia" w:cstheme="minorEastAsia"/>
                <w:b/>
                <w:bCs/>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Layout w:type="fixed"/>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Cs w:val="21"/>
              </w:rPr>
              <w:t>四川广元市零八一中学</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6</w:t>
            </w:r>
          </w:p>
        </w:tc>
      </w:tr>
      <w:tr>
        <w:tblPrEx>
          <w:tblLayout w:type="fixed"/>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6</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Layout w:type="fixed"/>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Layout w:type="fixed"/>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恢复重建学校宏志楼背后堡坎垮塌围墙20余米，堡坎25立方米，排除对宏志楼造成严重的安全隐患。</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完成学校宏志楼背后堡坎垮塌围墙20余米，堡坎25立方米的恢复重建，排除对宏志楼造成严重的安全隐患。</w:t>
            </w:r>
          </w:p>
        </w:tc>
      </w:tr>
      <w:tr>
        <w:tblPrEx>
          <w:tblLayout w:type="fixed"/>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恢复受损</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Cs w:val="21"/>
              </w:rPr>
              <w:t>围墙20米、堡坎25立方米</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荷载等级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30KN/M2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62"/>
              </w:tabs>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抗震设防烈度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4"/>
              </w:rPr>
              <w:t>7度（0.05g）</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完成及时率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Layout w:type="fixed"/>
          <w:tblCellMar>
            <w:top w:w="0" w:type="dxa"/>
            <w:left w:w="108" w:type="dxa"/>
            <w:bottom w:w="0" w:type="dxa"/>
            <w:right w:w="108" w:type="dxa"/>
          </w:tblCellMar>
        </w:tblPrEx>
        <w:trPr>
          <w:gridAfter w:val="1"/>
          <w:wAfter w:w="236" w:type="dxa"/>
          <w:trHeight w:val="9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控制在预算内</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6万元</w:t>
            </w: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师生安全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有效保障</w:t>
            </w:r>
          </w:p>
        </w:tc>
      </w:tr>
      <w:tr>
        <w:tblPrEx>
          <w:tblLayout w:type="fixed"/>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使用年限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30年</w:t>
            </w:r>
          </w:p>
        </w:tc>
      </w:tr>
      <w:tr>
        <w:tblPrEx>
          <w:tblLayout w:type="fixed"/>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Cs w:val="21"/>
              </w:rPr>
              <w:t>服务对象学生和家长满意度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bl>
    <w:p>
      <w:pPr>
        <w:pStyle w:val="6"/>
        <w:spacing w:before="93"/>
        <w:rPr>
          <w:rFonts w:hAnsi="宋体" w:cs="宋体"/>
          <w:sz w:val="32"/>
          <w:szCs w:val="32"/>
          <w:shd w:val="clear" w:color="auto" w:fill="FFFFFF"/>
          <w:lang w:val="zh-CN"/>
        </w:rPr>
      </w:pPr>
    </w:p>
    <w:p>
      <w:pPr>
        <w:pStyle w:val="6"/>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spacing w:line="600" w:lineRule="exact"/>
        <w:jc w:val="center"/>
        <w:rPr>
          <w:rFonts w:ascii="方正小标宋简体" w:hAnsi="方正小标宋简体" w:eastAsia="方正小标宋简体" w:cs="方正小标宋简体"/>
          <w:sz w:val="40"/>
          <w:szCs w:val="40"/>
          <w:lang w:val="zh-CN"/>
        </w:rPr>
      </w:pPr>
      <w:bookmarkStart w:id="66" w:name="_Toc8139_WPSOffice_Level2"/>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bookmarkEnd w:id="66"/>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（校园安保经费）</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bookmarkStart w:id="67" w:name="_Toc26161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6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1．广元市本级</w:t>
      </w:r>
      <w:r>
        <w:rPr>
          <w:rFonts w:hint="eastAsia" w:ascii="仿宋_GB2312" w:hAnsi="宋体" w:eastAsia="仿宋_GB2312"/>
          <w:sz w:val="32"/>
          <w:szCs w:val="32"/>
        </w:rPr>
        <w:t>6所义务教育阶段学校需配备26名保安，拟</w:t>
      </w:r>
      <w:r>
        <w:rPr>
          <w:rFonts w:hint="eastAsia" w:ascii="仿宋_GB2312" w:hAnsi="宋体" w:eastAsia="仿宋_GB2312"/>
          <w:sz w:val="32"/>
          <w:szCs w:val="32"/>
          <w:lang w:eastAsia="zh-CN"/>
        </w:rPr>
        <w:t>按照</w:t>
      </w:r>
      <w:r>
        <w:rPr>
          <w:rFonts w:hint="eastAsia" w:ascii="仿宋_GB2312" w:hAnsi="宋体" w:eastAsia="仿宋_GB2312"/>
          <w:sz w:val="32"/>
          <w:szCs w:val="32"/>
        </w:rPr>
        <w:t>3.5万元/年/人标准核算。用于保安人员工资，保安公司管理费、服装费、保安器材费和保安培训费</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2．按义务教育学校配备保安标准，我校需配备</w:t>
      </w:r>
      <w:r>
        <w:rPr>
          <w:rFonts w:hint="eastAsia" w:ascii="仿宋_GB2312" w:hAnsi="宋体" w:eastAsia="仿宋_GB2312"/>
          <w:sz w:val="32"/>
          <w:szCs w:val="32"/>
        </w:rPr>
        <w:t>5名</w:t>
      </w:r>
      <w:r>
        <w:rPr>
          <w:rFonts w:hint="eastAsia" w:ascii="仿宋_GB2312" w:hAnsi="宋体" w:eastAsia="仿宋_GB2312"/>
          <w:sz w:val="32"/>
          <w:szCs w:val="32"/>
          <w:lang w:eastAsia="zh-CN"/>
        </w:rPr>
        <w:t>安保人员</w:t>
      </w:r>
      <w:r>
        <w:rPr>
          <w:rFonts w:hint="eastAsia" w:ascii="仿宋_GB2312" w:hAnsi="宋体" w:eastAsia="仿宋_GB2312"/>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3．根据资金管理办法，用于</w:t>
      </w:r>
      <w:r>
        <w:rPr>
          <w:rFonts w:hint="eastAsia" w:ascii="仿宋_GB2312" w:hAnsi="宋体" w:eastAsia="仿宋_GB2312"/>
          <w:sz w:val="32"/>
          <w:szCs w:val="32"/>
        </w:rPr>
        <w:t>安保人员工资，安保公司管理费、服装费、安保器材费和安保培训费</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4．资金分配的原则：按照</w:t>
      </w:r>
      <w:r>
        <w:rPr>
          <w:rFonts w:hint="eastAsia" w:ascii="仿宋_GB2312" w:hAnsi="宋体" w:eastAsia="仿宋_GB2312"/>
          <w:sz w:val="32"/>
          <w:szCs w:val="32"/>
        </w:rPr>
        <w:t>3.5万元/年标准核算，专款专用。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1．校园安保经费项目主要内容是用于义务教育阶段学校配备安保人员的相关支出。</w:t>
      </w:r>
    </w:p>
    <w:p>
      <w:pPr>
        <w:adjustRightInd w:val="0"/>
        <w:snapToGrid w:val="0"/>
        <w:spacing w:line="576"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2．校园安保经费项目实现的具体绩效目标：聘请</w:t>
      </w:r>
      <w:r>
        <w:rPr>
          <w:rFonts w:hint="eastAsia" w:ascii="仿宋_GB2312" w:hAnsi="宋体" w:eastAsia="仿宋_GB2312"/>
          <w:sz w:val="32"/>
          <w:szCs w:val="32"/>
        </w:rPr>
        <w:t>5名保安，保障学校日常教育教学工作的正常开展，做好校园三防工作，校园及周边公共社会秩序的维护与提升</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3．校园安保经费项目申报内容与实际相符，申报目标合理可行。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本着科学、规范、独立、客观、公正的原则，运用评价比较法、因素分析法、成本效益分析法、公众（专家）评判法，通过对决策、过程、产出和效益的比较和分析，对项目绩效情况进行综合评价。</w:t>
      </w:r>
    </w:p>
    <w:p>
      <w:pPr>
        <w:adjustRightInd w:val="0"/>
        <w:snapToGrid w:val="0"/>
        <w:spacing w:line="600" w:lineRule="exact"/>
        <w:ind w:firstLine="720"/>
        <w:rPr>
          <w:rFonts w:ascii="黑体" w:hAnsi="宋体" w:eastAsia="黑体"/>
          <w:sz w:val="32"/>
          <w:szCs w:val="32"/>
        </w:rPr>
      </w:pPr>
      <w:bookmarkStart w:id="68" w:name="_Toc26083_WPSOffice_Level2"/>
      <w:r>
        <w:rPr>
          <w:rFonts w:hint="eastAsia" w:ascii="黑体" w:hAnsi="宋体" w:eastAsia="黑体"/>
          <w:sz w:val="32"/>
          <w:szCs w:val="32"/>
        </w:rPr>
        <w:t>二、项目资金申报及使用情况</w:t>
      </w:r>
      <w:bookmarkEnd w:id="68"/>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left="319" w:leftChars="152" w:firstLine="774" w:firstLineChars="242"/>
        <w:rPr>
          <w:rFonts w:ascii="仿宋_GB2312" w:hAnsi="宋体" w:eastAsia="仿宋_GB2312"/>
          <w:sz w:val="32"/>
          <w:szCs w:val="32"/>
          <w:lang w:val="zh-CN"/>
        </w:rPr>
      </w:pPr>
      <w:r>
        <w:rPr>
          <w:rFonts w:hint="eastAsia" w:ascii="仿宋_GB2312" w:hAnsi="宋体" w:eastAsia="仿宋_GB2312"/>
          <w:sz w:val="32"/>
          <w:szCs w:val="32"/>
          <w:lang w:val="zh-CN"/>
        </w:rPr>
        <w:t>根据相关要求，配备合适的安保人员，按</w:t>
      </w:r>
      <w:r>
        <w:rPr>
          <w:rFonts w:hint="eastAsia" w:ascii="仿宋_GB2312" w:hAnsi="宋体" w:eastAsia="仿宋_GB2312"/>
          <w:sz w:val="32"/>
          <w:szCs w:val="32"/>
        </w:rPr>
        <w:t>3.5万元/年/人标准申报项目资金17.5万元</w:t>
      </w:r>
      <w:r>
        <w:rPr>
          <w:rFonts w:hint="eastAsia" w:ascii="仿宋_GB2312" w:hAnsi="宋体" w:eastAsia="仿宋_GB2312"/>
          <w:sz w:val="32"/>
          <w:szCs w:val="32"/>
          <w:lang w:val="zh-CN"/>
        </w:rPr>
        <w:t>、批复及预算调整等程序符合规定。（广财教【</w:t>
      </w:r>
      <w:r>
        <w:rPr>
          <w:rFonts w:hint="eastAsia" w:ascii="仿宋_GB2312" w:hAnsi="宋体" w:eastAsia="仿宋_GB2312"/>
          <w:sz w:val="32"/>
          <w:szCs w:val="32"/>
        </w:rPr>
        <w:t>2021】128号）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校园安保经费项目资金计划为</w:t>
      </w:r>
      <w:r>
        <w:rPr>
          <w:rFonts w:hint="eastAsia" w:ascii="仿宋_GB2312" w:hAnsi="宋体" w:eastAsia="仿宋_GB2312"/>
          <w:sz w:val="32"/>
          <w:szCs w:val="32"/>
        </w:rPr>
        <w:t>17.5万元，</w:t>
      </w:r>
      <w:r>
        <w:rPr>
          <w:rFonts w:hint="eastAsia" w:ascii="仿宋_GB2312" w:hAnsi="宋体" w:eastAsia="仿宋_GB2312"/>
          <w:sz w:val="32"/>
          <w:szCs w:val="32"/>
          <w:lang w:val="zh-CN"/>
        </w:rPr>
        <w:t>其中市级财政资金</w:t>
      </w:r>
      <w:r>
        <w:rPr>
          <w:rFonts w:hint="eastAsia" w:ascii="仿宋_GB2312" w:hAnsi="宋体" w:eastAsia="仿宋_GB2312"/>
          <w:sz w:val="32"/>
          <w:szCs w:val="32"/>
        </w:rPr>
        <w:t>17.5万元</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校园安保经费项目资金计划为</w:t>
      </w:r>
      <w:r>
        <w:rPr>
          <w:rFonts w:hint="eastAsia" w:ascii="仿宋_GB2312" w:hAnsi="宋体" w:eastAsia="仿宋_GB2312"/>
          <w:sz w:val="32"/>
          <w:szCs w:val="32"/>
        </w:rPr>
        <w:t>17.5万元，</w:t>
      </w:r>
      <w:r>
        <w:rPr>
          <w:rFonts w:hint="eastAsia" w:ascii="仿宋_GB2312" w:hAnsi="宋体" w:eastAsia="仿宋_GB2312"/>
          <w:sz w:val="32"/>
          <w:szCs w:val="32"/>
          <w:lang w:val="zh-CN"/>
        </w:rPr>
        <w:t>其中市级财政资金</w:t>
      </w:r>
      <w:r>
        <w:rPr>
          <w:rFonts w:hint="eastAsia" w:ascii="仿宋_GB2312" w:hAnsi="宋体" w:eastAsia="仿宋_GB2312"/>
          <w:sz w:val="32"/>
          <w:szCs w:val="32"/>
        </w:rPr>
        <w:t>17.5万元</w:t>
      </w:r>
      <w:r>
        <w:rPr>
          <w:rFonts w:hint="eastAsia" w:ascii="仿宋_GB2312" w:hAnsi="宋体" w:eastAsia="仿宋_GB2312"/>
          <w:sz w:val="32"/>
          <w:szCs w:val="32"/>
          <w:lang w:val="zh-CN"/>
        </w:rPr>
        <w:t>。资金到位情况与资金计划进行比对，资金到位率</w:t>
      </w:r>
      <w:r>
        <w:rPr>
          <w:rFonts w:hint="eastAsia" w:ascii="仿宋_GB2312" w:hAnsi="宋体" w:eastAsia="仿宋_GB2312"/>
          <w:sz w:val="32"/>
          <w:szCs w:val="32"/>
        </w:rPr>
        <w:t>100%</w:t>
      </w:r>
      <w:r>
        <w:rPr>
          <w:rFonts w:hint="eastAsia" w:ascii="仿宋_GB2312" w:hAnsi="宋体" w:eastAsia="仿宋_GB2312"/>
          <w:sz w:val="32"/>
          <w:szCs w:val="32"/>
          <w:lang w:val="zh-CN"/>
        </w:rPr>
        <w:t>、到位及时。</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校园安保经费用于支付学校按要求配备安保人员的相关费用支出，资金支付范围、支付标准、支付进度、支付依据合规合法、与预算相符。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本单位项目资金，财务管理制度健全，严格执行财务管理制度，账务处理及时，会计核算规范。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bookmarkStart w:id="69" w:name="_Toc12239_WPSOffice_Level2"/>
      <w:r>
        <w:rPr>
          <w:rFonts w:hint="eastAsia" w:ascii="黑体" w:hAnsi="宋体" w:eastAsia="黑体"/>
          <w:sz w:val="32"/>
          <w:szCs w:val="32"/>
        </w:rPr>
        <w:t>三、项目实施及管理情况</w:t>
      </w:r>
      <w:bookmarkEnd w:id="69"/>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b/>
          <w:sz w:val="32"/>
          <w:szCs w:val="32"/>
          <w:lang w:val="zh-CN"/>
        </w:rPr>
        <w:t>（一）项目组织架构及实施流程。</w:t>
      </w:r>
      <w:r>
        <w:rPr>
          <w:rFonts w:hint="eastAsia" w:ascii="仿宋_GB2312" w:hAnsi="宋体" w:eastAsia="仿宋_GB2312"/>
          <w:sz w:val="32"/>
          <w:szCs w:val="32"/>
          <w:lang w:val="zh-CN"/>
        </w:rPr>
        <w:t>市级教育专项资金下达零八一中学校园安保经费</w:t>
      </w:r>
      <w:r>
        <w:rPr>
          <w:rFonts w:hint="eastAsia" w:ascii="仿宋_GB2312" w:hAnsi="宋体" w:eastAsia="仿宋_GB2312"/>
          <w:sz w:val="32"/>
          <w:szCs w:val="32"/>
        </w:rPr>
        <w:t>17.5万元，结合实际专款专用，切实提高财政资金使用绩效。</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按照相关法律法规及项目管理制度对项目实施。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为加强项目管理，对项目全过程进行监督管理。</w:t>
      </w:r>
    </w:p>
    <w:p>
      <w:pPr>
        <w:adjustRightInd w:val="0"/>
        <w:snapToGrid w:val="0"/>
        <w:spacing w:line="600" w:lineRule="exact"/>
        <w:ind w:firstLine="720"/>
        <w:rPr>
          <w:rFonts w:ascii="仿宋_GB2312" w:hAnsi="宋体" w:eastAsia="仿宋_GB2312"/>
          <w:sz w:val="32"/>
          <w:szCs w:val="32"/>
          <w:lang w:val="zh-CN"/>
        </w:rPr>
      </w:pPr>
      <w:bookmarkStart w:id="70" w:name="_Toc29173_WPSOffice_Level2"/>
      <w:r>
        <w:rPr>
          <w:rFonts w:hint="eastAsia" w:ascii="黑体" w:hAnsi="宋体" w:eastAsia="黑体"/>
          <w:sz w:val="32"/>
          <w:szCs w:val="32"/>
        </w:rPr>
        <w:t>四、项目绩效情况</w:t>
      </w:r>
      <w:bookmarkEnd w:id="70"/>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数量指标：年度使用项目资金17.5万元。</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质量指标：做好校园三防工作。</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rPr>
        <w:t>时效指标：2021年兑现</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满意度：≥90%；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社会效益：校园及周边公共社会秩序的维护与提升</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bookmarkStart w:id="71" w:name="_Toc6900_WPSOffice_Level2"/>
      <w:r>
        <w:rPr>
          <w:rFonts w:hint="eastAsia" w:ascii="黑体" w:hAnsi="宋体" w:eastAsia="黑体"/>
          <w:sz w:val="32"/>
          <w:szCs w:val="32"/>
        </w:rPr>
        <w:t>五、评价结论及建议</w:t>
      </w:r>
      <w:bookmarkEnd w:id="7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校园安保经费支付完成，校园三防工作得到维护和提升，达到预期效果。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1.安全力量有待增加。按照“教育部《中小学幼儿园安全防范工作规范（试行）》”第五条的要求，学校专职保安人员配备未达标。</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2.安保器材不足。</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适度增加校园安保经费，确保配足校园安保人员，配齐安保器材。</w:t>
      </w:r>
    </w:p>
    <w:p>
      <w:pPr>
        <w:spacing w:line="572" w:lineRule="exact"/>
        <w:jc w:val="left"/>
        <w:rPr>
          <w:rFonts w:ascii="黑体" w:hAnsi="黑体" w:eastAsia="黑体" w:cs="黑体"/>
          <w:sz w:val="32"/>
          <w:szCs w:val="32"/>
        </w:rPr>
      </w:pPr>
    </w:p>
    <w:p>
      <w:pPr>
        <w:spacing w:line="572" w:lineRule="exact"/>
        <w:jc w:val="left"/>
        <w:rPr>
          <w:rFonts w:ascii="仿宋_GB2312" w:hAnsi="仿宋_GB2312" w:eastAsia="黑体" w:cs="仿宋_GB2312"/>
          <w:sz w:val="32"/>
          <w:szCs w:val="32"/>
        </w:rPr>
      </w:pPr>
      <w:r>
        <w:rPr>
          <w:rFonts w:hint="eastAsia" w:ascii="黑体" w:hAnsi="黑体" w:eastAsia="黑体" w:cs="黑体"/>
          <w:sz w:val="32"/>
          <w:szCs w:val="32"/>
        </w:rPr>
        <w:t>附表</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Layout w:type="fixed"/>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Theme="minorEastAsia" w:hAnsiTheme="minorEastAsia" w:eastAsiaTheme="minorEastAsia" w:cstheme="minorEastAsia"/>
                <w:b/>
                <w:bCs/>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Layout w:type="fixed"/>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四川省广元市零八一中学</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17.5</w:t>
            </w:r>
          </w:p>
        </w:tc>
      </w:tr>
      <w:tr>
        <w:tblPrEx>
          <w:tblLayout w:type="fixed"/>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17.5</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Layout w:type="fixed"/>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Layout w:type="fixed"/>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配备5名安保人员，保障学校三防工作，维护校园及周边公共社会秩序。</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配备5名安保人员，保障学校三防工作，维护校园及周边公共社会秩序。</w:t>
            </w:r>
          </w:p>
        </w:tc>
      </w:tr>
      <w:tr>
        <w:tblPrEx>
          <w:tblLayout w:type="fixed"/>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安保人员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配备5人</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按标准足额支付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按月及时支付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控制在预算内</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17.5万元</w:t>
            </w: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确保校园平安</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Layout w:type="fixed"/>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959"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服务对象学生和家长满意度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r>
    </w:tbl>
    <w:p>
      <w:pPr>
        <w:spacing w:line="600" w:lineRule="exact"/>
        <w:jc w:val="center"/>
        <w:rPr>
          <w:rFonts w:ascii="黑体" w:hAnsi="黑体" w:eastAsia="黑体"/>
          <w:sz w:val="44"/>
          <w:szCs w:val="44"/>
        </w:rPr>
      </w:pPr>
    </w:p>
    <w:p>
      <w:pPr>
        <w:pStyle w:val="6"/>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3</w:t>
      </w:r>
    </w:p>
    <w:p>
      <w:pPr>
        <w:spacing w:line="600" w:lineRule="exact"/>
        <w:jc w:val="center"/>
        <w:rPr>
          <w:rFonts w:ascii="方正小标宋简体" w:hAnsi="方正小标宋简体" w:eastAsia="方正小标宋简体" w:cs="方正小标宋简体"/>
          <w:sz w:val="40"/>
          <w:szCs w:val="40"/>
          <w:lang w:val="zh-CN"/>
        </w:rPr>
      </w:pPr>
      <w:bookmarkStart w:id="72" w:name="_Toc9232_WPSOffice_Level2"/>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bookmarkEnd w:id="72"/>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（小学部异地扩建项目一期）</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bookmarkStart w:id="73" w:name="_Toc17694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73"/>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1．主管部门定期对项目工程工作进行检查，根据检查结果对项目进行考核。</w:t>
      </w:r>
    </w:p>
    <w:p>
      <w:pPr>
        <w:adjustRightInd w:val="0"/>
        <w:snapToGrid w:val="0"/>
        <w:spacing w:line="576" w:lineRule="exact"/>
        <w:ind w:firstLine="720"/>
        <w:rPr>
          <w:rFonts w:ascii="仿宋_GB2312" w:hAnsi="宋体" w:eastAsia="仿宋_GB2312"/>
          <w:sz w:val="32"/>
          <w:szCs w:val="32"/>
        </w:rPr>
      </w:pPr>
      <w:r>
        <w:rPr>
          <w:rFonts w:hint="eastAsia" w:ascii="仿宋_GB2312" w:hAnsi="宋体" w:eastAsia="仿宋_GB2312"/>
          <w:sz w:val="32"/>
          <w:szCs w:val="32"/>
          <w:lang w:val="zh-CN"/>
        </w:rPr>
        <w:t>2．</w:t>
      </w:r>
      <w:r>
        <w:rPr>
          <w:rFonts w:hint="eastAsia" w:ascii="仿宋_GB2312" w:hAnsi="宋体" w:eastAsia="仿宋_GB2312"/>
          <w:sz w:val="32"/>
          <w:szCs w:val="32"/>
        </w:rPr>
        <w:t>081中学小学异地扩建项目一期于2018年10月立项，2019年1月开工建设。因拆迁及地下停车场建设资金问题，该项目于2020年6月停工。2021年5月081中学小学部异地扩建项目（一期）完成全部拆迁工作，6月项目全面复工，地下停车场实施建设，2021年12月地下停车场建设基本完成。</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根据项目资金管理办法，该项目资金专款专用，按项目进度及时支付项目资金。</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4．资金分配的原则按项目进度和拆迁补偿要求对项目资金进行申报拨付。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hAnsi="宋体" w:eastAsia="仿宋_GB2312"/>
          <w:sz w:val="32"/>
          <w:szCs w:val="32"/>
        </w:rPr>
        <w:t>小学部异地扩项目（一期）地面教学楼和地下停车</w:t>
      </w:r>
      <w:r>
        <w:rPr>
          <w:rFonts w:hint="eastAsia" w:ascii="仿宋_GB2312" w:hAnsi="宋体" w:eastAsia="仿宋_GB2312"/>
          <w:sz w:val="32"/>
          <w:szCs w:val="32"/>
          <w:lang w:eastAsia="zh-CN"/>
        </w:rPr>
        <w:t>场</w:t>
      </w:r>
      <w:r>
        <w:rPr>
          <w:rFonts w:hint="eastAsia" w:ascii="仿宋_GB2312" w:hAnsi="宋体" w:eastAsia="仿宋_GB2312"/>
          <w:sz w:val="32"/>
          <w:szCs w:val="32"/>
        </w:rPr>
        <w:t>建设已全部完成，小学部异地扩建项目（一期）正在实施大门及绿化等附属设施建设。计划2022年9月投入使用。</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2．小学部异地扩建项目完成拆除旧楼</w:t>
      </w:r>
      <w:r>
        <w:rPr>
          <w:rFonts w:hint="eastAsia" w:ascii="仿宋_GB2312" w:hAnsi="宋体" w:eastAsia="仿宋_GB2312"/>
          <w:sz w:val="32"/>
          <w:szCs w:val="32"/>
        </w:rPr>
        <w:t>3500平方米，新建教学楼7029平方米（含地下部分）、大门及门卫室86平方米，运动场1471.74平方米，地下停车场主体构架。</w:t>
      </w:r>
      <w:r>
        <w:rPr>
          <w:rFonts w:hint="eastAsia" w:ascii="仿宋_GB2312" w:hAnsi="宋体" w:eastAsia="仿宋_GB2312"/>
          <w:sz w:val="32"/>
          <w:szCs w:val="32"/>
          <w:lang w:val="zh-CN"/>
        </w:rPr>
        <w:t>按</w:t>
      </w:r>
      <w:r>
        <w:rPr>
          <w:rFonts w:hint="eastAsia" w:ascii="仿宋_GB2312" w:hAnsi="宋体" w:eastAsia="仿宋_GB2312"/>
          <w:sz w:val="32"/>
          <w:szCs w:val="32"/>
        </w:rPr>
        <w:t>2021年</w:t>
      </w:r>
      <w:r>
        <w:rPr>
          <w:rFonts w:hint="eastAsia" w:ascii="仿宋_GB2312" w:hAnsi="宋体" w:eastAsia="仿宋_GB2312"/>
          <w:sz w:val="32"/>
          <w:szCs w:val="32"/>
          <w:lang w:val="zh-CN"/>
        </w:rPr>
        <w:t>项目工作安排，完成</w:t>
      </w:r>
      <w:r>
        <w:rPr>
          <w:rFonts w:hint="eastAsia" w:ascii="仿宋_GB2312" w:hAnsi="宋体" w:eastAsia="仿宋_GB2312"/>
          <w:sz w:val="32"/>
          <w:szCs w:val="32"/>
        </w:rPr>
        <w:t>2021年任务量并达标准。</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3．小学部异地扩建项目申报内容与实际相符，申报目标合理可行。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本着科学、规范、独立、客观、公正的原则，运用评价比较法、因素分析法、成本效益分析法、公众（专家）评判法，通过对决策、过程、产出和效益的比较和分析，对项目绩效情况进行综合评价。</w:t>
      </w:r>
    </w:p>
    <w:p>
      <w:pPr>
        <w:adjustRightInd w:val="0"/>
        <w:snapToGrid w:val="0"/>
        <w:spacing w:line="600" w:lineRule="exact"/>
        <w:ind w:firstLine="720"/>
        <w:rPr>
          <w:rFonts w:ascii="黑体" w:hAnsi="宋体" w:eastAsia="黑体"/>
          <w:sz w:val="32"/>
          <w:szCs w:val="32"/>
        </w:rPr>
      </w:pPr>
      <w:bookmarkStart w:id="74" w:name="_Toc4803_WPSOffice_Level2"/>
      <w:r>
        <w:rPr>
          <w:rFonts w:hint="eastAsia" w:ascii="黑体" w:hAnsi="宋体" w:eastAsia="黑体"/>
          <w:sz w:val="32"/>
          <w:szCs w:val="32"/>
        </w:rPr>
        <w:t>二、项目资金申报及使用情况</w:t>
      </w:r>
      <w:bookmarkEnd w:id="7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2021年按项目进度申报资金，共</w:t>
      </w:r>
      <w:r>
        <w:rPr>
          <w:rFonts w:hint="eastAsia" w:ascii="仿宋_GB2312" w:hAnsi="宋体" w:eastAsia="仿宋_GB2312"/>
          <w:sz w:val="32"/>
          <w:szCs w:val="32"/>
          <w:lang w:val="zh-CN"/>
        </w:rPr>
        <w:t>下达小学部异地扩建项目一期专项建设资金三次，共计</w:t>
      </w:r>
      <w:r>
        <w:rPr>
          <w:rFonts w:hint="eastAsia" w:ascii="仿宋_GB2312" w:hAnsi="宋体" w:eastAsia="仿宋_GB2312"/>
          <w:sz w:val="32"/>
          <w:szCs w:val="32"/>
        </w:rPr>
        <w:t>507.55万元。分别是2021年9月6日下达基金指标110.5万元（广财投【2021】139号），2021年11月29日下达基金指标240万元（广财投【2021】192号），2021年12月31日下达157.05万元（广财教【2021】153号）</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rPr>
        <w:t>2021年下达项目拆迁资金344.88万元，分别是30万（广财教【2021】128号）、150万元（广财投【2021】020号-001）、164.88万元（广财投【2021】020号-001）</w:t>
      </w:r>
      <w:r>
        <w:rPr>
          <w:rFonts w:hint="eastAsia" w:ascii="仿宋_GB2312" w:hAnsi="宋体" w:eastAsia="仿宋_GB2312"/>
          <w:sz w:val="32"/>
          <w:szCs w:val="32"/>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该项目各类资金计划共计</w:t>
      </w:r>
      <w:r>
        <w:rPr>
          <w:rFonts w:hint="eastAsia" w:ascii="仿宋_GB2312" w:hAnsi="宋体" w:eastAsia="仿宋_GB2312"/>
          <w:sz w:val="32"/>
          <w:szCs w:val="32"/>
        </w:rPr>
        <w:t>852.43万元，</w:t>
      </w:r>
      <w:r>
        <w:rPr>
          <w:rFonts w:hint="eastAsia" w:ascii="仿宋_GB2312" w:hAnsi="宋体" w:eastAsia="仿宋_GB2312"/>
          <w:sz w:val="32"/>
          <w:szCs w:val="32"/>
          <w:lang w:val="zh-CN"/>
        </w:rPr>
        <w:t>包括市财政资金</w:t>
      </w:r>
      <w:r>
        <w:rPr>
          <w:rFonts w:hint="eastAsia" w:ascii="仿宋_GB2312" w:hAnsi="宋体" w:eastAsia="仿宋_GB2312"/>
          <w:sz w:val="32"/>
          <w:szCs w:val="32"/>
        </w:rPr>
        <w:t>852.43万元，其中一般公共预算</w:t>
      </w:r>
      <w:r>
        <w:rPr>
          <w:rFonts w:hint="eastAsia" w:ascii="仿宋_GB2312" w:hAnsi="宋体" w:eastAsia="仿宋_GB2312"/>
          <w:sz w:val="32"/>
          <w:szCs w:val="32"/>
          <w:lang w:val="en-US" w:eastAsia="zh-CN"/>
        </w:rPr>
        <w:t>35</w:t>
      </w:r>
      <w:r>
        <w:rPr>
          <w:rFonts w:hint="eastAsia" w:ascii="仿宋_GB2312" w:hAnsi="宋体" w:eastAsia="仿宋_GB2312"/>
          <w:sz w:val="32"/>
          <w:szCs w:val="32"/>
        </w:rPr>
        <w:t>1.93万元，政府性基金预算</w:t>
      </w:r>
      <w:r>
        <w:rPr>
          <w:rFonts w:hint="eastAsia" w:ascii="仿宋_GB2312" w:hAnsi="宋体" w:eastAsia="仿宋_GB2312"/>
          <w:sz w:val="32"/>
          <w:szCs w:val="32"/>
          <w:lang w:val="en-US" w:eastAsia="zh-CN"/>
        </w:rPr>
        <w:t>500</w:t>
      </w:r>
      <w:r>
        <w:rPr>
          <w:rFonts w:hint="eastAsia" w:ascii="仿宋_GB2312" w:hAnsi="宋体" w:eastAsia="仿宋_GB2312"/>
          <w:sz w:val="32"/>
          <w:szCs w:val="32"/>
        </w:rPr>
        <w:t>.5万元。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rPr>
        <w:t>2021年</w:t>
      </w:r>
      <w:r>
        <w:rPr>
          <w:rFonts w:hint="eastAsia" w:ascii="仿宋_GB2312" w:hAnsi="宋体" w:eastAsia="仿宋_GB2312"/>
          <w:sz w:val="32"/>
          <w:szCs w:val="32"/>
          <w:lang w:val="zh-CN"/>
        </w:rPr>
        <w:t>该项目建设资金实际到位</w:t>
      </w:r>
      <w:r>
        <w:rPr>
          <w:rFonts w:hint="eastAsia" w:ascii="仿宋_GB2312" w:hAnsi="宋体" w:eastAsia="仿宋_GB2312"/>
          <w:sz w:val="32"/>
          <w:szCs w:val="32"/>
        </w:rPr>
        <w:t>507.55万元</w:t>
      </w:r>
      <w:r>
        <w:rPr>
          <w:rFonts w:hint="eastAsia" w:ascii="仿宋_GB2312" w:hAnsi="宋体" w:eastAsia="仿宋_GB2312"/>
          <w:sz w:val="32"/>
          <w:szCs w:val="32"/>
          <w:lang w:val="zh-CN"/>
        </w:rPr>
        <w:t>，市级财政资金</w:t>
      </w:r>
      <w:r>
        <w:rPr>
          <w:rFonts w:hint="eastAsia" w:ascii="仿宋_GB2312" w:hAnsi="宋体" w:eastAsia="仿宋_GB2312"/>
          <w:sz w:val="32"/>
          <w:szCs w:val="32"/>
        </w:rPr>
        <w:t>507.55万元</w:t>
      </w:r>
      <w:r>
        <w:rPr>
          <w:rFonts w:hint="eastAsia" w:ascii="仿宋_GB2312" w:hAnsi="宋体" w:eastAsia="仿宋_GB2312"/>
          <w:sz w:val="32"/>
          <w:szCs w:val="32"/>
          <w:lang w:val="zh-CN"/>
        </w:rPr>
        <w:t>。将资金到位情况与资金计划进行比对，资金到位率</w:t>
      </w:r>
      <w:r>
        <w:rPr>
          <w:rFonts w:hint="eastAsia" w:ascii="仿宋_GB2312" w:hAnsi="宋体" w:eastAsia="仿宋_GB2312"/>
          <w:sz w:val="32"/>
          <w:szCs w:val="32"/>
        </w:rPr>
        <w:t>100%</w:t>
      </w:r>
      <w:r>
        <w:rPr>
          <w:rFonts w:hint="eastAsia" w:ascii="仿宋_GB2312" w:hAnsi="宋体" w:eastAsia="仿宋_GB2312"/>
          <w:sz w:val="32"/>
          <w:szCs w:val="32"/>
          <w:lang w:val="zh-CN"/>
        </w:rPr>
        <w:t>、并及时到位。</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2021年该项目拆迁资金实际到位344.88万元，</w:t>
      </w:r>
      <w:r>
        <w:rPr>
          <w:rFonts w:hint="eastAsia" w:ascii="仿宋_GB2312" w:hAnsi="宋体" w:eastAsia="仿宋_GB2312"/>
          <w:sz w:val="32"/>
          <w:szCs w:val="32"/>
          <w:lang w:eastAsia="zh-CN"/>
        </w:rPr>
        <w:t>市级</w:t>
      </w:r>
      <w:r>
        <w:rPr>
          <w:rFonts w:hint="eastAsia" w:ascii="仿宋_GB2312" w:hAnsi="宋体" w:eastAsia="仿宋_GB2312"/>
          <w:sz w:val="32"/>
          <w:szCs w:val="32"/>
        </w:rPr>
        <w:t>财政资金</w:t>
      </w:r>
      <w:r>
        <w:rPr>
          <w:rFonts w:hint="eastAsia" w:ascii="仿宋_GB2312" w:hAnsi="宋体" w:eastAsia="仿宋_GB2312"/>
          <w:sz w:val="32"/>
          <w:szCs w:val="32"/>
          <w:lang w:val="en-US" w:eastAsia="zh-CN"/>
        </w:rPr>
        <w:t>344.88万元</w:t>
      </w:r>
      <w:r>
        <w:rPr>
          <w:rFonts w:hint="eastAsia" w:ascii="仿宋_GB2312" w:hAnsi="宋体" w:eastAsia="仿宋_GB2312"/>
          <w:sz w:val="32"/>
          <w:szCs w:val="32"/>
        </w:rPr>
        <w:t>。</w:t>
      </w:r>
      <w:r>
        <w:rPr>
          <w:rFonts w:hint="eastAsia" w:ascii="仿宋_GB2312" w:hAnsi="宋体" w:eastAsia="仿宋_GB2312"/>
          <w:sz w:val="32"/>
          <w:szCs w:val="32"/>
          <w:lang w:val="zh-CN"/>
        </w:rPr>
        <w:t>将资金到位情况与资金计划进行比对</w:t>
      </w:r>
      <w:r>
        <w:rPr>
          <w:rFonts w:hint="eastAsia" w:ascii="仿宋_GB2312" w:hAnsi="宋体" w:eastAsia="仿宋_GB2312"/>
          <w:sz w:val="32"/>
          <w:szCs w:val="32"/>
        </w:rPr>
        <w:t>，到位率和及时率均达100%。</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rPr>
        <w:t>2021年该</w:t>
      </w:r>
      <w:r>
        <w:rPr>
          <w:rFonts w:hint="eastAsia" w:ascii="仿宋_GB2312" w:hAnsi="宋体" w:eastAsia="仿宋_GB2312"/>
          <w:sz w:val="32"/>
          <w:szCs w:val="32"/>
          <w:lang w:val="zh-CN"/>
        </w:rPr>
        <w:t>项目资金的实际支出</w:t>
      </w:r>
      <w:r>
        <w:rPr>
          <w:rFonts w:hint="eastAsia" w:ascii="仿宋_GB2312" w:hAnsi="宋体" w:eastAsia="仿宋_GB2312"/>
          <w:sz w:val="32"/>
          <w:szCs w:val="32"/>
        </w:rPr>
        <w:t>852.43万元</w:t>
      </w:r>
      <w:r>
        <w:rPr>
          <w:rFonts w:hint="eastAsia" w:ascii="仿宋_GB2312" w:hAnsi="宋体" w:eastAsia="仿宋_GB2312"/>
          <w:sz w:val="32"/>
          <w:szCs w:val="32"/>
          <w:lang w:val="zh-CN"/>
        </w:rPr>
        <w:t>，该项目地下停车场建设按工程进度支付</w:t>
      </w:r>
      <w:r>
        <w:rPr>
          <w:rFonts w:hint="eastAsia" w:ascii="仿宋_GB2312" w:hAnsi="宋体" w:eastAsia="仿宋_GB2312"/>
          <w:sz w:val="32"/>
          <w:szCs w:val="32"/>
        </w:rPr>
        <w:t>451.5万元，项目待摊支出56.05万元</w:t>
      </w:r>
      <w:r>
        <w:rPr>
          <w:rFonts w:hint="eastAsia" w:ascii="仿宋_GB2312" w:hAnsi="宋体" w:eastAsia="仿宋_GB2312"/>
          <w:sz w:val="32"/>
          <w:szCs w:val="32"/>
          <w:lang w:val="zh-CN"/>
        </w:rPr>
        <w:t>，拆迁补偿资金支付</w:t>
      </w:r>
      <w:r>
        <w:rPr>
          <w:rFonts w:hint="eastAsia" w:ascii="仿宋_GB2312" w:hAnsi="宋体" w:eastAsia="仿宋_GB2312"/>
          <w:sz w:val="32"/>
          <w:szCs w:val="32"/>
        </w:rPr>
        <w:t>344.88万元。</w:t>
      </w:r>
      <w:r>
        <w:rPr>
          <w:rFonts w:hint="eastAsia" w:ascii="仿宋_GB2312" w:hAnsi="宋体" w:eastAsia="仿宋_GB2312"/>
          <w:sz w:val="32"/>
          <w:szCs w:val="32"/>
          <w:lang w:val="zh-CN"/>
        </w:rPr>
        <w:t>支付依据合规合法，资金支付与预算相符。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严格执行国家相关财务制度，并建立相应的财务管理制度，配备合格财务人员负责项目资金的财务管理工作，严格会计核算，做到专款专用。严格资金报账审批手续，确保资金安全性和效益性，账务处理及时，会计核算规范。</w:t>
      </w:r>
    </w:p>
    <w:p>
      <w:pPr>
        <w:adjustRightInd w:val="0"/>
        <w:snapToGrid w:val="0"/>
        <w:spacing w:line="600" w:lineRule="exact"/>
        <w:ind w:firstLine="720"/>
        <w:rPr>
          <w:rFonts w:ascii="黑体" w:hAnsi="宋体" w:eastAsia="黑体"/>
          <w:sz w:val="32"/>
          <w:szCs w:val="32"/>
        </w:rPr>
      </w:pPr>
      <w:bookmarkStart w:id="75" w:name="_Toc9625_WPSOffice_Level2"/>
      <w:r>
        <w:rPr>
          <w:rFonts w:hint="eastAsia" w:ascii="黑体" w:hAnsi="宋体" w:eastAsia="黑体"/>
          <w:sz w:val="32"/>
          <w:szCs w:val="32"/>
        </w:rPr>
        <w:t>三、项目实施及管理情况</w:t>
      </w:r>
      <w:bookmarkEnd w:id="75"/>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宋体" w:eastAsia="仿宋_GB2312"/>
          <w:sz w:val="32"/>
          <w:szCs w:val="32"/>
          <w:lang w:val="zh-CN"/>
        </w:rPr>
        <w:t>学校成立了小学部异地扩建项目建设领导小组，整个项目建设都是在领导小组监督下执行，严格执行招标制，项目监理制，由监理公司审查施工进度、工程和建设内容、材料设备质量。同时，市教育局、市财政局在建设中不定期进行检查，形成齐抓共管形态，确保工程高标准，高质量。</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按照相关法律法规及项目管理制度对项目进行实施。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对该项目采取了全过程监督管理，保证了工程质量，并按时完成项目施工。</w:t>
      </w:r>
    </w:p>
    <w:p>
      <w:pPr>
        <w:adjustRightInd w:val="0"/>
        <w:snapToGrid w:val="0"/>
        <w:spacing w:line="600" w:lineRule="exact"/>
        <w:ind w:firstLine="720"/>
        <w:rPr>
          <w:rFonts w:ascii="仿宋_GB2312" w:hAnsi="宋体" w:eastAsia="仿宋_GB2312"/>
          <w:sz w:val="32"/>
          <w:szCs w:val="32"/>
          <w:lang w:val="zh-CN"/>
        </w:rPr>
      </w:pPr>
      <w:bookmarkStart w:id="76" w:name="_Toc3892_WPSOffice_Level2"/>
      <w:r>
        <w:rPr>
          <w:rFonts w:hint="eastAsia" w:ascii="黑体" w:hAnsi="宋体" w:eastAsia="黑体"/>
          <w:sz w:val="32"/>
          <w:szCs w:val="32"/>
        </w:rPr>
        <w:t>四、项目绩效情况</w:t>
      </w:r>
      <w:bookmarkEnd w:id="76"/>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小学部异地扩建项目完成拆除旧楼</w:t>
      </w:r>
      <w:r>
        <w:rPr>
          <w:rFonts w:hint="eastAsia" w:ascii="仿宋_GB2312" w:hAnsi="宋体" w:eastAsia="仿宋_GB2312"/>
          <w:sz w:val="32"/>
          <w:szCs w:val="32"/>
        </w:rPr>
        <w:t>3500平方米，新建教学楼7029平方米（含地下部分）、大门及门卫室86平方米</w:t>
      </w:r>
      <w:r>
        <w:rPr>
          <w:rFonts w:hint="eastAsia" w:ascii="仿宋_GB2312" w:hAnsi="宋体" w:eastAsia="仿宋_GB2312"/>
          <w:sz w:val="32"/>
          <w:szCs w:val="32"/>
          <w:lang w:eastAsia="zh-CN"/>
        </w:rPr>
        <w:t>、</w:t>
      </w:r>
      <w:r>
        <w:rPr>
          <w:rFonts w:hint="eastAsia" w:ascii="仿宋_GB2312" w:hAnsi="宋体" w:eastAsia="仿宋_GB2312"/>
          <w:sz w:val="32"/>
          <w:szCs w:val="32"/>
        </w:rPr>
        <w:t>运动场1471.74平方米</w:t>
      </w:r>
      <w:r>
        <w:rPr>
          <w:rFonts w:hint="eastAsia" w:ascii="仿宋_GB2312" w:hAnsi="宋体" w:eastAsia="仿宋_GB2312"/>
          <w:sz w:val="32"/>
          <w:szCs w:val="32"/>
          <w:lang w:eastAsia="zh-CN"/>
        </w:rPr>
        <w:t>、</w:t>
      </w:r>
      <w:r>
        <w:rPr>
          <w:rFonts w:hint="eastAsia" w:ascii="仿宋_GB2312" w:hAnsi="宋体" w:eastAsia="仿宋_GB2312"/>
          <w:sz w:val="32"/>
          <w:szCs w:val="32"/>
        </w:rPr>
        <w:t>地下停车场主体构架。</w:t>
      </w:r>
      <w:r>
        <w:rPr>
          <w:rFonts w:hint="eastAsia" w:ascii="仿宋_GB2312" w:hAnsi="宋体" w:eastAsia="仿宋_GB2312"/>
          <w:sz w:val="32"/>
          <w:szCs w:val="32"/>
          <w:lang w:val="zh-CN"/>
        </w:rPr>
        <w:t>按</w:t>
      </w:r>
      <w:r>
        <w:rPr>
          <w:rFonts w:hint="eastAsia" w:ascii="仿宋_GB2312" w:hAnsi="宋体" w:eastAsia="仿宋_GB2312"/>
          <w:sz w:val="32"/>
          <w:szCs w:val="32"/>
        </w:rPr>
        <w:t>2021年</w:t>
      </w:r>
      <w:r>
        <w:rPr>
          <w:rFonts w:hint="eastAsia" w:ascii="仿宋_GB2312" w:hAnsi="宋体" w:eastAsia="仿宋_GB2312"/>
          <w:sz w:val="32"/>
          <w:szCs w:val="32"/>
          <w:lang w:val="zh-CN"/>
        </w:rPr>
        <w:t>项目工作安排，完成</w:t>
      </w:r>
      <w:r>
        <w:rPr>
          <w:rFonts w:hint="eastAsia" w:ascii="仿宋_GB2312" w:hAnsi="宋体" w:eastAsia="仿宋_GB2312"/>
          <w:sz w:val="32"/>
          <w:szCs w:val="32"/>
        </w:rPr>
        <w:t>2021年任务量并达标准。支付项目建设资金507.55万元，支付项目拆迁补偿资金344.88万元，按计划完成支付。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建成后，可以优化广元市教育布局，有效服务于广元市提出的打造川陕甘教育高地的战略，解决兴安路区域适龄儿童就读问题。项目建设不仅仅优化了办学条件，它将把党的教育优先发展的战略实实在在地落到最基层，对广元市教育，特别是零八一中学教育的可持续发展具有十分重要的作用。地下停车场建成，将解决兴安路停车问题。</w:t>
      </w:r>
    </w:p>
    <w:p>
      <w:pPr>
        <w:adjustRightInd w:val="0"/>
        <w:snapToGrid w:val="0"/>
        <w:spacing w:line="600" w:lineRule="exact"/>
        <w:ind w:firstLine="720"/>
        <w:rPr>
          <w:rFonts w:ascii="黑体" w:hAnsi="宋体" w:eastAsia="黑体"/>
          <w:sz w:val="32"/>
          <w:szCs w:val="32"/>
        </w:rPr>
      </w:pPr>
      <w:bookmarkStart w:id="77" w:name="_Toc27582_WPSOffice_Level2"/>
      <w:r>
        <w:rPr>
          <w:rFonts w:hint="eastAsia" w:ascii="黑体" w:hAnsi="宋体" w:eastAsia="黑体"/>
          <w:sz w:val="32"/>
          <w:szCs w:val="32"/>
        </w:rPr>
        <w:t>五、评价结论及建议</w:t>
      </w:r>
      <w:bookmarkEnd w:id="7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完成小学部异扩建项目建设支出</w:t>
      </w:r>
      <w:r>
        <w:rPr>
          <w:rFonts w:hint="eastAsia" w:ascii="仿宋_GB2312" w:hAnsi="宋体" w:eastAsia="仿宋_GB2312"/>
          <w:sz w:val="32"/>
          <w:szCs w:val="32"/>
        </w:rPr>
        <w:t>507.55万元，完成拆迁补偿资金支付344.88万元。</w:t>
      </w:r>
      <w:r>
        <w:rPr>
          <w:rFonts w:hint="eastAsia" w:ascii="仿宋_GB2312" w:hAnsi="宋体" w:eastAsia="仿宋_GB2312"/>
          <w:sz w:val="32"/>
          <w:szCs w:val="32"/>
          <w:lang w:val="zh-CN"/>
        </w:rPr>
        <w:t>按</w:t>
      </w:r>
      <w:r>
        <w:rPr>
          <w:rFonts w:hint="eastAsia" w:ascii="仿宋_GB2312" w:hAnsi="宋体" w:eastAsia="仿宋_GB2312"/>
          <w:sz w:val="32"/>
          <w:szCs w:val="32"/>
        </w:rPr>
        <w:t>2021年</w:t>
      </w:r>
      <w:r>
        <w:rPr>
          <w:rFonts w:hint="eastAsia" w:ascii="仿宋_GB2312" w:hAnsi="宋体" w:eastAsia="仿宋_GB2312"/>
          <w:sz w:val="32"/>
          <w:szCs w:val="32"/>
          <w:lang w:val="zh-CN"/>
        </w:rPr>
        <w:t>项目工作安排，完成</w:t>
      </w:r>
      <w:r>
        <w:rPr>
          <w:rFonts w:hint="eastAsia" w:ascii="仿宋_GB2312" w:hAnsi="宋体" w:eastAsia="仿宋_GB2312"/>
          <w:sz w:val="32"/>
          <w:szCs w:val="32"/>
        </w:rPr>
        <w:t>2021年绩效目标任务</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pStyle w:val="6"/>
        <w:spacing w:before="93"/>
        <w:rPr>
          <w:lang w:val="zh-CN"/>
        </w:rPr>
      </w:pPr>
    </w:p>
    <w:p>
      <w:pPr>
        <w:spacing w:line="572" w:lineRule="exact"/>
        <w:jc w:val="left"/>
        <w:rPr>
          <w:rFonts w:ascii="黑体" w:hAnsi="黑体" w:eastAsia="黑体" w:cs="黑体"/>
          <w:sz w:val="32"/>
          <w:szCs w:val="32"/>
        </w:rPr>
      </w:pPr>
    </w:p>
    <w:p>
      <w:pPr>
        <w:spacing w:line="572" w:lineRule="exact"/>
        <w:jc w:val="left"/>
        <w:rPr>
          <w:rFonts w:ascii="仿宋_GB2312" w:hAnsi="仿宋_GB2312" w:eastAsia="黑体" w:cs="仿宋_GB2312"/>
          <w:sz w:val="32"/>
          <w:szCs w:val="32"/>
        </w:rPr>
      </w:pPr>
      <w:r>
        <w:rPr>
          <w:rFonts w:hint="eastAsia" w:ascii="黑体" w:hAnsi="黑体" w:eastAsia="黑体" w:cs="黑体"/>
          <w:sz w:val="32"/>
          <w:szCs w:val="32"/>
        </w:rPr>
        <w:t>附表</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Layout w:type="fixed"/>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Theme="minorEastAsia" w:hAnsiTheme="minorEastAsia" w:eastAsiaTheme="minorEastAsia" w:cstheme="minorEastAsia"/>
                <w:b/>
                <w:bCs/>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Layout w:type="fixed"/>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四川省广元市零八一中学</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852.43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852.43</w:t>
            </w:r>
          </w:p>
        </w:tc>
      </w:tr>
      <w:tr>
        <w:tblPrEx>
          <w:tblLayout w:type="fixed"/>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852.43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852.43</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Layout w:type="fixed"/>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Layout w:type="fixed"/>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仿宋_GB2312" w:hAnsi="宋体" w:eastAsia="仿宋_GB2312"/>
                <w:szCs w:val="21"/>
                <w:lang w:val="zh-CN"/>
              </w:rPr>
              <w:t>小学部异地扩建项目完成拆除旧楼</w:t>
            </w:r>
            <w:r>
              <w:rPr>
                <w:rFonts w:hint="eastAsia" w:ascii="仿宋_GB2312" w:hAnsi="宋体" w:eastAsia="仿宋_GB2312"/>
                <w:szCs w:val="21"/>
              </w:rPr>
              <w:t>3500平方米，新建教学楼7029平方米（含地下部分）、大门及门卫室86平方米</w:t>
            </w:r>
            <w:r>
              <w:rPr>
                <w:rFonts w:hint="eastAsia" w:ascii="仿宋_GB2312" w:hAnsi="宋体" w:eastAsia="仿宋_GB2312"/>
                <w:szCs w:val="21"/>
                <w:lang w:eastAsia="zh-CN"/>
              </w:rPr>
              <w:t>、</w:t>
            </w:r>
            <w:r>
              <w:rPr>
                <w:rFonts w:hint="eastAsia" w:ascii="仿宋_GB2312" w:hAnsi="宋体" w:eastAsia="仿宋_GB2312"/>
                <w:szCs w:val="21"/>
              </w:rPr>
              <w:t>运动场1471.74平方米</w:t>
            </w:r>
            <w:r>
              <w:rPr>
                <w:rFonts w:hint="eastAsia" w:ascii="仿宋_GB2312" w:hAnsi="宋体" w:eastAsia="仿宋_GB2312"/>
                <w:szCs w:val="21"/>
                <w:lang w:eastAsia="zh-CN"/>
              </w:rPr>
              <w:t>、</w:t>
            </w:r>
            <w:r>
              <w:rPr>
                <w:rFonts w:hint="eastAsia" w:ascii="仿宋_GB2312" w:hAnsi="宋体" w:eastAsia="仿宋_GB2312"/>
                <w:szCs w:val="21"/>
              </w:rPr>
              <w:t>地下停车场主体构架</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仿宋_GB2312" w:hAnsi="宋体" w:eastAsia="仿宋_GB2312"/>
                <w:szCs w:val="21"/>
                <w:lang w:val="zh-CN"/>
              </w:rPr>
              <w:t>小学部异地扩建项目完成拆除旧楼</w:t>
            </w:r>
            <w:r>
              <w:rPr>
                <w:rFonts w:hint="eastAsia" w:ascii="仿宋_GB2312" w:hAnsi="宋体" w:eastAsia="仿宋_GB2312"/>
                <w:szCs w:val="21"/>
              </w:rPr>
              <w:t>3500平方米，新建教学楼7029平方米（含地下部分）、大门及门卫室86平方米</w:t>
            </w:r>
            <w:r>
              <w:rPr>
                <w:rFonts w:hint="eastAsia" w:ascii="仿宋_GB2312" w:hAnsi="宋体" w:eastAsia="仿宋_GB2312"/>
                <w:szCs w:val="21"/>
                <w:lang w:eastAsia="zh-CN"/>
              </w:rPr>
              <w:t>、</w:t>
            </w:r>
            <w:r>
              <w:rPr>
                <w:rFonts w:hint="eastAsia" w:ascii="仿宋_GB2312" w:hAnsi="宋体" w:eastAsia="仿宋_GB2312"/>
                <w:szCs w:val="21"/>
              </w:rPr>
              <w:t>运动场1471.74平方米</w:t>
            </w:r>
            <w:r>
              <w:rPr>
                <w:rFonts w:hint="eastAsia" w:ascii="仿宋_GB2312" w:hAnsi="宋体" w:eastAsia="仿宋_GB2312"/>
                <w:szCs w:val="21"/>
                <w:lang w:eastAsia="zh-CN"/>
              </w:rPr>
              <w:t>、</w:t>
            </w:r>
            <w:r>
              <w:rPr>
                <w:rFonts w:hint="eastAsia" w:ascii="仿宋_GB2312" w:hAnsi="宋体" w:eastAsia="仿宋_GB2312"/>
                <w:szCs w:val="21"/>
              </w:rPr>
              <w:t>地下停车场主体构架</w:t>
            </w:r>
          </w:p>
        </w:tc>
      </w:tr>
      <w:tr>
        <w:tblPrEx>
          <w:tblLayout w:type="fixed"/>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项目资金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18"/>
                <w:szCs w:val="18"/>
              </w:rPr>
              <w:t>852.43万元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完成支付</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建设工程验收合格率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完成</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工程按期完成率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完成</w:t>
            </w: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项目资金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852.43</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完成支付</w:t>
            </w: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宋体" w:eastAsia="仿宋_GB2312"/>
                <w:szCs w:val="21"/>
                <w:lang w:val="zh-CN"/>
              </w:rPr>
              <w:t>优化教育布局</w:t>
            </w:r>
            <w:r>
              <w:rPr>
                <w:rFonts w:hint="eastAsia" w:ascii="仿宋_GB2312" w:hAnsi="宋体" w:eastAsia="仿宋_GB2312"/>
                <w:szCs w:val="21"/>
              </w:rPr>
              <w:t xml:space="preserve">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优化</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达到</w:t>
            </w:r>
          </w:p>
        </w:tc>
      </w:tr>
      <w:tr>
        <w:tblPrEx>
          <w:tblLayout w:type="fixed"/>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r>
      <w:tr>
        <w:tblPrEx>
          <w:tblLayout w:type="fixed"/>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社会及家长学生满意度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98%</w:t>
            </w:r>
          </w:p>
        </w:tc>
      </w:tr>
    </w:tbl>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rPr>
          <w:rFonts w:ascii="黑体" w:hAnsi="黑体" w:eastAsia="黑体"/>
          <w:sz w:val="44"/>
          <w:szCs w:val="44"/>
        </w:rPr>
      </w:pPr>
    </w:p>
    <w:p>
      <w:pPr>
        <w:rPr>
          <w:rFonts w:ascii="黑体" w:hAnsi="黑体" w:eastAsia="黑体"/>
          <w:sz w:val="44"/>
          <w:szCs w:val="44"/>
        </w:rPr>
      </w:pPr>
    </w:p>
    <w:p>
      <w:pPr>
        <w:pStyle w:val="2"/>
        <w:rPr>
          <w:rFonts w:ascii="黑体" w:hAnsi="黑体" w:eastAsia="黑体"/>
          <w:sz w:val="44"/>
          <w:szCs w:val="44"/>
        </w:rPr>
      </w:pPr>
    </w:p>
    <w:p>
      <w:pPr>
        <w:rPr>
          <w:rFonts w:ascii="黑体" w:hAnsi="黑体" w:eastAsia="黑体"/>
          <w:sz w:val="44"/>
          <w:szCs w:val="44"/>
        </w:rPr>
      </w:pPr>
    </w:p>
    <w:p>
      <w:pPr>
        <w:pStyle w:val="2"/>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bookmarkStart w:id="78" w:name="_Toc114563629"/>
      <w:r>
        <w:rPr>
          <w:rFonts w:hint="eastAsia" w:ascii="黑体" w:hAnsi="黑体" w:eastAsia="黑体"/>
          <w:sz w:val="44"/>
          <w:szCs w:val="44"/>
        </w:rPr>
        <w:t>第</w:t>
      </w:r>
      <w:r>
        <w:rPr>
          <w:rStyle w:val="25"/>
          <w:rFonts w:hint="eastAsia" w:ascii="黑体" w:hAnsi="黑体" w:eastAsia="黑体"/>
          <w:b w:val="0"/>
        </w:rPr>
        <w:t>五部分 附表</w:t>
      </w:r>
      <w:bookmarkEnd w:id="56"/>
      <w:bookmarkEnd w:id="65"/>
      <w:bookmarkEnd w:id="78"/>
      <w:bookmarkStart w:id="79" w:name="_Toc15396619"/>
    </w:p>
    <w:p>
      <w:pPr>
        <w:pStyle w:val="4"/>
        <w:rPr>
          <w:rFonts w:ascii="仿宋" w:hAnsi="仿宋" w:eastAsia="仿宋"/>
        </w:rPr>
      </w:pPr>
      <w:bookmarkStart w:id="80" w:name="_Toc114563630"/>
      <w:r>
        <w:rPr>
          <w:rFonts w:hint="eastAsia" w:ascii="仿宋" w:hAnsi="仿宋" w:eastAsia="仿宋"/>
          <w:b w:val="0"/>
        </w:rPr>
        <w:t>一、收</w:t>
      </w:r>
      <w:r>
        <w:rPr>
          <w:rStyle w:val="26"/>
          <w:rFonts w:hint="eastAsia" w:ascii="仿宋" w:hAnsi="仿宋" w:eastAsia="仿宋"/>
          <w:b w:val="0"/>
          <w:bCs w:val="0"/>
        </w:rPr>
        <w:t>入支出决算总表</w:t>
      </w:r>
      <w:bookmarkEnd w:id="79"/>
      <w:bookmarkEnd w:id="80"/>
    </w:p>
    <w:p>
      <w:pPr>
        <w:pStyle w:val="4"/>
        <w:rPr>
          <w:rFonts w:ascii="仿宋" w:hAnsi="仿宋" w:eastAsia="仿宋"/>
        </w:rPr>
      </w:pPr>
      <w:bookmarkStart w:id="81" w:name="_Toc114563631"/>
      <w:bookmarkStart w:id="82" w:name="_Toc15396620"/>
      <w:r>
        <w:rPr>
          <w:rFonts w:hint="eastAsia" w:ascii="仿宋" w:hAnsi="仿宋" w:eastAsia="仿宋"/>
          <w:b w:val="0"/>
        </w:rPr>
        <w:t>二、收</w:t>
      </w:r>
      <w:r>
        <w:rPr>
          <w:rStyle w:val="26"/>
          <w:rFonts w:hint="eastAsia" w:ascii="仿宋" w:hAnsi="仿宋" w:eastAsia="仿宋"/>
          <w:b w:val="0"/>
          <w:bCs w:val="0"/>
        </w:rPr>
        <w:t>入决算表</w:t>
      </w:r>
      <w:bookmarkEnd w:id="81"/>
      <w:bookmarkEnd w:id="82"/>
    </w:p>
    <w:p>
      <w:pPr>
        <w:pStyle w:val="4"/>
        <w:rPr>
          <w:rFonts w:ascii="仿宋" w:hAnsi="仿宋" w:eastAsia="仿宋"/>
        </w:rPr>
      </w:pPr>
      <w:bookmarkStart w:id="83" w:name="_Toc15396621"/>
      <w:bookmarkStart w:id="84" w:name="_Toc114563632"/>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83"/>
      <w:bookmarkEnd w:id="84"/>
    </w:p>
    <w:p>
      <w:pPr>
        <w:pStyle w:val="4"/>
        <w:rPr>
          <w:rFonts w:ascii="仿宋" w:hAnsi="仿宋" w:eastAsia="仿宋"/>
          <w:b w:val="0"/>
        </w:rPr>
      </w:pPr>
      <w:bookmarkStart w:id="85" w:name="_Toc15396622"/>
      <w:bookmarkStart w:id="86" w:name="_Toc114563633"/>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85"/>
      <w:bookmarkEnd w:id="86"/>
    </w:p>
    <w:p>
      <w:pPr>
        <w:pStyle w:val="4"/>
        <w:rPr>
          <w:rStyle w:val="26"/>
          <w:rFonts w:ascii="仿宋" w:hAnsi="仿宋" w:eastAsia="仿宋"/>
          <w:b w:val="0"/>
          <w:bCs w:val="0"/>
        </w:rPr>
      </w:pPr>
      <w:bookmarkStart w:id="87" w:name="_Toc114563634"/>
      <w:bookmarkStart w:id="8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87"/>
      <w:bookmarkEnd w:id="88"/>
      <w:bookmarkStart w:id="89" w:name="_Toc15396624"/>
    </w:p>
    <w:p>
      <w:pPr>
        <w:pStyle w:val="4"/>
        <w:rPr>
          <w:rFonts w:ascii="仿宋" w:hAnsi="仿宋" w:eastAsia="仿宋"/>
        </w:rPr>
      </w:pPr>
      <w:bookmarkStart w:id="90" w:name="_Toc114563635"/>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89"/>
      <w:bookmarkEnd w:id="90"/>
    </w:p>
    <w:p>
      <w:pPr>
        <w:pStyle w:val="4"/>
        <w:rPr>
          <w:rFonts w:ascii="仿宋" w:hAnsi="仿宋" w:eastAsia="仿宋"/>
        </w:rPr>
      </w:pPr>
      <w:bookmarkStart w:id="91" w:name="_Toc114563636"/>
      <w:bookmarkStart w:id="92"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91"/>
      <w:bookmarkEnd w:id="92"/>
    </w:p>
    <w:p>
      <w:pPr>
        <w:pStyle w:val="4"/>
        <w:rPr>
          <w:rFonts w:ascii="仿宋" w:hAnsi="仿宋" w:eastAsia="仿宋"/>
        </w:rPr>
      </w:pPr>
      <w:bookmarkStart w:id="93" w:name="_Toc15396626"/>
      <w:bookmarkStart w:id="94" w:name="_Toc114563637"/>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93"/>
      <w:bookmarkEnd w:id="94"/>
    </w:p>
    <w:p>
      <w:pPr>
        <w:pStyle w:val="4"/>
        <w:rPr>
          <w:rFonts w:ascii="仿宋" w:hAnsi="仿宋" w:eastAsia="仿宋"/>
        </w:rPr>
      </w:pPr>
      <w:bookmarkStart w:id="95" w:name="_Toc15396627"/>
      <w:bookmarkStart w:id="96" w:name="_Toc114563638"/>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95"/>
      <w:bookmarkEnd w:id="96"/>
    </w:p>
    <w:p>
      <w:pPr>
        <w:pStyle w:val="4"/>
        <w:rPr>
          <w:rFonts w:ascii="仿宋" w:hAnsi="仿宋" w:eastAsia="仿宋"/>
        </w:rPr>
      </w:pPr>
      <w:bookmarkStart w:id="97" w:name="_Toc114563639"/>
      <w:bookmarkStart w:id="98"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97"/>
      <w:bookmarkEnd w:id="98"/>
    </w:p>
    <w:p>
      <w:pPr>
        <w:pStyle w:val="4"/>
        <w:rPr>
          <w:rFonts w:ascii="仿宋" w:hAnsi="仿宋" w:eastAsia="仿宋"/>
        </w:rPr>
      </w:pPr>
      <w:bookmarkStart w:id="99" w:name="_Toc114563640"/>
      <w:bookmarkStart w:id="100"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99"/>
      <w:bookmarkEnd w:id="100"/>
    </w:p>
    <w:p>
      <w:pPr>
        <w:pStyle w:val="4"/>
        <w:rPr>
          <w:rFonts w:ascii="仿宋" w:hAnsi="仿宋" w:eastAsia="仿宋"/>
        </w:rPr>
      </w:pPr>
      <w:bookmarkStart w:id="101" w:name="_Toc114563641"/>
      <w:bookmarkStart w:id="102"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01"/>
      <w:bookmarkEnd w:id="102"/>
    </w:p>
    <w:p>
      <w:pPr>
        <w:pStyle w:val="4"/>
        <w:rPr>
          <w:rStyle w:val="26"/>
          <w:rFonts w:ascii="仿宋" w:hAnsi="仿宋" w:eastAsia="仿宋"/>
          <w:b w:val="0"/>
          <w:bCs w:val="0"/>
        </w:rPr>
      </w:pPr>
      <w:bookmarkStart w:id="103" w:name="_Toc114563642"/>
      <w:bookmarkStart w:id="104"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03"/>
      <w:bookmarkEnd w:id="104"/>
    </w:p>
    <w:p>
      <w:pPr>
        <w:rPr>
          <w:rFonts w:eastAsia="仿宋"/>
        </w:rPr>
      </w:pPr>
      <w:bookmarkStart w:id="105" w:name="_Toc114563643"/>
      <w:r>
        <w:rPr>
          <w:rStyle w:val="26"/>
          <w:rFonts w:hint="eastAsia" w:ascii="仿宋" w:hAnsi="仿宋" w:eastAsia="仿宋"/>
          <w:b w:val="0"/>
          <w:bCs w:val="0"/>
        </w:rPr>
        <w:t>十四、国有资本经营预算财政拨款支出决算表</w:t>
      </w:r>
      <w:bookmarkEnd w:id="10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27</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A3416"/>
    <w:multiLevelType w:val="singleLevel"/>
    <w:tmpl w:val="C98A3416"/>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7B1891"/>
    <w:multiLevelType w:val="singleLevel"/>
    <w:tmpl w:val="E27B1891"/>
    <w:lvl w:ilvl="0" w:tentative="0">
      <w:start w:val="1"/>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4CFA"/>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2E7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A33"/>
    <w:rsid w:val="00E568DF"/>
    <w:rsid w:val="00E64269"/>
    <w:rsid w:val="00E82267"/>
    <w:rsid w:val="00E853CE"/>
    <w:rsid w:val="00E867B6"/>
    <w:rsid w:val="00EA010F"/>
    <w:rsid w:val="00EA1D7E"/>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F01E2"/>
    <w:rsid w:val="0A2032A3"/>
    <w:rsid w:val="0A417381"/>
    <w:rsid w:val="0B8A37D8"/>
    <w:rsid w:val="0BF06CD3"/>
    <w:rsid w:val="0D3077BA"/>
    <w:rsid w:val="0F1402F7"/>
    <w:rsid w:val="10C055FF"/>
    <w:rsid w:val="118107EC"/>
    <w:rsid w:val="11DD6519"/>
    <w:rsid w:val="14416369"/>
    <w:rsid w:val="16BB723D"/>
    <w:rsid w:val="18015F3F"/>
    <w:rsid w:val="19147F46"/>
    <w:rsid w:val="19C73E2E"/>
    <w:rsid w:val="1BE8440E"/>
    <w:rsid w:val="1D155CEE"/>
    <w:rsid w:val="20155C2D"/>
    <w:rsid w:val="20F57F95"/>
    <w:rsid w:val="23D51E14"/>
    <w:rsid w:val="240371BF"/>
    <w:rsid w:val="254F6317"/>
    <w:rsid w:val="25C741E6"/>
    <w:rsid w:val="26694602"/>
    <w:rsid w:val="27842671"/>
    <w:rsid w:val="2848192D"/>
    <w:rsid w:val="289D2D08"/>
    <w:rsid w:val="29FD04D3"/>
    <w:rsid w:val="2AB926C2"/>
    <w:rsid w:val="2ABE7A3E"/>
    <w:rsid w:val="2D1D0BB5"/>
    <w:rsid w:val="2EFA178C"/>
    <w:rsid w:val="30300901"/>
    <w:rsid w:val="30B46D73"/>
    <w:rsid w:val="319F7F4E"/>
    <w:rsid w:val="33245B62"/>
    <w:rsid w:val="33D24482"/>
    <w:rsid w:val="39A44444"/>
    <w:rsid w:val="39AE70AB"/>
    <w:rsid w:val="39C066A5"/>
    <w:rsid w:val="3BFB1B84"/>
    <w:rsid w:val="3C0C0783"/>
    <w:rsid w:val="3C8A7031"/>
    <w:rsid w:val="3F795B0E"/>
    <w:rsid w:val="3F9F3A96"/>
    <w:rsid w:val="40350D30"/>
    <w:rsid w:val="40E31AB3"/>
    <w:rsid w:val="47DF246A"/>
    <w:rsid w:val="48BC3BDB"/>
    <w:rsid w:val="493C27E9"/>
    <w:rsid w:val="496F39ED"/>
    <w:rsid w:val="49FF41D3"/>
    <w:rsid w:val="4A1558FE"/>
    <w:rsid w:val="4A185DC8"/>
    <w:rsid w:val="4BE068DB"/>
    <w:rsid w:val="4BF6002B"/>
    <w:rsid w:val="4ECE2238"/>
    <w:rsid w:val="4F3179C7"/>
    <w:rsid w:val="500B24BB"/>
    <w:rsid w:val="51D167D3"/>
    <w:rsid w:val="51DB4B86"/>
    <w:rsid w:val="528C5DCD"/>
    <w:rsid w:val="55333C3E"/>
    <w:rsid w:val="5955407A"/>
    <w:rsid w:val="5E064D6D"/>
    <w:rsid w:val="60640993"/>
    <w:rsid w:val="63C03B0B"/>
    <w:rsid w:val="63C62D7A"/>
    <w:rsid w:val="64CA39A1"/>
    <w:rsid w:val="653D4AA5"/>
    <w:rsid w:val="6C4A05C8"/>
    <w:rsid w:val="72734D90"/>
    <w:rsid w:val="78862458"/>
    <w:rsid w:val="795A66C9"/>
    <w:rsid w:val="79E7B28D"/>
    <w:rsid w:val="7BC36F53"/>
    <w:rsid w:val="7C2C407C"/>
    <w:rsid w:val="7C775BA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rPr>
      <w:rFonts w:ascii="Calibri" w:hAnsi="Calibri" w:eastAsia="仿宋_GB2312"/>
      <w:sz w:val="32"/>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8"/>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收、支决算总计变动情况</a:t>
            </a:r>
            <a:endParaRPr lang="zh-CN" altLang="en-US" b="1"/>
          </a:p>
        </c:rich>
      </c:tx>
      <c:layout>
        <c:manualLayout>
          <c:xMode val="edge"/>
          <c:yMode val="edge"/>
          <c:x val="0.293486198335037"/>
          <c:y val="0.016450216450216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3913.03</c:v>
                </c:pt>
                <c:pt idx="1">
                  <c:v>2257.63</c:v>
                </c:pt>
              </c:numCache>
            </c:numRef>
          </c:val>
        </c:ser>
        <c:dLbls>
          <c:showLegendKey val="0"/>
          <c:showVal val="1"/>
          <c:showCatName val="0"/>
          <c:showSerName val="0"/>
          <c:showPercent val="0"/>
          <c:showBubbleSize val="0"/>
        </c:dLbls>
        <c:gapWidth val="383"/>
        <c:overlap val="-57"/>
        <c:axId val="196130688"/>
        <c:axId val="196187264"/>
      </c:barChart>
      <c:catAx>
        <c:axId val="19613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187264"/>
        <c:crosses val="autoZero"/>
        <c:auto val="1"/>
        <c:lblAlgn val="ctr"/>
        <c:lblOffset val="100"/>
        <c:noMultiLvlLbl val="0"/>
      </c:catAx>
      <c:valAx>
        <c:axId val="196187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1306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收入情况</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收入情况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rgbClr val="FFC000"/>
              </a:solidFill>
              <a:ln w="19050">
                <a:solidFill>
                  <a:schemeClr val="lt1"/>
                </a:solidFill>
              </a:ln>
              <a:effectLst/>
            </c:spPr>
          </c:dPt>
          <c:dLbls>
            <c:dLbl>
              <c:idx val="0"/>
              <c:layout>
                <c:manualLayout>
                  <c:x val="-0.0459427165919228"/>
                  <c:y val="-0.209764627817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89660467525284"/>
                  <c:y val="0.1623506762976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一般公共预算财政拨款收入</c:v>
                </c:pt>
                <c:pt idx="1">
                  <c:v>政府性基金预算财政拨款收入</c:v>
                </c:pt>
                <c:pt idx="2">
                  <c:v>事业收入</c:v>
                </c:pt>
              </c:strCache>
            </c:strRef>
          </c:cat>
          <c:val>
            <c:numRef>
              <c:f>Sheet1!$B$2:$B$4</c:f>
              <c:numCache>
                <c:formatCode>General</c:formatCode>
                <c:ptCount val="3"/>
                <c:pt idx="0">
                  <c:v>3146.64</c:v>
                </c:pt>
                <c:pt idx="1">
                  <c:v>500.5</c:v>
                </c:pt>
                <c:pt idx="2">
                  <c:v>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支出情况</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4772394454887"/>
                  <c:y val="-0.15868316568463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40323412623724"/>
                  <c:y val="0.0608704394622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1969.68</c:v>
                </c:pt>
                <c:pt idx="1">
                  <c:v>981.04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200" b="1">
                <a:solidFill>
                  <a:schemeClr val="tx1">
                    <a:lumMod val="65000"/>
                    <a:lumOff val="35000"/>
                  </a:schemeClr>
                </a:solidFill>
                <a:uFillTx/>
              </a:rPr>
              <a:t>财政拨款收、支决算总计变动</a:t>
            </a:r>
            <a:r>
              <a:rPr lang="zh-CN" altLang="en-US" sz="1200" b="1"/>
              <a:t>情况</a:t>
            </a:r>
            <a:endParaRPr lang="zh-CN" altLang="en-US" sz="1200" b="1"/>
          </a:p>
        </c:rich>
      </c:tx>
      <c:layout>
        <c:manualLayout>
          <c:xMode val="edge"/>
          <c:yMode val="edge"/>
          <c:x val="0.265081294636073"/>
          <c:y val="0.00806668459263243"/>
        </c:manualLayout>
      </c:layout>
      <c:overlay val="0"/>
      <c:spPr>
        <a:noFill/>
        <a:ln>
          <a:noFill/>
        </a:ln>
        <a:effectLst/>
      </c:spPr>
    </c:title>
    <c:autoTitleDeleted val="0"/>
    <c:plotArea>
      <c:layout>
        <c:manualLayout>
          <c:layoutTarget val="inner"/>
          <c:xMode val="edge"/>
          <c:yMode val="edge"/>
          <c:x val="0.0787"/>
          <c:y val="0.126833333333333"/>
          <c:w val="0.8938"/>
          <c:h val="0.716566666666667"/>
        </c:manualLayout>
      </c:layout>
      <c:barChart>
        <c:barDir val="col"/>
        <c:grouping val="clustered"/>
        <c:varyColors val="0"/>
        <c:ser>
          <c:idx val="0"/>
          <c:order val="0"/>
          <c:tx>
            <c:strRef>
              <c:f>Sheet1!$B$1</c:f>
              <c:strCache>
                <c:ptCount val="1"/>
                <c:pt idx="0">
                  <c:v>财政拨款收入支出情况</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3818.03</c:v>
                </c:pt>
                <c:pt idx="1">
                  <c:v>2166.43</c:v>
                </c:pt>
              </c:numCache>
            </c:numRef>
          </c:val>
        </c:ser>
        <c:dLbls>
          <c:showLegendKey val="0"/>
          <c:showVal val="1"/>
          <c:showCatName val="0"/>
          <c:showSerName val="0"/>
          <c:showPercent val="0"/>
          <c:showBubbleSize val="0"/>
        </c:dLbls>
        <c:gapWidth val="316"/>
        <c:overlap val="-27"/>
        <c:axId val="198819840"/>
        <c:axId val="198822912"/>
      </c:barChart>
      <c:catAx>
        <c:axId val="1988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822912"/>
        <c:crosses val="autoZero"/>
        <c:auto val="1"/>
        <c:lblAlgn val="ctr"/>
        <c:lblOffset val="100"/>
        <c:noMultiLvlLbl val="0"/>
      </c:catAx>
      <c:valAx>
        <c:axId val="1988229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81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200" b="1"/>
              <a:t>一般公共预算财政拨款支出决算变动情况</a:t>
            </a:r>
            <a:endParaRPr lang="zh-CN" altLang="en-US" sz="120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2355.22</c:v>
                </c:pt>
                <c:pt idx="1">
                  <c:v>2160.43</c:v>
                </c:pt>
              </c:numCache>
            </c:numRef>
          </c:val>
        </c:ser>
        <c:dLbls>
          <c:showLegendKey val="0"/>
          <c:showVal val="1"/>
          <c:showCatName val="0"/>
          <c:showSerName val="0"/>
          <c:showPercent val="0"/>
          <c:showBubbleSize val="0"/>
        </c:dLbls>
        <c:gapWidth val="367"/>
        <c:overlap val="-27"/>
        <c:axId val="198911872"/>
        <c:axId val="211252352"/>
      </c:barChart>
      <c:catAx>
        <c:axId val="19891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252352"/>
        <c:crosses val="autoZero"/>
        <c:auto val="1"/>
        <c:lblAlgn val="ctr"/>
        <c:lblOffset val="100"/>
        <c:noMultiLvlLbl val="0"/>
      </c:catAx>
      <c:valAx>
        <c:axId val="211252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911872"/>
        <c:crosses val="autoZero"/>
        <c:crossBetween val="between"/>
      </c:valAx>
      <c:spPr>
        <a:noFill/>
        <a:ln>
          <a:noFill/>
        </a:ln>
        <a:effectLst/>
      </c:spPr>
    </c:plotArea>
    <c:legend>
      <c:legendPos val="b"/>
      <c:layout>
        <c:manualLayout>
          <c:xMode val="edge"/>
          <c:yMode val="edge"/>
          <c:x val="0.450875"/>
          <c:y val="0.924166666666667"/>
          <c:w val="0.254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一般公共预算财政拨款支出决算结构</a:t>
            </a:r>
            <a:endParaRPr lang="zh-CN" altLang="en-US" b="1"/>
          </a:p>
        </c:rich>
      </c:tx>
      <c:layout/>
      <c:overlay val="0"/>
      <c:spPr>
        <a:noFill/>
        <a:ln>
          <a:noFill/>
        </a:ln>
        <a:effectLst/>
      </c:spPr>
    </c:title>
    <c:autoTitleDeleted val="0"/>
    <c:plotArea>
      <c:layout>
        <c:manualLayout>
          <c:layoutTarget val="inner"/>
          <c:xMode val="edge"/>
          <c:yMode val="edge"/>
          <c:x val="0.315510400384754"/>
          <c:y val="0.187543520309478"/>
          <c:w val="0.366093543344956"/>
          <c:h val="0.588936170212766"/>
        </c:manualLayout>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tx1"/>
              </a:solidFill>
              <a:ln w="19050">
                <a:solidFill>
                  <a:schemeClr val="lt1"/>
                </a:solidFill>
              </a:ln>
              <a:effectLst/>
            </c:spPr>
          </c:dPt>
          <c:dLbls>
            <c:dLbl>
              <c:idx val="0"/>
              <c:layout>
                <c:manualLayout>
                  <c:x val="-0.0818711152978278"/>
                  <c:y val="-0.2126699215367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57138318360467"/>
                  <c:y val="0.09806063010346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0505133927111"/>
                  <c:y val="0.1170381342974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教育支出</c:v>
                </c:pt>
                <c:pt idx="1">
                  <c:v>社会保障和就业支出</c:v>
                </c:pt>
                <c:pt idx="2">
                  <c:v>卫生健康支出</c:v>
                </c:pt>
                <c:pt idx="3">
                  <c:v>住房保障支出</c:v>
                </c:pt>
                <c:pt idx="4">
                  <c:v>灾害防治及应急管理支出</c:v>
                </c:pt>
              </c:strCache>
            </c:strRef>
          </c:cat>
          <c:val>
            <c:numRef>
              <c:f>Sheet1!$B$2:$B$6</c:f>
              <c:numCache>
                <c:formatCode>General</c:formatCode>
                <c:ptCount val="5"/>
                <c:pt idx="0">
                  <c:v>1887.44</c:v>
                </c:pt>
                <c:pt idx="1">
                  <c:v>232.19</c:v>
                </c:pt>
                <c:pt idx="2">
                  <c:v>89.42</c:v>
                </c:pt>
                <c:pt idx="3">
                  <c:v>140.18</c:v>
                </c:pt>
                <c:pt idx="4">
                  <c:v>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a:t>
            </a:r>
            <a:endParaRPr lang="zh-CN" altLang="en-US"/>
          </a:p>
        </c:rich>
      </c:tx>
      <c:layout>
        <c:manualLayout>
          <c:xMode val="edge"/>
          <c:yMode val="edge"/>
          <c:x val="0.200367518750957"/>
          <c:y val="0.025394356318118"/>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0478457031253775"/>
                  <c:y val="-0.1888984774452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公务接待费支出</c:v>
                </c:pt>
                <c:pt idx="1">
                  <c:v>因公出国（境）费</c:v>
                </c:pt>
                <c:pt idx="2">
                  <c:v>公务用车购置及运行维护费</c:v>
                </c:pt>
              </c:strCache>
            </c:strRef>
          </c:cat>
          <c:val>
            <c:numRef>
              <c:f>Sheet1!$B$2:$B$4</c:f>
              <c:numCache>
                <c:formatCode>General</c:formatCode>
                <c:ptCount val="3"/>
                <c:pt idx="0">
                  <c:v>0.33</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81840-2D16-469B-96AB-89209D178F7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Pages>
  <Words>2118</Words>
  <Characters>12077</Characters>
  <Lines>100</Lines>
  <Paragraphs>28</Paragraphs>
  <TotalTime>18</TotalTime>
  <ScaleCrop>false</ScaleCrop>
  <LinksUpToDate>false</LinksUpToDate>
  <CharactersWithSpaces>14167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2023-06-28T07:51:43Z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18C4299B72334D3095585539B3212D20</vt:lpwstr>
  </property>
</Properties>
</file>