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bidi w:val="0"/>
        <w:jc w:val="center"/>
        <w:rPr>
          <w:rFonts w:hint="eastAsia" w:ascii="方正小标宋简体" w:hAnsi="方正小标宋简体" w:eastAsia="方正小标宋简体" w:cs="方正小标宋简体"/>
          <w:sz w:val="72"/>
          <w:szCs w:val="72"/>
        </w:rPr>
      </w:pPr>
      <w:bookmarkStart w:id="1" w:name="_Toc15378441"/>
      <w:bookmarkStart w:id="2" w:name="_Toc15396597"/>
      <w:bookmarkStart w:id="3" w:name="_Toc15396475"/>
      <w:bookmarkStart w:id="4" w:name="_Toc15377425"/>
      <w:bookmarkStart w:id="5" w:name="_Toc15377193"/>
      <w:bookmarkStart w:id="6" w:name="_Toc24168"/>
      <w:r>
        <w:rPr>
          <w:rFonts w:hint="eastAsia" w:ascii="方正小标宋简体" w:hAnsi="方正小标宋简体" w:eastAsia="方正小标宋简体" w:cs="方正小标宋简体"/>
          <w:sz w:val="72"/>
          <w:szCs w:val="72"/>
        </w:rPr>
        <w:t>20</w:t>
      </w:r>
      <w:r>
        <w:rPr>
          <w:rFonts w:hint="eastAsia" w:ascii="方正小标宋简体" w:hAnsi="方正小标宋简体" w:eastAsia="方正小标宋简体" w:cs="方正小标宋简体"/>
          <w:sz w:val="72"/>
          <w:szCs w:val="72"/>
          <w:lang w:val="en-US" w:eastAsia="zh-CN"/>
        </w:rPr>
        <w:t>21</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pPr>
        <w:bidi w:val="0"/>
        <w:jc w:val="center"/>
        <w:rPr>
          <w:rFonts w:hint="eastAsia" w:ascii="方正小标宋简体" w:hAnsi="方正小标宋简体" w:eastAsia="方正小标宋简体" w:cs="方正小标宋简体"/>
          <w:sz w:val="72"/>
          <w:szCs w:val="72"/>
          <w:lang w:eastAsia="zh-CN"/>
        </w:rPr>
      </w:pPr>
      <w:bookmarkStart w:id="7" w:name="_Toc2853"/>
      <w:bookmarkStart w:id="8" w:name="_Toc15396476"/>
      <w:bookmarkStart w:id="9" w:name="_Toc15377194"/>
      <w:bookmarkStart w:id="10" w:name="_Toc15396598"/>
      <w:bookmarkStart w:id="11" w:name="_Toc15378442"/>
      <w:bookmarkStart w:id="12" w:name="_Toc15377426"/>
      <w:r>
        <w:rPr>
          <w:rFonts w:hint="eastAsia" w:ascii="方正小标宋简体" w:hAnsi="方正小标宋简体" w:eastAsia="方正小标宋简体" w:cs="方正小标宋简体"/>
          <w:sz w:val="72"/>
          <w:szCs w:val="72"/>
          <w:lang w:val="en-US" w:eastAsia="zh-CN"/>
        </w:rPr>
        <w:t>广元市</w:t>
      </w:r>
      <w:bookmarkEnd w:id="0"/>
      <w:bookmarkStart w:id="13" w:name="_Toc15306268"/>
      <w:r>
        <w:rPr>
          <w:rFonts w:hint="eastAsia" w:ascii="方正小标宋简体" w:hAnsi="方正小标宋简体" w:eastAsia="方正小标宋简体" w:cs="方正小标宋简体"/>
          <w:sz w:val="72"/>
          <w:szCs w:val="72"/>
          <w:lang w:eastAsia="zh-CN"/>
        </w:rPr>
        <w:t>紧急救援中心</w:t>
      </w:r>
      <w:bookmarkEnd w:id="7"/>
    </w:p>
    <w:p>
      <w:pPr>
        <w:bidi w:val="0"/>
        <w:jc w:val="center"/>
        <w:rPr>
          <w:rFonts w:hint="eastAsia" w:ascii="方正小标宋简体" w:hAnsi="方正小标宋简体" w:eastAsia="方正小标宋简体" w:cs="方正小标宋简体"/>
          <w:sz w:val="72"/>
          <w:szCs w:val="72"/>
        </w:rPr>
      </w:pPr>
      <w:bookmarkStart w:id="14" w:name="_Toc9902"/>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bookmarkStart w:id="105" w:name="_GoBack"/>
      <w:bookmarkEnd w:id="105"/>
      <w:bookmarkStart w:id="15" w:name="_Toc15396599"/>
      <w:bookmarkStart w:id="16" w:name="_Toc15377196"/>
    </w:p>
    <w:p>
      <w:pPr>
        <w:rPr>
          <w:rFonts w:hint="eastAsia"/>
        </w:rPr>
      </w:pP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\l _Toc3733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highlight w:val="none"/>
        </w:rPr>
        <w:t xml:space="preserve">第一部分 </w:t>
      </w:r>
      <w:r>
        <w:rPr>
          <w:rFonts w:hint="default" w:ascii="Times New Roman" w:hAnsi="Times New Roman" w:eastAsia="仿宋" w:cs="Times New Roman"/>
          <w:sz w:val="24"/>
          <w:szCs w:val="24"/>
          <w:highlight w:val="none"/>
          <w:lang w:eastAsia="zh-CN"/>
        </w:rPr>
        <w:t>单位</w:t>
      </w:r>
      <w:r>
        <w:rPr>
          <w:rFonts w:hint="default" w:ascii="Times New Roman" w:hAnsi="Times New Roman" w:eastAsia="仿宋" w:cs="Times New Roman"/>
          <w:bCs w:val="0"/>
          <w:sz w:val="24"/>
          <w:szCs w:val="24"/>
          <w:highlight w:val="none"/>
        </w:rPr>
        <w:t>概况</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_Toc3733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_Toc29792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lang w:eastAsia="zh-CN"/>
        </w:rPr>
        <w:t>一、</w:t>
      </w:r>
      <w:r>
        <w:rPr>
          <w:rFonts w:hint="default" w:ascii="Times New Roman" w:hAnsi="Times New Roman" w:eastAsia="宋体" w:cs="Times New Roman"/>
          <w:bCs w:val="0"/>
          <w:sz w:val="24"/>
          <w:szCs w:val="24"/>
          <w:highlight w:val="none"/>
        </w:rPr>
        <w:t>职能</w:t>
      </w:r>
      <w:r>
        <w:rPr>
          <w:rFonts w:hint="default" w:ascii="Times New Roman" w:hAnsi="Times New Roman" w:eastAsia="宋体" w:cs="Times New Roman"/>
          <w:bCs w:val="0"/>
          <w:sz w:val="24"/>
          <w:szCs w:val="24"/>
          <w:highlight w:val="none"/>
          <w:lang w:eastAsia="zh-CN"/>
        </w:rPr>
        <w:t>简介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_Toc20827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二、2021年重点</w:t>
      </w:r>
      <w:r>
        <w:rPr>
          <w:rFonts w:hint="default" w:ascii="Times New Roman" w:hAnsi="Times New Roman" w:eastAsia="宋体" w:cs="Times New Roman"/>
          <w:sz w:val="24"/>
          <w:szCs w:val="24"/>
          <w:highlight w:val="none"/>
        </w:rPr>
        <w:t>工作</w:t>
      </w:r>
      <w:r>
        <w:rPr>
          <w:rFonts w:hint="default" w:ascii="Times New Roman" w:hAnsi="Times New Roman" w:eastAsia="宋体" w:cs="Times New Roman"/>
          <w:sz w:val="24"/>
          <w:szCs w:val="24"/>
          <w:highlight w:val="none"/>
          <w:lang w:eastAsia="zh-CN"/>
        </w:rPr>
        <w:t>完成情况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_Toc20827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\l _Toc31296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 xml:space="preserve">第二部分 </w:t>
      </w:r>
      <w:r>
        <w:rPr>
          <w:rFonts w:hint="default" w:ascii="Times New Roman" w:hAnsi="Times New Roman" w:eastAsia="仿宋" w:cs="Times New Roman"/>
          <w:sz w:val="24"/>
          <w:szCs w:val="24"/>
          <w:lang w:val="en-US" w:eastAsia="zh-CN"/>
        </w:rPr>
        <w:t>2021年度</w:t>
      </w:r>
      <w:r>
        <w:rPr>
          <w:rFonts w:hint="default" w:ascii="Times New Roman" w:hAnsi="Times New Roman" w:eastAsia="仿宋" w:cs="Times New Roman"/>
          <w:sz w:val="24"/>
          <w:szCs w:val="24"/>
          <w:lang w:eastAsia="zh-CN"/>
        </w:rPr>
        <w:t>单位</w:t>
      </w:r>
      <w:r>
        <w:rPr>
          <w:rFonts w:hint="default" w:ascii="Times New Roman" w:hAnsi="Times New Roman" w:eastAsia="仿宋" w:cs="Times New Roman"/>
          <w:sz w:val="24"/>
          <w:szCs w:val="24"/>
        </w:rPr>
        <w:t>决算情况说明</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_Toc31296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_Toc16191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eastAsia="zh-CN"/>
        </w:rPr>
        <w:t>一、</w:t>
      </w:r>
      <w:r>
        <w:rPr>
          <w:rFonts w:hint="default" w:ascii="Times New Roman" w:hAnsi="Times New Roman" w:eastAsia="宋体" w:cs="Times New Roman"/>
          <w:sz w:val="24"/>
          <w:szCs w:val="24"/>
          <w:highlight w:val="none"/>
        </w:rPr>
        <w:t>收入支出决算总体情况说明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_Toc16191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_Toc29609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eastAsia="zh-CN"/>
        </w:rPr>
        <w:t>二、</w:t>
      </w:r>
      <w:r>
        <w:rPr>
          <w:rFonts w:hint="default" w:ascii="Times New Roman" w:hAnsi="Times New Roman" w:eastAsia="宋体" w:cs="Times New Roman"/>
          <w:sz w:val="24"/>
          <w:szCs w:val="24"/>
          <w:highlight w:val="none"/>
        </w:rPr>
        <w:t>收入决算情况说明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_Toc17641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eastAsia="zh-CN"/>
        </w:rPr>
        <w:t>三、</w:t>
      </w:r>
      <w:r>
        <w:rPr>
          <w:rFonts w:hint="default" w:ascii="Times New Roman" w:hAnsi="Times New Roman" w:eastAsia="宋体" w:cs="Times New Roman"/>
          <w:sz w:val="24"/>
          <w:szCs w:val="24"/>
          <w:highlight w:val="none"/>
        </w:rPr>
        <w:t>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_Toc17641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_Toc23459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四、财政拨款收入支出决算总体情况说明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_Toc13879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五、一般公共预算财政拨款支出决算情况说明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_Toc20387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六、一般公共预算财政拨款基本支出决算情况说明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_Toc14230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七、“三公”经费财政拨款支出决算情况说明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_Toc14230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_Toc5128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八、政府性基金预算支出决算情况说明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_Toc28421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eastAsia="zh-CN"/>
        </w:rPr>
        <w:t>九、</w:t>
      </w:r>
      <w:r>
        <w:rPr>
          <w:rFonts w:hint="default" w:ascii="Times New Roman" w:hAnsi="Times New Roman" w:eastAsia="宋体" w:cs="Times New Roman"/>
          <w:sz w:val="24"/>
          <w:szCs w:val="24"/>
          <w:highlight w:val="none"/>
        </w:rPr>
        <w:t>国有资本经营预算支出决算情况说明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_Toc17794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十、预算绩效管理情况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_Toc8794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eastAsia="zh-CN"/>
        </w:rPr>
        <w:t>十一、</w:t>
      </w:r>
      <w:r>
        <w:rPr>
          <w:rFonts w:hint="default" w:ascii="Times New Roman" w:hAnsi="Times New Roman" w:eastAsia="宋体" w:cs="Times New Roman"/>
          <w:sz w:val="24"/>
          <w:szCs w:val="24"/>
          <w:highlight w:val="none"/>
        </w:rPr>
        <w:t>其他重要事项的情况说明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\l _Toc26328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第三部分 名词解释</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_Toc26328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\l _Toc21628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第四部分 附件</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_Toc21628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14</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\l _Toc13728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第五部分 附表</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_Toc13728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_Toc16822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一、收</w:t>
      </w:r>
      <w:r>
        <w:rPr>
          <w:rFonts w:hint="default" w:ascii="Times New Roman" w:hAnsi="Times New Roman" w:eastAsia="宋体" w:cs="Times New Roman"/>
          <w:bCs w:val="0"/>
          <w:sz w:val="24"/>
          <w:szCs w:val="24"/>
          <w:highlight w:val="none"/>
        </w:rPr>
        <w:t>入支出决算总表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_Toc17889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rPr>
        <w:t>二、收</w:t>
      </w:r>
      <w:r>
        <w:rPr>
          <w:rFonts w:hint="default" w:ascii="Times New Roman" w:hAnsi="Times New Roman" w:eastAsia="宋体" w:cs="Times New Roman"/>
          <w:bCs w:val="0"/>
          <w:sz w:val="24"/>
          <w:szCs w:val="24"/>
          <w:highlight w:val="none"/>
        </w:rPr>
        <w:t>入决算表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_Toc23371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三、</w:t>
      </w:r>
      <w:r>
        <w:rPr>
          <w:rFonts w:hint="default" w:ascii="Times New Roman" w:hAnsi="Times New Roman" w:eastAsia="宋体" w:cs="Times New Roman"/>
          <w:sz w:val="24"/>
          <w:szCs w:val="24"/>
          <w:highlight w:val="none"/>
        </w:rPr>
        <w:t>支</w:t>
      </w:r>
      <w:r>
        <w:rPr>
          <w:rFonts w:hint="default" w:ascii="Times New Roman" w:hAnsi="Times New Roman" w:eastAsia="宋体" w:cs="Times New Roman"/>
          <w:bCs w:val="0"/>
          <w:sz w:val="24"/>
          <w:szCs w:val="24"/>
          <w:highlight w:val="none"/>
        </w:rPr>
        <w:t>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_Toc23371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_Toc9154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四、</w:t>
      </w:r>
      <w:r>
        <w:rPr>
          <w:rFonts w:hint="default" w:ascii="Times New Roman" w:hAnsi="Times New Roman" w:eastAsia="宋体" w:cs="Times New Roman"/>
          <w:sz w:val="24"/>
          <w:szCs w:val="24"/>
          <w:highlight w:val="none"/>
        </w:rPr>
        <w:t>财</w:t>
      </w:r>
      <w:r>
        <w:rPr>
          <w:rFonts w:hint="default" w:ascii="Times New Roman" w:hAnsi="Times New Roman" w:eastAsia="宋体" w:cs="Times New Roman"/>
          <w:bCs w:val="0"/>
          <w:sz w:val="24"/>
          <w:szCs w:val="24"/>
          <w:highlight w:val="none"/>
        </w:rPr>
        <w:t>政拨款收入支出决算总表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_Toc9451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五、</w:t>
      </w:r>
      <w:r>
        <w:rPr>
          <w:rFonts w:hint="default" w:ascii="Times New Roman" w:hAnsi="Times New Roman" w:eastAsia="宋体" w:cs="Times New Roman"/>
          <w:sz w:val="24"/>
          <w:szCs w:val="24"/>
          <w:highlight w:val="none"/>
        </w:rPr>
        <w:t>财</w:t>
      </w:r>
      <w:r>
        <w:rPr>
          <w:rFonts w:hint="default" w:ascii="Times New Roman" w:hAnsi="Times New Roman" w:eastAsia="宋体" w:cs="Times New Roman"/>
          <w:bCs w:val="0"/>
          <w:sz w:val="24"/>
          <w:szCs w:val="24"/>
          <w:highlight w:val="none"/>
        </w:rPr>
        <w:t>政拨款支出决算明细表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_Toc29617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六、</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_Toc10958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七、</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般公共预算财政拨款支出决算明细表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_Toc10958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_Toc3229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八、</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般公共预算财政拨款基本支出决算表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_Toc15723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九、</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般公共预算财政拨款项目支出决算表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_Toc9538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十、</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般公共预算财政拨款“三公”经费支出决算表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_Toc9538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_Toc18474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十一、</w:t>
      </w:r>
      <w:r>
        <w:rPr>
          <w:rFonts w:hint="default" w:ascii="Times New Roman" w:hAnsi="Times New Roman" w:eastAsia="宋体" w:cs="Times New Roman"/>
          <w:sz w:val="24"/>
          <w:szCs w:val="24"/>
          <w:highlight w:val="none"/>
        </w:rPr>
        <w:t>政</w:t>
      </w:r>
      <w:r>
        <w:rPr>
          <w:rFonts w:hint="default" w:ascii="Times New Roman" w:hAnsi="Times New Roman" w:eastAsia="宋体" w:cs="Times New Roman"/>
          <w:bCs w:val="0"/>
          <w:sz w:val="24"/>
          <w:szCs w:val="24"/>
          <w:highlight w:val="none"/>
        </w:rPr>
        <w:t>府性基金预算财政拨款收入支出决算表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_Toc13465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十二、</w:t>
      </w:r>
      <w:r>
        <w:rPr>
          <w:rFonts w:hint="default" w:ascii="Times New Roman" w:hAnsi="Times New Roman" w:eastAsia="宋体" w:cs="Times New Roman"/>
          <w:sz w:val="24"/>
          <w:szCs w:val="24"/>
          <w:highlight w:val="none"/>
        </w:rPr>
        <w:t>政</w:t>
      </w:r>
      <w:r>
        <w:rPr>
          <w:rFonts w:hint="default" w:ascii="Times New Roman" w:hAnsi="Times New Roman" w:eastAsia="宋体" w:cs="Times New Roman"/>
          <w:bCs w:val="0"/>
          <w:sz w:val="24"/>
          <w:szCs w:val="24"/>
          <w:highlight w:val="none"/>
        </w:rPr>
        <w:t>府性基金预算财政拨款“三公”经费支出决算表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十三、</w:t>
      </w:r>
      <w:r>
        <w:rPr>
          <w:rFonts w:hint="default" w:ascii="Times New Roman" w:hAnsi="Times New Roman" w:eastAsia="宋体" w:cs="Times New Roman"/>
          <w:sz w:val="24"/>
          <w:szCs w:val="24"/>
          <w:highlight w:val="none"/>
        </w:rPr>
        <w:t>国</w:t>
      </w:r>
      <w:r>
        <w:rPr>
          <w:rFonts w:hint="default" w:ascii="Times New Roman" w:hAnsi="Times New Roman" w:eastAsia="宋体" w:cs="Times New Roman"/>
          <w:bCs w:val="0"/>
          <w:sz w:val="24"/>
          <w:szCs w:val="24"/>
          <w:highlight w:val="none"/>
        </w:rPr>
        <w:t>有资本经营预算</w:t>
      </w:r>
      <w:r>
        <w:rPr>
          <w:rFonts w:hint="default" w:ascii="Times New Roman" w:hAnsi="Times New Roman" w:eastAsia="宋体" w:cs="Times New Roman"/>
          <w:bCs w:val="0"/>
          <w:sz w:val="24"/>
          <w:szCs w:val="24"/>
          <w:highlight w:val="none"/>
          <w:lang w:eastAsia="zh-CN"/>
        </w:rPr>
        <w:t>财政拨款收入</w:t>
      </w:r>
      <w:r>
        <w:rPr>
          <w:rFonts w:hint="default" w:ascii="Times New Roman" w:hAnsi="Times New Roman" w:eastAsia="宋体" w:cs="Times New Roman"/>
          <w:bCs w:val="0"/>
          <w:sz w:val="24"/>
          <w:szCs w:val="24"/>
          <w:highlight w:val="none"/>
        </w:rPr>
        <w:t>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_Toc26333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lang w:eastAsia="zh-CN"/>
        </w:rPr>
        <w:t>十四、国有资本经营预算财政拨款支出决算表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_Toc26333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Times New Roman" w:hAnsi="Times New Roman" w:cs="Times New Roman"/>
        </w:rPr>
        <w:fldChar w:fldCharType="end"/>
      </w:r>
    </w:p>
    <w:p>
      <w:pPr>
        <w:pStyle w:val="3"/>
        <w:pageBreakBefore w:val="0"/>
        <w:kinsoku/>
        <w:wordWrap/>
        <w:overflowPunct/>
        <w:topLinePunct w:val="0"/>
        <w:autoSpaceDE/>
        <w:autoSpaceDN/>
        <w:bidi w:val="0"/>
        <w:adjustRightInd/>
        <w:spacing w:line="576" w:lineRule="exact"/>
        <w:jc w:val="both"/>
        <w:textAlignment w:val="auto"/>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6"/>
        <w:rPr>
          <w:rFonts w:hint="eastAsia" w:ascii="黑体" w:hAnsi="黑体" w:eastAsia="黑体"/>
          <w:b w:val="0"/>
          <w:color w:val="auto"/>
          <w:highlight w:val="none"/>
        </w:rPr>
      </w:pPr>
    </w:p>
    <w:p>
      <w:pPr>
        <w:pStyle w:val="3"/>
        <w:pageBreakBefore w:val="0"/>
        <w:kinsoku/>
        <w:wordWrap/>
        <w:overflowPunct/>
        <w:topLinePunct w:val="0"/>
        <w:autoSpaceDE/>
        <w:autoSpaceDN/>
        <w:bidi w:val="0"/>
        <w:adjustRightInd/>
        <w:spacing w:line="576" w:lineRule="exact"/>
        <w:jc w:val="center"/>
        <w:textAlignment w:val="auto"/>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3"/>
        <w:pageBreakBefore w:val="0"/>
        <w:kinsoku/>
        <w:wordWrap/>
        <w:overflowPunct/>
        <w:topLinePunct w:val="0"/>
        <w:autoSpaceDE/>
        <w:autoSpaceDN/>
        <w:bidi w:val="0"/>
        <w:adjustRightInd/>
        <w:spacing w:line="576" w:lineRule="exact"/>
        <w:jc w:val="center"/>
        <w:textAlignment w:val="auto"/>
        <w:rPr>
          <w:rStyle w:val="25"/>
          <w:rFonts w:ascii="黑体" w:hAnsi="黑体" w:eastAsia="黑体"/>
          <w:b/>
          <w:bCs w:val="0"/>
          <w:color w:val="auto"/>
          <w:highlight w:val="none"/>
        </w:rPr>
      </w:pPr>
      <w:bookmarkStart w:id="17" w:name="_Toc373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5"/>
      <w:bookmarkEnd w:id="16"/>
      <w:bookmarkEnd w:id="17"/>
    </w:p>
    <w:p>
      <w:pPr>
        <w:pageBreakBefore w:val="0"/>
        <w:widowControl/>
        <w:kinsoku/>
        <w:wordWrap/>
        <w:overflowPunct/>
        <w:topLinePunct w:val="0"/>
        <w:autoSpaceDE/>
        <w:autoSpaceDN/>
        <w:bidi w:val="0"/>
        <w:adjustRightInd/>
        <w:spacing w:line="576" w:lineRule="exact"/>
        <w:jc w:val="left"/>
        <w:textAlignment w:val="auto"/>
        <w:rPr>
          <w:rFonts w:ascii="黑体" w:eastAsia="黑体"/>
          <w:color w:val="auto"/>
          <w:sz w:val="32"/>
          <w:szCs w:val="32"/>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color w:val="auto"/>
          <w:highlight w:val="none"/>
        </w:rPr>
      </w:pPr>
      <w:bookmarkStart w:id="18" w:name="_Toc29792"/>
      <w:bookmarkStart w:id="19" w:name="_Toc15396600"/>
      <w:bookmarkStart w:id="20" w:name="_Toc15377197"/>
      <w:r>
        <w:rPr>
          <w:rStyle w:val="26"/>
          <w:rFonts w:hint="eastAsia" w:ascii="黑体" w:hAnsi="黑体" w:eastAsia="黑体"/>
          <w:b w:val="0"/>
          <w:bCs w:val="0"/>
          <w:color w:val="auto"/>
          <w:highlight w:val="none"/>
          <w:lang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18"/>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color w:val="auto"/>
          <w:highlight w:val="none"/>
          <w:lang w:val="en-US" w:eastAsia="zh-CN"/>
        </w:rPr>
      </w:pPr>
      <w:r>
        <w:rPr>
          <w:rFonts w:eastAsia="仿宋_GB2312"/>
          <w:color w:val="000000"/>
          <w:sz w:val="32"/>
          <w:szCs w:val="32"/>
        </w:rPr>
        <w:t>承担全市境内突发公共卫生事件处置及其他突发事件紧急医疗救援的指挥调度；负责全市所有医疗急救资源的调度、指挥并开展院前急救、转运和重症病人转运途中的监护；负责全市网络医院监管、急救人员培训等工作。</w:t>
      </w:r>
    </w:p>
    <w:p>
      <w:pPr>
        <w:pStyle w:val="4"/>
        <w:pageBreakBefore w:val="0"/>
        <w:widowControl w:val="0"/>
        <w:numPr>
          <w:ilvl w:val="0"/>
          <w:numId w:val="0"/>
        </w:numPr>
        <w:kinsoku/>
        <w:wordWrap/>
        <w:overflowPunct/>
        <w:topLinePunct w:val="0"/>
        <w:autoSpaceDE/>
        <w:autoSpaceDN/>
        <w:bidi w:val="0"/>
        <w:adjustRightInd/>
        <w:spacing w:line="576" w:lineRule="exact"/>
        <w:textAlignment w:val="auto"/>
        <w:rPr>
          <w:rFonts w:hint="eastAsia" w:ascii="黑体" w:hAnsi="黑体" w:eastAsia="黑体"/>
          <w:b w:val="0"/>
          <w:color w:val="auto"/>
          <w:highlight w:val="none"/>
          <w:lang w:eastAsia="zh-CN"/>
        </w:rPr>
      </w:pPr>
      <w:bookmarkStart w:id="21" w:name="_Toc20827"/>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9"/>
      <w:bookmarkEnd w:id="20"/>
      <w:r>
        <w:rPr>
          <w:rFonts w:hint="eastAsia" w:ascii="黑体" w:hAnsi="黑体" w:eastAsia="黑体"/>
          <w:b w:val="0"/>
          <w:color w:val="auto"/>
          <w:highlight w:val="none"/>
          <w:lang w:eastAsia="zh-CN"/>
        </w:rPr>
        <w:t>完成情况</w:t>
      </w:r>
      <w:bookmarkEnd w:id="21"/>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1.着力抓学习促引领，精准把握中心工作新方位。一是坚持党建引领。全面落实从严治党“四责协同”工作机制，以党建引领中心工作融入“健康广元”战略发展大局，以增强党性、提高素质、强化服务为重点，统筹推进党建工作和业务工作，严格执行党风廉政建设、意识形态工作责任制，规范落实“三会一课”等党内组织生活制度。二是坚持学习引领。高质量推进党史学习教育走深走实，制定学习计划，确定学习内容，丰富学教形式，召开党员大会14次，讲党课5次，发放读本37本，撰写心得体会70余篇，通过深学细悟笃行，结合我为群众办实事活动，进一步提高政治“三力”。三是坚持制度引领。务实推进干部纪律作风整顿工作，从严细照12个方面存在的突出问题表现进行自查自纠，领导班子带头查摆整改问题4个，干部个人查摆整改问题53个，落实整改措施64条，建立完善了疫情防控常态化应急值班值守、内控管理、请销假报告及核酸检测等规章制度。坚持把铁的纪律转化为党员干部日常习惯和行为，以严实的纪律、过硬的作风、暂新的面貌守好120急救“生命线”，彰显健康广元“好声音”。</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2.着力抓重点提质效，努力实现指挥调度新作为。一是严格遵循调度原则。全年共接听拨打电话185179个，调度派诊21351趟（重特大事件621起），救治病人17934人，平均每日接听拨打电话507个，平均每日有效出诊59趟，圆满完成春运、两会、党代会、中高考、女儿节及疫苗接种异常反应等重大会议活动应急救援工作保障，全年零投诉零责任事故。二是加强调度质量控制，更新了重特大事件及调度典型案例分析报告制度；召开调度质量分析会4次，开展了调度员能力提升大讲堂、演讲比赛、技能测试7次；“调度之星”评选4次；组建专班研讨120调度流程规范3+次，总结提炼出调度员“1+8”工作新模式，确保应对处置更加优质高效。三是建立“互联网+智慧急救”新模式。通过运行微信公众号“微急救服务平台”实现了老百姓快速呼叫“120”。四川省首个无障碍急救报警平台即将上线，将为9600多听力言语障碍人群快速呼叫120急救提供便捷。</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3.着力抓服务重实干,充分展示急救为民新面貌。一是提高公众急救素养。组织开展急救科普知识“五进”专场活动7次，讲解如何正确拨打120、日常急救知识等内容，现场演示教学、指导实操心肺复苏术、海姆立克法及外伤止血包扎等基本急救技能，共培训700人次，发放宣传资料6.5万份。二是强化专技人员能力提升。举办基层院前急救能力提升旺苍站培训班，基层130余人接受为期2天的专业培训。</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4.着力抓管理促落实,加强综合管理取得新成效。狠抓安全生产，落实应急值班值守制度，完善应急预案。规范“三公”经费、后勤管理，履行疫情防控、维稳、消防、信访、防邪、精神文明等工作责任，丰富工会文化活动。</w:t>
      </w:r>
    </w:p>
    <w:p>
      <w:pPr>
        <w:pageBreakBefore w:val="0"/>
        <w:widowControl/>
        <w:kinsoku/>
        <w:wordWrap/>
        <w:overflowPunct/>
        <w:topLinePunct w:val="0"/>
        <w:autoSpaceDE/>
        <w:autoSpaceDN/>
        <w:bidi w:val="0"/>
        <w:adjustRightInd/>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kinsoku/>
        <w:wordWrap/>
        <w:overflowPunct/>
        <w:topLinePunct w:val="0"/>
        <w:bidi w:val="0"/>
        <w:spacing w:line="576" w:lineRule="exact"/>
        <w:ind w:right="440"/>
        <w:jc w:val="center"/>
        <w:textAlignment w:val="auto"/>
        <w:rPr>
          <w:rStyle w:val="25"/>
          <w:rFonts w:ascii="黑体" w:hAnsi="黑体" w:eastAsia="黑体"/>
          <w:b w:val="0"/>
          <w:bCs/>
          <w:color w:val="auto"/>
          <w:highlight w:val="none"/>
        </w:rPr>
      </w:pPr>
      <w:bookmarkStart w:id="22" w:name="_Toc15377204"/>
      <w:bookmarkStart w:id="23" w:name="_Toc31296"/>
      <w:bookmarkStart w:id="2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2"/>
      <w:bookmarkEnd w:id="23"/>
      <w:bookmarkEnd w:id="24"/>
    </w:p>
    <w:p>
      <w:pPr>
        <w:pageBreakBefore w:val="0"/>
        <w:kinsoku/>
        <w:wordWrap/>
        <w:overflowPunct/>
        <w:topLinePunct w:val="0"/>
        <w:bidi w:val="0"/>
        <w:spacing w:line="576" w:lineRule="exact"/>
        <w:textAlignment w:val="auto"/>
        <w:rPr>
          <w:color w:val="auto"/>
          <w:highlight w:val="none"/>
        </w:rPr>
      </w:pPr>
    </w:p>
    <w:p>
      <w:pPr>
        <w:pStyle w:val="24"/>
        <w:pageBreakBefore w:val="0"/>
        <w:numPr>
          <w:ilvl w:val="0"/>
          <w:numId w:val="0"/>
        </w:numPr>
        <w:kinsoku/>
        <w:wordWrap/>
        <w:overflowPunct/>
        <w:topLinePunct w:val="0"/>
        <w:bidi w:val="0"/>
        <w:spacing w:line="576" w:lineRule="exact"/>
        <w:ind w:left="640" w:leftChars="0"/>
        <w:textAlignment w:val="auto"/>
        <w:outlineLvl w:val="1"/>
        <w:rPr>
          <w:rStyle w:val="26"/>
          <w:rFonts w:ascii="黑体" w:hAnsi="黑体" w:eastAsia="黑体"/>
          <w:b w:val="0"/>
          <w:color w:val="auto"/>
          <w:highlight w:val="none"/>
        </w:rPr>
      </w:pPr>
      <w:bookmarkStart w:id="25" w:name="_Toc15396603"/>
      <w:bookmarkStart w:id="26" w:name="_Toc16191"/>
      <w:bookmarkStart w:id="27"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5"/>
      <w:bookmarkEnd w:id="26"/>
      <w:bookmarkEnd w:id="27"/>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271.29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8.60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人员经费增加。</w:t>
      </w:r>
    </w:p>
    <w:p>
      <w:pPr>
        <w:pageBreakBefore w:val="0"/>
        <w:kinsoku/>
        <w:wordWrap/>
        <w:overflowPunct/>
        <w:topLinePunct w:val="0"/>
        <w:bidi w:val="0"/>
        <w:spacing w:line="576" w:lineRule="exact"/>
        <w:ind w:firstLine="420" w:firstLineChars="200"/>
        <w:textAlignment w:val="auto"/>
        <w:rPr>
          <w:rFonts w:hint="eastAsia" w:ascii="仿宋" w:hAnsi="仿宋" w:eastAsia="仿宋"/>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428625</wp:posOffset>
            </wp:positionH>
            <wp:positionV relativeFrom="paragraph">
              <wp:posOffset>175260</wp:posOffset>
            </wp:positionV>
            <wp:extent cx="4590415" cy="2767330"/>
            <wp:effectExtent l="0" t="0" r="635" b="13970"/>
            <wp:wrapTight wrapText="bothSides">
              <wp:wrapPolygon>
                <wp:start x="0" y="0"/>
                <wp:lineTo x="0" y="21412"/>
                <wp:lineTo x="21513" y="21412"/>
                <wp:lineTo x="2151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0415" cy="2767330"/>
                    </a:xfrm>
                    <a:prstGeom prst="rect">
                      <a:avLst/>
                    </a:prstGeom>
                    <a:noFill/>
                    <a:ln>
                      <a:noFill/>
                    </a:ln>
                  </pic:spPr>
                </pic:pic>
              </a:graphicData>
            </a:graphic>
          </wp:anchor>
        </w:drawing>
      </w:r>
    </w:p>
    <w:p>
      <w:pPr>
        <w:pStyle w:val="6"/>
        <w:pageBreakBefore w:val="0"/>
        <w:kinsoku/>
        <w:wordWrap/>
        <w:overflowPunct/>
        <w:topLinePunct w:val="0"/>
        <w:bidi w:val="0"/>
        <w:spacing w:line="576" w:lineRule="exact"/>
        <w:textAlignment w:val="auto"/>
        <w:rPr>
          <w:rFonts w:hint="eastAsia" w:ascii="仿宋" w:hAnsi="仿宋" w:eastAsia="仿宋"/>
          <w:color w:val="auto"/>
          <w:sz w:val="32"/>
          <w:szCs w:val="32"/>
          <w:highlight w:val="none"/>
          <w:lang w:eastAsia="zh-CN"/>
        </w:rPr>
      </w:pPr>
    </w:p>
    <w:p>
      <w:pPr>
        <w:pStyle w:val="6"/>
        <w:pageBreakBefore w:val="0"/>
        <w:kinsoku/>
        <w:wordWrap/>
        <w:overflowPunct/>
        <w:topLinePunct w:val="0"/>
        <w:bidi w:val="0"/>
        <w:spacing w:line="576" w:lineRule="exact"/>
        <w:textAlignment w:val="auto"/>
        <w:rPr>
          <w:rFonts w:hint="eastAsia" w:ascii="仿宋" w:hAnsi="仿宋" w:eastAsia="仿宋"/>
          <w:color w:val="auto"/>
          <w:sz w:val="32"/>
          <w:szCs w:val="32"/>
          <w:highlight w:val="none"/>
          <w:lang w:eastAsia="zh-CN"/>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4"/>
        <w:pageBreakBefore w:val="0"/>
        <w:numPr>
          <w:ilvl w:val="0"/>
          <w:numId w:val="0"/>
        </w:numPr>
        <w:kinsoku/>
        <w:wordWrap/>
        <w:overflowPunct/>
        <w:topLinePunct w:val="0"/>
        <w:bidi w:val="0"/>
        <w:spacing w:line="576" w:lineRule="exact"/>
        <w:ind w:left="640" w:leftChars="0"/>
        <w:textAlignment w:val="auto"/>
        <w:outlineLvl w:val="1"/>
        <w:rPr>
          <w:rStyle w:val="26"/>
          <w:rFonts w:ascii="黑体" w:hAnsi="黑体" w:eastAsia="黑体"/>
          <w:b w:val="0"/>
          <w:color w:val="auto"/>
          <w:highlight w:val="none"/>
        </w:rPr>
      </w:pPr>
      <w:bookmarkStart w:id="28" w:name="_Toc29609"/>
      <w:bookmarkStart w:id="29" w:name="_Toc15396604"/>
      <w:bookmarkStart w:id="30"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8"/>
      <w:bookmarkEnd w:id="29"/>
      <w:bookmarkEnd w:id="30"/>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bookmarkStart w:id="31" w:name="_Toc4870"/>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251.19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250.60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99.77</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0.23</w:t>
      </w:r>
      <w:r>
        <w:rPr>
          <w:rFonts w:hint="eastAsia" w:ascii="仿宋" w:hAnsi="仿宋" w:eastAsia="仿宋"/>
          <w:color w:val="auto"/>
          <w:sz w:val="32"/>
          <w:szCs w:val="32"/>
          <w:highlight w:val="none"/>
        </w:rPr>
        <w:t>%。</w:t>
      </w:r>
      <w:bookmarkEnd w:id="31"/>
    </w:p>
    <w:p>
      <w:pPr>
        <w:pageBreakBefore w:val="0"/>
        <w:kinsoku/>
        <w:wordWrap/>
        <w:overflowPunct/>
        <w:topLinePunct w:val="0"/>
        <w:bidi w:val="0"/>
        <w:spacing w:line="576" w:lineRule="exact"/>
        <w:ind w:firstLine="643" w:firstLineChars="200"/>
        <w:textAlignment w:val="auto"/>
        <w:outlineLvl w:val="1"/>
        <w:rPr>
          <w:rFonts w:ascii="仿宋" w:hAnsi="仿宋" w:eastAsia="仿宋"/>
          <w:b/>
          <w:color w:val="auto"/>
          <w:sz w:val="32"/>
          <w:szCs w:val="32"/>
          <w:highlight w:val="none"/>
        </w:rPr>
      </w:pPr>
    </w:p>
    <w:p>
      <w:pPr>
        <w:pageBreakBefore w:val="0"/>
        <w:kinsoku/>
        <w:wordWrap/>
        <w:overflowPunct/>
        <w:topLinePunct w:val="0"/>
        <w:bidi w:val="0"/>
        <w:spacing w:line="576" w:lineRule="exact"/>
        <w:ind w:firstLine="640" w:firstLineChars="200"/>
        <w:textAlignment w:val="auto"/>
        <w:outlineLvl w:val="1"/>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r>
        <w:drawing>
          <wp:anchor distT="0" distB="0" distL="114300" distR="114300" simplePos="0" relativeHeight="251661312" behindDoc="1" locked="0" layoutInCell="1" allowOverlap="1">
            <wp:simplePos x="0" y="0"/>
            <wp:positionH relativeFrom="column">
              <wp:posOffset>400050</wp:posOffset>
            </wp:positionH>
            <wp:positionV relativeFrom="paragraph">
              <wp:posOffset>76200</wp:posOffset>
            </wp:positionV>
            <wp:extent cx="4590415" cy="2767330"/>
            <wp:effectExtent l="0" t="0" r="635" b="13970"/>
            <wp:wrapTight wrapText="bothSides">
              <wp:wrapPolygon>
                <wp:start x="0" y="0"/>
                <wp:lineTo x="0" y="21412"/>
                <wp:lineTo x="21513" y="21412"/>
                <wp:lineTo x="2151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590415" cy="2767330"/>
                    </a:xfrm>
                    <a:prstGeom prst="rect">
                      <a:avLst/>
                    </a:prstGeom>
                    <a:noFill/>
                    <a:ln>
                      <a:noFill/>
                    </a:ln>
                  </pic:spPr>
                </pic:pic>
              </a:graphicData>
            </a:graphic>
          </wp:anchor>
        </w:drawing>
      </w: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Style w:val="6"/>
        <w:pageBreakBefore w:val="0"/>
        <w:kinsoku/>
        <w:wordWrap/>
        <w:overflowPunct/>
        <w:topLinePunct w:val="0"/>
        <w:bidi w:val="0"/>
        <w:spacing w:line="576" w:lineRule="exact"/>
        <w:textAlignment w:val="auto"/>
        <w:rPr>
          <w:rFonts w:ascii="仿宋" w:hAnsi="仿宋" w:eastAsia="仿宋"/>
          <w:color w:val="auto"/>
          <w:sz w:val="32"/>
          <w:szCs w:val="32"/>
          <w:highlight w:val="none"/>
        </w:rPr>
      </w:pP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4"/>
        <w:pageBreakBefore w:val="0"/>
        <w:numPr>
          <w:ilvl w:val="0"/>
          <w:numId w:val="0"/>
        </w:numPr>
        <w:kinsoku/>
        <w:wordWrap/>
        <w:overflowPunct/>
        <w:topLinePunct w:val="0"/>
        <w:bidi w:val="0"/>
        <w:spacing w:line="576" w:lineRule="exact"/>
        <w:ind w:left="640" w:leftChars="0"/>
        <w:textAlignment w:val="auto"/>
        <w:outlineLvl w:val="1"/>
        <w:rPr>
          <w:rStyle w:val="26"/>
          <w:rFonts w:ascii="黑体" w:hAnsi="黑体" w:eastAsia="黑体"/>
          <w:b w:val="0"/>
          <w:color w:val="auto"/>
          <w:highlight w:val="none"/>
        </w:rPr>
      </w:pPr>
      <w:bookmarkStart w:id="32" w:name="_Toc17641"/>
      <w:bookmarkStart w:id="33" w:name="_Toc15396605"/>
      <w:bookmarkStart w:id="34"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2"/>
      <w:bookmarkEnd w:id="33"/>
      <w:bookmarkEnd w:id="34"/>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bookmarkStart w:id="35" w:name="_Toc23098"/>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263.81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210.62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79.84</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53.19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20.16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5"/>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yellow"/>
        </w:rPr>
      </w:pPr>
      <w:r>
        <w:rPr>
          <w:rFonts w:hint="eastAsia" w:ascii="仿宋" w:hAnsi="仿宋" w:eastAsia="仿宋"/>
          <w:color w:val="auto"/>
          <w:sz w:val="32"/>
          <w:szCs w:val="32"/>
          <w:highlight w:val="yellow"/>
        </w:rPr>
        <w:drawing>
          <wp:anchor distT="0" distB="0" distL="114300" distR="114300" simplePos="0" relativeHeight="251662336" behindDoc="1" locked="0" layoutInCell="1" allowOverlap="1">
            <wp:simplePos x="0" y="0"/>
            <wp:positionH relativeFrom="column">
              <wp:posOffset>396875</wp:posOffset>
            </wp:positionH>
            <wp:positionV relativeFrom="paragraph">
              <wp:posOffset>264160</wp:posOffset>
            </wp:positionV>
            <wp:extent cx="4596130" cy="2767330"/>
            <wp:effectExtent l="0" t="0" r="13970" b="13970"/>
            <wp:wrapTight wrapText="bothSides">
              <wp:wrapPolygon>
                <wp:start x="0" y="0"/>
                <wp:lineTo x="0" y="21412"/>
                <wp:lineTo x="21487" y="21412"/>
                <wp:lineTo x="2148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596130" cy="2767330"/>
                    </a:xfrm>
                    <a:prstGeom prst="rect">
                      <a:avLst/>
                    </a:prstGeom>
                    <a:noFill/>
                    <a:ln>
                      <a:noFill/>
                    </a:ln>
                  </pic:spPr>
                </pic:pic>
              </a:graphicData>
            </a:graphic>
          </wp:anchor>
        </w:drawing>
      </w: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pageBreakBefore w:val="0"/>
        <w:kinsoku/>
        <w:wordWrap/>
        <w:overflowPunct/>
        <w:topLinePunct w:val="0"/>
        <w:bidi w:val="0"/>
        <w:spacing w:line="576" w:lineRule="exact"/>
        <w:ind w:firstLine="640" w:firstLineChars="200"/>
        <w:textAlignment w:val="auto"/>
        <w:outlineLvl w:val="1"/>
        <w:rPr>
          <w:rStyle w:val="26"/>
          <w:rFonts w:ascii="黑体" w:hAnsi="黑体" w:eastAsia="黑体"/>
          <w:b w:val="0"/>
          <w:color w:val="auto"/>
          <w:highlight w:val="none"/>
        </w:rPr>
      </w:pPr>
      <w:bookmarkStart w:id="36" w:name="_Toc15396606"/>
      <w:bookmarkStart w:id="37" w:name="_Toc15377208"/>
      <w:bookmarkStart w:id="38" w:name="_Toc23459"/>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6"/>
      <w:bookmarkEnd w:id="37"/>
      <w:bookmarkEnd w:id="38"/>
    </w:p>
    <w:p>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262.01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人员经费增加。</w:t>
      </w:r>
    </w:p>
    <w:p>
      <w:pPr>
        <w:pageBreakBefore w:val="0"/>
        <w:kinsoku/>
        <w:wordWrap/>
        <w:overflowPunct/>
        <w:topLinePunct w:val="0"/>
        <w:bidi w:val="0"/>
        <w:spacing w:line="576" w:lineRule="exact"/>
        <w:ind w:firstLine="640"/>
        <w:textAlignment w:val="auto"/>
        <w:rPr>
          <w:rFonts w:ascii="仿宋" w:hAnsi="仿宋" w:eastAsia="仿宋"/>
          <w:b/>
          <w:color w:val="auto"/>
          <w:sz w:val="32"/>
          <w:szCs w:val="32"/>
          <w:highlight w:val="none"/>
        </w:rPr>
      </w:pPr>
      <w:r>
        <w:drawing>
          <wp:anchor distT="0" distB="0" distL="114300" distR="114300" simplePos="0" relativeHeight="251663360" behindDoc="1" locked="0" layoutInCell="1" allowOverlap="1">
            <wp:simplePos x="0" y="0"/>
            <wp:positionH relativeFrom="column">
              <wp:posOffset>406400</wp:posOffset>
            </wp:positionH>
            <wp:positionV relativeFrom="paragraph">
              <wp:posOffset>99060</wp:posOffset>
            </wp:positionV>
            <wp:extent cx="4584065" cy="2767330"/>
            <wp:effectExtent l="0" t="0" r="6985" b="13970"/>
            <wp:wrapTight wrapText="bothSides">
              <wp:wrapPolygon>
                <wp:start x="0" y="0"/>
                <wp:lineTo x="0" y="21412"/>
                <wp:lineTo x="21543" y="21412"/>
                <wp:lineTo x="2154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584065" cy="2767330"/>
                    </a:xfrm>
                    <a:prstGeom prst="rect">
                      <a:avLst/>
                    </a:prstGeom>
                    <a:noFill/>
                    <a:ln>
                      <a:noFill/>
                    </a:ln>
                  </pic:spPr>
                </pic:pic>
              </a:graphicData>
            </a:graphic>
          </wp:anchor>
        </w:drawing>
      </w:r>
    </w:p>
    <w:p>
      <w:pPr>
        <w:pageBreakBefore w:val="0"/>
        <w:kinsoku/>
        <w:wordWrap/>
        <w:overflowPunct/>
        <w:topLinePunct w:val="0"/>
        <w:bidi w:val="0"/>
        <w:spacing w:line="576" w:lineRule="exact"/>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ageBreakBefore w:val="0"/>
        <w:kinsoku/>
        <w:wordWrap/>
        <w:overflowPunct/>
        <w:topLinePunct w:val="0"/>
        <w:bidi w:val="0"/>
        <w:spacing w:line="576" w:lineRule="exact"/>
        <w:ind w:firstLine="640" w:firstLineChars="200"/>
        <w:textAlignment w:val="auto"/>
        <w:outlineLvl w:val="1"/>
        <w:rPr>
          <w:rStyle w:val="26"/>
          <w:rFonts w:ascii="黑体" w:hAnsi="黑体" w:eastAsia="黑体"/>
          <w:b w:val="0"/>
          <w:color w:val="auto"/>
          <w:highlight w:val="none"/>
        </w:rPr>
      </w:pPr>
      <w:bookmarkStart w:id="39" w:name="_Toc15377209"/>
      <w:bookmarkStart w:id="40" w:name="_Toc15396607"/>
      <w:bookmarkStart w:id="41" w:name="_Toc1387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9"/>
      <w:bookmarkEnd w:id="40"/>
      <w:bookmarkEnd w:id="41"/>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42" w:name="_Toc15377210"/>
      <w:r>
        <w:rPr>
          <w:rFonts w:hint="eastAsia" w:ascii="楷体" w:hAnsi="楷体" w:eastAsia="楷体" w:cs="楷体"/>
          <w:b w:val="0"/>
          <w:bCs/>
          <w:color w:val="auto"/>
          <w:sz w:val="32"/>
          <w:szCs w:val="32"/>
          <w:highlight w:val="none"/>
        </w:rPr>
        <w:t>（一）一般公共预算财政拨款支出决算总体情况</w:t>
      </w:r>
      <w:bookmarkEnd w:id="42"/>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年一般公共预算财政拨款支出261.98万元，占本年支出合计的</w:t>
      </w:r>
      <w:r>
        <w:rPr>
          <w:rFonts w:hint="eastAsia" w:ascii="仿宋" w:hAnsi="仿宋" w:eastAsia="仿宋"/>
          <w:color w:val="auto"/>
          <w:sz w:val="32"/>
          <w:szCs w:val="32"/>
          <w:highlight w:val="none"/>
          <w:lang w:val="en-US" w:eastAsia="zh-CN"/>
        </w:rPr>
        <w:t>99.31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20.38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一是工资支出较去年增加；二是目标奖清算较去年增加。</w:t>
      </w:r>
    </w:p>
    <w:p>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420" w:firstLineChars="200"/>
        <w:textAlignment w:val="auto"/>
        <w:rPr>
          <w:rFonts w:hint="eastAsia" w:ascii="仿宋" w:hAnsi="仿宋" w:eastAsia="仿宋"/>
          <w:color w:val="auto"/>
          <w:sz w:val="32"/>
          <w:szCs w:val="32"/>
          <w:highlight w:val="none"/>
        </w:rPr>
      </w:pPr>
      <w:r>
        <w:drawing>
          <wp:anchor distT="0" distB="0" distL="114300" distR="114300" simplePos="0" relativeHeight="251664384" behindDoc="1" locked="0" layoutInCell="1" allowOverlap="1">
            <wp:simplePos x="0" y="0"/>
            <wp:positionH relativeFrom="column">
              <wp:posOffset>377825</wp:posOffset>
            </wp:positionH>
            <wp:positionV relativeFrom="paragraph">
              <wp:posOffset>28575</wp:posOffset>
            </wp:positionV>
            <wp:extent cx="4596130" cy="2761615"/>
            <wp:effectExtent l="0" t="0" r="13970" b="635"/>
            <wp:wrapTight wrapText="bothSides">
              <wp:wrapPolygon>
                <wp:start x="0" y="0"/>
                <wp:lineTo x="0" y="21456"/>
                <wp:lineTo x="21487" y="21456"/>
                <wp:lineTo x="2148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596130" cy="2761615"/>
                    </a:xfrm>
                    <a:prstGeom prst="rect">
                      <a:avLst/>
                    </a:prstGeom>
                    <a:noFill/>
                    <a:ln>
                      <a:noFill/>
                    </a:ln>
                  </pic:spPr>
                </pic:pic>
              </a:graphicData>
            </a:graphic>
          </wp:anchor>
        </w:drawing>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43" w:name="_Toc15377211"/>
      <w:r>
        <w:rPr>
          <w:rFonts w:hint="eastAsia" w:ascii="楷体" w:hAnsi="楷体" w:eastAsia="楷体" w:cs="楷体"/>
          <w:b w:val="0"/>
          <w:bCs/>
          <w:color w:val="auto"/>
          <w:sz w:val="32"/>
          <w:szCs w:val="32"/>
          <w:highlight w:val="none"/>
        </w:rPr>
        <w:t>（二）一般公共预算财政拨款支出决算结构情况</w:t>
      </w:r>
      <w:bookmarkEnd w:id="43"/>
    </w:p>
    <w:p>
      <w:pPr>
        <w:pageBreakBefore w:val="0"/>
        <w:kinsoku/>
        <w:wordWrap/>
        <w:overflowPunct/>
        <w:topLinePunct w:val="0"/>
        <w:bidi w:val="0"/>
        <w:spacing w:line="576" w:lineRule="exact"/>
        <w:ind w:firstLine="640"/>
        <w:textAlignment w:val="auto"/>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261.98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支出15.89万元，占</w:t>
      </w:r>
      <w:r>
        <w:rPr>
          <w:rFonts w:hint="eastAsia" w:ascii="仿宋" w:hAnsi="仿宋" w:eastAsia="仿宋"/>
          <w:color w:val="auto"/>
          <w:sz w:val="32"/>
          <w:szCs w:val="32"/>
          <w:highlight w:val="none"/>
          <w:lang w:val="en-US" w:eastAsia="zh-CN"/>
        </w:rPr>
        <w:t>6.06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val="0"/>
          <w:bCs w:val="0"/>
          <w:color w:val="auto"/>
          <w:sz w:val="32"/>
          <w:szCs w:val="32"/>
          <w:highlight w:val="none"/>
          <w:lang w:eastAsia="zh-CN"/>
        </w:rPr>
        <w:t>支出</w:t>
      </w:r>
      <w:r>
        <w:rPr>
          <w:rFonts w:hint="eastAsia" w:ascii="仿宋" w:hAnsi="仿宋" w:eastAsia="仿宋"/>
          <w:color w:val="auto"/>
          <w:sz w:val="32"/>
          <w:szCs w:val="32"/>
          <w:highlight w:val="none"/>
        </w:rPr>
        <w:t>228.73万元，占</w:t>
      </w:r>
      <w:r>
        <w:rPr>
          <w:rFonts w:hint="eastAsia" w:ascii="仿宋" w:hAnsi="仿宋" w:eastAsia="仿宋"/>
          <w:color w:val="auto"/>
          <w:sz w:val="32"/>
          <w:szCs w:val="32"/>
          <w:highlight w:val="none"/>
          <w:lang w:val="en-US" w:eastAsia="zh-CN"/>
        </w:rPr>
        <w:t>87.31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rPr>
        <w:t>支出17.36万元，占</w:t>
      </w:r>
      <w:r>
        <w:rPr>
          <w:rFonts w:hint="eastAsia" w:ascii="仿宋" w:hAnsi="仿宋" w:eastAsia="仿宋"/>
          <w:color w:val="auto"/>
          <w:sz w:val="32"/>
          <w:szCs w:val="32"/>
          <w:highlight w:val="none"/>
          <w:lang w:val="en-US" w:eastAsia="zh-CN"/>
        </w:rPr>
        <w:t>6.63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drawing>
          <wp:anchor distT="0" distB="0" distL="114300" distR="114300" simplePos="0" relativeHeight="251665408" behindDoc="1" locked="0" layoutInCell="1" allowOverlap="1">
            <wp:simplePos x="0" y="0"/>
            <wp:positionH relativeFrom="column">
              <wp:posOffset>396875</wp:posOffset>
            </wp:positionH>
            <wp:positionV relativeFrom="paragraph">
              <wp:posOffset>107950</wp:posOffset>
            </wp:positionV>
            <wp:extent cx="4596130" cy="2797810"/>
            <wp:effectExtent l="0" t="0" r="13970" b="2540"/>
            <wp:wrapTight wrapText="bothSides">
              <wp:wrapPolygon>
                <wp:start x="0" y="0"/>
                <wp:lineTo x="0" y="21473"/>
                <wp:lineTo x="21487" y="21473"/>
                <wp:lineTo x="2148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596130" cy="2797810"/>
                    </a:xfrm>
                    <a:prstGeom prst="rect">
                      <a:avLst/>
                    </a:prstGeom>
                    <a:noFill/>
                    <a:ln>
                      <a:noFill/>
                    </a:ln>
                  </pic:spPr>
                </pic:pic>
              </a:graphicData>
            </a:graphic>
          </wp:anchor>
        </w:drawing>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44" w:name="_Toc15377212"/>
      <w:r>
        <w:rPr>
          <w:rFonts w:hint="eastAsia" w:ascii="楷体" w:hAnsi="楷体" w:eastAsia="楷体" w:cs="楷体"/>
          <w:b w:val="0"/>
          <w:bCs/>
          <w:color w:val="auto"/>
          <w:sz w:val="32"/>
          <w:szCs w:val="32"/>
          <w:highlight w:val="none"/>
        </w:rPr>
        <w:t>（三）一般公共预算财政拨款支出决算具体情况</w:t>
      </w:r>
      <w:bookmarkEnd w:id="44"/>
    </w:p>
    <w:p>
      <w:pPr>
        <w:pageBreakBefore w:val="0"/>
        <w:kinsoku/>
        <w:wordWrap/>
        <w:overflowPunct/>
        <w:topLinePunct w:val="0"/>
        <w:bidi w:val="0"/>
        <w:spacing w:line="576" w:lineRule="exact"/>
        <w:ind w:firstLine="643" w:firstLineChars="200"/>
        <w:textAlignment w:val="auto"/>
        <w:outlineLvl w:val="2"/>
        <w:rPr>
          <w:rFonts w:ascii="仿宋" w:hAnsi="仿宋" w:eastAsia="仿宋"/>
          <w:color w:val="auto"/>
          <w:sz w:val="32"/>
          <w:szCs w:val="32"/>
          <w:highlight w:val="none"/>
        </w:rPr>
      </w:pPr>
      <w:bookmarkStart w:id="45" w:name="_Toc15377444"/>
      <w:bookmarkStart w:id="46" w:name="_Toc15377213"/>
      <w:bookmarkStart w:id="4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261.98万元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99.99</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5"/>
      <w:bookmarkEnd w:id="46"/>
      <w:bookmarkEnd w:id="47"/>
    </w:p>
    <w:p>
      <w:pPr>
        <w:pageBreakBefore w:val="0"/>
        <w:kinsoku/>
        <w:wordWrap/>
        <w:overflowPunct/>
        <w:topLinePunct w:val="0"/>
        <w:bidi w:val="0"/>
        <w:spacing w:line="576" w:lineRule="exact"/>
        <w:ind w:firstLine="643" w:firstLineChars="200"/>
        <w:textAlignment w:val="auto"/>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社会保障和就业（类）</w:t>
      </w:r>
      <w:r>
        <w:rPr>
          <w:rStyle w:val="15"/>
          <w:rFonts w:eastAsia="仿宋"/>
          <w:bCs/>
          <w:color w:val="000000"/>
          <w:sz w:val="32"/>
          <w:szCs w:val="32"/>
        </w:rPr>
        <w:t>行政事业单位养老</w:t>
      </w:r>
      <w:r>
        <w:rPr>
          <w:rStyle w:val="15"/>
          <w:rFonts w:hint="eastAsia" w:ascii="仿宋" w:hAnsi="仿宋" w:eastAsia="仿宋"/>
          <w:bCs/>
          <w:color w:val="auto"/>
          <w:sz w:val="32"/>
          <w:szCs w:val="32"/>
          <w:highlight w:val="none"/>
        </w:rPr>
        <w:t>（款）</w:t>
      </w:r>
      <w:r>
        <w:rPr>
          <w:rStyle w:val="15"/>
          <w:rFonts w:eastAsia="仿宋"/>
          <w:bCs/>
          <w:color w:val="000000"/>
          <w:sz w:val="32"/>
          <w:szCs w:val="32"/>
        </w:rPr>
        <w:t>机关事业单位基本养老保险缴费</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15.89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5"/>
          <w:rFonts w:hint="eastAsia" w:ascii="仿宋" w:hAnsi="仿宋" w:eastAsia="仿宋" w:cstheme="minorBidi"/>
          <w:bCs/>
          <w:color w:val="auto"/>
          <w:kern w:val="2"/>
          <w:sz w:val="32"/>
          <w:szCs w:val="32"/>
          <w:highlight w:val="none"/>
          <w:lang w:val="en-US" w:eastAsia="zh-CN" w:bidi="ar-SA"/>
        </w:rPr>
        <w:t>2.</w:t>
      </w:r>
      <w:r>
        <w:rPr>
          <w:rFonts w:eastAsia="仿宋"/>
          <w:b/>
          <w:bCs/>
          <w:color w:val="000000"/>
          <w:sz w:val="32"/>
          <w:szCs w:val="32"/>
        </w:rPr>
        <w:t>卫生健康</w:t>
      </w:r>
      <w:r>
        <w:rPr>
          <w:rStyle w:val="15"/>
          <w:rFonts w:eastAsia="仿宋"/>
          <w:bCs/>
          <w:color w:val="000000"/>
          <w:sz w:val="32"/>
          <w:szCs w:val="32"/>
        </w:rPr>
        <w:t>（类）公共卫生（款）应急救治机构（项）</w:t>
      </w:r>
      <w:r>
        <w:rPr>
          <w:rStyle w:val="15"/>
          <w:rFonts w:hint="eastAsia" w:eastAsia="仿宋"/>
          <w:bCs/>
          <w:color w:val="000000"/>
          <w:sz w:val="32"/>
          <w:szCs w:val="32"/>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220.45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99.99</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代扣职工款项</w:t>
      </w:r>
      <w:r>
        <w:rPr>
          <w:rStyle w:val="15"/>
          <w:rFonts w:hint="eastAsia" w:ascii="仿宋" w:hAnsi="仿宋" w:eastAsia="仿宋"/>
          <w:b w:val="0"/>
          <w:bCs/>
          <w:color w:val="auto"/>
          <w:sz w:val="32"/>
          <w:szCs w:val="32"/>
          <w:highlight w:val="none"/>
          <w:lang w:val="en-US" w:eastAsia="zh-CN"/>
        </w:rPr>
        <w:t>0.03万元</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Style w:val="15"/>
          <w:rFonts w:eastAsia="仿宋"/>
          <w:b w:val="0"/>
          <w:bCs/>
          <w:color w:val="000000"/>
          <w:sz w:val="32"/>
          <w:szCs w:val="32"/>
        </w:rPr>
      </w:pPr>
      <w:r>
        <w:rPr>
          <w:rStyle w:val="15"/>
          <w:rFonts w:hint="eastAsia" w:eastAsia="仿宋"/>
          <w:bCs/>
          <w:color w:val="000000"/>
          <w:sz w:val="32"/>
          <w:szCs w:val="32"/>
          <w:lang w:val="en-US" w:eastAsia="zh-CN"/>
        </w:rPr>
        <w:t>3</w:t>
      </w:r>
      <w:r>
        <w:rPr>
          <w:rStyle w:val="15"/>
          <w:rFonts w:eastAsia="仿宋"/>
          <w:bCs/>
          <w:color w:val="000000"/>
          <w:sz w:val="32"/>
          <w:szCs w:val="32"/>
        </w:rPr>
        <w:t>.</w:t>
      </w:r>
      <w:r>
        <w:rPr>
          <w:rFonts w:eastAsia="仿宋"/>
          <w:b/>
          <w:bCs/>
          <w:color w:val="000000"/>
          <w:sz w:val="32"/>
          <w:szCs w:val="32"/>
        </w:rPr>
        <w:t xml:space="preserve"> 卫生健康</w:t>
      </w:r>
      <w:r>
        <w:rPr>
          <w:rStyle w:val="15"/>
          <w:rFonts w:eastAsia="仿宋"/>
          <w:bCs/>
          <w:color w:val="000000"/>
          <w:sz w:val="32"/>
          <w:szCs w:val="32"/>
        </w:rPr>
        <w:t>（类）行政事业单位医疗（款）事业单位医疗（项）</w:t>
      </w:r>
      <w:r>
        <w:rPr>
          <w:rStyle w:val="15"/>
          <w:rFonts w:eastAsia="仿宋"/>
          <w:b w:val="0"/>
          <w:bCs/>
          <w:color w:val="000000"/>
          <w:sz w:val="32"/>
          <w:szCs w:val="32"/>
        </w:rPr>
        <w:t>支出决算为</w:t>
      </w:r>
      <w:r>
        <w:rPr>
          <w:rStyle w:val="15"/>
          <w:rFonts w:hint="eastAsia" w:ascii="仿宋" w:hAnsi="仿宋" w:eastAsia="仿宋" w:cstheme="minorBidi"/>
          <w:b w:val="0"/>
          <w:bCs/>
          <w:color w:val="auto"/>
          <w:sz w:val="32"/>
          <w:szCs w:val="32"/>
          <w:highlight w:val="none"/>
          <w:lang w:val="en-US" w:eastAsia="zh-CN"/>
        </w:rPr>
        <w:t>8.28</w:t>
      </w:r>
      <w:r>
        <w:rPr>
          <w:rStyle w:val="15"/>
          <w:rFonts w:eastAsia="仿宋"/>
          <w:b w:val="0"/>
          <w:bCs/>
          <w:color w:val="000000"/>
          <w:sz w:val="32"/>
          <w:szCs w:val="32"/>
        </w:rPr>
        <w:t>万元，完成预算</w:t>
      </w:r>
      <w:r>
        <w:rPr>
          <w:rStyle w:val="15"/>
          <w:rFonts w:hint="eastAsia" w:ascii="仿宋" w:hAnsi="仿宋" w:eastAsia="仿宋" w:cstheme="minorBidi"/>
          <w:b w:val="0"/>
          <w:bCs/>
          <w:color w:val="auto"/>
          <w:sz w:val="32"/>
          <w:szCs w:val="32"/>
          <w:highlight w:val="none"/>
          <w:lang w:val="en-US" w:eastAsia="zh-CN"/>
        </w:rPr>
        <w:t>100%</w:t>
      </w:r>
      <w:r>
        <w:rPr>
          <w:rStyle w:val="15"/>
          <w:rFonts w:eastAsia="仿宋"/>
          <w:b w:val="0"/>
          <w:bCs/>
          <w:color w:val="000000"/>
          <w:sz w:val="32"/>
          <w:szCs w:val="32"/>
        </w:rPr>
        <w:t>。</w:t>
      </w:r>
    </w:p>
    <w:p>
      <w:pPr>
        <w:pStyle w:val="6"/>
        <w:pageBreakBefore w:val="0"/>
        <w:kinsoku/>
        <w:wordWrap/>
        <w:overflowPunct/>
        <w:topLinePunct w:val="0"/>
        <w:bidi w:val="0"/>
        <w:spacing w:line="576" w:lineRule="exact"/>
        <w:ind w:firstLine="643" w:firstLineChars="200"/>
        <w:textAlignment w:val="auto"/>
        <w:rPr>
          <w:rStyle w:val="15"/>
          <w:rFonts w:hint="eastAsia" w:ascii="仿宋" w:hAnsi="仿宋" w:eastAsia="仿宋" w:cstheme="minorBidi"/>
          <w:bCs/>
          <w:color w:val="auto"/>
          <w:kern w:val="2"/>
          <w:sz w:val="32"/>
          <w:szCs w:val="32"/>
          <w:highlight w:val="none"/>
          <w:lang w:val="en-US" w:eastAsia="zh-CN" w:bidi="ar-SA"/>
        </w:rPr>
      </w:pPr>
      <w:r>
        <w:rPr>
          <w:rStyle w:val="15"/>
          <w:rFonts w:hint="eastAsia" w:eastAsia="仿宋"/>
          <w:bCs/>
          <w:color w:val="000000"/>
          <w:sz w:val="32"/>
          <w:szCs w:val="32"/>
          <w:lang w:val="en-US" w:eastAsia="zh-CN"/>
        </w:rPr>
        <w:t>4</w:t>
      </w:r>
      <w:r>
        <w:rPr>
          <w:rStyle w:val="15"/>
          <w:rFonts w:eastAsia="仿宋"/>
          <w:bCs/>
          <w:color w:val="000000"/>
          <w:sz w:val="32"/>
          <w:szCs w:val="32"/>
        </w:rPr>
        <w:t>.</w:t>
      </w:r>
      <w:r>
        <w:rPr>
          <w:rFonts w:eastAsia="仿宋"/>
          <w:b/>
          <w:bCs/>
          <w:color w:val="000000"/>
          <w:sz w:val="32"/>
          <w:szCs w:val="32"/>
        </w:rPr>
        <w:t xml:space="preserve"> 住房保障（类）住房改革（款）住房公积金（项）</w:t>
      </w:r>
      <w:r>
        <w:rPr>
          <w:rStyle w:val="15"/>
          <w:rFonts w:eastAsia="仿宋"/>
          <w:b w:val="0"/>
          <w:bCs/>
          <w:color w:val="000000"/>
          <w:sz w:val="32"/>
          <w:szCs w:val="32"/>
        </w:rPr>
        <w:t>支出决算为</w:t>
      </w:r>
      <w:r>
        <w:rPr>
          <w:rStyle w:val="15"/>
          <w:rFonts w:hint="eastAsia" w:eastAsia="仿宋"/>
          <w:b w:val="0"/>
          <w:bCs/>
          <w:color w:val="000000"/>
          <w:sz w:val="32"/>
          <w:szCs w:val="32"/>
          <w:lang w:val="en-US" w:eastAsia="zh-CN"/>
        </w:rPr>
        <w:t>17.36</w:t>
      </w:r>
      <w:r>
        <w:rPr>
          <w:rStyle w:val="15"/>
          <w:rFonts w:eastAsia="仿宋"/>
          <w:b w:val="0"/>
          <w:bCs/>
          <w:color w:val="000000"/>
          <w:sz w:val="32"/>
          <w:szCs w:val="32"/>
        </w:rPr>
        <w:t>万元，完成预算100%</w:t>
      </w:r>
      <w:r>
        <w:rPr>
          <w:rStyle w:val="15"/>
          <w:rFonts w:hint="eastAsia" w:eastAsia="仿宋"/>
          <w:b w:val="0"/>
          <w:bCs/>
          <w:color w:val="000000"/>
          <w:sz w:val="32"/>
          <w:szCs w:val="32"/>
          <w:lang w:eastAsia="zh-CN"/>
        </w:rPr>
        <w:t>。</w:t>
      </w:r>
    </w:p>
    <w:p>
      <w:pPr>
        <w:pageBreakBefore w:val="0"/>
        <w:tabs>
          <w:tab w:val="right" w:pos="8306"/>
        </w:tabs>
        <w:kinsoku/>
        <w:wordWrap/>
        <w:overflowPunct/>
        <w:topLinePunct w:val="0"/>
        <w:bidi w:val="0"/>
        <w:spacing w:line="576" w:lineRule="exact"/>
        <w:ind w:firstLine="640"/>
        <w:textAlignment w:val="auto"/>
        <w:outlineLvl w:val="1"/>
        <w:rPr>
          <w:rStyle w:val="26"/>
          <w:color w:val="auto"/>
          <w:highlight w:val="none"/>
        </w:rPr>
      </w:pPr>
      <w:bookmarkStart w:id="48" w:name="_Toc15396608"/>
      <w:bookmarkStart w:id="49" w:name="_Toc15377214"/>
      <w:bookmarkStart w:id="50" w:name="_Toc2038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8"/>
      <w:bookmarkEnd w:id="49"/>
      <w:bookmarkEnd w:id="50"/>
      <w:r>
        <w:rPr>
          <w:rStyle w:val="26"/>
          <w:rFonts w:ascii="黑体" w:hAnsi="黑体" w:eastAsia="黑体"/>
          <w:b w:val="0"/>
          <w:color w:val="auto"/>
          <w:highlight w:val="none"/>
        </w:rPr>
        <w:tab/>
      </w:r>
    </w:p>
    <w:p>
      <w:pPr>
        <w:pageBreakBefore w:val="0"/>
        <w:kinsoku/>
        <w:wordWrap/>
        <w:overflowPunct/>
        <w:topLinePunct w:val="0"/>
        <w:bidi w:val="0"/>
        <w:spacing w:line="576"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年一般公共预算财政拨款基本支出208.79万元，其中：</w:t>
      </w:r>
    </w:p>
    <w:p>
      <w:pPr>
        <w:pageBreakBefore w:val="0"/>
        <w:kinsoku/>
        <w:wordWrap/>
        <w:overflowPunct/>
        <w:topLinePunct w:val="0"/>
        <w:bidi w:val="0"/>
        <w:spacing w:line="576" w:lineRule="exact"/>
        <w:ind w:firstLine="645"/>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人员经费185.82万元，主要包括：基本工资、津贴补贴、绩效工资、机关事业单位基本养老保险缴费、</w:t>
      </w:r>
      <w:r>
        <w:rPr>
          <w:rFonts w:eastAsia="仿宋"/>
          <w:color w:val="000000"/>
          <w:sz w:val="32"/>
          <w:szCs w:val="32"/>
        </w:rPr>
        <w:t>职工基本医疗保险缴费</w:t>
      </w:r>
      <w:r>
        <w:rPr>
          <w:rFonts w:hint="eastAsia" w:eastAsia="仿宋"/>
          <w:color w:val="000000"/>
          <w:sz w:val="32"/>
          <w:szCs w:val="32"/>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p>
    <w:p>
      <w:pPr>
        <w:pageBreakBefore w:val="0"/>
        <w:kinsoku/>
        <w:wordWrap/>
        <w:overflowPunct/>
        <w:topLinePunct w:val="0"/>
        <w:bidi w:val="0"/>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公用经费22.97万元，主要包括：办公费、水费、电费、物业管理费、差旅费、维修（护）费、公务接待费、工会经费、福利费、其他交通费、其他商品和服务支出。</w:t>
      </w:r>
    </w:p>
    <w:p>
      <w:pPr>
        <w:pageBreakBefore w:val="0"/>
        <w:kinsoku/>
        <w:wordWrap/>
        <w:overflowPunct/>
        <w:topLinePunct w:val="0"/>
        <w:bidi w:val="0"/>
        <w:spacing w:line="576" w:lineRule="exact"/>
        <w:ind w:firstLine="640"/>
        <w:textAlignment w:val="auto"/>
        <w:outlineLvl w:val="1"/>
        <w:rPr>
          <w:rStyle w:val="26"/>
          <w:rFonts w:ascii="黑体" w:hAnsi="黑体" w:eastAsia="黑体"/>
          <w:b w:val="0"/>
          <w:color w:val="auto"/>
          <w:highlight w:val="none"/>
        </w:rPr>
      </w:pPr>
      <w:bookmarkStart w:id="51" w:name="_Toc15377215"/>
      <w:bookmarkStart w:id="52" w:name="_Toc15396609"/>
      <w:bookmarkStart w:id="53" w:name="_Toc14230"/>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1"/>
      <w:bookmarkEnd w:id="52"/>
      <w:bookmarkEnd w:id="53"/>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54" w:name="_Toc15377216"/>
      <w:r>
        <w:rPr>
          <w:rFonts w:hint="eastAsia" w:ascii="楷体" w:hAnsi="楷体" w:eastAsia="楷体" w:cs="楷体"/>
          <w:b w:val="0"/>
          <w:bCs/>
          <w:color w:val="auto"/>
          <w:sz w:val="32"/>
          <w:szCs w:val="32"/>
          <w:highlight w:val="none"/>
        </w:rPr>
        <w:t>（一）“三公”经费财政拨款支出决算总体情况说明</w:t>
      </w:r>
      <w:bookmarkEnd w:id="54"/>
    </w:p>
    <w:p>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eastAsia="仿宋"/>
          <w:color w:val="000000"/>
          <w:sz w:val="32"/>
          <w:szCs w:val="32"/>
        </w:rPr>
        <w:t>为降低三公经费，基本</w:t>
      </w:r>
      <w:r>
        <w:rPr>
          <w:rFonts w:hint="eastAsia" w:eastAsia="仿宋"/>
          <w:color w:val="000000"/>
          <w:sz w:val="32"/>
          <w:szCs w:val="32"/>
        </w:rPr>
        <w:t>无</w:t>
      </w:r>
      <w:r>
        <w:rPr>
          <w:rFonts w:eastAsia="仿宋"/>
          <w:color w:val="000000"/>
          <w:sz w:val="32"/>
          <w:szCs w:val="32"/>
        </w:rPr>
        <w:t>接待</w:t>
      </w:r>
      <w:r>
        <w:rPr>
          <w:rFonts w:hint="eastAsia" w:ascii="仿宋" w:hAnsi="仿宋" w:eastAsia="仿宋"/>
          <w:color w:val="auto"/>
          <w:sz w:val="32"/>
          <w:szCs w:val="32"/>
          <w:highlight w:val="none"/>
        </w:rPr>
        <w:t>。</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55" w:name="_Toc15377217"/>
      <w:r>
        <w:rPr>
          <w:rFonts w:hint="eastAsia" w:ascii="楷体" w:hAnsi="楷体" w:eastAsia="楷体" w:cs="楷体"/>
          <w:b w:val="0"/>
          <w:bCs/>
          <w:color w:val="auto"/>
          <w:sz w:val="32"/>
          <w:szCs w:val="32"/>
          <w:highlight w:val="none"/>
        </w:rPr>
        <w:t>（二）“三公”经费财政拨款支出决算具体情况说明</w:t>
      </w:r>
      <w:bookmarkEnd w:id="55"/>
    </w:p>
    <w:p>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default" w:eastAsia="仿宋"/>
          <w:lang w:val="en-US" w:eastAsia="zh-CN"/>
        </w:rPr>
      </w:pPr>
      <w:r>
        <w:rPr>
          <w:rFonts w:hint="eastAsia" w:ascii="仿宋" w:hAnsi="仿宋" w:eastAsia="仿宋"/>
          <w:color w:val="auto"/>
          <w:sz w:val="32"/>
          <w:szCs w:val="32"/>
          <w:highlight w:val="none"/>
          <w:lang w:val="en-US" w:eastAsia="zh-CN"/>
        </w:rPr>
        <w:t xml:space="preserve">    </w:t>
      </w:r>
      <w:r>
        <w:drawing>
          <wp:anchor distT="0" distB="0" distL="114300" distR="114300" simplePos="0" relativeHeight="251666432" behindDoc="1" locked="0" layoutInCell="1" allowOverlap="1">
            <wp:simplePos x="0" y="0"/>
            <wp:positionH relativeFrom="column">
              <wp:posOffset>406400</wp:posOffset>
            </wp:positionH>
            <wp:positionV relativeFrom="paragraph">
              <wp:posOffset>154940</wp:posOffset>
            </wp:positionV>
            <wp:extent cx="4596130" cy="2767330"/>
            <wp:effectExtent l="0" t="0" r="13970" b="13970"/>
            <wp:wrapTight wrapText="bothSides">
              <wp:wrapPolygon>
                <wp:start x="0" y="0"/>
                <wp:lineTo x="0" y="21412"/>
                <wp:lineTo x="21487" y="21412"/>
                <wp:lineTo x="2148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4596130" cy="2767330"/>
                    </a:xfrm>
                    <a:prstGeom prst="rect">
                      <a:avLst/>
                    </a:prstGeom>
                    <a:noFill/>
                    <a:ln>
                      <a:noFill/>
                    </a:ln>
                  </pic:spPr>
                </pic:pic>
              </a:graphicData>
            </a:graphic>
          </wp:anchor>
        </w:drawing>
      </w:r>
    </w:p>
    <w:p>
      <w:pPr>
        <w:pageBreakBefore w:val="0"/>
        <w:kinsoku/>
        <w:wordWrap/>
        <w:overflowPunct/>
        <w:topLinePunct w:val="0"/>
        <w:bidi w:val="0"/>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ageBreakBefore w:val="0"/>
        <w:kinsoku/>
        <w:wordWrap/>
        <w:overflowPunct/>
        <w:topLinePunct w:val="0"/>
        <w:bidi w:val="0"/>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年初未安排预算。因公出国（境）支出决算较2020年无变化。</w:t>
      </w:r>
    </w:p>
    <w:p>
      <w:pPr>
        <w:pageBreakBefore w:val="0"/>
        <w:kinsoku/>
        <w:wordWrap/>
        <w:overflowPunct/>
        <w:topLinePunct w:val="0"/>
        <w:bidi w:val="0"/>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lang w:eastAsia="zh-CN"/>
        </w:rPr>
        <w:t>年初未安排预算</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p>
    <w:p>
      <w:pPr>
        <w:pageBreakBefore w:val="0"/>
        <w:kinsoku/>
        <w:wordWrap/>
        <w:overflowPunct/>
        <w:topLinePunct w:val="0"/>
        <w:bidi w:val="0"/>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bidi w:val="0"/>
        <w:spacing w:line="576"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19</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375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上年基数小</w:t>
      </w:r>
      <w:r>
        <w:rPr>
          <w:rFonts w:hint="eastAsia" w:ascii="仿宋_GB2312" w:eastAsia="仿宋_GB2312"/>
          <w:color w:val="auto"/>
          <w:sz w:val="32"/>
          <w:szCs w:val="32"/>
          <w:highlight w:val="none"/>
        </w:rPr>
        <w:t>。其中：</w:t>
      </w:r>
    </w:p>
    <w:p>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0.19</w:t>
      </w:r>
      <w:r>
        <w:rPr>
          <w:rFonts w:hint="eastAsia" w:ascii="仿宋_GB2312" w:eastAsia="仿宋_GB2312"/>
          <w:color w:val="auto"/>
          <w:sz w:val="32"/>
          <w:szCs w:val="32"/>
          <w:highlight w:val="none"/>
        </w:rPr>
        <w:t>万元，主要用于用餐费。国内公务接待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远盟康健科技有限公司到单位开展微急救培训，发生接待餐费</w:t>
      </w:r>
      <w:r>
        <w:rPr>
          <w:rFonts w:hint="eastAsia" w:ascii="仿宋_GB2312" w:eastAsia="仿宋_GB2312"/>
          <w:color w:val="auto"/>
          <w:sz w:val="32"/>
          <w:szCs w:val="32"/>
          <w:highlight w:val="none"/>
          <w:lang w:val="en-US" w:eastAsia="zh-CN"/>
        </w:rPr>
        <w:t>0.04万元；南充市“120”赴广元考察学习急救网络医院（站）建设，发生接待餐费0.06万元；</w:t>
      </w:r>
      <w:r>
        <w:rPr>
          <w:rFonts w:hint="eastAsia" w:ascii="仿宋_GB2312" w:eastAsia="仿宋_GB2312"/>
          <w:color w:val="auto"/>
          <w:sz w:val="32"/>
          <w:szCs w:val="32"/>
          <w:highlight w:val="none"/>
          <w:lang w:eastAsia="zh-CN"/>
        </w:rPr>
        <w:t>旺苍县人民医院到单位开展胸痛、卒中业务培训，</w:t>
      </w:r>
      <w:r>
        <w:rPr>
          <w:rFonts w:eastAsia="仿宋"/>
          <w:color w:val="000000"/>
          <w:sz w:val="32"/>
          <w:szCs w:val="32"/>
        </w:rPr>
        <w:t>发生接待餐费</w:t>
      </w:r>
      <w:r>
        <w:rPr>
          <w:rFonts w:hint="eastAsia" w:eastAsia="仿宋"/>
          <w:color w:val="000000"/>
          <w:sz w:val="32"/>
          <w:szCs w:val="32"/>
          <w:lang w:val="en-US" w:eastAsia="zh-CN"/>
        </w:rPr>
        <w:t>0.07</w:t>
      </w:r>
      <w:r>
        <w:rPr>
          <w:rFonts w:eastAsia="仿宋"/>
          <w:color w:val="000000"/>
          <w:sz w:val="32"/>
          <w:szCs w:val="32"/>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四川品杰科技有限公司到单位进行院前急救信息</w:t>
      </w:r>
      <w:r>
        <w:rPr>
          <w:rFonts w:hint="eastAsia" w:ascii="仿宋_GB2312" w:eastAsia="仿宋_GB2312"/>
          <w:color w:val="auto"/>
          <w:sz w:val="32"/>
          <w:szCs w:val="32"/>
          <w:highlight w:val="none"/>
          <w:lang w:eastAsia="zh-CN"/>
        </w:rPr>
        <w:t>化</w:t>
      </w:r>
      <w:r>
        <w:rPr>
          <w:rFonts w:hint="eastAsia" w:ascii="仿宋_GB2312" w:eastAsia="仿宋_GB2312"/>
          <w:color w:val="auto"/>
          <w:sz w:val="32"/>
          <w:szCs w:val="32"/>
          <w:highlight w:val="none"/>
        </w:rPr>
        <w:t>系统维护</w:t>
      </w:r>
      <w:r>
        <w:rPr>
          <w:rFonts w:eastAsia="仿宋"/>
          <w:color w:val="000000"/>
          <w:sz w:val="32"/>
          <w:szCs w:val="32"/>
        </w:rPr>
        <w:t>，发生接待餐费</w:t>
      </w:r>
      <w:r>
        <w:rPr>
          <w:rFonts w:hint="eastAsia" w:eastAsia="仿宋"/>
          <w:color w:val="000000"/>
          <w:sz w:val="32"/>
          <w:szCs w:val="32"/>
          <w:lang w:val="en-US" w:eastAsia="zh-CN"/>
        </w:rPr>
        <w:t>0.02</w:t>
      </w:r>
      <w:r>
        <w:rPr>
          <w:rFonts w:eastAsia="仿宋"/>
          <w:color w:val="000000"/>
          <w:sz w:val="32"/>
          <w:szCs w:val="32"/>
        </w:rPr>
        <w:t>万元</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w:t>
      </w:r>
    </w:p>
    <w:p>
      <w:pPr>
        <w:pageBreakBefore w:val="0"/>
        <w:kinsoku/>
        <w:wordWrap/>
        <w:overflowPunct/>
        <w:topLinePunct w:val="0"/>
        <w:bidi w:val="0"/>
        <w:spacing w:line="576" w:lineRule="exact"/>
        <w:ind w:firstLine="640"/>
        <w:textAlignment w:val="auto"/>
        <w:outlineLvl w:val="1"/>
        <w:rPr>
          <w:rStyle w:val="26"/>
          <w:rFonts w:ascii="黑体" w:hAnsi="黑体" w:eastAsia="黑体"/>
          <w:color w:val="auto"/>
          <w:highlight w:val="none"/>
        </w:rPr>
      </w:pPr>
      <w:bookmarkStart w:id="56" w:name="_Toc15377218"/>
      <w:bookmarkStart w:id="57" w:name="_Toc15396610"/>
      <w:bookmarkStart w:id="58" w:name="_Toc512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Times New Roman" w:eastAsia="仿宋" w:cs="Times New Roman"/>
          <w:color w:val="000000"/>
          <w:sz w:val="32"/>
          <w:szCs w:val="32"/>
        </w:rPr>
        <w:t>202</w:t>
      </w:r>
      <w:r>
        <w:rPr>
          <w:rFonts w:hint="eastAsia" w:ascii="仿宋" w:hAnsi="Times New Roman" w:eastAsia="仿宋" w:cs="Times New Roman"/>
          <w:color w:val="000000"/>
          <w:sz w:val="32"/>
          <w:szCs w:val="32"/>
          <w:lang w:val="en-US" w:eastAsia="zh-CN"/>
        </w:rPr>
        <w:t>1</w:t>
      </w:r>
      <w:r>
        <w:rPr>
          <w:rFonts w:hint="eastAsia" w:ascii="仿宋" w:hAnsi="Times New Roman" w:eastAsia="仿宋" w:cs="Times New Roman"/>
          <w:color w:val="000000"/>
          <w:sz w:val="32"/>
          <w:szCs w:val="32"/>
        </w:rPr>
        <w:t>年</w:t>
      </w:r>
      <w:r>
        <w:rPr>
          <w:rFonts w:hint="eastAsia" w:ascii="仿宋" w:hAnsi="Times New Roman" w:eastAsia="仿宋" w:cs="Times New Roman"/>
          <w:color w:val="000000"/>
          <w:sz w:val="32"/>
          <w:szCs w:val="32"/>
          <w:lang w:eastAsia="zh-CN"/>
        </w:rPr>
        <w:t>本单位</w:t>
      </w:r>
      <w:r>
        <w:rPr>
          <w:rFonts w:hint="eastAsia" w:ascii="仿宋" w:hAnsi="Times New Roman" w:eastAsia="仿宋" w:cs="Times New Roman"/>
          <w:color w:val="000000"/>
          <w:sz w:val="32"/>
          <w:szCs w:val="32"/>
        </w:rPr>
        <w:t>未在政府性基金预算拨款安排“三公经</w:t>
      </w:r>
      <w:r>
        <w:rPr>
          <w:rFonts w:hint="eastAsia" w:ascii="仿宋" w:eastAsia="仿宋"/>
          <w:color w:val="000000"/>
          <w:sz w:val="32"/>
          <w:szCs w:val="32"/>
        </w:rPr>
        <w:t>费”支出。</w:t>
      </w:r>
    </w:p>
    <w:p>
      <w:pPr>
        <w:pageBreakBefore w:val="0"/>
        <w:numPr>
          <w:ilvl w:val="0"/>
          <w:numId w:val="0"/>
        </w:numPr>
        <w:kinsoku/>
        <w:wordWrap/>
        <w:overflowPunct/>
        <w:topLinePunct w:val="0"/>
        <w:bidi w:val="0"/>
        <w:spacing w:line="576" w:lineRule="exact"/>
        <w:ind w:firstLine="640" w:firstLineChars="200"/>
        <w:textAlignment w:val="auto"/>
        <w:outlineLvl w:val="1"/>
        <w:rPr>
          <w:rStyle w:val="26"/>
          <w:rFonts w:ascii="黑体" w:hAnsi="黑体" w:eastAsia="黑体"/>
          <w:b w:val="0"/>
          <w:color w:val="auto"/>
          <w:highlight w:val="none"/>
        </w:rPr>
      </w:pPr>
      <w:bookmarkStart w:id="59" w:name="_Toc15396611"/>
      <w:bookmarkStart w:id="60" w:name="_Toc15377219"/>
      <w:bookmarkStart w:id="61" w:name="_Toc28421"/>
      <w:r>
        <w:rPr>
          <w:rStyle w:val="26"/>
          <w:rFonts w:hint="eastAsia" w:ascii="黑体" w:hAnsi="黑体" w:eastAsia="黑体"/>
          <w:b w:val="0"/>
          <w:color w:val="auto"/>
          <w:highlight w:val="none"/>
          <w:lang w:eastAsia="zh-CN"/>
        </w:rPr>
        <w:t>九、</w:t>
      </w:r>
      <w:r>
        <w:rPr>
          <w:rStyle w:val="26"/>
          <w:rFonts w:hint="eastAsia" w:ascii="黑体" w:hAnsi="黑体" w:eastAsia="黑体"/>
          <w:b w:val="0"/>
          <w:color w:val="auto"/>
          <w:highlight w:val="none"/>
        </w:rPr>
        <w:t>国有资本经营预算支出决算情况说明</w:t>
      </w:r>
      <w:bookmarkEnd w:id="59"/>
      <w:bookmarkEnd w:id="60"/>
      <w:bookmarkEnd w:id="61"/>
    </w:p>
    <w:p>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0"/>
        </w:numPr>
        <w:kinsoku/>
        <w:wordWrap/>
        <w:overflowPunct/>
        <w:topLinePunct w:val="0"/>
        <w:bidi w:val="0"/>
        <w:spacing w:line="576" w:lineRule="exact"/>
        <w:ind w:firstLine="640" w:firstLineChars="200"/>
        <w:textAlignment w:val="auto"/>
        <w:outlineLvl w:val="1"/>
        <w:rPr>
          <w:rStyle w:val="26"/>
          <w:rFonts w:hint="eastAsia" w:ascii="黑体" w:hAnsi="黑体" w:eastAsia="黑体"/>
          <w:b w:val="0"/>
          <w:color w:val="auto"/>
          <w:highlight w:val="none"/>
        </w:rPr>
      </w:pPr>
      <w:bookmarkStart w:id="62" w:name="_Toc17794"/>
      <w:bookmarkStart w:id="63" w:name="_Toc15377221"/>
      <w:bookmarkStart w:id="64" w:name="_Toc15396612"/>
      <w:r>
        <w:rPr>
          <w:rStyle w:val="26"/>
          <w:rFonts w:hint="eastAsia" w:ascii="黑体" w:hAnsi="黑体" w:eastAsia="黑体"/>
          <w:b w:val="0"/>
          <w:color w:val="auto"/>
          <w:highlight w:val="none"/>
          <w:lang w:val="en-US" w:eastAsia="zh-CN"/>
        </w:rPr>
        <w:t>十、预算绩效管理情况</w:t>
      </w:r>
      <w:bookmarkEnd w:id="62"/>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w:t>
      </w:r>
      <w:r>
        <w:rPr>
          <w:rFonts w:eastAsia="仿宋"/>
          <w:color w:val="000000"/>
          <w:sz w:val="32"/>
          <w:szCs w:val="32"/>
        </w:rPr>
        <w:t>对“医疗卫生紧急救援工作经费”、“</w:t>
      </w:r>
      <w:r>
        <w:rPr>
          <w:rFonts w:hint="eastAsia" w:ascii="仿宋" w:hAnsi="仿宋" w:eastAsia="仿宋" w:cs="仿宋"/>
          <w:color w:val="000000"/>
          <w:sz w:val="32"/>
          <w:szCs w:val="32"/>
        </w:rPr>
        <w:t>120</w:t>
      </w:r>
      <w:r>
        <w:rPr>
          <w:rFonts w:eastAsia="仿宋"/>
          <w:color w:val="000000"/>
          <w:sz w:val="32"/>
          <w:szCs w:val="32"/>
        </w:rPr>
        <w:t>指挥调度系统运行维护费”、“</w:t>
      </w:r>
      <w:r>
        <w:rPr>
          <w:rFonts w:hint="eastAsia" w:ascii="仿宋" w:hAnsi="仿宋" w:eastAsia="仿宋" w:cs="仿宋"/>
          <w:color w:val="000000"/>
          <w:sz w:val="32"/>
          <w:szCs w:val="32"/>
        </w:rPr>
        <w:t>120</w:t>
      </w:r>
      <w:r>
        <w:rPr>
          <w:rFonts w:eastAsia="仿宋"/>
          <w:color w:val="000000"/>
          <w:sz w:val="32"/>
          <w:szCs w:val="32"/>
        </w:rPr>
        <w:t>平台调度员夜班补助”</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ageBreakBefore w:val="0"/>
        <w:numPr>
          <w:ilvl w:val="0"/>
          <w:numId w:val="0"/>
        </w:numPr>
        <w:kinsoku/>
        <w:wordWrap/>
        <w:overflowPunct/>
        <w:topLinePunct w:val="0"/>
        <w:bidi w:val="0"/>
        <w:spacing w:line="576" w:lineRule="exact"/>
        <w:ind w:firstLine="640" w:firstLineChars="200"/>
        <w:textAlignment w:val="auto"/>
        <w:outlineLvl w:val="1"/>
        <w:rPr>
          <w:rStyle w:val="26"/>
          <w:rFonts w:hint="eastAsia" w:ascii="黑体" w:hAnsi="黑体" w:eastAsia="黑体"/>
          <w:b w:val="0"/>
          <w:color w:val="auto"/>
          <w:highlight w:val="none"/>
        </w:rPr>
      </w:pPr>
      <w:bookmarkStart w:id="65" w:name="_Toc8794"/>
      <w:r>
        <w:rPr>
          <w:rStyle w:val="26"/>
          <w:rFonts w:hint="eastAsia" w:ascii="黑体" w:hAnsi="黑体" w:eastAsia="黑体"/>
          <w:b w:val="0"/>
          <w:color w:val="auto"/>
          <w:highlight w:val="none"/>
          <w:lang w:eastAsia="zh-CN"/>
        </w:rPr>
        <w:t>十一、</w:t>
      </w:r>
      <w:r>
        <w:rPr>
          <w:rStyle w:val="26"/>
          <w:rFonts w:hint="eastAsia" w:ascii="黑体" w:hAnsi="黑体" w:eastAsia="黑体"/>
          <w:b w:val="0"/>
          <w:color w:val="auto"/>
          <w:highlight w:val="none"/>
        </w:rPr>
        <w:t>其他重要事项的情况说明</w:t>
      </w:r>
      <w:bookmarkEnd w:id="63"/>
      <w:bookmarkEnd w:id="64"/>
      <w:bookmarkEnd w:id="65"/>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66" w:name="_Toc15377222"/>
      <w:r>
        <w:rPr>
          <w:rFonts w:hint="eastAsia" w:ascii="楷体" w:hAnsi="楷体" w:eastAsia="楷体" w:cs="楷体"/>
          <w:b w:val="0"/>
          <w:bCs/>
          <w:color w:val="auto"/>
          <w:sz w:val="32"/>
          <w:szCs w:val="32"/>
          <w:highlight w:val="none"/>
        </w:rPr>
        <w:t>（一）机关运行经费支出情况</w:t>
      </w:r>
      <w:bookmarkEnd w:id="66"/>
    </w:p>
    <w:p>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2021年未发生机关运行经费支出，与2020年决算数持平</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67" w:name="_Toc15377223"/>
      <w:r>
        <w:rPr>
          <w:rFonts w:hint="eastAsia" w:ascii="楷体" w:hAnsi="楷体" w:eastAsia="楷体" w:cs="楷体"/>
          <w:b w:val="0"/>
          <w:bCs/>
          <w:color w:val="auto"/>
          <w:sz w:val="32"/>
          <w:szCs w:val="32"/>
          <w:highlight w:val="none"/>
        </w:rPr>
        <w:t>（二）政府采购支出情况</w:t>
      </w:r>
      <w:bookmarkEnd w:id="67"/>
    </w:p>
    <w:p>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未发生</w:t>
      </w:r>
      <w:r>
        <w:rPr>
          <w:rFonts w:hint="eastAsia" w:ascii="仿宋_GB2312" w:eastAsia="仿宋_GB2312"/>
          <w:color w:val="auto"/>
          <w:sz w:val="32"/>
          <w:szCs w:val="32"/>
          <w:highlight w:val="none"/>
        </w:rPr>
        <w:t>政府采购支出。</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bookmarkStart w:id="68" w:name="_Toc15377224"/>
      <w:r>
        <w:rPr>
          <w:rFonts w:hint="eastAsia" w:ascii="楷体" w:hAnsi="楷体" w:eastAsia="楷体" w:cs="楷体"/>
          <w:b w:val="0"/>
          <w:bCs/>
          <w:color w:val="auto"/>
          <w:sz w:val="32"/>
          <w:szCs w:val="32"/>
          <w:highlight w:val="none"/>
        </w:rPr>
        <w:t>（三）国有资产占有使用情况</w:t>
      </w:r>
      <w:bookmarkEnd w:id="68"/>
    </w:p>
    <w:p>
      <w:pPr>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pageBreakBefore w:val="0"/>
        <w:kinsoku/>
        <w:wordWrap/>
        <w:overflowPunct/>
        <w:topLinePunct w:val="0"/>
        <w:bidi w:val="0"/>
        <w:spacing w:line="576" w:lineRule="exact"/>
        <w:textAlignment w:val="auto"/>
        <w:rPr>
          <w:highlight w:val="yellow"/>
        </w:rPr>
      </w:pPr>
    </w:p>
    <w:p>
      <w:pPr>
        <w:pageBreakBefore w:val="0"/>
        <w:widowControl/>
        <w:kinsoku/>
        <w:wordWrap/>
        <w:overflowPunct/>
        <w:topLinePunct w:val="0"/>
        <w:bidi w:val="0"/>
        <w:spacing w:line="576" w:lineRule="exact"/>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1"/>
        </w:numPr>
        <w:kinsoku/>
        <w:wordWrap/>
        <w:overflowPunct/>
        <w:topLinePunct w:val="0"/>
        <w:bidi w:val="0"/>
        <w:spacing w:line="576" w:lineRule="exact"/>
        <w:ind w:firstLine="660" w:firstLineChars="150"/>
        <w:jc w:val="center"/>
        <w:textAlignment w:val="auto"/>
        <w:outlineLvl w:val="0"/>
        <w:rPr>
          <w:rStyle w:val="25"/>
          <w:rFonts w:ascii="黑体" w:hAnsi="黑体" w:eastAsia="黑体"/>
          <w:b w:val="0"/>
          <w:color w:val="auto"/>
          <w:highlight w:val="none"/>
        </w:rPr>
      </w:pPr>
      <w:bookmarkStart w:id="69" w:name="_Toc15377225"/>
      <w:bookmarkStart w:id="70" w:name="_Toc15396613"/>
      <w:bookmarkStart w:id="71" w:name="_Toc26328"/>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9"/>
      <w:bookmarkEnd w:id="70"/>
      <w:bookmarkEnd w:id="71"/>
    </w:p>
    <w:p>
      <w:pPr>
        <w:pageBreakBefore w:val="0"/>
        <w:kinsoku/>
        <w:wordWrap/>
        <w:overflowPunct/>
        <w:topLinePunct w:val="0"/>
        <w:bidi w:val="0"/>
        <w:spacing w:line="576" w:lineRule="exact"/>
        <w:jc w:val="left"/>
        <w:textAlignment w:val="auto"/>
        <w:rPr>
          <w:rFonts w:ascii="宋体"/>
          <w:b/>
          <w:color w:val="auto"/>
          <w:sz w:val="44"/>
          <w:szCs w:val="44"/>
          <w:highlight w:val="none"/>
        </w:rPr>
      </w:pPr>
    </w:p>
    <w:p>
      <w:pPr>
        <w:pStyle w:val="23"/>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其他、利息收入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3"/>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.社会保障和就业（类）行政事业单位养老（款）机关事业单位基本养老保险缴费（项）：反映机关事业单位实施养老保险制度由单位缴纳的基本养老保险费支出。</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.卫生健康（类）公共卫生（款）应急救治机构（项）：指反映卫生健康部门所属应急救治机构的支出。</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 卫生健康（类）行政事业单位医疗（款）事业单位医疗（项）：指反映财政部门安排的事业单位基本医疗保险缴费经费，未参加医疗保险的事业单位的公费医疗经费，按国家规定享受离休人员待遇的医疗经费。</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 住房保障（类）住房改革（款）住房公积金（项）：指反映行政事业单位按人力资源和社会保障部、财政部规定的基本工资和津贴补贴以及规定比例为职工缴纳的住房公积金。</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23"/>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line="576" w:lineRule="exact"/>
        <w:ind w:firstLine="640" w:firstLineChars="200"/>
        <w:textAlignment w:val="auto"/>
        <w:rPr>
          <w:rFonts w:ascii="仿宋_GB2312" w:eastAsia="仿宋_GB2312" w:cs="黑体"/>
          <w:color w:val="auto"/>
          <w:sz w:val="32"/>
          <w:szCs w:val="32"/>
          <w:highlight w:val="none"/>
        </w:rPr>
      </w:pPr>
    </w:p>
    <w:p>
      <w:pPr>
        <w:pageBreakBefore w:val="0"/>
        <w:kinsoku/>
        <w:wordWrap/>
        <w:overflowPunct/>
        <w:topLinePunct w:val="0"/>
        <w:bidi w:val="0"/>
        <w:spacing w:line="576" w:lineRule="exact"/>
        <w:jc w:val="center"/>
        <w:textAlignment w:val="auto"/>
        <w:outlineLvl w:val="0"/>
        <w:rPr>
          <w:rStyle w:val="25"/>
          <w:rFonts w:ascii="黑体" w:hAnsi="黑体" w:eastAsia="黑体"/>
          <w:b w:val="0"/>
          <w:color w:val="auto"/>
          <w:highlight w:val="none"/>
        </w:rPr>
      </w:pPr>
      <w:bookmarkStart w:id="72" w:name="_Toc15377226"/>
      <w:r>
        <w:rPr>
          <w:rFonts w:ascii="宋体"/>
          <w:b/>
          <w:color w:val="auto"/>
          <w:sz w:val="44"/>
          <w:szCs w:val="44"/>
          <w:highlight w:val="none"/>
        </w:rPr>
        <w:br w:type="page"/>
      </w:r>
      <w:bookmarkStart w:id="73" w:name="_Toc15396614"/>
      <w:bookmarkStart w:id="74" w:name="_Toc2162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3"/>
      <w:bookmarkEnd w:id="74"/>
    </w:p>
    <w:p>
      <w:pPr>
        <w:pStyle w:val="6"/>
        <w:pageBreakBefore w:val="0"/>
        <w:kinsoku/>
        <w:wordWrap/>
        <w:overflowPunct/>
        <w:topLinePunct w:val="0"/>
        <w:bidi w:val="0"/>
        <w:spacing w:line="576" w:lineRule="exact"/>
        <w:textAlignment w:val="auto"/>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pageBreakBefore w:val="0"/>
        <w:kinsoku/>
        <w:wordWrap/>
        <w:overflowPunct/>
        <w:topLinePunct w:val="0"/>
        <w:bidi w:val="0"/>
        <w:snapToGrid w:val="0"/>
        <w:spacing w:line="576" w:lineRule="exact"/>
        <w:jc w:val="center"/>
        <w:textAlignment w:val="auto"/>
        <w:rPr>
          <w:rFonts w:eastAsia="仿宋_GB2312"/>
          <w:color w:val="000000"/>
          <w:sz w:val="32"/>
          <w:szCs w:val="32"/>
          <w:lang w:val="zh-CN"/>
        </w:rPr>
      </w:pPr>
      <w:r>
        <w:rPr>
          <w:rFonts w:hint="eastAsia" w:eastAsia="仿宋_GB2312"/>
          <w:color w:val="000000"/>
          <w:sz w:val="32"/>
          <w:szCs w:val="32"/>
        </w:rPr>
        <w:t>（</w:t>
      </w:r>
      <w:r>
        <w:rPr>
          <w:rFonts w:hint="eastAsia" w:eastAsia="仿宋_GB2312"/>
          <w:color w:val="000000"/>
          <w:sz w:val="32"/>
          <w:szCs w:val="32"/>
          <w:lang w:val="zh-CN"/>
        </w:rPr>
        <w:t>医疗卫生紧急救援工作经费项目）</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（一）项目基本情况</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hint="eastAsia" w:eastAsia="仿宋_GB2312"/>
          <w:sz w:val="32"/>
          <w:szCs w:val="32"/>
          <w:lang w:val="zh-CN"/>
        </w:rPr>
        <w:t>1.</w:t>
      </w:r>
      <w:r>
        <w:rPr>
          <w:rFonts w:eastAsia="仿宋_GB2312"/>
          <w:sz w:val="32"/>
          <w:szCs w:val="32"/>
          <w:lang w:val="zh-CN"/>
        </w:rPr>
        <w:t>管理职能。</w:t>
      </w:r>
      <w:r>
        <w:rPr>
          <w:rFonts w:eastAsia="仿宋_GB2312"/>
          <w:color w:val="000000"/>
          <w:sz w:val="32"/>
          <w:szCs w:val="32"/>
        </w:rPr>
        <w:t>负责全市网络医院监管、急救人员培训</w:t>
      </w:r>
      <w:r>
        <w:rPr>
          <w:rFonts w:hint="eastAsia" w:eastAsia="仿宋_GB2312"/>
          <w:color w:val="000000"/>
          <w:sz w:val="32"/>
          <w:szCs w:val="32"/>
        </w:rPr>
        <w:t>，社会公众急诊急救知识的宣传</w:t>
      </w:r>
      <w:r>
        <w:rPr>
          <w:rFonts w:eastAsia="仿宋_GB2312"/>
          <w:color w:val="000000"/>
          <w:sz w:val="32"/>
          <w:szCs w:val="32"/>
        </w:rPr>
        <w:t>等工作。</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color w:val="000000"/>
          <w:sz w:val="32"/>
          <w:szCs w:val="32"/>
        </w:rPr>
        <w:t>2.项目立项和资金申报的依据。市卫健委要求，对全市网络医院监管指导工作全年不少于4次；全年组织开展卫生应急演练1-2次；开展院前急救基层专业技术人员培训</w:t>
      </w:r>
      <w:r>
        <w:rPr>
          <w:rFonts w:hint="eastAsia" w:eastAsia="仿宋_GB2312"/>
          <w:color w:val="000000"/>
          <w:sz w:val="32"/>
          <w:szCs w:val="32"/>
        </w:rPr>
        <w:t>1-2</w:t>
      </w:r>
      <w:r>
        <w:rPr>
          <w:rFonts w:eastAsia="仿宋_GB2312"/>
          <w:color w:val="000000"/>
          <w:sz w:val="32"/>
          <w:szCs w:val="32"/>
        </w:rPr>
        <w:t>次；开展院前医疗急救法律法规及院前急救知识“五进”宣传活动不少于3次；单位相关工作人员全年派出培训学习不少于6次等。</w:t>
      </w:r>
    </w:p>
    <w:p>
      <w:pPr>
        <w:pageBreakBefore w:val="0"/>
        <w:kinsoku/>
        <w:wordWrap/>
        <w:overflowPunct/>
        <w:topLinePunct w:val="0"/>
        <w:bidi w:val="0"/>
        <w:adjustRightInd w:val="0"/>
        <w:snapToGrid w:val="0"/>
        <w:spacing w:line="576" w:lineRule="exact"/>
        <w:ind w:firstLine="720"/>
        <w:textAlignment w:val="auto"/>
        <w:rPr>
          <w:rFonts w:eastAsia="楷体_GB2312"/>
          <w:b/>
          <w:sz w:val="32"/>
          <w:szCs w:val="32"/>
          <w:lang w:val="zh-CN"/>
        </w:rPr>
      </w:pPr>
      <w:r>
        <w:rPr>
          <w:rFonts w:eastAsia="仿宋_GB2312"/>
          <w:sz w:val="32"/>
          <w:szCs w:val="32"/>
          <w:lang w:val="zh-CN"/>
        </w:rPr>
        <w:t>3.资金管理办法制定情况。资金</w:t>
      </w:r>
      <w:r>
        <w:rPr>
          <w:rFonts w:eastAsia="仿宋_GB2312"/>
          <w:sz w:val="32"/>
          <w:szCs w:val="32"/>
        </w:rPr>
        <w:t>使用</w:t>
      </w:r>
      <w:r>
        <w:rPr>
          <w:rFonts w:eastAsia="仿宋_GB2312"/>
          <w:sz w:val="32"/>
          <w:szCs w:val="32"/>
          <w:lang w:val="zh-CN"/>
        </w:rPr>
        <w:t>按照财务制度管理办法执行，资金来源由市财政局在年初预算安排。</w:t>
      </w:r>
    </w:p>
    <w:p>
      <w:pPr>
        <w:pageBreakBefore w:val="0"/>
        <w:kinsoku/>
        <w:wordWrap/>
        <w:overflowPunct/>
        <w:topLinePunct w:val="0"/>
        <w:bidi w:val="0"/>
        <w:adjustRightInd w:val="0"/>
        <w:snapToGrid w:val="0"/>
        <w:spacing w:line="576" w:lineRule="exact"/>
        <w:ind w:firstLine="720"/>
        <w:textAlignment w:val="auto"/>
        <w:rPr>
          <w:rFonts w:eastAsia="楷体_GB2312"/>
          <w:b/>
          <w:sz w:val="32"/>
          <w:szCs w:val="32"/>
          <w:lang w:val="zh-CN"/>
        </w:rPr>
      </w:pPr>
      <w:r>
        <w:rPr>
          <w:rFonts w:eastAsia="仿宋_GB2312"/>
          <w:sz w:val="32"/>
          <w:szCs w:val="32"/>
        </w:rPr>
        <w:t>4.资金分配的原则及考虑因素。202</w:t>
      </w:r>
      <w:r>
        <w:rPr>
          <w:rFonts w:hint="eastAsia" w:eastAsia="仿宋_GB2312"/>
          <w:sz w:val="32"/>
          <w:szCs w:val="32"/>
        </w:rPr>
        <w:t>1</w:t>
      </w:r>
      <w:r>
        <w:rPr>
          <w:rFonts w:eastAsia="仿宋_GB2312"/>
          <w:sz w:val="32"/>
          <w:szCs w:val="32"/>
        </w:rPr>
        <w:t>年财政预算资金1</w:t>
      </w:r>
      <w:r>
        <w:rPr>
          <w:rFonts w:hint="eastAsia" w:eastAsia="仿宋_GB2312"/>
          <w:sz w:val="32"/>
          <w:szCs w:val="32"/>
        </w:rPr>
        <w:t>3</w:t>
      </w:r>
      <w:r>
        <w:rPr>
          <w:rFonts w:eastAsia="仿宋_GB2312"/>
          <w:sz w:val="32"/>
          <w:szCs w:val="32"/>
        </w:rPr>
        <w:t>.71万元，用于急救知识宣传、培训等工作。</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（二）项目绩效目标</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项目主要内容。开展基层院前急救专业技术人员能力提升培训，安排单位相关人员外出培训学习，不定期对网络医院进行抽查、督导，</w:t>
      </w:r>
      <w:r>
        <w:rPr>
          <w:rFonts w:eastAsia="仿宋_GB2312"/>
          <w:sz w:val="32"/>
          <w:szCs w:val="32"/>
        </w:rPr>
        <w:t>开展</w:t>
      </w:r>
      <w:r>
        <w:rPr>
          <w:rFonts w:eastAsia="仿宋_GB2312"/>
          <w:sz w:val="32"/>
          <w:szCs w:val="32"/>
          <w:lang w:val="zh-CN"/>
        </w:rPr>
        <w:t>应急演练、“国家急救日”倡议、急救知识五进等活动。</w:t>
      </w:r>
    </w:p>
    <w:p>
      <w:pPr>
        <w:pageBreakBefore w:val="0"/>
        <w:kinsoku/>
        <w:wordWrap/>
        <w:overflowPunct/>
        <w:topLinePunct w:val="0"/>
        <w:bidi w:val="0"/>
        <w:adjustRightInd w:val="0"/>
        <w:snapToGrid w:val="0"/>
        <w:spacing w:line="576" w:lineRule="exact"/>
        <w:ind w:firstLine="720"/>
        <w:textAlignment w:val="auto"/>
        <w:rPr>
          <w:rFonts w:eastAsia="仿宋_GB2312"/>
          <w:sz w:val="32"/>
          <w:szCs w:val="32"/>
        </w:rPr>
      </w:pPr>
      <w:r>
        <w:rPr>
          <w:rFonts w:eastAsia="仿宋_GB2312"/>
          <w:sz w:val="32"/>
          <w:szCs w:val="32"/>
          <w:lang w:val="zh-CN"/>
        </w:rPr>
        <w:t>2</w:t>
      </w:r>
      <w:r>
        <w:rPr>
          <w:rFonts w:hint="eastAsia" w:eastAsia="仿宋_GB2312"/>
          <w:sz w:val="32"/>
          <w:szCs w:val="32"/>
          <w:lang w:val="zh-CN"/>
        </w:rPr>
        <w:t>.</w:t>
      </w:r>
      <w:r>
        <w:rPr>
          <w:rFonts w:eastAsia="仿宋_GB2312"/>
          <w:sz w:val="32"/>
          <w:szCs w:val="32"/>
          <w:lang w:val="zh-CN"/>
        </w:rPr>
        <w:t>项目绩效目标。院前急救专业人员技能培训人数</w:t>
      </w:r>
      <w:r>
        <w:rPr>
          <w:rFonts w:hint="eastAsia" w:eastAsia="仿宋_GB2312"/>
          <w:sz w:val="32"/>
          <w:szCs w:val="32"/>
        </w:rPr>
        <w:t>300</w:t>
      </w:r>
      <w:r>
        <w:rPr>
          <w:rFonts w:eastAsia="仿宋_GB2312"/>
          <w:sz w:val="32"/>
          <w:szCs w:val="32"/>
        </w:rPr>
        <w:t>人，重点人群急救常识培训人数1000人，社会公众急救知识宣传人数70000人，97家网络医院监督、督导数</w:t>
      </w:r>
      <w:r>
        <w:rPr>
          <w:rFonts w:hint="eastAsia" w:eastAsia="仿宋_GB2312"/>
          <w:sz w:val="32"/>
          <w:szCs w:val="32"/>
        </w:rPr>
        <w:t>55</w:t>
      </w:r>
      <w:r>
        <w:rPr>
          <w:rFonts w:eastAsia="仿宋_GB2312"/>
          <w:sz w:val="32"/>
          <w:szCs w:val="32"/>
        </w:rPr>
        <w:t>%。</w:t>
      </w:r>
      <w:r>
        <w:rPr>
          <w:rFonts w:eastAsia="仿宋_GB2312"/>
          <w:sz w:val="32"/>
          <w:szCs w:val="32"/>
          <w:lang w:val="zh-CN"/>
        </w:rPr>
        <w:t>院前急救专业人员培训合格率</w:t>
      </w:r>
      <w:r>
        <w:rPr>
          <w:rFonts w:hint="eastAsia" w:eastAsia="仿宋_GB2312"/>
          <w:sz w:val="32"/>
          <w:szCs w:val="32"/>
        </w:rPr>
        <w:t>≥90</w:t>
      </w:r>
      <w:r>
        <w:rPr>
          <w:rFonts w:eastAsia="仿宋_GB2312"/>
          <w:sz w:val="32"/>
          <w:szCs w:val="32"/>
        </w:rPr>
        <w:t>%，全市院前急救队伍整体水平在上年基础上有所提升。</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lang w:val="zh-CN"/>
        </w:rPr>
        <w:t>项目绩效自评</w:t>
      </w:r>
      <w:r>
        <w:rPr>
          <w:rFonts w:hint="eastAsia" w:eastAsia="仿宋_GB2312"/>
          <w:sz w:val="32"/>
          <w:szCs w:val="32"/>
          <w:lang w:val="zh-CN"/>
        </w:rPr>
        <w:t>由单位绩效评价小组集中进行</w:t>
      </w:r>
      <w:r>
        <w:rPr>
          <w:rFonts w:eastAsia="仿宋_GB2312"/>
          <w:sz w:val="32"/>
          <w:szCs w:val="32"/>
          <w:lang w:val="zh-CN"/>
        </w:rPr>
        <w:t>自评，对照支出评价指标体系，采用比较法</w:t>
      </w:r>
      <w:r>
        <w:rPr>
          <w:rFonts w:eastAsia="仿宋_GB2312"/>
          <w:sz w:val="32"/>
          <w:szCs w:val="32"/>
        </w:rPr>
        <w:t>来自评项目绩效完成情况。</w:t>
      </w:r>
    </w:p>
    <w:p>
      <w:pPr>
        <w:pageBreakBefore w:val="0"/>
        <w:kinsoku/>
        <w:wordWrap/>
        <w:overflowPunct/>
        <w:topLinePunct w:val="0"/>
        <w:bidi w:val="0"/>
        <w:adjustRightInd w:val="0"/>
        <w:snapToGrid w:val="0"/>
        <w:spacing w:line="576" w:lineRule="exact"/>
        <w:ind w:firstLine="720"/>
        <w:textAlignment w:val="auto"/>
        <w:rPr>
          <w:rFonts w:eastAsia="黑体"/>
          <w:sz w:val="32"/>
          <w:szCs w:val="32"/>
        </w:rPr>
      </w:pPr>
      <w:r>
        <w:rPr>
          <w:rFonts w:eastAsia="黑体"/>
          <w:sz w:val="32"/>
          <w:szCs w:val="32"/>
        </w:rPr>
        <w:t>二、项目资金申报及使用情况</w:t>
      </w:r>
    </w:p>
    <w:p>
      <w:pPr>
        <w:pageBreakBefore w:val="0"/>
        <w:kinsoku/>
        <w:wordWrap/>
        <w:overflowPunct/>
        <w:topLinePunct w:val="0"/>
        <w:bidi w:val="0"/>
        <w:adjustRightInd w:val="0"/>
        <w:snapToGrid w:val="0"/>
        <w:spacing w:line="576" w:lineRule="exact"/>
        <w:ind w:firstLine="720"/>
        <w:textAlignment w:val="auto"/>
        <w:rPr>
          <w:rFonts w:eastAsia="仿宋_GB2312"/>
          <w:color w:val="FF0000"/>
          <w:sz w:val="32"/>
          <w:szCs w:val="32"/>
          <w:lang w:val="zh-CN"/>
        </w:rPr>
      </w:pPr>
      <w:r>
        <w:rPr>
          <w:rFonts w:hint="eastAsia" w:ascii="楷体" w:hAnsi="楷体" w:eastAsia="楷体" w:cs="楷体"/>
          <w:b w:val="0"/>
          <w:bCs/>
          <w:color w:val="auto"/>
          <w:sz w:val="32"/>
          <w:szCs w:val="32"/>
          <w:highlight w:val="none"/>
          <w:lang w:val="zh-CN"/>
        </w:rPr>
        <w:t>（一）项目资金申报及批复情况。</w:t>
      </w:r>
      <w:r>
        <w:rPr>
          <w:rFonts w:hint="eastAsia" w:eastAsia="仿宋_GB2312"/>
          <w:sz w:val="32"/>
          <w:szCs w:val="32"/>
          <w:lang w:val="zh-CN"/>
        </w:rPr>
        <w:t>我单位根据2021年</w:t>
      </w:r>
      <w:r>
        <w:rPr>
          <w:rFonts w:eastAsia="仿宋_GB2312"/>
          <w:sz w:val="32"/>
          <w:szCs w:val="32"/>
        </w:rPr>
        <w:t>将开展的具体工作，</w:t>
      </w:r>
      <w:r>
        <w:rPr>
          <w:rFonts w:eastAsia="仿宋_GB2312"/>
          <w:sz w:val="32"/>
          <w:szCs w:val="32"/>
          <w:lang w:val="zh-CN"/>
        </w:rPr>
        <w:t>编制了</w:t>
      </w:r>
      <w:r>
        <w:rPr>
          <w:rFonts w:eastAsia="仿宋_GB2312"/>
          <w:sz w:val="32"/>
          <w:szCs w:val="32"/>
        </w:rPr>
        <w:t>项目</w:t>
      </w:r>
      <w:r>
        <w:rPr>
          <w:rFonts w:eastAsia="仿宋_GB2312"/>
          <w:sz w:val="32"/>
          <w:szCs w:val="32"/>
          <w:lang w:val="zh-CN"/>
        </w:rPr>
        <w:t>预算，市财政局</w:t>
      </w:r>
      <w:r>
        <w:rPr>
          <w:rFonts w:eastAsia="仿宋_GB2312"/>
          <w:sz w:val="32"/>
          <w:szCs w:val="32"/>
        </w:rPr>
        <w:t>下达医疗</w:t>
      </w:r>
      <w:r>
        <w:rPr>
          <w:rFonts w:eastAsia="仿宋_GB2312"/>
          <w:sz w:val="32"/>
          <w:szCs w:val="32"/>
          <w:lang w:val="zh-CN"/>
        </w:rPr>
        <w:t>卫生紧急救援工作经费预算</w:t>
      </w:r>
      <w:r>
        <w:rPr>
          <w:rFonts w:eastAsia="仿宋_GB2312"/>
          <w:sz w:val="32"/>
          <w:szCs w:val="32"/>
        </w:rPr>
        <w:t>1</w:t>
      </w:r>
      <w:r>
        <w:rPr>
          <w:rFonts w:hint="eastAsia" w:eastAsia="仿宋_GB2312"/>
          <w:sz w:val="32"/>
          <w:szCs w:val="32"/>
        </w:rPr>
        <w:t>3</w:t>
      </w:r>
      <w:r>
        <w:rPr>
          <w:rFonts w:eastAsia="仿宋_GB2312"/>
          <w:sz w:val="32"/>
          <w:szCs w:val="32"/>
        </w:rPr>
        <w:t>.71</w:t>
      </w:r>
      <w:r>
        <w:rPr>
          <w:rFonts w:eastAsia="仿宋_GB2312"/>
          <w:sz w:val="32"/>
          <w:szCs w:val="32"/>
          <w:lang w:val="zh-CN"/>
        </w:rPr>
        <w:t>万元。</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资金计划</w:t>
      </w:r>
      <w:r>
        <w:rPr>
          <w:rFonts w:eastAsia="仿宋_GB2312"/>
          <w:sz w:val="32"/>
          <w:szCs w:val="32"/>
        </w:rPr>
        <w:t>及到位情况</w:t>
      </w:r>
      <w:r>
        <w:rPr>
          <w:rFonts w:eastAsia="仿宋_GB2312"/>
          <w:sz w:val="32"/>
          <w:szCs w:val="32"/>
          <w:lang w:val="zh-CN"/>
        </w:rPr>
        <w:t>。</w:t>
      </w:r>
      <w:r>
        <w:rPr>
          <w:rFonts w:eastAsia="仿宋_GB2312"/>
          <w:sz w:val="32"/>
          <w:szCs w:val="32"/>
        </w:rPr>
        <w:t>本项目预算指标为1</w:t>
      </w:r>
      <w:r>
        <w:rPr>
          <w:rFonts w:hint="eastAsia" w:eastAsia="仿宋_GB2312"/>
          <w:sz w:val="32"/>
          <w:szCs w:val="32"/>
        </w:rPr>
        <w:t>3</w:t>
      </w:r>
      <w:r>
        <w:rPr>
          <w:rFonts w:eastAsia="仿宋_GB2312"/>
          <w:sz w:val="32"/>
          <w:szCs w:val="32"/>
        </w:rPr>
        <w:t>.71万元，截至202</w:t>
      </w:r>
      <w:r>
        <w:rPr>
          <w:rFonts w:hint="eastAsia" w:eastAsia="仿宋_GB2312"/>
          <w:sz w:val="32"/>
          <w:szCs w:val="32"/>
        </w:rPr>
        <w:t>1</w:t>
      </w:r>
      <w:r>
        <w:rPr>
          <w:rFonts w:eastAsia="仿宋_GB2312"/>
          <w:sz w:val="32"/>
          <w:szCs w:val="32"/>
        </w:rPr>
        <w:t>年底，市财政实际拨付资金1</w:t>
      </w:r>
      <w:r>
        <w:rPr>
          <w:rFonts w:hint="eastAsia" w:eastAsia="仿宋_GB2312"/>
          <w:sz w:val="32"/>
          <w:szCs w:val="32"/>
        </w:rPr>
        <w:t>3</w:t>
      </w:r>
      <w:r>
        <w:rPr>
          <w:rFonts w:eastAsia="仿宋_GB2312"/>
          <w:sz w:val="32"/>
          <w:szCs w:val="32"/>
        </w:rPr>
        <w:t>.71万元，资金拨付率为100%。</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仿宋_GB2312"/>
          <w:sz w:val="32"/>
          <w:szCs w:val="32"/>
        </w:rPr>
        <w:t>2</w:t>
      </w:r>
      <w:r>
        <w:rPr>
          <w:rFonts w:hint="eastAsia" w:eastAsia="仿宋_GB2312"/>
          <w:sz w:val="32"/>
          <w:szCs w:val="32"/>
          <w:lang w:val="zh-CN"/>
        </w:rPr>
        <w:t>.</w:t>
      </w:r>
      <w:r>
        <w:rPr>
          <w:rFonts w:eastAsia="仿宋_GB2312"/>
          <w:sz w:val="32"/>
          <w:szCs w:val="32"/>
          <w:lang w:val="zh-CN"/>
        </w:rPr>
        <w:t>资金使用。</w:t>
      </w:r>
      <w:r>
        <w:rPr>
          <w:rFonts w:eastAsia="仿宋_GB2312"/>
          <w:sz w:val="32"/>
          <w:szCs w:val="32"/>
        </w:rPr>
        <w:t>该项目全年累计支出</w:t>
      </w:r>
      <w:r>
        <w:rPr>
          <w:rFonts w:hint="eastAsia" w:eastAsia="仿宋_GB2312"/>
          <w:sz w:val="32"/>
          <w:szCs w:val="32"/>
        </w:rPr>
        <w:t>21.79</w:t>
      </w:r>
      <w:r>
        <w:rPr>
          <w:rFonts w:eastAsia="仿宋_GB2312"/>
          <w:sz w:val="32"/>
          <w:szCs w:val="32"/>
        </w:rPr>
        <w:t>万元，主要是用于急救知识宣传、培训等工作。在项目执行过程中，严格按照预算批复执行，不随意改变该项目资金支付范围、支付标准，严控预算执行进度和经费支出情况，确保资金使用安全、规范、高效。</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我单位严格按照财务管理相关制度规定和财政批复要求，</w:t>
      </w:r>
      <w:r>
        <w:rPr>
          <w:rFonts w:eastAsia="仿宋_GB2312"/>
          <w:color w:val="000000"/>
          <w:kern w:val="0"/>
          <w:sz w:val="32"/>
          <w:szCs w:val="32"/>
        </w:rPr>
        <w:t>做好项目实施和监管，</w:t>
      </w:r>
      <w:r>
        <w:rPr>
          <w:rFonts w:eastAsia="仿宋_GB2312"/>
          <w:sz w:val="32"/>
          <w:szCs w:val="32"/>
        </w:rPr>
        <w:t>及时、规范进行账务处理及会计核算</w:t>
      </w:r>
      <w:r>
        <w:rPr>
          <w:rFonts w:eastAsia="仿宋_GB2312"/>
          <w:color w:val="000000"/>
          <w:kern w:val="0"/>
          <w:sz w:val="32"/>
          <w:szCs w:val="32"/>
        </w:rPr>
        <w:t>，切实做到专款专用，最大可能发挥专项资金作用。</w:t>
      </w:r>
    </w:p>
    <w:p>
      <w:pPr>
        <w:pageBreakBefore w:val="0"/>
        <w:kinsoku/>
        <w:wordWrap/>
        <w:overflowPunct/>
        <w:topLinePunct w:val="0"/>
        <w:bidi w:val="0"/>
        <w:adjustRightInd w:val="0"/>
        <w:snapToGrid w:val="0"/>
        <w:spacing w:line="576" w:lineRule="exact"/>
        <w:ind w:firstLine="720"/>
        <w:textAlignment w:val="auto"/>
        <w:rPr>
          <w:rFonts w:eastAsia="仿宋_GB2312"/>
          <w:sz w:val="32"/>
          <w:szCs w:val="32"/>
          <w:lang w:val="zh-CN"/>
        </w:rPr>
      </w:pPr>
      <w:r>
        <w:rPr>
          <w:rFonts w:eastAsia="黑体"/>
          <w:sz w:val="32"/>
          <w:szCs w:val="32"/>
        </w:rPr>
        <w:t>三、项目实施及管理情况</w:t>
      </w:r>
    </w:p>
    <w:p>
      <w:pPr>
        <w:pageBreakBefore w:val="0"/>
        <w:kinsoku/>
        <w:wordWrap/>
        <w:overflowPunct/>
        <w:topLinePunct w:val="0"/>
        <w:bidi w:val="0"/>
        <w:adjustRightInd w:val="0"/>
        <w:snapToGrid w:val="0"/>
        <w:spacing w:line="576" w:lineRule="exact"/>
        <w:ind w:firstLine="720"/>
        <w:textAlignment w:val="auto"/>
        <w:rPr>
          <w:rFonts w:eastAsia="仿宋"/>
          <w:sz w:val="32"/>
          <w:szCs w:val="32"/>
        </w:rPr>
      </w:pPr>
      <w:r>
        <w:rPr>
          <w:rFonts w:eastAsia="仿宋_GB2312"/>
          <w:sz w:val="32"/>
          <w:szCs w:val="32"/>
        </w:rPr>
        <w:t>我单位严格遵守相关法律法规规定，按照单位财务管理审批流程办理款项支付，</w:t>
      </w:r>
      <w:r>
        <w:rPr>
          <w:rFonts w:eastAsia="仿宋"/>
          <w:sz w:val="32"/>
          <w:szCs w:val="32"/>
        </w:rPr>
        <w:t>专款专用，无截留，无挪用。</w:t>
      </w:r>
      <w:r>
        <w:rPr>
          <w:rFonts w:eastAsia="仿宋_GB2312"/>
          <w:sz w:val="32"/>
          <w:szCs w:val="32"/>
        </w:rPr>
        <w:t xml:space="preserve">同时经费管理主动接受监察组和审计部门的监督检查，对预算执行实行动态监控，无违纪违法现象。 </w:t>
      </w:r>
    </w:p>
    <w:p>
      <w:pPr>
        <w:pageBreakBefore w:val="0"/>
        <w:kinsoku/>
        <w:wordWrap/>
        <w:overflowPunct/>
        <w:topLinePunct w:val="0"/>
        <w:bidi w:val="0"/>
        <w:adjustRightInd w:val="0"/>
        <w:snapToGrid w:val="0"/>
        <w:spacing w:line="576" w:lineRule="exact"/>
        <w:ind w:firstLine="640" w:firstLineChars="200"/>
        <w:textAlignment w:val="auto"/>
        <w:rPr>
          <w:rFonts w:eastAsia="仿宋"/>
          <w:sz w:val="32"/>
          <w:szCs w:val="32"/>
        </w:rPr>
      </w:pPr>
      <w:r>
        <w:rPr>
          <w:rFonts w:eastAsia="黑体"/>
          <w:sz w:val="32"/>
          <w:szCs w:val="32"/>
        </w:rPr>
        <w:t>四、项目绩效情况</w:t>
      </w:r>
      <w:r>
        <w:rPr>
          <w:rFonts w:eastAsia="仿宋_GB2312"/>
          <w:sz w:val="32"/>
          <w:szCs w:val="32"/>
          <w:lang w:val="zh-CN"/>
        </w:rPr>
        <w:tab/>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val="zh-CN"/>
        </w:rPr>
        <w:t>（一）项目完成情况</w:t>
      </w:r>
    </w:p>
    <w:p>
      <w:pPr>
        <w:pageBreakBefore w:val="0"/>
        <w:kinsoku/>
        <w:wordWrap/>
        <w:overflowPunct/>
        <w:topLinePunct w:val="0"/>
        <w:bidi w:val="0"/>
        <w:adjustRightInd w:val="0"/>
        <w:snapToGrid w:val="0"/>
        <w:spacing w:line="576" w:lineRule="exact"/>
        <w:ind w:firstLine="640" w:firstLineChars="200"/>
        <w:textAlignment w:val="auto"/>
        <w:rPr>
          <w:rFonts w:eastAsia="仿宋"/>
          <w:sz w:val="32"/>
          <w:szCs w:val="32"/>
        </w:rPr>
      </w:pPr>
      <w:r>
        <w:rPr>
          <w:rFonts w:eastAsia="仿宋_GB2312"/>
          <w:sz w:val="32"/>
          <w:szCs w:val="32"/>
          <w:lang w:val="zh-CN"/>
        </w:rPr>
        <w:t>截止评价时点的任务量完成、质量标准、进度计划、成本控制目标的实现程度进行评价分析为优。</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（二）项目效益情况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院前急救应急反应能力、</w:t>
      </w:r>
      <w:r>
        <w:rPr>
          <w:rFonts w:eastAsia="仿宋_GB2312"/>
          <w:sz w:val="32"/>
          <w:szCs w:val="32"/>
        </w:rPr>
        <w:t>社会公众对急救知识的知晓率明显提升，参加培训院前急救专业人员满意度达100%、参加培训公众满意度</w:t>
      </w:r>
      <w:r>
        <w:rPr>
          <w:rFonts w:hint="eastAsia" w:eastAsia="仿宋_GB2312"/>
          <w:sz w:val="32"/>
          <w:szCs w:val="32"/>
        </w:rPr>
        <w:t>≥</w:t>
      </w:r>
      <w:r>
        <w:rPr>
          <w:rFonts w:eastAsia="仿宋_GB2312"/>
          <w:sz w:val="32"/>
          <w:szCs w:val="32"/>
        </w:rPr>
        <w:t>80%。</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黑体"/>
          <w:sz w:val="32"/>
          <w:szCs w:val="32"/>
        </w:rPr>
        <w:t>五、评价结论及建议</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通过项目实施，保障了项目工作有序开展，各网络医院院前急救技能、服务质量皆有所提高，社会公众对急救的应急反应能力同比增强，对急救医学常识也逐步有所了解和提高，顺利完成了各项目标任务。</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部分绩效指标不可量化，评价结果不够精准。</w:t>
      </w:r>
      <w:r>
        <w:rPr>
          <w:rFonts w:eastAsia="仿宋_GB2312"/>
          <w:sz w:val="32"/>
          <w:szCs w:val="32"/>
          <w:lang w:val="zh-CN"/>
        </w:rPr>
        <w:tab/>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（三）相关建议</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rPr>
        <w:t>绩效考评指标应尽量量化，不能量化的要尽量细化，以提高考评工作的可操作性和确保考评结果的客观性、公正性。</w:t>
      </w:r>
    </w:p>
    <w:p>
      <w:pPr>
        <w:pageBreakBefore w:val="0"/>
        <w:kinsoku/>
        <w:wordWrap/>
        <w:overflowPunct/>
        <w:topLinePunct w:val="0"/>
        <w:bidi w:val="0"/>
        <w:adjustRightInd w:val="0"/>
        <w:snapToGrid w:val="0"/>
        <w:spacing w:line="576" w:lineRule="exact"/>
        <w:jc w:val="center"/>
        <w:textAlignment w:val="auto"/>
        <w:rPr>
          <w:rFonts w:eastAsia="仿宋_GB2312"/>
          <w:sz w:val="32"/>
        </w:rPr>
      </w:pPr>
    </w:p>
    <w:p>
      <w:pPr>
        <w:pageBreakBefore w:val="0"/>
        <w:kinsoku/>
        <w:wordWrap/>
        <w:overflowPunct/>
        <w:topLinePunct w:val="0"/>
        <w:bidi w:val="0"/>
        <w:adjustRightInd w:val="0"/>
        <w:snapToGrid w:val="0"/>
        <w:spacing w:line="576" w:lineRule="exact"/>
        <w:jc w:val="center"/>
        <w:textAlignment w:val="auto"/>
        <w:rPr>
          <w:rFonts w:eastAsia="仿宋_GB2312"/>
          <w:sz w:val="32"/>
        </w:rPr>
      </w:pPr>
      <w:r>
        <w:rPr>
          <w:rFonts w:hint="eastAsia" w:eastAsia="仿宋_GB2312"/>
          <w:sz w:val="32"/>
        </w:rPr>
        <w:t>（</w:t>
      </w:r>
      <w:r>
        <w:rPr>
          <w:rFonts w:eastAsia="仿宋_GB2312"/>
          <w:sz w:val="32"/>
          <w:lang w:val="zh-CN"/>
        </w:rPr>
        <w:t>120指挥调度系统运行维护费项目</w:t>
      </w:r>
      <w:r>
        <w:rPr>
          <w:rFonts w:hint="eastAsia" w:eastAsia="仿宋_GB2312"/>
          <w:sz w:val="32"/>
        </w:rPr>
        <w:t>）</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（一）项目基本情况</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管理职能。</w:t>
      </w:r>
      <w:r>
        <w:rPr>
          <w:rFonts w:eastAsia="仿宋_GB2312"/>
          <w:color w:val="000000"/>
          <w:sz w:val="32"/>
          <w:szCs w:val="32"/>
        </w:rPr>
        <w:t>负责承担全市境内突发公共卫生事件处置及其他突发事件紧急医疗救援的指挥调度；负责全市所有医疗急救资源的调度、指挥并开展院前急救、转运和重症病人转运途中的监护</w:t>
      </w:r>
      <w:r>
        <w:rPr>
          <w:rFonts w:hint="eastAsia" w:eastAsia="仿宋_GB2312"/>
          <w:color w:val="000000"/>
          <w:sz w:val="32"/>
          <w:szCs w:val="32"/>
        </w:rPr>
        <w:t>等工作。</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hint="eastAsia" w:eastAsia="仿宋_GB2312"/>
          <w:color w:val="000000"/>
          <w:sz w:val="32"/>
          <w:szCs w:val="32"/>
        </w:rPr>
        <w:t>2.</w:t>
      </w:r>
      <w:r>
        <w:rPr>
          <w:rFonts w:eastAsia="仿宋_GB2312"/>
          <w:color w:val="000000"/>
          <w:sz w:val="32"/>
          <w:szCs w:val="32"/>
        </w:rPr>
        <w:t>项目立项和资金申报的依据。确保120指挥调度系统安全平稳运行，提升指挥调度工作质量。</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lang w:val="zh-CN"/>
        </w:rPr>
        <w:t>3.资金管理办法制定情况。资金</w:t>
      </w:r>
      <w:r>
        <w:rPr>
          <w:rFonts w:eastAsia="仿宋_GB2312"/>
          <w:sz w:val="32"/>
          <w:szCs w:val="32"/>
        </w:rPr>
        <w:t>使用</w:t>
      </w:r>
      <w:r>
        <w:rPr>
          <w:rFonts w:eastAsia="仿宋_GB2312"/>
          <w:sz w:val="32"/>
          <w:szCs w:val="32"/>
          <w:lang w:val="zh-CN"/>
        </w:rPr>
        <w:t>按照财务制度管理办法执行，资金来源由市财政局在年初预算安排。</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rPr>
        <w:t>4.资金分配的原则及考虑因素。202</w:t>
      </w:r>
      <w:r>
        <w:rPr>
          <w:rFonts w:hint="eastAsia" w:eastAsia="仿宋_GB2312"/>
          <w:sz w:val="32"/>
          <w:szCs w:val="32"/>
        </w:rPr>
        <w:t>1</w:t>
      </w:r>
      <w:r>
        <w:rPr>
          <w:rFonts w:eastAsia="仿宋_GB2312"/>
          <w:sz w:val="32"/>
          <w:szCs w:val="32"/>
        </w:rPr>
        <w:t>年财政预算资金13万元，用于网络安全维护、硬件设备维修（护）、电信网络通讯等方面，确保指挥调度工作安全顺利进行。</w:t>
      </w:r>
    </w:p>
    <w:p>
      <w:pPr>
        <w:pageBreakBefore w:val="0"/>
        <w:kinsoku/>
        <w:wordWrap/>
        <w:overflowPunct/>
        <w:topLinePunct w:val="0"/>
        <w:bidi w:val="0"/>
        <w:spacing w:line="576" w:lineRule="exact"/>
        <w:ind w:firstLine="640" w:firstLineChars="200"/>
        <w:jc w:val="both"/>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（二）项目绩效目标</w:t>
      </w:r>
    </w:p>
    <w:p>
      <w:pPr>
        <w:pageBreakBefore w:val="0"/>
        <w:kinsoku/>
        <w:wordWrap/>
        <w:overflowPunct/>
        <w:topLinePunct w:val="0"/>
        <w:bidi w:val="0"/>
        <w:adjustRightInd w:val="0"/>
        <w:snapToGrid w:val="0"/>
        <w:spacing w:line="576" w:lineRule="exact"/>
        <w:ind w:firstLine="640" w:firstLineChars="200"/>
        <w:jc w:val="both"/>
        <w:textAlignment w:val="auto"/>
        <w:rPr>
          <w:rFonts w:eastAsia="楷体_GB2312"/>
          <w:b/>
          <w:sz w:val="32"/>
          <w:szCs w:val="32"/>
          <w:lang w:val="zh-CN"/>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项目主要内容。指挥调度系统软件维护及升级，指挥调度网络安全维护，硬件设备维修（护），培训及日常办公</w:t>
      </w:r>
      <w:r>
        <w:rPr>
          <w:rFonts w:eastAsia="仿宋_GB2312"/>
          <w:sz w:val="32"/>
          <w:szCs w:val="32"/>
        </w:rPr>
        <w:t>等。</w:t>
      </w:r>
    </w:p>
    <w:p>
      <w:pPr>
        <w:pageBreakBefore w:val="0"/>
        <w:kinsoku/>
        <w:wordWrap/>
        <w:overflowPunct/>
        <w:topLinePunct w:val="0"/>
        <w:bidi w:val="0"/>
        <w:adjustRightInd w:val="0"/>
        <w:snapToGrid w:val="0"/>
        <w:spacing w:line="576" w:lineRule="exact"/>
        <w:ind w:firstLine="640" w:firstLineChars="200"/>
        <w:jc w:val="both"/>
        <w:textAlignment w:val="auto"/>
        <w:rPr>
          <w:rFonts w:eastAsia="楷体_GB2312"/>
          <w:b/>
          <w:sz w:val="32"/>
          <w:szCs w:val="32"/>
          <w:lang w:val="zh-CN"/>
        </w:rPr>
      </w:pPr>
      <w:r>
        <w:rPr>
          <w:rFonts w:eastAsia="仿宋_GB2312"/>
          <w:sz w:val="32"/>
          <w:szCs w:val="32"/>
          <w:lang w:val="zh-CN"/>
        </w:rPr>
        <w:t>2</w:t>
      </w:r>
      <w:r>
        <w:rPr>
          <w:rFonts w:hint="eastAsia" w:eastAsia="仿宋_GB2312"/>
          <w:sz w:val="32"/>
          <w:szCs w:val="32"/>
          <w:lang w:val="zh-CN"/>
        </w:rPr>
        <w:t>.</w:t>
      </w:r>
      <w:r>
        <w:rPr>
          <w:rFonts w:eastAsia="仿宋_GB2312"/>
          <w:sz w:val="32"/>
          <w:szCs w:val="32"/>
          <w:lang w:val="zh-CN"/>
        </w:rPr>
        <w:t>项目绩效目标。</w:t>
      </w:r>
      <w:r>
        <w:rPr>
          <w:rFonts w:eastAsia="仿宋_GB2312"/>
          <w:sz w:val="32"/>
          <w:szCs w:val="32"/>
        </w:rPr>
        <w:t>事故受理、处理完成100%，投诉受理、处理完成100%。责任事故、投诉为0，有效调度误差</w:t>
      </w:r>
      <w:r>
        <w:rPr>
          <w:rFonts w:hint="eastAsia" w:eastAsia="仿宋_GB2312"/>
          <w:sz w:val="32"/>
          <w:szCs w:val="32"/>
        </w:rPr>
        <w:t>≤</w:t>
      </w:r>
      <w:r>
        <w:rPr>
          <w:rFonts w:eastAsia="仿宋_GB2312"/>
          <w:sz w:val="32"/>
          <w:szCs w:val="32"/>
        </w:rPr>
        <w:t>0.1%。</w:t>
      </w:r>
    </w:p>
    <w:p>
      <w:pPr>
        <w:pageBreakBefore w:val="0"/>
        <w:kinsoku/>
        <w:wordWrap/>
        <w:overflowPunct/>
        <w:topLinePunct w:val="0"/>
        <w:bidi w:val="0"/>
        <w:spacing w:line="576" w:lineRule="exact"/>
        <w:ind w:firstLine="640" w:firstLineChars="200"/>
        <w:jc w:val="both"/>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640" w:firstLineChars="200"/>
        <w:jc w:val="both"/>
        <w:textAlignment w:val="auto"/>
        <w:rPr>
          <w:rFonts w:eastAsia="仿宋_GB2312"/>
          <w:sz w:val="32"/>
          <w:szCs w:val="32"/>
        </w:rPr>
      </w:pPr>
      <w:r>
        <w:rPr>
          <w:rFonts w:eastAsia="仿宋_GB2312"/>
          <w:sz w:val="32"/>
          <w:szCs w:val="32"/>
          <w:lang w:val="zh-CN"/>
        </w:rPr>
        <w:t>项目绩效自评</w:t>
      </w:r>
      <w:r>
        <w:rPr>
          <w:rFonts w:hint="eastAsia" w:eastAsia="仿宋_GB2312"/>
          <w:sz w:val="32"/>
          <w:szCs w:val="32"/>
          <w:lang w:val="zh-CN"/>
        </w:rPr>
        <w:t>由单位绩效评价小组集中进行</w:t>
      </w:r>
      <w:r>
        <w:rPr>
          <w:rFonts w:eastAsia="仿宋_GB2312"/>
          <w:sz w:val="32"/>
          <w:szCs w:val="32"/>
          <w:lang w:val="zh-CN"/>
        </w:rPr>
        <w:t>自评，对照支出评价指标体系，采用比较法</w:t>
      </w:r>
      <w:r>
        <w:rPr>
          <w:rFonts w:eastAsia="仿宋_GB2312"/>
          <w:sz w:val="32"/>
          <w:szCs w:val="32"/>
        </w:rPr>
        <w:t>来自评项目绩效完成情况。</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黑体"/>
          <w:sz w:val="32"/>
          <w:szCs w:val="32"/>
        </w:rPr>
        <w:t>二、项目资金申报及使用情况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color w:val="FF0000"/>
          <w:sz w:val="32"/>
          <w:szCs w:val="32"/>
          <w:lang w:val="zh-CN"/>
        </w:rPr>
      </w:pPr>
      <w:r>
        <w:rPr>
          <w:rFonts w:hint="eastAsia" w:ascii="楷体" w:hAnsi="楷体" w:eastAsia="楷体" w:cs="楷体"/>
          <w:b w:val="0"/>
          <w:bCs/>
          <w:color w:val="auto"/>
          <w:sz w:val="32"/>
          <w:szCs w:val="32"/>
          <w:highlight w:val="none"/>
          <w:lang w:val="zh-CN"/>
        </w:rPr>
        <w:t>（一）项目资金申报及批复情况。</w:t>
      </w:r>
      <w:r>
        <w:rPr>
          <w:rFonts w:hint="eastAsia" w:eastAsia="仿宋_GB2312"/>
          <w:sz w:val="32"/>
          <w:szCs w:val="32"/>
        </w:rPr>
        <w:t>我单位根据2021年</w:t>
      </w:r>
      <w:r>
        <w:rPr>
          <w:rFonts w:eastAsia="仿宋_GB2312"/>
          <w:sz w:val="32"/>
          <w:szCs w:val="32"/>
        </w:rPr>
        <w:t>将开展的具体工作，</w:t>
      </w:r>
      <w:r>
        <w:rPr>
          <w:rFonts w:eastAsia="仿宋_GB2312"/>
          <w:sz w:val="32"/>
          <w:szCs w:val="32"/>
          <w:lang w:val="zh-CN"/>
        </w:rPr>
        <w:t>编制了</w:t>
      </w:r>
      <w:r>
        <w:rPr>
          <w:rFonts w:eastAsia="仿宋_GB2312"/>
          <w:sz w:val="32"/>
          <w:szCs w:val="32"/>
        </w:rPr>
        <w:t>项目</w:t>
      </w:r>
      <w:r>
        <w:rPr>
          <w:rFonts w:eastAsia="仿宋_GB2312"/>
          <w:sz w:val="32"/>
          <w:szCs w:val="32"/>
          <w:lang w:val="zh-CN"/>
        </w:rPr>
        <w:t>预算，市财政局</w:t>
      </w:r>
      <w:r>
        <w:rPr>
          <w:rFonts w:eastAsia="仿宋_GB2312"/>
          <w:sz w:val="32"/>
          <w:szCs w:val="32"/>
        </w:rPr>
        <w:t>下达120指挥调度系统运行维护费</w:t>
      </w:r>
      <w:r>
        <w:rPr>
          <w:rFonts w:eastAsia="仿宋_GB2312"/>
          <w:sz w:val="32"/>
          <w:szCs w:val="32"/>
          <w:lang w:val="zh-CN"/>
        </w:rPr>
        <w:t>预算</w:t>
      </w:r>
      <w:r>
        <w:rPr>
          <w:rFonts w:eastAsia="仿宋_GB2312"/>
          <w:sz w:val="32"/>
          <w:szCs w:val="32"/>
        </w:rPr>
        <w:t>13</w:t>
      </w:r>
      <w:r>
        <w:rPr>
          <w:rFonts w:eastAsia="仿宋_GB2312"/>
          <w:sz w:val="32"/>
          <w:szCs w:val="32"/>
          <w:lang w:val="zh-CN"/>
        </w:rPr>
        <w:t>万元。</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资金计划</w:t>
      </w:r>
      <w:r>
        <w:rPr>
          <w:rFonts w:eastAsia="仿宋_GB2312"/>
          <w:sz w:val="32"/>
          <w:szCs w:val="32"/>
        </w:rPr>
        <w:t>及到位情况</w:t>
      </w:r>
      <w:r>
        <w:rPr>
          <w:rFonts w:eastAsia="楷体_GB2312"/>
          <w:sz w:val="32"/>
          <w:szCs w:val="32"/>
          <w:lang w:val="zh-CN"/>
        </w:rPr>
        <w:t>。</w:t>
      </w:r>
      <w:r>
        <w:rPr>
          <w:rFonts w:eastAsia="仿宋_GB2312"/>
          <w:sz w:val="32"/>
          <w:szCs w:val="32"/>
        </w:rPr>
        <w:t>本项目预算指标为13万元，截至202</w:t>
      </w:r>
      <w:r>
        <w:rPr>
          <w:rFonts w:hint="eastAsia" w:eastAsia="仿宋_GB2312"/>
          <w:sz w:val="32"/>
          <w:szCs w:val="32"/>
        </w:rPr>
        <w:t>1</w:t>
      </w:r>
      <w:r>
        <w:rPr>
          <w:rFonts w:eastAsia="仿宋_GB2312"/>
          <w:sz w:val="32"/>
          <w:szCs w:val="32"/>
        </w:rPr>
        <w:t>年底，市财政实际拨付资金13万元，资金拨付率为100%。</w:t>
      </w:r>
    </w:p>
    <w:p>
      <w:pPr>
        <w:pageBreakBefore w:val="0"/>
        <w:kinsoku/>
        <w:wordWrap/>
        <w:overflowPunct/>
        <w:topLinePunct w:val="0"/>
        <w:bidi w:val="0"/>
        <w:spacing w:line="576" w:lineRule="exact"/>
        <w:ind w:firstLine="640" w:firstLineChars="200"/>
        <w:textAlignment w:val="auto"/>
        <w:rPr>
          <w:rFonts w:eastAsia="仿宋_GB2312"/>
          <w:sz w:val="32"/>
          <w:szCs w:val="32"/>
        </w:rPr>
      </w:pPr>
      <w:r>
        <w:rPr>
          <w:rFonts w:hint="eastAsia" w:eastAsia="仿宋_GB2312"/>
          <w:sz w:val="32"/>
          <w:szCs w:val="32"/>
          <w:lang w:val="zh-CN"/>
        </w:rPr>
        <w:t>2.</w:t>
      </w:r>
      <w:r>
        <w:rPr>
          <w:rFonts w:eastAsia="仿宋_GB2312"/>
          <w:sz w:val="32"/>
          <w:szCs w:val="32"/>
          <w:lang w:val="zh-CN"/>
        </w:rPr>
        <w:t>资金使用。</w:t>
      </w:r>
      <w:r>
        <w:rPr>
          <w:rFonts w:eastAsia="仿宋_GB2312"/>
          <w:sz w:val="32"/>
          <w:szCs w:val="32"/>
        </w:rPr>
        <w:t>该项目全年累计支出13</w:t>
      </w:r>
      <w:r>
        <w:rPr>
          <w:rFonts w:hint="eastAsia" w:eastAsia="仿宋_GB2312"/>
          <w:sz w:val="32"/>
          <w:szCs w:val="32"/>
        </w:rPr>
        <w:t>.88</w:t>
      </w:r>
      <w:r>
        <w:rPr>
          <w:rFonts w:eastAsia="仿宋_GB2312"/>
          <w:sz w:val="32"/>
          <w:szCs w:val="32"/>
        </w:rPr>
        <w:t>万元，主要是用于指挥调度系统软件维护及升级，指挥调度网络安全维护，硬件设备维修（护），培训及日常办公等。在项目执行过程中，严格按照预算批复执行，不随意改变该项目资金支付范围、支付标准，严控预算执行进度和经费支出情况，确保资金使用安全、规范、高效。</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color w:val="000000"/>
          <w:kern w:val="0"/>
          <w:sz w:val="32"/>
          <w:szCs w:val="32"/>
        </w:rPr>
      </w:pPr>
      <w:r>
        <w:rPr>
          <w:rFonts w:eastAsia="仿宋_GB2312"/>
          <w:sz w:val="32"/>
          <w:szCs w:val="32"/>
        </w:rPr>
        <w:t>我单位严格按照财务管理相关制度规定和财政批复要求，</w:t>
      </w:r>
      <w:r>
        <w:rPr>
          <w:rFonts w:eastAsia="仿宋_GB2312"/>
          <w:color w:val="000000"/>
          <w:kern w:val="0"/>
          <w:sz w:val="32"/>
          <w:szCs w:val="32"/>
        </w:rPr>
        <w:t>做好项目实施和监管，</w:t>
      </w:r>
      <w:r>
        <w:rPr>
          <w:rFonts w:eastAsia="仿宋_GB2312"/>
          <w:sz w:val="32"/>
          <w:szCs w:val="32"/>
        </w:rPr>
        <w:t>及时、规范进行账务处理及会计核算</w:t>
      </w:r>
      <w:r>
        <w:rPr>
          <w:rFonts w:eastAsia="仿宋_GB2312"/>
          <w:color w:val="000000"/>
          <w:kern w:val="0"/>
          <w:sz w:val="32"/>
          <w:szCs w:val="32"/>
        </w:rPr>
        <w:t>，切实做到专款专用，最大可能发挥专项资金作用。</w:t>
      </w:r>
    </w:p>
    <w:p>
      <w:pPr>
        <w:pageBreakBefore w:val="0"/>
        <w:kinsoku/>
        <w:wordWrap/>
        <w:overflowPunct/>
        <w:topLinePunct w:val="0"/>
        <w:bidi w:val="0"/>
        <w:adjustRightInd w:val="0"/>
        <w:snapToGrid w:val="0"/>
        <w:spacing w:line="576" w:lineRule="exact"/>
        <w:ind w:firstLine="720"/>
        <w:textAlignment w:val="auto"/>
        <w:rPr>
          <w:rFonts w:eastAsia="仿宋_GB2312"/>
          <w:sz w:val="32"/>
          <w:szCs w:val="32"/>
          <w:lang w:val="zh-CN"/>
        </w:rPr>
      </w:pPr>
      <w:r>
        <w:rPr>
          <w:rFonts w:eastAsia="黑体"/>
          <w:sz w:val="32"/>
          <w:szCs w:val="32"/>
        </w:rPr>
        <w:t>三、项目实施及管理情况</w:t>
      </w:r>
    </w:p>
    <w:p>
      <w:pPr>
        <w:pageBreakBefore w:val="0"/>
        <w:kinsoku/>
        <w:wordWrap/>
        <w:overflowPunct/>
        <w:topLinePunct w:val="0"/>
        <w:bidi w:val="0"/>
        <w:adjustRightInd w:val="0"/>
        <w:snapToGrid w:val="0"/>
        <w:spacing w:line="576" w:lineRule="exact"/>
        <w:ind w:firstLine="720"/>
        <w:textAlignment w:val="auto"/>
        <w:rPr>
          <w:rFonts w:eastAsia="仿宋"/>
          <w:sz w:val="32"/>
          <w:szCs w:val="32"/>
        </w:rPr>
      </w:pPr>
      <w:r>
        <w:rPr>
          <w:rFonts w:eastAsia="仿宋_GB2312"/>
          <w:sz w:val="32"/>
          <w:szCs w:val="32"/>
        </w:rPr>
        <w:t>我单位严格遵守相关法律法规规定，按照单位财务管理审批流程办理款项支付，</w:t>
      </w:r>
      <w:r>
        <w:rPr>
          <w:rFonts w:eastAsia="仿宋"/>
          <w:sz w:val="32"/>
          <w:szCs w:val="32"/>
        </w:rPr>
        <w:t>专款专用，无截留，无挪用。</w:t>
      </w:r>
      <w:r>
        <w:rPr>
          <w:rFonts w:eastAsia="仿宋_GB2312"/>
          <w:sz w:val="32"/>
          <w:szCs w:val="32"/>
        </w:rPr>
        <w:t xml:space="preserve">同时经费管理主动接受监察组和审计部门的监督检查，对预算执行实行动态监控，无违纪违法现象。 </w:t>
      </w:r>
    </w:p>
    <w:p>
      <w:pPr>
        <w:pageBreakBefore w:val="0"/>
        <w:kinsoku/>
        <w:wordWrap/>
        <w:overflowPunct/>
        <w:topLinePunct w:val="0"/>
        <w:bidi w:val="0"/>
        <w:spacing w:line="576" w:lineRule="exact"/>
        <w:ind w:firstLine="640" w:firstLineChars="200"/>
        <w:textAlignment w:val="auto"/>
        <w:rPr>
          <w:rFonts w:eastAsia="仿宋_GB2312"/>
          <w:sz w:val="32"/>
          <w:szCs w:val="32"/>
          <w:lang w:val="zh-CN"/>
        </w:rPr>
      </w:pPr>
      <w:r>
        <w:rPr>
          <w:rFonts w:eastAsia="黑体"/>
          <w:sz w:val="32"/>
          <w:szCs w:val="32"/>
        </w:rPr>
        <w:t>四、项目绩效情况</w:t>
      </w:r>
      <w:r>
        <w:rPr>
          <w:rFonts w:eastAsia="仿宋_GB2312"/>
          <w:sz w:val="32"/>
          <w:szCs w:val="32"/>
          <w:lang w:val="zh-CN"/>
        </w:rPr>
        <w:tab/>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（一）项目完成情况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仿宋_GB2312"/>
          <w:sz w:val="32"/>
          <w:szCs w:val="32"/>
          <w:lang w:val="zh-CN"/>
        </w:rPr>
        <w:t>截止评价时点的任务量完成、质量标准、进度计划、成本控制目标的实现程度进行评价分析为优。</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（二）项目效益情况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患者对120急救电话知晓率、</w:t>
      </w:r>
      <w:r>
        <w:rPr>
          <w:rFonts w:eastAsia="仿宋_GB2312"/>
          <w:sz w:val="32"/>
          <w:szCs w:val="32"/>
        </w:rPr>
        <w:t>呼救者满意度明显提高。</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黑体"/>
          <w:sz w:val="32"/>
          <w:szCs w:val="32"/>
        </w:rPr>
        <w:t>五、评价结论及建议</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仿宋_GB2312"/>
          <w:sz w:val="32"/>
          <w:szCs w:val="32"/>
        </w:rPr>
        <w:t>通过项目实施，保障了项目工作有序开展，顺利完成全年指挥调度工作，无差错事故发生。</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部分绩效指标不可量化，评价结果不够精准。</w:t>
      </w:r>
      <w:r>
        <w:rPr>
          <w:rFonts w:eastAsia="仿宋_GB2312"/>
          <w:sz w:val="32"/>
          <w:szCs w:val="32"/>
          <w:lang w:val="zh-CN"/>
        </w:rPr>
        <w:tab/>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（三）相关建议</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rPr>
        <w:t>绩效考评指标应尽量量化，不能量化的要尽量细化，以提高考评工作的可操作性和确保考评结果的客观性、公正性。</w:t>
      </w:r>
    </w:p>
    <w:p>
      <w:pPr>
        <w:pageBreakBefore w:val="0"/>
        <w:kinsoku/>
        <w:wordWrap/>
        <w:overflowPunct/>
        <w:topLinePunct w:val="0"/>
        <w:bidi w:val="0"/>
        <w:adjustRightInd w:val="0"/>
        <w:snapToGrid w:val="0"/>
        <w:spacing w:line="576" w:lineRule="exact"/>
        <w:jc w:val="left"/>
        <w:textAlignment w:val="auto"/>
        <w:rPr>
          <w:rFonts w:eastAsia="仿宋_GB2312"/>
          <w:sz w:val="32"/>
        </w:rPr>
      </w:pPr>
    </w:p>
    <w:p>
      <w:pPr>
        <w:pageBreakBefore w:val="0"/>
        <w:kinsoku/>
        <w:wordWrap/>
        <w:overflowPunct/>
        <w:topLinePunct w:val="0"/>
        <w:bidi w:val="0"/>
        <w:adjustRightInd w:val="0"/>
        <w:snapToGrid w:val="0"/>
        <w:spacing w:line="576" w:lineRule="exact"/>
        <w:jc w:val="center"/>
        <w:textAlignment w:val="auto"/>
        <w:rPr>
          <w:rFonts w:eastAsia="仿宋_GB2312"/>
          <w:sz w:val="32"/>
          <w:lang w:val="zh-CN"/>
        </w:rPr>
      </w:pPr>
      <w:r>
        <w:rPr>
          <w:rFonts w:hint="eastAsia" w:eastAsia="仿宋_GB2312"/>
          <w:sz w:val="32"/>
        </w:rPr>
        <w:t>（</w:t>
      </w:r>
      <w:r>
        <w:rPr>
          <w:rFonts w:eastAsia="仿宋_GB2312"/>
          <w:sz w:val="32"/>
          <w:lang w:val="zh-CN"/>
        </w:rPr>
        <w:t>120平台调度员夜班补助项目</w:t>
      </w:r>
      <w:r>
        <w:rPr>
          <w:rFonts w:hint="eastAsia" w:eastAsia="仿宋_GB2312"/>
          <w:sz w:val="32"/>
          <w:lang w:val="zh-CN"/>
        </w:rPr>
        <w:t>）</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（一）项目基本情况</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color w:val="000000"/>
          <w:sz w:val="32"/>
          <w:szCs w:val="32"/>
        </w:rPr>
        <w:t>1</w:t>
      </w:r>
      <w:r>
        <w:rPr>
          <w:rFonts w:hint="eastAsia" w:eastAsia="仿宋_GB2312"/>
          <w:color w:val="000000"/>
          <w:sz w:val="32"/>
          <w:szCs w:val="32"/>
        </w:rPr>
        <w:t>.</w:t>
      </w:r>
      <w:r>
        <w:rPr>
          <w:rFonts w:eastAsia="仿宋_GB2312"/>
          <w:sz w:val="32"/>
          <w:szCs w:val="32"/>
          <w:lang w:val="zh-CN"/>
        </w:rPr>
        <w:t>管理职能。</w:t>
      </w:r>
      <w:r>
        <w:rPr>
          <w:rFonts w:eastAsia="仿宋_GB2312"/>
          <w:sz w:val="32"/>
          <w:szCs w:val="32"/>
        </w:rPr>
        <w:t>保障调度平台工作正常运行</w:t>
      </w:r>
      <w:r>
        <w:rPr>
          <w:rFonts w:hint="eastAsia" w:eastAsia="仿宋_GB2312"/>
          <w:sz w:val="32"/>
          <w:szCs w:val="32"/>
        </w:rPr>
        <w:t>。</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color w:val="000000"/>
          <w:sz w:val="32"/>
          <w:szCs w:val="32"/>
        </w:rPr>
        <w:t>2.项目立项和资金申报的依据。工作需要，工作性质决定。</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lang w:val="zh-CN"/>
        </w:rPr>
        <w:t>3.资金管理办法制定情况。资金</w:t>
      </w:r>
      <w:r>
        <w:rPr>
          <w:rFonts w:eastAsia="仿宋_GB2312"/>
          <w:sz w:val="32"/>
          <w:szCs w:val="32"/>
        </w:rPr>
        <w:t>使用</w:t>
      </w:r>
      <w:r>
        <w:rPr>
          <w:rFonts w:eastAsia="仿宋_GB2312"/>
          <w:sz w:val="32"/>
          <w:szCs w:val="32"/>
          <w:lang w:val="zh-CN"/>
        </w:rPr>
        <w:t>按照财务制度管理办法执行，资金来源由市财政局在年初预算安排。</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4.资金分配的原则及考虑因素。202</w:t>
      </w:r>
      <w:r>
        <w:rPr>
          <w:rFonts w:hint="eastAsia" w:eastAsia="仿宋_GB2312"/>
          <w:sz w:val="32"/>
          <w:szCs w:val="32"/>
        </w:rPr>
        <w:t>1</w:t>
      </w:r>
      <w:r>
        <w:rPr>
          <w:rFonts w:eastAsia="仿宋_GB2312"/>
          <w:sz w:val="32"/>
          <w:szCs w:val="32"/>
        </w:rPr>
        <w:t>年财政预算资金17.52万元，用于120平台调度员夜班补助。</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（二）项目绩效目标</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项目主要内容。</w:t>
      </w:r>
      <w:r>
        <w:rPr>
          <w:rFonts w:eastAsia="仿宋_GB2312"/>
          <w:sz w:val="32"/>
          <w:szCs w:val="32"/>
        </w:rPr>
        <w:t>120平台调度员夜班补助。</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2</w:t>
      </w:r>
      <w:r>
        <w:rPr>
          <w:rFonts w:hint="eastAsia" w:eastAsia="仿宋_GB2312"/>
          <w:sz w:val="32"/>
          <w:szCs w:val="32"/>
          <w:lang w:val="zh-CN"/>
        </w:rPr>
        <w:t>.</w:t>
      </w:r>
      <w:r>
        <w:rPr>
          <w:rFonts w:eastAsia="仿宋_GB2312"/>
          <w:sz w:val="32"/>
          <w:szCs w:val="32"/>
          <w:lang w:val="zh-CN"/>
        </w:rPr>
        <w:t>项目绩效目标。</w:t>
      </w:r>
      <w:r>
        <w:rPr>
          <w:rFonts w:eastAsia="仿宋_GB2312"/>
          <w:sz w:val="32"/>
          <w:szCs w:val="32"/>
        </w:rPr>
        <w:t>职工收入保持稳定，紧急救援调度工作持续实施。</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lang w:val="zh-CN"/>
        </w:rPr>
        <w:t>项目绩效自评</w:t>
      </w:r>
      <w:r>
        <w:rPr>
          <w:rFonts w:hint="eastAsia" w:eastAsia="仿宋_GB2312"/>
          <w:sz w:val="32"/>
          <w:szCs w:val="32"/>
          <w:lang w:val="zh-CN"/>
        </w:rPr>
        <w:t>由单位绩效评价小组集中进行</w:t>
      </w:r>
      <w:r>
        <w:rPr>
          <w:rFonts w:eastAsia="仿宋_GB2312"/>
          <w:sz w:val="32"/>
          <w:szCs w:val="32"/>
          <w:lang w:val="zh-CN"/>
        </w:rPr>
        <w:t>自评，对照支出评价指标体系，采用比较法</w:t>
      </w:r>
      <w:r>
        <w:rPr>
          <w:rFonts w:eastAsia="仿宋_GB2312"/>
          <w:sz w:val="32"/>
          <w:szCs w:val="32"/>
        </w:rPr>
        <w:t>来自评项目绩效完成情况。</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黑体"/>
          <w:sz w:val="32"/>
          <w:szCs w:val="32"/>
        </w:rPr>
        <w:t>二、项目资金申报及使用情况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color w:val="FF0000"/>
          <w:sz w:val="32"/>
          <w:szCs w:val="32"/>
          <w:lang w:val="zh-CN"/>
        </w:rPr>
      </w:pPr>
      <w:r>
        <w:rPr>
          <w:rFonts w:hint="eastAsia" w:ascii="楷体" w:hAnsi="楷体" w:eastAsia="楷体" w:cs="楷体"/>
          <w:b w:val="0"/>
          <w:bCs/>
          <w:color w:val="auto"/>
          <w:sz w:val="32"/>
          <w:szCs w:val="32"/>
          <w:highlight w:val="none"/>
          <w:lang w:val="zh-CN"/>
        </w:rPr>
        <w:t>（一）项目资金申报及批复情况。</w:t>
      </w:r>
      <w:r>
        <w:rPr>
          <w:rFonts w:eastAsia="仿宋_GB2312"/>
          <w:sz w:val="32"/>
          <w:szCs w:val="32"/>
        </w:rPr>
        <w:t>我单位根据202</w:t>
      </w:r>
      <w:r>
        <w:rPr>
          <w:rFonts w:hint="eastAsia" w:eastAsia="仿宋_GB2312"/>
          <w:sz w:val="32"/>
          <w:szCs w:val="32"/>
        </w:rPr>
        <w:t>1</w:t>
      </w:r>
      <w:r>
        <w:rPr>
          <w:rFonts w:eastAsia="仿宋_GB2312"/>
          <w:sz w:val="32"/>
          <w:szCs w:val="32"/>
        </w:rPr>
        <w:t>年将开展的具体工作，</w:t>
      </w:r>
      <w:r>
        <w:rPr>
          <w:rFonts w:eastAsia="仿宋_GB2312"/>
          <w:sz w:val="32"/>
          <w:szCs w:val="32"/>
          <w:lang w:val="zh-CN"/>
        </w:rPr>
        <w:t>编制了</w:t>
      </w:r>
      <w:r>
        <w:rPr>
          <w:rFonts w:eastAsia="仿宋_GB2312"/>
          <w:sz w:val="32"/>
          <w:szCs w:val="32"/>
        </w:rPr>
        <w:t>项目</w:t>
      </w:r>
      <w:r>
        <w:rPr>
          <w:rFonts w:eastAsia="仿宋_GB2312"/>
          <w:sz w:val="32"/>
          <w:szCs w:val="32"/>
          <w:lang w:val="zh-CN"/>
        </w:rPr>
        <w:t>预算，市财政局</w:t>
      </w:r>
      <w:r>
        <w:rPr>
          <w:rFonts w:eastAsia="仿宋_GB2312"/>
          <w:sz w:val="32"/>
          <w:szCs w:val="32"/>
        </w:rPr>
        <w:t>下达120平台调度员夜班补助</w:t>
      </w:r>
      <w:r>
        <w:rPr>
          <w:rFonts w:eastAsia="仿宋_GB2312"/>
          <w:sz w:val="32"/>
          <w:szCs w:val="32"/>
          <w:lang w:val="zh-CN"/>
        </w:rPr>
        <w:t>预算</w:t>
      </w:r>
      <w:r>
        <w:rPr>
          <w:rFonts w:eastAsia="仿宋_GB2312"/>
          <w:sz w:val="32"/>
          <w:szCs w:val="32"/>
        </w:rPr>
        <w:t>17.52</w:t>
      </w:r>
      <w:r>
        <w:rPr>
          <w:rFonts w:eastAsia="仿宋_GB2312"/>
          <w:sz w:val="32"/>
          <w:szCs w:val="32"/>
          <w:lang w:val="zh-CN"/>
        </w:rPr>
        <w:t>万元。</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资金计划</w:t>
      </w:r>
      <w:r>
        <w:rPr>
          <w:rFonts w:eastAsia="仿宋_GB2312"/>
          <w:sz w:val="32"/>
          <w:szCs w:val="32"/>
        </w:rPr>
        <w:t>及到位情况</w:t>
      </w:r>
      <w:r>
        <w:rPr>
          <w:rFonts w:eastAsia="仿宋_GB2312"/>
          <w:sz w:val="32"/>
          <w:szCs w:val="32"/>
          <w:lang w:val="zh-CN"/>
        </w:rPr>
        <w:t>。</w:t>
      </w:r>
      <w:r>
        <w:rPr>
          <w:rFonts w:eastAsia="仿宋_GB2312"/>
          <w:sz w:val="32"/>
          <w:szCs w:val="32"/>
        </w:rPr>
        <w:t>本项目预算指标为17.52万元，截至202</w:t>
      </w:r>
      <w:r>
        <w:rPr>
          <w:rFonts w:hint="eastAsia" w:eastAsia="仿宋_GB2312"/>
          <w:sz w:val="32"/>
          <w:szCs w:val="32"/>
        </w:rPr>
        <w:t>1</w:t>
      </w:r>
      <w:r>
        <w:rPr>
          <w:rFonts w:eastAsia="仿宋_GB2312"/>
          <w:sz w:val="32"/>
          <w:szCs w:val="32"/>
        </w:rPr>
        <w:t>年底，市财政实际拨付资金17.52万元，资金拨付率为100%。</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hint="eastAsia" w:eastAsia="仿宋_GB2312"/>
          <w:sz w:val="32"/>
          <w:szCs w:val="32"/>
          <w:lang w:val="zh-CN"/>
        </w:rPr>
        <w:t>2.</w:t>
      </w:r>
      <w:r>
        <w:rPr>
          <w:rFonts w:eastAsia="仿宋_GB2312"/>
          <w:sz w:val="32"/>
          <w:szCs w:val="32"/>
          <w:lang w:val="zh-CN"/>
        </w:rPr>
        <w:t>资金使用</w:t>
      </w:r>
      <w:r>
        <w:rPr>
          <w:rFonts w:eastAsia="楷体_GB2312"/>
          <w:sz w:val="32"/>
          <w:szCs w:val="32"/>
          <w:lang w:val="zh-CN"/>
        </w:rPr>
        <w:t>。</w:t>
      </w:r>
      <w:r>
        <w:rPr>
          <w:rFonts w:eastAsia="仿宋_GB2312"/>
          <w:sz w:val="32"/>
          <w:szCs w:val="32"/>
        </w:rPr>
        <w:t>该项目全年累计支出17.52万元，主要用于120平台调度员夜班补助。在项目执行过程中，严格按照预算批复执行，不随意改变该项目资金支付范围、支付标准，严控预算执行进度和经费支出情况，确保资金使用安全、规范、高效。</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640" w:firstLineChars="200"/>
        <w:textAlignment w:val="auto"/>
        <w:rPr>
          <w:rFonts w:eastAsia="楷体_GB2312"/>
          <w:b/>
          <w:sz w:val="32"/>
          <w:szCs w:val="32"/>
          <w:lang w:val="zh-CN"/>
        </w:rPr>
      </w:pPr>
      <w:r>
        <w:rPr>
          <w:rFonts w:eastAsia="仿宋_GB2312"/>
          <w:sz w:val="32"/>
          <w:szCs w:val="32"/>
        </w:rPr>
        <w:t>我单位严格按照财务管理相关制度规定和财政批复要求，</w:t>
      </w:r>
      <w:r>
        <w:rPr>
          <w:rFonts w:eastAsia="仿宋_GB2312"/>
          <w:color w:val="000000"/>
          <w:kern w:val="0"/>
          <w:sz w:val="32"/>
          <w:szCs w:val="32"/>
        </w:rPr>
        <w:t>做好项目实施和监管，</w:t>
      </w:r>
      <w:r>
        <w:rPr>
          <w:rFonts w:eastAsia="仿宋_GB2312"/>
          <w:sz w:val="32"/>
          <w:szCs w:val="32"/>
        </w:rPr>
        <w:t>及时、规范进行账务处理及会计核算</w:t>
      </w:r>
      <w:r>
        <w:rPr>
          <w:rFonts w:eastAsia="仿宋_GB2312"/>
          <w:color w:val="000000"/>
          <w:kern w:val="0"/>
          <w:sz w:val="32"/>
          <w:szCs w:val="32"/>
        </w:rPr>
        <w:t>，切实做到专款专用，最大可能发挥专项资金作用。</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黑体"/>
          <w:sz w:val="32"/>
          <w:szCs w:val="32"/>
        </w:rPr>
        <w:t>三、项目实施及管理情况</w:t>
      </w:r>
    </w:p>
    <w:p>
      <w:pPr>
        <w:pageBreakBefore w:val="0"/>
        <w:kinsoku/>
        <w:wordWrap/>
        <w:overflowPunct/>
        <w:topLinePunct w:val="0"/>
        <w:bidi w:val="0"/>
        <w:adjustRightInd w:val="0"/>
        <w:snapToGrid w:val="0"/>
        <w:spacing w:line="576" w:lineRule="exact"/>
        <w:ind w:firstLine="640" w:firstLineChars="200"/>
        <w:textAlignment w:val="auto"/>
        <w:rPr>
          <w:rFonts w:eastAsia="仿宋"/>
          <w:sz w:val="32"/>
          <w:szCs w:val="32"/>
        </w:rPr>
      </w:pPr>
      <w:r>
        <w:rPr>
          <w:rFonts w:eastAsia="仿宋_GB2312"/>
          <w:sz w:val="32"/>
          <w:szCs w:val="32"/>
        </w:rPr>
        <w:t>我单位严格遵守相关法律法规规定，按照单位财务管理审批流程办理款项支付，</w:t>
      </w:r>
      <w:r>
        <w:rPr>
          <w:rFonts w:eastAsia="仿宋"/>
          <w:sz w:val="32"/>
          <w:szCs w:val="32"/>
        </w:rPr>
        <w:t>专款专用，无截留，无挪用。</w:t>
      </w:r>
      <w:r>
        <w:rPr>
          <w:rFonts w:eastAsia="仿宋_GB2312"/>
          <w:sz w:val="32"/>
          <w:szCs w:val="32"/>
        </w:rPr>
        <w:t xml:space="preserve">同时经费管理主动接受监察组和审计部门的监督检查，对预算执行实行动态监控，无违纪违法现象。 </w:t>
      </w:r>
    </w:p>
    <w:p>
      <w:pPr>
        <w:pageBreakBefore w:val="0"/>
        <w:kinsoku/>
        <w:wordWrap/>
        <w:overflowPunct/>
        <w:topLinePunct w:val="0"/>
        <w:bidi w:val="0"/>
        <w:adjustRightInd w:val="0"/>
        <w:snapToGrid w:val="0"/>
        <w:spacing w:line="576" w:lineRule="exact"/>
        <w:ind w:firstLine="640" w:firstLineChars="200"/>
        <w:textAlignment w:val="auto"/>
        <w:rPr>
          <w:rFonts w:eastAsia="仿宋"/>
          <w:sz w:val="32"/>
          <w:szCs w:val="32"/>
        </w:rPr>
      </w:pPr>
      <w:r>
        <w:rPr>
          <w:rFonts w:eastAsia="黑体"/>
          <w:sz w:val="32"/>
          <w:szCs w:val="32"/>
        </w:rPr>
        <w:t>四、项目绩效情况</w:t>
      </w:r>
      <w:r>
        <w:rPr>
          <w:rFonts w:eastAsia="仿宋_GB2312"/>
          <w:sz w:val="32"/>
          <w:szCs w:val="32"/>
          <w:lang w:val="zh-CN"/>
        </w:rPr>
        <w:tab/>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（一）项目完成情况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lang w:val="zh-CN"/>
        </w:rPr>
      </w:pPr>
      <w:r>
        <w:rPr>
          <w:rFonts w:eastAsia="仿宋_GB2312"/>
          <w:sz w:val="32"/>
          <w:szCs w:val="32"/>
          <w:lang w:val="zh-CN"/>
        </w:rPr>
        <w:t>截止评价时点的任务量完成、质量标准、进度计划、成本控制目标的实现程度进行评价分析为优。</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（二）项目效益情况</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rPr>
        <w:t>职工收入保持稳定，紧急救援调度工作持续实施。</w:t>
      </w:r>
    </w:p>
    <w:p>
      <w:pPr>
        <w:pageBreakBefore w:val="0"/>
        <w:kinsoku/>
        <w:wordWrap/>
        <w:overflowPunct/>
        <w:topLinePunct w:val="0"/>
        <w:bidi w:val="0"/>
        <w:adjustRightInd w:val="0"/>
        <w:snapToGrid w:val="0"/>
        <w:spacing w:line="576" w:lineRule="exact"/>
        <w:ind w:firstLine="640" w:firstLineChars="200"/>
        <w:textAlignment w:val="auto"/>
        <w:rPr>
          <w:rFonts w:eastAsia="黑体"/>
          <w:sz w:val="32"/>
          <w:szCs w:val="32"/>
        </w:rPr>
      </w:pPr>
      <w:r>
        <w:rPr>
          <w:rFonts w:eastAsia="黑体"/>
          <w:sz w:val="32"/>
          <w:szCs w:val="32"/>
        </w:rPr>
        <w:t>五、评价结论及建议</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rPr>
        <w:t>通过项目实施，保障了调度平台工作正常运行。</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eastAsia="仿宋_GB2312"/>
          <w:sz w:val="32"/>
          <w:szCs w:val="32"/>
        </w:rPr>
        <w:t>无。</w:t>
      </w:r>
    </w:p>
    <w:p>
      <w:pPr>
        <w:pageBreakBefore w:val="0"/>
        <w:kinsoku/>
        <w:wordWrap/>
        <w:overflowPunct/>
        <w:topLinePunct w:val="0"/>
        <w:bidi w:val="0"/>
        <w:spacing w:line="576" w:lineRule="exact"/>
        <w:ind w:firstLine="640" w:firstLineChars="200"/>
        <w:textAlignment w:val="auto"/>
        <w:outlineLvl w:val="2"/>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（三）相关建议</w:t>
      </w:r>
    </w:p>
    <w:p>
      <w:pPr>
        <w:pageBreakBefore w:val="0"/>
        <w:kinsoku/>
        <w:wordWrap/>
        <w:overflowPunct/>
        <w:topLinePunct w:val="0"/>
        <w:bidi w:val="0"/>
        <w:adjustRightInd w:val="0"/>
        <w:snapToGrid w:val="0"/>
        <w:spacing w:line="576" w:lineRule="exact"/>
        <w:ind w:firstLine="640" w:firstLineChars="200"/>
        <w:textAlignment w:val="auto"/>
        <w:rPr>
          <w:rFonts w:eastAsia="仿宋_GB2312"/>
          <w:sz w:val="32"/>
          <w:szCs w:val="32"/>
        </w:rPr>
      </w:pPr>
      <w:r>
        <w:rPr>
          <w:rFonts w:hint="eastAsia" w:eastAsia="仿宋_GB2312"/>
          <w:sz w:val="32"/>
          <w:szCs w:val="32"/>
        </w:rPr>
        <w:t>无。</w:t>
      </w:r>
    </w:p>
    <w:p>
      <w:pPr>
        <w:snapToGrid w:val="0"/>
        <w:spacing w:line="560" w:lineRule="exact"/>
        <w:jc w:val="both"/>
        <w:rPr>
          <w:rFonts w:hint="eastAsia" w:eastAsia="仿宋_GB2312"/>
          <w:color w:val="000000"/>
          <w:sz w:val="32"/>
          <w:szCs w:val="32"/>
        </w:rPr>
      </w:pPr>
    </w:p>
    <w:p>
      <w:pPr>
        <w:pStyle w:val="6"/>
        <w:rPr>
          <w:rFonts w:hint="eastAsia" w:eastAsia="仿宋_GB2312"/>
          <w:color w:val="000000"/>
          <w:sz w:val="32"/>
          <w:szCs w:val="32"/>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6"/>
        <w:pageBreakBefore w:val="0"/>
        <w:kinsoku/>
        <w:wordWrap/>
        <w:overflowPunct/>
        <w:topLinePunct w:val="0"/>
        <w:bidi w:val="0"/>
        <w:spacing w:line="576" w:lineRule="exact"/>
        <w:textAlignment w:val="auto"/>
        <w:rPr>
          <w:rFonts w:hint="eastAsia" w:hAnsi="宋体" w:cs="宋体"/>
          <w:color w:val="auto"/>
          <w:kern w:val="0"/>
          <w:sz w:val="32"/>
          <w:szCs w:val="32"/>
          <w:highlight w:val="none"/>
          <w:shd w:val="clear" w:color="auto" w:fill="FFFFFF"/>
          <w:lang w:val="en-US" w:eastAsia="zh-CN"/>
        </w:rPr>
      </w:pPr>
      <w:bookmarkStart w:id="75" w:name="_Toc25787"/>
      <w:r>
        <w:rPr>
          <w:rFonts w:hint="eastAsia" w:hAnsi="宋体" w:cs="宋体"/>
          <w:color w:val="auto"/>
          <w:kern w:val="0"/>
          <w:sz w:val="32"/>
          <w:szCs w:val="32"/>
          <w:highlight w:val="none"/>
          <w:shd w:val="clear" w:color="auto" w:fill="FFFFFF"/>
          <w:lang w:val="zh-CN"/>
        </w:rPr>
        <w:t>附</w:t>
      </w:r>
      <w:r>
        <w:rPr>
          <w:rFonts w:hint="eastAsia" w:hAnsi="宋体" w:cs="宋体"/>
          <w:color w:val="auto"/>
          <w:kern w:val="0"/>
          <w:sz w:val="32"/>
          <w:szCs w:val="32"/>
          <w:highlight w:val="none"/>
          <w:shd w:val="clear" w:color="auto" w:fill="FFFFFF"/>
          <w:lang w:val="en-US" w:eastAsia="zh-CN"/>
        </w:rPr>
        <w:t>表</w:t>
      </w:r>
      <w:bookmarkEnd w:id="75"/>
    </w:p>
    <w:tbl>
      <w:tblPr>
        <w:tblStyle w:val="13"/>
        <w:tblpPr w:leftFromText="180" w:rightFromText="180" w:vertAnchor="text" w:horzAnchor="page" w:tblpX="1630" w:tblpY="551"/>
        <w:tblOverlap w:val="never"/>
        <w:tblW w:w="53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798"/>
        <w:gridCol w:w="1447"/>
        <w:gridCol w:w="1926"/>
        <w:gridCol w:w="1333"/>
        <w:gridCol w:w="2394"/>
        <w:gridCol w:w="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21"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76" w:name="_Toc15396618"/>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c>
          <w:tcPr>
            <w:tcW w:w="178"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45"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项目名称</w:t>
            </w:r>
          </w:p>
        </w:tc>
        <w:tc>
          <w:tcPr>
            <w:tcW w:w="38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医疗卫生紧急救援工作经费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254"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主管部门</w:t>
            </w:r>
          </w:p>
        </w:tc>
        <w:tc>
          <w:tcPr>
            <w:tcW w:w="1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广元市卫生健康委员会</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实施单位</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广元市紧急救援中心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341" w:hRule="atLeast"/>
        </w:trPr>
        <w:tc>
          <w:tcPr>
            <w:tcW w:w="9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21.79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555" w:hRule="atLeast"/>
        </w:trPr>
        <w:tc>
          <w:tcPr>
            <w:tcW w:w="9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21.79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341" w:hRule="atLeast"/>
        </w:trPr>
        <w:tc>
          <w:tcPr>
            <w:tcW w:w="9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217"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2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797"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22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各网络医院院前急救技能、服务质量皆有所提高，社会公众对急救的应急反应能力同比增强，对急救医学常识也逐步有所了解和提高。</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院前急救队伍整体水平、公众对急救知识的知晓度明显提高。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693" w:hRule="atLeast"/>
        </w:trPr>
        <w:tc>
          <w:tcPr>
            <w:tcW w:w="50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4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院前急救专业人员技能培训人数</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300人</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重点人群急救常识培训人数</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1000人</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1000人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社会公众急救知识宣传人数</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7万人</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7万人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97家网络医院监督、督导数</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55%</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院前急救专业人员培训合格率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全市院前急救队伍整体水平</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在上年基础上有所提升</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80"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  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院前急救应急反应能力</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有所提高</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80"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  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社会公众对急救知识的知晓率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逐步提高</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530" w:hRule="atLeast"/>
        </w:trPr>
        <w:tc>
          <w:tcPr>
            <w:tcW w:w="50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参加培训院前急救专业人员满意度</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≥90%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530" w:hRule="atLeast"/>
        </w:trPr>
        <w:tc>
          <w:tcPr>
            <w:tcW w:w="504"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kern w:val="2"/>
                <w:sz w:val="24"/>
                <w:szCs w:val="24"/>
                <w:u w:val="none"/>
                <w:lang w:val="en-US" w:eastAsia="zh-CN" w:bidi="ar-SA"/>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参加培训公众满意度</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≥80%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675" w:hRule="atLeast"/>
        </w:trPr>
        <w:tc>
          <w:tcPr>
            <w:tcW w:w="4821"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45"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项目名称</w:t>
            </w:r>
          </w:p>
        </w:tc>
        <w:tc>
          <w:tcPr>
            <w:tcW w:w="38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120指挥调度系统运行维护费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254"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主管部门</w:t>
            </w:r>
          </w:p>
        </w:tc>
        <w:tc>
          <w:tcPr>
            <w:tcW w:w="1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广元市卫生健康委员会</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实施单位</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广元市紧急救援中心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341" w:hRule="atLeast"/>
        </w:trPr>
        <w:tc>
          <w:tcPr>
            <w:tcW w:w="9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555" w:hRule="atLeast"/>
        </w:trPr>
        <w:tc>
          <w:tcPr>
            <w:tcW w:w="9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341" w:hRule="atLeast"/>
        </w:trPr>
        <w:tc>
          <w:tcPr>
            <w:tcW w:w="9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217"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2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797"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22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顺利完成全年指挥调度工作，无差错事故发生。</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120指挥调度平台正常运行，响应及时、准确。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693" w:hRule="atLeast"/>
        </w:trPr>
        <w:tc>
          <w:tcPr>
            <w:tcW w:w="504" w:type="pct"/>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436"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事故受理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事故处理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投诉受理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投诉处理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责任事故</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责任投诉</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8" w:type="pct"/>
          <w:trHeight w:val="415"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质量指标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有效调度误差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≤0.1%</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sz w:val="24"/>
                <w:szCs w:val="24"/>
                <w:u w:val="none"/>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8" w:type="pct"/>
          <w:trHeight w:val="480"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  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患者对120急救电话知晓率</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逐步提高</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8" w:type="pct"/>
          <w:trHeight w:val="480" w:hRule="atLeast"/>
        </w:trPr>
        <w:tc>
          <w:tcPr>
            <w:tcW w:w="504"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79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紧急救援调度工作持续实施</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长期</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全天24小时持续工作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8" w:type="pct"/>
          <w:trHeight w:val="530" w:hRule="atLeast"/>
        </w:trPr>
        <w:tc>
          <w:tcPr>
            <w:tcW w:w="504" w:type="pct"/>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791"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5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呼救者满意度</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在上年基础上有所提高</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在上年基础上有所提高（呼救者满意度≥90%）</w:t>
            </w:r>
          </w:p>
        </w:tc>
      </w:tr>
    </w:tbl>
    <w:p>
      <w:pPr>
        <w:spacing w:line="600" w:lineRule="exact"/>
        <w:jc w:val="both"/>
        <w:outlineLvl w:val="0"/>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tbl>
      <w:tblPr>
        <w:tblStyle w:val="13"/>
        <w:tblpPr w:leftFromText="180" w:rightFromText="180" w:vertAnchor="text" w:horzAnchor="page" w:tblpX="1630" w:tblpY="551"/>
        <w:tblOverlap w:val="never"/>
        <w:tblW w:w="53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829"/>
        <w:gridCol w:w="1500"/>
        <w:gridCol w:w="1996"/>
        <w:gridCol w:w="1385"/>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项目名称</w:t>
            </w:r>
          </w:p>
        </w:tc>
        <w:tc>
          <w:tcPr>
            <w:tcW w:w="40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 xml:space="preserve"> 120平台调度员夜班补助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主管部门</w:t>
            </w:r>
          </w:p>
        </w:tc>
        <w:tc>
          <w:tcPr>
            <w:tcW w:w="1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广元市卫生健康委员会</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实施单位</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eastAsia="zh-CN"/>
              </w:rPr>
              <w:t>广元市紧急救援中心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17.52</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17.52</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2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2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236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保障调度平台工作正常运行，顺利完成全年工作任务。</w:t>
            </w:r>
          </w:p>
        </w:tc>
        <w:tc>
          <w:tcPr>
            <w:tcW w:w="211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调度平台工作正常运行。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22" w:type="pct"/>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453"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820"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09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22"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8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09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完成任务数占计划数比例</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22"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时效</w:t>
            </w:r>
            <w:r>
              <w:rPr>
                <w:rFonts w:hint="eastAsia" w:ascii="宋体" w:hAnsi="宋体" w:eastAsia="宋体" w:cs="宋体"/>
                <w:i w:val="0"/>
                <w:color w:val="auto"/>
                <w:kern w:val="0"/>
                <w:sz w:val="24"/>
                <w:szCs w:val="24"/>
                <w:u w:val="none"/>
                <w:lang w:val="en-US" w:eastAsia="zh-CN" w:bidi="ar"/>
              </w:rPr>
              <w:t>指标</w:t>
            </w:r>
          </w:p>
        </w:tc>
        <w:tc>
          <w:tcPr>
            <w:tcW w:w="109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完成时间</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2021年12月底前</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2"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82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经济</w:t>
            </w:r>
            <w:r>
              <w:rPr>
                <w:rFonts w:hint="eastAsia" w:ascii="宋体" w:hAnsi="宋体" w:eastAsia="宋体" w:cs="宋体"/>
                <w:i w:val="0"/>
                <w:color w:val="auto"/>
                <w:kern w:val="0"/>
                <w:sz w:val="24"/>
                <w:szCs w:val="24"/>
                <w:u w:val="none"/>
                <w:lang w:val="en-US" w:eastAsia="zh-CN" w:bidi="ar"/>
              </w:rPr>
              <w:t>效益  指标</w:t>
            </w:r>
          </w:p>
        </w:tc>
        <w:tc>
          <w:tcPr>
            <w:tcW w:w="109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职工收入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保持稳定</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保持稳定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2" w:type="pct"/>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3" w:type="pct"/>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820"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可持续影响</w:t>
            </w:r>
            <w:r>
              <w:rPr>
                <w:rFonts w:hint="eastAsia" w:ascii="宋体" w:hAnsi="宋体" w:eastAsia="宋体" w:cs="宋体"/>
                <w:i w:val="0"/>
                <w:color w:val="auto"/>
                <w:kern w:val="0"/>
                <w:sz w:val="24"/>
                <w:szCs w:val="24"/>
                <w:u w:val="none"/>
                <w:lang w:val="en-US" w:eastAsia="zh-CN" w:bidi="ar"/>
              </w:rPr>
              <w:t xml:space="preserve"> 指标</w:t>
            </w:r>
          </w:p>
        </w:tc>
        <w:tc>
          <w:tcPr>
            <w:tcW w:w="109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紧急救援调度工作持续实施</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长期</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长期</w:t>
            </w:r>
          </w:p>
        </w:tc>
      </w:tr>
    </w:tbl>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7" w:name="_Toc1372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2"/>
      <w:bookmarkEnd w:id="76"/>
      <w:bookmarkEnd w:id="77"/>
      <w:bookmarkStart w:id="78" w:name="_Toc16822"/>
      <w:bookmarkStart w:id="79"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78"/>
      <w:bookmarkEnd w:id="79"/>
    </w:p>
    <w:p>
      <w:pPr>
        <w:pStyle w:val="4"/>
        <w:rPr>
          <w:rFonts w:ascii="仿宋" w:hAnsi="仿宋" w:eastAsia="仿宋"/>
          <w:color w:val="auto"/>
          <w:highlight w:val="none"/>
        </w:rPr>
      </w:pPr>
      <w:bookmarkStart w:id="80" w:name="_Toc15396620"/>
      <w:bookmarkStart w:id="81" w:name="_Toc17889"/>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80"/>
      <w:bookmarkEnd w:id="81"/>
    </w:p>
    <w:p>
      <w:pPr>
        <w:pStyle w:val="4"/>
        <w:rPr>
          <w:rFonts w:ascii="仿宋" w:hAnsi="仿宋" w:eastAsia="仿宋"/>
          <w:color w:val="auto"/>
          <w:highlight w:val="none"/>
        </w:rPr>
      </w:pPr>
      <w:bookmarkStart w:id="82" w:name="_Toc23371"/>
      <w:bookmarkStart w:id="83"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82"/>
      <w:bookmarkEnd w:id="83"/>
    </w:p>
    <w:p>
      <w:pPr>
        <w:pStyle w:val="4"/>
        <w:rPr>
          <w:rFonts w:ascii="仿宋" w:hAnsi="仿宋" w:eastAsia="仿宋"/>
          <w:b w:val="0"/>
          <w:color w:val="auto"/>
          <w:highlight w:val="none"/>
        </w:rPr>
      </w:pPr>
      <w:bookmarkStart w:id="84" w:name="_Toc9154"/>
      <w:bookmarkStart w:id="85"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84"/>
      <w:bookmarkEnd w:id="85"/>
    </w:p>
    <w:p>
      <w:pPr>
        <w:pStyle w:val="4"/>
        <w:rPr>
          <w:rStyle w:val="26"/>
          <w:rFonts w:ascii="仿宋" w:hAnsi="仿宋" w:eastAsia="仿宋"/>
          <w:b w:val="0"/>
          <w:bCs w:val="0"/>
          <w:color w:val="auto"/>
          <w:highlight w:val="none"/>
        </w:rPr>
      </w:pPr>
      <w:bookmarkStart w:id="86" w:name="_Toc9451"/>
      <w:bookmarkStart w:id="87"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86"/>
      <w:bookmarkEnd w:id="87"/>
      <w:bookmarkStart w:id="88" w:name="_Toc15396624"/>
    </w:p>
    <w:p>
      <w:pPr>
        <w:pStyle w:val="4"/>
        <w:rPr>
          <w:rFonts w:ascii="仿宋" w:hAnsi="仿宋" w:eastAsia="仿宋"/>
          <w:color w:val="auto"/>
          <w:highlight w:val="none"/>
        </w:rPr>
      </w:pPr>
      <w:bookmarkStart w:id="89" w:name="_Toc29617"/>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88"/>
      <w:bookmarkEnd w:id="89"/>
    </w:p>
    <w:p>
      <w:pPr>
        <w:pStyle w:val="4"/>
        <w:rPr>
          <w:rFonts w:ascii="仿宋" w:hAnsi="仿宋" w:eastAsia="仿宋"/>
          <w:color w:val="auto"/>
          <w:highlight w:val="none"/>
        </w:rPr>
      </w:pPr>
      <w:bookmarkStart w:id="90" w:name="_Toc10958"/>
      <w:bookmarkStart w:id="91"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90"/>
      <w:bookmarkEnd w:id="91"/>
    </w:p>
    <w:p>
      <w:pPr>
        <w:pStyle w:val="4"/>
        <w:rPr>
          <w:rFonts w:ascii="仿宋" w:hAnsi="仿宋" w:eastAsia="仿宋"/>
          <w:color w:val="auto"/>
          <w:highlight w:val="none"/>
        </w:rPr>
      </w:pPr>
      <w:bookmarkStart w:id="92" w:name="_Toc3229"/>
      <w:bookmarkStart w:id="93"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92"/>
      <w:bookmarkEnd w:id="93"/>
    </w:p>
    <w:p>
      <w:pPr>
        <w:pStyle w:val="4"/>
        <w:rPr>
          <w:rFonts w:ascii="仿宋" w:hAnsi="仿宋" w:eastAsia="仿宋"/>
          <w:color w:val="auto"/>
          <w:highlight w:val="none"/>
        </w:rPr>
      </w:pPr>
      <w:bookmarkStart w:id="94" w:name="_Toc15723"/>
      <w:bookmarkStart w:id="95"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94"/>
      <w:bookmarkEnd w:id="95"/>
    </w:p>
    <w:p>
      <w:pPr>
        <w:pStyle w:val="4"/>
        <w:rPr>
          <w:rFonts w:ascii="仿宋" w:hAnsi="仿宋" w:eastAsia="仿宋"/>
          <w:color w:val="auto"/>
          <w:highlight w:val="none"/>
        </w:rPr>
      </w:pPr>
      <w:bookmarkStart w:id="96" w:name="_Toc9538"/>
      <w:bookmarkStart w:id="97"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96"/>
      <w:bookmarkEnd w:id="97"/>
    </w:p>
    <w:p>
      <w:pPr>
        <w:pStyle w:val="4"/>
        <w:rPr>
          <w:rFonts w:hint="eastAsia" w:ascii="仿宋" w:hAnsi="仿宋" w:eastAsia="仿宋"/>
          <w:color w:val="auto"/>
          <w:highlight w:val="none"/>
          <w:lang w:eastAsia="zh-CN"/>
        </w:rPr>
      </w:pPr>
      <w:bookmarkStart w:id="98" w:name="_Toc18474"/>
      <w:bookmarkStart w:id="99"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98"/>
      <w:bookmarkEnd w:id="99"/>
    </w:p>
    <w:p>
      <w:pPr>
        <w:pStyle w:val="4"/>
        <w:rPr>
          <w:rFonts w:hint="eastAsia" w:ascii="仿宋" w:hAnsi="仿宋" w:eastAsia="仿宋"/>
          <w:color w:val="auto"/>
          <w:highlight w:val="none"/>
          <w:lang w:eastAsia="zh-CN"/>
        </w:rPr>
      </w:pPr>
      <w:bookmarkStart w:id="100" w:name="_Toc13465"/>
      <w:bookmarkStart w:id="101"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100"/>
      <w:bookmarkEnd w:id="101"/>
    </w:p>
    <w:p>
      <w:pPr>
        <w:pStyle w:val="4"/>
        <w:rPr>
          <w:rStyle w:val="26"/>
          <w:rFonts w:hint="eastAsia" w:ascii="仿宋" w:hAnsi="仿宋" w:eastAsia="仿宋"/>
          <w:b w:val="0"/>
          <w:bCs w:val="0"/>
          <w:color w:val="auto"/>
          <w:highlight w:val="none"/>
          <w:lang w:eastAsia="zh-CN"/>
        </w:rPr>
      </w:pPr>
      <w:bookmarkStart w:id="102" w:name="_Toc653"/>
      <w:bookmarkStart w:id="103"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02"/>
      <w:bookmarkEnd w:id="103"/>
    </w:p>
    <w:p>
      <w:pPr>
        <w:rPr>
          <w:rFonts w:hint="eastAsia" w:eastAsia="仿宋"/>
          <w:color w:val="auto"/>
          <w:highlight w:val="none"/>
          <w:lang w:eastAsia="zh-CN"/>
        </w:rPr>
      </w:pPr>
      <w:bookmarkStart w:id="104" w:name="_Toc26333"/>
      <w:r>
        <w:rPr>
          <w:rStyle w:val="26"/>
          <w:rFonts w:hint="eastAsia" w:ascii="仿宋" w:hAnsi="仿宋" w:eastAsia="仿宋"/>
          <w:b w:val="0"/>
          <w:bCs w:val="0"/>
          <w:color w:val="auto"/>
          <w:highlight w:val="none"/>
          <w:lang w:eastAsia="zh-CN"/>
        </w:rPr>
        <w:t>十四、国有资本经营预算财政拨款支出决算表</w:t>
      </w:r>
      <w:bookmarkEnd w:id="104"/>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DNhMjhkOWY3OTNiYjkxMjEyZjk4MDgwODIyNmYifQ=="/>
  </w:docVars>
  <w:rsids>
    <w:rsidRoot w:val="00F1361C"/>
    <w:rsid w:val="000222C6"/>
    <w:rsid w:val="0002549F"/>
    <w:rsid w:val="000337FE"/>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707"/>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56"/>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361"/>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6DCE"/>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41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3B49C2"/>
    <w:rsid w:val="02E13AA4"/>
    <w:rsid w:val="02F57D5E"/>
    <w:rsid w:val="03457D28"/>
    <w:rsid w:val="03475C17"/>
    <w:rsid w:val="035148F2"/>
    <w:rsid w:val="041A2F36"/>
    <w:rsid w:val="047F0FEB"/>
    <w:rsid w:val="049F52DD"/>
    <w:rsid w:val="04DF7CDC"/>
    <w:rsid w:val="059A3C03"/>
    <w:rsid w:val="05C939C3"/>
    <w:rsid w:val="05F0113F"/>
    <w:rsid w:val="06283F97"/>
    <w:rsid w:val="0661733E"/>
    <w:rsid w:val="06A411DD"/>
    <w:rsid w:val="07AA322E"/>
    <w:rsid w:val="080F6B2A"/>
    <w:rsid w:val="082D5E12"/>
    <w:rsid w:val="085F6661"/>
    <w:rsid w:val="0865499C"/>
    <w:rsid w:val="0891490D"/>
    <w:rsid w:val="092B34F0"/>
    <w:rsid w:val="093D1B68"/>
    <w:rsid w:val="095F13EB"/>
    <w:rsid w:val="09E55D95"/>
    <w:rsid w:val="09F56E91"/>
    <w:rsid w:val="09F90AC1"/>
    <w:rsid w:val="0A2032A3"/>
    <w:rsid w:val="0B1862D5"/>
    <w:rsid w:val="0B81006F"/>
    <w:rsid w:val="0B8A37D8"/>
    <w:rsid w:val="0C3D62DE"/>
    <w:rsid w:val="0C9C5E46"/>
    <w:rsid w:val="0CB101B0"/>
    <w:rsid w:val="0D3627FC"/>
    <w:rsid w:val="0DDF6014"/>
    <w:rsid w:val="0E68641D"/>
    <w:rsid w:val="0E835B37"/>
    <w:rsid w:val="0E9E6512"/>
    <w:rsid w:val="0F713C26"/>
    <w:rsid w:val="0FA50C70"/>
    <w:rsid w:val="0FFD7CE6"/>
    <w:rsid w:val="10233173"/>
    <w:rsid w:val="103A670E"/>
    <w:rsid w:val="10516464"/>
    <w:rsid w:val="10C055FF"/>
    <w:rsid w:val="11390308"/>
    <w:rsid w:val="118107EC"/>
    <w:rsid w:val="11DD6519"/>
    <w:rsid w:val="120B0362"/>
    <w:rsid w:val="124B075F"/>
    <w:rsid w:val="1257647E"/>
    <w:rsid w:val="12A460C1"/>
    <w:rsid w:val="12EA45E4"/>
    <w:rsid w:val="12F70658"/>
    <w:rsid w:val="132F0080"/>
    <w:rsid w:val="14465682"/>
    <w:rsid w:val="14BD14B1"/>
    <w:rsid w:val="15065777"/>
    <w:rsid w:val="15D53161"/>
    <w:rsid w:val="16094BB9"/>
    <w:rsid w:val="16101FBA"/>
    <w:rsid w:val="163F7C75"/>
    <w:rsid w:val="169C0385"/>
    <w:rsid w:val="16B60684"/>
    <w:rsid w:val="16BB723D"/>
    <w:rsid w:val="17A21A62"/>
    <w:rsid w:val="17AE2DD4"/>
    <w:rsid w:val="18015F3F"/>
    <w:rsid w:val="180970F2"/>
    <w:rsid w:val="195F08E7"/>
    <w:rsid w:val="1B966EEF"/>
    <w:rsid w:val="1BB67DD4"/>
    <w:rsid w:val="1BB7372D"/>
    <w:rsid w:val="1BDD5610"/>
    <w:rsid w:val="1BE8440E"/>
    <w:rsid w:val="1BF44421"/>
    <w:rsid w:val="1C472A90"/>
    <w:rsid w:val="1C821221"/>
    <w:rsid w:val="1C904151"/>
    <w:rsid w:val="1CEF7E8F"/>
    <w:rsid w:val="1D155CEE"/>
    <w:rsid w:val="1E546BED"/>
    <w:rsid w:val="1F010B23"/>
    <w:rsid w:val="1F7C75E9"/>
    <w:rsid w:val="20390790"/>
    <w:rsid w:val="2039253E"/>
    <w:rsid w:val="20557672"/>
    <w:rsid w:val="20BA367F"/>
    <w:rsid w:val="20F57F95"/>
    <w:rsid w:val="21415B4F"/>
    <w:rsid w:val="21584BE6"/>
    <w:rsid w:val="221F57D3"/>
    <w:rsid w:val="224E1DD2"/>
    <w:rsid w:val="227A11B4"/>
    <w:rsid w:val="22B934C3"/>
    <w:rsid w:val="22D4654E"/>
    <w:rsid w:val="23841D23"/>
    <w:rsid w:val="23A94964"/>
    <w:rsid w:val="240371BF"/>
    <w:rsid w:val="241430A6"/>
    <w:rsid w:val="247907B0"/>
    <w:rsid w:val="25C741E6"/>
    <w:rsid w:val="2605139D"/>
    <w:rsid w:val="26D027C4"/>
    <w:rsid w:val="27842671"/>
    <w:rsid w:val="280E0B21"/>
    <w:rsid w:val="283006CB"/>
    <w:rsid w:val="28395C86"/>
    <w:rsid w:val="284721DD"/>
    <w:rsid w:val="289626E0"/>
    <w:rsid w:val="28AF6A4A"/>
    <w:rsid w:val="28BB13DD"/>
    <w:rsid w:val="29FD04D3"/>
    <w:rsid w:val="2A3D11C6"/>
    <w:rsid w:val="2ABE7A3E"/>
    <w:rsid w:val="2B0E42C4"/>
    <w:rsid w:val="2B9D2AF6"/>
    <w:rsid w:val="2BF44DCD"/>
    <w:rsid w:val="2BF832AE"/>
    <w:rsid w:val="2DCA0C7A"/>
    <w:rsid w:val="2DDA23E8"/>
    <w:rsid w:val="2DDF7BA3"/>
    <w:rsid w:val="2E5E071B"/>
    <w:rsid w:val="2EA74B17"/>
    <w:rsid w:val="2EFA178C"/>
    <w:rsid w:val="2F7672B5"/>
    <w:rsid w:val="30B46D73"/>
    <w:rsid w:val="31187869"/>
    <w:rsid w:val="319F7F4E"/>
    <w:rsid w:val="3218009F"/>
    <w:rsid w:val="32460CFB"/>
    <w:rsid w:val="3267118D"/>
    <w:rsid w:val="32D7063F"/>
    <w:rsid w:val="33B26D7A"/>
    <w:rsid w:val="34065430"/>
    <w:rsid w:val="34107FB9"/>
    <w:rsid w:val="347C43A7"/>
    <w:rsid w:val="3581195C"/>
    <w:rsid w:val="362C7F11"/>
    <w:rsid w:val="36BB123C"/>
    <w:rsid w:val="38504EF8"/>
    <w:rsid w:val="39736669"/>
    <w:rsid w:val="39AE70AB"/>
    <w:rsid w:val="39C02657"/>
    <w:rsid w:val="3A4F4F27"/>
    <w:rsid w:val="3BAB3E99"/>
    <w:rsid w:val="3C067E6D"/>
    <w:rsid w:val="3C0C0783"/>
    <w:rsid w:val="3D573988"/>
    <w:rsid w:val="3D6C1162"/>
    <w:rsid w:val="3E6B31D0"/>
    <w:rsid w:val="3ECF6B50"/>
    <w:rsid w:val="3EFB5137"/>
    <w:rsid w:val="3F795B0E"/>
    <w:rsid w:val="3F9F3A96"/>
    <w:rsid w:val="3FED33B6"/>
    <w:rsid w:val="3FF14602"/>
    <w:rsid w:val="40062B72"/>
    <w:rsid w:val="40350D30"/>
    <w:rsid w:val="403F6D22"/>
    <w:rsid w:val="40D851FA"/>
    <w:rsid w:val="40E87C4F"/>
    <w:rsid w:val="41327B1D"/>
    <w:rsid w:val="41B815A9"/>
    <w:rsid w:val="42D579EE"/>
    <w:rsid w:val="43CE1B59"/>
    <w:rsid w:val="44071E88"/>
    <w:rsid w:val="44517E5F"/>
    <w:rsid w:val="45167E24"/>
    <w:rsid w:val="4528655A"/>
    <w:rsid w:val="453C3DB3"/>
    <w:rsid w:val="45A71B75"/>
    <w:rsid w:val="45ED64B2"/>
    <w:rsid w:val="46703CDE"/>
    <w:rsid w:val="467E1768"/>
    <w:rsid w:val="46A60690"/>
    <w:rsid w:val="47C85DD2"/>
    <w:rsid w:val="481903DC"/>
    <w:rsid w:val="48F30C2D"/>
    <w:rsid w:val="493C27E9"/>
    <w:rsid w:val="494D2A33"/>
    <w:rsid w:val="496F39ED"/>
    <w:rsid w:val="49EC6ED6"/>
    <w:rsid w:val="49FF41D3"/>
    <w:rsid w:val="4A185DC8"/>
    <w:rsid w:val="4A6242BC"/>
    <w:rsid w:val="4A9B3E3B"/>
    <w:rsid w:val="4BAF05CC"/>
    <w:rsid w:val="4BBA1ED6"/>
    <w:rsid w:val="4BE068DB"/>
    <w:rsid w:val="4BE7029F"/>
    <w:rsid w:val="4BF6002B"/>
    <w:rsid w:val="4C327CBE"/>
    <w:rsid w:val="4C5C2889"/>
    <w:rsid w:val="4C9957E9"/>
    <w:rsid w:val="4CF341B4"/>
    <w:rsid w:val="4ECE2238"/>
    <w:rsid w:val="4F1813ED"/>
    <w:rsid w:val="4F5302E0"/>
    <w:rsid w:val="4FBD1F95"/>
    <w:rsid w:val="501646E0"/>
    <w:rsid w:val="50771FEF"/>
    <w:rsid w:val="51DB4B86"/>
    <w:rsid w:val="5275172D"/>
    <w:rsid w:val="52816DE8"/>
    <w:rsid w:val="52B256B5"/>
    <w:rsid w:val="54041F40"/>
    <w:rsid w:val="545253A1"/>
    <w:rsid w:val="55333C3E"/>
    <w:rsid w:val="55806E51"/>
    <w:rsid w:val="55937CA4"/>
    <w:rsid w:val="55C051C3"/>
    <w:rsid w:val="55F518CB"/>
    <w:rsid w:val="561C5C67"/>
    <w:rsid w:val="57945CD1"/>
    <w:rsid w:val="579751E7"/>
    <w:rsid w:val="5846521D"/>
    <w:rsid w:val="585F1E3B"/>
    <w:rsid w:val="58805469"/>
    <w:rsid w:val="592F477B"/>
    <w:rsid w:val="59F37048"/>
    <w:rsid w:val="5A4526C8"/>
    <w:rsid w:val="5A490FF5"/>
    <w:rsid w:val="5A6D0EBA"/>
    <w:rsid w:val="5AB04F68"/>
    <w:rsid w:val="5ABC4DF2"/>
    <w:rsid w:val="5B407AD6"/>
    <w:rsid w:val="5B95637D"/>
    <w:rsid w:val="5BDB3ECE"/>
    <w:rsid w:val="5BFC5EF3"/>
    <w:rsid w:val="5C0056E3"/>
    <w:rsid w:val="5CEE7C31"/>
    <w:rsid w:val="5D127688"/>
    <w:rsid w:val="5D616775"/>
    <w:rsid w:val="5D7C53FE"/>
    <w:rsid w:val="5DB06C95"/>
    <w:rsid w:val="5DCB591B"/>
    <w:rsid w:val="5DF07DA6"/>
    <w:rsid w:val="5E27164D"/>
    <w:rsid w:val="5EF37781"/>
    <w:rsid w:val="5F746C46"/>
    <w:rsid w:val="5F7E76BB"/>
    <w:rsid w:val="5F8D1984"/>
    <w:rsid w:val="5FFE462F"/>
    <w:rsid w:val="60502BD3"/>
    <w:rsid w:val="62683FE2"/>
    <w:rsid w:val="628A03FC"/>
    <w:rsid w:val="62966DA1"/>
    <w:rsid w:val="62CE0314"/>
    <w:rsid w:val="62D13935"/>
    <w:rsid w:val="63864720"/>
    <w:rsid w:val="63CF256B"/>
    <w:rsid w:val="64CA39A1"/>
    <w:rsid w:val="654A6052"/>
    <w:rsid w:val="659A02E9"/>
    <w:rsid w:val="66706789"/>
    <w:rsid w:val="673B1CC5"/>
    <w:rsid w:val="67AD6FA5"/>
    <w:rsid w:val="681D13CB"/>
    <w:rsid w:val="68D67EF7"/>
    <w:rsid w:val="6A2C3B47"/>
    <w:rsid w:val="6A8D1945"/>
    <w:rsid w:val="6AB27AB2"/>
    <w:rsid w:val="6AFD711C"/>
    <w:rsid w:val="6AFE3735"/>
    <w:rsid w:val="6C1825D5"/>
    <w:rsid w:val="6C2B67AC"/>
    <w:rsid w:val="6C4A05C8"/>
    <w:rsid w:val="6C97174C"/>
    <w:rsid w:val="6CBC7404"/>
    <w:rsid w:val="6CC03880"/>
    <w:rsid w:val="6CC83FFB"/>
    <w:rsid w:val="6D0C47C7"/>
    <w:rsid w:val="6D107750"/>
    <w:rsid w:val="6DE767DF"/>
    <w:rsid w:val="6E777A87"/>
    <w:rsid w:val="6EF43A91"/>
    <w:rsid w:val="70973D36"/>
    <w:rsid w:val="70AB3A18"/>
    <w:rsid w:val="70BF2CEA"/>
    <w:rsid w:val="71D364D0"/>
    <w:rsid w:val="71E73175"/>
    <w:rsid w:val="720E0702"/>
    <w:rsid w:val="72626BAE"/>
    <w:rsid w:val="72734D90"/>
    <w:rsid w:val="72A51015"/>
    <w:rsid w:val="72CF57BA"/>
    <w:rsid w:val="73073322"/>
    <w:rsid w:val="734D44D8"/>
    <w:rsid w:val="73A806E2"/>
    <w:rsid w:val="742D6E39"/>
    <w:rsid w:val="745F61D8"/>
    <w:rsid w:val="75412B9C"/>
    <w:rsid w:val="757045A2"/>
    <w:rsid w:val="75A77847"/>
    <w:rsid w:val="75C612F4"/>
    <w:rsid w:val="75D27C98"/>
    <w:rsid w:val="75D8190E"/>
    <w:rsid w:val="75DE03EB"/>
    <w:rsid w:val="762614A4"/>
    <w:rsid w:val="76A35191"/>
    <w:rsid w:val="779F7ADE"/>
    <w:rsid w:val="77C41863"/>
    <w:rsid w:val="77D00899"/>
    <w:rsid w:val="78F319C0"/>
    <w:rsid w:val="79E7B28D"/>
    <w:rsid w:val="7A28257D"/>
    <w:rsid w:val="7B744583"/>
    <w:rsid w:val="7B971768"/>
    <w:rsid w:val="7C775BAB"/>
    <w:rsid w:val="7CBC74DB"/>
    <w:rsid w:val="7CC2546A"/>
    <w:rsid w:val="7E2047FA"/>
    <w:rsid w:val="7F466F7C"/>
    <w:rsid w:val="7F761695"/>
    <w:rsid w:val="7F9F20EE"/>
    <w:rsid w:val="7FB4040F"/>
    <w:rsid w:val="7FC901EE"/>
    <w:rsid w:val="7FD814A9"/>
    <w:rsid w:val="7FFF168A"/>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lang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9228</Words>
  <Characters>9953</Characters>
  <Lines>61</Lines>
  <Paragraphs>17</Paragraphs>
  <TotalTime>1</TotalTime>
  <ScaleCrop>false</ScaleCrop>
  <LinksUpToDate>false</LinksUpToDate>
  <CharactersWithSpaces>10040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鲁西西</cp:lastModifiedBy>
  <cp:lastPrinted>2022-08-06T02:23:00Z</cp:lastPrinted>
  <dcterms:modified xsi:type="dcterms:W3CDTF">2022-09-30T04:03:33Z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