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bookmarkStart w:id="0" w:name="_Toc15306267"/>
      <w:bookmarkStart w:id="1" w:name="_Toc15377426"/>
      <w:bookmarkStart w:id="2" w:name="_Toc15377194"/>
      <w:bookmarkStart w:id="3" w:name="_Toc15396476"/>
      <w:bookmarkStart w:id="4" w:name="_Toc15396598"/>
      <w:bookmarkStart w:id="5" w:name="_Toc15378442"/>
    </w:p>
    <w:p>
      <w:pPr>
        <w:pStyle w:val="3"/>
        <w:jc w:val="center"/>
        <w:rPr>
          <w:rFonts w:ascii="方正小标宋简体" w:eastAsia="方正小标宋简体"/>
          <w:b w:val="0"/>
          <w:sz w:val="52"/>
        </w:rPr>
      </w:pPr>
      <w:r>
        <w:rPr>
          <w:rFonts w:hint="eastAsia" w:ascii="方正小标宋简体" w:eastAsia="方正小标宋简体"/>
          <w:b w:val="0"/>
          <w:sz w:val="52"/>
        </w:rPr>
        <w:t>四川省广元市</w:t>
      </w:r>
      <w:bookmarkEnd w:id="0"/>
      <w:bookmarkStart w:id="6" w:name="_Toc15306268"/>
      <w:r>
        <w:rPr>
          <w:rFonts w:hint="eastAsia" w:ascii="方正小标宋简体" w:eastAsia="方正小标宋简体"/>
          <w:b w:val="0"/>
          <w:sz w:val="52"/>
        </w:rPr>
        <w:t>中级人民法院</w:t>
      </w:r>
    </w:p>
    <w:p>
      <w:pPr>
        <w:pStyle w:val="3"/>
        <w:jc w:val="center"/>
      </w:pPr>
    </w:p>
    <w:p>
      <w:pPr>
        <w:pStyle w:val="3"/>
        <w:jc w:val="center"/>
        <w:rPr>
          <w:rFonts w:ascii="华文隶书" w:eastAsia="华文隶书"/>
          <w:b w:val="0"/>
          <w:sz w:val="72"/>
        </w:rPr>
      </w:pPr>
      <w:r>
        <w:rPr>
          <w:rFonts w:hint="eastAsia" w:ascii="华文隶书" w:eastAsia="华文隶书"/>
          <w:b w:val="0"/>
          <w:sz w:val="72"/>
        </w:rPr>
        <w:t>部</w:t>
      </w:r>
    </w:p>
    <w:p>
      <w:pPr>
        <w:pStyle w:val="3"/>
        <w:jc w:val="center"/>
        <w:rPr>
          <w:rFonts w:ascii="华文隶书" w:eastAsia="华文隶书"/>
          <w:b w:val="0"/>
          <w:sz w:val="72"/>
        </w:rPr>
      </w:pPr>
      <w:r>
        <w:rPr>
          <w:rFonts w:hint="eastAsia" w:ascii="华文隶书" w:eastAsia="华文隶书"/>
          <w:b w:val="0"/>
          <w:sz w:val="72"/>
        </w:rPr>
        <w:t>门</w:t>
      </w:r>
    </w:p>
    <w:p>
      <w:pPr>
        <w:pStyle w:val="3"/>
        <w:jc w:val="center"/>
        <w:rPr>
          <w:rFonts w:ascii="华文隶书" w:eastAsia="华文隶书"/>
          <w:b w:val="0"/>
          <w:sz w:val="72"/>
        </w:rPr>
      </w:pPr>
      <w:r>
        <w:rPr>
          <w:rFonts w:hint="eastAsia" w:ascii="华文隶书" w:eastAsia="华文隶书"/>
          <w:b w:val="0"/>
          <w:sz w:val="72"/>
        </w:rPr>
        <w:t>决</w:t>
      </w:r>
    </w:p>
    <w:p>
      <w:pPr>
        <w:pStyle w:val="3"/>
        <w:jc w:val="center"/>
        <w:rPr>
          <w:rFonts w:ascii="华文隶书" w:eastAsia="华文隶书"/>
          <w:b w:val="0"/>
          <w:sz w:val="72"/>
        </w:rPr>
      </w:pPr>
      <w:r>
        <w:rPr>
          <w:rFonts w:hint="eastAsia" w:ascii="华文隶书" w:eastAsia="华文隶书"/>
          <w:b w:val="0"/>
          <w:sz w:val="72"/>
        </w:rPr>
        <w:t>算</w:t>
      </w:r>
      <w:bookmarkEnd w:id="1"/>
      <w:bookmarkEnd w:id="2"/>
      <w:bookmarkEnd w:id="3"/>
      <w:bookmarkEnd w:id="4"/>
      <w:bookmarkEnd w:id="5"/>
      <w:bookmarkEnd w:id="6"/>
    </w:p>
    <w:p>
      <w:pPr>
        <w:pStyle w:val="3"/>
        <w:jc w:val="center"/>
      </w:pPr>
      <w:r>
        <w:br w:type="textWrapping"/>
      </w:r>
    </w:p>
    <w:p>
      <w:pPr>
        <w:pStyle w:val="3"/>
        <w:jc w:val="center"/>
        <w:rPr>
          <w:rFonts w:ascii="黑体" w:hAnsi="黑体" w:eastAsia="黑体"/>
          <w:b w:val="0"/>
        </w:rPr>
      </w:pPr>
      <w:r>
        <w:rPr>
          <w:rFonts w:hint="eastAsia" w:ascii="黑体" w:hAnsi="黑体" w:eastAsia="黑体"/>
          <w:b w:val="0"/>
        </w:rPr>
        <w:t>2021年度</w:t>
      </w:r>
    </w:p>
    <w:p>
      <w:pPr>
        <w:widowControl/>
        <w:jc w:val="left"/>
        <w:rPr>
          <w:rFonts w:ascii="方正小标宋简体" w:hAnsi="宋体" w:eastAsia="方正小标宋简体"/>
          <w:sz w:val="36"/>
          <w:szCs w:val="36"/>
        </w:rPr>
      </w:pPr>
      <w:r>
        <w:rPr>
          <w:rFonts w:ascii="方正小标宋简体" w:hAnsi="宋体" w:eastAsia="方正小标宋简体"/>
          <w:sz w:val="36"/>
          <w:szCs w:val="36"/>
        </w:rPr>
        <w:br w:type="page"/>
      </w:r>
      <w:r>
        <w:rPr>
          <w:rFonts w:ascii="方正小标宋简体" w:hAnsi="宋体" w:eastAsia="方正小标宋简体"/>
          <w:sz w:val="36"/>
          <w:szCs w:val="36"/>
        </w:rPr>
        <w:br w:type="page"/>
      </w:r>
    </w:p>
    <w:p>
      <w:pPr>
        <w:widowControl/>
        <w:jc w:val="center"/>
        <w:rPr>
          <w:rFonts w:ascii="黑体" w:hAnsi="黑体" w:eastAsia="黑体" w:cstheme="minorBidi"/>
          <w:sz w:val="28"/>
          <w:szCs w:val="28"/>
        </w:rPr>
      </w:pPr>
      <w:r>
        <w:rPr>
          <w:rFonts w:hint="eastAsia" w:ascii="黑体" w:hAnsi="黑体" w:eastAsia="黑体"/>
          <w:sz w:val="48"/>
          <w:szCs w:val="48"/>
        </w:rPr>
        <w:t>目  录</w:t>
      </w:r>
    </w:p>
    <w:p>
      <w:pPr>
        <w:pStyle w:val="11"/>
      </w:pPr>
      <w:r>
        <w:rPr>
          <w:rFonts w:hint="eastAsia"/>
        </w:rPr>
        <w:t>公开时间：2022年9月</w:t>
      </w:r>
      <w:r>
        <w:rPr>
          <w:rFonts w:hint="eastAsia"/>
          <w:lang w:val="en-US" w:eastAsia="zh-CN"/>
        </w:rPr>
        <w:t>16</w:t>
      </w:r>
      <w:r>
        <w:rPr>
          <w:rFonts w:hint="eastAsia"/>
        </w:rPr>
        <w:t>日</w:t>
      </w:r>
    </w:p>
    <w:p>
      <w:pPr>
        <w:spacing w:line="540" w:lineRule="exact"/>
      </w:pPr>
    </w:p>
    <w:p>
      <w:pPr>
        <w:pStyle w:val="11"/>
        <w:tabs>
          <w:tab w:val="right" w:leader="middleDot" w:pos="8296"/>
          <w:tab w:val="left" w:leader="middleDot" w:pos="8400"/>
        </w:tabs>
        <w:adjustRightInd w:val="0"/>
        <w:snapToGrid w:val="0"/>
        <w:spacing w:before="0" w:line="540" w:lineRule="exact"/>
        <w:jc w:val="both"/>
        <w:rPr>
          <w:rFonts w:ascii="Times New Roman" w:hAnsi="Times New Roman" w:eastAsiaTheme="minorEastAsia" w:cstheme="minorBidi"/>
          <w:b/>
          <w:sz w:val="24"/>
          <w:szCs w:val="24"/>
        </w:rPr>
      </w:pPr>
      <w:r>
        <w:rPr>
          <w:rFonts w:hint="eastAsia" w:ascii="Times New Roman" w:hAnsi="Times New Roman" w:eastAsiaTheme="minorEastAsia"/>
          <w:b/>
          <w:sz w:val="24"/>
          <w:szCs w:val="24"/>
        </w:rPr>
        <w:t>第一部分</w:t>
      </w:r>
      <w:r>
        <w:rPr>
          <w:rFonts w:ascii="Times New Roman" w:hAnsi="Times New Roman" w:eastAsiaTheme="minorEastAsia"/>
          <w:b/>
          <w:sz w:val="24"/>
          <w:szCs w:val="24"/>
        </w:rPr>
        <w:t xml:space="preserve"> </w:t>
      </w:r>
      <w:r>
        <w:rPr>
          <w:rFonts w:hint="eastAsia" w:ascii="Times New Roman" w:hAnsi="Times New Roman" w:eastAsiaTheme="minorEastAsia"/>
          <w:b/>
          <w:sz w:val="24"/>
          <w:szCs w:val="24"/>
        </w:rPr>
        <w:t>部门概况</w:t>
      </w:r>
      <w:r>
        <w:rPr>
          <w:rFonts w:hint="eastAsia" w:ascii="Times New Roman" w:hAnsi="Times New Roman" w:eastAsiaTheme="minorEastAsia"/>
          <w:b/>
          <w:sz w:val="24"/>
          <w:szCs w:val="24"/>
        </w:rPr>
        <w:tab/>
      </w:r>
      <w:r>
        <w:rPr>
          <w:rFonts w:hint="eastAsia" w:ascii="Times New Roman" w:hAnsi="Times New Roman" w:eastAsiaTheme="minorEastAsia"/>
          <w:b/>
          <w:sz w:val="24"/>
          <w:szCs w:val="24"/>
        </w:rPr>
        <w:t>1</w:t>
      </w:r>
    </w:p>
    <w:p>
      <w:pPr>
        <w:pStyle w:val="12"/>
        <w:tabs>
          <w:tab w:val="left" w:leader="middleDot" w:pos="8400"/>
        </w:tabs>
        <w:adjustRightInd w:val="0"/>
        <w:snapToGrid w:val="0"/>
        <w:spacing w:line="540" w:lineRule="exact"/>
        <w:rPr>
          <w:sz w:val="24"/>
        </w:rPr>
      </w:pPr>
      <w:r>
        <w:rPr>
          <w:rFonts w:hint="eastAsia"/>
          <w:sz w:val="24"/>
        </w:rPr>
        <w:t>一、基本职能及主要工作</w:t>
      </w:r>
      <w:r>
        <w:rPr>
          <w:rFonts w:hint="eastAsia"/>
          <w:sz w:val="24"/>
        </w:rPr>
        <w:tab/>
      </w:r>
      <w:r>
        <w:rPr>
          <w:rFonts w:hint="eastAsia"/>
          <w:sz w:val="24"/>
        </w:rPr>
        <w:t>1</w:t>
      </w:r>
    </w:p>
    <w:p>
      <w:pPr>
        <w:pStyle w:val="12"/>
        <w:tabs>
          <w:tab w:val="left" w:leader="middleDot" w:pos="8400"/>
        </w:tabs>
        <w:adjustRightInd w:val="0"/>
        <w:snapToGrid w:val="0"/>
        <w:spacing w:line="540" w:lineRule="exact"/>
        <w:rPr>
          <w:rFonts w:eastAsia="仿宋" w:cstheme="minorBidi"/>
          <w:sz w:val="24"/>
        </w:rPr>
      </w:pPr>
      <w:r>
        <w:rPr>
          <w:rFonts w:hint="eastAsia"/>
          <w:sz w:val="24"/>
        </w:rPr>
        <w:t>二、机构设置</w:t>
      </w:r>
      <w:r>
        <w:rPr>
          <w:rFonts w:hint="eastAsia"/>
          <w:sz w:val="24"/>
        </w:rPr>
        <w:tab/>
      </w:r>
      <w:r>
        <w:rPr>
          <w:rFonts w:hint="eastAsia"/>
          <w:sz w:val="24"/>
        </w:rPr>
        <w:t>6</w:t>
      </w:r>
    </w:p>
    <w:p>
      <w:pPr>
        <w:pStyle w:val="11"/>
        <w:tabs>
          <w:tab w:val="right" w:leader="middleDot" w:pos="8296"/>
          <w:tab w:val="left" w:leader="middleDot" w:pos="8400"/>
        </w:tabs>
        <w:adjustRightInd w:val="0"/>
        <w:snapToGrid w:val="0"/>
        <w:spacing w:before="0" w:line="540" w:lineRule="exact"/>
        <w:jc w:val="both"/>
        <w:rPr>
          <w:rFonts w:ascii="Times New Roman" w:hAnsi="Times New Roman" w:eastAsiaTheme="minorEastAsia"/>
          <w:b/>
          <w:sz w:val="24"/>
          <w:szCs w:val="24"/>
        </w:rPr>
      </w:pPr>
      <w:r>
        <w:rPr>
          <w:rFonts w:hint="eastAsia" w:ascii="Times New Roman" w:hAnsi="Times New Roman" w:eastAsiaTheme="minorEastAsia"/>
          <w:b/>
          <w:sz w:val="24"/>
          <w:szCs w:val="24"/>
        </w:rPr>
        <w:t>第二部分 2021年度部门决算情况说明</w:t>
      </w:r>
      <w:r>
        <w:rPr>
          <w:rFonts w:hint="eastAsia" w:ascii="Times New Roman" w:hAnsi="Times New Roman" w:eastAsiaTheme="minorEastAsia"/>
          <w:b/>
          <w:sz w:val="24"/>
          <w:szCs w:val="24"/>
        </w:rPr>
        <w:tab/>
      </w:r>
      <w:r>
        <w:rPr>
          <w:rFonts w:hint="eastAsia" w:ascii="Times New Roman" w:hAnsi="Times New Roman" w:eastAsiaTheme="minorEastAsia"/>
          <w:b/>
          <w:sz w:val="24"/>
          <w:szCs w:val="24"/>
        </w:rPr>
        <w:t>7</w:t>
      </w:r>
    </w:p>
    <w:p>
      <w:pPr>
        <w:pStyle w:val="12"/>
        <w:adjustRightInd w:val="0"/>
        <w:snapToGrid w:val="0"/>
        <w:spacing w:line="540" w:lineRule="exact"/>
        <w:jc w:val="left"/>
        <w:rPr>
          <w:rFonts w:eastAsia="仿宋" w:cstheme="minorBidi"/>
          <w:sz w:val="24"/>
        </w:rPr>
      </w:pPr>
      <w:r>
        <w:rPr>
          <w:rFonts w:hint="eastAsia"/>
          <w:sz w:val="24"/>
        </w:rPr>
        <w:t>一、收入支出决算总体情况说明</w:t>
      </w:r>
      <w:r>
        <w:rPr>
          <w:rFonts w:hint="eastAsia"/>
          <w:sz w:val="24"/>
        </w:rPr>
        <w:tab/>
      </w:r>
      <w:r>
        <w:rPr>
          <w:rFonts w:hint="eastAsia"/>
          <w:sz w:val="24"/>
        </w:rPr>
        <w:t>7</w:t>
      </w:r>
    </w:p>
    <w:p>
      <w:pPr>
        <w:pStyle w:val="12"/>
        <w:adjustRightInd w:val="0"/>
        <w:snapToGrid w:val="0"/>
        <w:spacing w:line="540" w:lineRule="exact"/>
        <w:jc w:val="left"/>
        <w:rPr>
          <w:rFonts w:cstheme="minorBidi"/>
          <w:sz w:val="24"/>
        </w:rPr>
      </w:pPr>
      <w:r>
        <w:rPr>
          <w:rFonts w:hint="eastAsia"/>
          <w:sz w:val="24"/>
        </w:rPr>
        <w:t>二、收入决算情况说明...........................................................................................7</w:t>
      </w:r>
    </w:p>
    <w:p>
      <w:pPr>
        <w:pStyle w:val="12"/>
        <w:adjustRightInd w:val="0"/>
        <w:snapToGrid w:val="0"/>
        <w:spacing w:line="540" w:lineRule="exact"/>
        <w:jc w:val="left"/>
        <w:rPr>
          <w:rFonts w:eastAsia="仿宋" w:cstheme="minorBidi"/>
          <w:sz w:val="24"/>
        </w:rPr>
      </w:pPr>
      <w:r>
        <w:rPr>
          <w:rFonts w:hint="eastAsia"/>
          <w:sz w:val="24"/>
        </w:rPr>
        <w:t>三、支出决算情况说明..........................................................................................8</w:t>
      </w:r>
    </w:p>
    <w:p>
      <w:pPr>
        <w:pStyle w:val="12"/>
        <w:adjustRightInd w:val="0"/>
        <w:snapToGrid w:val="0"/>
        <w:spacing w:line="540" w:lineRule="exact"/>
        <w:jc w:val="left"/>
        <w:rPr>
          <w:rFonts w:cstheme="minorBidi"/>
          <w:sz w:val="24"/>
        </w:rPr>
      </w:pPr>
      <w:r>
        <w:rPr>
          <w:rFonts w:hint="eastAsia"/>
          <w:sz w:val="24"/>
        </w:rPr>
        <w:t>四、财政拨款收入支出决算总体情况说明..........................................................8</w:t>
      </w:r>
    </w:p>
    <w:p>
      <w:pPr>
        <w:pStyle w:val="12"/>
        <w:adjustRightInd w:val="0"/>
        <w:snapToGrid w:val="0"/>
        <w:spacing w:line="540" w:lineRule="exact"/>
        <w:jc w:val="left"/>
        <w:rPr>
          <w:rFonts w:eastAsia="仿宋" w:cstheme="minorBidi"/>
          <w:sz w:val="24"/>
        </w:rPr>
      </w:pPr>
      <w:r>
        <w:rPr>
          <w:rFonts w:hint="eastAsia"/>
          <w:sz w:val="24"/>
        </w:rPr>
        <w:t>五、一般公共预算财政拨款支出决算情况说明...................................................9</w:t>
      </w:r>
    </w:p>
    <w:p>
      <w:pPr>
        <w:pStyle w:val="12"/>
        <w:adjustRightInd w:val="0"/>
        <w:snapToGrid w:val="0"/>
        <w:spacing w:line="540" w:lineRule="exact"/>
        <w:jc w:val="left"/>
        <w:rPr>
          <w:rFonts w:cstheme="minorBidi"/>
          <w:sz w:val="24"/>
        </w:rPr>
      </w:pPr>
      <w:r>
        <w:rPr>
          <w:rFonts w:hint="eastAsia"/>
          <w:sz w:val="24"/>
        </w:rPr>
        <w:t>六、一般公共预算财政拨款基本支出决算情况说明.........................................12</w:t>
      </w:r>
    </w:p>
    <w:p>
      <w:pPr>
        <w:pStyle w:val="12"/>
        <w:adjustRightInd w:val="0"/>
        <w:snapToGrid w:val="0"/>
        <w:spacing w:line="540" w:lineRule="exact"/>
        <w:jc w:val="left"/>
        <w:rPr>
          <w:rFonts w:eastAsia="仿宋" w:cstheme="minorBidi"/>
          <w:sz w:val="24"/>
        </w:rPr>
      </w:pPr>
      <w:r>
        <w:rPr>
          <w:rFonts w:hint="eastAsia"/>
          <w:sz w:val="24"/>
        </w:rPr>
        <w:t>七、“三公”经费财政拨款支出决算情况说明.................................................12</w:t>
      </w:r>
    </w:p>
    <w:p>
      <w:pPr>
        <w:pStyle w:val="12"/>
        <w:adjustRightInd w:val="0"/>
        <w:snapToGrid w:val="0"/>
        <w:spacing w:line="540" w:lineRule="exact"/>
        <w:jc w:val="left"/>
        <w:rPr>
          <w:rFonts w:eastAsia="仿宋" w:cstheme="minorBidi"/>
          <w:sz w:val="24"/>
        </w:rPr>
      </w:pPr>
      <w:r>
        <w:rPr>
          <w:rFonts w:hint="eastAsia"/>
          <w:sz w:val="24"/>
        </w:rPr>
        <w:t>八、政府性基金预算支出决算情况说明.............................................................14</w:t>
      </w:r>
    </w:p>
    <w:p>
      <w:pPr>
        <w:pStyle w:val="12"/>
        <w:adjustRightInd w:val="0"/>
        <w:snapToGrid w:val="0"/>
        <w:spacing w:line="540" w:lineRule="exact"/>
        <w:ind w:leftChars="0"/>
        <w:jc w:val="left"/>
        <w:rPr>
          <w:rFonts w:eastAsiaTheme="minorEastAsia" w:cstheme="minorEastAsia"/>
          <w:sz w:val="24"/>
        </w:rPr>
      </w:pPr>
      <w:r>
        <w:rPr>
          <w:rFonts w:hint="eastAsia" w:eastAsiaTheme="minorEastAsia" w:cstheme="minorEastAsia"/>
          <w:sz w:val="24"/>
        </w:rPr>
        <w:t>九、国有资本经营预算支出决算情况说明</w:t>
      </w:r>
      <w:r>
        <w:rPr>
          <w:rFonts w:hint="eastAsia"/>
          <w:sz w:val="24"/>
        </w:rPr>
        <w:t>.........................................................14</w:t>
      </w:r>
    </w:p>
    <w:p>
      <w:pPr>
        <w:adjustRightInd w:val="0"/>
        <w:snapToGrid w:val="0"/>
        <w:spacing w:line="540" w:lineRule="exact"/>
        <w:ind w:firstLine="420" w:firstLineChars="175"/>
        <w:jc w:val="left"/>
        <w:rPr>
          <w:rFonts w:eastAsiaTheme="minorEastAsia" w:cstheme="minorEastAsia"/>
          <w:sz w:val="24"/>
        </w:rPr>
      </w:pPr>
      <w:r>
        <w:rPr>
          <w:rStyle w:val="17"/>
          <w:rFonts w:hint="eastAsia" w:eastAsiaTheme="minorEastAsia" w:cstheme="minorEastAsia"/>
          <w:color w:val="auto"/>
          <w:sz w:val="24"/>
          <w:u w:val="none"/>
        </w:rPr>
        <w:t>十、</w:t>
      </w:r>
      <w:r>
        <w:rPr>
          <w:rFonts w:hint="eastAsia" w:eastAsiaTheme="minorEastAsia" w:cstheme="minorEastAsia"/>
          <w:sz w:val="24"/>
        </w:rPr>
        <w:t>预算绩效管理情况</w:t>
      </w:r>
      <w:r>
        <w:rPr>
          <w:rFonts w:hint="eastAsia" w:eastAsiaTheme="minorEastAsia" w:cstheme="minorEastAsia"/>
          <w:sz w:val="24"/>
        </w:rPr>
        <w:tab/>
      </w:r>
      <w:r>
        <w:rPr>
          <w:rFonts w:hint="eastAsia"/>
          <w:sz w:val="24"/>
        </w:rPr>
        <w:t>.....................................................................................15</w:t>
      </w:r>
    </w:p>
    <w:p>
      <w:pPr>
        <w:adjustRightInd w:val="0"/>
        <w:snapToGrid w:val="0"/>
        <w:spacing w:line="540" w:lineRule="exact"/>
        <w:ind w:firstLine="420" w:firstLineChars="175"/>
        <w:jc w:val="left"/>
        <w:rPr>
          <w:rFonts w:eastAsiaTheme="minorEastAsia"/>
        </w:rPr>
      </w:pPr>
      <w:r>
        <w:rPr>
          <w:rFonts w:hint="eastAsia" w:eastAsiaTheme="minorEastAsia" w:cstheme="minorEastAsia"/>
          <w:sz w:val="24"/>
        </w:rPr>
        <w:t>十一、其他重要事项的情况说明</w:t>
      </w:r>
      <w:r>
        <w:rPr>
          <w:rFonts w:hint="eastAsia"/>
          <w:sz w:val="24"/>
        </w:rPr>
        <w:t>........................................................................15</w:t>
      </w:r>
    </w:p>
    <w:p>
      <w:pPr>
        <w:pStyle w:val="11"/>
        <w:tabs>
          <w:tab w:val="right" w:leader="middleDot" w:pos="8296"/>
          <w:tab w:val="left" w:leader="middleDot" w:pos="8400"/>
        </w:tabs>
        <w:adjustRightInd w:val="0"/>
        <w:snapToGrid w:val="0"/>
        <w:spacing w:before="0" w:line="540" w:lineRule="exact"/>
        <w:jc w:val="both"/>
        <w:rPr>
          <w:rFonts w:ascii="Times New Roman" w:hAnsi="Times New Roman" w:eastAsiaTheme="minorEastAsia"/>
          <w:b/>
          <w:sz w:val="24"/>
          <w:szCs w:val="24"/>
        </w:rPr>
      </w:pPr>
      <w:r>
        <w:rPr>
          <w:rFonts w:hint="eastAsia" w:ascii="Times New Roman" w:hAnsi="Times New Roman" w:eastAsiaTheme="minorEastAsia"/>
          <w:b/>
          <w:sz w:val="24"/>
          <w:szCs w:val="24"/>
        </w:rPr>
        <w:t>第三部分</w:t>
      </w:r>
      <w:r>
        <w:rPr>
          <w:rFonts w:ascii="Times New Roman" w:hAnsi="Times New Roman" w:eastAsiaTheme="minorEastAsia"/>
          <w:b/>
          <w:sz w:val="24"/>
          <w:szCs w:val="24"/>
        </w:rPr>
        <w:t xml:space="preserve"> </w:t>
      </w:r>
      <w:r>
        <w:rPr>
          <w:rFonts w:hint="eastAsia" w:ascii="Times New Roman" w:hAnsi="Times New Roman" w:eastAsiaTheme="minorEastAsia"/>
          <w:b/>
          <w:sz w:val="24"/>
          <w:szCs w:val="24"/>
        </w:rPr>
        <w:t>名词解释</w:t>
      </w:r>
      <w:r>
        <w:rPr>
          <w:rFonts w:hint="eastAsia" w:ascii="Times New Roman" w:hAnsi="Times New Roman" w:eastAsiaTheme="minorEastAsia"/>
          <w:b/>
          <w:sz w:val="24"/>
          <w:szCs w:val="24"/>
        </w:rPr>
        <w:tab/>
      </w:r>
      <w:r>
        <w:rPr>
          <w:rFonts w:hint="eastAsia" w:ascii="Times New Roman" w:hAnsi="Times New Roman" w:eastAsiaTheme="minorEastAsia"/>
          <w:b/>
          <w:sz w:val="24"/>
          <w:szCs w:val="24"/>
        </w:rPr>
        <w:t>17</w:t>
      </w:r>
    </w:p>
    <w:p>
      <w:pPr>
        <w:pStyle w:val="11"/>
        <w:tabs>
          <w:tab w:val="right" w:leader="middleDot" w:pos="8296"/>
          <w:tab w:val="left" w:leader="middleDot" w:pos="8400"/>
        </w:tabs>
        <w:adjustRightInd w:val="0"/>
        <w:snapToGrid w:val="0"/>
        <w:spacing w:before="0" w:line="540" w:lineRule="exact"/>
        <w:jc w:val="both"/>
        <w:rPr>
          <w:rFonts w:ascii="Times New Roman" w:hAnsi="Times New Roman" w:eastAsiaTheme="minorEastAsia"/>
          <w:b/>
          <w:sz w:val="24"/>
          <w:szCs w:val="24"/>
        </w:rPr>
      </w:pPr>
      <w:r>
        <w:rPr>
          <w:rFonts w:hint="eastAsia" w:ascii="Times New Roman" w:hAnsi="Times New Roman" w:eastAsiaTheme="minorEastAsia"/>
          <w:b/>
          <w:sz w:val="24"/>
          <w:szCs w:val="24"/>
        </w:rPr>
        <w:t>第四部分</w:t>
      </w:r>
      <w:r>
        <w:rPr>
          <w:rFonts w:ascii="Times New Roman" w:hAnsi="Times New Roman" w:eastAsiaTheme="minorEastAsia"/>
          <w:b/>
          <w:sz w:val="24"/>
          <w:szCs w:val="24"/>
        </w:rPr>
        <w:t xml:space="preserve"> </w:t>
      </w:r>
      <w:r>
        <w:rPr>
          <w:rFonts w:hint="eastAsia" w:ascii="Times New Roman" w:hAnsi="Times New Roman" w:eastAsiaTheme="minorEastAsia"/>
          <w:b/>
          <w:sz w:val="24"/>
          <w:szCs w:val="24"/>
        </w:rPr>
        <w:t>附件</w:t>
      </w:r>
      <w:r>
        <w:rPr>
          <w:rFonts w:hint="eastAsia" w:ascii="Times New Roman" w:hAnsi="Times New Roman" w:eastAsiaTheme="minorEastAsia"/>
          <w:b/>
          <w:sz w:val="24"/>
          <w:szCs w:val="24"/>
        </w:rPr>
        <w:tab/>
      </w:r>
      <w:r>
        <w:rPr>
          <w:rFonts w:hint="eastAsia" w:ascii="Times New Roman" w:hAnsi="Times New Roman" w:eastAsiaTheme="minorEastAsia"/>
          <w:b/>
          <w:sz w:val="24"/>
          <w:szCs w:val="24"/>
        </w:rPr>
        <w:t>20</w:t>
      </w:r>
    </w:p>
    <w:p>
      <w:pPr>
        <w:spacing w:line="540" w:lineRule="exact"/>
        <w:jc w:val="left"/>
        <w:rPr>
          <w:rFonts w:eastAsiaTheme="minorEastAsia" w:cstheme="minorEastAsia"/>
          <w:sz w:val="24"/>
        </w:rPr>
      </w:pPr>
      <w:r>
        <w:rPr>
          <w:rFonts w:hint="eastAsia" w:eastAsiaTheme="minorEastAsia" w:cstheme="minorEastAsia"/>
          <w:sz w:val="24"/>
        </w:rPr>
        <w:t xml:space="preserve">附件1：2021年四川省广元市中级人民法院部门整体绩效评价报告...................20 </w:t>
      </w:r>
    </w:p>
    <w:p>
      <w:pPr>
        <w:spacing w:line="540" w:lineRule="exact"/>
        <w:jc w:val="left"/>
        <w:rPr>
          <w:rFonts w:eastAsiaTheme="minorEastAsia" w:cstheme="minorEastAsia"/>
          <w:sz w:val="24"/>
        </w:rPr>
      </w:pPr>
      <w:r>
        <w:rPr>
          <w:rFonts w:hint="eastAsia" w:eastAsiaTheme="minorEastAsia" w:cstheme="minorEastAsia"/>
          <w:sz w:val="24"/>
        </w:rPr>
        <w:t>附件2：四川省广元市中级人民法院2022年法院购买服装（单列）</w:t>
      </w:r>
      <w:r>
        <w:rPr>
          <w:rFonts w:hint="eastAsia" w:eastAsiaTheme="minorEastAsia" w:cstheme="minorEastAsia"/>
          <w:sz w:val="24"/>
          <w:lang w:val="zh-CN"/>
        </w:rPr>
        <w:t>项目支出绩效自评报</w:t>
      </w:r>
      <w:r>
        <w:rPr>
          <w:rFonts w:hint="eastAsia" w:eastAsiaTheme="minorEastAsia" w:cstheme="minorEastAsia"/>
          <w:sz w:val="24"/>
        </w:rPr>
        <w:t>......................................................................................................................26</w:t>
      </w:r>
    </w:p>
    <w:p>
      <w:pPr>
        <w:spacing w:line="540" w:lineRule="exact"/>
        <w:jc w:val="left"/>
        <w:rPr>
          <w:rFonts w:eastAsiaTheme="minorEastAsia" w:cstheme="minorEastAsia"/>
          <w:sz w:val="24"/>
        </w:rPr>
      </w:pPr>
      <w:r>
        <w:rPr>
          <w:rFonts w:hint="eastAsia" w:eastAsiaTheme="minorEastAsia" w:cstheme="minorEastAsia"/>
          <w:sz w:val="24"/>
        </w:rPr>
        <w:t>附件3：</w:t>
      </w:r>
      <w:r>
        <w:rPr>
          <w:rFonts w:hint="eastAsia" w:eastAsiaTheme="minorEastAsia" w:cstheme="minorEastAsia"/>
          <w:w w:val="110"/>
          <w:sz w:val="24"/>
        </w:rPr>
        <w:t>广元市中级人民法院关于2021年度司法救助(单列)项目绩效自评报告</w:t>
      </w:r>
      <w:r>
        <w:rPr>
          <w:rFonts w:hint="eastAsia" w:eastAsiaTheme="minorEastAsia" w:cstheme="minorEastAsia"/>
          <w:sz w:val="24"/>
        </w:rPr>
        <w:t>.............................................................................................................................33</w:t>
      </w:r>
    </w:p>
    <w:p>
      <w:pPr>
        <w:pStyle w:val="33"/>
        <w:tabs>
          <w:tab w:val="left" w:pos="8400"/>
        </w:tabs>
        <w:spacing w:line="540" w:lineRule="exact"/>
        <w:rPr>
          <w:rFonts w:ascii="Times New Roman" w:hAnsi="Times New Roman" w:eastAsiaTheme="minorEastAsia" w:cstheme="minorEastAsia"/>
          <w:color w:val="auto"/>
          <w:kern w:val="2"/>
          <w:sz w:val="24"/>
          <w:szCs w:val="24"/>
          <w:lang w:val="en-US"/>
        </w:rPr>
      </w:pPr>
      <w:r>
        <w:rPr>
          <w:rFonts w:hint="eastAsia" w:ascii="Times New Roman" w:hAnsi="Times New Roman" w:eastAsiaTheme="minorEastAsia" w:cstheme="minorEastAsia"/>
          <w:color w:val="auto"/>
          <w:kern w:val="2"/>
          <w:sz w:val="24"/>
          <w:szCs w:val="24"/>
          <w:lang w:val="en-US"/>
        </w:rPr>
        <w:t>附件4：广元市中级人民法院关于2021年度法警体能训练设备购置项目绩效自评报告.........................................................................................................................39</w:t>
      </w:r>
    </w:p>
    <w:p>
      <w:pPr>
        <w:pStyle w:val="33"/>
        <w:spacing w:line="540" w:lineRule="exact"/>
        <w:jc w:val="left"/>
        <w:rPr>
          <w:rFonts w:ascii="Times New Roman" w:hAnsi="Times New Roman" w:eastAsiaTheme="minorEastAsia" w:cstheme="minorEastAsia"/>
          <w:color w:val="auto"/>
          <w:kern w:val="2"/>
          <w:sz w:val="24"/>
          <w:szCs w:val="24"/>
          <w:lang w:val="en-US"/>
        </w:rPr>
      </w:pPr>
      <w:r>
        <w:rPr>
          <w:rFonts w:hint="eastAsia" w:ascii="Times New Roman" w:hAnsi="Times New Roman" w:eastAsiaTheme="minorEastAsia" w:cstheme="minorEastAsia"/>
          <w:color w:val="auto"/>
          <w:kern w:val="2"/>
          <w:sz w:val="24"/>
          <w:szCs w:val="24"/>
          <w:lang w:val="en-US"/>
        </w:rPr>
        <w:t>附件5：广元市中级人民法院关于2021年度法院购买社会化服务项目绩效自评报告..............................................................................................................................46</w:t>
      </w:r>
    </w:p>
    <w:p>
      <w:pPr>
        <w:pStyle w:val="33"/>
        <w:spacing w:line="540" w:lineRule="exact"/>
        <w:jc w:val="left"/>
        <w:rPr>
          <w:rFonts w:hint="eastAsia" w:ascii="Times New Roman" w:hAnsi="Times New Roman"/>
          <w:lang w:val="en-US"/>
        </w:rPr>
      </w:pPr>
      <w:r>
        <w:rPr>
          <w:rFonts w:hint="eastAsia" w:ascii="Times New Roman" w:hAnsi="Times New Roman" w:eastAsiaTheme="minorEastAsia" w:cstheme="minorEastAsia"/>
          <w:color w:val="auto"/>
          <w:kern w:val="2"/>
          <w:sz w:val="24"/>
          <w:szCs w:val="24"/>
          <w:lang w:val="en-US"/>
        </w:rPr>
        <w:t>附件6：广元市中级人民法院关于2021年度法院文化建设经费项目绩效自评报告.............................................................................................................................. ...53</w:t>
      </w:r>
    </w:p>
    <w:p>
      <w:pPr>
        <w:pStyle w:val="11"/>
        <w:tabs>
          <w:tab w:val="right" w:leader="middleDot" w:pos="8296"/>
          <w:tab w:val="left" w:leader="middleDot" w:pos="8400"/>
        </w:tabs>
        <w:adjustRightInd w:val="0"/>
        <w:snapToGrid w:val="0"/>
        <w:spacing w:before="0" w:line="540" w:lineRule="exact"/>
        <w:jc w:val="both"/>
        <w:rPr>
          <w:rFonts w:ascii="Times New Roman" w:hAnsi="Times New Roman" w:eastAsiaTheme="minorEastAsia"/>
          <w:b/>
          <w:sz w:val="24"/>
          <w:szCs w:val="24"/>
        </w:rPr>
      </w:pPr>
      <w:r>
        <w:rPr>
          <w:rFonts w:hint="eastAsia" w:ascii="Times New Roman" w:hAnsi="Times New Roman" w:eastAsiaTheme="minorEastAsia"/>
          <w:b/>
          <w:sz w:val="24"/>
          <w:szCs w:val="24"/>
        </w:rPr>
        <w:t>第五部分</w:t>
      </w:r>
      <w:r>
        <w:rPr>
          <w:rFonts w:ascii="Times New Roman" w:hAnsi="Times New Roman" w:eastAsiaTheme="minorEastAsia"/>
          <w:b/>
          <w:sz w:val="24"/>
          <w:szCs w:val="24"/>
        </w:rPr>
        <w:t xml:space="preserve"> </w:t>
      </w:r>
      <w:r>
        <w:rPr>
          <w:rFonts w:hint="eastAsia" w:ascii="Times New Roman" w:hAnsi="Times New Roman" w:eastAsiaTheme="minorEastAsia"/>
          <w:b/>
          <w:sz w:val="24"/>
          <w:szCs w:val="24"/>
        </w:rPr>
        <w:t>附表</w:t>
      </w:r>
      <w:r>
        <w:rPr>
          <w:rFonts w:hint="eastAsia" w:ascii="Times New Roman" w:hAnsi="Times New Roman" w:eastAsiaTheme="minorEastAsia"/>
          <w:b/>
          <w:sz w:val="24"/>
          <w:szCs w:val="24"/>
        </w:rPr>
        <w:tab/>
      </w:r>
      <w:r>
        <w:rPr>
          <w:rFonts w:hint="eastAsia" w:ascii="Times New Roman" w:hAnsi="Times New Roman" w:eastAsiaTheme="minorEastAsia"/>
          <w:b/>
          <w:sz w:val="24"/>
          <w:szCs w:val="24"/>
        </w:rPr>
        <w:t>60</w:t>
      </w:r>
    </w:p>
    <w:p>
      <w:pPr>
        <w:pStyle w:val="12"/>
        <w:adjustRightInd w:val="0"/>
        <w:snapToGrid w:val="0"/>
        <w:spacing w:line="540" w:lineRule="exact"/>
        <w:jc w:val="left"/>
        <w:rPr>
          <w:rFonts w:eastAsia="仿宋" w:cstheme="minorBidi"/>
          <w:sz w:val="24"/>
        </w:rPr>
      </w:pPr>
      <w:r>
        <w:rPr>
          <w:rFonts w:hint="eastAsia" w:eastAsia="仿宋"/>
          <w:sz w:val="24"/>
        </w:rPr>
        <w:t>一、</w:t>
      </w:r>
      <w:r>
        <w:rPr>
          <w:rFonts w:hint="eastAsia"/>
          <w:sz w:val="24"/>
        </w:rPr>
        <w:t xml:space="preserve">收入支出决算总表.......................................................................................60                                            </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二、收入决算表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三、支出决算表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四、财政拨款收入支出决算总表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五、财政拨款支出决算明细表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六、一般公共预算财政拨款支出决算表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七、一般公共预算财政拨款支出决算明细表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八、一般公共预算财政拨款基本支出决算表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九、一般公共预算财政拨款项目支出决算表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十、一般公共预算财政拨款“三公”经费支出决算表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十一、政府性基金预算财政拨款收入支出决算表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十二、政府性基金预算财政拨款“三公”经费支出决算表</w:t>
      </w:r>
      <w:r>
        <w:rPr>
          <w:rFonts w:hint="eastAsia"/>
          <w:sz w:val="24"/>
        </w:rPr>
        <w:t>.............................60</w:t>
      </w:r>
    </w:p>
    <w:p>
      <w:pPr>
        <w:pStyle w:val="12"/>
        <w:adjustRightInd w:val="0"/>
        <w:snapToGrid w:val="0"/>
        <w:spacing w:line="540" w:lineRule="exact"/>
        <w:jc w:val="left"/>
        <w:rPr>
          <w:rFonts w:eastAsiaTheme="minorEastAsia" w:cstheme="minorEastAsia"/>
          <w:sz w:val="24"/>
        </w:rPr>
      </w:pPr>
      <w:r>
        <w:rPr>
          <w:rFonts w:hint="eastAsia" w:eastAsiaTheme="minorEastAsia" w:cstheme="minorEastAsia"/>
          <w:sz w:val="24"/>
        </w:rPr>
        <w:t>十三、国有资本经营预算财政拨款收入支出决算表</w:t>
      </w:r>
      <w:r>
        <w:rPr>
          <w:rFonts w:hint="eastAsia"/>
          <w:sz w:val="24"/>
        </w:rPr>
        <w:t>........................................60</w:t>
      </w:r>
    </w:p>
    <w:p>
      <w:pPr>
        <w:pStyle w:val="12"/>
        <w:adjustRightInd w:val="0"/>
        <w:snapToGrid w:val="0"/>
        <w:spacing w:line="540" w:lineRule="exact"/>
        <w:jc w:val="left"/>
        <w:rPr>
          <w:sz w:val="24"/>
        </w:rPr>
      </w:pPr>
      <w:r>
        <w:rPr>
          <w:rFonts w:hint="eastAsia" w:eastAsiaTheme="minorEastAsia" w:cstheme="minorEastAsia"/>
          <w:sz w:val="24"/>
        </w:rPr>
        <w:t>十四、国有资本经营预算财政拨款支出决算表</w:t>
      </w:r>
      <w:r>
        <w:rPr>
          <w:rFonts w:hint="eastAsia"/>
          <w:sz w:val="24"/>
        </w:rPr>
        <w:t>................................................60</w:t>
      </w:r>
    </w:p>
    <w:p>
      <w:pPr>
        <w:sectPr>
          <w:footerReference r:id="rId5" w:type="first"/>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widowControl/>
        <w:jc w:val="center"/>
        <w:rPr>
          <w:sz w:val="24"/>
        </w:rPr>
      </w:pPr>
      <w:bookmarkStart w:id="7" w:name="_Toc15377196"/>
      <w:bookmarkStart w:id="8" w:name="_Toc15396599"/>
      <w:r>
        <w:rPr>
          <w:rFonts w:hint="eastAsia" w:ascii="方正小标宋简体" w:eastAsia="方正小标宋简体"/>
          <w:sz w:val="32"/>
          <w:szCs w:val="32"/>
        </w:rPr>
        <w:t>第一部分   部门概况</w:t>
      </w:r>
      <w:bookmarkEnd w:id="7"/>
      <w:bookmarkEnd w:id="8"/>
    </w:p>
    <w:p>
      <w:pPr>
        <w:spacing w:line="620" w:lineRule="exact"/>
        <w:ind w:firstLine="646" w:firstLineChars="202"/>
        <w:rPr>
          <w:rFonts w:eastAsia="仿宋_GB2312"/>
          <w:sz w:val="32"/>
          <w:szCs w:val="32"/>
        </w:rPr>
      </w:pPr>
      <w:bookmarkStart w:id="9" w:name="_Toc15377197"/>
      <w:bookmarkStart w:id="10" w:name="_Toc15396600"/>
    </w:p>
    <w:p>
      <w:pPr>
        <w:spacing w:line="620" w:lineRule="exact"/>
        <w:ind w:firstLine="646" w:firstLineChars="202"/>
        <w:rPr>
          <w:rFonts w:ascii="方正黑体简体" w:eastAsia="方正黑体简体"/>
          <w:sz w:val="32"/>
          <w:szCs w:val="32"/>
        </w:rPr>
      </w:pPr>
      <w:r>
        <w:rPr>
          <w:rFonts w:hint="eastAsia" w:ascii="方正黑体简体" w:eastAsia="方正黑体简体"/>
          <w:sz w:val="32"/>
          <w:szCs w:val="32"/>
        </w:rPr>
        <w:t>一、基本职能及主要工作</w:t>
      </w:r>
      <w:bookmarkEnd w:id="9"/>
      <w:bookmarkEnd w:id="10"/>
    </w:p>
    <w:p>
      <w:pPr>
        <w:spacing w:line="620" w:lineRule="exact"/>
        <w:ind w:firstLine="646" w:firstLineChars="202"/>
        <w:rPr>
          <w:rFonts w:ascii="方正楷体简体" w:eastAsia="方正楷体简体"/>
          <w:sz w:val="32"/>
          <w:szCs w:val="32"/>
        </w:rPr>
      </w:pPr>
      <w:bookmarkStart w:id="11" w:name="_Toc15378445"/>
      <w:bookmarkStart w:id="12" w:name="_Toc15377198"/>
      <w:r>
        <w:rPr>
          <w:rFonts w:hint="eastAsia" w:ascii="方正楷体简体" w:eastAsia="方正楷体简体"/>
          <w:sz w:val="32"/>
          <w:szCs w:val="32"/>
        </w:rPr>
        <w:t>（一）主要职能。</w:t>
      </w:r>
      <w:bookmarkEnd w:id="11"/>
      <w:bookmarkEnd w:id="12"/>
      <w:bookmarkStart w:id="13" w:name="_Toc15377199"/>
      <w:bookmarkStart w:id="14" w:name="_Toc15378446"/>
    </w:p>
    <w:p>
      <w:pPr>
        <w:spacing w:line="620" w:lineRule="exact"/>
        <w:ind w:firstLine="649" w:firstLineChars="202"/>
        <w:rPr>
          <w:rFonts w:eastAsia="仿宋_GB2312"/>
          <w:b/>
          <w:sz w:val="32"/>
          <w:szCs w:val="32"/>
        </w:rPr>
      </w:pPr>
      <w:bookmarkStart w:id="15" w:name="_Toc82768926"/>
      <w:r>
        <w:rPr>
          <w:rFonts w:eastAsia="仿宋_GB2312"/>
          <w:b/>
          <w:sz w:val="32"/>
          <w:szCs w:val="32"/>
        </w:rPr>
        <w:t>1.内部机构设置</w:t>
      </w:r>
      <w:bookmarkEnd w:id="15"/>
    </w:p>
    <w:p>
      <w:pPr>
        <w:spacing w:line="620" w:lineRule="exact"/>
        <w:ind w:firstLine="646" w:firstLineChars="202"/>
        <w:rPr>
          <w:rFonts w:eastAsia="仿宋_GB2312"/>
          <w:sz w:val="32"/>
          <w:szCs w:val="32"/>
        </w:rPr>
      </w:pPr>
      <w:r>
        <w:rPr>
          <w:rFonts w:eastAsia="仿宋_GB2312"/>
          <w:sz w:val="32"/>
          <w:szCs w:val="32"/>
        </w:rPr>
        <w:t>我院内设机构有立案庭、刑一庭、刑二庭、民一庭、民二庭、民三庭、行政庭、赔委办、环资庭、审监庭、执行局、审管办、研究室、技术室、政治部、办公室、行装处、法警队、督察室、机关党办、新闻中心等21个部门。总编制132名，其中政法编制125名，其他事业编制7名。共有正式干警总数123人，其中政法人员116人，其他事业人员6人，工勤编制1人。聘用人员62人，退休人员68人。</w:t>
      </w:r>
    </w:p>
    <w:p>
      <w:pPr>
        <w:spacing w:line="620" w:lineRule="exact"/>
        <w:ind w:firstLine="649" w:firstLineChars="202"/>
        <w:rPr>
          <w:rFonts w:eastAsia="仿宋_GB2312"/>
          <w:b/>
          <w:sz w:val="32"/>
          <w:szCs w:val="32"/>
        </w:rPr>
      </w:pPr>
      <w:bookmarkStart w:id="16" w:name="_Toc82768927"/>
      <w:r>
        <w:rPr>
          <w:rFonts w:eastAsia="仿宋_GB2312"/>
          <w:b/>
          <w:sz w:val="32"/>
          <w:szCs w:val="32"/>
        </w:rPr>
        <w:t>2.广元中院基本职能</w:t>
      </w:r>
      <w:bookmarkEnd w:id="16"/>
    </w:p>
    <w:p>
      <w:pPr>
        <w:spacing w:line="620" w:lineRule="exact"/>
        <w:ind w:firstLine="646" w:firstLineChars="202"/>
        <w:rPr>
          <w:rFonts w:eastAsia="仿宋_GB2312"/>
          <w:sz w:val="32"/>
          <w:szCs w:val="32"/>
        </w:rPr>
      </w:pPr>
      <w:r>
        <w:rPr>
          <w:rFonts w:eastAsia="仿宋_GB2312"/>
          <w:sz w:val="32"/>
          <w:szCs w:val="32"/>
        </w:rPr>
        <w:t>（1）依法审判法律规定由本院办理的各类案件。</w:t>
      </w:r>
    </w:p>
    <w:p>
      <w:pPr>
        <w:spacing w:line="620" w:lineRule="exact"/>
        <w:ind w:firstLine="646" w:firstLineChars="202"/>
        <w:rPr>
          <w:rFonts w:eastAsia="仿宋_GB2312"/>
          <w:sz w:val="32"/>
          <w:szCs w:val="32"/>
        </w:rPr>
      </w:pPr>
      <w:r>
        <w:rPr>
          <w:rFonts w:eastAsia="仿宋_GB2312"/>
          <w:sz w:val="32"/>
          <w:szCs w:val="32"/>
        </w:rPr>
        <w:t>（2）监督、指导全市法院的审判工作。</w:t>
      </w:r>
    </w:p>
    <w:p>
      <w:pPr>
        <w:spacing w:line="620" w:lineRule="exact"/>
        <w:ind w:firstLine="646" w:firstLineChars="202"/>
        <w:rPr>
          <w:rFonts w:eastAsia="仿宋_GB2312"/>
          <w:sz w:val="32"/>
          <w:szCs w:val="32"/>
        </w:rPr>
      </w:pPr>
      <w:r>
        <w:rPr>
          <w:rFonts w:eastAsia="仿宋_GB2312"/>
          <w:sz w:val="32"/>
          <w:szCs w:val="32"/>
        </w:rPr>
        <w:t>（3）依法行使司法执行权和司法决定权，统一管理全市法院的执行工作。</w:t>
      </w:r>
    </w:p>
    <w:p>
      <w:pPr>
        <w:spacing w:line="620" w:lineRule="exact"/>
        <w:ind w:firstLine="646" w:firstLineChars="202"/>
        <w:rPr>
          <w:rFonts w:eastAsia="仿宋_GB2312"/>
          <w:sz w:val="32"/>
          <w:szCs w:val="32"/>
        </w:rPr>
      </w:pPr>
      <w:r>
        <w:rPr>
          <w:rFonts w:eastAsia="仿宋_GB2312"/>
          <w:sz w:val="32"/>
          <w:szCs w:val="32"/>
        </w:rPr>
        <w:t>（4）负责对本院的法官和其他工作人员进行教育、管理及组织专业培训，指导基层人民法院的思想政治、教育培训工作。</w:t>
      </w:r>
    </w:p>
    <w:p>
      <w:pPr>
        <w:spacing w:line="620" w:lineRule="exact"/>
        <w:ind w:firstLine="646" w:firstLineChars="202"/>
        <w:rPr>
          <w:rFonts w:eastAsia="仿宋_GB2312"/>
          <w:sz w:val="32"/>
          <w:szCs w:val="32"/>
        </w:rPr>
      </w:pPr>
      <w:r>
        <w:rPr>
          <w:rFonts w:eastAsia="仿宋_GB2312"/>
          <w:sz w:val="32"/>
          <w:szCs w:val="32"/>
        </w:rPr>
        <w:t>（5）协助市主管部门管理全市法院机构设置、人员编制和基层人民法院领导班子。</w:t>
      </w:r>
    </w:p>
    <w:p>
      <w:pPr>
        <w:spacing w:line="620" w:lineRule="exact"/>
        <w:ind w:firstLine="646" w:firstLineChars="202"/>
        <w:rPr>
          <w:rFonts w:eastAsia="仿宋_GB2312"/>
          <w:w w:val="96"/>
          <w:sz w:val="32"/>
          <w:szCs w:val="32"/>
        </w:rPr>
      </w:pPr>
      <w:r>
        <w:rPr>
          <w:rFonts w:eastAsia="仿宋_GB2312"/>
          <w:sz w:val="32"/>
          <w:szCs w:val="32"/>
        </w:rPr>
        <w:t>（6）</w:t>
      </w:r>
      <w:r>
        <w:rPr>
          <w:rFonts w:eastAsia="仿宋_GB2312"/>
          <w:w w:val="96"/>
          <w:sz w:val="32"/>
          <w:szCs w:val="32"/>
        </w:rPr>
        <w:t>领导全市人民法院的纪检监察工作及党风廉政工作。</w:t>
      </w:r>
    </w:p>
    <w:p>
      <w:pPr>
        <w:spacing w:line="620" w:lineRule="exact"/>
        <w:ind w:firstLine="646" w:firstLineChars="202"/>
        <w:rPr>
          <w:rFonts w:eastAsia="仿宋_GB2312"/>
          <w:sz w:val="32"/>
          <w:szCs w:val="32"/>
        </w:rPr>
      </w:pPr>
      <w:r>
        <w:rPr>
          <w:rFonts w:eastAsia="仿宋_GB2312"/>
          <w:sz w:val="32"/>
          <w:szCs w:val="32"/>
        </w:rPr>
        <w:t>（7）协调规划管理全市人民法院的“两庭”建设、信息化建设和物质装备建设。</w:t>
      </w:r>
    </w:p>
    <w:p>
      <w:pPr>
        <w:spacing w:line="620" w:lineRule="exact"/>
        <w:ind w:firstLine="646" w:firstLineChars="202"/>
        <w:rPr>
          <w:rFonts w:eastAsia="仿宋_GB2312"/>
          <w:sz w:val="32"/>
          <w:szCs w:val="32"/>
        </w:rPr>
      </w:pPr>
      <w:r>
        <w:rPr>
          <w:rFonts w:eastAsia="仿宋_GB2312"/>
          <w:sz w:val="32"/>
          <w:szCs w:val="32"/>
        </w:rPr>
        <w:t>（8）在审判工作中宣传法制，教育公民忠于祖国、自觉遵守宪法、法律和社会公德。</w:t>
      </w:r>
    </w:p>
    <w:p>
      <w:pPr>
        <w:spacing w:line="620" w:lineRule="exact"/>
        <w:ind w:firstLine="646" w:firstLineChars="202"/>
        <w:rPr>
          <w:rFonts w:eastAsia="仿宋_GB2312"/>
          <w:sz w:val="32"/>
          <w:szCs w:val="32"/>
        </w:rPr>
      </w:pPr>
      <w:r>
        <w:rPr>
          <w:rFonts w:eastAsia="仿宋_GB2312"/>
          <w:sz w:val="32"/>
          <w:szCs w:val="32"/>
        </w:rPr>
        <w:t>（9）</w:t>
      </w:r>
      <w:r>
        <w:rPr>
          <w:rFonts w:eastAsia="仿宋_GB2312"/>
          <w:w w:val="96"/>
          <w:sz w:val="32"/>
          <w:szCs w:val="32"/>
        </w:rPr>
        <w:t>对广元市人民代表大会及其常委会负责并报告工作。</w:t>
      </w:r>
    </w:p>
    <w:p>
      <w:pPr>
        <w:spacing w:line="620" w:lineRule="exact"/>
        <w:ind w:firstLine="646" w:firstLineChars="202"/>
        <w:rPr>
          <w:rFonts w:eastAsia="仿宋_GB2312"/>
          <w:sz w:val="32"/>
          <w:szCs w:val="32"/>
        </w:rPr>
      </w:pPr>
      <w:r>
        <w:rPr>
          <w:rFonts w:eastAsia="仿宋_GB2312"/>
          <w:sz w:val="32"/>
          <w:szCs w:val="32"/>
        </w:rPr>
        <w:t>（10）承办其他应由本院负责的工作。</w:t>
      </w:r>
    </w:p>
    <w:p>
      <w:pPr>
        <w:spacing w:line="620" w:lineRule="exact"/>
        <w:ind w:firstLine="646" w:firstLineChars="202"/>
        <w:rPr>
          <w:rFonts w:ascii="方正楷体简体" w:eastAsia="方正楷体简体"/>
          <w:sz w:val="32"/>
          <w:szCs w:val="32"/>
        </w:rPr>
      </w:pPr>
      <w:r>
        <w:rPr>
          <w:rFonts w:ascii="方正楷体简体" w:eastAsia="方正楷体简体"/>
          <w:sz w:val="32"/>
          <w:szCs w:val="32"/>
        </w:rPr>
        <w:t>（二）2021年重点工作完成情况。</w:t>
      </w:r>
      <w:bookmarkEnd w:id="13"/>
      <w:bookmarkEnd w:id="14"/>
    </w:p>
    <w:p>
      <w:pPr>
        <w:spacing w:line="620" w:lineRule="exact"/>
        <w:ind w:firstLine="649" w:firstLineChars="202"/>
        <w:rPr>
          <w:rFonts w:eastAsia="仿宋_GB2312"/>
          <w:b/>
          <w:w w:val="96"/>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以</w:t>
      </w:r>
      <w:r>
        <w:rPr>
          <w:rFonts w:eastAsia="仿宋_GB2312"/>
          <w:b/>
          <w:w w:val="96"/>
          <w:sz w:val="32"/>
          <w:szCs w:val="32"/>
        </w:rPr>
        <w:t>政治建设为引领，统筹推进党史学习与队伍教育整顿</w:t>
      </w:r>
    </w:p>
    <w:p>
      <w:pPr>
        <w:spacing w:line="620" w:lineRule="exact"/>
        <w:ind w:firstLine="646" w:firstLineChars="202"/>
        <w:rPr>
          <w:rFonts w:eastAsia="仿宋_GB2312"/>
          <w:sz w:val="32"/>
          <w:szCs w:val="32"/>
        </w:rPr>
      </w:pPr>
      <w:r>
        <w:rPr>
          <w:rFonts w:eastAsia="仿宋_GB2312"/>
          <w:sz w:val="32"/>
          <w:szCs w:val="32"/>
        </w:rPr>
        <w:t>持续筑牢政治忠诚。将学习贯彻习近平总书记“七一”重要讲话精神作为首要政治任务抓紧抓实。邀请市纪委书记为全市法院开讲廉政警示教育第一课，举办郭兴利英模事迹报告会，组织开展主题交流会、“请党放心 法治有我”主题征文等活动，引领全体干警树牢“四个意识”坚定“四个自信”做到“两个维护”。推树四川政法先锋2人、优秀政法干警11人、参加全市政法队伍教育整顿英模宣传5人。</w:t>
      </w:r>
    </w:p>
    <w:p>
      <w:pPr>
        <w:spacing w:line="620" w:lineRule="exact"/>
        <w:ind w:firstLine="646" w:firstLineChars="202"/>
        <w:rPr>
          <w:rFonts w:eastAsia="仿宋_GB2312"/>
          <w:sz w:val="32"/>
          <w:szCs w:val="32"/>
        </w:rPr>
      </w:pPr>
      <w:r>
        <w:rPr>
          <w:rFonts w:eastAsia="仿宋_GB2312"/>
          <w:sz w:val="32"/>
          <w:szCs w:val="32"/>
        </w:rPr>
        <w:t>较真碰硬刮骨疗毒。扎实开展政法队伍教育整顿，先后开展多轮次谈心谈话和自查填报。核查举报线索748条，倒查涉黑恶案件21件，核查“减假暂”案件5.6万件，交叉评查重点案件243件，清查涉法涉诉案件277件，反馈法律监督47条。坚持“自查从宽 被查从严”，运用“四种形态”处理干警234人。</w:t>
      </w:r>
    </w:p>
    <w:p>
      <w:pPr>
        <w:spacing w:line="620" w:lineRule="exact"/>
        <w:ind w:firstLine="646" w:firstLineChars="202"/>
        <w:rPr>
          <w:rFonts w:eastAsia="仿宋_GB2312"/>
          <w:sz w:val="32"/>
          <w:szCs w:val="32"/>
        </w:rPr>
      </w:pPr>
      <w:r>
        <w:rPr>
          <w:rFonts w:eastAsia="仿宋_GB2312"/>
          <w:sz w:val="32"/>
          <w:szCs w:val="32"/>
        </w:rPr>
        <w:t>一体推进成果转化。严格贯彻执行“三个规定”，建立“三个规定”填报“月通报”制度。持续深化“我为群众办实事”活动，开展全市法院“感受公平正义”专项行动。先后完善审判权运行、队伍管理、素能提升等制度机制137项，提升审判执行工作全流程监督管理实效。</w:t>
      </w:r>
    </w:p>
    <w:p>
      <w:pPr>
        <w:spacing w:line="620" w:lineRule="exact"/>
        <w:ind w:firstLine="649" w:firstLineChars="202"/>
        <w:rPr>
          <w:rFonts w:eastAsia="仿宋_GB2312"/>
          <w:b/>
          <w:w w:val="96"/>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以</w:t>
      </w:r>
      <w:r>
        <w:rPr>
          <w:rFonts w:eastAsia="仿宋_GB2312"/>
          <w:b/>
          <w:w w:val="96"/>
          <w:sz w:val="32"/>
          <w:szCs w:val="32"/>
        </w:rPr>
        <w:t xml:space="preserve">服务大局为导向，坚实贯彻全面推动高质量发展要求 </w:t>
      </w:r>
    </w:p>
    <w:p>
      <w:pPr>
        <w:spacing w:line="620" w:lineRule="exact"/>
        <w:ind w:firstLine="646" w:firstLineChars="202"/>
        <w:rPr>
          <w:rFonts w:eastAsia="仿宋_GB2312"/>
          <w:sz w:val="32"/>
          <w:szCs w:val="32"/>
        </w:rPr>
      </w:pPr>
      <w:r>
        <w:rPr>
          <w:rFonts w:eastAsia="仿宋_GB2312"/>
          <w:sz w:val="32"/>
          <w:szCs w:val="32"/>
        </w:rPr>
        <w:t xml:space="preserve">持续优化法治化营商环境。不断深化“法官企业1+1  司法服务面对面”专项行动，深入开展法治宣讲、专题座谈，实地走访行业、企业，着力化解涉企纠纷，服务保障民营经济健康发展。以“府院联动”机制为依托，先后召开7次全市破产审理“府院联动”工作会，妥善审结广元市巨石温泉开发有限公司破产和解案等企业破产案件23件。牵头与市工商联、市民营办联合启动为期三个月的广元市“优化营商环境 护航民营企业”专项行动并召开专项工作推进会，执结涉民营企业案件1054件，执行到位金额5.56亿元。 </w:t>
      </w:r>
    </w:p>
    <w:p>
      <w:pPr>
        <w:spacing w:line="620" w:lineRule="exact"/>
        <w:ind w:firstLine="646" w:firstLineChars="202"/>
        <w:rPr>
          <w:rFonts w:eastAsia="仿宋_GB2312"/>
          <w:sz w:val="32"/>
          <w:szCs w:val="32"/>
        </w:rPr>
      </w:pPr>
      <w:r>
        <w:rPr>
          <w:rFonts w:eastAsia="仿宋_GB2312"/>
          <w:sz w:val="32"/>
          <w:szCs w:val="32"/>
        </w:rPr>
        <w:t>深入践行“两山”理念。结合《长江保护法》实施，统筹全市法院在嘉陵江广元流经地全覆盖设立水资源司法保护站。推动川陕甘渝4省市11家法院签订嘉陵江流域环境资源保护司法协作协议，联合发布《嘉陵江流域环境资源审判十大典型案例》。牵头与市级八部门联合建立生态环境与自然资源行政执法与司法联动机制，共同守住环境资源安全底线。</w:t>
      </w:r>
    </w:p>
    <w:p>
      <w:pPr>
        <w:spacing w:line="620" w:lineRule="exact"/>
        <w:ind w:firstLine="646" w:firstLineChars="202"/>
        <w:rPr>
          <w:rFonts w:eastAsia="仿宋_GB2312"/>
          <w:sz w:val="32"/>
          <w:szCs w:val="32"/>
        </w:rPr>
      </w:pPr>
      <w:r>
        <w:rPr>
          <w:rFonts w:eastAsia="仿宋_GB2312"/>
          <w:sz w:val="32"/>
          <w:szCs w:val="32"/>
        </w:rPr>
        <w:t>着力拓宽司法服务路径。紧扣“三农”工作重心，依法审理各类涉农案件，以司法手段服务巩固和拓展脱贫攻坚成果。安排新招录选调生到村任职，为做好巩固拓展脱贫攻坚成果同乡村振兴有效衔接提供人才保障。全面夯实基层基础，不断优化人民法庭布局，整合基层法庭34个，以“郭兴利工作队”为依托，深度参与基层社会治理，全市人民法庭审结案件13136件，调撤案件9044件，调撤率68.8%。</w:t>
      </w:r>
    </w:p>
    <w:p>
      <w:pPr>
        <w:spacing w:line="620" w:lineRule="exact"/>
        <w:ind w:firstLine="649" w:firstLineChars="202"/>
        <w:rPr>
          <w:rFonts w:eastAsia="仿宋_GB2312"/>
          <w:b/>
          <w:sz w:val="32"/>
          <w:szCs w:val="32"/>
        </w:rPr>
      </w:pPr>
      <w:r>
        <w:rPr>
          <w:rFonts w:eastAsia="仿宋_GB2312"/>
          <w:b/>
          <w:sz w:val="32"/>
          <w:szCs w:val="32"/>
        </w:rPr>
        <w:t>3</w:t>
      </w:r>
      <w:r>
        <w:rPr>
          <w:rFonts w:hint="eastAsia" w:eastAsia="仿宋_GB2312"/>
          <w:b/>
          <w:sz w:val="32"/>
          <w:szCs w:val="32"/>
        </w:rPr>
        <w:t>.</w:t>
      </w:r>
      <w:r>
        <w:rPr>
          <w:rFonts w:eastAsia="仿宋_GB2312"/>
          <w:b/>
          <w:sz w:val="32"/>
          <w:szCs w:val="32"/>
        </w:rPr>
        <w:t>以履职担当为抓手，助力建设更高水平平安广元法治广元</w:t>
      </w:r>
    </w:p>
    <w:p>
      <w:pPr>
        <w:spacing w:line="620" w:lineRule="exact"/>
        <w:ind w:firstLine="646" w:firstLineChars="202"/>
        <w:rPr>
          <w:rFonts w:eastAsia="仿宋_GB2312"/>
          <w:sz w:val="32"/>
          <w:szCs w:val="32"/>
        </w:rPr>
      </w:pPr>
      <w:r>
        <w:rPr>
          <w:rFonts w:eastAsia="仿宋_GB2312"/>
          <w:sz w:val="32"/>
          <w:szCs w:val="32"/>
        </w:rPr>
        <w:t>坚决维护国家安全和社会安定。严厉打击故意杀人等严重暴力犯罪、“两抢一盗”等侵财型犯罪，一审审结4952件6606人。常态化开展扫黑除恶斗争，审结涉黑涉恶及“保护伞”犯罪案件4件41人。坚决惩治群众身边的电信网络诈骗、网络传销、网络“套路贷”等突出犯罪，依法审结罗青松等5人帮助信息网络犯罪活动案。加强民法典统一适用，妥善审理抚养、赡养、离婚等民事纠纷5198件，完善判前沟通、判后答疑工作机制，切实防范“民转刑”。扎实开展“治重化积”工作，邀请市委群工局相关负责人参加全市法院信访维稳暨治理重复信访工作推进会，目前两级法院已完成第一批“治重化积”交办任务。</w:t>
      </w:r>
    </w:p>
    <w:p>
      <w:pPr>
        <w:spacing w:line="620" w:lineRule="exact"/>
        <w:ind w:firstLine="646" w:firstLineChars="202"/>
        <w:rPr>
          <w:rFonts w:eastAsia="仿宋_GB2312"/>
          <w:sz w:val="32"/>
          <w:szCs w:val="32"/>
        </w:rPr>
      </w:pPr>
      <w:r>
        <w:rPr>
          <w:rFonts w:eastAsia="仿宋_GB2312"/>
          <w:sz w:val="32"/>
          <w:szCs w:val="32"/>
        </w:rPr>
        <w:t>坚定信念全面攻坚执行难题。进一步健全执行工作联动机制，与市交警支队建立机动车在线查封解封服务工作站。针对前期教育整顿中发现的执行领域突出问题，开展执行领域突出问题专项整治行动。截至目前，全市法院共受理执行案件17008件，执结14830件，执结率87.19%，执行到位金额14.3亿元。首次执行案件未结率13.12%，案件平均用时55.05天；无财产可供执行案件终本合格率、信访办结率、事项委托期限办结率均为100%。</w:t>
      </w:r>
    </w:p>
    <w:p>
      <w:pPr>
        <w:spacing w:line="620" w:lineRule="exact"/>
        <w:ind w:firstLine="646" w:firstLineChars="202"/>
        <w:rPr>
          <w:rFonts w:eastAsia="仿宋_GB2312"/>
          <w:sz w:val="32"/>
          <w:szCs w:val="32"/>
        </w:rPr>
      </w:pPr>
      <w:r>
        <w:rPr>
          <w:rFonts w:eastAsia="仿宋_GB2312"/>
          <w:sz w:val="32"/>
          <w:szCs w:val="32"/>
        </w:rPr>
        <w:t>精准施策助推法治政府建设。受理行政案件414件，审结357件，结案率86.2%。召开全市土地房屋征收拆迁案件法律适用专题研讨会,对审理土地房屋征收拆迁案件中有关举证责任分配、法律适用等方面问题达成共识。积极推进行政机关负责人出庭应诉工作，促进行政案件实质解决，妥善调处朱某某强制拆迁案、昭化供电公司行政协议纠纷等案件，全市行政机关负责人出庭应诉率同比有所上升。</w:t>
      </w:r>
    </w:p>
    <w:p>
      <w:pPr>
        <w:spacing w:line="620" w:lineRule="exact"/>
        <w:ind w:firstLine="649" w:firstLineChars="202"/>
        <w:rPr>
          <w:rFonts w:eastAsia="仿宋_GB2312"/>
          <w:b/>
          <w:sz w:val="32"/>
          <w:szCs w:val="32"/>
        </w:rPr>
      </w:pPr>
      <w:r>
        <w:rPr>
          <w:rFonts w:eastAsia="仿宋_GB2312"/>
          <w:b/>
          <w:sz w:val="32"/>
          <w:szCs w:val="32"/>
        </w:rPr>
        <w:t>4</w:t>
      </w:r>
      <w:r>
        <w:rPr>
          <w:rFonts w:hint="eastAsia" w:eastAsia="仿宋_GB2312"/>
          <w:b/>
          <w:sz w:val="32"/>
          <w:szCs w:val="32"/>
        </w:rPr>
        <w:t>.</w:t>
      </w:r>
      <w:r>
        <w:rPr>
          <w:rFonts w:eastAsia="仿宋_GB2312"/>
          <w:b/>
          <w:sz w:val="32"/>
          <w:szCs w:val="32"/>
        </w:rPr>
        <w:t>以便民利民为抓手，纵深推进一站式多元解纷和诉讼服务体系建设</w:t>
      </w:r>
    </w:p>
    <w:p>
      <w:pPr>
        <w:spacing w:line="620" w:lineRule="exact"/>
        <w:ind w:firstLine="646" w:firstLineChars="202"/>
        <w:rPr>
          <w:rFonts w:eastAsia="仿宋_GB2312"/>
          <w:sz w:val="32"/>
          <w:szCs w:val="32"/>
        </w:rPr>
      </w:pPr>
      <w:r>
        <w:rPr>
          <w:rFonts w:eastAsia="仿宋_GB2312"/>
          <w:sz w:val="32"/>
          <w:szCs w:val="32"/>
        </w:rPr>
        <w:t>统筹全市法院不断健全诉讼服务大厅、诉讼服务网、12368热线、巡回办理“厅网线巡”立体化诉讼渠道，设立16个诉讼服务站、58个诉讼服务点、8个城区信访接待室。今年，全市法院完成跨域立案118件，网上立案16921件，在线和集约送达文书和诉讼活动通知14801次,送达率60.89%。深入推进多元解纷机制建设，调解案件8896件，其中委托（委派）调解5172件，在线调解5168件。不断深化“分调裁审”机制改革，统筹全市法院在诉讼服务中心设立速裁团队13个，选派员额法官24名，审结速裁简案13469件，简案平均审理时间缩短至26.29天，“分调裁审”案件占比77.87%。</w:t>
      </w:r>
    </w:p>
    <w:p>
      <w:pPr>
        <w:spacing w:line="620" w:lineRule="exact"/>
        <w:ind w:firstLine="649" w:firstLineChars="202"/>
        <w:rPr>
          <w:rFonts w:eastAsia="仿宋_GB2312"/>
          <w:b/>
          <w:sz w:val="32"/>
          <w:szCs w:val="32"/>
        </w:rPr>
      </w:pPr>
      <w:r>
        <w:rPr>
          <w:rFonts w:eastAsia="仿宋_GB2312"/>
          <w:b/>
          <w:sz w:val="32"/>
          <w:szCs w:val="32"/>
        </w:rPr>
        <w:t>5</w:t>
      </w:r>
      <w:r>
        <w:rPr>
          <w:rFonts w:hint="eastAsia" w:eastAsia="仿宋_GB2312"/>
          <w:b/>
          <w:sz w:val="32"/>
          <w:szCs w:val="32"/>
        </w:rPr>
        <w:t>.</w:t>
      </w:r>
      <w:r>
        <w:rPr>
          <w:rFonts w:eastAsia="仿宋_GB2312"/>
          <w:b/>
          <w:sz w:val="32"/>
          <w:szCs w:val="32"/>
        </w:rPr>
        <w:t>以队伍建设为引擎，严实打造新时代法院过硬队伍</w:t>
      </w:r>
    </w:p>
    <w:p>
      <w:pPr>
        <w:spacing w:line="620" w:lineRule="exact"/>
        <w:ind w:firstLine="646" w:firstLineChars="202"/>
        <w:rPr>
          <w:rFonts w:eastAsia="仿宋_GB2312"/>
          <w:sz w:val="32"/>
          <w:szCs w:val="32"/>
        </w:rPr>
      </w:pPr>
      <w:r>
        <w:rPr>
          <w:rFonts w:eastAsia="仿宋_GB2312"/>
          <w:sz w:val="32"/>
          <w:szCs w:val="32"/>
        </w:rPr>
        <w:t>全市法院始终坚持把政治建设摆在首位，切实强化政治监督、积极主动接受纪检监督，不断提高政治“三力”，自觉把思想和行动统一到党中央和省委、市委决策部署上来。自开展全市干部纪律作风整顿以来，市法院党组坚决扛牢主体责任，先后多次召开党组会专题研究部署纪律作风整顿工作，专项听取县区法院汇报并作安排部署，确保两级法院上下“一盘棋”统筹推进、取得实效。纵深推进全市法院“薪火”计划，成立青年工作委员会，组织两级法院优秀年轻干部开设“强基筑魂提升班”，为法院发展补足后劲。</w:t>
      </w:r>
    </w:p>
    <w:p>
      <w:pPr>
        <w:spacing w:line="620" w:lineRule="exact"/>
        <w:ind w:firstLine="646" w:firstLineChars="202"/>
        <w:rPr>
          <w:rFonts w:ascii="方正黑体简体" w:eastAsia="方正黑体简体"/>
          <w:sz w:val="32"/>
          <w:szCs w:val="32"/>
        </w:rPr>
      </w:pPr>
      <w:bookmarkStart w:id="17" w:name="_Toc15396601"/>
      <w:bookmarkStart w:id="18" w:name="_Toc15377200"/>
      <w:r>
        <w:rPr>
          <w:rFonts w:ascii="方正黑体简体" w:eastAsia="方正黑体简体"/>
          <w:sz w:val="32"/>
          <w:szCs w:val="32"/>
        </w:rPr>
        <w:t>二、机构设置</w:t>
      </w:r>
      <w:bookmarkEnd w:id="17"/>
      <w:bookmarkEnd w:id="18"/>
    </w:p>
    <w:p>
      <w:pPr>
        <w:spacing w:line="620" w:lineRule="exact"/>
        <w:ind w:firstLine="646" w:firstLineChars="202"/>
        <w:rPr>
          <w:rFonts w:eastAsia="仿宋_GB2312"/>
          <w:sz w:val="32"/>
          <w:szCs w:val="32"/>
        </w:rPr>
      </w:pPr>
      <w:r>
        <w:rPr>
          <w:rFonts w:eastAsia="仿宋_GB2312"/>
          <w:sz w:val="32"/>
          <w:szCs w:val="32"/>
        </w:rPr>
        <w:t>四川省广元市中级人民法院部门决算仅包含本级，无下属二级单位。</w:t>
      </w:r>
    </w:p>
    <w:p>
      <w:pPr>
        <w:spacing w:line="580" w:lineRule="exact"/>
        <w:ind w:firstLine="646" w:firstLineChars="202"/>
        <w:rPr>
          <w:rFonts w:eastAsia="仿宋_GB2312"/>
          <w:sz w:val="32"/>
          <w:szCs w:val="32"/>
        </w:rPr>
      </w:pPr>
      <w:r>
        <w:rPr>
          <w:rFonts w:eastAsia="仿宋_GB2312"/>
          <w:sz w:val="32"/>
          <w:szCs w:val="32"/>
        </w:rPr>
        <w:br w:type="page"/>
      </w:r>
    </w:p>
    <w:p>
      <w:pPr>
        <w:spacing w:line="640" w:lineRule="exact"/>
        <w:jc w:val="center"/>
        <w:rPr>
          <w:rFonts w:eastAsia="方正小标宋简体"/>
          <w:sz w:val="32"/>
          <w:szCs w:val="32"/>
        </w:rPr>
      </w:pPr>
      <w:bookmarkStart w:id="19" w:name="_Toc15396602"/>
      <w:bookmarkStart w:id="20" w:name="_Toc15377204"/>
      <w:r>
        <w:rPr>
          <w:rFonts w:eastAsia="方正小标宋简体"/>
          <w:sz w:val="32"/>
          <w:szCs w:val="32"/>
        </w:rPr>
        <w:t>第二部分 2021年度部门决算情况说明</w:t>
      </w:r>
      <w:bookmarkEnd w:id="19"/>
      <w:bookmarkEnd w:id="20"/>
    </w:p>
    <w:p>
      <w:pPr>
        <w:spacing w:line="640" w:lineRule="exact"/>
        <w:rPr>
          <w:rFonts w:eastAsia="仿宋_GB2312"/>
          <w:sz w:val="32"/>
          <w:szCs w:val="32"/>
        </w:rPr>
      </w:pPr>
    </w:p>
    <w:p>
      <w:pPr>
        <w:spacing w:line="640" w:lineRule="exact"/>
        <w:ind w:firstLine="707" w:firstLineChars="221"/>
        <w:rPr>
          <w:rFonts w:eastAsia="方正黑体简体"/>
          <w:sz w:val="32"/>
          <w:szCs w:val="32"/>
        </w:rPr>
      </w:pPr>
      <w:bookmarkStart w:id="21" w:name="_Toc15396603"/>
      <w:bookmarkStart w:id="22" w:name="_Toc15377205"/>
      <w:r>
        <w:rPr>
          <w:rFonts w:eastAsia="方正黑体简体"/>
          <w:sz w:val="32"/>
          <w:szCs w:val="32"/>
        </w:rPr>
        <w:t>一、收入支出决算总体情况说明</w:t>
      </w:r>
      <w:bookmarkEnd w:id="21"/>
      <w:bookmarkEnd w:id="22"/>
    </w:p>
    <w:p>
      <w:pPr>
        <w:spacing w:line="640" w:lineRule="exact"/>
        <w:ind w:firstLine="707" w:firstLineChars="221"/>
        <w:rPr>
          <w:rFonts w:eastAsia="仿宋_GB2312"/>
          <w:sz w:val="32"/>
          <w:szCs w:val="32"/>
        </w:rPr>
      </w:pPr>
      <w:r>
        <w:rPr>
          <w:rFonts w:eastAsia="仿宋_GB2312"/>
          <w:sz w:val="32"/>
          <w:szCs w:val="32"/>
        </w:rPr>
        <w:t>2021年度收、支总计7195.44万元。与2020年相比，收、支总计各增加354.05万元，增长5.17%。主要变动原因一是人员级别晋升导致工资、保险增长，人员经费增加；</w:t>
      </w:r>
      <w:r>
        <w:rPr>
          <w:rFonts w:hint="eastAsia" w:eastAsia="仿宋_GB2312"/>
          <w:sz w:val="32"/>
          <w:szCs w:val="32"/>
          <w:lang w:eastAsia="zh-CN"/>
        </w:rPr>
        <w:t>二是</w:t>
      </w:r>
      <w:r>
        <w:rPr>
          <w:rFonts w:eastAsia="仿宋_GB2312"/>
          <w:sz w:val="32"/>
          <w:szCs w:val="32"/>
        </w:rPr>
        <w:t>2021年开展政法教育整顿等专项活动，加之办案成本增长导致办案业务经费增加；三是2021年采购执法执勤车辆及更新部分办公办案设施设备，增加了资本性支出。</w:t>
      </w:r>
    </w:p>
    <w:p>
      <w:pPr>
        <w:spacing w:line="640" w:lineRule="exact"/>
        <w:ind w:firstLine="320" w:firstLineChars="100"/>
        <w:rPr>
          <w:rFonts w:eastAsia="仿宋"/>
          <w:sz w:val="32"/>
          <w:szCs w:val="32"/>
        </w:rPr>
      </w:pPr>
      <w:r>
        <w:rPr>
          <w:rFonts w:eastAsia="仿宋"/>
          <w:sz w:val="32"/>
          <w:szCs w:val="32"/>
        </w:rPr>
        <w:t xml:space="preserve">（图1：收、支决算总计变动情况图 </w:t>
      </w:r>
      <w:r>
        <w:rPr>
          <w:rFonts w:eastAsia="仿宋_GB2312"/>
          <w:color w:val="000000"/>
          <w:sz w:val="32"/>
          <w:szCs w:val="32"/>
        </w:rPr>
        <w:t>单位：万元</w:t>
      </w:r>
      <w:r>
        <w:rPr>
          <w:rFonts w:eastAsia="仿宋"/>
          <w:sz w:val="32"/>
          <w:szCs w:val="32"/>
        </w:rPr>
        <w:t>）</w:t>
      </w:r>
    </w:p>
    <w:p>
      <w:pPr>
        <w:ind w:firstLine="420" w:firstLineChars="200"/>
        <w:jc w:val="left"/>
        <w:rPr>
          <w:rFonts w:eastAsia="仿宋_GB2312"/>
          <w:sz w:val="32"/>
          <w:szCs w:val="32"/>
        </w:rPr>
      </w:pPr>
      <w:r>
        <w:drawing>
          <wp:inline distT="0" distB="0" distL="114300" distR="114300">
            <wp:extent cx="4572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40" w:lineRule="exact"/>
        <w:ind w:firstLine="707" w:firstLineChars="221"/>
        <w:rPr>
          <w:rFonts w:eastAsia="方正黑体简体"/>
          <w:sz w:val="32"/>
          <w:szCs w:val="32"/>
        </w:rPr>
      </w:pPr>
      <w:bookmarkStart w:id="23" w:name="_Toc15377206"/>
      <w:bookmarkStart w:id="24" w:name="_Toc15396604"/>
      <w:r>
        <w:rPr>
          <w:rFonts w:eastAsia="方正黑体简体"/>
          <w:sz w:val="32"/>
          <w:szCs w:val="32"/>
        </w:rPr>
        <w:t>二、收入决算情况说明</w:t>
      </w:r>
      <w:bookmarkEnd w:id="23"/>
      <w:bookmarkEnd w:id="24"/>
    </w:p>
    <w:p>
      <w:pPr>
        <w:spacing w:line="640" w:lineRule="exact"/>
        <w:ind w:firstLine="640" w:firstLineChars="200"/>
        <w:outlineLvl w:val="1"/>
        <w:rPr>
          <w:rFonts w:eastAsia="仿宋"/>
          <w:sz w:val="32"/>
          <w:szCs w:val="32"/>
        </w:rPr>
      </w:pPr>
      <w:r>
        <w:rPr>
          <w:rFonts w:eastAsia="仿宋"/>
          <w:sz w:val="32"/>
          <w:szCs w:val="32"/>
        </w:rPr>
        <w:t>2021年本年收入合计4413.86万元，其中：一般公共预算财政拨款收入4413.86万元，占100%。</w:t>
      </w:r>
    </w:p>
    <w:p>
      <w:pPr>
        <w:spacing w:line="640" w:lineRule="exact"/>
        <w:ind w:firstLine="707" w:firstLineChars="221"/>
        <w:outlineLvl w:val="1"/>
        <w:rPr>
          <w:rFonts w:eastAsia="仿宋"/>
          <w:sz w:val="32"/>
          <w:szCs w:val="32"/>
        </w:rPr>
      </w:pPr>
      <w:r>
        <w:rPr>
          <w:rFonts w:eastAsia="仿宋"/>
          <w:sz w:val="32"/>
          <w:szCs w:val="32"/>
        </w:rPr>
        <w:t>（图2：收入决算结构图）</w:t>
      </w:r>
    </w:p>
    <w:p>
      <w:pPr>
        <w:pStyle w:val="2"/>
        <w:spacing w:before="93"/>
        <w:rPr>
          <w:rFonts w:ascii="Times New Roman"/>
        </w:rPr>
      </w:pPr>
      <w:r>
        <w:rPr>
          <w:rFonts w:ascii="Times New Roman"/>
        </w:rPr>
        <w:drawing>
          <wp:inline distT="0" distB="0" distL="114300" distR="114300">
            <wp:extent cx="4572000" cy="2743200"/>
            <wp:effectExtent l="4445" t="4445" r="825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eastAsia="仿宋_GB2312"/>
          <w:sz w:val="32"/>
          <w:szCs w:val="32"/>
        </w:rPr>
      </w:pPr>
    </w:p>
    <w:p>
      <w:pPr>
        <w:ind w:firstLine="707" w:firstLineChars="221"/>
        <w:rPr>
          <w:rFonts w:eastAsia="方正黑体简体"/>
          <w:sz w:val="32"/>
          <w:szCs w:val="32"/>
        </w:rPr>
      </w:pPr>
      <w:bookmarkStart w:id="25" w:name="_Toc15396605"/>
      <w:bookmarkStart w:id="26" w:name="_Toc15377207"/>
      <w:r>
        <w:rPr>
          <w:rFonts w:eastAsia="方正黑体简体"/>
          <w:sz w:val="32"/>
          <w:szCs w:val="32"/>
        </w:rPr>
        <w:t>三、支出决算情况说明</w:t>
      </w:r>
      <w:bookmarkEnd w:id="25"/>
      <w:bookmarkEnd w:id="26"/>
    </w:p>
    <w:p>
      <w:pPr>
        <w:spacing w:line="600" w:lineRule="exact"/>
        <w:ind w:firstLine="640" w:firstLineChars="200"/>
        <w:outlineLvl w:val="1"/>
        <w:rPr>
          <w:rFonts w:eastAsia="仿宋"/>
          <w:sz w:val="32"/>
          <w:szCs w:val="32"/>
          <w:shd w:val="pct10" w:color="auto" w:fill="FFFFFF"/>
        </w:rPr>
      </w:pPr>
      <w:r>
        <w:rPr>
          <w:rFonts w:eastAsia="仿宋"/>
          <w:sz w:val="32"/>
          <w:szCs w:val="32"/>
        </w:rPr>
        <w:t>2021年本年支出合计4901.42万元，其中：基本支出3812.54万元，占77.78%；项目支出1088.87万元，占22.22%。</w:t>
      </w:r>
    </w:p>
    <w:p>
      <w:pPr>
        <w:spacing w:line="600" w:lineRule="exact"/>
        <w:ind w:firstLine="640" w:firstLineChars="200"/>
        <w:rPr>
          <w:rFonts w:eastAsia="仿宋"/>
          <w:sz w:val="32"/>
          <w:szCs w:val="32"/>
        </w:rPr>
      </w:pPr>
      <w:r>
        <w:rPr>
          <w:rFonts w:eastAsia="仿宋"/>
          <w:sz w:val="32"/>
          <w:szCs w:val="32"/>
        </w:rPr>
        <w:t>（图3：支出决算结构图  单位：万元）</w:t>
      </w:r>
    </w:p>
    <w:p>
      <w:pPr>
        <w:pStyle w:val="2"/>
        <w:spacing w:before="93"/>
        <w:rPr>
          <w:rFonts w:ascii="Times New Roman"/>
        </w:rPr>
      </w:pPr>
      <w:r>
        <w:rPr>
          <w:rFonts w:ascii="Times New Roman"/>
        </w:rPr>
        <w:drawing>
          <wp:inline distT="0" distB="0" distL="114300" distR="114300">
            <wp:extent cx="4572000" cy="2743200"/>
            <wp:effectExtent l="4445" t="4445" r="8255"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eastAsia="仿宋_GB2312"/>
          <w:sz w:val="32"/>
          <w:szCs w:val="32"/>
        </w:rPr>
      </w:pPr>
    </w:p>
    <w:p>
      <w:pPr>
        <w:ind w:firstLine="707" w:firstLineChars="221"/>
        <w:rPr>
          <w:rFonts w:eastAsia="方正黑体简体"/>
          <w:sz w:val="32"/>
          <w:szCs w:val="32"/>
        </w:rPr>
      </w:pPr>
      <w:bookmarkStart w:id="27" w:name="_Toc15396606"/>
      <w:bookmarkStart w:id="28" w:name="_Toc15377208"/>
      <w:r>
        <w:rPr>
          <w:rFonts w:eastAsia="方正黑体简体"/>
          <w:sz w:val="32"/>
          <w:szCs w:val="32"/>
        </w:rPr>
        <w:t>四、财政拨款收入支出决算总体情况说明</w:t>
      </w:r>
      <w:bookmarkEnd w:id="27"/>
      <w:bookmarkEnd w:id="28"/>
    </w:p>
    <w:p>
      <w:pPr>
        <w:spacing w:line="600" w:lineRule="exact"/>
        <w:ind w:firstLine="640" w:firstLineChars="200"/>
        <w:rPr>
          <w:rFonts w:eastAsia="仿宋"/>
          <w:sz w:val="32"/>
          <w:szCs w:val="32"/>
        </w:rPr>
      </w:pPr>
      <w:r>
        <w:rPr>
          <w:rFonts w:eastAsia="仿宋"/>
          <w:sz w:val="32"/>
          <w:szCs w:val="32"/>
        </w:rPr>
        <w:t>2021年财政拨款收、支总计7195.44万元。与2020年相比，财政拨款收、支总计各增加358.87万元，增长5.23%。主要变动原因一是人员级别晋升导致工资、保险增长，人员经费增加；</w:t>
      </w:r>
      <w:r>
        <w:rPr>
          <w:rFonts w:hint="eastAsia" w:eastAsia="仿宋"/>
          <w:sz w:val="32"/>
          <w:szCs w:val="32"/>
          <w:lang w:eastAsia="zh-CN"/>
        </w:rPr>
        <w:t>二是</w:t>
      </w:r>
      <w:r>
        <w:rPr>
          <w:rFonts w:eastAsia="仿宋"/>
          <w:sz w:val="32"/>
          <w:szCs w:val="32"/>
        </w:rPr>
        <w:t>2021年开展政法教育整顿等专项活动，加之办案成本增长导致办案业务经费增加；三是2021年采购执法执勤车辆及更新部分办公办案设施设备，增加了资本性支出。</w:t>
      </w:r>
    </w:p>
    <w:p>
      <w:pPr>
        <w:spacing w:line="600" w:lineRule="exact"/>
        <w:rPr>
          <w:rFonts w:eastAsia="仿宋"/>
          <w:sz w:val="32"/>
          <w:szCs w:val="32"/>
        </w:rPr>
      </w:pPr>
      <w:r>
        <w:rPr>
          <w:rFonts w:eastAsia="仿宋"/>
          <w:sz w:val="32"/>
          <w:szCs w:val="32"/>
        </w:rPr>
        <w:t>（图4：财政拨款收、支决算总计变动情况  单位：万元）</w:t>
      </w:r>
    </w:p>
    <w:p>
      <w:pPr>
        <w:pStyle w:val="2"/>
        <w:spacing w:before="93"/>
        <w:rPr>
          <w:rFonts w:ascii="Times New Roman"/>
        </w:rPr>
      </w:pPr>
      <w:r>
        <w:rPr>
          <w:rFonts w:ascii="Times New Roman"/>
        </w:rPr>
        <w:drawing>
          <wp:inline distT="0" distB="0" distL="114300" distR="114300">
            <wp:extent cx="4563110" cy="2553335"/>
            <wp:effectExtent l="0" t="0" r="27940"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
          <w:b/>
          <w:sz w:val="32"/>
          <w:szCs w:val="32"/>
        </w:rPr>
      </w:pPr>
    </w:p>
    <w:p>
      <w:pPr>
        <w:ind w:firstLine="707" w:firstLineChars="221"/>
        <w:rPr>
          <w:rFonts w:eastAsia="方正黑体简体"/>
          <w:sz w:val="32"/>
          <w:szCs w:val="32"/>
        </w:rPr>
      </w:pPr>
      <w:bookmarkStart w:id="29" w:name="_Toc15377209"/>
      <w:bookmarkStart w:id="30" w:name="_Toc15396607"/>
      <w:r>
        <w:rPr>
          <w:rFonts w:eastAsia="方正黑体简体"/>
          <w:sz w:val="32"/>
          <w:szCs w:val="32"/>
        </w:rPr>
        <w:t>五、一般公共预算财政拨款支出决算情况说明</w:t>
      </w:r>
      <w:bookmarkEnd w:id="29"/>
      <w:bookmarkEnd w:id="30"/>
    </w:p>
    <w:p>
      <w:pPr>
        <w:spacing w:line="600" w:lineRule="exact"/>
        <w:ind w:firstLine="640" w:firstLineChars="200"/>
        <w:outlineLvl w:val="2"/>
        <w:rPr>
          <w:rFonts w:ascii="方正楷体简体" w:eastAsia="方正楷体简体"/>
          <w:sz w:val="32"/>
          <w:szCs w:val="32"/>
        </w:rPr>
      </w:pPr>
      <w:bookmarkStart w:id="31" w:name="_Toc15377210"/>
      <w:r>
        <w:rPr>
          <w:rFonts w:hint="eastAsia" w:ascii="方正楷体简体" w:eastAsia="方正楷体简体"/>
          <w:sz w:val="32"/>
          <w:szCs w:val="32"/>
        </w:rPr>
        <w:t>（一）一般公共预算财政拨款支出决算总体情况</w:t>
      </w:r>
      <w:bookmarkEnd w:id="31"/>
    </w:p>
    <w:p>
      <w:pPr>
        <w:spacing w:line="600" w:lineRule="exact"/>
        <w:ind w:firstLine="640" w:firstLineChars="200"/>
        <w:rPr>
          <w:rFonts w:eastAsia="仿宋"/>
          <w:sz w:val="32"/>
          <w:szCs w:val="32"/>
        </w:rPr>
      </w:pPr>
      <w:r>
        <w:rPr>
          <w:rFonts w:eastAsia="仿宋"/>
          <w:sz w:val="32"/>
          <w:szCs w:val="32"/>
        </w:rPr>
        <w:t>2021年一般公共预算财政拨款支出4901.42万元，占本年支出合计的100%。与2020年相比，一般公共预算财政拨款支出增加846.56万元，增长20.87%。主要变动原因</w:t>
      </w:r>
      <w:r>
        <w:rPr>
          <w:rFonts w:hint="eastAsia" w:eastAsia="仿宋"/>
          <w:sz w:val="32"/>
          <w:szCs w:val="32"/>
          <w:lang w:eastAsia="zh-CN"/>
        </w:rPr>
        <w:t>一是</w:t>
      </w:r>
      <w:r>
        <w:rPr>
          <w:rFonts w:eastAsia="仿宋"/>
          <w:sz w:val="32"/>
          <w:szCs w:val="32"/>
        </w:rPr>
        <w:t>人员级别晋升导致工资、保险增长，人员经费增加；</w:t>
      </w:r>
      <w:r>
        <w:rPr>
          <w:rFonts w:hint="eastAsia" w:eastAsia="仿宋"/>
          <w:sz w:val="32"/>
          <w:szCs w:val="32"/>
          <w:lang w:eastAsia="zh-CN"/>
        </w:rPr>
        <w:t>二是</w:t>
      </w:r>
      <w:r>
        <w:rPr>
          <w:rFonts w:eastAsia="仿宋"/>
          <w:sz w:val="32"/>
          <w:szCs w:val="32"/>
        </w:rPr>
        <w:t>2021年开展政法教育整顿等专项活动，加之办案成本增长导致办案业务经费增加；三是2021年采购执法执勤车辆及更新部分办公办案设施设备，增加了资本性支出。</w:t>
      </w:r>
    </w:p>
    <w:p>
      <w:pPr>
        <w:spacing w:line="600" w:lineRule="exact"/>
        <w:rPr>
          <w:rFonts w:eastAsia="仿宋"/>
          <w:w w:val="90"/>
          <w:sz w:val="32"/>
          <w:szCs w:val="32"/>
        </w:rPr>
      </w:pPr>
      <w:r>
        <w:rPr>
          <w:rFonts w:eastAsia="仿宋"/>
          <w:w w:val="90"/>
          <w:sz w:val="32"/>
          <w:szCs w:val="32"/>
        </w:rPr>
        <w:t>（图5：一般公共预算财政拨款支出决算变动情况  单位：万元）</w:t>
      </w:r>
    </w:p>
    <w:p>
      <w:pPr>
        <w:pStyle w:val="2"/>
        <w:spacing w:before="93"/>
        <w:rPr>
          <w:rFonts w:ascii="Times New Roman"/>
        </w:rPr>
      </w:pPr>
      <w:r>
        <w:rPr>
          <w:rFonts w:ascii="Times New Roman"/>
        </w:rPr>
        <w:drawing>
          <wp:inline distT="0" distB="0" distL="114300" distR="114300">
            <wp:extent cx="4572000" cy="2561590"/>
            <wp:effectExtent l="0" t="0" r="19050"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2"/>
        <w:rPr>
          <w:rFonts w:ascii="方正楷体简体" w:eastAsia="方正楷体简体"/>
          <w:sz w:val="32"/>
          <w:szCs w:val="32"/>
        </w:rPr>
      </w:pPr>
      <w:bookmarkStart w:id="32" w:name="_Toc15377211"/>
      <w:r>
        <w:rPr>
          <w:rFonts w:hint="eastAsia" w:ascii="方正楷体简体" w:eastAsia="方正楷体简体"/>
          <w:sz w:val="32"/>
          <w:szCs w:val="32"/>
        </w:rPr>
        <w:t>（二）一般公共预算财政拨款支出决算结构情况</w:t>
      </w:r>
      <w:bookmarkEnd w:id="32"/>
    </w:p>
    <w:p>
      <w:pPr>
        <w:spacing w:line="574" w:lineRule="exact"/>
        <w:ind w:firstLine="200"/>
        <w:rPr>
          <w:rFonts w:eastAsia="仿宋"/>
          <w:sz w:val="32"/>
          <w:szCs w:val="32"/>
        </w:rPr>
      </w:pPr>
      <w:r>
        <w:rPr>
          <w:rFonts w:eastAsia="仿宋"/>
          <w:sz w:val="32"/>
          <w:szCs w:val="32"/>
        </w:rPr>
        <w:t>2021年一般公共预算财政拨款支出4901.42万元，主要用于以下方面:</w:t>
      </w:r>
      <w:r>
        <w:rPr>
          <w:rFonts w:eastAsia="仿宋_GB2312"/>
          <w:color w:val="000000"/>
          <w:sz w:val="32"/>
          <w:szCs w:val="32"/>
        </w:rPr>
        <w:t>公共安全支出（类）4170.55万元，占85.09%；社会保障和就业支出（类）270.65万元，占5.52%；卫生健康支出（类）118.53万元，占2.42%；住房保障支出（类）341.7万元，占6.97%。</w:t>
      </w:r>
    </w:p>
    <w:p>
      <w:pPr>
        <w:spacing w:line="600" w:lineRule="exact"/>
        <w:rPr>
          <w:rFonts w:eastAsia="仿宋"/>
          <w:sz w:val="32"/>
          <w:szCs w:val="32"/>
        </w:rPr>
      </w:pPr>
      <w:r>
        <w:rPr>
          <w:rFonts w:eastAsia="仿宋"/>
          <w:sz w:val="32"/>
          <w:szCs w:val="32"/>
        </w:rPr>
        <w:t>（图6：一般公共预算财政拨款支出决算结构 单位:万元）</w:t>
      </w:r>
    </w:p>
    <w:p>
      <w:pPr>
        <w:pStyle w:val="2"/>
        <w:spacing w:before="93"/>
        <w:rPr>
          <w:rFonts w:ascii="Times New Roman"/>
        </w:rPr>
      </w:pPr>
      <w:r>
        <w:rPr>
          <w:rFonts w:ascii="Times New Roman"/>
        </w:rPr>
        <w:drawing>
          <wp:inline distT="0" distB="0" distL="114300" distR="114300">
            <wp:extent cx="4572000" cy="2743200"/>
            <wp:effectExtent l="4445" t="4445" r="825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eastAsia="仿宋"/>
          <w:sz w:val="32"/>
          <w:szCs w:val="32"/>
        </w:rPr>
      </w:pPr>
    </w:p>
    <w:p>
      <w:pPr>
        <w:spacing w:line="620" w:lineRule="exact"/>
        <w:ind w:firstLine="640" w:firstLineChars="200"/>
        <w:outlineLvl w:val="2"/>
        <w:rPr>
          <w:rFonts w:ascii="方正楷体简体" w:eastAsia="方正楷体简体"/>
          <w:sz w:val="32"/>
          <w:szCs w:val="32"/>
        </w:rPr>
      </w:pPr>
      <w:bookmarkStart w:id="33" w:name="_Toc15377212"/>
      <w:r>
        <w:rPr>
          <w:rFonts w:hint="eastAsia" w:ascii="方正楷体简体" w:eastAsia="方正楷体简体"/>
          <w:sz w:val="32"/>
          <w:szCs w:val="32"/>
        </w:rPr>
        <w:t>（三）一般公共预算财政拨款支出决算具体情况</w:t>
      </w:r>
      <w:bookmarkEnd w:id="33"/>
    </w:p>
    <w:p>
      <w:pPr>
        <w:spacing w:line="620" w:lineRule="exact"/>
        <w:ind w:firstLine="643" w:firstLineChars="200"/>
        <w:outlineLvl w:val="2"/>
        <w:rPr>
          <w:rFonts w:eastAsia="仿宋"/>
          <w:sz w:val="32"/>
          <w:szCs w:val="32"/>
        </w:rPr>
      </w:pPr>
      <w:bookmarkStart w:id="34" w:name="_Toc15377213"/>
      <w:bookmarkStart w:id="35" w:name="_Toc15377444"/>
      <w:bookmarkStart w:id="36" w:name="_Toc15378460"/>
      <w:r>
        <w:rPr>
          <w:rFonts w:eastAsia="仿宋"/>
          <w:b/>
          <w:sz w:val="32"/>
          <w:szCs w:val="32"/>
        </w:rPr>
        <w:t>2021年一般公共预算支出决算数为</w:t>
      </w:r>
      <w:r>
        <w:rPr>
          <w:rFonts w:eastAsia="仿宋"/>
          <w:sz w:val="32"/>
          <w:szCs w:val="32"/>
        </w:rPr>
        <w:t>4901.42</w:t>
      </w:r>
      <w:r>
        <w:rPr>
          <w:rFonts w:hint="eastAsia" w:eastAsia="仿宋"/>
          <w:b/>
          <w:sz w:val="32"/>
          <w:szCs w:val="32"/>
          <w:lang w:eastAsia="zh-CN"/>
        </w:rPr>
        <w:t>万元</w:t>
      </w:r>
      <w:r>
        <w:rPr>
          <w:rFonts w:eastAsia="仿宋"/>
          <w:sz w:val="32"/>
          <w:szCs w:val="32"/>
        </w:rPr>
        <w:t>，</w:t>
      </w:r>
      <w:r>
        <w:rPr>
          <w:rStyle w:val="16"/>
          <w:rFonts w:eastAsia="仿宋"/>
          <w:bCs/>
          <w:sz w:val="32"/>
          <w:szCs w:val="32"/>
        </w:rPr>
        <w:t>完成预算68.12%。其中：</w:t>
      </w:r>
      <w:bookmarkEnd w:id="34"/>
      <w:bookmarkEnd w:id="35"/>
      <w:bookmarkEnd w:id="36"/>
    </w:p>
    <w:p>
      <w:pPr>
        <w:spacing w:line="620" w:lineRule="exact"/>
        <w:ind w:firstLine="643" w:firstLineChars="200"/>
        <w:rPr>
          <w:rFonts w:eastAsia="仿宋"/>
          <w:b/>
          <w:sz w:val="32"/>
          <w:szCs w:val="32"/>
        </w:rPr>
      </w:pPr>
      <w:r>
        <w:rPr>
          <w:rStyle w:val="16"/>
          <w:rFonts w:eastAsia="仿宋"/>
          <w:bCs/>
          <w:sz w:val="32"/>
          <w:szCs w:val="32"/>
        </w:rPr>
        <w:t>1.</w:t>
      </w:r>
      <w:r>
        <w:rPr>
          <w:rStyle w:val="16"/>
          <w:rFonts w:eastAsia="仿宋_GB2312"/>
          <w:bCs/>
          <w:color w:val="000000"/>
          <w:sz w:val="32"/>
          <w:szCs w:val="32"/>
        </w:rPr>
        <w:t>公共安全支出（类）法院（款）行政运行（项）:</w:t>
      </w:r>
      <w:r>
        <w:rPr>
          <w:rStyle w:val="16"/>
          <w:rFonts w:eastAsia="仿宋"/>
          <w:b w:val="0"/>
          <w:bCs/>
          <w:sz w:val="32"/>
          <w:szCs w:val="32"/>
        </w:rPr>
        <w:t xml:space="preserve"> 支出决算为3048.18万元，完成预算88.82%，决算数小于预算数的主要原因是</w:t>
      </w:r>
      <w:r>
        <w:rPr>
          <w:rStyle w:val="16"/>
          <w:rFonts w:eastAsia="仿宋_GB2312"/>
          <w:b w:val="0"/>
          <w:bCs/>
          <w:color w:val="000000"/>
          <w:sz w:val="32"/>
          <w:szCs w:val="32"/>
        </w:rPr>
        <w:t>厉行节俭，压减行政经费支出。</w:t>
      </w:r>
    </w:p>
    <w:p>
      <w:pPr>
        <w:spacing w:line="620" w:lineRule="exact"/>
        <w:ind w:firstLine="643" w:firstLineChars="200"/>
        <w:rPr>
          <w:rFonts w:eastAsia="仿宋"/>
          <w:b/>
          <w:sz w:val="32"/>
          <w:szCs w:val="32"/>
        </w:rPr>
      </w:pPr>
      <w:r>
        <w:rPr>
          <w:rStyle w:val="16"/>
          <w:rFonts w:eastAsia="仿宋"/>
          <w:bCs/>
          <w:sz w:val="32"/>
          <w:szCs w:val="32"/>
        </w:rPr>
        <w:t>2.</w:t>
      </w:r>
      <w:r>
        <w:rPr>
          <w:rStyle w:val="16"/>
          <w:rFonts w:eastAsia="仿宋_GB2312"/>
          <w:bCs/>
          <w:color w:val="000000"/>
          <w:sz w:val="32"/>
          <w:szCs w:val="32"/>
        </w:rPr>
        <w:t>公共安全支出（类）法院（款）案件审判（项）</w:t>
      </w:r>
      <w:r>
        <w:rPr>
          <w:rStyle w:val="16"/>
          <w:rFonts w:eastAsia="仿宋"/>
          <w:bCs/>
          <w:sz w:val="32"/>
          <w:szCs w:val="32"/>
        </w:rPr>
        <w:t>:</w:t>
      </w:r>
      <w:r>
        <w:rPr>
          <w:rStyle w:val="16"/>
          <w:rFonts w:eastAsia="仿宋"/>
          <w:b w:val="0"/>
          <w:bCs/>
          <w:sz w:val="32"/>
          <w:szCs w:val="32"/>
        </w:rPr>
        <w:t xml:space="preserve"> 支出决算为792.16万元，完成预算29.3%，决算数小于预算数的主要原因是</w:t>
      </w:r>
      <w:r>
        <w:rPr>
          <w:rStyle w:val="16"/>
          <w:rFonts w:eastAsia="仿宋_GB2312"/>
          <w:b w:val="0"/>
          <w:color w:val="000000"/>
          <w:sz w:val="32"/>
          <w:szCs w:val="32"/>
        </w:rPr>
        <w:t>一是受新冠疫情影响，我院减少培训费和差旅费等业务经费支出；二是预算数含部分上年结转业务经费，本年案件审判经费主要使用上年结转资金支付。</w:t>
      </w:r>
    </w:p>
    <w:p>
      <w:pPr>
        <w:spacing w:line="620" w:lineRule="exact"/>
        <w:ind w:firstLine="643" w:firstLineChars="200"/>
        <w:rPr>
          <w:rStyle w:val="16"/>
          <w:rFonts w:eastAsia="仿宋"/>
          <w:b w:val="0"/>
          <w:bCs/>
          <w:sz w:val="32"/>
          <w:szCs w:val="32"/>
        </w:rPr>
      </w:pPr>
      <w:r>
        <w:rPr>
          <w:rStyle w:val="16"/>
          <w:rFonts w:eastAsia="仿宋"/>
          <w:bCs/>
          <w:sz w:val="32"/>
          <w:szCs w:val="32"/>
        </w:rPr>
        <w:t>3.</w:t>
      </w:r>
      <w:r>
        <w:rPr>
          <w:rStyle w:val="16"/>
          <w:rFonts w:eastAsia="仿宋_GB2312"/>
          <w:bCs/>
          <w:color w:val="000000"/>
          <w:sz w:val="32"/>
          <w:szCs w:val="32"/>
        </w:rPr>
        <w:t>公共安全支出（类）法院（款）案件执行（项）</w:t>
      </w:r>
      <w:r>
        <w:rPr>
          <w:rStyle w:val="16"/>
          <w:rFonts w:eastAsia="仿宋"/>
          <w:bCs/>
          <w:sz w:val="32"/>
          <w:szCs w:val="32"/>
        </w:rPr>
        <w:t>:</w:t>
      </w:r>
      <w:r>
        <w:rPr>
          <w:rStyle w:val="16"/>
          <w:rFonts w:eastAsia="仿宋"/>
          <w:b w:val="0"/>
          <w:bCs/>
          <w:sz w:val="32"/>
          <w:szCs w:val="32"/>
        </w:rPr>
        <w:t xml:space="preserve"> 支出决算为264.72万元，完成预算100%。</w:t>
      </w:r>
    </w:p>
    <w:p>
      <w:pPr>
        <w:spacing w:line="620" w:lineRule="exact"/>
        <w:ind w:firstLine="643" w:firstLineChars="200"/>
        <w:rPr>
          <w:rStyle w:val="16"/>
          <w:rFonts w:eastAsia="仿宋"/>
          <w:b w:val="0"/>
          <w:bCs/>
          <w:sz w:val="32"/>
          <w:szCs w:val="32"/>
        </w:rPr>
      </w:pPr>
      <w:r>
        <w:rPr>
          <w:rStyle w:val="16"/>
          <w:rFonts w:eastAsia="仿宋_GB2312"/>
          <w:bCs/>
          <w:color w:val="000000"/>
          <w:sz w:val="32"/>
          <w:szCs w:val="32"/>
        </w:rPr>
        <w:t>4.公共安全支出（类）法院（款）事业运行（项）</w:t>
      </w:r>
      <w:r>
        <w:rPr>
          <w:rStyle w:val="16"/>
          <w:bCs/>
          <w:color w:val="000000"/>
          <w:sz w:val="32"/>
          <w:szCs w:val="32"/>
        </w:rPr>
        <w:t>：</w:t>
      </w:r>
      <w:r>
        <w:rPr>
          <w:rStyle w:val="16"/>
          <w:rFonts w:eastAsia="仿宋"/>
          <w:b w:val="0"/>
          <w:bCs/>
          <w:sz w:val="32"/>
          <w:szCs w:val="32"/>
        </w:rPr>
        <w:t>支出决算为33.49万元，完成预算100%。</w:t>
      </w:r>
    </w:p>
    <w:p>
      <w:pPr>
        <w:spacing w:line="620" w:lineRule="exact"/>
        <w:ind w:firstLine="643" w:firstLineChars="200"/>
        <w:rPr>
          <w:rFonts w:eastAsia="仿宋"/>
          <w:b/>
          <w:sz w:val="32"/>
          <w:szCs w:val="32"/>
        </w:rPr>
      </w:pPr>
      <w:r>
        <w:rPr>
          <w:rStyle w:val="16"/>
          <w:rFonts w:eastAsia="仿宋"/>
          <w:bCs/>
          <w:sz w:val="32"/>
          <w:szCs w:val="32"/>
        </w:rPr>
        <w:t>5.</w:t>
      </w:r>
      <w:r>
        <w:rPr>
          <w:rStyle w:val="16"/>
          <w:rFonts w:eastAsia="仿宋_GB2312"/>
          <w:bCs/>
          <w:color w:val="000000"/>
          <w:sz w:val="32"/>
          <w:szCs w:val="32"/>
        </w:rPr>
        <w:t>公共安全支出（类）法院（款）其他法院支出（项）</w:t>
      </w:r>
      <w:r>
        <w:rPr>
          <w:rStyle w:val="16"/>
          <w:rFonts w:eastAsia="仿宋"/>
          <w:bCs/>
          <w:sz w:val="32"/>
          <w:szCs w:val="32"/>
        </w:rPr>
        <w:t>:</w:t>
      </w:r>
      <w:r>
        <w:rPr>
          <w:rStyle w:val="16"/>
          <w:rFonts w:eastAsia="仿宋"/>
          <w:b w:val="0"/>
          <w:bCs/>
          <w:sz w:val="32"/>
          <w:szCs w:val="32"/>
        </w:rPr>
        <w:t xml:space="preserve"> 支出决算为32万元，完成预算100%。</w:t>
      </w:r>
    </w:p>
    <w:p>
      <w:pPr>
        <w:spacing w:line="620" w:lineRule="exact"/>
        <w:ind w:firstLine="643" w:firstLineChars="200"/>
        <w:rPr>
          <w:rFonts w:eastAsia="仿宋"/>
          <w:b/>
          <w:sz w:val="32"/>
          <w:szCs w:val="32"/>
        </w:rPr>
      </w:pPr>
      <w:r>
        <w:rPr>
          <w:rStyle w:val="16"/>
          <w:rFonts w:eastAsia="仿宋"/>
          <w:bCs/>
          <w:sz w:val="32"/>
          <w:szCs w:val="32"/>
        </w:rPr>
        <w:t>6.</w:t>
      </w:r>
      <w:r>
        <w:rPr>
          <w:rStyle w:val="16"/>
          <w:rFonts w:eastAsia="仿宋_GB2312"/>
          <w:bCs/>
          <w:color w:val="000000"/>
          <w:sz w:val="32"/>
          <w:szCs w:val="32"/>
        </w:rPr>
        <w:t>社会保障和就业支出（类）行政事业单位养老支出（款）机关事业单位基本养老保险缴费支出（项）</w:t>
      </w:r>
      <w:r>
        <w:rPr>
          <w:rStyle w:val="16"/>
          <w:rFonts w:eastAsia="仿宋"/>
          <w:bCs/>
          <w:sz w:val="32"/>
          <w:szCs w:val="32"/>
        </w:rPr>
        <w:t>:</w:t>
      </w:r>
      <w:r>
        <w:rPr>
          <w:rStyle w:val="16"/>
          <w:rFonts w:eastAsia="仿宋"/>
          <w:b w:val="0"/>
          <w:bCs/>
          <w:sz w:val="32"/>
          <w:szCs w:val="32"/>
        </w:rPr>
        <w:t xml:space="preserve"> 支出决算为215.98万元，完成预算100%。</w:t>
      </w:r>
    </w:p>
    <w:p>
      <w:pPr>
        <w:spacing w:line="620" w:lineRule="exact"/>
        <w:ind w:firstLine="643" w:firstLineChars="200"/>
        <w:rPr>
          <w:rStyle w:val="16"/>
          <w:rFonts w:eastAsia="仿宋"/>
          <w:b w:val="0"/>
          <w:bCs/>
          <w:sz w:val="32"/>
          <w:szCs w:val="32"/>
        </w:rPr>
      </w:pPr>
      <w:r>
        <w:rPr>
          <w:rStyle w:val="16"/>
          <w:rFonts w:eastAsia="仿宋"/>
          <w:bCs/>
          <w:sz w:val="32"/>
          <w:szCs w:val="32"/>
        </w:rPr>
        <w:t>7.</w:t>
      </w:r>
      <w:r>
        <w:rPr>
          <w:rStyle w:val="16"/>
          <w:rFonts w:eastAsia="仿宋_GB2312"/>
          <w:bCs/>
          <w:color w:val="000000"/>
          <w:sz w:val="32"/>
          <w:szCs w:val="32"/>
        </w:rPr>
        <w:t>社会保障和就业支出（类）行政事业单位养老支出（款）机关事业单位职业年金缴费支出（项）</w:t>
      </w:r>
      <w:r>
        <w:rPr>
          <w:rStyle w:val="16"/>
          <w:rFonts w:eastAsia="仿宋"/>
          <w:bCs/>
          <w:sz w:val="32"/>
          <w:szCs w:val="32"/>
        </w:rPr>
        <w:t>:</w:t>
      </w:r>
      <w:r>
        <w:rPr>
          <w:rStyle w:val="16"/>
          <w:rFonts w:eastAsia="仿宋"/>
          <w:b w:val="0"/>
          <w:bCs/>
          <w:sz w:val="32"/>
          <w:szCs w:val="32"/>
        </w:rPr>
        <w:t>支出决算为31.66万元，完成预算100%。</w:t>
      </w:r>
    </w:p>
    <w:p>
      <w:pPr>
        <w:spacing w:line="620" w:lineRule="exact"/>
        <w:ind w:firstLine="643" w:firstLineChars="200"/>
        <w:rPr>
          <w:rStyle w:val="16"/>
          <w:rFonts w:eastAsia="仿宋"/>
          <w:b w:val="0"/>
          <w:bCs/>
          <w:sz w:val="32"/>
          <w:szCs w:val="32"/>
        </w:rPr>
      </w:pPr>
      <w:r>
        <w:rPr>
          <w:rStyle w:val="16"/>
          <w:rFonts w:eastAsia="仿宋_GB2312"/>
          <w:bCs/>
          <w:color w:val="000000"/>
          <w:sz w:val="32"/>
          <w:szCs w:val="32"/>
        </w:rPr>
        <w:t>8.社会保障和就业支出（类）抚恤（款）死亡抚恤（项）</w:t>
      </w:r>
      <w:r>
        <w:rPr>
          <w:rStyle w:val="16"/>
          <w:bCs/>
          <w:color w:val="000000"/>
          <w:sz w:val="32"/>
          <w:szCs w:val="32"/>
        </w:rPr>
        <w:t>：</w:t>
      </w:r>
      <w:r>
        <w:rPr>
          <w:rStyle w:val="16"/>
          <w:rFonts w:eastAsia="仿宋"/>
          <w:b w:val="0"/>
          <w:bCs/>
          <w:sz w:val="32"/>
          <w:szCs w:val="32"/>
        </w:rPr>
        <w:t>支出决算为23万元，完成预算100%。</w:t>
      </w:r>
    </w:p>
    <w:p>
      <w:pPr>
        <w:spacing w:line="620" w:lineRule="exact"/>
        <w:ind w:firstLine="643" w:firstLineChars="200"/>
        <w:rPr>
          <w:rStyle w:val="16"/>
          <w:rFonts w:eastAsia="仿宋"/>
          <w:b w:val="0"/>
          <w:bCs/>
          <w:sz w:val="32"/>
          <w:szCs w:val="32"/>
        </w:rPr>
      </w:pPr>
      <w:r>
        <w:rPr>
          <w:rStyle w:val="16"/>
          <w:rFonts w:eastAsia="仿宋"/>
          <w:bCs/>
          <w:sz w:val="32"/>
          <w:szCs w:val="32"/>
        </w:rPr>
        <w:t>9.</w:t>
      </w:r>
      <w:r>
        <w:rPr>
          <w:rStyle w:val="16"/>
          <w:rFonts w:eastAsia="仿宋_GB2312"/>
          <w:bCs/>
          <w:color w:val="000000"/>
          <w:sz w:val="32"/>
          <w:szCs w:val="32"/>
        </w:rPr>
        <w:t>卫生健康支出（类）行政事业单位医疗（款）行政单位医疗（项）:</w:t>
      </w:r>
      <w:r>
        <w:rPr>
          <w:rStyle w:val="16"/>
          <w:rFonts w:eastAsia="仿宋"/>
          <w:b w:val="0"/>
          <w:bCs/>
          <w:sz w:val="32"/>
          <w:szCs w:val="32"/>
        </w:rPr>
        <w:t>支出决算为118.53万元，完成预算100%。</w:t>
      </w:r>
    </w:p>
    <w:p>
      <w:pPr>
        <w:spacing w:line="620" w:lineRule="exact"/>
        <w:ind w:firstLine="643" w:firstLineChars="200"/>
        <w:rPr>
          <w:rStyle w:val="16"/>
          <w:rFonts w:eastAsia="仿宋_GB2312"/>
          <w:b w:val="0"/>
          <w:bCs/>
          <w:color w:val="000000"/>
          <w:sz w:val="32"/>
          <w:szCs w:val="32"/>
        </w:rPr>
      </w:pPr>
      <w:r>
        <w:rPr>
          <w:rStyle w:val="16"/>
          <w:rFonts w:eastAsia="仿宋_GB2312"/>
          <w:bCs/>
          <w:color w:val="000000"/>
          <w:sz w:val="32"/>
          <w:szCs w:val="32"/>
        </w:rPr>
        <w:t>10.住房保障支出（类）住房改革支出（款）住房公积金（项）:</w:t>
      </w:r>
      <w:r>
        <w:rPr>
          <w:rStyle w:val="16"/>
          <w:rFonts w:eastAsia="仿宋_GB2312"/>
          <w:b w:val="0"/>
          <w:bCs/>
          <w:color w:val="000000"/>
          <w:sz w:val="32"/>
          <w:szCs w:val="32"/>
        </w:rPr>
        <w:t>支出决算为341.7万元，完成预算100%。</w:t>
      </w:r>
    </w:p>
    <w:p>
      <w:pPr>
        <w:tabs>
          <w:tab w:val="right" w:pos="8306"/>
        </w:tabs>
        <w:spacing w:line="620" w:lineRule="exact"/>
        <w:ind w:firstLine="640"/>
        <w:outlineLvl w:val="1"/>
        <w:rPr>
          <w:rStyle w:val="19"/>
          <w:rFonts w:ascii="方正黑体简体" w:hAnsi="Times New Roman" w:eastAsia="方正黑体简体" w:cs="Times New Roman"/>
        </w:rPr>
      </w:pPr>
      <w:bookmarkStart w:id="37" w:name="_Toc15396608"/>
      <w:bookmarkStart w:id="38" w:name="_Toc15377214"/>
      <w:r>
        <w:rPr>
          <w:rFonts w:hint="eastAsia" w:ascii="方正黑体简体" w:eastAsia="方正黑体简体"/>
          <w:sz w:val="32"/>
          <w:szCs w:val="32"/>
        </w:rPr>
        <w:t>六</w:t>
      </w:r>
      <w:r>
        <w:rPr>
          <w:rFonts w:hint="eastAsia" w:ascii="方正黑体简体" w:eastAsia="方正黑体简体"/>
          <w:b/>
          <w:sz w:val="32"/>
          <w:szCs w:val="32"/>
        </w:rPr>
        <w:t>、一</w:t>
      </w:r>
      <w:r>
        <w:rPr>
          <w:rStyle w:val="19"/>
          <w:rFonts w:hint="eastAsia" w:ascii="方正黑体简体" w:hAnsi="Times New Roman" w:eastAsia="方正黑体简体" w:cs="Times New Roman"/>
          <w:b w:val="0"/>
        </w:rPr>
        <w:t>般公共预算财政拨款基本支出决算情况说明</w:t>
      </w:r>
      <w:bookmarkEnd w:id="37"/>
      <w:bookmarkEnd w:id="38"/>
      <w:r>
        <w:rPr>
          <w:rStyle w:val="19"/>
          <w:rFonts w:hint="eastAsia" w:ascii="方正黑体简体" w:hAnsi="Times New Roman" w:eastAsia="方正黑体简体" w:cs="Times New Roman"/>
          <w:b w:val="0"/>
        </w:rPr>
        <w:tab/>
      </w:r>
    </w:p>
    <w:p>
      <w:pPr>
        <w:spacing w:line="620" w:lineRule="exact"/>
        <w:ind w:firstLine="645"/>
        <w:rPr>
          <w:rFonts w:eastAsia="仿宋"/>
          <w:sz w:val="32"/>
          <w:szCs w:val="32"/>
        </w:rPr>
      </w:pPr>
      <w:r>
        <w:rPr>
          <w:rFonts w:eastAsia="仿宋"/>
          <w:sz w:val="32"/>
          <w:szCs w:val="32"/>
        </w:rPr>
        <w:t>2021年一般公共预算财政拨款基本支出3812.54万元，其中：</w:t>
      </w:r>
    </w:p>
    <w:p>
      <w:pPr>
        <w:spacing w:line="620" w:lineRule="exact"/>
        <w:ind w:firstLine="645"/>
        <w:rPr>
          <w:rFonts w:eastAsia="仿宋"/>
          <w:sz w:val="32"/>
          <w:szCs w:val="32"/>
        </w:rPr>
      </w:pPr>
      <w:r>
        <w:rPr>
          <w:rFonts w:eastAsia="仿宋"/>
          <w:sz w:val="32"/>
          <w:szCs w:val="32"/>
        </w:rPr>
        <w:t>人员经费2951.44万元，主要包括：基本工资、津贴补贴、奖金、绩效工资、机关事业单位基本养老保险缴费、职业年金缴费、职工基本医疗保险缴费、其他社会保障缴费、其他工资福利支出、抚恤金、生活补助、奖励金、住房公积金、其他对个人和家庭的补助支出等。</w:t>
      </w:r>
      <w:r>
        <w:rPr>
          <w:rFonts w:eastAsia="仿宋"/>
          <w:sz w:val="32"/>
          <w:szCs w:val="32"/>
        </w:rPr>
        <w:br w:type="textWrapping"/>
      </w:r>
      <w:r>
        <w:rPr>
          <w:rFonts w:eastAsia="仿宋"/>
          <w:sz w:val="32"/>
          <w:szCs w:val="32"/>
        </w:rPr>
        <w:t>　　公用经费861.1万元，主要包括：办公费、印刷费、水费、电费、邮电费、物业管理费、差旅费、维修（护）费、租赁费、培训费、公务接待费、被装购置费、劳务费、工会经费、福利费、公务用车运行维护费、其他交通费、其他商品和服务支出、办公设备购置等。</w:t>
      </w:r>
    </w:p>
    <w:p>
      <w:pPr>
        <w:spacing w:line="620" w:lineRule="exact"/>
        <w:ind w:firstLine="640"/>
        <w:outlineLvl w:val="1"/>
        <w:rPr>
          <w:rStyle w:val="19"/>
          <w:rFonts w:ascii="方正黑体简体" w:hAnsi="Times New Roman" w:eastAsia="方正黑体简体" w:cs="Times New Roman"/>
          <w:b w:val="0"/>
        </w:rPr>
      </w:pPr>
      <w:bookmarkStart w:id="39" w:name="_Toc15396609"/>
      <w:bookmarkStart w:id="40" w:name="_Toc15377215"/>
      <w:r>
        <w:rPr>
          <w:rFonts w:hint="eastAsia" w:ascii="方正黑体简体" w:eastAsia="方正黑体简体"/>
          <w:sz w:val="32"/>
          <w:szCs w:val="32"/>
        </w:rPr>
        <w:t>七、</w:t>
      </w:r>
      <w:r>
        <w:rPr>
          <w:rStyle w:val="19"/>
          <w:rFonts w:hint="eastAsia" w:ascii="方正黑体简体" w:hAnsi="Times New Roman" w:eastAsia="方正黑体简体" w:cs="Times New Roman"/>
        </w:rPr>
        <w:t>“</w:t>
      </w:r>
      <w:r>
        <w:rPr>
          <w:rStyle w:val="19"/>
          <w:rFonts w:hint="eastAsia" w:ascii="方正黑体简体" w:hAnsi="Times New Roman" w:eastAsia="方正黑体简体" w:cs="Times New Roman"/>
          <w:b w:val="0"/>
        </w:rPr>
        <w:t>三公”经费财政拨款支出决算情况说明</w:t>
      </w:r>
      <w:bookmarkEnd w:id="39"/>
      <w:bookmarkEnd w:id="40"/>
    </w:p>
    <w:p>
      <w:pPr>
        <w:spacing w:line="620" w:lineRule="exact"/>
        <w:ind w:firstLine="640"/>
        <w:outlineLvl w:val="2"/>
        <w:rPr>
          <w:rFonts w:ascii="方正楷体简体" w:eastAsia="方正楷体简体"/>
          <w:sz w:val="32"/>
          <w:szCs w:val="32"/>
        </w:rPr>
      </w:pPr>
      <w:bookmarkStart w:id="41" w:name="_Toc15377216"/>
      <w:r>
        <w:rPr>
          <w:rFonts w:hint="eastAsia" w:ascii="方正楷体简体" w:eastAsia="方正楷体简体"/>
          <w:sz w:val="32"/>
          <w:szCs w:val="32"/>
        </w:rPr>
        <w:t>（一）“三公”经费财政拨款支出决算总体情况说明</w:t>
      </w:r>
      <w:bookmarkEnd w:id="41"/>
    </w:p>
    <w:p>
      <w:pPr>
        <w:spacing w:line="620" w:lineRule="exact"/>
        <w:ind w:firstLine="640"/>
        <w:rPr>
          <w:rFonts w:eastAsia="仿宋"/>
          <w:sz w:val="32"/>
          <w:szCs w:val="32"/>
        </w:rPr>
      </w:pPr>
      <w:r>
        <w:rPr>
          <w:rFonts w:eastAsia="仿宋"/>
          <w:sz w:val="32"/>
          <w:szCs w:val="32"/>
        </w:rPr>
        <w:t>2021年“三公”经费财政拨款支出决算为181.26万元，完成预算95.59%，决算数小于预算数的主要原因是厉行节约，积极响应广元市过“紧日子”十三条措施，压缩“三公”经费支出。</w:t>
      </w:r>
    </w:p>
    <w:p>
      <w:pPr>
        <w:spacing w:line="620" w:lineRule="exact"/>
        <w:ind w:firstLine="640"/>
        <w:outlineLvl w:val="2"/>
        <w:rPr>
          <w:rFonts w:ascii="方正楷体简体" w:eastAsia="方正楷体简体"/>
          <w:sz w:val="32"/>
          <w:szCs w:val="32"/>
        </w:rPr>
      </w:pPr>
      <w:bookmarkStart w:id="42" w:name="_Toc15377217"/>
      <w:r>
        <w:rPr>
          <w:rFonts w:ascii="方正楷体简体" w:eastAsia="方正楷体简体"/>
          <w:sz w:val="32"/>
          <w:szCs w:val="32"/>
        </w:rPr>
        <w:t>（二）“三公”经费财政拨款支出决算具体情况说明</w:t>
      </w:r>
      <w:bookmarkEnd w:id="42"/>
    </w:p>
    <w:p>
      <w:pPr>
        <w:spacing w:line="620" w:lineRule="exact"/>
        <w:ind w:firstLine="640"/>
        <w:rPr>
          <w:rFonts w:eastAsia="仿宋"/>
          <w:sz w:val="32"/>
          <w:szCs w:val="32"/>
        </w:rPr>
      </w:pPr>
      <w:r>
        <w:rPr>
          <w:rFonts w:eastAsia="仿宋"/>
          <w:sz w:val="32"/>
          <w:szCs w:val="32"/>
        </w:rPr>
        <w:t>2021年“三公”经费财政拨款支出决算中，因公出国（境）费支出决算0万元，占0%；公务用车购置及运行维护费支出决算176.61万元，占97.43%；公务接待费支出决算4.66万元，占2.57%。具体情况如下：</w:t>
      </w:r>
    </w:p>
    <w:p>
      <w:pPr>
        <w:spacing w:line="620" w:lineRule="exact"/>
        <w:ind w:firstLine="640"/>
        <w:rPr>
          <w:rFonts w:eastAsia="仿宋"/>
          <w:sz w:val="32"/>
          <w:szCs w:val="32"/>
        </w:rPr>
      </w:pPr>
      <w:r>
        <w:rPr>
          <w:rFonts w:eastAsia="仿宋"/>
          <w:sz w:val="32"/>
          <w:szCs w:val="32"/>
        </w:rPr>
        <w:t>（图7：“三公”经费财政拨款支出结构）</w:t>
      </w:r>
    </w:p>
    <w:p>
      <w:pPr>
        <w:pStyle w:val="2"/>
        <w:spacing w:before="93"/>
        <w:rPr>
          <w:rFonts w:ascii="Times New Roman"/>
        </w:rPr>
      </w:pPr>
      <w:r>
        <w:rPr>
          <w:rFonts w:ascii="Times New Roman"/>
        </w:rPr>
        <w:drawing>
          <wp:inline distT="0" distB="0" distL="114300" distR="114300">
            <wp:extent cx="4572000" cy="2743200"/>
            <wp:effectExtent l="4445" t="4445" r="8255"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20" w:lineRule="exact"/>
        <w:ind w:firstLine="640"/>
        <w:rPr>
          <w:rFonts w:eastAsia="仿宋_GB2312"/>
          <w:b/>
          <w:sz w:val="32"/>
          <w:szCs w:val="32"/>
        </w:rPr>
      </w:pPr>
      <w:r>
        <w:rPr>
          <w:rFonts w:eastAsia="仿宋_GB2312"/>
          <w:b/>
          <w:sz w:val="32"/>
          <w:szCs w:val="32"/>
        </w:rPr>
        <w:t>1.因公出国（境）经费支出</w:t>
      </w:r>
      <w:r>
        <w:rPr>
          <w:rFonts w:eastAsia="仿宋_GB2312"/>
          <w:sz w:val="32"/>
          <w:szCs w:val="32"/>
        </w:rPr>
        <w:t>0万元，</w:t>
      </w:r>
      <w:r>
        <w:rPr>
          <w:rFonts w:eastAsia="仿宋"/>
          <w:sz w:val="32"/>
          <w:szCs w:val="32"/>
        </w:rPr>
        <w:t>年初未安排预算</w:t>
      </w:r>
      <w:r>
        <w:rPr>
          <w:rFonts w:eastAsia="仿宋_GB2312"/>
          <w:sz w:val="32"/>
          <w:szCs w:val="32"/>
        </w:rPr>
        <w:t>。因公出国（境）支出决算较2020年无变化。</w:t>
      </w:r>
    </w:p>
    <w:p>
      <w:pPr>
        <w:spacing w:line="620" w:lineRule="exact"/>
        <w:ind w:firstLine="640"/>
        <w:rPr>
          <w:rFonts w:eastAsia="仿宋_GB2312"/>
          <w:b/>
          <w:sz w:val="32"/>
          <w:szCs w:val="32"/>
        </w:rPr>
      </w:pPr>
      <w:r>
        <w:rPr>
          <w:rFonts w:eastAsia="仿宋_GB2312"/>
          <w:b/>
          <w:sz w:val="32"/>
          <w:szCs w:val="32"/>
        </w:rPr>
        <w:t>2.公务用车购置及运行维护费支出</w:t>
      </w:r>
      <w:r>
        <w:rPr>
          <w:rFonts w:eastAsia="仿宋_GB2312"/>
          <w:sz w:val="32"/>
          <w:szCs w:val="32"/>
        </w:rPr>
        <w:t>176.61万元,</w:t>
      </w:r>
      <w:r>
        <w:rPr>
          <w:rStyle w:val="16"/>
          <w:rFonts w:eastAsia="仿宋"/>
          <w:b w:val="0"/>
          <w:bCs/>
          <w:sz w:val="32"/>
          <w:szCs w:val="32"/>
        </w:rPr>
        <w:t>完成预算100%。</w:t>
      </w:r>
      <w:r>
        <w:rPr>
          <w:rFonts w:eastAsia="仿宋_GB2312"/>
          <w:sz w:val="32"/>
          <w:szCs w:val="32"/>
        </w:rPr>
        <w:t>公务用车购置及运行维护费支出决算比2020年增加68.76万元，增长63.75%。主要原因是2021年更换执法执勤用车3辆。</w:t>
      </w:r>
    </w:p>
    <w:p>
      <w:pPr>
        <w:spacing w:line="62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42.66万元。全年按规定更新购置公务用车3辆，其中：越野车1辆、金额17.21万元，商务车2辆、金额22.39万元，主要用于</w:t>
      </w:r>
      <w:r>
        <w:rPr>
          <w:rFonts w:eastAsia="仿宋_GB2312"/>
          <w:color w:val="000000"/>
          <w:sz w:val="32"/>
          <w:szCs w:val="32"/>
        </w:rPr>
        <w:t>案件审判、案件执行及日常公务出行</w:t>
      </w:r>
      <w:r>
        <w:rPr>
          <w:rFonts w:eastAsia="仿宋_GB2312"/>
          <w:sz w:val="32"/>
          <w:szCs w:val="32"/>
        </w:rPr>
        <w:t>。截至2021年12月底，单位共有公务用车20辆，其中：轿车6辆、越野车6辆、商务车5辆、载客汽车3辆（大巴1辆、中巴2辆）。</w:t>
      </w:r>
    </w:p>
    <w:p>
      <w:pPr>
        <w:spacing w:line="620" w:lineRule="exact"/>
        <w:ind w:firstLine="643" w:firstLineChars="200"/>
        <w:rPr>
          <w:rFonts w:eastAsia="仿宋_GB2312"/>
          <w:color w:val="000000"/>
          <w:sz w:val="32"/>
          <w:szCs w:val="32"/>
        </w:rPr>
      </w:pPr>
      <w:r>
        <w:rPr>
          <w:rFonts w:eastAsia="仿宋_GB2312"/>
          <w:b/>
          <w:sz w:val="32"/>
          <w:szCs w:val="32"/>
        </w:rPr>
        <w:t>公务用车运行维护费支出</w:t>
      </w:r>
      <w:r>
        <w:rPr>
          <w:rFonts w:eastAsia="仿宋_GB2312"/>
          <w:sz w:val="32"/>
          <w:szCs w:val="32"/>
        </w:rPr>
        <w:t>133.95万元。</w:t>
      </w:r>
      <w:r>
        <w:rPr>
          <w:rFonts w:eastAsia="仿宋_GB2312"/>
          <w:color w:val="000000"/>
          <w:sz w:val="32"/>
          <w:szCs w:val="32"/>
        </w:rPr>
        <w:t>主要用于案件审判、案件执行及日常公务出行等工作所需的公务用车燃料费、维修费、过路过桥费、保险费等支出。</w:t>
      </w:r>
    </w:p>
    <w:p>
      <w:pPr>
        <w:spacing w:line="620" w:lineRule="exact"/>
        <w:ind w:firstLine="707" w:firstLineChars="221"/>
        <w:rPr>
          <w:rFonts w:eastAsia="仿宋_GB2312"/>
          <w:sz w:val="32"/>
          <w:szCs w:val="32"/>
        </w:rPr>
      </w:pPr>
      <w:r>
        <w:rPr>
          <w:rFonts w:eastAsia="仿宋_GB2312"/>
          <w:sz w:val="32"/>
          <w:szCs w:val="32"/>
        </w:rPr>
        <w:t>3.公务接待费支出4.66万元，完成预算35.84%。公务接待费支出决算比2020年减少2.3万元，下降33.04%。主要原因是厉行节约，压缩“三公”经费支出。其中：</w:t>
      </w:r>
    </w:p>
    <w:p>
      <w:pPr>
        <w:spacing w:line="620" w:lineRule="exact"/>
        <w:ind w:firstLine="707" w:firstLineChars="221"/>
        <w:rPr>
          <w:rFonts w:eastAsia="仿宋_GB2312"/>
          <w:sz w:val="32"/>
          <w:szCs w:val="32"/>
        </w:rPr>
      </w:pPr>
      <w:r>
        <w:rPr>
          <w:rFonts w:eastAsia="仿宋_GB2312"/>
          <w:sz w:val="32"/>
          <w:szCs w:val="32"/>
        </w:rPr>
        <w:t>国内公务接待支出4.66万元，主要用于执行公务、巡视巡查调研、开展业务活动开支的用餐费等。国内公务接待50批次，480人次（不包括陪同人员），共计支出4.66万元。</w:t>
      </w:r>
    </w:p>
    <w:p>
      <w:pPr>
        <w:spacing w:line="620" w:lineRule="exact"/>
        <w:ind w:firstLine="707" w:firstLineChars="221"/>
        <w:rPr>
          <w:rFonts w:eastAsia="仿宋_GB2312"/>
          <w:sz w:val="32"/>
          <w:szCs w:val="32"/>
        </w:rPr>
      </w:pPr>
      <w:r>
        <w:rPr>
          <w:rFonts w:eastAsia="仿宋_GB2312"/>
          <w:sz w:val="32"/>
          <w:szCs w:val="32"/>
        </w:rPr>
        <w:t>外事接待支出0万元，外事接待0批次，0人，共计支出0万元。</w:t>
      </w:r>
      <w:bookmarkStart w:id="43" w:name="_Toc15377218"/>
      <w:bookmarkStart w:id="44" w:name="_Toc15396610"/>
    </w:p>
    <w:p>
      <w:pPr>
        <w:spacing w:line="620" w:lineRule="exact"/>
        <w:ind w:firstLine="707" w:firstLineChars="221"/>
        <w:rPr>
          <w:rFonts w:ascii="方正黑体简体" w:eastAsia="方正黑体简体"/>
          <w:sz w:val="32"/>
          <w:szCs w:val="32"/>
        </w:rPr>
      </w:pPr>
      <w:r>
        <w:rPr>
          <w:rFonts w:hint="eastAsia" w:ascii="方正黑体简体" w:eastAsia="方正黑体简体"/>
          <w:sz w:val="32"/>
          <w:szCs w:val="32"/>
        </w:rPr>
        <w:t>八、政府性基金预算支出决算情况说明</w:t>
      </w:r>
      <w:bookmarkEnd w:id="43"/>
      <w:bookmarkEnd w:id="44"/>
    </w:p>
    <w:p>
      <w:pPr>
        <w:spacing w:line="620" w:lineRule="exact"/>
        <w:ind w:firstLine="707" w:firstLineChars="221"/>
        <w:rPr>
          <w:rFonts w:eastAsia="仿宋_GB2312"/>
          <w:sz w:val="32"/>
          <w:szCs w:val="32"/>
        </w:rPr>
      </w:pPr>
      <w:r>
        <w:rPr>
          <w:rFonts w:eastAsia="仿宋_GB2312"/>
          <w:sz w:val="32"/>
          <w:szCs w:val="32"/>
        </w:rPr>
        <w:t>2021年政府性基金预算财政拨款支出0万元。</w:t>
      </w:r>
    </w:p>
    <w:p>
      <w:pPr>
        <w:spacing w:line="620" w:lineRule="exact"/>
        <w:ind w:firstLine="707" w:firstLineChars="221"/>
        <w:rPr>
          <w:rFonts w:ascii="方正黑体简体" w:eastAsia="方正黑体简体"/>
          <w:sz w:val="32"/>
          <w:szCs w:val="32"/>
        </w:rPr>
      </w:pPr>
      <w:bookmarkStart w:id="45" w:name="_Toc15377219"/>
      <w:bookmarkStart w:id="46" w:name="_Toc15396611"/>
      <w:r>
        <w:rPr>
          <w:rFonts w:hint="eastAsia" w:ascii="方正黑体简体" w:eastAsia="方正黑体简体"/>
          <w:sz w:val="32"/>
          <w:szCs w:val="32"/>
        </w:rPr>
        <w:t>九、</w:t>
      </w:r>
      <w:r>
        <w:rPr>
          <w:rFonts w:ascii="方正黑体简体" w:eastAsia="方正黑体简体"/>
          <w:sz w:val="32"/>
          <w:szCs w:val="32"/>
        </w:rPr>
        <w:t>国有资本经营预算支出决算情况说明</w:t>
      </w:r>
      <w:bookmarkEnd w:id="45"/>
      <w:bookmarkEnd w:id="46"/>
    </w:p>
    <w:p>
      <w:pPr>
        <w:spacing w:line="620" w:lineRule="exact"/>
        <w:ind w:firstLine="707" w:firstLineChars="221"/>
        <w:rPr>
          <w:rFonts w:eastAsia="仿宋_GB2312"/>
          <w:sz w:val="32"/>
          <w:szCs w:val="32"/>
        </w:rPr>
      </w:pPr>
      <w:r>
        <w:rPr>
          <w:rFonts w:eastAsia="仿宋_GB2312"/>
          <w:sz w:val="32"/>
          <w:szCs w:val="32"/>
        </w:rPr>
        <w:t>2021年国有资本经营预算财政拨款支出0万元。</w:t>
      </w:r>
      <w:bookmarkStart w:id="47" w:name="_Toc15377221"/>
      <w:bookmarkStart w:id="48" w:name="_Toc15396612"/>
    </w:p>
    <w:p>
      <w:pPr>
        <w:spacing w:line="620" w:lineRule="exact"/>
        <w:ind w:firstLine="707" w:firstLineChars="221"/>
        <w:rPr>
          <w:rFonts w:ascii="方正黑体简体" w:eastAsia="方正黑体简体"/>
          <w:sz w:val="32"/>
          <w:szCs w:val="32"/>
        </w:rPr>
      </w:pPr>
      <w:r>
        <w:rPr>
          <w:rFonts w:hint="eastAsia" w:ascii="方正黑体简体" w:eastAsia="方正黑体简体"/>
          <w:sz w:val="32"/>
          <w:szCs w:val="32"/>
        </w:rPr>
        <w:t>十、</w:t>
      </w:r>
      <w:r>
        <w:rPr>
          <w:rFonts w:ascii="方正黑体简体" w:eastAsia="方正黑体简体"/>
          <w:sz w:val="32"/>
          <w:szCs w:val="32"/>
        </w:rPr>
        <w:t>预算绩效管理情况</w:t>
      </w:r>
    </w:p>
    <w:p>
      <w:pPr>
        <w:spacing w:line="620" w:lineRule="exact"/>
        <w:ind w:firstLine="707" w:firstLineChars="221"/>
        <w:rPr>
          <w:rFonts w:eastAsia="仿宋_GB2312"/>
          <w:sz w:val="32"/>
          <w:szCs w:val="32"/>
        </w:rPr>
      </w:pPr>
      <w:r>
        <w:rPr>
          <w:rFonts w:eastAsia="仿宋_GB2312"/>
          <w:sz w:val="32"/>
          <w:szCs w:val="32"/>
        </w:rPr>
        <w:t>根据预算绩效管理要求，本部门在2021年度预算编制阶段，组织对加班费（单列）、聘用人员工作经费及保险、维修维护费、法院购买服装（单列）、法院文化建设经费、购买社会化服务、法院干警培训费、人民陪审员经费(单列)、网络通讯费、专项会议经费、案件审判经费、案件执行经费、司法救助（单列）、死刑执行、智慧法院建设、扶贫帮扶资金（单列）、法治类报刊及业务书籍、法警体能训练设备购置、警用装备、安保设施设备更新等19个项目开展了预算事前绩效评估，对19个项目编制了绩效目标，预算执行过程中，选取19个项目开展绩效监控，年终执行完毕后，对19个项目开展了绩效自评。同时，本部门对2021年部门整体开展绩效自评，《2021年四川省广元市中级人民法院部门整体绩效评价报告》见附件（第四部分）。</w:t>
      </w:r>
    </w:p>
    <w:p>
      <w:pPr>
        <w:spacing w:line="620" w:lineRule="exact"/>
        <w:ind w:firstLine="707" w:firstLineChars="221"/>
        <w:rPr>
          <w:rFonts w:ascii="方正黑体简体" w:eastAsia="方正黑体简体"/>
          <w:sz w:val="32"/>
          <w:szCs w:val="32"/>
        </w:rPr>
      </w:pPr>
      <w:r>
        <w:rPr>
          <w:rFonts w:hint="eastAsia" w:ascii="方正黑体简体" w:eastAsia="方正黑体简体"/>
          <w:sz w:val="32"/>
          <w:szCs w:val="32"/>
        </w:rPr>
        <w:t>十一、</w:t>
      </w:r>
      <w:r>
        <w:rPr>
          <w:rFonts w:ascii="方正黑体简体" w:eastAsia="方正黑体简体"/>
          <w:sz w:val="32"/>
          <w:szCs w:val="32"/>
        </w:rPr>
        <w:t>其他重要事项的情况说明</w:t>
      </w:r>
      <w:bookmarkEnd w:id="47"/>
      <w:bookmarkEnd w:id="48"/>
    </w:p>
    <w:p>
      <w:pPr>
        <w:spacing w:line="620" w:lineRule="exact"/>
        <w:ind w:firstLine="707" w:firstLineChars="221"/>
        <w:rPr>
          <w:rFonts w:eastAsia="仿宋_GB2312"/>
          <w:sz w:val="32"/>
          <w:szCs w:val="32"/>
        </w:rPr>
      </w:pPr>
      <w:bookmarkStart w:id="49" w:name="_Toc15377222"/>
      <w:r>
        <w:rPr>
          <w:rFonts w:eastAsia="仿宋_GB2312"/>
          <w:sz w:val="32"/>
          <w:szCs w:val="32"/>
        </w:rPr>
        <w:t>（一）机关运行经费支出情况</w:t>
      </w:r>
      <w:bookmarkEnd w:id="49"/>
    </w:p>
    <w:p>
      <w:pPr>
        <w:spacing w:line="620" w:lineRule="exact"/>
        <w:ind w:firstLine="707" w:firstLineChars="221"/>
        <w:rPr>
          <w:rFonts w:eastAsia="仿宋_GB2312"/>
          <w:sz w:val="32"/>
          <w:szCs w:val="32"/>
        </w:rPr>
      </w:pPr>
      <w:r>
        <w:rPr>
          <w:rFonts w:eastAsia="仿宋_GB2312"/>
          <w:sz w:val="32"/>
          <w:szCs w:val="32"/>
        </w:rPr>
        <w:t>2021年，四川省广元市中级人民法院机关运行经费支出861.1万元，比2020年增加167.03万元，增长22.06%。主要原因是2021年我院开展政法教育整顿专项工作，导致行政运行经费支出增加。</w:t>
      </w:r>
    </w:p>
    <w:p>
      <w:pPr>
        <w:spacing w:line="620" w:lineRule="exact"/>
        <w:ind w:firstLine="707" w:firstLineChars="221"/>
        <w:outlineLvl w:val="2"/>
        <w:rPr>
          <w:rFonts w:ascii="方正楷体简体" w:eastAsia="方正楷体简体"/>
          <w:sz w:val="32"/>
          <w:szCs w:val="32"/>
        </w:rPr>
      </w:pPr>
      <w:bookmarkStart w:id="50" w:name="_Toc15377223"/>
      <w:r>
        <w:rPr>
          <w:rFonts w:ascii="方正楷体简体" w:eastAsia="方正楷体简体"/>
          <w:sz w:val="32"/>
          <w:szCs w:val="32"/>
        </w:rPr>
        <w:t>（二）政府采购支出情况</w:t>
      </w:r>
      <w:bookmarkEnd w:id="50"/>
    </w:p>
    <w:p>
      <w:pPr>
        <w:spacing w:line="620" w:lineRule="exact"/>
        <w:ind w:firstLine="707" w:firstLineChars="221"/>
        <w:rPr>
          <w:rFonts w:eastAsia="仿宋_GB2312"/>
          <w:sz w:val="32"/>
          <w:szCs w:val="32"/>
        </w:rPr>
      </w:pPr>
      <w:r>
        <w:rPr>
          <w:rFonts w:eastAsia="仿宋_GB2312"/>
          <w:sz w:val="32"/>
          <w:szCs w:val="32"/>
        </w:rPr>
        <w:t>2021年，四川省广元市中级人民法院政府采购支出总额319.66万元，其中：政府采购货物支出253.53万元、政府采购工程支出0万元、政府采购服务支出66.13万元。主要用于</w:t>
      </w:r>
      <w:r>
        <w:rPr>
          <w:rFonts w:eastAsia="仿宋_GB2312"/>
          <w:color w:val="000000"/>
          <w:sz w:val="32"/>
          <w:szCs w:val="32"/>
        </w:rPr>
        <w:t>购买办公桌椅、文件柜、电脑、扫描仪等办公办案设施设备、执法执勤车辆、办案业务专用设备以及购买物业管理等社会化服务</w:t>
      </w:r>
      <w:r>
        <w:rPr>
          <w:rFonts w:eastAsia="仿宋_GB2312"/>
          <w:sz w:val="32"/>
          <w:szCs w:val="32"/>
        </w:rPr>
        <w:t>。授予中小企业合同金额</w:t>
      </w:r>
      <w:r>
        <w:rPr>
          <w:rFonts w:hint="eastAsia" w:eastAsia="仿宋_GB2312"/>
          <w:sz w:val="32"/>
          <w:szCs w:val="32"/>
          <w:lang w:val="en-US" w:eastAsia="zh-CN"/>
        </w:rPr>
        <w:t>319.66</w:t>
      </w:r>
      <w:r>
        <w:rPr>
          <w:rFonts w:eastAsia="仿宋_GB2312"/>
          <w:sz w:val="32"/>
          <w:szCs w:val="32"/>
        </w:rPr>
        <w:t>万元，占政府采购支出总额的</w:t>
      </w:r>
      <w:r>
        <w:rPr>
          <w:rFonts w:hint="eastAsia" w:eastAsia="仿宋_GB2312"/>
          <w:sz w:val="32"/>
          <w:szCs w:val="32"/>
          <w:lang w:val="en-US" w:eastAsia="zh-CN"/>
        </w:rPr>
        <w:t>100</w:t>
      </w:r>
      <w:r>
        <w:rPr>
          <w:rFonts w:eastAsia="仿宋_GB2312"/>
          <w:sz w:val="32"/>
          <w:szCs w:val="32"/>
        </w:rPr>
        <w:t>%，其中：授予小微企业合同金额</w:t>
      </w:r>
      <w:r>
        <w:rPr>
          <w:rFonts w:hint="eastAsia" w:eastAsia="仿宋_GB2312"/>
          <w:sz w:val="32"/>
          <w:szCs w:val="32"/>
          <w:lang w:val="en-US" w:eastAsia="zh-CN"/>
        </w:rPr>
        <w:t>319.66</w:t>
      </w:r>
      <w:r>
        <w:rPr>
          <w:rFonts w:eastAsia="仿宋_GB2312"/>
          <w:sz w:val="32"/>
          <w:szCs w:val="32"/>
        </w:rPr>
        <w:t>万元，占政府采购支出总额的</w:t>
      </w:r>
      <w:r>
        <w:rPr>
          <w:rFonts w:hint="eastAsia" w:eastAsia="仿宋_GB2312"/>
          <w:sz w:val="32"/>
          <w:szCs w:val="32"/>
          <w:lang w:val="en-US" w:eastAsia="zh-CN"/>
        </w:rPr>
        <w:t>100</w:t>
      </w:r>
      <w:r>
        <w:rPr>
          <w:rFonts w:eastAsia="仿宋_GB2312"/>
          <w:sz w:val="32"/>
          <w:szCs w:val="32"/>
        </w:rPr>
        <w:t>%。</w:t>
      </w:r>
    </w:p>
    <w:p>
      <w:pPr>
        <w:spacing w:line="620" w:lineRule="exact"/>
        <w:ind w:firstLine="707" w:firstLineChars="221"/>
        <w:outlineLvl w:val="2"/>
        <w:rPr>
          <w:rFonts w:ascii="方正楷体简体" w:eastAsia="方正楷体简体"/>
          <w:sz w:val="32"/>
          <w:szCs w:val="32"/>
        </w:rPr>
      </w:pPr>
      <w:bookmarkStart w:id="51" w:name="_Toc15377224"/>
      <w:r>
        <w:rPr>
          <w:rFonts w:ascii="方正楷体简体" w:eastAsia="方正楷体简体"/>
          <w:sz w:val="32"/>
          <w:szCs w:val="32"/>
        </w:rPr>
        <w:t>（三）国有资产占有使用情况</w:t>
      </w:r>
      <w:bookmarkEnd w:id="51"/>
    </w:p>
    <w:p>
      <w:pPr>
        <w:autoSpaceDE w:val="0"/>
        <w:autoSpaceDN w:val="0"/>
        <w:adjustRightInd w:val="0"/>
        <w:spacing w:line="620" w:lineRule="exact"/>
        <w:ind w:firstLine="707" w:firstLineChars="221"/>
        <w:jc w:val="left"/>
        <w:rPr>
          <w:rFonts w:eastAsia="仿宋_GB2312"/>
          <w:sz w:val="32"/>
          <w:szCs w:val="32"/>
        </w:rPr>
      </w:pPr>
      <w:r>
        <w:rPr>
          <w:rFonts w:eastAsia="仿宋_GB2312"/>
          <w:sz w:val="32"/>
          <w:szCs w:val="32"/>
        </w:rPr>
        <w:t>截至2021年12月31日，四川省广元市中级人民法院共有车辆20辆，其中：机要通信用车1辆、执法执勤用车12辆、特种专用技术用车7辆，主要是用于我院开展案件审判、执行等业务工作需求。单价50万元以上通用设备1台（套），单价100万元以上专用设备0台（套）。</w:t>
      </w:r>
    </w:p>
    <w:p>
      <w:pPr>
        <w:widowControl/>
        <w:ind w:firstLine="710" w:firstLineChars="221"/>
        <w:jc w:val="left"/>
        <w:rPr>
          <w:rFonts w:eastAsia="仿宋_GB2312"/>
          <w:b/>
          <w:sz w:val="32"/>
          <w:szCs w:val="32"/>
        </w:rPr>
      </w:pPr>
      <w:r>
        <w:rPr>
          <w:rFonts w:eastAsia="仿宋_GB2312"/>
          <w:b/>
          <w:sz w:val="32"/>
          <w:szCs w:val="32"/>
        </w:rPr>
        <w:br w:type="page"/>
      </w:r>
    </w:p>
    <w:p>
      <w:pPr>
        <w:spacing w:line="620" w:lineRule="exact"/>
        <w:jc w:val="center"/>
        <w:outlineLvl w:val="0"/>
        <w:rPr>
          <w:rStyle w:val="18"/>
          <w:rFonts w:ascii="方正小标宋简体" w:eastAsia="方正小标宋简体"/>
          <w:b w:val="0"/>
          <w:sz w:val="32"/>
          <w:szCs w:val="32"/>
        </w:rPr>
      </w:pPr>
      <w:bookmarkStart w:id="52" w:name="_Toc15396613"/>
      <w:bookmarkStart w:id="53" w:name="_Toc15377225"/>
      <w:r>
        <w:rPr>
          <w:rFonts w:hint="eastAsia" w:ascii="方正小标宋简体" w:eastAsia="方正小标宋简体"/>
          <w:sz w:val="32"/>
          <w:szCs w:val="32"/>
        </w:rPr>
        <w:t>第三部分  名</w:t>
      </w:r>
      <w:r>
        <w:rPr>
          <w:rStyle w:val="18"/>
          <w:rFonts w:hint="eastAsia" w:ascii="方正小标宋简体" w:eastAsia="方正小标宋简体"/>
          <w:b w:val="0"/>
          <w:sz w:val="32"/>
          <w:szCs w:val="32"/>
        </w:rPr>
        <w:t>词解释</w:t>
      </w:r>
      <w:bookmarkEnd w:id="52"/>
      <w:bookmarkEnd w:id="53"/>
    </w:p>
    <w:p>
      <w:pPr>
        <w:spacing w:line="620" w:lineRule="exact"/>
        <w:jc w:val="left"/>
        <w:rPr>
          <w:rFonts w:eastAsia="仿宋_GB2312"/>
          <w:b/>
          <w:sz w:val="44"/>
          <w:szCs w:val="44"/>
        </w:rPr>
      </w:pPr>
    </w:p>
    <w:p>
      <w:pPr>
        <w:pStyle w:val="27"/>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pPr>
        <w:pStyle w:val="27"/>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2.年初结转和结余：指以前年度尚未完成、结转到本年按有关规定继续使用的资金。 </w:t>
      </w:r>
    </w:p>
    <w:p>
      <w:pPr>
        <w:pStyle w:val="27"/>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3.年末结转和结余：指单位按有关规定结转到下年或以后年度继续使用的资金。</w:t>
      </w:r>
    </w:p>
    <w:p>
      <w:pPr>
        <w:spacing w:line="620" w:lineRule="exact"/>
        <w:ind w:firstLine="640" w:firstLineChars="200"/>
        <w:rPr>
          <w:rFonts w:eastAsia="仿宋_GB2312"/>
          <w:sz w:val="32"/>
          <w:szCs w:val="32"/>
        </w:rPr>
      </w:pPr>
      <w:r>
        <w:rPr>
          <w:rFonts w:eastAsia="仿宋_GB2312"/>
          <w:sz w:val="32"/>
          <w:szCs w:val="32"/>
        </w:rPr>
        <w:t>4.公共安全（类）法院（款）行政运行（项）：指反映行政单位（包括实行公务员管理的事业单位）的基本支出。</w:t>
      </w:r>
    </w:p>
    <w:p>
      <w:pPr>
        <w:spacing w:line="620" w:lineRule="exact"/>
        <w:ind w:firstLine="640" w:firstLineChars="200"/>
        <w:rPr>
          <w:rFonts w:eastAsia="仿宋_GB2312"/>
          <w:sz w:val="32"/>
          <w:szCs w:val="32"/>
        </w:rPr>
      </w:pPr>
      <w:r>
        <w:rPr>
          <w:rFonts w:eastAsia="仿宋_GB2312"/>
          <w:sz w:val="32"/>
          <w:szCs w:val="32"/>
        </w:rPr>
        <w:t>5.公共安全（类）法院（款）案件审判（项）：指反映人民法院对刑事、民事、行政、</w:t>
      </w:r>
      <w:r>
        <w:rPr>
          <w:sz w:val="32"/>
          <w:szCs w:val="32"/>
        </w:rPr>
        <w:t>渋</w:t>
      </w:r>
      <w:r>
        <w:rPr>
          <w:rFonts w:eastAsia="仿宋_GB2312"/>
          <w:sz w:val="32"/>
          <w:szCs w:val="32"/>
        </w:rPr>
        <w:t>外等案件审判活动的支出。</w:t>
      </w:r>
    </w:p>
    <w:p>
      <w:pPr>
        <w:spacing w:line="620" w:lineRule="exact"/>
        <w:ind w:firstLine="640" w:firstLineChars="200"/>
        <w:rPr>
          <w:rFonts w:eastAsia="仿宋_GB2312"/>
          <w:sz w:val="32"/>
          <w:szCs w:val="32"/>
        </w:rPr>
      </w:pPr>
      <w:r>
        <w:rPr>
          <w:rFonts w:eastAsia="仿宋_GB2312"/>
          <w:sz w:val="32"/>
          <w:szCs w:val="32"/>
        </w:rPr>
        <w:t>6.公共安全（类）法院（款）案件执行（项）：指反映人民法院对刑事、民事、行政、</w:t>
      </w:r>
      <w:r>
        <w:rPr>
          <w:sz w:val="32"/>
          <w:szCs w:val="32"/>
        </w:rPr>
        <w:t>渋</w:t>
      </w:r>
      <w:r>
        <w:rPr>
          <w:rFonts w:eastAsia="仿宋_GB2312"/>
          <w:sz w:val="32"/>
          <w:szCs w:val="32"/>
        </w:rPr>
        <w:t>外等案件执行活动和对各种非诉执行活动的支出。</w:t>
      </w:r>
    </w:p>
    <w:p>
      <w:pPr>
        <w:spacing w:line="620" w:lineRule="exact"/>
        <w:ind w:firstLine="640" w:firstLineChars="200"/>
        <w:rPr>
          <w:rFonts w:eastAsia="仿宋_GB2312"/>
          <w:sz w:val="32"/>
          <w:szCs w:val="32"/>
        </w:rPr>
      </w:pPr>
      <w:r>
        <w:rPr>
          <w:rFonts w:eastAsia="仿宋_GB2312"/>
          <w:sz w:val="32"/>
          <w:szCs w:val="32"/>
        </w:rPr>
        <w:t>7.公共安全（类）法院（款）事业运行（项）：反映事业单位的基本支出，不包括行政单位（包括实行公务员管理的事业单位）后勤服务中心、医务室等附属事业单位。</w:t>
      </w:r>
    </w:p>
    <w:p>
      <w:pPr>
        <w:spacing w:line="620" w:lineRule="exact"/>
        <w:ind w:firstLine="640" w:firstLineChars="200"/>
        <w:rPr>
          <w:rFonts w:eastAsia="仿宋_GB2312"/>
          <w:sz w:val="32"/>
          <w:szCs w:val="32"/>
        </w:rPr>
      </w:pPr>
      <w:r>
        <w:rPr>
          <w:rFonts w:eastAsia="仿宋_GB2312"/>
          <w:sz w:val="32"/>
          <w:szCs w:val="32"/>
        </w:rPr>
        <w:t>8.公共安全（类）法院（款）其他法院支出（项）：指反映除上述项目以外其他用于法院方面的支出。</w:t>
      </w:r>
    </w:p>
    <w:p>
      <w:pPr>
        <w:spacing w:line="620" w:lineRule="exact"/>
        <w:ind w:firstLine="640" w:firstLineChars="200"/>
        <w:rPr>
          <w:rFonts w:eastAsia="仿宋_GB2312"/>
          <w:sz w:val="32"/>
          <w:szCs w:val="32"/>
        </w:rPr>
      </w:pPr>
      <w:r>
        <w:rPr>
          <w:rFonts w:eastAsia="仿宋_GB2312"/>
          <w:sz w:val="32"/>
          <w:szCs w:val="32"/>
        </w:rPr>
        <w:t>9.社会保障和就业（类）</w:t>
      </w:r>
      <w:r>
        <w:rPr>
          <w:rFonts w:hint="eastAsia" w:eastAsia="仿宋_GB2312"/>
          <w:sz w:val="32"/>
          <w:szCs w:val="32"/>
        </w:rPr>
        <w:t>行政事业单位养老支出</w:t>
      </w:r>
      <w:r>
        <w:rPr>
          <w:rFonts w:eastAsia="仿宋_GB2312"/>
          <w:sz w:val="32"/>
          <w:szCs w:val="32"/>
        </w:rPr>
        <w:t>（款）机关事业单位基本养老保险缴费支出（项）：指反映机关事业单位实施养老保险制度由单位缴纳的基本养老保险费支出。</w:t>
      </w:r>
    </w:p>
    <w:p>
      <w:pPr>
        <w:spacing w:line="620" w:lineRule="exact"/>
        <w:ind w:firstLine="640" w:firstLineChars="200"/>
        <w:rPr>
          <w:rFonts w:eastAsia="仿宋_GB2312"/>
          <w:sz w:val="32"/>
          <w:szCs w:val="32"/>
        </w:rPr>
      </w:pPr>
      <w:r>
        <w:rPr>
          <w:rFonts w:eastAsia="仿宋_GB2312"/>
          <w:sz w:val="32"/>
          <w:szCs w:val="32"/>
        </w:rPr>
        <w:t>10.社会保障和就业（类）</w:t>
      </w:r>
      <w:r>
        <w:rPr>
          <w:rFonts w:hint="eastAsia" w:eastAsia="仿宋_GB2312"/>
          <w:sz w:val="32"/>
          <w:szCs w:val="32"/>
        </w:rPr>
        <w:t>行政事业单位养老支出</w:t>
      </w:r>
      <w:r>
        <w:rPr>
          <w:rFonts w:eastAsia="仿宋_GB2312"/>
          <w:sz w:val="32"/>
          <w:szCs w:val="32"/>
        </w:rPr>
        <w:t>（款）机关事业单位职业年金缴费支出（项）：指反映机关事业单位实施养老保险制度由单位缴纳的职业年金支出。</w:t>
      </w:r>
    </w:p>
    <w:p>
      <w:pPr>
        <w:spacing w:line="620" w:lineRule="exact"/>
        <w:ind w:firstLine="640" w:firstLineChars="200"/>
        <w:rPr>
          <w:rFonts w:eastAsia="仿宋_GB2312"/>
          <w:sz w:val="32"/>
          <w:szCs w:val="32"/>
        </w:rPr>
      </w:pPr>
      <w:r>
        <w:rPr>
          <w:rFonts w:eastAsia="仿宋_GB2312"/>
          <w:sz w:val="32"/>
          <w:szCs w:val="32"/>
        </w:rPr>
        <w:t>11.社会保障和就业（类）抚恤（款）死亡抚恤（项）：反映按规定用于烈士和牺牲、病故人员家属的一次性和定期抚恤金以及丧葬补助费。</w:t>
      </w:r>
    </w:p>
    <w:p>
      <w:pPr>
        <w:spacing w:line="620" w:lineRule="exact"/>
        <w:ind w:firstLine="640" w:firstLineChars="200"/>
        <w:rPr>
          <w:rFonts w:eastAsia="仿宋_GB2312"/>
          <w:sz w:val="32"/>
          <w:szCs w:val="32"/>
        </w:rPr>
      </w:pPr>
      <w:r>
        <w:rPr>
          <w:rFonts w:eastAsia="仿宋_GB2312"/>
          <w:sz w:val="32"/>
          <w:szCs w:val="32"/>
        </w:rPr>
        <w:t>12.卫生健康支出（类）行政事业单位医疗（款）行政单位医疗（项）：指反映财政部门集中安排的行政单位基本医疗保险缴费经费，未参加医疗保险的行政单位的公费医疗经费，按国家规定享受离休人员、红军老战士待遇人员的医疗经费。</w:t>
      </w:r>
    </w:p>
    <w:p>
      <w:pPr>
        <w:spacing w:line="620" w:lineRule="exact"/>
        <w:ind w:firstLine="640" w:firstLineChars="200"/>
        <w:rPr>
          <w:rFonts w:eastAsia="仿宋_GB2312"/>
          <w:sz w:val="32"/>
          <w:szCs w:val="32"/>
        </w:rPr>
      </w:pPr>
      <w:r>
        <w:rPr>
          <w:rFonts w:eastAsia="仿宋_GB2312"/>
          <w:sz w:val="32"/>
          <w:szCs w:val="32"/>
        </w:rPr>
        <w:t>13.住房保障（类）住房改革支出（款）住房公积金（项）：指反映行政事业单位按人力资源和社会保障部、财政部规定的基本工资和津贴补贴以及规定比例为职工缴纳的住房公积金。</w:t>
      </w:r>
    </w:p>
    <w:p>
      <w:pPr>
        <w:spacing w:line="620" w:lineRule="exact"/>
        <w:ind w:firstLine="640" w:firstLineChars="200"/>
        <w:rPr>
          <w:rFonts w:eastAsia="仿宋_GB2312"/>
          <w:sz w:val="32"/>
          <w:szCs w:val="32"/>
        </w:rPr>
      </w:pPr>
      <w:r>
        <w:rPr>
          <w:rFonts w:eastAsia="仿宋_GB2312"/>
          <w:sz w:val="32"/>
          <w:szCs w:val="32"/>
        </w:rPr>
        <w:t>14.基本支出：指为保障机构正常运转、完成日常工作任务而发生的人员支出和公用支出。</w:t>
      </w:r>
    </w:p>
    <w:p>
      <w:pPr>
        <w:spacing w:line="620" w:lineRule="exact"/>
        <w:ind w:firstLine="640" w:firstLineChars="200"/>
        <w:rPr>
          <w:rFonts w:eastAsia="仿宋_GB2312"/>
          <w:sz w:val="32"/>
          <w:szCs w:val="32"/>
        </w:rPr>
      </w:pPr>
      <w:r>
        <w:rPr>
          <w:rFonts w:eastAsia="仿宋_GB2312"/>
          <w:sz w:val="32"/>
          <w:szCs w:val="32"/>
        </w:rPr>
        <w:t xml:space="preserve">15.项目支出：指在基本支出之外为完成特定行政任务和事业发展目标所发生的支出。 </w:t>
      </w:r>
    </w:p>
    <w:p>
      <w:pPr>
        <w:pStyle w:val="27"/>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pStyle w:val="27"/>
        <w:spacing w:line="6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Times New Roman" w:hAnsi="Times New Roman" w:eastAsia="仿宋_GB2312" w:cs="Times New Roman"/>
          <w:color w:val="auto"/>
          <w:sz w:val="32"/>
          <w:szCs w:val="32"/>
        </w:rPr>
      </w:pPr>
    </w:p>
    <w:p>
      <w:pPr>
        <w:spacing w:line="600" w:lineRule="exact"/>
        <w:jc w:val="center"/>
        <w:outlineLvl w:val="0"/>
        <w:rPr>
          <w:rStyle w:val="18"/>
          <w:rFonts w:ascii="方正小标宋简体" w:eastAsia="方正小标宋简体"/>
          <w:b w:val="0"/>
          <w:sz w:val="32"/>
          <w:szCs w:val="32"/>
        </w:rPr>
      </w:pPr>
      <w:bookmarkStart w:id="54" w:name="_Toc15377226"/>
      <w:r>
        <w:rPr>
          <w:b/>
          <w:sz w:val="44"/>
          <w:szCs w:val="44"/>
        </w:rPr>
        <w:br w:type="page"/>
      </w:r>
      <w:bookmarkStart w:id="55" w:name="_Toc15396614"/>
      <w:r>
        <w:rPr>
          <w:rFonts w:hint="eastAsia" w:ascii="方正小标宋简体" w:eastAsia="方正小标宋简体"/>
          <w:b/>
          <w:sz w:val="32"/>
          <w:szCs w:val="32"/>
        </w:rPr>
        <w:t xml:space="preserve">第四部分  </w:t>
      </w:r>
      <w:r>
        <w:rPr>
          <w:rStyle w:val="18"/>
          <w:rFonts w:hint="eastAsia" w:ascii="方正小标宋简体" w:eastAsia="方正小标宋简体"/>
          <w:b w:val="0"/>
          <w:sz w:val="32"/>
          <w:szCs w:val="32"/>
        </w:rPr>
        <w:t>附件</w:t>
      </w:r>
      <w:bookmarkEnd w:id="55"/>
    </w:p>
    <w:p>
      <w:pPr>
        <w:pStyle w:val="2"/>
        <w:spacing w:before="93"/>
        <w:ind w:left="315" w:leftChars="150"/>
        <w:rPr>
          <w:rFonts w:ascii="Times New Roman"/>
        </w:rPr>
      </w:pPr>
    </w:p>
    <w:p>
      <w:pPr>
        <w:spacing w:line="560" w:lineRule="exact"/>
        <w:rPr>
          <w:rFonts w:eastAsia="仿宋_GB2312"/>
          <w:color w:val="000000"/>
          <w:kern w:val="0"/>
          <w:sz w:val="32"/>
          <w:szCs w:val="32"/>
        </w:rPr>
      </w:pPr>
      <w:r>
        <w:rPr>
          <w:rFonts w:eastAsia="仿宋_GB2312"/>
          <w:color w:val="000000"/>
          <w:kern w:val="0"/>
          <w:sz w:val="32"/>
          <w:szCs w:val="32"/>
        </w:rPr>
        <w:t>附件1：</w:t>
      </w:r>
    </w:p>
    <w:p>
      <w:pPr>
        <w:spacing w:line="572" w:lineRule="exact"/>
        <w:jc w:val="center"/>
        <w:rPr>
          <w:rFonts w:eastAsia="方正小标宋简体"/>
          <w:kern w:val="0"/>
          <w:sz w:val="40"/>
          <w:szCs w:val="44"/>
        </w:rPr>
      </w:pPr>
      <w:r>
        <w:rPr>
          <w:rFonts w:eastAsia="方正小标宋简体"/>
          <w:kern w:val="0"/>
          <w:sz w:val="40"/>
          <w:szCs w:val="44"/>
        </w:rPr>
        <w:t>四川省广元市中级人民法院</w:t>
      </w:r>
    </w:p>
    <w:p>
      <w:pPr>
        <w:spacing w:line="572" w:lineRule="exact"/>
        <w:jc w:val="center"/>
        <w:rPr>
          <w:rFonts w:eastAsia="方正小标宋简体"/>
          <w:kern w:val="0"/>
          <w:sz w:val="40"/>
          <w:szCs w:val="44"/>
          <w:lang w:val="zh-CN"/>
        </w:rPr>
      </w:pPr>
      <w:r>
        <w:rPr>
          <w:rFonts w:eastAsia="方正小标宋简体"/>
          <w:kern w:val="0"/>
          <w:sz w:val="40"/>
          <w:szCs w:val="44"/>
        </w:rPr>
        <w:t>2021年部门整体绩效评价报告</w:t>
      </w:r>
    </w:p>
    <w:p>
      <w:pPr>
        <w:widowControl/>
        <w:adjustRightInd w:val="0"/>
        <w:snapToGrid w:val="0"/>
        <w:spacing w:line="572" w:lineRule="exact"/>
        <w:ind w:firstLine="480" w:firstLineChars="200"/>
        <w:contextualSpacing/>
        <w:jc w:val="left"/>
        <w:rPr>
          <w:rFonts w:eastAsia="黑体"/>
          <w:kern w:val="0"/>
          <w:sz w:val="24"/>
          <w:szCs w:val="32"/>
          <w:shd w:val="clear" w:color="auto" w:fill="FFFFFF"/>
        </w:rPr>
      </w:pPr>
    </w:p>
    <w:p>
      <w:pPr>
        <w:widowControl/>
        <w:adjustRightInd w:val="0"/>
        <w:snapToGrid w:val="0"/>
        <w:spacing w:line="572" w:lineRule="exact"/>
        <w:ind w:firstLine="640" w:firstLineChars="200"/>
        <w:contextualSpacing/>
        <w:jc w:val="left"/>
        <w:rPr>
          <w:rFonts w:ascii="方正黑体简体" w:eastAsia="方正黑体简体"/>
          <w:kern w:val="0"/>
          <w:sz w:val="32"/>
          <w:szCs w:val="32"/>
          <w:shd w:val="clear" w:color="auto" w:fill="FFFFFF"/>
          <w:lang w:val="zh-CN"/>
        </w:rPr>
      </w:pPr>
      <w:r>
        <w:rPr>
          <w:rFonts w:hint="eastAsia" w:ascii="方正黑体简体" w:eastAsia="方正黑体简体"/>
          <w:kern w:val="0"/>
          <w:sz w:val="32"/>
          <w:szCs w:val="32"/>
          <w:shd w:val="clear" w:color="auto" w:fill="FFFFFF"/>
        </w:rPr>
        <w:t>一、</w:t>
      </w:r>
      <w:r>
        <w:rPr>
          <w:rFonts w:hint="eastAsia" w:ascii="方正黑体简体" w:eastAsia="方正黑体简体"/>
          <w:kern w:val="0"/>
          <w:sz w:val="32"/>
          <w:szCs w:val="32"/>
          <w:shd w:val="clear" w:color="auto" w:fill="FFFFFF"/>
          <w:lang w:val="zh-CN"/>
        </w:rPr>
        <w:t>部门（单位）概况</w:t>
      </w:r>
    </w:p>
    <w:p>
      <w:pPr>
        <w:spacing w:line="600" w:lineRule="exact"/>
        <w:ind w:firstLine="640"/>
        <w:outlineLvl w:val="2"/>
        <w:rPr>
          <w:rFonts w:ascii="方正楷体简体" w:eastAsia="方正楷体简体"/>
          <w:sz w:val="32"/>
          <w:szCs w:val="32"/>
        </w:rPr>
      </w:pPr>
      <w:r>
        <w:rPr>
          <w:rFonts w:ascii="方正楷体简体" w:eastAsia="方正楷体简体"/>
          <w:sz w:val="32"/>
          <w:szCs w:val="32"/>
        </w:rPr>
        <w:t>（一）机构组成。</w:t>
      </w:r>
    </w:p>
    <w:p>
      <w:pPr>
        <w:spacing w:line="560" w:lineRule="exact"/>
        <w:ind w:firstLine="640" w:firstLineChars="200"/>
        <w:rPr>
          <w:lang w:val="zh-CN"/>
        </w:rPr>
      </w:pPr>
      <w:r>
        <w:rPr>
          <w:rFonts w:eastAsia="仿宋_GB2312"/>
          <w:color w:val="000000"/>
          <w:kern w:val="0"/>
          <w:sz w:val="32"/>
          <w:szCs w:val="32"/>
        </w:rPr>
        <w:t>我院内设机构有立案庭、刑一庭、刑二庭、民一庭、民二庭、民三庭、行政庭、赔委办、环资庭、审监庭、执行局、审管办、研究室、技术室、政治部、办公室、行装处、法警队、督察室、机关党办、新闻中心等21个部门。</w:t>
      </w:r>
    </w:p>
    <w:p>
      <w:pPr>
        <w:spacing w:line="600" w:lineRule="exact"/>
        <w:ind w:firstLine="640"/>
        <w:outlineLvl w:val="2"/>
        <w:rPr>
          <w:rFonts w:ascii="方正楷体简体" w:eastAsia="方正楷体简体"/>
          <w:sz w:val="32"/>
          <w:szCs w:val="32"/>
        </w:rPr>
      </w:pPr>
      <w:r>
        <w:rPr>
          <w:rFonts w:hint="eastAsia" w:ascii="方正楷体简体" w:eastAsia="方正楷体简体"/>
          <w:sz w:val="32"/>
          <w:szCs w:val="32"/>
        </w:rPr>
        <w:t>（二）</w:t>
      </w:r>
      <w:r>
        <w:rPr>
          <w:rFonts w:ascii="方正楷体简体" w:eastAsia="方正楷体简体"/>
          <w:sz w:val="32"/>
          <w:szCs w:val="32"/>
        </w:rPr>
        <w:t>机构职能。</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（1）依法审判法律规定由本院办理的各类案件。</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（2）监督、指导全市法院的审判工作。</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（3）依法行使司法执行权和司法决定权，统一管理全市法院的执行工作。</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（4）负责对本院的法官和其他工作人员进行管理及组织专业培训，指导基层人民法院的思想政治、教育培训工作。</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（5）协助市主管部门管理全市法院机构设置、人员编制和基层人民法院领导班子。</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（6）领导全市人民法院的纪检监察工作及党风廉政工作。</w:t>
      </w:r>
    </w:p>
    <w:p>
      <w:pPr>
        <w:pStyle w:val="32"/>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（7）协调规划管理全市人民法院的“两庭”建设、信息化建设和物资装备建设。</w:t>
      </w:r>
    </w:p>
    <w:p>
      <w:pPr>
        <w:pStyle w:val="3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（8）在审判工作中宣传法制，教育公民忠于祖国、自觉遵守宪法、法律和社会公德。</w:t>
      </w:r>
    </w:p>
    <w:p>
      <w:pPr>
        <w:pStyle w:val="3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（9）对广元市人民代表大会及其常委会负责并报告工作。</w:t>
      </w:r>
    </w:p>
    <w:p>
      <w:pPr>
        <w:pStyle w:val="32"/>
        <w:spacing w:line="560" w:lineRule="exact"/>
        <w:rPr>
          <w:rFonts w:ascii="Times New Roman" w:hAnsi="Times New Roman" w:cs="Times New Roman"/>
          <w:lang w:val="zh-CN"/>
        </w:rPr>
      </w:pPr>
      <w:r>
        <w:rPr>
          <w:rFonts w:ascii="Times New Roman" w:hAnsi="Times New Roman" w:eastAsia="仿宋_GB2312" w:cs="Times New Roman"/>
          <w:sz w:val="32"/>
          <w:szCs w:val="32"/>
        </w:rPr>
        <w:t xml:space="preserve">    （10）承办其他应由本院负责的工作。</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（三）人员概况。</w:t>
      </w:r>
    </w:p>
    <w:p>
      <w:pPr>
        <w:snapToGrid w:val="0"/>
        <w:spacing w:line="560" w:lineRule="exact"/>
        <w:ind w:firstLine="640" w:firstLineChars="200"/>
        <w:rPr>
          <w:lang w:val="zh-CN"/>
        </w:rPr>
      </w:pPr>
      <w:r>
        <w:rPr>
          <w:rFonts w:eastAsia="仿宋_GB2312"/>
          <w:color w:val="000000"/>
          <w:kern w:val="0"/>
          <w:sz w:val="32"/>
          <w:szCs w:val="32"/>
        </w:rPr>
        <w:t>我院总编制132名，其中政法编制125名，其他事业编制7名。共有</w:t>
      </w:r>
      <w:r>
        <w:rPr>
          <w:rFonts w:eastAsia="仿宋_GB2312"/>
          <w:sz w:val="32"/>
          <w:szCs w:val="32"/>
          <w:lang w:bidi="ar"/>
        </w:rPr>
        <w:t>正式干警</w:t>
      </w:r>
      <w:r>
        <w:rPr>
          <w:rFonts w:eastAsia="仿宋_GB2312"/>
          <w:color w:val="000000"/>
          <w:kern w:val="0"/>
          <w:sz w:val="32"/>
          <w:szCs w:val="32"/>
        </w:rPr>
        <w:t>总数123人，其中政法人员116人，</w:t>
      </w:r>
      <w:r>
        <w:rPr>
          <w:rFonts w:eastAsia="仿宋_GB2312"/>
          <w:sz w:val="32"/>
          <w:szCs w:val="32"/>
          <w:lang w:bidi="ar"/>
        </w:rPr>
        <w:t>其他事业人员6人，工勤编制1人。聘用人员62人，退休人员68人。</w:t>
      </w:r>
    </w:p>
    <w:p>
      <w:pPr>
        <w:widowControl/>
        <w:adjustRightInd w:val="0"/>
        <w:snapToGrid w:val="0"/>
        <w:spacing w:line="572" w:lineRule="exact"/>
        <w:ind w:firstLine="640" w:firstLineChars="200"/>
        <w:contextualSpacing/>
        <w:jc w:val="left"/>
        <w:rPr>
          <w:rFonts w:ascii="方正黑体简体" w:eastAsia="方正黑体简体"/>
          <w:kern w:val="0"/>
          <w:sz w:val="32"/>
          <w:szCs w:val="32"/>
          <w:shd w:val="clear" w:color="auto" w:fill="FFFFFF"/>
        </w:rPr>
      </w:pPr>
      <w:r>
        <w:rPr>
          <w:rFonts w:ascii="方正黑体简体" w:eastAsia="方正黑体简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lang w:val="zh-CN"/>
        </w:rPr>
      </w:pPr>
      <w:r>
        <w:rPr>
          <w:rFonts w:eastAsia="仿宋_GB2312"/>
          <w:color w:val="000000"/>
          <w:sz w:val="32"/>
          <w:szCs w:val="32"/>
        </w:rPr>
        <w:t>单位本年度实际收到的</w:t>
      </w:r>
      <w:r>
        <w:rPr>
          <w:rFonts w:eastAsia="仿宋_GB2312"/>
          <w:bCs/>
          <w:color w:val="000000"/>
          <w:sz w:val="32"/>
          <w:szCs w:val="32"/>
        </w:rPr>
        <w:t>一般</w:t>
      </w:r>
      <w:r>
        <w:rPr>
          <w:rFonts w:eastAsia="仿宋_GB2312"/>
          <w:color w:val="000000"/>
          <w:sz w:val="32"/>
          <w:szCs w:val="32"/>
        </w:rPr>
        <w:t>公共预算财政拨款收入4413.86万元</w:t>
      </w:r>
      <w:r>
        <w:rPr>
          <w:color w:val="000000"/>
          <w:sz w:val="32"/>
          <w:szCs w:val="32"/>
        </w:rPr>
        <w:t>。</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（二）部门财政资金支出情况。</w:t>
      </w:r>
    </w:p>
    <w:p>
      <w:pPr>
        <w:snapToGrid w:val="0"/>
        <w:spacing w:line="640" w:lineRule="exact"/>
        <w:ind w:firstLine="640" w:firstLineChars="200"/>
        <w:rPr>
          <w:lang w:val="zh-CN"/>
        </w:rPr>
      </w:pPr>
      <w:r>
        <w:rPr>
          <w:rFonts w:eastAsia="仿宋_GB2312"/>
          <w:sz w:val="32"/>
          <w:szCs w:val="32"/>
          <w:lang w:bidi="ar"/>
        </w:rPr>
        <w:t>本年支出4901.42万元。其中：基本支出3812.55万元（工资福利支出2863.67万元，商品和服务支出778.23万元，对家庭和个人补助支出87.78万元，资本性支出82.87万元）。项目支出1088.87万元（案件审判支出792.15万元，案件执行支出264.72万元，其他法院支出32万元）。</w:t>
      </w:r>
    </w:p>
    <w:p>
      <w:pPr>
        <w:widowControl/>
        <w:adjustRightInd w:val="0"/>
        <w:snapToGrid w:val="0"/>
        <w:spacing w:line="572" w:lineRule="exact"/>
        <w:ind w:firstLine="640" w:firstLineChars="200"/>
        <w:contextualSpacing/>
        <w:jc w:val="left"/>
        <w:rPr>
          <w:rFonts w:ascii="方正黑体简体" w:eastAsia="方正黑体简体"/>
          <w:kern w:val="0"/>
          <w:sz w:val="32"/>
          <w:szCs w:val="32"/>
          <w:shd w:val="clear" w:color="auto" w:fill="FFFFFF"/>
        </w:rPr>
      </w:pPr>
      <w:r>
        <w:rPr>
          <w:rFonts w:ascii="方正黑体简体" w:eastAsia="方正黑体简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（一）部门预算项目绩效管理。</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1.</w:t>
      </w:r>
      <w:r>
        <w:rPr>
          <w:rFonts w:eastAsia="仿宋_GB2312"/>
          <w:kern w:val="0"/>
          <w:sz w:val="32"/>
          <w:szCs w:val="32"/>
          <w:shd w:val="clear" w:color="auto" w:fill="FFFFFF"/>
          <w:lang w:val="zh-CN"/>
        </w:rPr>
        <w:t>部门绩效目标制定。</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部门绩效目标制定完整、量化细化。</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2.</w:t>
      </w:r>
      <w:r>
        <w:rPr>
          <w:rFonts w:eastAsia="仿宋_GB2312"/>
          <w:kern w:val="0"/>
          <w:sz w:val="32"/>
          <w:szCs w:val="32"/>
          <w:shd w:val="clear" w:color="auto" w:fill="FFFFFF"/>
          <w:lang w:val="zh-CN"/>
        </w:rPr>
        <w:t>部门绩效目标实现</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稳步推进部门预算实施，及时完成年度绩效目标任务。人员类经费及时保障了我院正式干警123人，聘用人员68人工资及福利支出。运转类经费保障了法院各类日常运行支出，维护了正常的办公办案秩序，畅通了当事人诉求渠道，提升我院案件办理和各项综合事务工作质效。专项项目经费保障了案件审理和执行中各项经费支出，有效打击了刑事犯罪，合理解决了各类民事纠纷，维护了当事人合法权益，营造了风清气正的社会环境。</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3.</w:t>
      </w:r>
      <w:r>
        <w:rPr>
          <w:rFonts w:eastAsia="仿宋_GB2312"/>
          <w:kern w:val="0"/>
          <w:sz w:val="32"/>
          <w:szCs w:val="32"/>
          <w:shd w:val="clear" w:color="auto" w:fill="FFFFFF"/>
          <w:lang w:val="zh-CN"/>
        </w:rPr>
        <w:t>支出控制情况</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 xml:space="preserve"> 加强部门公用经费及非定额公用支出控制，厉行节约。部门日常公用经费、项目支出中的“办公费、印刷费、水费、电费、物业管理费”等科目年初预算数与决算数差异较小。</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4.部门绩效及时处置情况</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加强预算绩效监控，对偏离绩效目标的项目及时纠偏，</w:t>
      </w:r>
      <w:r>
        <w:rPr>
          <w:rFonts w:eastAsia="仿宋_GB2312"/>
          <w:kern w:val="0"/>
          <w:sz w:val="32"/>
          <w:szCs w:val="32"/>
          <w:shd w:val="clear" w:color="auto" w:fill="FFFFFF"/>
        </w:rPr>
        <w:t>2021年我院部门绩效监控调整取消额与结余注销额为0。</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5.执行进度</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2021年我院部门预算执行进度在6月份超过40%，后在项目资金支付过程中，使用部分上年结转资金，导致年底全年部门预算执行进度为76.56%。</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6.</w:t>
      </w:r>
      <w:r>
        <w:rPr>
          <w:rFonts w:eastAsia="仿宋_GB2312"/>
          <w:kern w:val="0"/>
          <w:sz w:val="32"/>
          <w:szCs w:val="32"/>
          <w:shd w:val="clear" w:color="auto" w:fill="FFFFFF"/>
          <w:lang w:val="zh-CN"/>
        </w:rPr>
        <w:t>预算完成情况</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2021年，我院部门预算整体执行进度为75.56%。其中，人员及日常公用经费执行进度为100%，专项项目执行进度为30.65%，主要原因一是使用了部分上年结转资金支付项目资金，二是部分项目尚未达支付条件，结转至下年支付。</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7.</w:t>
      </w:r>
      <w:r>
        <w:rPr>
          <w:rFonts w:eastAsia="仿宋_GB2312"/>
          <w:kern w:val="0"/>
          <w:sz w:val="32"/>
          <w:szCs w:val="32"/>
          <w:shd w:val="clear" w:color="auto" w:fill="FFFFFF"/>
          <w:lang w:val="zh-CN"/>
        </w:rPr>
        <w:t>资金结余率（低效无效率）</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2021年，我院共申报19个专项预算项目，截止2021</w:t>
      </w:r>
      <w:r>
        <w:rPr>
          <w:rFonts w:hint="eastAsia" w:eastAsia="仿宋_GB2312"/>
          <w:kern w:val="0"/>
          <w:sz w:val="32"/>
          <w:szCs w:val="32"/>
          <w:shd w:val="clear" w:color="auto" w:fill="FFFFFF"/>
          <w:lang w:eastAsia="zh-CN"/>
        </w:rPr>
        <w:t>年12月</w:t>
      </w:r>
      <w:r>
        <w:rPr>
          <w:rFonts w:eastAsia="仿宋_GB2312"/>
          <w:kern w:val="0"/>
          <w:sz w:val="32"/>
          <w:szCs w:val="32"/>
          <w:shd w:val="clear" w:color="auto" w:fill="FFFFFF"/>
        </w:rPr>
        <w:t>，部门预算项目资金结余率小于0.1的项目为5个，主要原因是使用了部分上年结转资金，导致本年项目结余率较大。</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8.</w:t>
      </w:r>
      <w:r>
        <w:rPr>
          <w:rFonts w:eastAsia="仿宋_GB2312"/>
          <w:kern w:val="0"/>
          <w:sz w:val="32"/>
          <w:szCs w:val="32"/>
          <w:shd w:val="clear" w:color="auto" w:fill="FFFFFF"/>
          <w:lang w:val="zh-CN"/>
        </w:rPr>
        <w:t>违规记录</w:t>
      </w:r>
    </w:p>
    <w:p>
      <w:pPr>
        <w:widowControl/>
        <w:adjustRightInd w:val="0"/>
        <w:snapToGrid w:val="0"/>
        <w:spacing w:line="572" w:lineRule="exact"/>
        <w:ind w:firstLine="640" w:firstLineChars="200"/>
        <w:contextualSpacing/>
        <w:jc w:val="left"/>
        <w:rPr>
          <w:lang w:val="zh-CN"/>
        </w:rPr>
      </w:pPr>
      <w:r>
        <w:rPr>
          <w:rFonts w:eastAsia="仿宋_GB2312"/>
          <w:kern w:val="0"/>
          <w:sz w:val="32"/>
          <w:szCs w:val="32"/>
          <w:shd w:val="clear" w:color="auto" w:fill="FFFFFF"/>
          <w:lang w:val="zh-CN"/>
        </w:rPr>
        <w:t>我院严格预算绩效监控和资金管理，无部门预算管理方面违规违纪问题。</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（二）结果应用情况。</w:t>
      </w:r>
    </w:p>
    <w:p>
      <w:pPr>
        <w:widowControl/>
        <w:adjustRightInd w:val="0"/>
        <w:snapToGrid w:val="0"/>
        <w:spacing w:line="572"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包括内部应用、自评公开、问题整改和应用反馈等情况。</w:t>
      </w:r>
    </w:p>
    <w:p>
      <w:pPr>
        <w:widowControl/>
        <w:adjustRightInd w:val="0"/>
        <w:snapToGrid w:val="0"/>
        <w:spacing w:line="540" w:lineRule="exact"/>
        <w:ind w:firstLine="960" w:firstLineChars="3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1.</w:t>
      </w:r>
      <w:r>
        <w:rPr>
          <w:rFonts w:eastAsia="仿宋_GB2312"/>
          <w:kern w:val="0"/>
          <w:sz w:val="32"/>
          <w:szCs w:val="32"/>
          <w:shd w:val="clear" w:color="auto" w:fill="FFFFFF"/>
          <w:lang w:val="zh-CN"/>
        </w:rPr>
        <w:t>绩效结果内部应用</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 xml:space="preserve">  加快完善绩效管理考评机制，将各部门绩效自评纳入考核体系，提升各部门绩效考核工作积极性和主动性，增强预算绩效管理意识。</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2.</w:t>
      </w:r>
      <w:r>
        <w:rPr>
          <w:rFonts w:eastAsia="仿宋_GB2312"/>
          <w:kern w:val="0"/>
          <w:sz w:val="32"/>
          <w:szCs w:val="32"/>
          <w:shd w:val="clear" w:color="auto" w:fill="FFFFFF"/>
          <w:lang w:val="zh-CN"/>
        </w:rPr>
        <w:t>绩效结果自评公开</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及时公开部门整体绩效自评和项目绩效自评情况，接受社会监督，提升预算绩效管理工作水平，提高财政资金使用效益。</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3.</w:t>
      </w:r>
      <w:r>
        <w:rPr>
          <w:rFonts w:eastAsia="仿宋_GB2312"/>
          <w:kern w:val="0"/>
          <w:sz w:val="32"/>
          <w:szCs w:val="32"/>
          <w:shd w:val="clear" w:color="auto" w:fill="FFFFFF"/>
          <w:lang w:val="zh-CN"/>
        </w:rPr>
        <w:t>绩效结果问题整改</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加强部门绩效管理，并及时将绩效管理及评价结果反馈给各评价部门，督促积极整改、完善存在问题，并作为下年预算申报的参考依据。</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4.</w:t>
      </w:r>
      <w:r>
        <w:rPr>
          <w:rFonts w:eastAsia="仿宋_GB2312"/>
          <w:kern w:val="0"/>
          <w:sz w:val="32"/>
          <w:szCs w:val="32"/>
          <w:shd w:val="clear" w:color="auto" w:fill="FFFFFF"/>
          <w:lang w:val="zh-CN"/>
        </w:rPr>
        <w:t>绩效结果应用反馈</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 xml:space="preserve"> 落实绩效结果问题整改，并及时向财政部门反馈应用绩效结果，促进绩效管理工作提质增效。</w:t>
      </w:r>
    </w:p>
    <w:p>
      <w:pPr>
        <w:widowControl/>
        <w:adjustRightInd w:val="0"/>
        <w:snapToGrid w:val="0"/>
        <w:spacing w:line="540"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（三）</w:t>
      </w:r>
      <w:r>
        <w:rPr>
          <w:rFonts w:ascii="方正楷体简体" w:eastAsia="方正楷体简体"/>
          <w:kern w:val="0"/>
          <w:sz w:val="32"/>
          <w:szCs w:val="32"/>
          <w:shd w:val="clear" w:color="auto" w:fill="FFFFFF"/>
          <w:lang w:val="zh-CN"/>
        </w:rPr>
        <w:t>自评质量</w:t>
      </w:r>
    </w:p>
    <w:p>
      <w:pPr>
        <w:widowControl/>
        <w:adjustRightInd w:val="0"/>
        <w:snapToGrid w:val="0"/>
        <w:spacing w:line="54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 xml:space="preserve">  2021年，我院立足往年部门预算实施情况及本年预算需求实际，科学编制年初预算，积极推进部门预算执行进度，加强预算绩效管理和监控，科学、严谨开展绩效自评工作，及时反馈绩效自评问题，督促落实整改，增强预算绩效管理意识，推动部门预算工作提质增效。</w:t>
      </w:r>
    </w:p>
    <w:p>
      <w:pPr>
        <w:widowControl/>
        <w:adjustRightInd w:val="0"/>
        <w:snapToGrid w:val="0"/>
        <w:spacing w:line="540" w:lineRule="exact"/>
        <w:ind w:firstLine="640" w:firstLineChars="200"/>
        <w:contextualSpacing/>
        <w:jc w:val="left"/>
        <w:rPr>
          <w:rFonts w:ascii="方正黑体简体" w:eastAsia="方正黑体简体"/>
          <w:kern w:val="0"/>
          <w:sz w:val="32"/>
          <w:szCs w:val="32"/>
          <w:shd w:val="clear" w:color="auto" w:fill="FFFFFF"/>
        </w:rPr>
      </w:pPr>
      <w:r>
        <w:rPr>
          <w:rFonts w:ascii="方正黑体简体" w:eastAsia="方正黑体简体"/>
          <w:kern w:val="0"/>
          <w:sz w:val="32"/>
          <w:szCs w:val="32"/>
          <w:shd w:val="clear" w:color="auto" w:fill="FFFFFF"/>
        </w:rPr>
        <w:t>四、评价结论及建议</w:t>
      </w:r>
    </w:p>
    <w:p>
      <w:pPr>
        <w:widowControl/>
        <w:adjustRightInd w:val="0"/>
        <w:snapToGrid w:val="0"/>
        <w:spacing w:line="540"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（一）评价结论。</w:t>
      </w:r>
    </w:p>
    <w:p>
      <w:pPr>
        <w:spacing w:line="540" w:lineRule="exact"/>
        <w:ind w:firstLine="704" w:firstLineChars="220"/>
        <w:rPr>
          <w:rFonts w:eastAsia="仿宋_GB2312"/>
          <w:sz w:val="32"/>
          <w:szCs w:val="32"/>
        </w:rPr>
      </w:pPr>
      <w:r>
        <w:rPr>
          <w:rFonts w:eastAsia="仿宋_GB2312"/>
          <w:sz w:val="32"/>
          <w:szCs w:val="32"/>
        </w:rPr>
        <w:t>按照绩效评价相关文件要求，我院积极开展</w:t>
      </w:r>
      <w:r>
        <w:rPr>
          <w:sz w:val="32"/>
          <w:szCs w:val="32"/>
        </w:rPr>
        <w:t>预算</w:t>
      </w:r>
      <w:r>
        <w:rPr>
          <w:rFonts w:eastAsia="仿宋_GB2312"/>
          <w:sz w:val="32"/>
          <w:szCs w:val="32"/>
        </w:rPr>
        <w:t>绩效评价工作，对部门整体支出和相关项目展开了绩效自评，以绩效评价实时跟踪监控预算执行情况，及时纠正项目资金使用偏差，保障预算执行力度，优化资金使用效率。</w:t>
      </w:r>
    </w:p>
    <w:p>
      <w:pPr>
        <w:spacing w:line="540" w:lineRule="exact"/>
        <w:ind w:firstLine="704" w:firstLineChars="220"/>
        <w:rPr>
          <w:lang w:val="zh-CN"/>
        </w:rPr>
      </w:pPr>
      <w:r>
        <w:rPr>
          <w:rFonts w:eastAsia="仿宋_GB2312"/>
          <w:sz w:val="32"/>
          <w:szCs w:val="32"/>
          <w:lang w:val="zh-CN"/>
        </w:rPr>
        <w:t>通过本次整体支出绩效自评，评价得分为</w:t>
      </w:r>
      <w:r>
        <w:rPr>
          <w:rFonts w:eastAsia="仿宋_GB2312"/>
          <w:sz w:val="32"/>
          <w:szCs w:val="32"/>
        </w:rPr>
        <w:t>88.93。</w:t>
      </w:r>
    </w:p>
    <w:p>
      <w:pPr>
        <w:widowControl/>
        <w:adjustRightInd w:val="0"/>
        <w:snapToGrid w:val="0"/>
        <w:spacing w:line="540"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（二）存在问题。</w:t>
      </w:r>
    </w:p>
    <w:p>
      <w:pPr>
        <w:spacing w:line="540" w:lineRule="exact"/>
        <w:ind w:firstLine="640" w:firstLineChars="200"/>
        <w:rPr>
          <w:rFonts w:eastAsia="仿宋_GB2312"/>
          <w:sz w:val="32"/>
          <w:szCs w:val="32"/>
        </w:rPr>
      </w:pPr>
      <w:r>
        <w:rPr>
          <w:rFonts w:eastAsia="仿宋_GB2312"/>
          <w:sz w:val="32"/>
          <w:szCs w:val="32"/>
        </w:rPr>
        <w:t>1.</w:t>
      </w:r>
      <w:r>
        <w:rPr>
          <w:rFonts w:eastAsia="仿宋_GB2312"/>
          <w:sz w:val="32"/>
          <w:szCs w:val="32"/>
          <w:lang w:val="zh-CN"/>
        </w:rPr>
        <w:t>年初预算编制不够精准。我单位在部门预算编制时，缺乏科学性和前瞻性研判，无法准确预测项目资金需求，导致一些项目资金剩余较多或缺口较大，不利于财政预算资金的有效使用。在预算执行的时效上欠佳，一些项目集中在年底支付。部分项目使用上年结转资金支付，导致本年项目资金支付率较低。</w:t>
      </w:r>
    </w:p>
    <w:p>
      <w:pPr>
        <w:spacing w:line="540" w:lineRule="exact"/>
        <w:ind w:firstLine="640" w:firstLineChars="200"/>
        <w:rPr>
          <w:lang w:val="zh-CN"/>
        </w:rPr>
      </w:pPr>
      <w:r>
        <w:rPr>
          <w:rFonts w:eastAsia="仿宋_GB2312"/>
          <w:sz w:val="32"/>
          <w:szCs w:val="32"/>
        </w:rPr>
        <w:t>2.资产管理和清查不到位。主要表现在对单位资产的年度清查力度不够，对资产信息录入的细致度与规范度不够。</w:t>
      </w:r>
    </w:p>
    <w:p>
      <w:pPr>
        <w:widowControl/>
        <w:adjustRightInd w:val="0"/>
        <w:snapToGrid w:val="0"/>
        <w:spacing w:line="540"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（三）改进建议。</w:t>
      </w:r>
    </w:p>
    <w:p>
      <w:pPr>
        <w:pStyle w:val="32"/>
        <w:spacing w:line="540" w:lineRule="exact"/>
        <w:ind w:firstLine="704" w:firstLineChars="220"/>
        <w:rPr>
          <w:rFonts w:ascii="Times New Roman" w:hAnsi="Times New Roman" w:eastAsia="仿宋_GB2312" w:cs="Times New Roman"/>
          <w:sz w:val="32"/>
          <w:szCs w:val="32"/>
        </w:rPr>
      </w:pPr>
      <w:r>
        <w:rPr>
          <w:rFonts w:ascii="Times New Roman" w:hAnsi="Times New Roman" w:eastAsia="仿宋_GB2312" w:cs="Times New Roman"/>
          <w:sz w:val="32"/>
          <w:szCs w:val="32"/>
        </w:rPr>
        <w:t>1.加强预算控制力，细化预算编制工作。进一步加强部门预算管理意识，严格遵守预算编制的相关制度和要求，认真做好编制前的准备工作，根据单位的年度工作重点和项目专项工作规划合理安排公用经费和项目资金，本着“厉行节约、保障运转”的原则编制单位预算，提高预算编制的科学性、有限性、严谨性和可控性。强化对部门预算执行情况的监督，加强对基本支出资金的合法性、合规性、效益性进行跟踪监督，增强预算约束力与控制力。</w:t>
      </w:r>
    </w:p>
    <w:p>
      <w:pPr>
        <w:pStyle w:val="32"/>
        <w:spacing w:line="540" w:lineRule="exact"/>
        <w:ind w:firstLine="704" w:firstLineChars="220"/>
        <w:rPr>
          <w:rFonts w:ascii="Times New Roman" w:hAnsi="Times New Roman" w:eastAsia="仿宋_GB2312" w:cs="Times New Roman"/>
          <w:sz w:val="32"/>
          <w:szCs w:val="32"/>
        </w:rPr>
      </w:pPr>
      <w:r>
        <w:rPr>
          <w:rFonts w:ascii="Times New Roman" w:hAnsi="Times New Roman" w:eastAsia="仿宋_GB2312" w:cs="Times New Roman"/>
          <w:sz w:val="32"/>
          <w:szCs w:val="32"/>
        </w:rPr>
        <w:t>2.加强预算绩效监控，加快预算执行进度。进一步落实项目绩效监管，稳步推进项目执行进度，对偏离绩效目标的项目及时纠偏，统筹推进上年结转资金和本年项目资金支付进度，提高财政资金使用效益。</w:t>
      </w:r>
    </w:p>
    <w:p>
      <w:pPr>
        <w:pStyle w:val="32"/>
        <w:spacing w:line="540" w:lineRule="exact"/>
        <w:ind w:firstLine="704" w:firstLineChars="220"/>
        <w:rPr>
          <w:rFonts w:ascii="Times New Roman" w:hAnsi="Times New Roman" w:eastAsia="仿宋_GB2312" w:cs="Times New Roman"/>
          <w:sz w:val="32"/>
          <w:szCs w:val="32"/>
        </w:rPr>
      </w:pPr>
      <w:r>
        <w:rPr>
          <w:rFonts w:ascii="Times New Roman" w:hAnsi="Times New Roman" w:eastAsia="仿宋_GB2312" w:cs="Times New Roman"/>
          <w:sz w:val="32"/>
          <w:szCs w:val="32"/>
        </w:rPr>
        <w:t>3.加强财务管理，加大资产清查力度。完善并健全单位财务管理制度体系，规范单位财务行为。严格资产管理，落实资产年清查责任制，做好资产账面与实物核对清理，做到账实相符。规范资产购买与处置程序，防止国有资产流失。</w:t>
      </w:r>
    </w:p>
    <w:p>
      <w:pPr>
        <w:widowControl/>
        <w:jc w:val="left"/>
        <w:rPr>
          <w:rFonts w:eastAsia="仿宋_GB2312"/>
          <w:sz w:val="32"/>
          <w:szCs w:val="32"/>
        </w:rPr>
      </w:pPr>
      <w:r>
        <w:rPr>
          <w:rFonts w:eastAsia="仿宋_GB2312"/>
          <w:sz w:val="32"/>
          <w:szCs w:val="32"/>
        </w:rPr>
        <w:br w:type="page"/>
      </w:r>
    </w:p>
    <w:p>
      <w:pPr>
        <w:pStyle w:val="2"/>
        <w:spacing w:before="93"/>
        <w:rPr>
          <w:rFonts w:ascii="Times New Roman"/>
        </w:rPr>
      </w:pPr>
      <w:r>
        <w:rPr>
          <w:rFonts w:ascii="Times New Roman"/>
        </w:rPr>
        <w:t>附件2：</w:t>
      </w:r>
    </w:p>
    <w:p>
      <w:pPr>
        <w:spacing w:line="600" w:lineRule="exact"/>
        <w:jc w:val="center"/>
        <w:rPr>
          <w:rFonts w:eastAsia="方正小标宋简体"/>
          <w:sz w:val="40"/>
          <w:szCs w:val="40"/>
        </w:rPr>
      </w:pPr>
      <w:r>
        <w:rPr>
          <w:rFonts w:eastAsia="方正小标宋简体"/>
          <w:sz w:val="40"/>
          <w:szCs w:val="40"/>
        </w:rPr>
        <w:t>四川省广元市中级人民法院</w:t>
      </w:r>
    </w:p>
    <w:p>
      <w:pPr>
        <w:spacing w:line="600" w:lineRule="exact"/>
        <w:jc w:val="center"/>
        <w:rPr>
          <w:rFonts w:eastAsia="方正小标宋简体"/>
          <w:sz w:val="40"/>
          <w:szCs w:val="40"/>
          <w:lang w:val="zh-CN"/>
        </w:rPr>
      </w:pPr>
      <w:r>
        <w:rPr>
          <w:rFonts w:eastAsia="方正小标宋简体"/>
          <w:sz w:val="40"/>
          <w:szCs w:val="40"/>
        </w:rPr>
        <w:t>2021年法院购买服装（单列）</w:t>
      </w:r>
      <w:r>
        <w:rPr>
          <w:rFonts w:eastAsia="方正小标宋简体"/>
          <w:sz w:val="40"/>
          <w:szCs w:val="40"/>
          <w:lang w:val="zh-CN"/>
        </w:rPr>
        <w:t>项目支出绩效</w:t>
      </w:r>
    </w:p>
    <w:p>
      <w:pPr>
        <w:spacing w:line="600" w:lineRule="exact"/>
        <w:jc w:val="center"/>
        <w:rPr>
          <w:sz w:val="32"/>
          <w:szCs w:val="32"/>
          <w:lang w:val="zh-CN"/>
        </w:rPr>
      </w:pPr>
      <w:r>
        <w:rPr>
          <w:rFonts w:eastAsia="方正小标宋简体"/>
          <w:sz w:val="40"/>
          <w:szCs w:val="40"/>
          <w:lang w:val="zh-CN"/>
        </w:rPr>
        <w:t>自</w:t>
      </w:r>
      <w:r>
        <w:rPr>
          <w:rFonts w:hint="eastAsia" w:eastAsia="方正小标宋简体"/>
          <w:sz w:val="40"/>
          <w:szCs w:val="40"/>
          <w:lang w:val="zh-CN"/>
        </w:rPr>
        <w:t xml:space="preserve"> </w:t>
      </w:r>
      <w:r>
        <w:rPr>
          <w:rFonts w:eastAsia="方正小标宋简体"/>
          <w:sz w:val="40"/>
          <w:szCs w:val="40"/>
          <w:lang w:val="zh-CN"/>
        </w:rPr>
        <w:t>评</w:t>
      </w:r>
      <w:r>
        <w:rPr>
          <w:rFonts w:hint="eastAsia" w:eastAsia="方正小标宋简体"/>
          <w:sz w:val="40"/>
          <w:szCs w:val="40"/>
          <w:lang w:val="zh-CN"/>
        </w:rPr>
        <w:t xml:space="preserve"> </w:t>
      </w:r>
      <w:r>
        <w:rPr>
          <w:rFonts w:eastAsia="方正小标宋简体"/>
          <w:sz w:val="40"/>
          <w:szCs w:val="40"/>
          <w:lang w:val="zh-CN"/>
        </w:rPr>
        <w:t>报</w:t>
      </w:r>
      <w:r>
        <w:rPr>
          <w:rFonts w:hint="eastAsia" w:eastAsia="方正小标宋简体"/>
          <w:sz w:val="40"/>
          <w:szCs w:val="40"/>
          <w:lang w:val="zh-CN"/>
        </w:rPr>
        <w:t xml:space="preserve"> </w:t>
      </w:r>
      <w:r>
        <w:rPr>
          <w:rFonts w:eastAsia="方正小标宋简体"/>
          <w:sz w:val="40"/>
          <w:szCs w:val="40"/>
          <w:lang w:val="zh-CN"/>
        </w:rPr>
        <w:t>告</w:t>
      </w:r>
    </w:p>
    <w:p>
      <w:pPr>
        <w:adjustRightInd w:val="0"/>
        <w:snapToGrid w:val="0"/>
        <w:spacing w:line="600" w:lineRule="exact"/>
        <w:ind w:firstLine="720"/>
        <w:rPr>
          <w:rFonts w:ascii="方正黑体简体" w:eastAsia="方正黑体简体"/>
          <w:sz w:val="32"/>
          <w:szCs w:val="32"/>
        </w:rPr>
      </w:pPr>
    </w:p>
    <w:p>
      <w:pPr>
        <w:adjustRightInd w:val="0"/>
        <w:snapToGrid w:val="0"/>
        <w:spacing w:line="620" w:lineRule="exact"/>
        <w:ind w:firstLine="720"/>
        <w:rPr>
          <w:rFonts w:ascii="方正黑体简体" w:eastAsia="方正黑体简体"/>
          <w:sz w:val="32"/>
          <w:szCs w:val="32"/>
          <w:lang w:val="zh-CN"/>
        </w:rPr>
      </w:pPr>
      <w:r>
        <w:rPr>
          <w:rFonts w:hint="eastAsia" w:ascii="方正黑体简体" w:eastAsia="方正黑体简体"/>
          <w:sz w:val="32"/>
          <w:szCs w:val="32"/>
        </w:rPr>
        <w:t>一、</w:t>
      </w:r>
      <w:r>
        <w:rPr>
          <w:rFonts w:hint="eastAsia" w:ascii="方正黑体简体" w:eastAsia="方正黑体简体"/>
          <w:sz w:val="32"/>
          <w:szCs w:val="32"/>
          <w:lang w:val="zh-CN"/>
        </w:rPr>
        <w:t>项目概况</w:t>
      </w:r>
    </w:p>
    <w:p>
      <w:pPr>
        <w:adjustRightInd w:val="0"/>
        <w:snapToGrid w:val="0"/>
        <w:spacing w:line="620" w:lineRule="exact"/>
        <w:ind w:firstLine="720"/>
        <w:rPr>
          <w:rFonts w:eastAsia="楷体_GB2312"/>
          <w:b/>
          <w:sz w:val="32"/>
          <w:szCs w:val="32"/>
          <w:lang w:val="zh-CN"/>
        </w:rPr>
      </w:pPr>
      <w:r>
        <w:rPr>
          <w:rFonts w:eastAsia="楷体_GB2312"/>
          <w:b/>
          <w:sz w:val="32"/>
          <w:szCs w:val="32"/>
          <w:lang w:val="zh-CN"/>
        </w:rPr>
        <w:t>（一）项目基本情况。</w:t>
      </w:r>
    </w:p>
    <w:p>
      <w:pPr>
        <w:adjustRightInd w:val="0"/>
        <w:snapToGrid w:val="0"/>
        <w:spacing w:line="620" w:lineRule="exact"/>
        <w:ind w:firstLine="720"/>
        <w:rPr>
          <w:rFonts w:eastAsia="仿宋_GB2312"/>
          <w:b/>
          <w:sz w:val="32"/>
          <w:szCs w:val="32"/>
          <w:lang w:val="zh-CN"/>
        </w:rPr>
      </w:pPr>
      <w:r>
        <w:rPr>
          <w:rFonts w:eastAsia="仿宋_GB2312"/>
          <w:b/>
          <w:sz w:val="32"/>
          <w:szCs w:val="32"/>
          <w:lang w:val="zh-CN"/>
        </w:rPr>
        <w:t>1．说明项目主管部门（单位）在该项目管理中的职能。</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负责法院购买服装（单列）项目年初预算的编制和绩效目标的设置，确保项目预算的科学性、合理性、可行性。</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20"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620" w:lineRule="exact"/>
        <w:ind w:firstLine="720"/>
        <w:rPr>
          <w:rFonts w:eastAsia="仿宋_GB2312"/>
          <w:b/>
          <w:sz w:val="32"/>
          <w:szCs w:val="32"/>
          <w:lang w:val="zh-CN"/>
        </w:rPr>
      </w:pPr>
      <w:r>
        <w:rPr>
          <w:rFonts w:hint="eastAsia" w:eastAsia="仿宋_GB2312"/>
          <w:b/>
          <w:sz w:val="32"/>
          <w:szCs w:val="32"/>
          <w:lang w:val="zh-CN"/>
        </w:rPr>
        <w:t>2.</w:t>
      </w:r>
      <w:r>
        <w:rPr>
          <w:rFonts w:eastAsia="仿宋_GB2312"/>
          <w:b/>
          <w:sz w:val="32"/>
          <w:szCs w:val="32"/>
          <w:lang w:val="zh-CN"/>
        </w:rPr>
        <w:t>项目立项、资金申报的依据。</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根据《四川省高级人民法院关于2021年大换装有关问题通知》规定，法院系统做好2000式审判服换装工作及人民警察制式服装及其标志供应工作</w:t>
      </w:r>
      <w:r>
        <w:rPr>
          <w:rFonts w:eastAsia="仿宋_GB2312"/>
          <w:sz w:val="32"/>
          <w:szCs w:val="32"/>
        </w:rPr>
        <w:t>。包含</w:t>
      </w:r>
      <w:r>
        <w:rPr>
          <w:rFonts w:eastAsia="仿宋_GB2312"/>
          <w:sz w:val="32"/>
          <w:szCs w:val="32"/>
          <w:lang w:val="zh-CN"/>
        </w:rPr>
        <w:t>审判服：在编干警夏服二套，春秋服一套，冬服两套，长袖衬衣二件，防寒大衣一件，红色领带一条，蓝色领带一条，胸徽一套；2021年新晋员额法官法袍一件</w:t>
      </w:r>
      <w:r>
        <w:rPr>
          <w:sz w:val="32"/>
          <w:szCs w:val="32"/>
          <w:lang w:val="zh-CN"/>
        </w:rPr>
        <w:t>，</w:t>
      </w:r>
      <w:r>
        <w:rPr>
          <w:rFonts w:eastAsia="仿宋_GB2312"/>
          <w:sz w:val="32"/>
          <w:szCs w:val="32"/>
          <w:lang w:val="zh-CN"/>
        </w:rPr>
        <w:t>警服及其服饰。</w:t>
      </w:r>
    </w:p>
    <w:p>
      <w:pPr>
        <w:adjustRightInd w:val="0"/>
        <w:snapToGrid w:val="0"/>
        <w:spacing w:line="620" w:lineRule="exact"/>
        <w:ind w:firstLine="640" w:firstLineChars="200"/>
        <w:rPr>
          <w:lang w:val="zh-CN"/>
        </w:rPr>
      </w:pP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，我院根据干警人数和大换装实际情况，申报法院购买服装（单列）项目资金</w:t>
      </w:r>
      <w:r>
        <w:rPr>
          <w:sz w:val="32"/>
          <w:szCs w:val="32"/>
        </w:rPr>
        <w:t>50万元</w:t>
      </w:r>
      <w:r>
        <w:rPr>
          <w:rFonts w:eastAsia="仿宋_GB2312"/>
          <w:sz w:val="32"/>
          <w:szCs w:val="32"/>
        </w:rPr>
        <w:t>。</w:t>
      </w:r>
    </w:p>
    <w:p>
      <w:pPr>
        <w:adjustRightInd w:val="0"/>
        <w:snapToGrid w:val="0"/>
        <w:spacing w:line="620" w:lineRule="exact"/>
        <w:ind w:firstLine="710" w:firstLineChars="221"/>
        <w:rPr>
          <w:rFonts w:eastAsia="仿宋_GB2312"/>
          <w:b/>
          <w:sz w:val="32"/>
          <w:szCs w:val="32"/>
          <w:lang w:val="zh-CN"/>
        </w:rPr>
      </w:pPr>
      <w:r>
        <w:rPr>
          <w:rFonts w:hint="eastAsia" w:eastAsia="仿宋_GB2312"/>
          <w:b/>
          <w:sz w:val="32"/>
          <w:szCs w:val="32"/>
          <w:lang w:val="zh-CN"/>
        </w:rPr>
        <w:t>3.</w:t>
      </w:r>
      <w:r>
        <w:rPr>
          <w:rFonts w:eastAsia="仿宋_GB2312"/>
          <w:b/>
          <w:sz w:val="32"/>
          <w:szCs w:val="32"/>
          <w:lang w:val="zh-CN"/>
        </w:rPr>
        <w:t>资金管理办法制定情况，资金支持具体项目的条件、范围与支持方式概况。</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法院购买服装（单列）项目经费预算编制立足我院干警人数和大换装实际需求，绩效目标和项目指标编制科学、合理。</w:t>
      </w:r>
    </w:p>
    <w:p>
      <w:pPr>
        <w:adjustRightInd w:val="0"/>
        <w:snapToGrid w:val="0"/>
        <w:spacing w:line="620" w:lineRule="exact"/>
        <w:ind w:firstLine="640" w:firstLineChars="200"/>
        <w:rPr>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20" w:lineRule="exact"/>
        <w:ind w:firstLine="710" w:firstLineChars="221"/>
        <w:rPr>
          <w:rFonts w:eastAsia="仿宋_GB2312"/>
          <w:b/>
          <w:sz w:val="32"/>
          <w:szCs w:val="32"/>
          <w:lang w:val="zh-CN"/>
        </w:rPr>
      </w:pPr>
      <w:r>
        <w:rPr>
          <w:rFonts w:hint="eastAsia" w:eastAsia="仿宋_GB2312"/>
          <w:b/>
          <w:sz w:val="32"/>
          <w:szCs w:val="32"/>
          <w:lang w:val="zh-CN"/>
        </w:rPr>
        <w:t>4.</w:t>
      </w:r>
      <w:r>
        <w:rPr>
          <w:rFonts w:eastAsia="仿宋_GB2312"/>
          <w:b/>
          <w:sz w:val="32"/>
          <w:szCs w:val="32"/>
          <w:lang w:val="zh-CN"/>
        </w:rPr>
        <w:t>资金分配的原则及考虑因素。</w:t>
      </w:r>
    </w:p>
    <w:p>
      <w:pPr>
        <w:adjustRightInd w:val="0"/>
        <w:snapToGrid w:val="0"/>
        <w:spacing w:line="620" w:lineRule="exact"/>
        <w:ind w:firstLine="640" w:firstLineChars="200"/>
        <w:rPr>
          <w:lang w:val="zh-CN"/>
        </w:rPr>
      </w:pPr>
      <w:r>
        <w:rPr>
          <w:rFonts w:eastAsia="仿宋_GB2312"/>
          <w:sz w:val="32"/>
          <w:szCs w:val="32"/>
          <w:lang w:val="zh-CN"/>
        </w:rPr>
        <w:t>法院购买服装（单列）项目资金分配严格按照预算安排，主要用于保障我院2021年法院服装大换装和部分新进干警服装配置。</w:t>
      </w:r>
    </w:p>
    <w:p>
      <w:pPr>
        <w:widowControl/>
        <w:adjustRightInd w:val="0"/>
        <w:snapToGrid w:val="0"/>
        <w:spacing w:line="620"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（二）项目绩效目标。</w:t>
      </w:r>
    </w:p>
    <w:p>
      <w:pPr>
        <w:adjustRightInd w:val="0"/>
        <w:snapToGrid w:val="0"/>
        <w:spacing w:line="620" w:lineRule="exact"/>
        <w:ind w:firstLine="710" w:firstLineChars="221"/>
        <w:rPr>
          <w:rFonts w:eastAsia="仿宋_GB2312"/>
          <w:b/>
          <w:sz w:val="32"/>
          <w:szCs w:val="32"/>
          <w:lang w:val="zh-CN"/>
        </w:rPr>
      </w:pPr>
      <w:r>
        <w:rPr>
          <w:rFonts w:eastAsia="仿宋_GB2312"/>
          <w:b/>
          <w:sz w:val="32"/>
          <w:szCs w:val="32"/>
          <w:lang w:val="zh-CN"/>
        </w:rPr>
        <w:t>1．项目主要内容。</w:t>
      </w:r>
    </w:p>
    <w:p>
      <w:pPr>
        <w:adjustRightInd w:val="0"/>
        <w:snapToGrid w:val="0"/>
        <w:spacing w:line="620" w:lineRule="exact"/>
        <w:ind w:firstLine="640" w:firstLineChars="200"/>
        <w:rPr>
          <w:rFonts w:eastAsia="仿宋_GB2312"/>
          <w:sz w:val="32"/>
          <w:szCs w:val="32"/>
          <w:lang w:val="zh-CN"/>
        </w:rPr>
      </w:pPr>
      <w:r>
        <w:rPr>
          <w:rFonts w:eastAsia="仿宋_GB2312"/>
          <w:sz w:val="32"/>
          <w:szCs w:val="32"/>
          <w:lang w:val="zh-CN"/>
        </w:rPr>
        <w:t>法院购买服装（单列）</w:t>
      </w:r>
      <w:r>
        <w:rPr>
          <w:rFonts w:eastAsia="仿宋_GB2312"/>
          <w:sz w:val="32"/>
          <w:szCs w:val="32"/>
        </w:rPr>
        <w:t>项目</w:t>
      </w:r>
      <w:r>
        <w:rPr>
          <w:rFonts w:eastAsia="仿宋_GB2312"/>
          <w:sz w:val="32"/>
          <w:szCs w:val="32"/>
          <w:lang w:val="zh-CN"/>
        </w:rPr>
        <w:t>主要用于保障我院2021年法院服装大换装和部分新进干警服装配置，端正法院干警仪貌，</w:t>
      </w:r>
      <w:r>
        <w:rPr>
          <w:rFonts w:eastAsia="仿宋_GB2312"/>
          <w:sz w:val="32"/>
          <w:szCs w:val="32"/>
        </w:rPr>
        <w:t>严肃司法工作者形象，维护和谐的法院工作秩序。</w:t>
      </w:r>
    </w:p>
    <w:p>
      <w:pPr>
        <w:adjustRightInd w:val="0"/>
        <w:snapToGrid w:val="0"/>
        <w:spacing w:line="620" w:lineRule="exact"/>
        <w:ind w:firstLine="710" w:firstLineChars="221"/>
        <w:rPr>
          <w:rFonts w:eastAsia="仿宋_GB2312"/>
          <w:b/>
          <w:sz w:val="32"/>
          <w:szCs w:val="32"/>
          <w:lang w:val="zh-CN"/>
        </w:rPr>
      </w:pPr>
      <w:r>
        <w:rPr>
          <w:rFonts w:hint="eastAsia" w:eastAsia="仿宋_GB2312"/>
          <w:b/>
          <w:sz w:val="32"/>
          <w:szCs w:val="32"/>
          <w:lang w:val="zh-CN"/>
        </w:rPr>
        <w:t>2.</w:t>
      </w:r>
      <w:r>
        <w:rPr>
          <w:rFonts w:eastAsia="仿宋_GB2312"/>
          <w:b/>
          <w:sz w:val="32"/>
          <w:szCs w:val="32"/>
          <w:lang w:val="zh-CN"/>
        </w:rPr>
        <w:t>项目应实现的具体绩效目标，包括目标的量化、细化情况以及项目实施进度计划等。</w:t>
      </w:r>
    </w:p>
    <w:tbl>
      <w:tblPr>
        <w:tblStyle w:val="14"/>
        <w:tblpPr w:leftFromText="180" w:rightFromText="180" w:vertAnchor="text" w:horzAnchor="page" w:tblpX="1392" w:tblpY="583"/>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959"/>
        <w:gridCol w:w="1188"/>
        <w:gridCol w:w="1755"/>
        <w:gridCol w:w="2067"/>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rPr>
        <w:tc>
          <w:tcPr>
            <w:tcW w:w="895" w:type="dxa"/>
            <w:vMerge w:val="restart"/>
            <w:shd w:val="clear" w:color="auto" w:fill="auto"/>
            <w:vAlign w:val="center"/>
          </w:tcPr>
          <w:p>
            <w:pPr>
              <w:widowControl/>
              <w:jc w:val="center"/>
              <w:textAlignment w:val="center"/>
              <w:rPr>
                <w:color w:val="000000"/>
                <w:szCs w:val="21"/>
              </w:rPr>
            </w:pPr>
            <w:r>
              <w:rPr>
                <w:color w:val="000000"/>
                <w:kern w:val="0"/>
                <w:szCs w:val="21"/>
                <w:lang w:bidi="ar"/>
              </w:rPr>
              <w:t>年度</w:t>
            </w:r>
            <w:r>
              <w:rPr>
                <w:color w:val="000000"/>
                <w:kern w:val="0"/>
                <w:szCs w:val="21"/>
                <w:lang w:bidi="ar"/>
              </w:rPr>
              <w:br w:type="textWrapping"/>
            </w:r>
            <w:r>
              <w:rPr>
                <w:color w:val="000000"/>
                <w:kern w:val="0"/>
                <w:szCs w:val="21"/>
                <w:lang w:bidi="ar"/>
              </w:rPr>
              <w:t>绩效</w:t>
            </w:r>
            <w:r>
              <w:rPr>
                <w:color w:val="000000"/>
                <w:kern w:val="0"/>
                <w:szCs w:val="21"/>
                <w:lang w:bidi="ar"/>
              </w:rPr>
              <w:br w:type="textWrapping"/>
            </w:r>
            <w:r>
              <w:rPr>
                <w:color w:val="000000"/>
                <w:kern w:val="0"/>
                <w:szCs w:val="21"/>
                <w:lang w:bidi="ar"/>
              </w:rPr>
              <w:t>指标</w:t>
            </w:r>
            <w:r>
              <w:rPr>
                <w:color w:val="000000"/>
                <w:kern w:val="0"/>
                <w:szCs w:val="21"/>
                <w:lang w:bidi="ar"/>
              </w:rPr>
              <w:br w:type="textWrapping"/>
            </w:r>
            <w:r>
              <w:rPr>
                <w:color w:val="000000"/>
                <w:kern w:val="0"/>
                <w:szCs w:val="21"/>
                <w:lang w:bidi="ar"/>
              </w:rPr>
              <w:t>完成</w:t>
            </w:r>
            <w:r>
              <w:rPr>
                <w:color w:val="000000"/>
                <w:kern w:val="0"/>
                <w:szCs w:val="21"/>
                <w:lang w:bidi="ar"/>
              </w:rPr>
              <w:br w:type="textWrapping"/>
            </w:r>
            <w:r>
              <w:rPr>
                <w:color w:val="000000"/>
                <w:kern w:val="0"/>
                <w:szCs w:val="21"/>
                <w:lang w:bidi="ar"/>
              </w:rPr>
              <w:t>情况</w:t>
            </w:r>
          </w:p>
        </w:tc>
        <w:tc>
          <w:tcPr>
            <w:tcW w:w="959" w:type="dxa"/>
            <w:shd w:val="clear" w:color="auto" w:fill="auto"/>
            <w:vAlign w:val="center"/>
          </w:tcPr>
          <w:p>
            <w:pPr>
              <w:widowControl/>
              <w:jc w:val="center"/>
              <w:textAlignment w:val="center"/>
              <w:rPr>
                <w:color w:val="000000"/>
                <w:szCs w:val="21"/>
              </w:rPr>
            </w:pPr>
            <w:r>
              <w:rPr>
                <w:color w:val="000000"/>
                <w:kern w:val="0"/>
                <w:szCs w:val="21"/>
                <w:lang w:bidi="ar"/>
              </w:rPr>
              <w:t>一级指标</w:t>
            </w: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二级指标</w:t>
            </w:r>
          </w:p>
        </w:tc>
        <w:tc>
          <w:tcPr>
            <w:tcW w:w="1755" w:type="dxa"/>
            <w:shd w:val="clear" w:color="auto" w:fill="auto"/>
            <w:vAlign w:val="center"/>
          </w:tcPr>
          <w:p>
            <w:pPr>
              <w:widowControl/>
              <w:jc w:val="center"/>
              <w:textAlignment w:val="center"/>
              <w:rPr>
                <w:color w:val="000000"/>
                <w:szCs w:val="21"/>
              </w:rPr>
            </w:pPr>
            <w:r>
              <w:rPr>
                <w:color w:val="000000"/>
                <w:kern w:val="0"/>
                <w:szCs w:val="21"/>
                <w:lang w:bidi="ar"/>
              </w:rPr>
              <w:t>三级指标</w:t>
            </w:r>
          </w:p>
        </w:tc>
        <w:tc>
          <w:tcPr>
            <w:tcW w:w="2067" w:type="dxa"/>
            <w:shd w:val="clear" w:color="auto" w:fill="auto"/>
            <w:vAlign w:val="center"/>
          </w:tcPr>
          <w:p>
            <w:pPr>
              <w:widowControl/>
              <w:jc w:val="center"/>
              <w:textAlignment w:val="center"/>
              <w:rPr>
                <w:color w:val="000000"/>
                <w:szCs w:val="21"/>
              </w:rPr>
            </w:pPr>
            <w:r>
              <w:rPr>
                <w:color w:val="000000"/>
                <w:kern w:val="0"/>
                <w:szCs w:val="21"/>
                <w:lang w:bidi="ar"/>
              </w:rPr>
              <w:t>指标值（包含数字及文字描述）</w:t>
            </w:r>
          </w:p>
        </w:tc>
        <w:tc>
          <w:tcPr>
            <w:tcW w:w="2770" w:type="dxa"/>
            <w:shd w:val="clear" w:color="auto" w:fill="auto"/>
            <w:vAlign w:val="center"/>
          </w:tcPr>
          <w:p>
            <w:pPr>
              <w:widowControl/>
              <w:jc w:val="center"/>
              <w:textAlignment w:val="center"/>
              <w:rPr>
                <w:color w:val="000000"/>
                <w:szCs w:val="21"/>
              </w:rPr>
            </w:pPr>
            <w:r>
              <w:rPr>
                <w:color w:val="000000"/>
                <w:kern w:val="0"/>
                <w:szCs w:val="21"/>
                <w:lang w:bidi="ar"/>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3" w:hRule="atLeast"/>
        </w:trPr>
        <w:tc>
          <w:tcPr>
            <w:tcW w:w="895" w:type="dxa"/>
            <w:vMerge w:val="continue"/>
            <w:shd w:val="clear" w:color="auto" w:fill="auto"/>
            <w:vAlign w:val="center"/>
          </w:tcPr>
          <w:p>
            <w:pPr>
              <w:jc w:val="center"/>
              <w:rPr>
                <w:color w:val="000000"/>
                <w:szCs w:val="21"/>
              </w:rPr>
            </w:pPr>
          </w:p>
        </w:tc>
        <w:tc>
          <w:tcPr>
            <w:tcW w:w="959" w:type="dxa"/>
            <w:vMerge w:val="restart"/>
            <w:shd w:val="clear" w:color="auto" w:fill="auto"/>
            <w:vAlign w:val="center"/>
          </w:tcPr>
          <w:p>
            <w:pPr>
              <w:widowControl/>
              <w:jc w:val="center"/>
              <w:textAlignment w:val="center"/>
              <w:rPr>
                <w:color w:val="000000"/>
                <w:szCs w:val="21"/>
              </w:rPr>
            </w:pPr>
            <w:r>
              <w:rPr>
                <w:color w:val="000000"/>
                <w:kern w:val="0"/>
                <w:szCs w:val="21"/>
                <w:lang w:bidi="ar"/>
              </w:rPr>
              <w:t>项目完成指标</w:t>
            </w: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数量指标</w:t>
            </w:r>
          </w:p>
        </w:tc>
        <w:tc>
          <w:tcPr>
            <w:tcW w:w="1755" w:type="dxa"/>
            <w:shd w:val="clear" w:color="auto" w:fill="auto"/>
            <w:vAlign w:val="center"/>
          </w:tcPr>
          <w:p>
            <w:pPr>
              <w:widowControl/>
              <w:jc w:val="left"/>
              <w:textAlignment w:val="center"/>
              <w:rPr>
                <w:color w:val="000000"/>
                <w:szCs w:val="21"/>
              </w:rPr>
            </w:pPr>
            <w:r>
              <w:rPr>
                <w:color w:val="000000"/>
                <w:kern w:val="0"/>
                <w:szCs w:val="21"/>
                <w:lang w:bidi="ar"/>
              </w:rPr>
              <w:t>购买着装数量</w:t>
            </w:r>
          </w:p>
        </w:tc>
        <w:tc>
          <w:tcPr>
            <w:tcW w:w="2067" w:type="dxa"/>
            <w:shd w:val="clear" w:color="auto" w:fill="auto"/>
            <w:vAlign w:val="center"/>
          </w:tcPr>
          <w:p>
            <w:pPr>
              <w:widowControl/>
              <w:jc w:val="left"/>
              <w:textAlignment w:val="center"/>
              <w:rPr>
                <w:color w:val="000000"/>
                <w:szCs w:val="21"/>
              </w:rPr>
            </w:pPr>
            <w:r>
              <w:rPr>
                <w:color w:val="000000"/>
                <w:kern w:val="0"/>
                <w:szCs w:val="21"/>
                <w:lang w:bidi="ar"/>
              </w:rPr>
              <w:t>满足2021年法院服装大换装需求</w:t>
            </w:r>
          </w:p>
        </w:tc>
        <w:tc>
          <w:tcPr>
            <w:tcW w:w="2770" w:type="dxa"/>
            <w:shd w:val="clear" w:color="auto" w:fill="auto"/>
            <w:vAlign w:val="center"/>
          </w:tcPr>
          <w:p>
            <w:pPr>
              <w:widowControl/>
              <w:jc w:val="left"/>
              <w:textAlignment w:val="center"/>
              <w:rPr>
                <w:color w:val="000000"/>
                <w:szCs w:val="21"/>
              </w:rPr>
            </w:pPr>
            <w:r>
              <w:rPr>
                <w:color w:val="000000"/>
                <w:kern w:val="0"/>
                <w:szCs w:val="21"/>
                <w:lang w:bidi="ar"/>
              </w:rPr>
              <w:t>满足2021年法院服装大换装需求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3" w:hRule="atLeast"/>
        </w:trPr>
        <w:tc>
          <w:tcPr>
            <w:tcW w:w="895" w:type="dxa"/>
            <w:vMerge w:val="continue"/>
            <w:shd w:val="clear" w:color="auto" w:fill="auto"/>
            <w:vAlign w:val="center"/>
          </w:tcPr>
          <w:p>
            <w:pPr>
              <w:jc w:val="center"/>
              <w:rPr>
                <w:color w:val="000000"/>
                <w:szCs w:val="21"/>
              </w:rPr>
            </w:pPr>
          </w:p>
        </w:tc>
        <w:tc>
          <w:tcPr>
            <w:tcW w:w="959" w:type="dxa"/>
            <w:vMerge w:val="continue"/>
            <w:shd w:val="clear" w:color="auto" w:fill="auto"/>
            <w:vAlign w:val="center"/>
          </w:tcPr>
          <w:p>
            <w:pPr>
              <w:jc w:val="center"/>
              <w:rPr>
                <w:color w:val="000000"/>
                <w:szCs w:val="21"/>
              </w:rPr>
            </w:pP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时效指标</w:t>
            </w:r>
          </w:p>
        </w:tc>
        <w:tc>
          <w:tcPr>
            <w:tcW w:w="1755" w:type="dxa"/>
            <w:shd w:val="clear" w:color="auto" w:fill="auto"/>
            <w:vAlign w:val="center"/>
          </w:tcPr>
          <w:p>
            <w:pPr>
              <w:rPr>
                <w:color w:val="000000"/>
                <w:szCs w:val="21"/>
              </w:rPr>
            </w:pPr>
            <w:r>
              <w:rPr>
                <w:color w:val="000000"/>
                <w:kern w:val="0"/>
                <w:szCs w:val="21"/>
                <w:lang w:bidi="ar"/>
              </w:rPr>
              <w:t>项目完成时间</w:t>
            </w:r>
          </w:p>
        </w:tc>
        <w:tc>
          <w:tcPr>
            <w:tcW w:w="2067" w:type="dxa"/>
            <w:shd w:val="clear" w:color="auto" w:fill="auto"/>
            <w:vAlign w:val="center"/>
          </w:tcPr>
          <w:p>
            <w:pPr>
              <w:widowControl/>
              <w:jc w:val="left"/>
              <w:textAlignment w:val="center"/>
              <w:rPr>
                <w:color w:val="000000"/>
                <w:szCs w:val="21"/>
              </w:rPr>
            </w:pPr>
            <w:r>
              <w:rPr>
                <w:color w:val="000000"/>
                <w:kern w:val="0"/>
                <w:szCs w:val="21"/>
                <w:lang w:bidi="ar"/>
              </w:rPr>
              <w:t>2021年12月31日前</w:t>
            </w:r>
          </w:p>
        </w:tc>
        <w:tc>
          <w:tcPr>
            <w:tcW w:w="2770" w:type="dxa"/>
            <w:shd w:val="clear" w:color="auto" w:fill="auto"/>
            <w:vAlign w:val="center"/>
          </w:tcPr>
          <w:p>
            <w:pPr>
              <w:widowControl/>
              <w:jc w:val="left"/>
              <w:textAlignment w:val="center"/>
              <w:rPr>
                <w:color w:val="000000"/>
                <w:szCs w:val="21"/>
              </w:rPr>
            </w:pPr>
            <w:r>
              <w:rPr>
                <w:color w:val="000000"/>
                <w:kern w:val="0"/>
                <w:szCs w:val="21"/>
                <w:lang w:bidi="ar"/>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2" w:hRule="atLeast"/>
        </w:trPr>
        <w:tc>
          <w:tcPr>
            <w:tcW w:w="895" w:type="dxa"/>
            <w:vMerge w:val="continue"/>
            <w:shd w:val="clear" w:color="auto" w:fill="auto"/>
            <w:vAlign w:val="center"/>
          </w:tcPr>
          <w:p>
            <w:pPr>
              <w:jc w:val="center"/>
              <w:rPr>
                <w:color w:val="000000"/>
                <w:szCs w:val="21"/>
              </w:rPr>
            </w:pPr>
          </w:p>
        </w:tc>
        <w:tc>
          <w:tcPr>
            <w:tcW w:w="959" w:type="dxa"/>
            <w:vMerge w:val="continue"/>
            <w:shd w:val="clear" w:color="auto" w:fill="auto"/>
            <w:vAlign w:val="center"/>
          </w:tcPr>
          <w:p>
            <w:pPr>
              <w:jc w:val="center"/>
              <w:rPr>
                <w:color w:val="000000"/>
                <w:szCs w:val="21"/>
              </w:rPr>
            </w:pP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成本指标</w:t>
            </w:r>
          </w:p>
        </w:tc>
        <w:tc>
          <w:tcPr>
            <w:tcW w:w="1755" w:type="dxa"/>
            <w:shd w:val="clear" w:color="auto" w:fill="auto"/>
            <w:vAlign w:val="center"/>
          </w:tcPr>
          <w:p>
            <w:pPr>
              <w:widowControl/>
              <w:jc w:val="left"/>
              <w:textAlignment w:val="center"/>
              <w:rPr>
                <w:color w:val="000000"/>
                <w:szCs w:val="21"/>
              </w:rPr>
            </w:pPr>
            <w:r>
              <w:rPr>
                <w:color w:val="000000"/>
                <w:kern w:val="0"/>
                <w:szCs w:val="21"/>
                <w:lang w:bidi="ar"/>
              </w:rPr>
              <w:t>购买着装经费成本</w:t>
            </w:r>
          </w:p>
        </w:tc>
        <w:tc>
          <w:tcPr>
            <w:tcW w:w="2067" w:type="dxa"/>
            <w:shd w:val="clear" w:color="auto" w:fill="auto"/>
            <w:vAlign w:val="center"/>
          </w:tcPr>
          <w:p>
            <w:pPr>
              <w:widowControl/>
              <w:jc w:val="left"/>
              <w:textAlignment w:val="center"/>
              <w:rPr>
                <w:color w:val="000000"/>
                <w:szCs w:val="21"/>
              </w:rPr>
            </w:pPr>
            <w:r>
              <w:rPr>
                <w:color w:val="000000"/>
                <w:kern w:val="0"/>
                <w:szCs w:val="21"/>
                <w:lang w:bidi="ar"/>
              </w:rPr>
              <w:t>≤50万元</w:t>
            </w:r>
          </w:p>
        </w:tc>
        <w:tc>
          <w:tcPr>
            <w:tcW w:w="2770" w:type="dxa"/>
            <w:shd w:val="clear" w:color="auto" w:fill="auto"/>
            <w:vAlign w:val="center"/>
          </w:tcPr>
          <w:p>
            <w:pPr>
              <w:widowControl/>
              <w:jc w:val="center"/>
              <w:textAlignment w:val="center"/>
              <w:rPr>
                <w:color w:val="000000"/>
                <w:szCs w:val="21"/>
              </w:rPr>
            </w:pPr>
            <w:r>
              <w:rPr>
                <w:color w:val="000000"/>
                <w:kern w:val="0"/>
                <w:szCs w:val="21"/>
                <w:lang w:bidi="ar"/>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4" w:hRule="atLeast"/>
        </w:trPr>
        <w:tc>
          <w:tcPr>
            <w:tcW w:w="895" w:type="dxa"/>
            <w:vMerge w:val="continue"/>
            <w:shd w:val="clear" w:color="auto" w:fill="auto"/>
            <w:vAlign w:val="center"/>
          </w:tcPr>
          <w:p>
            <w:pPr>
              <w:jc w:val="center"/>
              <w:rPr>
                <w:color w:val="000000"/>
                <w:szCs w:val="21"/>
              </w:rPr>
            </w:pPr>
          </w:p>
        </w:tc>
        <w:tc>
          <w:tcPr>
            <w:tcW w:w="959" w:type="dxa"/>
            <w:vMerge w:val="restart"/>
            <w:shd w:val="clear" w:color="auto" w:fill="auto"/>
            <w:vAlign w:val="center"/>
          </w:tcPr>
          <w:p>
            <w:pPr>
              <w:widowControl/>
              <w:jc w:val="center"/>
              <w:textAlignment w:val="center"/>
              <w:rPr>
                <w:color w:val="000000"/>
                <w:szCs w:val="21"/>
              </w:rPr>
            </w:pPr>
            <w:r>
              <w:rPr>
                <w:color w:val="000000"/>
                <w:kern w:val="0"/>
                <w:szCs w:val="21"/>
                <w:lang w:bidi="ar"/>
              </w:rPr>
              <w:t>项目效果指标</w:t>
            </w: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社会效益</w:t>
            </w:r>
          </w:p>
        </w:tc>
        <w:tc>
          <w:tcPr>
            <w:tcW w:w="1755" w:type="dxa"/>
            <w:shd w:val="clear" w:color="auto" w:fill="auto"/>
            <w:vAlign w:val="center"/>
          </w:tcPr>
          <w:p>
            <w:pPr>
              <w:widowControl/>
              <w:jc w:val="left"/>
              <w:textAlignment w:val="center"/>
              <w:rPr>
                <w:color w:val="000000"/>
                <w:szCs w:val="21"/>
              </w:rPr>
            </w:pPr>
            <w:r>
              <w:rPr>
                <w:color w:val="000000"/>
                <w:kern w:val="0"/>
                <w:szCs w:val="21"/>
                <w:lang w:bidi="ar"/>
              </w:rPr>
              <w:t>法院制服的购买</w:t>
            </w:r>
          </w:p>
        </w:tc>
        <w:tc>
          <w:tcPr>
            <w:tcW w:w="2067" w:type="dxa"/>
            <w:shd w:val="clear" w:color="auto" w:fill="auto"/>
            <w:vAlign w:val="center"/>
          </w:tcPr>
          <w:p>
            <w:pPr>
              <w:widowControl/>
              <w:jc w:val="left"/>
              <w:textAlignment w:val="center"/>
              <w:rPr>
                <w:color w:val="000000"/>
                <w:szCs w:val="21"/>
              </w:rPr>
            </w:pPr>
            <w:r>
              <w:rPr>
                <w:color w:val="000000"/>
                <w:kern w:val="0"/>
                <w:szCs w:val="21"/>
                <w:lang w:bidi="ar"/>
              </w:rPr>
              <w:t>端正仪貌，严肃法院工作者形象，树立良好的社会印象。</w:t>
            </w:r>
          </w:p>
        </w:tc>
        <w:tc>
          <w:tcPr>
            <w:tcW w:w="2770" w:type="dxa"/>
            <w:shd w:val="clear" w:color="auto" w:fill="auto"/>
            <w:vAlign w:val="center"/>
          </w:tcPr>
          <w:p>
            <w:pPr>
              <w:widowControl/>
              <w:jc w:val="left"/>
              <w:textAlignment w:val="center"/>
              <w:rPr>
                <w:color w:val="000000"/>
                <w:szCs w:val="21"/>
              </w:rPr>
            </w:pPr>
            <w:r>
              <w:rPr>
                <w:color w:val="000000"/>
                <w:kern w:val="0"/>
                <w:szCs w:val="21"/>
                <w:lang w:bidi="ar"/>
              </w:rPr>
              <w:t>法院制服的合理配备，严肃了司法工作者形象，维护了和谐的法院工作秩序，有利于打击刑事犯罪，营造风清气者的社会环境。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4" w:hRule="atLeast"/>
        </w:trPr>
        <w:tc>
          <w:tcPr>
            <w:tcW w:w="895" w:type="dxa"/>
            <w:vMerge w:val="continue"/>
            <w:shd w:val="clear" w:color="auto" w:fill="auto"/>
            <w:vAlign w:val="center"/>
          </w:tcPr>
          <w:p>
            <w:pPr>
              <w:jc w:val="center"/>
              <w:rPr>
                <w:color w:val="000000"/>
                <w:szCs w:val="21"/>
              </w:rPr>
            </w:pPr>
          </w:p>
        </w:tc>
        <w:tc>
          <w:tcPr>
            <w:tcW w:w="959" w:type="dxa"/>
            <w:vMerge w:val="continue"/>
            <w:shd w:val="clear" w:color="auto" w:fill="auto"/>
            <w:vAlign w:val="center"/>
          </w:tcPr>
          <w:p>
            <w:pPr>
              <w:jc w:val="center"/>
              <w:rPr>
                <w:color w:val="000000"/>
                <w:szCs w:val="21"/>
              </w:rPr>
            </w:pP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可持续影响</w:t>
            </w:r>
            <w:r>
              <w:rPr>
                <w:color w:val="000000"/>
                <w:kern w:val="0"/>
                <w:szCs w:val="21"/>
                <w:lang w:bidi="ar"/>
              </w:rPr>
              <w:br w:type="textWrapping"/>
            </w:r>
            <w:r>
              <w:rPr>
                <w:color w:val="000000"/>
                <w:kern w:val="0"/>
                <w:szCs w:val="21"/>
                <w:lang w:bidi="ar"/>
              </w:rPr>
              <w:t>指标</w:t>
            </w:r>
          </w:p>
        </w:tc>
        <w:tc>
          <w:tcPr>
            <w:tcW w:w="1755" w:type="dxa"/>
            <w:shd w:val="clear" w:color="auto" w:fill="auto"/>
            <w:vAlign w:val="center"/>
          </w:tcPr>
          <w:p>
            <w:pPr>
              <w:widowControl/>
              <w:jc w:val="left"/>
              <w:textAlignment w:val="center"/>
              <w:rPr>
                <w:color w:val="000000"/>
                <w:szCs w:val="21"/>
              </w:rPr>
            </w:pPr>
            <w:r>
              <w:rPr>
                <w:color w:val="000000"/>
                <w:kern w:val="0"/>
                <w:szCs w:val="21"/>
                <w:lang w:bidi="ar"/>
              </w:rPr>
              <w:t>法院制服的购买</w:t>
            </w:r>
          </w:p>
        </w:tc>
        <w:tc>
          <w:tcPr>
            <w:tcW w:w="2067" w:type="dxa"/>
            <w:shd w:val="clear" w:color="auto" w:fill="auto"/>
            <w:vAlign w:val="center"/>
          </w:tcPr>
          <w:p>
            <w:pPr>
              <w:widowControl/>
              <w:jc w:val="left"/>
              <w:textAlignment w:val="center"/>
              <w:rPr>
                <w:color w:val="000000"/>
                <w:szCs w:val="21"/>
              </w:rPr>
            </w:pPr>
            <w:r>
              <w:rPr>
                <w:color w:val="000000"/>
                <w:kern w:val="0"/>
                <w:szCs w:val="21"/>
                <w:lang w:bidi="ar"/>
              </w:rPr>
              <w:t>及时对不合身、已损坏等制服进行了更换，为新进干警完成法院配置，端正了仪貌，严肃了法院工作者形象。</w:t>
            </w:r>
          </w:p>
        </w:tc>
        <w:tc>
          <w:tcPr>
            <w:tcW w:w="2770" w:type="dxa"/>
            <w:shd w:val="clear" w:color="auto" w:fill="auto"/>
            <w:vAlign w:val="center"/>
          </w:tcPr>
          <w:p>
            <w:pPr>
              <w:widowControl/>
              <w:jc w:val="left"/>
              <w:textAlignment w:val="center"/>
              <w:rPr>
                <w:color w:val="000000"/>
                <w:szCs w:val="21"/>
              </w:rPr>
            </w:pPr>
            <w:r>
              <w:rPr>
                <w:color w:val="000000"/>
                <w:kern w:val="0"/>
                <w:szCs w:val="21"/>
                <w:lang w:bidi="ar"/>
              </w:rPr>
              <w:t>及时对不合身、已损坏等制服进行了更换，为新进干警完成法院配置，端正了仪貌，严肃了法院工作者形象。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rPr>
        <w:tc>
          <w:tcPr>
            <w:tcW w:w="895" w:type="dxa"/>
            <w:vMerge w:val="continue"/>
            <w:shd w:val="clear" w:color="auto" w:fill="auto"/>
            <w:vAlign w:val="center"/>
          </w:tcPr>
          <w:p>
            <w:pPr>
              <w:jc w:val="center"/>
              <w:rPr>
                <w:color w:val="000000"/>
                <w:szCs w:val="21"/>
              </w:rPr>
            </w:pPr>
          </w:p>
        </w:tc>
        <w:tc>
          <w:tcPr>
            <w:tcW w:w="959" w:type="dxa"/>
            <w:shd w:val="clear" w:color="auto" w:fill="auto"/>
            <w:vAlign w:val="center"/>
          </w:tcPr>
          <w:p>
            <w:pPr>
              <w:widowControl/>
              <w:jc w:val="center"/>
              <w:textAlignment w:val="center"/>
              <w:rPr>
                <w:color w:val="000000"/>
                <w:szCs w:val="21"/>
              </w:rPr>
            </w:pPr>
            <w:r>
              <w:rPr>
                <w:color w:val="000000"/>
                <w:kern w:val="0"/>
                <w:szCs w:val="21"/>
                <w:lang w:bidi="ar"/>
              </w:rPr>
              <w:t>满意度</w:t>
            </w:r>
            <w:r>
              <w:rPr>
                <w:color w:val="000000"/>
                <w:kern w:val="0"/>
                <w:szCs w:val="21"/>
                <w:lang w:bidi="ar"/>
              </w:rPr>
              <w:br w:type="textWrapping"/>
            </w:r>
            <w:r>
              <w:rPr>
                <w:color w:val="000000"/>
                <w:kern w:val="0"/>
                <w:szCs w:val="21"/>
                <w:lang w:bidi="ar"/>
              </w:rPr>
              <w:t>指标</w:t>
            </w:r>
          </w:p>
        </w:tc>
        <w:tc>
          <w:tcPr>
            <w:tcW w:w="1188" w:type="dxa"/>
            <w:shd w:val="clear" w:color="auto" w:fill="auto"/>
            <w:vAlign w:val="center"/>
          </w:tcPr>
          <w:p>
            <w:pPr>
              <w:widowControl/>
              <w:jc w:val="center"/>
              <w:textAlignment w:val="center"/>
              <w:rPr>
                <w:color w:val="000000"/>
                <w:szCs w:val="21"/>
              </w:rPr>
            </w:pPr>
            <w:r>
              <w:rPr>
                <w:color w:val="000000"/>
                <w:kern w:val="0"/>
                <w:szCs w:val="21"/>
                <w:lang w:bidi="ar"/>
              </w:rPr>
              <w:t>满意度指标</w:t>
            </w:r>
          </w:p>
        </w:tc>
        <w:tc>
          <w:tcPr>
            <w:tcW w:w="1755" w:type="dxa"/>
            <w:shd w:val="clear" w:color="auto" w:fill="auto"/>
            <w:vAlign w:val="center"/>
          </w:tcPr>
          <w:p>
            <w:pPr>
              <w:widowControl/>
              <w:jc w:val="left"/>
              <w:textAlignment w:val="center"/>
              <w:rPr>
                <w:color w:val="000000"/>
                <w:szCs w:val="21"/>
              </w:rPr>
            </w:pPr>
            <w:r>
              <w:rPr>
                <w:color w:val="000000"/>
                <w:kern w:val="0"/>
                <w:szCs w:val="21"/>
                <w:lang w:bidi="ar"/>
              </w:rPr>
              <w:t>干警对着装更换满意度</w:t>
            </w:r>
          </w:p>
        </w:tc>
        <w:tc>
          <w:tcPr>
            <w:tcW w:w="2067" w:type="dxa"/>
            <w:shd w:val="clear" w:color="auto" w:fill="auto"/>
            <w:vAlign w:val="center"/>
          </w:tcPr>
          <w:p>
            <w:pPr>
              <w:widowControl/>
              <w:jc w:val="center"/>
              <w:textAlignment w:val="center"/>
              <w:rPr>
                <w:color w:val="000000"/>
                <w:szCs w:val="21"/>
              </w:rPr>
            </w:pPr>
            <w:r>
              <w:rPr>
                <w:color w:val="000000"/>
                <w:kern w:val="0"/>
                <w:szCs w:val="21"/>
                <w:lang w:bidi="ar"/>
              </w:rPr>
              <w:t>≥90%</w:t>
            </w:r>
          </w:p>
        </w:tc>
        <w:tc>
          <w:tcPr>
            <w:tcW w:w="2770" w:type="dxa"/>
            <w:shd w:val="clear" w:color="auto" w:fill="auto"/>
            <w:vAlign w:val="center"/>
          </w:tcPr>
          <w:p>
            <w:pPr>
              <w:widowControl/>
              <w:jc w:val="center"/>
              <w:textAlignment w:val="center"/>
              <w:rPr>
                <w:color w:val="000000"/>
                <w:szCs w:val="21"/>
              </w:rPr>
            </w:pPr>
            <w:r>
              <w:rPr>
                <w:color w:val="000000"/>
                <w:kern w:val="0"/>
                <w:szCs w:val="21"/>
                <w:lang w:bidi="ar"/>
              </w:rPr>
              <w:t>≥90%</w:t>
            </w:r>
          </w:p>
        </w:tc>
      </w:tr>
    </w:tbl>
    <w:p>
      <w:pPr>
        <w:adjustRightInd w:val="0"/>
        <w:snapToGrid w:val="0"/>
        <w:spacing w:line="600" w:lineRule="exact"/>
        <w:ind w:firstLine="710" w:firstLineChars="221"/>
        <w:rPr>
          <w:rFonts w:eastAsia="仿宋_GB2312"/>
          <w:b/>
          <w:sz w:val="32"/>
          <w:szCs w:val="32"/>
          <w:lang w:val="zh-CN"/>
        </w:rPr>
      </w:pPr>
      <w:r>
        <w:rPr>
          <w:rFonts w:hint="eastAsia" w:eastAsia="仿宋_GB2312"/>
          <w:b/>
          <w:sz w:val="32"/>
          <w:szCs w:val="32"/>
          <w:lang w:val="zh-CN"/>
        </w:rPr>
        <w:t>3.</w:t>
      </w:r>
      <w:r>
        <w:rPr>
          <w:rFonts w:eastAsia="仿宋_GB2312"/>
          <w:b/>
          <w:sz w:val="32"/>
          <w:szCs w:val="32"/>
          <w:lang w:val="zh-CN"/>
        </w:rPr>
        <w:t>分析评价申报内容是否与实际相符，申报目标是否合理可行。</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（三）项目自评步骤及方法。</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二、项目资金申报及使用情况</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法院购买服装（单列）</w:t>
      </w:r>
      <w:r>
        <w:rPr>
          <w:rFonts w:eastAsia="仿宋_GB2312"/>
          <w:sz w:val="32"/>
          <w:szCs w:val="32"/>
        </w:rPr>
        <w:t>项目</w:t>
      </w:r>
      <w:r>
        <w:rPr>
          <w:rFonts w:eastAsia="仿宋_GB2312"/>
          <w:sz w:val="32"/>
          <w:szCs w:val="32"/>
          <w:lang w:val="zh-CN"/>
        </w:rPr>
        <w:t>申报资金</w:t>
      </w:r>
      <w:r>
        <w:rPr>
          <w:sz w:val="32"/>
          <w:szCs w:val="32"/>
        </w:rPr>
        <w:t>50</w:t>
      </w:r>
      <w:r>
        <w:rPr>
          <w:rFonts w:eastAsia="仿宋_GB2312"/>
          <w:sz w:val="32"/>
          <w:szCs w:val="32"/>
        </w:rPr>
        <w:t>万元，项目报送人代会通过后批复</w:t>
      </w:r>
      <w:r>
        <w:rPr>
          <w:rFonts w:eastAsia="仿宋_GB2312"/>
          <w:sz w:val="32"/>
          <w:szCs w:val="32"/>
          <w:lang w:val="zh-CN"/>
        </w:rPr>
        <w:t>法院购买服装（单列）</w:t>
      </w:r>
      <w:r>
        <w:rPr>
          <w:rFonts w:eastAsia="仿宋_GB2312"/>
          <w:sz w:val="32"/>
          <w:szCs w:val="32"/>
        </w:rPr>
        <w:t>项目资金</w:t>
      </w:r>
      <w:r>
        <w:rPr>
          <w:sz w:val="32"/>
          <w:szCs w:val="32"/>
        </w:rPr>
        <w:t>50</w:t>
      </w:r>
      <w:r>
        <w:rPr>
          <w:rFonts w:eastAsia="仿宋_GB2312"/>
          <w:sz w:val="32"/>
          <w:szCs w:val="32"/>
        </w:rPr>
        <w:t>万元，项目资金无预算调整。</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（二）资金计划、到位及使用情况（可用表格形式反映）。</w:t>
      </w:r>
    </w:p>
    <w:p>
      <w:pPr>
        <w:adjustRightInd w:val="0"/>
        <w:snapToGrid w:val="0"/>
        <w:spacing w:line="574" w:lineRule="exact"/>
        <w:ind w:firstLine="640" w:firstLineChars="200"/>
        <w:rPr>
          <w:rFonts w:eastAsia="仿宋_GB2312"/>
          <w:sz w:val="32"/>
          <w:szCs w:val="32"/>
        </w:rPr>
      </w:pPr>
      <w:r>
        <w:rPr>
          <w:rFonts w:eastAsia="楷体_GB2312"/>
          <w:sz w:val="32"/>
          <w:szCs w:val="32"/>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市财政局通过预算对我院下达此专项资金</w:t>
      </w:r>
      <w:r>
        <w:rPr>
          <w:sz w:val="32"/>
          <w:szCs w:val="32"/>
        </w:rPr>
        <w:t>50</w:t>
      </w:r>
      <w:r>
        <w:rPr>
          <w:rFonts w:eastAsia="仿宋_GB2312"/>
          <w:sz w:val="32"/>
          <w:szCs w:val="32"/>
        </w:rPr>
        <w:t>万元</w:t>
      </w:r>
      <w:r>
        <w:rPr>
          <w:rFonts w:eastAsia="仿宋_GB2312"/>
          <w:sz w:val="32"/>
          <w:szCs w:val="32"/>
          <w:lang w:val="zh-CN"/>
        </w:rPr>
        <w:t>。</w:t>
      </w:r>
    </w:p>
    <w:p>
      <w:pPr>
        <w:spacing w:line="574" w:lineRule="exact"/>
        <w:ind w:firstLine="640" w:firstLineChars="200"/>
        <w:rPr>
          <w:rFonts w:eastAsia="仿宋_GB2312"/>
          <w:sz w:val="32"/>
          <w:szCs w:val="32"/>
          <w:lang w:val="zh-CN"/>
        </w:rPr>
      </w:pPr>
      <w:r>
        <w:rPr>
          <w:rFonts w:eastAsia="楷体_GB2312"/>
          <w:sz w:val="32"/>
          <w:szCs w:val="32"/>
          <w:lang w:val="zh-CN"/>
        </w:rPr>
        <w:t>2．资金到位。</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法院购买服装（单列）</w:t>
      </w:r>
      <w:r>
        <w:rPr>
          <w:rFonts w:eastAsia="仿宋_GB2312"/>
          <w:sz w:val="32"/>
          <w:szCs w:val="32"/>
        </w:rPr>
        <w:t>项目资金到位</w:t>
      </w:r>
      <w:r>
        <w:rPr>
          <w:sz w:val="32"/>
          <w:szCs w:val="32"/>
        </w:rPr>
        <w:t>50</w:t>
      </w:r>
      <w:r>
        <w:rPr>
          <w:rFonts w:eastAsia="仿宋_GB2312"/>
          <w:sz w:val="32"/>
          <w:szCs w:val="32"/>
        </w:rPr>
        <w:t>万元，</w:t>
      </w:r>
      <w:r>
        <w:rPr>
          <w:rFonts w:eastAsia="仿宋_GB2312"/>
          <w:sz w:val="32"/>
          <w:szCs w:val="32"/>
          <w:lang w:val="zh-CN"/>
        </w:rPr>
        <w:t>与项目资金计划数</w:t>
      </w:r>
      <w:r>
        <w:rPr>
          <w:sz w:val="32"/>
          <w:szCs w:val="32"/>
        </w:rPr>
        <w:t>50</w:t>
      </w:r>
      <w:r>
        <w:rPr>
          <w:rFonts w:eastAsia="仿宋_GB2312"/>
          <w:sz w:val="32"/>
          <w:szCs w:val="32"/>
          <w:lang w:val="zh-CN"/>
        </w:rPr>
        <w:t>万元相符，资金及时到位，资金到位率100%，到位及时率100%。</w:t>
      </w:r>
    </w:p>
    <w:p>
      <w:pPr>
        <w:adjustRightInd w:val="0"/>
        <w:snapToGrid w:val="0"/>
        <w:spacing w:line="574" w:lineRule="exact"/>
        <w:ind w:firstLine="640" w:firstLineChars="200"/>
        <w:rPr>
          <w:rFonts w:eastAsia="仿宋_GB2312"/>
          <w:sz w:val="32"/>
          <w:szCs w:val="32"/>
          <w:lang w:val="zh-CN"/>
        </w:rPr>
      </w:pPr>
      <w:r>
        <w:rPr>
          <w:rFonts w:eastAsia="楷体_GB2312"/>
          <w:sz w:val="32"/>
          <w:szCs w:val="32"/>
          <w:lang w:val="zh-CN"/>
        </w:rPr>
        <w:t>3．资金使用。</w:t>
      </w:r>
      <w:r>
        <w:rPr>
          <w:rFonts w:eastAsia="仿宋_GB2312"/>
          <w:sz w:val="32"/>
          <w:szCs w:val="32"/>
          <w:lang w:val="zh-CN"/>
        </w:rPr>
        <w:t>该项目资金截止到20</w:t>
      </w:r>
      <w:r>
        <w:rPr>
          <w:rFonts w:eastAsia="仿宋_GB2312"/>
          <w:sz w:val="32"/>
          <w:szCs w:val="32"/>
        </w:rPr>
        <w:t>2</w:t>
      </w:r>
      <w:r>
        <w:rPr>
          <w:sz w:val="32"/>
          <w:szCs w:val="32"/>
        </w:rPr>
        <w:t>1</w:t>
      </w:r>
      <w:r>
        <w:rPr>
          <w:rFonts w:eastAsia="仿宋_GB2312"/>
          <w:sz w:val="32"/>
          <w:szCs w:val="32"/>
          <w:lang w:val="zh-CN"/>
        </w:rPr>
        <w:t>年12月31日实际支出</w:t>
      </w:r>
      <w:r>
        <w:rPr>
          <w:sz w:val="32"/>
          <w:szCs w:val="32"/>
        </w:rPr>
        <w:t>50</w:t>
      </w:r>
      <w:r>
        <w:rPr>
          <w:rFonts w:eastAsia="仿宋_GB2312"/>
          <w:sz w:val="32"/>
          <w:szCs w:val="32"/>
          <w:lang w:val="zh-CN"/>
        </w:rPr>
        <w:t>万元，项目预算执行数为</w:t>
      </w:r>
      <w:r>
        <w:rPr>
          <w:sz w:val="32"/>
          <w:szCs w:val="32"/>
        </w:rPr>
        <w:t>100</w:t>
      </w:r>
      <w:r>
        <w:rPr>
          <w:rFonts w:eastAsia="仿宋_GB2312"/>
          <w:sz w:val="32"/>
          <w:szCs w:val="32"/>
        </w:rPr>
        <w:t>%</w:t>
      </w:r>
      <w:r>
        <w:rPr>
          <w:sz w:val="32"/>
          <w:szCs w:val="32"/>
        </w:rPr>
        <w:t>。</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ascii="方正楷体简体" w:eastAsia="方正楷体简体"/>
          <w:kern w:val="0"/>
          <w:sz w:val="32"/>
          <w:szCs w:val="32"/>
          <w:shd w:val="clear" w:color="auto" w:fill="FFFFFF"/>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三、项目实施及管理情况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（一）</w:t>
      </w:r>
      <w:r>
        <w:rPr>
          <w:rFonts w:ascii="方正楷体简体" w:eastAsia="方正楷体简体"/>
          <w:kern w:val="0"/>
          <w:sz w:val="32"/>
          <w:szCs w:val="32"/>
          <w:shd w:val="clear" w:color="auto" w:fill="FFFFFF"/>
          <w:lang w:val="zh-CN"/>
        </w:rPr>
        <w:t>项目组织架构及实施流程。</w:t>
      </w:r>
    </w:p>
    <w:p>
      <w:pPr>
        <w:adjustRightInd w:val="0"/>
        <w:snapToGrid w:val="0"/>
        <w:spacing w:line="600" w:lineRule="exact"/>
        <w:ind w:firstLine="720"/>
        <w:rPr>
          <w:lang w:val="zh-CN"/>
        </w:rPr>
      </w:pPr>
      <w:r>
        <w:rPr>
          <w:rFonts w:eastAsia="仿宋_GB2312"/>
          <w:sz w:val="32"/>
          <w:szCs w:val="32"/>
          <w:lang w:val="zh-CN"/>
        </w:rPr>
        <w:t>各庭室和法警分别申报换装需求，部门负责人和分管院领导对大换装项目实施的真实性审核并签字，行装处严格审核项目报销凭证，加快专项资金支付，及时进行会计核算。</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（二）</w:t>
      </w:r>
      <w:r>
        <w:rPr>
          <w:rFonts w:ascii="方正楷体简体" w:eastAsia="方正楷体简体"/>
          <w:kern w:val="0"/>
          <w:sz w:val="32"/>
          <w:szCs w:val="32"/>
          <w:shd w:val="clear" w:color="auto" w:fill="FFFFFF"/>
          <w:lang w:val="zh-CN"/>
        </w:rPr>
        <w:t>项目管理情况。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pPr>
        <w:widowControl/>
        <w:adjustRightInd w:val="0"/>
        <w:snapToGrid w:val="0"/>
        <w:spacing w:line="572" w:lineRule="exact"/>
        <w:ind w:firstLine="640" w:firstLineChars="200"/>
        <w:contextualSpacing/>
        <w:jc w:val="left"/>
        <w:rPr>
          <w:rFonts w:ascii="方正楷体简体" w:eastAsia="方正楷体简体"/>
          <w:kern w:val="0"/>
          <w:sz w:val="32"/>
          <w:szCs w:val="32"/>
          <w:shd w:val="clear" w:color="auto" w:fill="FFFFFF"/>
          <w:lang w:val="zh-CN"/>
        </w:rPr>
      </w:pPr>
      <w:r>
        <w:rPr>
          <w:rFonts w:hint="eastAsia" w:ascii="方正楷体简体" w:eastAsia="方正楷体简体"/>
          <w:kern w:val="0"/>
          <w:sz w:val="32"/>
          <w:szCs w:val="32"/>
          <w:shd w:val="clear" w:color="auto" w:fill="FFFFFF"/>
          <w:lang w:val="zh-CN"/>
        </w:rPr>
        <w:t>（三）</w:t>
      </w:r>
      <w:r>
        <w:rPr>
          <w:rFonts w:ascii="方正楷体简体" w:eastAsia="方正楷体简体"/>
          <w:kern w:val="0"/>
          <w:sz w:val="32"/>
          <w:szCs w:val="32"/>
          <w:shd w:val="clear" w:color="auto" w:fill="FFFFFF"/>
          <w:lang w:val="zh-CN"/>
        </w:rPr>
        <w:t>项目监管情况。</w:t>
      </w:r>
    </w:p>
    <w:p>
      <w:pPr>
        <w:adjustRightInd w:val="0"/>
        <w:snapToGrid w:val="0"/>
        <w:spacing w:line="600" w:lineRule="exact"/>
        <w:ind w:firstLine="640" w:firstLineChars="200"/>
        <w:rPr>
          <w:rFonts w:eastAsia="仿宋_GB2312"/>
          <w:sz w:val="32"/>
          <w:szCs w:val="32"/>
        </w:rPr>
      </w:pPr>
      <w:r>
        <w:rPr>
          <w:rFonts w:eastAsia="仿宋_GB2312"/>
          <w:sz w:val="32"/>
          <w:szCs w:val="32"/>
        </w:rPr>
        <w:t>我院</w:t>
      </w:r>
      <w:r>
        <w:rPr>
          <w:rFonts w:eastAsia="仿宋_GB2312"/>
          <w:sz w:val="32"/>
          <w:szCs w:val="32"/>
          <w:lang w:val="zh-CN"/>
        </w:rPr>
        <w:t>法院购买服装（单列）</w:t>
      </w:r>
      <w:r>
        <w:rPr>
          <w:rFonts w:eastAsia="仿宋_GB2312"/>
          <w:sz w:val="32"/>
          <w:szCs w:val="32"/>
        </w:rPr>
        <w:t>项目严格按照年初预算安排的资金执行，根据财政专项资金管理办法进行项目资金管理，并主动接受院内督察室和市财政局等部门的监督，做到了专款专用，没有超预算和范围，违规报销</w:t>
      </w:r>
      <w:r>
        <w:rPr>
          <w:sz w:val="32"/>
          <w:szCs w:val="32"/>
        </w:rPr>
        <w:t>项目资金</w:t>
      </w:r>
      <w:r>
        <w:rPr>
          <w:rFonts w:eastAsia="仿宋_GB2312"/>
          <w:sz w:val="32"/>
          <w:szCs w:val="32"/>
        </w:rPr>
        <w:t>行为，没有滞留、</w:t>
      </w:r>
      <w:r>
        <w:rPr>
          <w:rFonts w:hint="eastAsia" w:eastAsia="仿宋_GB2312"/>
          <w:sz w:val="32"/>
          <w:szCs w:val="32"/>
          <w:lang w:eastAsia="zh-CN"/>
        </w:rPr>
        <w:t>截留</w:t>
      </w:r>
      <w:r>
        <w:rPr>
          <w:rFonts w:eastAsia="仿宋_GB2312"/>
          <w:sz w:val="32"/>
          <w:szCs w:val="32"/>
        </w:rPr>
        <w:t>、挤占、挪用项目资金的现象。</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四、项目绩效情况</w:t>
      </w:r>
      <w:r>
        <w:rPr>
          <w:rFonts w:ascii="方正黑体简体" w:eastAsia="方正黑体简体"/>
          <w:sz w:val="32"/>
          <w:szCs w:val="32"/>
        </w:rPr>
        <w:tab/>
      </w:r>
    </w:p>
    <w:p>
      <w:pPr>
        <w:adjustRightInd w:val="0"/>
        <w:snapToGrid w:val="0"/>
        <w:spacing w:line="600" w:lineRule="exact"/>
        <w:ind w:firstLine="720"/>
        <w:rPr>
          <w:rFonts w:ascii="方正楷体简体" w:eastAsia="方正楷体简体"/>
          <w:sz w:val="32"/>
          <w:szCs w:val="32"/>
          <w:lang w:val="zh-CN"/>
        </w:rPr>
      </w:pPr>
      <w:r>
        <w:rPr>
          <w:rFonts w:hint="eastAsia" w:ascii="方正楷体简体" w:eastAsia="方正楷体简体"/>
          <w:sz w:val="32"/>
          <w:szCs w:val="32"/>
          <w:lang w:val="zh-CN"/>
        </w:rPr>
        <w:t>（一）项目完成情况。</w:t>
      </w:r>
    </w:p>
    <w:p>
      <w:pPr>
        <w:adjustRightInd w:val="0"/>
        <w:snapToGrid w:val="0"/>
        <w:spacing w:line="574" w:lineRule="exact"/>
        <w:ind w:firstLine="640" w:firstLineChars="200"/>
        <w:rPr>
          <w:rFonts w:eastAsia="仿宋_GB2312"/>
          <w:sz w:val="32"/>
          <w:szCs w:val="32"/>
        </w:rPr>
      </w:pPr>
      <w:r>
        <w:rPr>
          <w:rFonts w:eastAsia="仿宋_GB2312"/>
          <w:sz w:val="32"/>
          <w:szCs w:val="32"/>
          <w:lang w:val="zh-CN"/>
        </w:rPr>
        <w:t>本项目预算资金下达</w:t>
      </w:r>
      <w:r>
        <w:rPr>
          <w:sz w:val="32"/>
          <w:szCs w:val="32"/>
        </w:rPr>
        <w:t>50</w:t>
      </w:r>
      <w:r>
        <w:rPr>
          <w:rFonts w:eastAsia="仿宋_GB2312"/>
          <w:sz w:val="32"/>
          <w:szCs w:val="32"/>
        </w:rPr>
        <w:t>万元，实际执行数</w:t>
      </w:r>
      <w:r>
        <w:rPr>
          <w:sz w:val="32"/>
          <w:szCs w:val="32"/>
        </w:rPr>
        <w:t>50</w:t>
      </w:r>
      <w:r>
        <w:rPr>
          <w:rFonts w:eastAsia="仿宋_GB2312"/>
          <w:sz w:val="32"/>
          <w:szCs w:val="32"/>
        </w:rPr>
        <w:t>万元，</w:t>
      </w:r>
      <w:r>
        <w:rPr>
          <w:sz w:val="32"/>
          <w:szCs w:val="32"/>
        </w:rPr>
        <w:t>预算完成率100</w:t>
      </w:r>
      <w:r>
        <w:rPr>
          <w:rFonts w:eastAsia="仿宋_GB2312"/>
          <w:sz w:val="32"/>
          <w:szCs w:val="32"/>
        </w:rPr>
        <w:t>%。</w:t>
      </w:r>
    </w:p>
    <w:p>
      <w:pPr>
        <w:adjustRightInd w:val="0"/>
        <w:snapToGrid w:val="0"/>
        <w:spacing w:line="600" w:lineRule="exact"/>
        <w:ind w:firstLine="720"/>
        <w:rPr>
          <w:rFonts w:ascii="方正楷体简体" w:eastAsia="方正楷体简体"/>
          <w:sz w:val="32"/>
          <w:szCs w:val="32"/>
          <w:lang w:val="zh-CN"/>
        </w:rPr>
      </w:pPr>
      <w:r>
        <w:rPr>
          <w:rFonts w:ascii="方正楷体简体" w:eastAsia="方正楷体简体"/>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eastAsia="仿宋_GB2312"/>
          <w:sz w:val="32"/>
          <w:szCs w:val="32"/>
        </w:rPr>
        <w:t>该项目的实施，保障了法院制服的合理配备，端正了法院干警仪貌，严肃了司法工作者形象，维护了和谐的法院工作秩序，有利于打击刑事犯罪，营造风清气者的社会环境</w:t>
      </w:r>
      <w:r>
        <w:rPr>
          <w:sz w:val="32"/>
          <w:szCs w:val="32"/>
        </w:rPr>
        <w:t>。</w:t>
      </w:r>
    </w:p>
    <w:p>
      <w:pPr>
        <w:adjustRightInd w:val="0"/>
        <w:snapToGrid w:val="0"/>
        <w:spacing w:line="560" w:lineRule="exact"/>
        <w:ind w:firstLine="720"/>
        <w:rPr>
          <w:rFonts w:ascii="方正黑体简体" w:eastAsia="方正黑体简体"/>
          <w:sz w:val="32"/>
          <w:szCs w:val="32"/>
        </w:rPr>
      </w:pPr>
      <w:r>
        <w:rPr>
          <w:rFonts w:ascii="方正黑体简体" w:eastAsia="方正黑体简体"/>
          <w:sz w:val="32"/>
          <w:szCs w:val="32"/>
        </w:rPr>
        <w:t>五、评价结论及建议</w:t>
      </w:r>
    </w:p>
    <w:p>
      <w:pPr>
        <w:adjustRightInd w:val="0"/>
        <w:snapToGrid w:val="0"/>
        <w:spacing w:line="560" w:lineRule="exact"/>
        <w:ind w:firstLine="720"/>
        <w:rPr>
          <w:rFonts w:ascii="方正楷体简体" w:eastAsia="方正楷体简体"/>
          <w:sz w:val="32"/>
          <w:szCs w:val="32"/>
          <w:lang w:val="zh-CN"/>
        </w:rPr>
      </w:pPr>
      <w:r>
        <w:rPr>
          <w:rFonts w:ascii="方正楷体简体" w:eastAsia="方正楷体简体"/>
          <w:sz w:val="32"/>
          <w:szCs w:val="32"/>
          <w:lang w:val="zh-CN"/>
        </w:rPr>
        <w:t>（一）评价结论。</w:t>
      </w:r>
    </w:p>
    <w:p>
      <w:pPr>
        <w:adjustRightInd w:val="0"/>
        <w:snapToGrid w:val="0"/>
        <w:spacing w:line="560" w:lineRule="exact"/>
        <w:ind w:firstLine="640" w:firstLineChars="200"/>
        <w:rPr>
          <w:rFonts w:eastAsia="仿宋_GB2312"/>
          <w:b/>
          <w:sz w:val="32"/>
          <w:szCs w:val="32"/>
          <w:lang w:val="zh-CN"/>
        </w:rPr>
      </w:pPr>
      <w:r>
        <w:rPr>
          <w:rFonts w:eastAsia="仿宋_GB2312"/>
          <w:sz w:val="32"/>
          <w:szCs w:val="32"/>
        </w:rPr>
        <w:t>该项目</w:t>
      </w:r>
      <w:r>
        <w:rPr>
          <w:sz w:val="32"/>
          <w:szCs w:val="32"/>
        </w:rPr>
        <w:t>自评</w:t>
      </w:r>
      <w:r>
        <w:rPr>
          <w:rFonts w:eastAsia="仿宋_GB2312"/>
          <w:sz w:val="32"/>
          <w:szCs w:val="32"/>
        </w:rPr>
        <w:t>得分为</w:t>
      </w:r>
      <w:r>
        <w:rPr>
          <w:sz w:val="32"/>
          <w:szCs w:val="32"/>
        </w:rPr>
        <w:t>100。</w:t>
      </w:r>
      <w:r>
        <w:rPr>
          <w:rFonts w:eastAsia="仿宋_GB2312"/>
          <w:sz w:val="32"/>
          <w:szCs w:val="32"/>
        </w:rPr>
        <w:t>该项目决策符合国家政策方针，项目预算执行进度推进有力，项目监督管控及时有效，项目资金支付合理合规。</w:t>
      </w:r>
    </w:p>
    <w:p>
      <w:pPr>
        <w:adjustRightInd w:val="0"/>
        <w:snapToGrid w:val="0"/>
        <w:spacing w:line="560" w:lineRule="exact"/>
        <w:ind w:firstLine="640" w:firstLineChars="200"/>
        <w:rPr>
          <w:rFonts w:eastAsia="仿宋_GB2312"/>
          <w:sz w:val="32"/>
          <w:szCs w:val="32"/>
        </w:rPr>
      </w:pPr>
      <w:r>
        <w:rPr>
          <w:rFonts w:eastAsia="仿宋_GB2312"/>
          <w:sz w:val="32"/>
          <w:szCs w:val="32"/>
          <w:lang w:val="zh-CN"/>
        </w:rPr>
        <w:t>通过项目的实施，</w:t>
      </w:r>
      <w:r>
        <w:rPr>
          <w:sz w:val="32"/>
          <w:szCs w:val="32"/>
        </w:rPr>
        <w:t>端正了法院干警仪貌，</w:t>
      </w:r>
      <w:r>
        <w:rPr>
          <w:rFonts w:eastAsia="仿宋_GB2312"/>
          <w:sz w:val="32"/>
          <w:szCs w:val="32"/>
        </w:rPr>
        <w:t>严肃了司法工作者形象，维护了和谐的法院工作秩序，有利于打击刑事犯罪，及时妥善化解群众纠纷，有效解决当事人的合理诉求，维护了其合法权益，营造了法治化的营商环境，推动法治广元建设。</w:t>
      </w:r>
    </w:p>
    <w:p>
      <w:pPr>
        <w:adjustRightInd w:val="0"/>
        <w:snapToGrid w:val="0"/>
        <w:spacing w:line="560" w:lineRule="exact"/>
        <w:ind w:firstLine="720"/>
        <w:rPr>
          <w:rFonts w:ascii="方正楷体简体" w:eastAsia="方正楷体简体"/>
          <w:sz w:val="32"/>
          <w:szCs w:val="32"/>
          <w:lang w:val="zh-CN"/>
        </w:rPr>
      </w:pPr>
      <w:r>
        <w:rPr>
          <w:rFonts w:ascii="方正楷体简体" w:eastAsia="方正楷体简体"/>
          <w:sz w:val="32"/>
          <w:szCs w:val="32"/>
          <w:lang w:val="zh-CN"/>
        </w:rPr>
        <w:t>（二）存在的问题。</w:t>
      </w:r>
    </w:p>
    <w:p>
      <w:pPr>
        <w:adjustRightInd w:val="0"/>
        <w:snapToGrid w:val="0"/>
        <w:spacing w:line="560" w:lineRule="exact"/>
        <w:ind w:left="210" w:leftChars="100" w:firstLine="320" w:firstLineChars="100"/>
        <w:rPr>
          <w:rFonts w:eastAsia="仿宋_GB2312"/>
          <w:sz w:val="32"/>
          <w:szCs w:val="32"/>
          <w:lang w:val="zh-CN"/>
        </w:rPr>
      </w:pPr>
      <w:r>
        <w:rPr>
          <w:rFonts w:eastAsia="仿宋_GB2312"/>
          <w:sz w:val="32"/>
          <w:szCs w:val="32"/>
        </w:rPr>
        <w:t>项目评价体系不够完善，项目评价指标的确定不够细化，量化。</w:t>
      </w:r>
    </w:p>
    <w:p>
      <w:pPr>
        <w:adjustRightInd w:val="0"/>
        <w:snapToGrid w:val="0"/>
        <w:spacing w:line="560" w:lineRule="exact"/>
        <w:ind w:firstLine="720"/>
        <w:rPr>
          <w:rFonts w:ascii="方正楷体简体" w:eastAsia="方正楷体简体"/>
          <w:sz w:val="32"/>
          <w:szCs w:val="32"/>
          <w:lang w:val="zh-CN"/>
        </w:rPr>
      </w:pPr>
      <w:r>
        <w:rPr>
          <w:rFonts w:ascii="方正楷体简体" w:eastAsia="方正楷体简体"/>
          <w:sz w:val="32"/>
          <w:szCs w:val="32"/>
          <w:lang w:val="zh-CN"/>
        </w:rPr>
        <w:t>（三）相关建议。</w:t>
      </w:r>
    </w:p>
    <w:p>
      <w:pPr>
        <w:adjustRightInd w:val="0"/>
        <w:snapToGrid w:val="0"/>
        <w:spacing w:line="560" w:lineRule="exact"/>
        <w:ind w:firstLine="640" w:firstLineChars="200"/>
      </w:pPr>
      <w:r>
        <w:rPr>
          <w:rFonts w:eastAsia="仿宋_GB2312"/>
          <w:sz w:val="32"/>
          <w:szCs w:val="32"/>
        </w:rPr>
        <w:t>加强指标体系建设。选取评价指标时尽量使用数量型为主定量指标，更易考核与评价，规范三级指标名称，使之更专业化。</w:t>
      </w:r>
    </w:p>
    <w:tbl>
      <w:tblPr>
        <w:tblStyle w:val="14"/>
        <w:tblpPr w:leftFromText="180" w:rightFromText="180" w:vertAnchor="text" w:horzAnchor="margin" w:tblpXSpec="center" w:tblpY="219"/>
        <w:tblOverlap w:val="never"/>
        <w:tblW w:w="9321" w:type="dxa"/>
        <w:tblInd w:w="0" w:type="dxa"/>
        <w:tblLayout w:type="fixed"/>
        <w:tblCellMar>
          <w:top w:w="0" w:type="dxa"/>
          <w:left w:w="108" w:type="dxa"/>
          <w:bottom w:w="0" w:type="dxa"/>
          <w:right w:w="108" w:type="dxa"/>
        </w:tblCellMar>
      </w:tblPr>
      <w:tblGrid>
        <w:gridCol w:w="1594"/>
        <w:gridCol w:w="1363"/>
        <w:gridCol w:w="1421"/>
        <w:gridCol w:w="1122"/>
        <w:gridCol w:w="1725"/>
        <w:gridCol w:w="1860"/>
        <w:gridCol w:w="236"/>
      </w:tblGrid>
      <w:tr>
        <w:tblPrEx>
          <w:tblCellMar>
            <w:top w:w="0" w:type="dxa"/>
            <w:left w:w="108" w:type="dxa"/>
            <w:bottom w:w="0" w:type="dxa"/>
            <w:right w:w="108" w:type="dxa"/>
          </w:tblCellMar>
        </w:tblPrEx>
        <w:trPr>
          <w:trHeight w:val="637" w:hRule="atLeast"/>
        </w:trPr>
        <w:tc>
          <w:tcPr>
            <w:tcW w:w="9085" w:type="dxa"/>
            <w:gridSpan w:val="6"/>
            <w:tcBorders>
              <w:top w:val="nil"/>
              <w:left w:val="nil"/>
              <w:bottom w:val="nil"/>
              <w:right w:val="nil"/>
            </w:tcBorders>
            <w:shd w:val="clear" w:color="auto" w:fill="auto"/>
            <w:vAlign w:val="center"/>
          </w:tcPr>
          <w:p>
            <w:pPr>
              <w:widowControl/>
              <w:jc w:val="center"/>
              <w:textAlignment w:val="center"/>
              <w:rPr>
                <w:b/>
                <w:sz w:val="32"/>
                <w:szCs w:val="32"/>
              </w:rPr>
            </w:pPr>
            <w:r>
              <w:rPr>
                <w:rFonts w:eastAsia="黑体"/>
                <w:sz w:val="32"/>
                <w:szCs w:val="32"/>
              </w:rPr>
              <w:t>2021年法院购买服装（单列）项目绩效目标自评</w:t>
            </w:r>
          </w:p>
        </w:tc>
        <w:tc>
          <w:tcPr>
            <w:tcW w:w="236" w:type="dxa"/>
            <w:tcBorders>
              <w:top w:val="nil"/>
              <w:left w:val="nil"/>
              <w:bottom w:val="nil"/>
              <w:right w:val="nil"/>
            </w:tcBorders>
            <w:shd w:val="clear" w:color="auto" w:fill="auto"/>
            <w:vAlign w:val="center"/>
          </w:tcPr>
          <w:p>
            <w:pPr>
              <w:widowControl/>
              <w:jc w:val="center"/>
              <w:textAlignment w:val="center"/>
              <w:rPr>
                <w:b/>
                <w:kern w:val="0"/>
                <w:sz w:val="24"/>
                <w:lang w:bidi="ar"/>
              </w:rPr>
            </w:pPr>
          </w:p>
        </w:tc>
      </w:tr>
      <w:tr>
        <w:tblPrEx>
          <w:tblCellMar>
            <w:top w:w="0" w:type="dxa"/>
            <w:left w:w="108" w:type="dxa"/>
            <w:bottom w:w="0" w:type="dxa"/>
            <w:right w:w="108" w:type="dxa"/>
          </w:tblCellMar>
        </w:tblPrEx>
        <w:trPr>
          <w:gridAfter w:val="1"/>
          <w:wAfter w:w="236" w:type="dxa"/>
          <w:trHeight w:val="642" w:hRule="atLeast"/>
        </w:trPr>
        <w:tc>
          <w:tcPr>
            <w:tcW w:w="2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主管部门及代码</w:t>
            </w:r>
          </w:p>
        </w:tc>
        <w:tc>
          <w:tcPr>
            <w:tcW w:w="2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四川省广元市中级人民法院  207001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实施单位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四川省广元市中级人民法院</w:t>
            </w:r>
          </w:p>
        </w:tc>
      </w:tr>
      <w:tr>
        <w:tblPrEx>
          <w:tblCellMar>
            <w:top w:w="0" w:type="dxa"/>
            <w:left w:w="108" w:type="dxa"/>
            <w:bottom w:w="0" w:type="dxa"/>
            <w:right w:w="108" w:type="dxa"/>
          </w:tblCellMar>
        </w:tblPrEx>
        <w:trPr>
          <w:gridAfter w:val="1"/>
          <w:wAfter w:w="236" w:type="dxa"/>
          <w:trHeight w:val="552" w:hRule="atLeast"/>
        </w:trPr>
        <w:tc>
          <w:tcPr>
            <w:tcW w:w="2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项目预算</w:t>
            </w:r>
            <w:r>
              <w:rPr>
                <w:kern w:val="0"/>
                <w:sz w:val="24"/>
                <w:lang w:bidi="ar"/>
              </w:rPr>
              <w:br w:type="textWrapping"/>
            </w:r>
            <w:r>
              <w:rPr>
                <w:kern w:val="0"/>
                <w:sz w:val="24"/>
                <w:lang w:bidi="ar"/>
              </w:rPr>
              <w:t>执行情况</w:t>
            </w:r>
            <w:r>
              <w:rPr>
                <w:kern w:val="0"/>
                <w:sz w:val="24"/>
                <w:lang w:bidi="ar"/>
              </w:rPr>
              <w:br w:type="textWrapping"/>
            </w:r>
            <w:r>
              <w:rPr>
                <w:kern w:val="0"/>
                <w:sz w:val="24"/>
                <w:lang w:bidi="ar"/>
              </w:rPr>
              <w:t>（万元）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 xml:space="preserve"> 预算数：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 xml:space="preserve"> 执行数：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50</w:t>
            </w:r>
          </w:p>
        </w:tc>
      </w:tr>
      <w:tr>
        <w:tblPrEx>
          <w:tblCellMar>
            <w:top w:w="0" w:type="dxa"/>
            <w:left w:w="108" w:type="dxa"/>
            <w:bottom w:w="0" w:type="dxa"/>
            <w:right w:w="108" w:type="dxa"/>
          </w:tblCellMar>
        </w:tblPrEx>
        <w:trPr>
          <w:gridAfter w:val="1"/>
          <w:wAfter w:w="236" w:type="dxa"/>
          <w:trHeight w:val="523" w:hRule="atLeast"/>
        </w:trPr>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kern w:val="0"/>
                <w:sz w:val="24"/>
                <w:lang w:bidi="ar"/>
              </w:rPr>
            </w:pPr>
            <w:r>
              <w:rPr>
                <w:kern w:val="0"/>
                <w:sz w:val="24"/>
                <w:lang w:bidi="ar"/>
              </w:rPr>
              <w:t>其中：</w:t>
            </w:r>
          </w:p>
          <w:p>
            <w:pPr>
              <w:widowControl/>
              <w:spacing w:line="240" w:lineRule="exact"/>
              <w:jc w:val="left"/>
              <w:textAlignment w:val="center"/>
              <w:rPr>
                <w:sz w:val="24"/>
              </w:rPr>
            </w:pPr>
            <w:r>
              <w:rPr>
                <w:kern w:val="0"/>
                <w:sz w:val="24"/>
                <w:lang w:bidi="ar"/>
              </w:rPr>
              <w:t>财政拨款</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kern w:val="0"/>
                <w:sz w:val="24"/>
                <w:lang w:bidi="ar"/>
              </w:rPr>
            </w:pPr>
            <w:r>
              <w:rPr>
                <w:kern w:val="0"/>
                <w:sz w:val="24"/>
                <w:lang w:bidi="ar"/>
              </w:rPr>
              <w:t>其中：</w:t>
            </w:r>
          </w:p>
          <w:p>
            <w:pPr>
              <w:widowControl/>
              <w:spacing w:line="240" w:lineRule="exact"/>
              <w:jc w:val="left"/>
              <w:textAlignment w:val="center"/>
              <w:rPr>
                <w:sz w:val="24"/>
              </w:rPr>
            </w:pPr>
            <w:r>
              <w:rPr>
                <w:kern w:val="0"/>
                <w:sz w:val="24"/>
                <w:lang w:bidi="ar"/>
              </w:rPr>
              <w:t>财政拨款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50</w:t>
            </w:r>
          </w:p>
        </w:tc>
      </w:tr>
      <w:tr>
        <w:tblPrEx>
          <w:tblCellMar>
            <w:top w:w="0" w:type="dxa"/>
            <w:left w:w="108" w:type="dxa"/>
            <w:bottom w:w="0" w:type="dxa"/>
            <w:right w:w="108" w:type="dxa"/>
          </w:tblCellMar>
        </w:tblPrEx>
        <w:trPr>
          <w:gridAfter w:val="1"/>
          <w:wAfter w:w="236" w:type="dxa"/>
          <w:trHeight w:val="595" w:hRule="atLeast"/>
        </w:trPr>
        <w:tc>
          <w:tcPr>
            <w:tcW w:w="2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其他资金</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其他资金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p>
        </w:tc>
      </w:tr>
      <w:tr>
        <w:tblPrEx>
          <w:tblCellMar>
            <w:top w:w="0" w:type="dxa"/>
            <w:left w:w="108" w:type="dxa"/>
            <w:bottom w:w="0" w:type="dxa"/>
            <w:right w:w="108" w:type="dxa"/>
          </w:tblCellMar>
        </w:tblPrEx>
        <w:trPr>
          <w:gridAfter w:val="1"/>
          <w:wAfter w:w="236" w:type="dxa"/>
          <w:trHeight w:val="547"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年度总体目标</w:t>
            </w:r>
          </w:p>
          <w:p>
            <w:pPr>
              <w:widowControl/>
              <w:spacing w:line="240" w:lineRule="exact"/>
              <w:jc w:val="center"/>
              <w:textAlignment w:val="center"/>
              <w:rPr>
                <w:sz w:val="24"/>
              </w:rPr>
            </w:pPr>
            <w:r>
              <w:rPr>
                <w:kern w:val="0"/>
                <w:sz w:val="24"/>
                <w:lang w:bidi="ar"/>
              </w:rPr>
              <w:t>完成情况</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预期目标</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目标实际完成情况</w:t>
            </w:r>
          </w:p>
        </w:tc>
      </w:tr>
      <w:tr>
        <w:tblPrEx>
          <w:tblCellMar>
            <w:top w:w="0" w:type="dxa"/>
            <w:left w:w="108" w:type="dxa"/>
            <w:bottom w:w="0" w:type="dxa"/>
            <w:right w:w="108" w:type="dxa"/>
          </w:tblCellMar>
        </w:tblPrEx>
        <w:trPr>
          <w:gridAfter w:val="1"/>
          <w:wAfter w:w="236" w:type="dxa"/>
          <w:trHeight w:val="752"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sz w:val="24"/>
              </w:rPr>
            </w:pPr>
            <w:r>
              <w:rPr>
                <w:sz w:val="24"/>
              </w:rPr>
              <w:t>完成2021年法院服装大换装。</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sz w:val="24"/>
              </w:rPr>
            </w:pPr>
            <w:r>
              <w:rPr>
                <w:sz w:val="24"/>
              </w:rPr>
              <w:t>完成了2021年法院服装大换装和部分新进干警服装配置。</w:t>
            </w:r>
          </w:p>
        </w:tc>
      </w:tr>
      <w:tr>
        <w:tblPrEx>
          <w:tblCellMar>
            <w:top w:w="0" w:type="dxa"/>
            <w:left w:w="108" w:type="dxa"/>
            <w:bottom w:w="0" w:type="dxa"/>
            <w:right w:w="108" w:type="dxa"/>
          </w:tblCellMar>
        </w:tblPrEx>
        <w:trPr>
          <w:gridAfter w:val="1"/>
          <w:wAfter w:w="236" w:type="dxa"/>
          <w:trHeight w:val="654" w:hRule="atLeast"/>
        </w:trPr>
        <w:tc>
          <w:tcPr>
            <w:tcW w:w="1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年度绩效指标完成情况</w:t>
            </w: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一级</w:t>
            </w:r>
          </w:p>
          <w:p>
            <w:pPr>
              <w:widowControl/>
              <w:spacing w:line="240" w:lineRule="exact"/>
              <w:jc w:val="center"/>
              <w:textAlignment w:val="center"/>
              <w:rPr>
                <w:kern w:val="0"/>
                <w:sz w:val="24"/>
                <w:lang w:bidi="ar"/>
              </w:rPr>
            </w:pPr>
            <w:r>
              <w:rPr>
                <w:kern w:val="0"/>
                <w:sz w:val="24"/>
                <w:lang w:bidi="ar"/>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二级</w:t>
            </w:r>
          </w:p>
          <w:p>
            <w:pPr>
              <w:widowControl/>
              <w:spacing w:line="240" w:lineRule="exact"/>
              <w:jc w:val="center"/>
              <w:textAlignment w:val="center"/>
              <w:rPr>
                <w:kern w:val="0"/>
                <w:sz w:val="24"/>
                <w:lang w:bidi="ar"/>
              </w:rPr>
            </w:pPr>
            <w:r>
              <w:rPr>
                <w:kern w:val="0"/>
                <w:sz w:val="24"/>
                <w:lang w:bidi="ar"/>
              </w:rPr>
              <w:t>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三级</w:t>
            </w:r>
          </w:p>
          <w:p>
            <w:pPr>
              <w:widowControl/>
              <w:spacing w:line="240" w:lineRule="exact"/>
              <w:jc w:val="center"/>
              <w:textAlignment w:val="center"/>
              <w:rPr>
                <w:kern w:val="0"/>
                <w:sz w:val="24"/>
                <w:lang w:bidi="ar"/>
              </w:rPr>
            </w:pPr>
            <w:r>
              <w:rPr>
                <w:kern w:val="0"/>
                <w:sz w:val="24"/>
                <w:lang w:bidi="ar"/>
              </w:rPr>
              <w:t>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预期指标值</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实际完成</w:t>
            </w:r>
          </w:p>
          <w:p>
            <w:pPr>
              <w:widowControl/>
              <w:spacing w:line="240" w:lineRule="exact"/>
              <w:jc w:val="center"/>
              <w:textAlignment w:val="center"/>
              <w:rPr>
                <w:kern w:val="0"/>
                <w:sz w:val="24"/>
                <w:lang w:bidi="ar"/>
              </w:rPr>
            </w:pPr>
            <w:r>
              <w:rPr>
                <w:kern w:val="0"/>
                <w:sz w:val="24"/>
                <w:lang w:bidi="ar"/>
              </w:rPr>
              <w:t>指标值</w:t>
            </w:r>
          </w:p>
        </w:tc>
      </w:tr>
      <w:tr>
        <w:tblPrEx>
          <w:tblCellMar>
            <w:top w:w="0" w:type="dxa"/>
            <w:left w:w="108" w:type="dxa"/>
            <w:bottom w:w="0" w:type="dxa"/>
            <w:right w:w="108" w:type="dxa"/>
          </w:tblCellMar>
        </w:tblPrEx>
        <w:trPr>
          <w:gridAfter w:val="1"/>
          <w:wAfter w:w="236" w:type="dxa"/>
          <w:trHeight w:val="1116" w:hRule="atLeast"/>
        </w:trPr>
        <w:tc>
          <w:tcPr>
            <w:tcW w:w="159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完成</w:t>
            </w:r>
          </w:p>
          <w:p>
            <w:pPr>
              <w:widowControl/>
              <w:spacing w:line="240" w:lineRule="exact"/>
              <w:jc w:val="center"/>
              <w:textAlignment w:val="center"/>
              <w:rPr>
                <w:kern w:val="0"/>
                <w:sz w:val="24"/>
                <w:lang w:bidi="ar"/>
              </w:rPr>
            </w:pPr>
            <w:r>
              <w:rPr>
                <w:kern w:val="0"/>
                <w:sz w:val="24"/>
                <w:lang w:bidi="ar"/>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数量指标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购买着装数量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满足2021年法院服装大换装需求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完成了2021年法院服装大换装和部分新进干警服装配置</w:t>
            </w:r>
          </w:p>
        </w:tc>
      </w:tr>
      <w:tr>
        <w:tblPrEx>
          <w:tblCellMar>
            <w:top w:w="0" w:type="dxa"/>
            <w:left w:w="108" w:type="dxa"/>
            <w:bottom w:w="0" w:type="dxa"/>
            <w:right w:w="108" w:type="dxa"/>
          </w:tblCellMar>
        </w:tblPrEx>
        <w:trPr>
          <w:gridAfter w:val="1"/>
          <w:wAfter w:w="236" w:type="dxa"/>
          <w:trHeight w:val="860" w:hRule="atLeast"/>
        </w:trPr>
        <w:tc>
          <w:tcPr>
            <w:tcW w:w="159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时效指标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项目完成时间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2021年12月31日前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2021年12月31日前</w:t>
            </w:r>
          </w:p>
        </w:tc>
      </w:tr>
      <w:tr>
        <w:tblPrEx>
          <w:tblCellMar>
            <w:top w:w="0" w:type="dxa"/>
            <w:left w:w="108" w:type="dxa"/>
            <w:bottom w:w="0" w:type="dxa"/>
            <w:right w:w="108" w:type="dxa"/>
          </w:tblCellMar>
        </w:tblPrEx>
        <w:trPr>
          <w:gridAfter w:val="1"/>
          <w:wAfter w:w="236" w:type="dxa"/>
          <w:trHeight w:val="453" w:hRule="atLeast"/>
        </w:trPr>
        <w:tc>
          <w:tcPr>
            <w:tcW w:w="159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购买着装经费成本</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≤50万元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50万元</w:t>
            </w:r>
          </w:p>
        </w:tc>
      </w:tr>
      <w:tr>
        <w:tblPrEx>
          <w:tblCellMar>
            <w:top w:w="0" w:type="dxa"/>
            <w:left w:w="108" w:type="dxa"/>
            <w:bottom w:w="0" w:type="dxa"/>
            <w:right w:w="108" w:type="dxa"/>
          </w:tblCellMar>
        </w:tblPrEx>
        <w:trPr>
          <w:gridAfter w:val="1"/>
          <w:wAfter w:w="236" w:type="dxa"/>
          <w:trHeight w:val="1592" w:hRule="atLeast"/>
        </w:trPr>
        <w:tc>
          <w:tcPr>
            <w:tcW w:w="159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效益</w:t>
            </w:r>
            <w:r>
              <w:rPr>
                <w:kern w:val="0"/>
                <w:sz w:val="24"/>
                <w:lang w:bidi="ar"/>
              </w:rPr>
              <w:br w:type="textWrapping"/>
            </w:r>
            <w:r>
              <w:rPr>
                <w:kern w:val="0"/>
                <w:sz w:val="24"/>
                <w:lang w:bidi="ar"/>
              </w:rPr>
              <w:t>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经济效益  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法院购买制服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2"/>
                <w:lang w:bidi="ar"/>
              </w:rPr>
            </w:pPr>
            <w:r>
              <w:rPr>
                <w:kern w:val="0"/>
                <w:sz w:val="22"/>
                <w:lang w:bidi="ar"/>
              </w:rPr>
              <w:t>端正仪貌，严肃法院工作者形象，树立良好的社会印象。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2"/>
                <w:lang w:bidi="ar"/>
              </w:rPr>
            </w:pPr>
            <w:r>
              <w:rPr>
                <w:kern w:val="0"/>
                <w:sz w:val="22"/>
                <w:lang w:bidi="ar"/>
              </w:rPr>
              <w:t>法院制服的合理配备，严肃了司法工作者形象，维护了和谐的法院工作秩序，有利于打击刑事犯罪，营造风清气者的社会环境。</w:t>
            </w:r>
          </w:p>
        </w:tc>
      </w:tr>
      <w:tr>
        <w:tblPrEx>
          <w:tblCellMar>
            <w:top w:w="0" w:type="dxa"/>
            <w:left w:w="108" w:type="dxa"/>
            <w:bottom w:w="0" w:type="dxa"/>
            <w:right w:w="108" w:type="dxa"/>
          </w:tblCellMar>
        </w:tblPrEx>
        <w:trPr>
          <w:gridAfter w:val="1"/>
          <w:wAfter w:w="236" w:type="dxa"/>
          <w:trHeight w:val="544" w:hRule="atLeast"/>
        </w:trPr>
        <w:tc>
          <w:tcPr>
            <w:tcW w:w="1594"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可持续影响 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法院制服的配备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2"/>
                <w:lang w:bidi="ar"/>
              </w:rPr>
            </w:pPr>
            <w:r>
              <w:rPr>
                <w:kern w:val="0"/>
                <w:sz w:val="22"/>
                <w:lang w:bidi="ar"/>
              </w:rPr>
              <w:t>及时对不合身、已损坏等制服进行了更换，为新进干警完成法院配置，端正了仪貌，严肃了法院工作者形象。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2"/>
                <w:lang w:bidi="ar"/>
              </w:rPr>
            </w:pPr>
            <w:r>
              <w:rPr>
                <w:kern w:val="0"/>
                <w:sz w:val="22"/>
                <w:lang w:bidi="ar"/>
              </w:rPr>
              <w:t>及时对不合身、已损坏等制服进行了更换，为新进干警完成法院配置，端正了仪貌，严肃了法院工作者形象。</w:t>
            </w:r>
          </w:p>
        </w:tc>
      </w:tr>
      <w:tr>
        <w:tblPrEx>
          <w:tblCellMar>
            <w:top w:w="0" w:type="dxa"/>
            <w:left w:w="108" w:type="dxa"/>
            <w:bottom w:w="0" w:type="dxa"/>
            <w:right w:w="108" w:type="dxa"/>
          </w:tblCellMar>
        </w:tblPrEx>
        <w:trPr>
          <w:gridAfter w:val="1"/>
          <w:wAfter w:w="236" w:type="dxa"/>
          <w:trHeight w:val="500" w:hRule="atLeast"/>
        </w:trPr>
        <w:tc>
          <w:tcPr>
            <w:tcW w:w="159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4"/>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sz w:val="24"/>
              </w:rPr>
            </w:pPr>
            <w:r>
              <w:rPr>
                <w:kern w:val="0"/>
                <w:sz w:val="24"/>
                <w:lang w:bidi="ar"/>
              </w:rPr>
              <w:t>满意</w:t>
            </w:r>
            <w:r>
              <w:rPr>
                <w:kern w:val="0"/>
                <w:sz w:val="24"/>
                <w:lang w:bidi="ar"/>
              </w:rPr>
              <w:br w:type="textWrapping"/>
            </w:r>
            <w:r>
              <w:rPr>
                <w:kern w:val="0"/>
                <w:sz w:val="24"/>
                <w:lang w:bidi="ar"/>
              </w:rPr>
              <w:t>度指标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满意度</w:t>
            </w:r>
          </w:p>
          <w:p>
            <w:pPr>
              <w:widowControl/>
              <w:spacing w:line="320" w:lineRule="exact"/>
              <w:jc w:val="center"/>
              <w:textAlignment w:val="center"/>
              <w:rPr>
                <w:kern w:val="0"/>
                <w:sz w:val="24"/>
                <w:lang w:bidi="ar"/>
              </w:rPr>
            </w:pPr>
            <w:r>
              <w:rPr>
                <w:kern w:val="0"/>
                <w:sz w:val="24"/>
                <w:lang w:bidi="ar"/>
              </w:rPr>
              <w:t>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干警对着装更换满意度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≥90%</w:t>
            </w:r>
          </w:p>
        </w:tc>
      </w:tr>
    </w:tbl>
    <w:p>
      <w:pPr>
        <w:pStyle w:val="33"/>
        <w:spacing w:line="576" w:lineRule="exact"/>
        <w:jc w:val="center"/>
        <w:rPr>
          <w:rFonts w:ascii="Times New Roman" w:hAnsi="Times New Roman" w:eastAsia="方正小标宋简体"/>
          <w:color w:val="auto"/>
          <w:kern w:val="2"/>
          <w:sz w:val="44"/>
          <w:szCs w:val="44"/>
          <w:lang w:val="en-US"/>
        </w:rPr>
      </w:pPr>
    </w:p>
    <w:p>
      <w:pPr>
        <w:spacing w:line="520" w:lineRule="exact"/>
      </w:pPr>
      <w:r>
        <w:br w:type="page"/>
      </w:r>
      <w:r>
        <w:rPr>
          <w:rFonts w:eastAsia="仿宋_GB2312"/>
          <w:sz w:val="32"/>
          <w:szCs w:val="32"/>
        </w:rPr>
        <w:t>附件3：</w:t>
      </w:r>
    </w:p>
    <w:p>
      <w:pPr>
        <w:pStyle w:val="33"/>
        <w:spacing w:line="52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四川省广元市中级人民法院</w:t>
      </w:r>
    </w:p>
    <w:p>
      <w:pPr>
        <w:pStyle w:val="33"/>
        <w:spacing w:line="52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lang w:val="en-US"/>
        </w:rPr>
        <w:t>2021年</w:t>
      </w:r>
      <w:r>
        <w:rPr>
          <w:rFonts w:ascii="Times New Roman" w:hAnsi="Times New Roman" w:eastAsia="方正小标宋简体"/>
          <w:color w:val="auto"/>
          <w:kern w:val="2"/>
          <w:sz w:val="44"/>
          <w:szCs w:val="44"/>
        </w:rPr>
        <w:t>司法救助(单列)项目绩效自评报告</w:t>
      </w:r>
    </w:p>
    <w:p>
      <w:pPr>
        <w:adjustRightInd w:val="0"/>
        <w:snapToGrid w:val="0"/>
        <w:spacing w:line="520" w:lineRule="exact"/>
        <w:rPr>
          <w:rFonts w:eastAsia="黑体"/>
        </w:rPr>
      </w:pP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一、项目概况</w:t>
      </w:r>
    </w:p>
    <w:p>
      <w:pPr>
        <w:adjustRightInd w:val="0"/>
        <w:snapToGrid w:val="0"/>
        <w:spacing w:line="520" w:lineRule="exact"/>
        <w:ind w:firstLine="720"/>
        <w:rPr>
          <w:rFonts w:ascii="方正楷体简体" w:eastAsia="方正楷体简体"/>
          <w:sz w:val="32"/>
          <w:szCs w:val="32"/>
          <w:lang w:val="zh-CN"/>
        </w:rPr>
      </w:pPr>
      <w:r>
        <w:rPr>
          <w:rFonts w:ascii="方正楷体简体" w:eastAsia="方正楷体简体"/>
          <w:sz w:val="32"/>
          <w:szCs w:val="32"/>
          <w:lang w:val="zh-CN"/>
        </w:rPr>
        <w:t>（一）项目基本情况。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1．说明项目主管部门（单位）在该项目管理中的职能。</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w:t>
      </w:r>
      <w:r>
        <w:rPr>
          <w:rFonts w:eastAsia="仿宋_GB2312"/>
          <w:sz w:val="32"/>
          <w:szCs w:val="32"/>
        </w:rPr>
        <w:t>司法救助(单列)</w:t>
      </w:r>
      <w:r>
        <w:rPr>
          <w:rFonts w:eastAsia="仿宋_GB2312"/>
          <w:sz w:val="32"/>
          <w:szCs w:val="32"/>
          <w:lang w:val="zh-CN"/>
        </w:rPr>
        <w:t>项目年初预算的编制和绩效目标的设置，确保项目预算的科学性、合理性、可行性。</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520"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52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项目立项、资金申报的依据。</w:t>
      </w:r>
    </w:p>
    <w:p>
      <w:pPr>
        <w:spacing w:line="520" w:lineRule="exact"/>
        <w:ind w:firstLine="640" w:firstLineChars="200"/>
        <w:rPr>
          <w:rFonts w:eastAsia="仿宋_GB2312"/>
          <w:bCs/>
          <w:sz w:val="32"/>
          <w:szCs w:val="32"/>
        </w:rPr>
      </w:pPr>
      <w:r>
        <w:rPr>
          <w:rFonts w:eastAsia="仿宋_GB2312"/>
          <w:bCs/>
          <w:sz w:val="32"/>
          <w:szCs w:val="32"/>
        </w:rPr>
        <w:t>为切实做好司法过程中对困难群众的救助工作，有效维护当事人合法权益，保障社会公平正义，促进社会和谐稳定，彰显法院司法为民的情怀。根据往年该项目实施情况，2021年申报司法救助(单列)</w:t>
      </w:r>
      <w:r>
        <w:rPr>
          <w:rFonts w:eastAsia="仿宋_GB2312"/>
          <w:bCs/>
          <w:sz w:val="32"/>
          <w:szCs w:val="32"/>
          <w:lang w:val="zh-CN"/>
        </w:rPr>
        <w:t>项目资金</w:t>
      </w:r>
      <w:r>
        <w:rPr>
          <w:rFonts w:eastAsia="仿宋_GB2312"/>
          <w:bCs/>
          <w:sz w:val="32"/>
          <w:szCs w:val="32"/>
        </w:rPr>
        <w:t>10万元。</w:t>
      </w:r>
    </w:p>
    <w:p>
      <w:pPr>
        <w:spacing w:line="520" w:lineRule="exact"/>
        <w:ind w:firstLine="640" w:firstLineChars="200"/>
        <w:rPr>
          <w:rFonts w:eastAsia="仿宋_GB2312"/>
          <w:bCs/>
          <w:sz w:val="32"/>
          <w:szCs w:val="32"/>
          <w:lang w:val="zh-CN"/>
        </w:rPr>
      </w:pPr>
      <w:r>
        <w:rPr>
          <w:rFonts w:eastAsia="仿宋_GB2312"/>
          <w:bCs/>
          <w:sz w:val="32"/>
          <w:szCs w:val="32"/>
        </w:rPr>
        <w:t>3.</w:t>
      </w:r>
      <w:r>
        <w:rPr>
          <w:rFonts w:eastAsia="仿宋_GB2312"/>
          <w:bCs/>
          <w:sz w:val="32"/>
          <w:szCs w:val="32"/>
          <w:lang w:val="zh-CN"/>
        </w:rPr>
        <w:t>资金管理办法制定情况，资金支持具体项目的条件、范围与支持方式概况。</w:t>
      </w:r>
    </w:p>
    <w:p>
      <w:pPr>
        <w:adjustRightInd w:val="0"/>
        <w:snapToGrid w:val="0"/>
        <w:spacing w:line="520" w:lineRule="exact"/>
        <w:ind w:firstLine="640" w:firstLineChars="200"/>
        <w:rPr>
          <w:rFonts w:eastAsia="仿宋_GB2312"/>
          <w:sz w:val="32"/>
          <w:szCs w:val="32"/>
          <w:lang w:val="zh-CN"/>
        </w:rPr>
      </w:pPr>
      <w:r>
        <w:rPr>
          <w:rFonts w:eastAsia="仿宋_GB2312"/>
          <w:bCs/>
          <w:sz w:val="32"/>
          <w:szCs w:val="32"/>
        </w:rPr>
        <w:t>司法救助(单列)</w:t>
      </w:r>
      <w:r>
        <w:rPr>
          <w:rFonts w:eastAsia="仿宋_GB2312"/>
          <w:bCs/>
          <w:sz w:val="32"/>
          <w:szCs w:val="32"/>
          <w:lang w:val="zh-CN"/>
        </w:rPr>
        <w:t>项目预</w:t>
      </w:r>
      <w:r>
        <w:rPr>
          <w:rFonts w:eastAsia="仿宋_GB2312"/>
          <w:sz w:val="32"/>
          <w:szCs w:val="32"/>
          <w:lang w:val="zh-CN"/>
        </w:rPr>
        <w:t>算编制立足上年项目执行情况和当年工作实际，绩效目标和项目指标编制科学、合理。</w:t>
      </w:r>
    </w:p>
    <w:p>
      <w:pPr>
        <w:adjustRightInd w:val="0"/>
        <w:snapToGrid w:val="0"/>
        <w:spacing w:line="520" w:lineRule="exact"/>
        <w:ind w:firstLine="640" w:firstLineChars="200"/>
        <w:rPr>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520" w:lineRule="exact"/>
        <w:ind w:firstLine="640" w:firstLineChars="200"/>
        <w:rPr>
          <w:rFonts w:eastAsia="仿宋_GB2312"/>
          <w:sz w:val="32"/>
          <w:szCs w:val="32"/>
          <w:lang w:val="zh-CN"/>
        </w:rPr>
      </w:pPr>
      <w:r>
        <w:rPr>
          <w:rFonts w:eastAsia="仿宋_GB2312"/>
          <w:sz w:val="32"/>
          <w:szCs w:val="32"/>
        </w:rPr>
        <w:t>4.</w:t>
      </w:r>
      <w:r>
        <w:rPr>
          <w:rFonts w:eastAsia="仿宋_GB2312"/>
          <w:sz w:val="32"/>
          <w:szCs w:val="32"/>
          <w:lang w:val="zh-CN"/>
        </w:rPr>
        <w:t>资金分配的原则及考虑因素。</w:t>
      </w:r>
    </w:p>
    <w:p>
      <w:pPr>
        <w:adjustRightInd w:val="0"/>
        <w:snapToGrid w:val="0"/>
        <w:spacing w:line="520" w:lineRule="exact"/>
        <w:ind w:firstLine="640" w:firstLineChars="200"/>
      </w:pPr>
      <w:r>
        <w:rPr>
          <w:rFonts w:eastAsia="仿宋_GB2312"/>
          <w:sz w:val="32"/>
          <w:szCs w:val="32"/>
        </w:rPr>
        <w:t>司法救助(单列)</w:t>
      </w:r>
      <w:r>
        <w:rPr>
          <w:rFonts w:eastAsia="仿宋_GB2312"/>
          <w:sz w:val="32"/>
          <w:szCs w:val="32"/>
          <w:lang w:val="zh-CN"/>
        </w:rPr>
        <w:t>项目资金分配严格按照预算安排，主要通过对当事人缓交，减交或免交诉讼费的救济措施，减轻或者免除经济上确有困难的当事人的负担。</w:t>
      </w:r>
    </w:p>
    <w:p>
      <w:pPr>
        <w:adjustRightInd w:val="0"/>
        <w:snapToGrid w:val="0"/>
        <w:spacing w:line="520" w:lineRule="exact"/>
        <w:ind w:firstLine="720"/>
        <w:rPr>
          <w:rFonts w:ascii="方正楷体简体" w:eastAsia="方正楷体简体"/>
          <w:sz w:val="32"/>
          <w:szCs w:val="32"/>
          <w:lang w:val="zh-CN"/>
        </w:rPr>
      </w:pPr>
      <w:r>
        <w:rPr>
          <w:rFonts w:ascii="方正楷体简体" w:eastAsia="方正楷体简体"/>
          <w:sz w:val="32"/>
          <w:szCs w:val="32"/>
          <w:lang w:val="zh-CN"/>
        </w:rPr>
        <w:t>（二）项目绩效目标。</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1．项目主要内容。</w:t>
      </w:r>
    </w:p>
    <w:p>
      <w:pPr>
        <w:adjustRightInd w:val="0"/>
        <w:snapToGrid w:val="0"/>
        <w:spacing w:line="520" w:lineRule="exact"/>
        <w:ind w:firstLine="640" w:firstLineChars="200"/>
        <w:rPr>
          <w:rFonts w:eastAsia="仿宋_GB2312"/>
          <w:sz w:val="32"/>
          <w:szCs w:val="32"/>
        </w:rPr>
      </w:pPr>
      <w:r>
        <w:rPr>
          <w:rFonts w:eastAsia="仿宋_GB2312"/>
          <w:sz w:val="32"/>
          <w:szCs w:val="32"/>
          <w:lang w:val="zh-CN"/>
        </w:rPr>
        <w:t>202</w:t>
      </w:r>
      <w:r>
        <w:rPr>
          <w:rFonts w:eastAsia="仿宋_GB2312"/>
          <w:sz w:val="32"/>
          <w:szCs w:val="32"/>
        </w:rPr>
        <w:t>1</w:t>
      </w:r>
      <w:r>
        <w:rPr>
          <w:rFonts w:eastAsia="仿宋_GB2312"/>
          <w:sz w:val="32"/>
          <w:szCs w:val="32"/>
          <w:lang w:val="zh-CN"/>
        </w:rPr>
        <w:t>年</w:t>
      </w:r>
      <w:r>
        <w:rPr>
          <w:rFonts w:eastAsia="仿宋_GB2312"/>
          <w:sz w:val="32"/>
          <w:szCs w:val="32"/>
        </w:rPr>
        <w:t>司法救助(单列)</w:t>
      </w:r>
      <w:r>
        <w:rPr>
          <w:rFonts w:eastAsia="仿宋_GB2312"/>
          <w:sz w:val="32"/>
          <w:szCs w:val="32"/>
          <w:lang w:val="zh-CN"/>
        </w:rPr>
        <w:t>项目主要通过对当事人缓交，减交或免交诉讼费的救济措施，减轻或者免除经济上确有困难的当事人的负担。</w:t>
      </w:r>
    </w:p>
    <w:p>
      <w:pPr>
        <w:adjustRightInd w:val="0"/>
        <w:snapToGrid w:val="0"/>
        <w:spacing w:line="520" w:lineRule="exact"/>
        <w:ind w:firstLine="640" w:firstLineChars="200"/>
        <w:rPr>
          <w:lang w:val="zh-CN"/>
        </w:rPr>
      </w:pPr>
      <w:r>
        <w:rPr>
          <w:rFonts w:eastAsia="仿宋_GB2312"/>
          <w:sz w:val="32"/>
          <w:szCs w:val="32"/>
        </w:rPr>
        <w:t>2.</w:t>
      </w:r>
      <w:r>
        <w:rPr>
          <w:rFonts w:eastAsia="仿宋_GB2312"/>
          <w:sz w:val="32"/>
          <w:szCs w:val="32"/>
          <w:lang w:val="zh-CN"/>
        </w:rPr>
        <w:t>项目应实现的具体绩效目标，包括目标的量化、细化情况以及项目实施进度计划等。</w:t>
      </w:r>
    </w:p>
    <w:tbl>
      <w:tblPr>
        <w:tblStyle w:val="14"/>
        <w:tblpPr w:leftFromText="180" w:rightFromText="180" w:vertAnchor="text" w:horzAnchor="page" w:tblpX="374" w:tblpY="696"/>
        <w:tblOverlap w:val="never"/>
        <w:tblW w:w="10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2"/>
        <w:gridCol w:w="723"/>
        <w:gridCol w:w="1313"/>
        <w:gridCol w:w="1882"/>
        <w:gridCol w:w="1927"/>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rPr>
        <w:tc>
          <w:tcPr>
            <w:tcW w:w="982" w:type="dxa"/>
            <w:vMerge w:val="restart"/>
            <w:shd w:val="clear" w:color="auto" w:fill="auto"/>
            <w:vAlign w:val="center"/>
          </w:tcPr>
          <w:p>
            <w:pPr>
              <w:widowControl/>
              <w:jc w:val="center"/>
              <w:textAlignment w:val="center"/>
              <w:rPr>
                <w:color w:val="000000"/>
                <w:szCs w:val="21"/>
              </w:rPr>
            </w:pPr>
            <w:r>
              <w:rPr>
                <w:color w:val="000000"/>
                <w:kern w:val="0"/>
                <w:szCs w:val="21"/>
                <w:lang w:bidi="ar"/>
              </w:rPr>
              <w:t>年度</w:t>
            </w:r>
            <w:r>
              <w:rPr>
                <w:color w:val="000000"/>
                <w:kern w:val="0"/>
                <w:szCs w:val="21"/>
                <w:lang w:bidi="ar"/>
              </w:rPr>
              <w:br w:type="textWrapping"/>
            </w:r>
            <w:r>
              <w:rPr>
                <w:color w:val="000000"/>
                <w:kern w:val="0"/>
                <w:szCs w:val="21"/>
                <w:lang w:bidi="ar"/>
              </w:rPr>
              <w:t>绩效</w:t>
            </w:r>
            <w:r>
              <w:rPr>
                <w:color w:val="000000"/>
                <w:kern w:val="0"/>
                <w:szCs w:val="21"/>
                <w:lang w:bidi="ar"/>
              </w:rPr>
              <w:br w:type="textWrapping"/>
            </w:r>
            <w:r>
              <w:rPr>
                <w:color w:val="000000"/>
                <w:kern w:val="0"/>
                <w:szCs w:val="21"/>
                <w:lang w:bidi="ar"/>
              </w:rPr>
              <w:t>指标</w:t>
            </w:r>
            <w:r>
              <w:rPr>
                <w:color w:val="000000"/>
                <w:kern w:val="0"/>
                <w:szCs w:val="21"/>
                <w:lang w:bidi="ar"/>
              </w:rPr>
              <w:br w:type="textWrapping"/>
            </w:r>
            <w:r>
              <w:rPr>
                <w:color w:val="000000"/>
                <w:kern w:val="0"/>
                <w:szCs w:val="21"/>
                <w:lang w:bidi="ar"/>
              </w:rPr>
              <w:t>完成</w:t>
            </w:r>
            <w:r>
              <w:rPr>
                <w:color w:val="000000"/>
                <w:kern w:val="0"/>
                <w:szCs w:val="21"/>
                <w:lang w:bidi="ar"/>
              </w:rPr>
              <w:br w:type="textWrapping"/>
            </w:r>
            <w:r>
              <w:rPr>
                <w:color w:val="000000"/>
                <w:kern w:val="0"/>
                <w:szCs w:val="21"/>
                <w:lang w:bidi="ar"/>
              </w:rPr>
              <w:t>情况</w:t>
            </w:r>
          </w:p>
        </w:tc>
        <w:tc>
          <w:tcPr>
            <w:tcW w:w="723" w:type="dxa"/>
            <w:shd w:val="clear" w:color="auto" w:fill="auto"/>
            <w:vAlign w:val="center"/>
          </w:tcPr>
          <w:p>
            <w:pPr>
              <w:widowControl/>
              <w:jc w:val="center"/>
              <w:textAlignment w:val="center"/>
              <w:rPr>
                <w:color w:val="000000"/>
                <w:szCs w:val="21"/>
              </w:rPr>
            </w:pPr>
            <w:r>
              <w:rPr>
                <w:color w:val="000000"/>
                <w:kern w:val="0"/>
                <w:szCs w:val="21"/>
                <w:lang w:bidi="ar"/>
              </w:rPr>
              <w:t>一级指标</w:t>
            </w: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二级指标</w:t>
            </w:r>
          </w:p>
        </w:tc>
        <w:tc>
          <w:tcPr>
            <w:tcW w:w="1882" w:type="dxa"/>
            <w:shd w:val="clear" w:color="auto" w:fill="auto"/>
            <w:vAlign w:val="center"/>
          </w:tcPr>
          <w:p>
            <w:pPr>
              <w:widowControl/>
              <w:jc w:val="center"/>
              <w:textAlignment w:val="center"/>
              <w:rPr>
                <w:color w:val="000000"/>
                <w:szCs w:val="21"/>
              </w:rPr>
            </w:pPr>
            <w:r>
              <w:rPr>
                <w:color w:val="000000"/>
                <w:kern w:val="0"/>
                <w:szCs w:val="21"/>
                <w:lang w:bidi="ar"/>
              </w:rPr>
              <w:t>三级指标</w:t>
            </w:r>
          </w:p>
        </w:tc>
        <w:tc>
          <w:tcPr>
            <w:tcW w:w="1927" w:type="dxa"/>
            <w:shd w:val="clear" w:color="auto" w:fill="auto"/>
            <w:vAlign w:val="center"/>
          </w:tcPr>
          <w:p>
            <w:pPr>
              <w:widowControl/>
              <w:jc w:val="center"/>
              <w:textAlignment w:val="center"/>
              <w:rPr>
                <w:color w:val="000000"/>
                <w:szCs w:val="21"/>
              </w:rPr>
            </w:pPr>
            <w:r>
              <w:rPr>
                <w:color w:val="000000"/>
                <w:kern w:val="0"/>
                <w:szCs w:val="21"/>
                <w:lang w:bidi="ar"/>
              </w:rPr>
              <w:t>指标值（包含数字及文字描述）</w:t>
            </w:r>
          </w:p>
        </w:tc>
        <w:tc>
          <w:tcPr>
            <w:tcW w:w="4122" w:type="dxa"/>
            <w:shd w:val="clear" w:color="auto" w:fill="auto"/>
            <w:vAlign w:val="center"/>
          </w:tcPr>
          <w:p>
            <w:pPr>
              <w:widowControl/>
              <w:jc w:val="center"/>
              <w:textAlignment w:val="center"/>
              <w:rPr>
                <w:color w:val="000000"/>
                <w:szCs w:val="21"/>
              </w:rPr>
            </w:pPr>
            <w:r>
              <w:rPr>
                <w:color w:val="000000"/>
                <w:kern w:val="0"/>
                <w:szCs w:val="21"/>
                <w:lang w:bidi="ar"/>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982" w:type="dxa"/>
            <w:vMerge w:val="continue"/>
            <w:shd w:val="clear" w:color="auto" w:fill="auto"/>
            <w:vAlign w:val="center"/>
          </w:tcPr>
          <w:p>
            <w:pPr>
              <w:jc w:val="center"/>
              <w:rPr>
                <w:color w:val="000000"/>
                <w:szCs w:val="21"/>
              </w:rPr>
            </w:pPr>
          </w:p>
        </w:tc>
        <w:tc>
          <w:tcPr>
            <w:tcW w:w="723" w:type="dxa"/>
            <w:vMerge w:val="restart"/>
            <w:shd w:val="clear" w:color="auto" w:fill="auto"/>
            <w:vAlign w:val="center"/>
          </w:tcPr>
          <w:p>
            <w:pPr>
              <w:widowControl/>
              <w:jc w:val="center"/>
              <w:textAlignment w:val="center"/>
              <w:rPr>
                <w:color w:val="000000"/>
                <w:szCs w:val="21"/>
              </w:rPr>
            </w:pPr>
            <w:r>
              <w:rPr>
                <w:color w:val="000000"/>
                <w:kern w:val="0"/>
                <w:szCs w:val="21"/>
                <w:lang w:bidi="ar"/>
              </w:rPr>
              <w:t>项目完成指标</w:t>
            </w: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数量指标</w:t>
            </w:r>
          </w:p>
        </w:tc>
        <w:tc>
          <w:tcPr>
            <w:tcW w:w="1882" w:type="dxa"/>
            <w:shd w:val="clear" w:color="auto" w:fill="auto"/>
            <w:vAlign w:val="center"/>
          </w:tcPr>
          <w:p>
            <w:pPr>
              <w:widowControl/>
              <w:jc w:val="left"/>
              <w:textAlignment w:val="center"/>
              <w:rPr>
                <w:color w:val="000000"/>
                <w:szCs w:val="21"/>
              </w:rPr>
            </w:pPr>
            <w:r>
              <w:rPr>
                <w:color w:val="000000"/>
                <w:kern w:val="0"/>
                <w:szCs w:val="21"/>
                <w:lang w:bidi="ar"/>
              </w:rPr>
              <w:t>司法救助人数</w:t>
            </w:r>
          </w:p>
        </w:tc>
        <w:tc>
          <w:tcPr>
            <w:tcW w:w="1927" w:type="dxa"/>
            <w:shd w:val="clear" w:color="auto" w:fill="auto"/>
            <w:vAlign w:val="center"/>
          </w:tcPr>
          <w:p>
            <w:pPr>
              <w:widowControl/>
              <w:jc w:val="left"/>
              <w:textAlignment w:val="center"/>
              <w:rPr>
                <w:color w:val="000000"/>
                <w:szCs w:val="21"/>
              </w:rPr>
            </w:pPr>
            <w:r>
              <w:rPr>
                <w:color w:val="000000"/>
                <w:kern w:val="0"/>
                <w:szCs w:val="21"/>
                <w:lang w:bidi="ar"/>
              </w:rPr>
              <w:t>≥1</w:t>
            </w:r>
          </w:p>
        </w:tc>
        <w:tc>
          <w:tcPr>
            <w:tcW w:w="4122" w:type="dxa"/>
            <w:shd w:val="clear" w:color="auto" w:fill="auto"/>
            <w:vAlign w:val="center"/>
          </w:tcPr>
          <w:p>
            <w:pPr>
              <w:widowControl/>
              <w:jc w:val="center"/>
              <w:textAlignment w:val="center"/>
              <w:rPr>
                <w:color w:val="000000"/>
                <w:szCs w:val="21"/>
              </w:rPr>
            </w:pPr>
            <w:r>
              <w:rPr>
                <w:color w:val="000000"/>
                <w:kern w:val="0"/>
                <w:szCs w:val="21"/>
                <w:lang w:bidi="ar"/>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3" w:hRule="atLeast"/>
        </w:trPr>
        <w:tc>
          <w:tcPr>
            <w:tcW w:w="982" w:type="dxa"/>
            <w:vMerge w:val="continue"/>
            <w:shd w:val="clear" w:color="auto" w:fill="auto"/>
            <w:vAlign w:val="center"/>
          </w:tcPr>
          <w:p>
            <w:pPr>
              <w:jc w:val="center"/>
              <w:rPr>
                <w:color w:val="000000"/>
                <w:szCs w:val="21"/>
              </w:rPr>
            </w:pPr>
          </w:p>
        </w:tc>
        <w:tc>
          <w:tcPr>
            <w:tcW w:w="723" w:type="dxa"/>
            <w:vMerge w:val="continue"/>
            <w:shd w:val="clear" w:color="auto" w:fill="auto"/>
            <w:vAlign w:val="center"/>
          </w:tcPr>
          <w:p>
            <w:pPr>
              <w:jc w:val="center"/>
              <w:rPr>
                <w:color w:val="000000"/>
                <w:szCs w:val="21"/>
              </w:rPr>
            </w:pP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时效指标</w:t>
            </w:r>
          </w:p>
        </w:tc>
        <w:tc>
          <w:tcPr>
            <w:tcW w:w="1882" w:type="dxa"/>
            <w:shd w:val="clear" w:color="auto" w:fill="auto"/>
            <w:vAlign w:val="center"/>
          </w:tcPr>
          <w:p>
            <w:pPr>
              <w:widowControl/>
              <w:jc w:val="center"/>
              <w:textAlignment w:val="center"/>
              <w:rPr>
                <w:color w:val="000000"/>
                <w:szCs w:val="21"/>
              </w:rPr>
            </w:pPr>
            <w:r>
              <w:rPr>
                <w:color w:val="000000"/>
                <w:kern w:val="0"/>
                <w:szCs w:val="21"/>
                <w:lang w:bidi="ar"/>
              </w:rPr>
              <w:t>项目完成时间</w:t>
            </w:r>
          </w:p>
        </w:tc>
        <w:tc>
          <w:tcPr>
            <w:tcW w:w="1927" w:type="dxa"/>
            <w:shd w:val="clear" w:color="auto" w:fill="auto"/>
            <w:vAlign w:val="center"/>
          </w:tcPr>
          <w:p>
            <w:pPr>
              <w:widowControl/>
              <w:jc w:val="left"/>
              <w:textAlignment w:val="center"/>
              <w:rPr>
                <w:color w:val="000000"/>
                <w:szCs w:val="21"/>
              </w:rPr>
            </w:pPr>
            <w:r>
              <w:rPr>
                <w:color w:val="000000"/>
                <w:kern w:val="0"/>
                <w:szCs w:val="21"/>
                <w:lang w:bidi="ar"/>
              </w:rPr>
              <w:t>2021年12月31日前</w:t>
            </w:r>
          </w:p>
        </w:tc>
        <w:tc>
          <w:tcPr>
            <w:tcW w:w="4122" w:type="dxa"/>
            <w:shd w:val="clear" w:color="auto" w:fill="auto"/>
            <w:vAlign w:val="center"/>
          </w:tcPr>
          <w:p>
            <w:pPr>
              <w:widowControl/>
              <w:jc w:val="left"/>
              <w:textAlignment w:val="center"/>
              <w:rPr>
                <w:color w:val="000000"/>
                <w:szCs w:val="21"/>
              </w:rPr>
            </w:pPr>
            <w:r>
              <w:rPr>
                <w:color w:val="000000"/>
                <w:kern w:val="0"/>
                <w:szCs w:val="21"/>
                <w:lang w:bidi="ar"/>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982" w:type="dxa"/>
            <w:vMerge w:val="continue"/>
            <w:shd w:val="clear" w:color="auto" w:fill="auto"/>
            <w:vAlign w:val="center"/>
          </w:tcPr>
          <w:p>
            <w:pPr>
              <w:jc w:val="center"/>
              <w:rPr>
                <w:color w:val="000000"/>
                <w:szCs w:val="21"/>
              </w:rPr>
            </w:pPr>
          </w:p>
        </w:tc>
        <w:tc>
          <w:tcPr>
            <w:tcW w:w="723" w:type="dxa"/>
            <w:vMerge w:val="continue"/>
            <w:shd w:val="clear" w:color="auto" w:fill="auto"/>
            <w:vAlign w:val="center"/>
          </w:tcPr>
          <w:p>
            <w:pPr>
              <w:jc w:val="center"/>
              <w:rPr>
                <w:color w:val="000000"/>
                <w:szCs w:val="21"/>
              </w:rPr>
            </w:pP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成本指标</w:t>
            </w:r>
          </w:p>
        </w:tc>
        <w:tc>
          <w:tcPr>
            <w:tcW w:w="1882" w:type="dxa"/>
            <w:shd w:val="clear" w:color="auto" w:fill="auto"/>
            <w:vAlign w:val="center"/>
          </w:tcPr>
          <w:p>
            <w:pPr>
              <w:widowControl/>
              <w:jc w:val="left"/>
              <w:textAlignment w:val="center"/>
              <w:rPr>
                <w:color w:val="000000"/>
                <w:szCs w:val="21"/>
              </w:rPr>
            </w:pPr>
            <w:r>
              <w:rPr>
                <w:color w:val="000000"/>
                <w:kern w:val="0"/>
                <w:szCs w:val="21"/>
                <w:lang w:bidi="ar"/>
              </w:rPr>
              <w:t>司法救助支出成本</w:t>
            </w:r>
          </w:p>
        </w:tc>
        <w:tc>
          <w:tcPr>
            <w:tcW w:w="1927" w:type="dxa"/>
            <w:shd w:val="clear" w:color="auto" w:fill="auto"/>
            <w:vAlign w:val="center"/>
          </w:tcPr>
          <w:p>
            <w:pPr>
              <w:widowControl/>
              <w:jc w:val="left"/>
              <w:textAlignment w:val="center"/>
              <w:rPr>
                <w:color w:val="000000"/>
                <w:szCs w:val="21"/>
              </w:rPr>
            </w:pPr>
            <w:r>
              <w:rPr>
                <w:color w:val="000000"/>
                <w:kern w:val="0"/>
                <w:szCs w:val="21"/>
                <w:lang w:bidi="ar"/>
              </w:rPr>
              <w:t>≤10万元</w:t>
            </w:r>
          </w:p>
        </w:tc>
        <w:tc>
          <w:tcPr>
            <w:tcW w:w="4122" w:type="dxa"/>
            <w:shd w:val="clear" w:color="auto" w:fill="auto"/>
            <w:vAlign w:val="center"/>
          </w:tcPr>
          <w:p>
            <w:pPr>
              <w:widowControl/>
              <w:jc w:val="center"/>
              <w:textAlignment w:val="center"/>
              <w:rPr>
                <w:color w:val="000000"/>
                <w:szCs w:val="21"/>
              </w:rPr>
            </w:pPr>
            <w:r>
              <w:rPr>
                <w:color w:val="000000"/>
                <w:kern w:val="0"/>
                <w:szCs w:val="21"/>
                <w:lang w:bidi="ar"/>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0" w:hRule="atLeast"/>
        </w:trPr>
        <w:tc>
          <w:tcPr>
            <w:tcW w:w="982" w:type="dxa"/>
            <w:vMerge w:val="continue"/>
            <w:shd w:val="clear" w:color="auto" w:fill="auto"/>
            <w:vAlign w:val="center"/>
          </w:tcPr>
          <w:p>
            <w:pPr>
              <w:jc w:val="center"/>
              <w:rPr>
                <w:color w:val="000000"/>
                <w:szCs w:val="21"/>
              </w:rPr>
            </w:pPr>
          </w:p>
        </w:tc>
        <w:tc>
          <w:tcPr>
            <w:tcW w:w="723" w:type="dxa"/>
            <w:vMerge w:val="restart"/>
            <w:shd w:val="clear" w:color="auto" w:fill="auto"/>
            <w:vAlign w:val="center"/>
          </w:tcPr>
          <w:p>
            <w:pPr>
              <w:widowControl/>
              <w:jc w:val="center"/>
              <w:textAlignment w:val="center"/>
              <w:rPr>
                <w:color w:val="000000"/>
                <w:szCs w:val="21"/>
              </w:rPr>
            </w:pPr>
            <w:r>
              <w:rPr>
                <w:color w:val="000000"/>
                <w:kern w:val="0"/>
                <w:szCs w:val="21"/>
                <w:lang w:bidi="ar"/>
              </w:rPr>
              <w:t>项目效果指标</w:t>
            </w: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社会效益</w:t>
            </w:r>
          </w:p>
        </w:tc>
        <w:tc>
          <w:tcPr>
            <w:tcW w:w="1882" w:type="dxa"/>
            <w:shd w:val="clear" w:color="auto" w:fill="auto"/>
            <w:vAlign w:val="center"/>
          </w:tcPr>
          <w:p>
            <w:pPr>
              <w:widowControl/>
              <w:jc w:val="left"/>
              <w:textAlignment w:val="center"/>
              <w:rPr>
                <w:color w:val="000000"/>
                <w:szCs w:val="21"/>
              </w:rPr>
            </w:pPr>
            <w:r>
              <w:rPr>
                <w:color w:val="000000"/>
                <w:kern w:val="0"/>
                <w:szCs w:val="21"/>
                <w:lang w:bidi="ar"/>
              </w:rPr>
              <w:t>司法救助推动法治社会发展</w:t>
            </w:r>
          </w:p>
        </w:tc>
        <w:tc>
          <w:tcPr>
            <w:tcW w:w="1927" w:type="dxa"/>
            <w:shd w:val="clear" w:color="auto" w:fill="auto"/>
            <w:vAlign w:val="center"/>
          </w:tcPr>
          <w:p>
            <w:pPr>
              <w:widowControl/>
              <w:jc w:val="left"/>
              <w:textAlignment w:val="center"/>
              <w:rPr>
                <w:color w:val="000000"/>
                <w:szCs w:val="21"/>
              </w:rPr>
            </w:pPr>
            <w:r>
              <w:rPr>
                <w:color w:val="000000"/>
                <w:kern w:val="0"/>
                <w:szCs w:val="21"/>
                <w:lang w:bidi="ar"/>
              </w:rPr>
              <w:t>体现司法制度对弱势群体的关爱，营造健康向上的社会秩序。</w:t>
            </w:r>
          </w:p>
        </w:tc>
        <w:tc>
          <w:tcPr>
            <w:tcW w:w="4122" w:type="dxa"/>
            <w:shd w:val="clear" w:color="auto" w:fill="auto"/>
            <w:vAlign w:val="center"/>
          </w:tcPr>
          <w:p>
            <w:pPr>
              <w:widowControl/>
              <w:jc w:val="left"/>
              <w:textAlignment w:val="center"/>
              <w:rPr>
                <w:color w:val="000000"/>
                <w:szCs w:val="21"/>
              </w:rPr>
            </w:pPr>
            <w:r>
              <w:rPr>
                <w:color w:val="000000"/>
                <w:kern w:val="0"/>
                <w:szCs w:val="21"/>
                <w:lang w:bidi="ar"/>
              </w:rPr>
              <w:t>切实有效解决了司法过程中对困难群众的救助工作，维护了当事人合法权益，促进了社会和谐稳定。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trPr>
        <w:tc>
          <w:tcPr>
            <w:tcW w:w="982" w:type="dxa"/>
            <w:vMerge w:val="continue"/>
            <w:shd w:val="clear" w:color="auto" w:fill="auto"/>
            <w:vAlign w:val="center"/>
          </w:tcPr>
          <w:p>
            <w:pPr>
              <w:jc w:val="center"/>
              <w:rPr>
                <w:color w:val="000000"/>
                <w:szCs w:val="21"/>
              </w:rPr>
            </w:pPr>
          </w:p>
        </w:tc>
        <w:tc>
          <w:tcPr>
            <w:tcW w:w="723" w:type="dxa"/>
            <w:vMerge w:val="continue"/>
            <w:shd w:val="clear" w:color="auto" w:fill="auto"/>
            <w:vAlign w:val="center"/>
          </w:tcPr>
          <w:p>
            <w:pPr>
              <w:jc w:val="center"/>
              <w:rPr>
                <w:color w:val="000000"/>
                <w:szCs w:val="21"/>
              </w:rPr>
            </w:pP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可持续影响</w:t>
            </w:r>
            <w:r>
              <w:rPr>
                <w:color w:val="000000"/>
                <w:kern w:val="0"/>
                <w:szCs w:val="21"/>
                <w:lang w:bidi="ar"/>
              </w:rPr>
              <w:br w:type="textWrapping"/>
            </w:r>
            <w:r>
              <w:rPr>
                <w:color w:val="000000"/>
                <w:kern w:val="0"/>
                <w:szCs w:val="21"/>
                <w:lang w:bidi="ar"/>
              </w:rPr>
              <w:t>指标</w:t>
            </w:r>
          </w:p>
        </w:tc>
        <w:tc>
          <w:tcPr>
            <w:tcW w:w="1882" w:type="dxa"/>
            <w:shd w:val="clear" w:color="auto" w:fill="auto"/>
            <w:vAlign w:val="center"/>
          </w:tcPr>
          <w:p>
            <w:pPr>
              <w:widowControl/>
              <w:jc w:val="left"/>
              <w:textAlignment w:val="center"/>
              <w:rPr>
                <w:color w:val="000000"/>
                <w:szCs w:val="21"/>
              </w:rPr>
            </w:pPr>
            <w:r>
              <w:rPr>
                <w:color w:val="000000"/>
                <w:kern w:val="0"/>
                <w:szCs w:val="21"/>
                <w:lang w:bidi="ar"/>
              </w:rPr>
              <w:t>司法救助常态化推动司法为民工作</w:t>
            </w:r>
          </w:p>
        </w:tc>
        <w:tc>
          <w:tcPr>
            <w:tcW w:w="1927" w:type="dxa"/>
            <w:shd w:val="clear" w:color="auto" w:fill="auto"/>
            <w:vAlign w:val="center"/>
          </w:tcPr>
          <w:p>
            <w:pPr>
              <w:widowControl/>
              <w:jc w:val="left"/>
              <w:textAlignment w:val="center"/>
              <w:rPr>
                <w:color w:val="000000"/>
                <w:szCs w:val="21"/>
              </w:rPr>
            </w:pPr>
            <w:r>
              <w:rPr>
                <w:color w:val="000000"/>
                <w:kern w:val="0"/>
                <w:szCs w:val="21"/>
                <w:lang w:bidi="ar"/>
              </w:rPr>
              <w:t>司法救助保障当事人合法权益，是改善民生、健全社会保障体系的重要方式。</w:t>
            </w:r>
          </w:p>
        </w:tc>
        <w:tc>
          <w:tcPr>
            <w:tcW w:w="4122" w:type="dxa"/>
            <w:shd w:val="clear" w:color="auto" w:fill="auto"/>
            <w:vAlign w:val="center"/>
          </w:tcPr>
          <w:p>
            <w:pPr>
              <w:widowControl/>
              <w:jc w:val="left"/>
              <w:textAlignment w:val="center"/>
              <w:rPr>
                <w:color w:val="000000"/>
                <w:szCs w:val="21"/>
              </w:rPr>
            </w:pPr>
            <w:r>
              <w:rPr>
                <w:color w:val="000000"/>
                <w:kern w:val="0"/>
                <w:szCs w:val="21"/>
                <w:lang w:bidi="ar"/>
              </w:rPr>
              <w:t>充分发挥了司法救助“救急解困”的作用，将司法为民落到实处，让人民群众感受到司法的温度、社会的温暖。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982" w:type="dxa"/>
            <w:vMerge w:val="continue"/>
            <w:shd w:val="clear" w:color="auto" w:fill="auto"/>
            <w:vAlign w:val="center"/>
          </w:tcPr>
          <w:p>
            <w:pPr>
              <w:jc w:val="center"/>
              <w:rPr>
                <w:color w:val="000000"/>
                <w:szCs w:val="21"/>
              </w:rPr>
            </w:pPr>
          </w:p>
        </w:tc>
        <w:tc>
          <w:tcPr>
            <w:tcW w:w="723" w:type="dxa"/>
            <w:shd w:val="clear" w:color="auto" w:fill="auto"/>
            <w:vAlign w:val="center"/>
          </w:tcPr>
          <w:p>
            <w:pPr>
              <w:widowControl/>
              <w:jc w:val="center"/>
              <w:textAlignment w:val="center"/>
              <w:rPr>
                <w:color w:val="000000"/>
                <w:szCs w:val="21"/>
              </w:rPr>
            </w:pPr>
            <w:r>
              <w:rPr>
                <w:color w:val="000000"/>
                <w:kern w:val="0"/>
                <w:szCs w:val="21"/>
                <w:lang w:bidi="ar"/>
              </w:rPr>
              <w:t>满意度</w:t>
            </w:r>
            <w:r>
              <w:rPr>
                <w:color w:val="000000"/>
                <w:kern w:val="0"/>
                <w:szCs w:val="21"/>
                <w:lang w:bidi="ar"/>
              </w:rPr>
              <w:br w:type="textWrapping"/>
            </w:r>
            <w:r>
              <w:rPr>
                <w:color w:val="000000"/>
                <w:kern w:val="0"/>
                <w:szCs w:val="21"/>
                <w:lang w:bidi="ar"/>
              </w:rPr>
              <w:t>指标</w:t>
            </w:r>
          </w:p>
        </w:tc>
        <w:tc>
          <w:tcPr>
            <w:tcW w:w="1313" w:type="dxa"/>
            <w:shd w:val="clear" w:color="auto" w:fill="auto"/>
            <w:vAlign w:val="center"/>
          </w:tcPr>
          <w:p>
            <w:pPr>
              <w:widowControl/>
              <w:jc w:val="center"/>
              <w:textAlignment w:val="center"/>
              <w:rPr>
                <w:color w:val="000000"/>
                <w:szCs w:val="21"/>
              </w:rPr>
            </w:pPr>
            <w:r>
              <w:rPr>
                <w:color w:val="000000"/>
                <w:kern w:val="0"/>
                <w:szCs w:val="21"/>
                <w:lang w:bidi="ar"/>
              </w:rPr>
              <w:t>满意度指标</w:t>
            </w:r>
          </w:p>
        </w:tc>
        <w:tc>
          <w:tcPr>
            <w:tcW w:w="1882" w:type="dxa"/>
            <w:shd w:val="clear" w:color="auto" w:fill="auto"/>
            <w:vAlign w:val="center"/>
          </w:tcPr>
          <w:p>
            <w:pPr>
              <w:widowControl/>
              <w:jc w:val="left"/>
              <w:textAlignment w:val="center"/>
              <w:rPr>
                <w:color w:val="000000"/>
                <w:szCs w:val="21"/>
              </w:rPr>
            </w:pPr>
            <w:r>
              <w:rPr>
                <w:color w:val="000000"/>
                <w:kern w:val="0"/>
                <w:szCs w:val="21"/>
                <w:lang w:bidi="ar"/>
              </w:rPr>
              <w:t>被救助人员满意度</w:t>
            </w:r>
          </w:p>
        </w:tc>
        <w:tc>
          <w:tcPr>
            <w:tcW w:w="1927" w:type="dxa"/>
            <w:shd w:val="clear" w:color="auto" w:fill="auto"/>
            <w:vAlign w:val="center"/>
          </w:tcPr>
          <w:p>
            <w:pPr>
              <w:widowControl/>
              <w:jc w:val="center"/>
              <w:textAlignment w:val="center"/>
              <w:rPr>
                <w:color w:val="000000"/>
                <w:szCs w:val="21"/>
              </w:rPr>
            </w:pPr>
            <w:r>
              <w:rPr>
                <w:color w:val="000000"/>
                <w:kern w:val="0"/>
                <w:szCs w:val="21"/>
                <w:lang w:bidi="ar"/>
              </w:rPr>
              <w:t>≥95%</w:t>
            </w:r>
          </w:p>
        </w:tc>
        <w:tc>
          <w:tcPr>
            <w:tcW w:w="4122" w:type="dxa"/>
            <w:shd w:val="clear" w:color="auto" w:fill="auto"/>
            <w:vAlign w:val="center"/>
          </w:tcPr>
          <w:p>
            <w:pPr>
              <w:widowControl/>
              <w:jc w:val="center"/>
              <w:textAlignment w:val="center"/>
              <w:rPr>
                <w:color w:val="000000"/>
                <w:szCs w:val="21"/>
              </w:rPr>
            </w:pPr>
            <w:r>
              <w:rPr>
                <w:color w:val="000000"/>
                <w:kern w:val="0"/>
                <w:szCs w:val="21"/>
                <w:lang w:bidi="ar"/>
              </w:rPr>
              <w:t>≥95%</w:t>
            </w:r>
          </w:p>
        </w:tc>
      </w:tr>
    </w:tbl>
    <w:p>
      <w:pPr>
        <w:adjustRightInd w:val="0"/>
        <w:snapToGrid w:val="0"/>
        <w:spacing w:line="574" w:lineRule="exact"/>
        <w:ind w:firstLine="640" w:firstLineChars="200"/>
        <w:rPr>
          <w:rFonts w:eastAsia="仿宋_GB2312"/>
          <w:sz w:val="32"/>
          <w:szCs w:val="32"/>
          <w:lang w:val="zh-CN"/>
        </w:rPr>
      </w:pPr>
    </w:p>
    <w:p>
      <w:pPr>
        <w:adjustRightInd w:val="0"/>
        <w:snapToGrid w:val="0"/>
        <w:spacing w:line="574"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分析评价申报内容是否与实际相符，申报目标是否合理可行。</w:t>
      </w:r>
    </w:p>
    <w:p>
      <w:pPr>
        <w:adjustRightInd w:val="0"/>
        <w:snapToGrid w:val="0"/>
        <w:spacing w:line="574" w:lineRule="exact"/>
        <w:ind w:firstLine="640" w:firstLineChars="200"/>
        <w:rPr>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600" w:lineRule="exact"/>
        <w:ind w:firstLine="720"/>
        <w:rPr>
          <w:rFonts w:ascii="方正楷体简体" w:eastAsia="方正楷体简体"/>
          <w:sz w:val="32"/>
          <w:szCs w:val="32"/>
          <w:lang w:val="zh-CN"/>
        </w:rPr>
      </w:pPr>
      <w:r>
        <w:rPr>
          <w:rFonts w:ascii="方正楷体简体" w:eastAsia="方正楷体简体"/>
          <w:sz w:val="32"/>
          <w:szCs w:val="32"/>
          <w:lang w:val="zh-CN"/>
        </w:rPr>
        <w:t>（三）项目自评步骤及方法。</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二、项目资金申报及使用情况</w:t>
      </w:r>
    </w:p>
    <w:p>
      <w:pPr>
        <w:adjustRightInd w:val="0"/>
        <w:snapToGrid w:val="0"/>
        <w:spacing w:line="600" w:lineRule="exact"/>
        <w:ind w:firstLine="720"/>
        <w:rPr>
          <w:rFonts w:ascii="方正楷体简体" w:eastAsia="方正楷体简体"/>
          <w:sz w:val="32"/>
          <w:szCs w:val="32"/>
          <w:lang w:val="zh-CN"/>
        </w:rPr>
      </w:pPr>
      <w:r>
        <w:rPr>
          <w:rFonts w:ascii="方正楷体简体" w:eastAsia="方正楷体简体"/>
          <w:sz w:val="32"/>
          <w:szCs w:val="32"/>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2021年专项司法救助(单列)项目</w:t>
      </w:r>
      <w:r>
        <w:rPr>
          <w:rFonts w:eastAsia="仿宋_GB2312"/>
          <w:sz w:val="32"/>
          <w:szCs w:val="32"/>
          <w:lang w:val="zh-CN"/>
        </w:rPr>
        <w:t>申报资金</w:t>
      </w:r>
      <w:r>
        <w:rPr>
          <w:rFonts w:eastAsia="仿宋_GB2312"/>
          <w:sz w:val="32"/>
          <w:szCs w:val="32"/>
        </w:rPr>
        <w:t>10万元，项目报送人代会通过后批复司法救助(单列)</w:t>
      </w:r>
      <w:r>
        <w:rPr>
          <w:rFonts w:eastAsia="仿宋_GB2312"/>
          <w:sz w:val="32"/>
          <w:szCs w:val="32"/>
          <w:lang w:val="zh-CN"/>
        </w:rPr>
        <w:t>项目</w:t>
      </w:r>
      <w:r>
        <w:rPr>
          <w:rFonts w:eastAsia="仿宋_GB2312"/>
          <w:sz w:val="32"/>
          <w:szCs w:val="32"/>
        </w:rPr>
        <w:t>资金</w:t>
      </w:r>
      <w:r>
        <w:rPr>
          <w:sz w:val="32"/>
          <w:szCs w:val="32"/>
        </w:rPr>
        <w:t>10</w:t>
      </w:r>
      <w:r>
        <w:rPr>
          <w:rFonts w:eastAsia="仿宋_GB2312"/>
          <w:sz w:val="32"/>
          <w:szCs w:val="32"/>
        </w:rPr>
        <w:t>万元，项目资金无预算调整。</w:t>
      </w:r>
    </w:p>
    <w:p>
      <w:pPr>
        <w:adjustRightInd w:val="0"/>
        <w:snapToGrid w:val="0"/>
        <w:spacing w:line="600" w:lineRule="exact"/>
        <w:ind w:firstLine="720"/>
        <w:rPr>
          <w:rFonts w:ascii="方正楷体简体" w:eastAsia="方正楷体简体"/>
          <w:sz w:val="32"/>
          <w:szCs w:val="32"/>
          <w:lang w:val="zh-CN"/>
        </w:rPr>
      </w:pPr>
      <w:r>
        <w:rPr>
          <w:rFonts w:ascii="方正楷体简体" w:eastAsia="方正楷体简体"/>
          <w:sz w:val="32"/>
          <w:szCs w:val="32"/>
          <w:lang w:val="zh-CN"/>
        </w:rPr>
        <w:t>（二）资金计划、到位及使用情况（可用表格形式反映）。</w:t>
      </w:r>
    </w:p>
    <w:p>
      <w:pPr>
        <w:adjustRightInd w:val="0"/>
        <w:snapToGrid w:val="0"/>
        <w:spacing w:line="574" w:lineRule="exact"/>
        <w:ind w:firstLine="643" w:firstLineChars="200"/>
        <w:rPr>
          <w:rFonts w:eastAsia="仿宋_GB2312"/>
          <w:sz w:val="32"/>
          <w:szCs w:val="32"/>
        </w:rPr>
      </w:pPr>
      <w:r>
        <w:rPr>
          <w:rFonts w:eastAsia="仿宋_GB2312"/>
          <w:b/>
          <w:bCs/>
          <w:sz w:val="32"/>
          <w:szCs w:val="32"/>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市财政局通过预算对我院下达此专项资金</w:t>
      </w:r>
      <w:r>
        <w:rPr>
          <w:sz w:val="32"/>
          <w:szCs w:val="32"/>
        </w:rPr>
        <w:t>10</w:t>
      </w:r>
      <w:r>
        <w:rPr>
          <w:rFonts w:eastAsia="仿宋_GB2312"/>
          <w:sz w:val="32"/>
          <w:szCs w:val="32"/>
        </w:rPr>
        <w:t>万元</w:t>
      </w:r>
      <w:r>
        <w:rPr>
          <w:rFonts w:eastAsia="仿宋_GB2312"/>
          <w:sz w:val="32"/>
          <w:szCs w:val="32"/>
          <w:lang w:val="zh-CN"/>
        </w:rPr>
        <w:t>。</w:t>
      </w:r>
    </w:p>
    <w:p>
      <w:pPr>
        <w:spacing w:line="574" w:lineRule="exact"/>
        <w:ind w:firstLine="643" w:firstLineChars="200"/>
        <w:rPr>
          <w:rFonts w:eastAsia="仿宋_GB2312"/>
          <w:sz w:val="32"/>
          <w:szCs w:val="32"/>
          <w:lang w:val="zh-CN"/>
        </w:rPr>
      </w:pPr>
      <w:r>
        <w:rPr>
          <w:rFonts w:eastAsia="仿宋_GB2312"/>
          <w:b/>
          <w:bCs/>
          <w:sz w:val="32"/>
          <w:szCs w:val="32"/>
          <w:lang w:val="zh-CN"/>
        </w:rPr>
        <w:t>2．资金到位。</w:t>
      </w:r>
      <w:r>
        <w:rPr>
          <w:rFonts w:eastAsia="仿宋_GB2312"/>
          <w:sz w:val="32"/>
          <w:szCs w:val="32"/>
        </w:rPr>
        <w:t>2021</w:t>
      </w:r>
      <w:r>
        <w:rPr>
          <w:rFonts w:eastAsia="仿宋_GB2312"/>
          <w:sz w:val="32"/>
          <w:szCs w:val="32"/>
          <w:lang w:val="zh-CN"/>
        </w:rPr>
        <w:t>年司法救助(单列)项目</w:t>
      </w:r>
      <w:r>
        <w:rPr>
          <w:rFonts w:eastAsia="仿宋_GB2312"/>
          <w:sz w:val="32"/>
          <w:szCs w:val="32"/>
        </w:rPr>
        <w:t>资金到位</w:t>
      </w:r>
      <w:r>
        <w:rPr>
          <w:sz w:val="32"/>
          <w:szCs w:val="32"/>
        </w:rPr>
        <w:t>10</w:t>
      </w:r>
      <w:r>
        <w:rPr>
          <w:rFonts w:eastAsia="仿宋_GB2312"/>
          <w:sz w:val="32"/>
          <w:szCs w:val="32"/>
        </w:rPr>
        <w:t>万元，</w:t>
      </w:r>
      <w:r>
        <w:rPr>
          <w:rFonts w:eastAsia="仿宋_GB2312"/>
          <w:sz w:val="32"/>
          <w:szCs w:val="32"/>
          <w:lang w:val="zh-CN"/>
        </w:rPr>
        <w:t>与项目资金计划数</w:t>
      </w:r>
      <w:r>
        <w:rPr>
          <w:sz w:val="32"/>
          <w:szCs w:val="32"/>
        </w:rPr>
        <w:t>10</w:t>
      </w:r>
      <w:r>
        <w:rPr>
          <w:rFonts w:eastAsia="仿宋_GB2312"/>
          <w:sz w:val="32"/>
          <w:szCs w:val="32"/>
          <w:lang w:val="zh-CN"/>
        </w:rPr>
        <w:t>万元相符，资金及时到位，资金到位率100%，到位及时率100%。</w:t>
      </w:r>
    </w:p>
    <w:p>
      <w:pPr>
        <w:adjustRightInd w:val="0"/>
        <w:snapToGrid w:val="0"/>
        <w:spacing w:line="574" w:lineRule="exact"/>
        <w:ind w:firstLine="643" w:firstLineChars="200"/>
        <w:rPr>
          <w:rFonts w:eastAsia="仿宋_GB2312"/>
          <w:sz w:val="32"/>
          <w:szCs w:val="32"/>
          <w:lang w:val="zh-CN"/>
        </w:rPr>
      </w:pPr>
      <w:r>
        <w:rPr>
          <w:rFonts w:eastAsia="仿宋_GB2312"/>
          <w:b/>
          <w:bCs/>
          <w:sz w:val="32"/>
          <w:szCs w:val="32"/>
          <w:lang w:val="zh-CN"/>
        </w:rPr>
        <w:t>3．资金使用。</w:t>
      </w:r>
      <w:r>
        <w:rPr>
          <w:rFonts w:hint="eastAsia" w:eastAsia="仿宋_GB2312"/>
          <w:b/>
          <w:bCs/>
          <w:sz w:val="32"/>
          <w:szCs w:val="32"/>
          <w:lang w:val="zh-CN"/>
        </w:rPr>
        <w:t>截止</w:t>
      </w:r>
      <w:r>
        <w:rPr>
          <w:rFonts w:eastAsia="仿宋_GB2312"/>
          <w:sz w:val="32"/>
          <w:szCs w:val="32"/>
          <w:lang w:val="zh-CN"/>
        </w:rPr>
        <w:t>202</w:t>
      </w:r>
      <w:r>
        <w:rPr>
          <w:rFonts w:eastAsia="仿宋_GB2312"/>
          <w:sz w:val="32"/>
          <w:szCs w:val="32"/>
        </w:rPr>
        <w:t>1</w:t>
      </w:r>
      <w:r>
        <w:rPr>
          <w:rFonts w:eastAsia="仿宋_GB2312"/>
          <w:sz w:val="32"/>
          <w:szCs w:val="32"/>
          <w:lang w:val="zh-CN"/>
        </w:rPr>
        <w:t>年12月31日项目资金支付</w:t>
      </w:r>
      <w:r>
        <w:rPr>
          <w:rFonts w:eastAsia="仿宋_GB2312"/>
          <w:sz w:val="32"/>
          <w:szCs w:val="32"/>
        </w:rPr>
        <w:t>10万元，项目预算执行率为100%。</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600" w:lineRule="exact"/>
        <w:ind w:firstLine="720"/>
        <w:rPr>
          <w:rFonts w:ascii="方正楷体简体" w:eastAsia="方正楷体简体"/>
          <w:sz w:val="32"/>
          <w:szCs w:val="32"/>
          <w:lang w:val="zh-CN"/>
        </w:rPr>
      </w:pPr>
      <w:r>
        <w:rPr>
          <w:rFonts w:ascii="方正楷体简体" w:eastAsia="方正楷体简体"/>
          <w:sz w:val="32"/>
          <w:szCs w:val="32"/>
          <w:lang w:val="zh-CN"/>
        </w:rPr>
        <w:t>（三）项目财务管理情况。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三、项目实施及管理情况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pPr>
        <w:adjustRightInd w:val="0"/>
        <w:snapToGrid w:val="0"/>
        <w:spacing w:line="520" w:lineRule="exact"/>
        <w:ind w:firstLine="720"/>
        <w:rPr>
          <w:rFonts w:ascii="方正楷体简体" w:eastAsia="方正楷体简体"/>
          <w:sz w:val="32"/>
          <w:szCs w:val="32"/>
          <w:lang w:val="zh-CN"/>
        </w:rPr>
      </w:pPr>
      <w:r>
        <w:rPr>
          <w:rFonts w:hint="eastAsia" w:ascii="方正楷体简体" w:eastAsia="方正楷体简体"/>
          <w:sz w:val="32"/>
          <w:szCs w:val="32"/>
          <w:lang w:val="zh-CN"/>
        </w:rPr>
        <w:t>（一）</w:t>
      </w:r>
      <w:r>
        <w:rPr>
          <w:rFonts w:ascii="方正楷体简体" w:eastAsia="方正楷体简体"/>
          <w:sz w:val="32"/>
          <w:szCs w:val="32"/>
          <w:lang w:val="zh-CN"/>
        </w:rPr>
        <w:t>项目组织架构及实施流程。</w:t>
      </w:r>
    </w:p>
    <w:p>
      <w:pPr>
        <w:adjustRightInd w:val="0"/>
        <w:snapToGrid w:val="0"/>
        <w:spacing w:line="520" w:lineRule="exact"/>
        <w:ind w:firstLine="640" w:firstLineChars="200"/>
        <w:rPr>
          <w:rFonts w:eastAsia="仿宋_GB2312"/>
          <w:sz w:val="32"/>
          <w:szCs w:val="32"/>
        </w:rPr>
      </w:pPr>
      <w:r>
        <w:rPr>
          <w:rFonts w:eastAsia="仿宋_GB2312"/>
          <w:sz w:val="32"/>
          <w:szCs w:val="32"/>
          <w:lang w:val="zh-CN"/>
        </w:rPr>
        <w:t>该项目由当事人提交司法救助需求，行政庭根据司法救助规定和条件对当事人提交材料进行初审，并移交院司法救助领导小组分析研讨并审签，后提请行装进行项目资金支付，行装处严格审核项目报销凭证，加快专项资金支付，及时进行会计核算。</w:t>
      </w:r>
    </w:p>
    <w:p>
      <w:pPr>
        <w:adjustRightInd w:val="0"/>
        <w:snapToGrid w:val="0"/>
        <w:spacing w:line="520" w:lineRule="exact"/>
        <w:ind w:firstLine="707" w:firstLineChars="221"/>
        <w:rPr>
          <w:rFonts w:ascii="方正楷体简体" w:eastAsia="方正楷体简体"/>
          <w:sz w:val="32"/>
          <w:szCs w:val="32"/>
          <w:lang w:val="zh-CN"/>
        </w:rPr>
      </w:pPr>
      <w:r>
        <w:rPr>
          <w:rFonts w:hint="eastAsia" w:ascii="方正楷体简体" w:eastAsia="方正楷体简体"/>
          <w:sz w:val="32"/>
          <w:szCs w:val="32"/>
          <w:lang w:val="zh-CN"/>
        </w:rPr>
        <w:t>（二）项目管理情况。</w:t>
      </w:r>
    </w:p>
    <w:p>
      <w:pPr>
        <w:adjustRightInd w:val="0"/>
        <w:snapToGrid w:val="0"/>
        <w:spacing w:line="520" w:lineRule="exact"/>
        <w:ind w:firstLine="640" w:firstLineChars="200"/>
        <w:rPr>
          <w:lang w:val="zh-CN"/>
        </w:rPr>
      </w:pP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20" w:lineRule="exact"/>
        <w:ind w:left="640"/>
        <w:rPr>
          <w:rFonts w:ascii="方正楷体简体" w:eastAsia="方正楷体简体"/>
          <w:sz w:val="32"/>
          <w:szCs w:val="32"/>
          <w:lang w:val="zh-CN"/>
        </w:rPr>
      </w:pPr>
      <w:r>
        <w:rPr>
          <w:rFonts w:hint="eastAsia" w:ascii="方正楷体简体" w:eastAsia="方正楷体简体"/>
          <w:sz w:val="32"/>
          <w:szCs w:val="32"/>
          <w:lang w:val="zh-CN"/>
        </w:rPr>
        <w:t>（三）</w:t>
      </w:r>
      <w:r>
        <w:rPr>
          <w:rFonts w:ascii="方正楷体简体" w:eastAsia="方正楷体简体"/>
          <w:sz w:val="32"/>
          <w:szCs w:val="32"/>
          <w:lang w:val="zh-CN"/>
        </w:rPr>
        <w:t>项目监管情况。</w:t>
      </w:r>
    </w:p>
    <w:p>
      <w:pPr>
        <w:adjustRightInd w:val="0"/>
        <w:snapToGrid w:val="0"/>
        <w:spacing w:line="520" w:lineRule="exact"/>
        <w:ind w:firstLine="640" w:firstLineChars="200"/>
        <w:rPr>
          <w:rFonts w:eastAsia="仿宋_GB2312"/>
          <w:sz w:val="32"/>
          <w:szCs w:val="32"/>
        </w:rPr>
      </w:pPr>
      <w:r>
        <w:rPr>
          <w:rFonts w:eastAsia="仿宋_GB2312"/>
          <w:sz w:val="32"/>
          <w:szCs w:val="32"/>
        </w:rPr>
        <w:t>司法救助(单列)项目严格按照年初预算安排的资金执行，根据财政专项资金管理办法进行项目资金管理，并主动接受院内督察室和市财政局等部门的监督，做到了专款专用，没有超预算和范围</w:t>
      </w:r>
      <w:r>
        <w:rPr>
          <w:sz w:val="32"/>
          <w:szCs w:val="32"/>
        </w:rPr>
        <w:t>，</w:t>
      </w:r>
      <w:r>
        <w:rPr>
          <w:rFonts w:eastAsia="仿宋_GB2312"/>
          <w:sz w:val="32"/>
          <w:szCs w:val="32"/>
        </w:rPr>
        <w:t>没有滞留、截流、挤占、挪用项目资金的现象。</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四、项目绩效情况</w:t>
      </w:r>
      <w:r>
        <w:rPr>
          <w:rFonts w:ascii="方正黑体简体" w:eastAsia="方正黑体简体"/>
          <w:sz w:val="32"/>
          <w:szCs w:val="32"/>
        </w:rPr>
        <w:tab/>
      </w:r>
    </w:p>
    <w:p>
      <w:pPr>
        <w:adjustRightInd w:val="0"/>
        <w:snapToGrid w:val="0"/>
        <w:spacing w:line="520" w:lineRule="exact"/>
        <w:ind w:firstLine="640" w:firstLineChars="200"/>
        <w:rPr>
          <w:rFonts w:ascii="方正楷体简体" w:eastAsia="方正楷体简体"/>
          <w:sz w:val="32"/>
          <w:szCs w:val="32"/>
          <w:lang w:val="zh-CN"/>
        </w:rPr>
      </w:pPr>
      <w:r>
        <w:rPr>
          <w:rFonts w:hint="eastAsia" w:ascii="方正楷体简体" w:eastAsia="方正楷体简体"/>
          <w:sz w:val="32"/>
          <w:szCs w:val="32"/>
          <w:lang w:val="zh-CN"/>
        </w:rPr>
        <w:t>（一）项目完成情况。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本项目预算资金下达</w:t>
      </w:r>
      <w:r>
        <w:rPr>
          <w:rFonts w:eastAsia="仿宋_GB2312"/>
          <w:sz w:val="32"/>
          <w:szCs w:val="32"/>
        </w:rPr>
        <w:t>10</w:t>
      </w:r>
      <w:r>
        <w:rPr>
          <w:rFonts w:eastAsia="仿宋_GB2312"/>
          <w:sz w:val="32"/>
          <w:szCs w:val="32"/>
          <w:lang w:val="zh-CN"/>
        </w:rPr>
        <w:t>万元。</w:t>
      </w:r>
      <w:r>
        <w:rPr>
          <w:rFonts w:hint="eastAsia" w:eastAsia="仿宋_GB2312"/>
          <w:sz w:val="32"/>
          <w:szCs w:val="32"/>
          <w:lang w:val="zh-CN"/>
        </w:rPr>
        <w:t>截止</w:t>
      </w:r>
      <w:r>
        <w:rPr>
          <w:rFonts w:eastAsia="仿宋_GB2312"/>
          <w:sz w:val="32"/>
          <w:szCs w:val="32"/>
          <w:lang w:val="zh-CN"/>
        </w:rPr>
        <w:t>202</w:t>
      </w:r>
      <w:r>
        <w:rPr>
          <w:rFonts w:eastAsia="仿宋_GB2312"/>
          <w:sz w:val="32"/>
          <w:szCs w:val="32"/>
        </w:rPr>
        <w:t>1</w:t>
      </w:r>
      <w:r>
        <w:rPr>
          <w:rFonts w:eastAsia="仿宋_GB2312"/>
          <w:sz w:val="32"/>
          <w:szCs w:val="32"/>
          <w:lang w:val="zh-CN"/>
        </w:rPr>
        <w:t>年12月31日项目资金支付</w:t>
      </w:r>
      <w:r>
        <w:rPr>
          <w:rFonts w:eastAsia="仿宋_GB2312"/>
          <w:sz w:val="32"/>
          <w:szCs w:val="32"/>
        </w:rPr>
        <w:t>10万元。</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（二）项目效益情况。</w:t>
      </w:r>
    </w:p>
    <w:p>
      <w:pPr>
        <w:adjustRightInd w:val="0"/>
        <w:snapToGrid w:val="0"/>
        <w:spacing w:line="520" w:lineRule="exact"/>
        <w:ind w:firstLine="640" w:firstLineChars="200"/>
        <w:rPr>
          <w:rFonts w:eastAsia="仿宋_GB2312"/>
          <w:sz w:val="32"/>
          <w:szCs w:val="32"/>
        </w:rPr>
      </w:pPr>
      <w:r>
        <w:rPr>
          <w:rFonts w:eastAsia="仿宋_GB2312"/>
          <w:sz w:val="32"/>
          <w:szCs w:val="32"/>
        </w:rPr>
        <w:t>司法救助(单列)切实有效解决了司法过程中对困难群众的救助工作，维护了当事人合法权益，促进了社会和谐稳定。</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五、评价结论及建议</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（一）评价结论。</w:t>
      </w:r>
    </w:p>
    <w:p>
      <w:pPr>
        <w:spacing w:line="520" w:lineRule="exact"/>
        <w:ind w:firstLine="640" w:firstLineChars="200"/>
        <w:rPr>
          <w:rFonts w:eastAsia="仿宋_GB2312"/>
          <w:bCs/>
          <w:sz w:val="32"/>
          <w:szCs w:val="32"/>
        </w:rPr>
      </w:pPr>
      <w:r>
        <w:rPr>
          <w:rFonts w:eastAsia="仿宋_GB2312"/>
          <w:bCs/>
          <w:sz w:val="32"/>
          <w:szCs w:val="32"/>
        </w:rPr>
        <w:t>该项目自评得</w:t>
      </w:r>
      <w:r>
        <w:rPr>
          <w:rFonts w:eastAsia="仿宋_GB2312"/>
          <w:sz w:val="32"/>
          <w:szCs w:val="32"/>
        </w:rPr>
        <w:t>分为</w:t>
      </w:r>
      <w:r>
        <w:rPr>
          <w:sz w:val="32"/>
          <w:szCs w:val="32"/>
        </w:rPr>
        <w:t>100。</w:t>
      </w:r>
      <w:r>
        <w:rPr>
          <w:rFonts w:eastAsia="仿宋_GB2312"/>
          <w:bCs/>
          <w:sz w:val="32"/>
          <w:szCs w:val="32"/>
        </w:rPr>
        <w:t>司法救助工作为司法工作中确有困难群众提供一定救助，保障了当事人合法权益，体现了司法制度对弱势群体的关爱，营造健康向上的社会秩序。</w:t>
      </w:r>
    </w:p>
    <w:p>
      <w:pPr>
        <w:adjustRightInd w:val="0"/>
        <w:snapToGrid w:val="0"/>
        <w:spacing w:line="520" w:lineRule="exact"/>
        <w:ind w:firstLine="640" w:firstLineChars="200"/>
        <w:rPr>
          <w:rFonts w:ascii="方正楷体简体" w:eastAsia="方正楷体简体"/>
          <w:sz w:val="32"/>
          <w:szCs w:val="32"/>
          <w:lang w:val="zh-CN"/>
        </w:rPr>
      </w:pPr>
      <w:r>
        <w:rPr>
          <w:rFonts w:ascii="方正楷体简体" w:eastAsia="方正楷体简体"/>
          <w:sz w:val="32"/>
          <w:szCs w:val="32"/>
          <w:lang w:val="zh-CN"/>
        </w:rPr>
        <w:t>（二）存在的问题。</w:t>
      </w:r>
    </w:p>
    <w:p>
      <w:pPr>
        <w:spacing w:line="520" w:lineRule="exact"/>
        <w:ind w:firstLine="640" w:firstLineChars="200"/>
        <w:rPr>
          <w:rFonts w:eastAsia="仿宋_GB2312"/>
          <w:bCs/>
          <w:sz w:val="32"/>
          <w:szCs w:val="32"/>
        </w:rPr>
      </w:pPr>
      <w:r>
        <w:rPr>
          <w:rFonts w:eastAsia="仿宋_GB2312"/>
          <w:bCs/>
          <w:sz w:val="32"/>
          <w:szCs w:val="32"/>
        </w:rPr>
        <w:t>项目预算编制时无法估量该项目不可控因素和实际发生金额的准确性，导致项目预算资金可能大于或无法满足当年司法救助需求。</w:t>
      </w:r>
    </w:p>
    <w:p>
      <w:pPr>
        <w:adjustRightInd w:val="0"/>
        <w:snapToGrid w:val="0"/>
        <w:spacing w:line="520" w:lineRule="exact"/>
        <w:ind w:firstLine="640" w:firstLineChars="200"/>
        <w:rPr>
          <w:rFonts w:ascii="方正楷体简体" w:eastAsia="方正楷体简体"/>
          <w:sz w:val="32"/>
          <w:szCs w:val="32"/>
          <w:lang w:val="zh-CN"/>
        </w:rPr>
      </w:pPr>
      <w:r>
        <w:rPr>
          <w:rFonts w:ascii="方正楷体简体" w:eastAsia="方正楷体简体"/>
          <w:sz w:val="32"/>
          <w:szCs w:val="32"/>
          <w:lang w:val="zh-CN"/>
        </w:rPr>
        <w:t>（三）相关建议。</w:t>
      </w:r>
    </w:p>
    <w:p>
      <w:pPr>
        <w:spacing w:line="520" w:lineRule="exact"/>
        <w:ind w:firstLine="640" w:firstLineChars="200"/>
        <w:rPr>
          <w:rFonts w:eastAsia="仿宋_GB2312"/>
          <w:bCs/>
          <w:sz w:val="32"/>
          <w:szCs w:val="32"/>
          <w:lang w:val="zh-CN"/>
        </w:rPr>
      </w:pPr>
      <w:r>
        <w:rPr>
          <w:rFonts w:eastAsia="仿宋_GB2312"/>
          <w:bCs/>
          <w:sz w:val="32"/>
          <w:szCs w:val="32"/>
          <w:lang w:val="zh-CN"/>
        </w:rPr>
        <w:t>加强预算编制和绩效管理，根据近年该项目实施情况，进一步提升预算编制的科学性、合理性和准确性，细化项目执行方案，</w:t>
      </w:r>
      <w:r>
        <w:rPr>
          <w:rFonts w:eastAsia="仿宋_GB2312"/>
          <w:bCs/>
          <w:sz w:val="32"/>
          <w:szCs w:val="32"/>
        </w:rPr>
        <w:t>统筹推进项目执行进度和本年项目资金支付，</w:t>
      </w:r>
      <w:r>
        <w:rPr>
          <w:rFonts w:eastAsia="仿宋_GB2312"/>
          <w:bCs/>
          <w:sz w:val="32"/>
          <w:szCs w:val="32"/>
          <w:lang w:val="zh-CN"/>
        </w:rPr>
        <w:t>提高资金使用效益。</w:t>
      </w:r>
    </w:p>
    <w:tbl>
      <w:tblPr>
        <w:tblStyle w:val="14"/>
        <w:tblpPr w:leftFromText="180" w:rightFromText="180" w:vertAnchor="text" w:horzAnchor="margin" w:tblpXSpec="center" w:tblpY="504"/>
        <w:tblOverlap w:val="never"/>
        <w:tblW w:w="9239" w:type="dxa"/>
        <w:tblInd w:w="0" w:type="dxa"/>
        <w:tblLayout w:type="fixed"/>
        <w:tblCellMar>
          <w:top w:w="0" w:type="dxa"/>
          <w:left w:w="108" w:type="dxa"/>
          <w:bottom w:w="0" w:type="dxa"/>
          <w:right w:w="108" w:type="dxa"/>
        </w:tblCellMar>
      </w:tblPr>
      <w:tblGrid>
        <w:gridCol w:w="1580"/>
        <w:gridCol w:w="1351"/>
        <w:gridCol w:w="1409"/>
        <w:gridCol w:w="1111"/>
        <w:gridCol w:w="1709"/>
        <w:gridCol w:w="1843"/>
        <w:gridCol w:w="236"/>
      </w:tblGrid>
      <w:tr>
        <w:tblPrEx>
          <w:tblCellMar>
            <w:top w:w="0" w:type="dxa"/>
            <w:left w:w="108" w:type="dxa"/>
            <w:bottom w:w="0" w:type="dxa"/>
            <w:right w:w="108" w:type="dxa"/>
          </w:tblCellMar>
        </w:tblPrEx>
        <w:trPr>
          <w:trHeight w:val="677" w:hRule="atLeast"/>
        </w:trPr>
        <w:tc>
          <w:tcPr>
            <w:tcW w:w="9003" w:type="dxa"/>
            <w:gridSpan w:val="6"/>
            <w:tcBorders>
              <w:top w:val="nil"/>
              <w:left w:val="nil"/>
              <w:bottom w:val="nil"/>
              <w:right w:val="nil"/>
            </w:tcBorders>
            <w:shd w:val="clear" w:color="auto" w:fill="auto"/>
            <w:vAlign w:val="center"/>
          </w:tcPr>
          <w:p>
            <w:pPr>
              <w:widowControl/>
              <w:jc w:val="center"/>
              <w:textAlignment w:val="center"/>
              <w:rPr>
                <w:b/>
                <w:sz w:val="32"/>
                <w:szCs w:val="32"/>
              </w:rPr>
            </w:pPr>
            <w:r>
              <w:rPr>
                <w:rFonts w:eastAsia="黑体"/>
                <w:sz w:val="32"/>
                <w:szCs w:val="32"/>
              </w:rPr>
              <w:t>2021年司法救助(单列)项目绩效目标自评</w:t>
            </w:r>
          </w:p>
        </w:tc>
        <w:tc>
          <w:tcPr>
            <w:tcW w:w="236" w:type="dxa"/>
            <w:tcBorders>
              <w:top w:val="nil"/>
              <w:left w:val="nil"/>
              <w:bottom w:val="nil"/>
              <w:right w:val="nil"/>
            </w:tcBorders>
            <w:shd w:val="clear" w:color="auto" w:fill="auto"/>
            <w:vAlign w:val="center"/>
          </w:tcPr>
          <w:p>
            <w:pPr>
              <w:widowControl/>
              <w:jc w:val="center"/>
              <w:textAlignment w:val="center"/>
              <w:rPr>
                <w:b/>
                <w:kern w:val="0"/>
                <w:sz w:val="32"/>
                <w:szCs w:val="32"/>
                <w:lang w:bidi="ar"/>
              </w:rPr>
            </w:pPr>
          </w:p>
        </w:tc>
      </w:tr>
      <w:tr>
        <w:tblPrEx>
          <w:tblCellMar>
            <w:top w:w="0" w:type="dxa"/>
            <w:left w:w="108" w:type="dxa"/>
            <w:bottom w:w="0" w:type="dxa"/>
            <w:right w:w="108" w:type="dxa"/>
          </w:tblCellMar>
        </w:tblPrEx>
        <w:trPr>
          <w:gridAfter w:val="1"/>
          <w:wAfter w:w="236" w:type="dxa"/>
          <w:trHeight w:val="255" w:hRule="atLeast"/>
        </w:trPr>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主管部门及代码</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四川省广元市中级人民法院  207001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实施单位</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四川省广元市中级人民法院</w:t>
            </w:r>
          </w:p>
        </w:tc>
      </w:tr>
      <w:tr>
        <w:tblPrEx>
          <w:tblCellMar>
            <w:top w:w="0" w:type="dxa"/>
            <w:left w:w="108" w:type="dxa"/>
            <w:bottom w:w="0" w:type="dxa"/>
            <w:right w:w="108" w:type="dxa"/>
          </w:tblCellMar>
        </w:tblPrEx>
        <w:trPr>
          <w:gridAfter w:val="1"/>
          <w:wAfter w:w="236" w:type="dxa"/>
          <w:trHeight w:val="342" w:hRule="atLeast"/>
        </w:trPr>
        <w:tc>
          <w:tcPr>
            <w:tcW w:w="2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项目预算</w:t>
            </w:r>
            <w:r>
              <w:rPr>
                <w:kern w:val="0"/>
                <w:sz w:val="24"/>
                <w:lang w:bidi="ar"/>
              </w:rPr>
              <w:br w:type="textWrapping"/>
            </w:r>
            <w:r>
              <w:rPr>
                <w:kern w:val="0"/>
                <w:sz w:val="24"/>
                <w:lang w:bidi="ar"/>
              </w:rPr>
              <w:t>执行情况</w:t>
            </w:r>
            <w:r>
              <w:rPr>
                <w:kern w:val="0"/>
                <w:sz w:val="24"/>
                <w:lang w:bidi="ar"/>
              </w:rPr>
              <w:br w:type="textWrapping"/>
            </w:r>
            <w:r>
              <w:rPr>
                <w:kern w:val="0"/>
                <w:sz w:val="24"/>
                <w:lang w:bidi="ar"/>
              </w:rPr>
              <w:t>（万元）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预算数：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10万元</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执行数：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10万元</w:t>
            </w:r>
          </w:p>
        </w:tc>
      </w:tr>
      <w:tr>
        <w:tblPrEx>
          <w:tblCellMar>
            <w:top w:w="0" w:type="dxa"/>
            <w:left w:w="108" w:type="dxa"/>
            <w:bottom w:w="0" w:type="dxa"/>
            <w:right w:w="108" w:type="dxa"/>
          </w:tblCellMar>
        </w:tblPrEx>
        <w:trPr>
          <w:gridAfter w:val="1"/>
          <w:wAfter w:w="236" w:type="dxa"/>
          <w:trHeight w:val="556" w:hRule="atLeast"/>
        </w:trPr>
        <w:tc>
          <w:tcPr>
            <w:tcW w:w="2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其中：</w:t>
            </w:r>
          </w:p>
          <w:p>
            <w:pPr>
              <w:widowControl/>
              <w:spacing w:line="320" w:lineRule="exact"/>
              <w:jc w:val="center"/>
              <w:textAlignment w:val="center"/>
              <w:rPr>
                <w:sz w:val="24"/>
              </w:rPr>
            </w:pPr>
            <w:r>
              <w:rPr>
                <w:kern w:val="0"/>
                <w:sz w:val="24"/>
                <w:lang w:bidi="ar"/>
              </w:rPr>
              <w:t>财政拨款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10万元</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其中：</w:t>
            </w:r>
          </w:p>
          <w:p>
            <w:pPr>
              <w:widowControl/>
              <w:spacing w:line="320" w:lineRule="exact"/>
              <w:jc w:val="center"/>
              <w:textAlignment w:val="center"/>
              <w:rPr>
                <w:sz w:val="24"/>
              </w:rPr>
            </w:pPr>
            <w:r>
              <w:rPr>
                <w:kern w:val="0"/>
                <w:sz w:val="24"/>
                <w:lang w:bidi="ar"/>
              </w:rPr>
              <w:t>财政拨款</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10万元</w:t>
            </w:r>
          </w:p>
        </w:tc>
      </w:tr>
      <w:tr>
        <w:tblPrEx>
          <w:tblCellMar>
            <w:top w:w="0" w:type="dxa"/>
            <w:left w:w="108" w:type="dxa"/>
            <w:bottom w:w="0" w:type="dxa"/>
            <w:right w:w="108" w:type="dxa"/>
          </w:tblCellMar>
        </w:tblPrEx>
        <w:trPr>
          <w:gridAfter w:val="1"/>
          <w:wAfter w:w="236" w:type="dxa"/>
          <w:trHeight w:val="342" w:hRule="atLeast"/>
        </w:trPr>
        <w:tc>
          <w:tcPr>
            <w:tcW w:w="2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其他资金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其他资金</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p>
        </w:tc>
      </w:tr>
      <w:tr>
        <w:tblPrEx>
          <w:tblCellMar>
            <w:top w:w="0" w:type="dxa"/>
            <w:left w:w="108" w:type="dxa"/>
            <w:bottom w:w="0" w:type="dxa"/>
            <w:right w:w="108" w:type="dxa"/>
          </w:tblCellMar>
        </w:tblPrEx>
        <w:trPr>
          <w:gridAfter w:val="1"/>
          <w:wAfter w:w="236" w:type="dxa"/>
          <w:trHeight w:val="217"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年度总体目标</w:t>
            </w:r>
          </w:p>
          <w:p>
            <w:pPr>
              <w:widowControl/>
              <w:spacing w:line="320" w:lineRule="exact"/>
              <w:jc w:val="center"/>
              <w:textAlignment w:val="center"/>
              <w:rPr>
                <w:sz w:val="24"/>
              </w:rPr>
            </w:pPr>
            <w:r>
              <w:rPr>
                <w:kern w:val="0"/>
                <w:sz w:val="24"/>
                <w:lang w:bidi="ar"/>
              </w:rPr>
              <w:t>完成情况</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预期目标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lang w:bidi="ar"/>
              </w:rPr>
              <w:t>目标实际完成情况</w:t>
            </w:r>
          </w:p>
        </w:tc>
      </w:tr>
      <w:tr>
        <w:tblPrEx>
          <w:tblCellMar>
            <w:top w:w="0" w:type="dxa"/>
            <w:left w:w="108" w:type="dxa"/>
            <w:bottom w:w="0" w:type="dxa"/>
            <w:right w:w="108" w:type="dxa"/>
          </w:tblCellMar>
        </w:tblPrEx>
        <w:trPr>
          <w:gridAfter w:val="1"/>
          <w:wAfter w:w="236" w:type="dxa"/>
          <w:trHeight w:val="799"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sz w:val="24"/>
              </w:rPr>
            </w:pPr>
            <w:r>
              <w:rPr>
                <w:sz w:val="24"/>
              </w:rPr>
              <w:t>通过对当事人缓交，减交或免交诉讼费的救济措施，减轻或者免除经济上确有困难的当事人的负担。</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sz w:val="24"/>
              </w:rPr>
            </w:pPr>
            <w:r>
              <w:rPr>
                <w:sz w:val="24"/>
              </w:rPr>
              <w:t>该项目的实施，有效解决了司法过程中对困难群众的救助工作，维护了当事人合法权益，促进了社会和谐稳定。</w:t>
            </w:r>
          </w:p>
        </w:tc>
      </w:tr>
      <w:tr>
        <w:tblPrEx>
          <w:tblCellMar>
            <w:top w:w="0" w:type="dxa"/>
            <w:left w:w="108" w:type="dxa"/>
            <w:bottom w:w="0" w:type="dxa"/>
            <w:right w:w="108" w:type="dxa"/>
          </w:tblCellMar>
        </w:tblPrEx>
        <w:trPr>
          <w:gridAfter w:val="1"/>
          <w:wAfter w:w="236" w:type="dxa"/>
          <w:trHeight w:val="695" w:hRule="atLeast"/>
        </w:trPr>
        <w:tc>
          <w:tcPr>
            <w:tcW w:w="158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年度绩效指标完成情况</w:t>
            </w:r>
          </w:p>
        </w:tc>
        <w:tc>
          <w:tcPr>
            <w:tcW w:w="135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一级</w:t>
            </w:r>
          </w:p>
          <w:p>
            <w:pPr>
              <w:widowControl/>
              <w:spacing w:line="320" w:lineRule="exact"/>
              <w:jc w:val="center"/>
              <w:textAlignment w:val="center"/>
              <w:rPr>
                <w:kern w:val="0"/>
                <w:sz w:val="24"/>
                <w:lang w:bidi="ar"/>
              </w:rPr>
            </w:pPr>
            <w:r>
              <w:rPr>
                <w:kern w:val="0"/>
                <w:sz w:val="24"/>
                <w:lang w:bidi="ar"/>
              </w:rPr>
              <w:t>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二级</w:t>
            </w:r>
          </w:p>
          <w:p>
            <w:pPr>
              <w:widowControl/>
              <w:spacing w:line="320" w:lineRule="exact"/>
              <w:jc w:val="center"/>
              <w:textAlignment w:val="center"/>
              <w:rPr>
                <w:kern w:val="0"/>
                <w:sz w:val="24"/>
                <w:lang w:bidi="ar"/>
              </w:rPr>
            </w:pPr>
            <w:r>
              <w:rPr>
                <w:kern w:val="0"/>
                <w:sz w:val="24"/>
                <w:lang w:bidi="ar"/>
              </w:rPr>
              <w:t>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三级</w:t>
            </w:r>
          </w:p>
          <w:p>
            <w:pPr>
              <w:widowControl/>
              <w:spacing w:line="320" w:lineRule="exact"/>
              <w:jc w:val="center"/>
              <w:textAlignment w:val="center"/>
              <w:rPr>
                <w:kern w:val="0"/>
                <w:sz w:val="24"/>
                <w:lang w:bidi="ar"/>
              </w:rPr>
            </w:pPr>
            <w:r>
              <w:rPr>
                <w:kern w:val="0"/>
                <w:sz w:val="24"/>
                <w:lang w:bidi="ar"/>
              </w:rPr>
              <w:t>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预期指标值</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实际完成指标值</w:t>
            </w:r>
          </w:p>
        </w:tc>
      </w:tr>
      <w:tr>
        <w:tblPrEx>
          <w:tblCellMar>
            <w:top w:w="0" w:type="dxa"/>
            <w:left w:w="108" w:type="dxa"/>
            <w:bottom w:w="0" w:type="dxa"/>
            <w:right w:w="108" w:type="dxa"/>
          </w:tblCellMar>
        </w:tblPrEx>
        <w:trPr>
          <w:gridAfter w:val="1"/>
          <w:wAfter w:w="236" w:type="dxa"/>
          <w:trHeight w:val="416" w:hRule="atLeast"/>
        </w:trPr>
        <w:tc>
          <w:tcPr>
            <w:tcW w:w="158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完成</w:t>
            </w:r>
          </w:p>
          <w:p>
            <w:pPr>
              <w:widowControl/>
              <w:spacing w:line="320" w:lineRule="exact"/>
              <w:jc w:val="center"/>
              <w:textAlignment w:val="center"/>
              <w:rPr>
                <w:kern w:val="0"/>
                <w:sz w:val="24"/>
                <w:lang w:bidi="ar"/>
              </w:rPr>
            </w:pPr>
            <w:r>
              <w:rPr>
                <w:kern w:val="0"/>
                <w:sz w:val="24"/>
                <w:lang w:bidi="ar"/>
              </w:rPr>
              <w:t>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数量指标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司法救助人数</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4人</w:t>
            </w:r>
          </w:p>
        </w:tc>
      </w:tr>
      <w:tr>
        <w:tblPrEx>
          <w:tblCellMar>
            <w:top w:w="0" w:type="dxa"/>
            <w:left w:w="108" w:type="dxa"/>
            <w:bottom w:w="0" w:type="dxa"/>
            <w:right w:w="108" w:type="dxa"/>
          </w:tblCellMar>
        </w:tblPrEx>
        <w:trPr>
          <w:gridAfter w:val="1"/>
          <w:wAfter w:w="236" w:type="dxa"/>
          <w:trHeight w:val="416" w:hRule="atLeast"/>
        </w:trPr>
        <w:tc>
          <w:tcPr>
            <w:tcW w:w="158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时效指标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项目完成时间</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2021年12月31日前</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2021年12月31日前</w:t>
            </w:r>
          </w:p>
        </w:tc>
      </w:tr>
      <w:tr>
        <w:tblPrEx>
          <w:tblCellMar>
            <w:top w:w="0" w:type="dxa"/>
            <w:left w:w="108" w:type="dxa"/>
            <w:bottom w:w="0" w:type="dxa"/>
            <w:right w:w="108" w:type="dxa"/>
          </w:tblCellMar>
        </w:tblPrEx>
        <w:trPr>
          <w:gridAfter w:val="1"/>
          <w:wAfter w:w="236" w:type="dxa"/>
          <w:trHeight w:val="481" w:hRule="atLeast"/>
        </w:trPr>
        <w:tc>
          <w:tcPr>
            <w:tcW w:w="158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成本指标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司法救助支出成本</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≤10万元</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10万元</w:t>
            </w:r>
          </w:p>
        </w:tc>
      </w:tr>
      <w:tr>
        <w:tblPrEx>
          <w:tblCellMar>
            <w:top w:w="0" w:type="dxa"/>
            <w:left w:w="108" w:type="dxa"/>
            <w:bottom w:w="0" w:type="dxa"/>
            <w:right w:w="108" w:type="dxa"/>
          </w:tblCellMar>
        </w:tblPrEx>
        <w:trPr>
          <w:gridAfter w:val="1"/>
          <w:wAfter w:w="236" w:type="dxa"/>
          <w:trHeight w:val="1692" w:hRule="atLeast"/>
        </w:trPr>
        <w:tc>
          <w:tcPr>
            <w:tcW w:w="158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效益</w:t>
            </w:r>
            <w:r>
              <w:rPr>
                <w:kern w:val="0"/>
                <w:sz w:val="24"/>
                <w:lang w:bidi="ar"/>
              </w:rPr>
              <w:br w:type="textWrapping"/>
            </w:r>
            <w:r>
              <w:rPr>
                <w:kern w:val="0"/>
                <w:sz w:val="24"/>
                <w:lang w:bidi="ar"/>
              </w:rPr>
              <w:t>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经济效益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司法救助推动法治社会发展</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体现司法制度对弱势群体的关爱，营造健康向上的社会秩序。</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切实有效解决了司法过程中对困难群众的救助工作，维护了当事人合法权益，促进了社会和谐稳定。</w:t>
            </w:r>
          </w:p>
        </w:tc>
      </w:tr>
      <w:tr>
        <w:tblPrEx>
          <w:tblCellMar>
            <w:top w:w="0" w:type="dxa"/>
            <w:left w:w="108" w:type="dxa"/>
            <w:bottom w:w="0" w:type="dxa"/>
            <w:right w:w="108" w:type="dxa"/>
          </w:tblCellMar>
        </w:tblPrEx>
        <w:trPr>
          <w:gridAfter w:val="1"/>
          <w:wAfter w:w="236" w:type="dxa"/>
          <w:trHeight w:val="578" w:hRule="atLeast"/>
        </w:trPr>
        <w:tc>
          <w:tcPr>
            <w:tcW w:w="158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可持续影响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司法救助常态化推动司法为民工作</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司法救助保障当事人合法权益，是改善民生、健全社会保障体系的重要方式。</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kern w:val="0"/>
                <w:sz w:val="24"/>
                <w:lang w:bidi="ar"/>
              </w:rPr>
            </w:pPr>
            <w:r>
              <w:rPr>
                <w:kern w:val="0"/>
                <w:sz w:val="24"/>
                <w:lang w:bidi="ar"/>
              </w:rPr>
              <w:t>充分发挥了司法救助“救急解困”的作用，将司法为民落到实处，让人民群众感受到司法的温度、社会的温暖。</w:t>
            </w:r>
          </w:p>
        </w:tc>
      </w:tr>
      <w:tr>
        <w:tblPrEx>
          <w:tblCellMar>
            <w:top w:w="0" w:type="dxa"/>
            <w:left w:w="108" w:type="dxa"/>
            <w:bottom w:w="0" w:type="dxa"/>
            <w:right w:w="108" w:type="dxa"/>
          </w:tblCellMar>
        </w:tblPrEx>
        <w:trPr>
          <w:gridAfter w:val="1"/>
          <w:wAfter w:w="236" w:type="dxa"/>
          <w:trHeight w:val="516" w:hRule="atLeast"/>
        </w:trPr>
        <w:tc>
          <w:tcPr>
            <w:tcW w:w="158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sz w:val="28"/>
                <w:szCs w:val="28"/>
              </w:rPr>
            </w:pPr>
            <w:r>
              <w:rPr>
                <w:kern w:val="0"/>
                <w:sz w:val="24"/>
                <w:lang w:bidi="ar"/>
              </w:rPr>
              <w:t>满意</w:t>
            </w:r>
            <w:r>
              <w:rPr>
                <w:kern w:val="0"/>
                <w:sz w:val="24"/>
                <w:lang w:bidi="ar"/>
              </w:rPr>
              <w:br w:type="textWrapping"/>
            </w:r>
            <w:r>
              <w:rPr>
                <w:kern w:val="0"/>
                <w:sz w:val="24"/>
                <w:lang w:bidi="ar"/>
              </w:rPr>
              <w:t>度指标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满意度</w:t>
            </w:r>
          </w:p>
          <w:p>
            <w:pPr>
              <w:widowControl/>
              <w:spacing w:line="320" w:lineRule="exact"/>
              <w:jc w:val="center"/>
              <w:textAlignment w:val="center"/>
              <w:rPr>
                <w:kern w:val="0"/>
                <w:sz w:val="24"/>
                <w:lang w:bidi="ar"/>
              </w:rPr>
            </w:pPr>
            <w:r>
              <w:rPr>
                <w:kern w:val="0"/>
                <w:sz w:val="24"/>
                <w:lang w:bidi="ar"/>
              </w:rPr>
              <w:t>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被救助人员满意度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≥95%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lang w:bidi="ar"/>
              </w:rPr>
            </w:pPr>
            <w:r>
              <w:rPr>
                <w:kern w:val="0"/>
                <w:sz w:val="24"/>
                <w:lang w:bidi="ar"/>
              </w:rPr>
              <w:t>≥95%</w:t>
            </w:r>
          </w:p>
        </w:tc>
      </w:tr>
    </w:tbl>
    <w:p>
      <w:pPr>
        <w:pStyle w:val="2"/>
        <w:spacing w:before="93" w:line="560" w:lineRule="exact"/>
        <w:rPr>
          <w:rFonts w:ascii="Times New Roman"/>
          <w:sz w:val="32"/>
          <w:szCs w:val="32"/>
          <w:shd w:val="clear" w:color="auto" w:fill="FFFFFF"/>
        </w:rPr>
      </w:pPr>
      <w:r>
        <w:rPr>
          <w:rFonts w:ascii="Times New Roman"/>
          <w:sz w:val="32"/>
          <w:szCs w:val="32"/>
          <w:shd w:val="clear" w:color="auto" w:fill="FFFFFF"/>
        </w:rPr>
        <w:t>附件4：</w:t>
      </w:r>
    </w:p>
    <w:p>
      <w:pPr>
        <w:pStyle w:val="33"/>
        <w:spacing w:line="66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四川省广元市中级人民法院</w:t>
      </w:r>
    </w:p>
    <w:p>
      <w:pPr>
        <w:pStyle w:val="33"/>
        <w:spacing w:line="66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lang w:val="en-US"/>
        </w:rPr>
        <w:t>2021年</w:t>
      </w:r>
      <w:r>
        <w:rPr>
          <w:rFonts w:ascii="Times New Roman" w:hAnsi="Times New Roman" w:eastAsia="方正小标宋简体"/>
          <w:color w:val="auto"/>
          <w:kern w:val="2"/>
          <w:sz w:val="44"/>
          <w:szCs w:val="44"/>
        </w:rPr>
        <w:t>法警体能训练设备购置项目绩效</w:t>
      </w:r>
    </w:p>
    <w:p>
      <w:pPr>
        <w:pStyle w:val="33"/>
        <w:spacing w:line="66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rPr>
        <w:t>自</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评</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报</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告</w:t>
      </w:r>
    </w:p>
    <w:p>
      <w:pPr>
        <w:adjustRightInd w:val="0"/>
        <w:snapToGrid w:val="0"/>
        <w:spacing w:line="660" w:lineRule="exact"/>
        <w:ind w:firstLine="720"/>
        <w:rPr>
          <w:rFonts w:eastAsia="黑体"/>
        </w:rPr>
      </w:pPr>
    </w:p>
    <w:p>
      <w:pPr>
        <w:adjustRightInd w:val="0"/>
        <w:snapToGrid w:val="0"/>
        <w:spacing w:line="660" w:lineRule="exact"/>
        <w:ind w:firstLine="720"/>
        <w:rPr>
          <w:rFonts w:ascii="方正黑体简体" w:eastAsia="方正黑体简体"/>
          <w:sz w:val="32"/>
          <w:szCs w:val="32"/>
        </w:rPr>
      </w:pPr>
      <w:r>
        <w:rPr>
          <w:rFonts w:ascii="方正黑体简体" w:eastAsia="方正黑体简体"/>
          <w:sz w:val="32"/>
          <w:szCs w:val="32"/>
        </w:rPr>
        <w:t>一、项目概况</w:t>
      </w:r>
    </w:p>
    <w:p>
      <w:pPr>
        <w:adjustRightInd w:val="0"/>
        <w:snapToGrid w:val="0"/>
        <w:spacing w:line="660" w:lineRule="exact"/>
        <w:ind w:firstLine="640" w:firstLineChars="200"/>
        <w:rPr>
          <w:rFonts w:ascii="方正楷体简体" w:eastAsia="方正楷体简体"/>
          <w:sz w:val="32"/>
          <w:szCs w:val="32"/>
          <w:lang w:val="zh-CN"/>
        </w:rPr>
      </w:pPr>
      <w:r>
        <w:rPr>
          <w:rFonts w:ascii="方正楷体简体" w:eastAsia="方正楷体简体"/>
          <w:sz w:val="32"/>
          <w:szCs w:val="32"/>
          <w:lang w:val="zh-CN"/>
        </w:rPr>
        <w:t>（一）项目基本情况。</w:t>
      </w:r>
    </w:p>
    <w:p>
      <w:pPr>
        <w:adjustRightInd w:val="0"/>
        <w:snapToGrid w:val="0"/>
        <w:spacing w:line="660" w:lineRule="exact"/>
        <w:ind w:firstLine="640" w:firstLineChars="200"/>
        <w:rPr>
          <w:lang w:val="zh-CN"/>
        </w:rPr>
      </w:pPr>
      <w:r>
        <w:rPr>
          <w:rFonts w:eastAsia="仿宋_GB2312"/>
          <w:sz w:val="32"/>
          <w:szCs w:val="32"/>
        </w:rPr>
        <w:t>1.</w:t>
      </w:r>
      <w:r>
        <w:rPr>
          <w:rFonts w:eastAsia="仿宋_GB2312"/>
          <w:sz w:val="32"/>
          <w:szCs w:val="32"/>
          <w:lang w:val="zh-CN"/>
        </w:rPr>
        <w:t>说明项目主管部门（单位）在该项目管理中的职能。</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负责法警体能训练设备购置项目年初预算的编制和绩效目标的设置，确保项目预算的科学性、合理性、可行性。</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项目完成后的决算编审、绩效目标考核和项目自评，以及其他与项目相关工作。</w:t>
      </w:r>
    </w:p>
    <w:p>
      <w:pPr>
        <w:adjustRightInd w:val="0"/>
        <w:snapToGrid w:val="0"/>
        <w:spacing w:line="66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项目立项、资金申报的依据。</w:t>
      </w:r>
    </w:p>
    <w:p>
      <w:pPr>
        <w:adjustRightInd w:val="0"/>
        <w:snapToGrid w:val="0"/>
        <w:spacing w:line="660" w:lineRule="exact"/>
        <w:ind w:firstLine="640" w:firstLineChars="200"/>
        <w:rPr>
          <w:rFonts w:eastAsia="仿宋_GB2312"/>
          <w:sz w:val="32"/>
          <w:szCs w:val="32"/>
        </w:rPr>
      </w:pPr>
      <w:r>
        <w:rPr>
          <w:rFonts w:eastAsia="仿宋_GB2312"/>
          <w:sz w:val="32"/>
          <w:szCs w:val="32"/>
        </w:rPr>
        <w:t>随着审判执行业务警务保障的难度提升，我院法警体能训练设备使用长达10年，部分训练设备已报废，为保障司法警察日常实战化训练的常态化有序开展，需更新购置各类专用器材和设备等。</w:t>
      </w:r>
    </w:p>
    <w:p>
      <w:pPr>
        <w:adjustRightInd w:val="0"/>
        <w:snapToGrid w:val="0"/>
        <w:spacing w:line="660"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资金管理办法制定情况，资金支持具体项目的条件、范围与支持方式概况。</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法警体能训练设备购置项目经费预算编制立足法院业务开展的</w:t>
      </w:r>
      <w:r>
        <w:rPr>
          <w:rFonts w:eastAsia="仿宋_GB2312"/>
          <w:sz w:val="32"/>
          <w:szCs w:val="32"/>
        </w:rPr>
        <w:t>本质要求</w:t>
      </w:r>
      <w:r>
        <w:rPr>
          <w:rFonts w:eastAsia="仿宋_GB2312"/>
          <w:sz w:val="32"/>
          <w:szCs w:val="32"/>
          <w:lang w:val="zh-CN"/>
        </w:rPr>
        <w:t>及年度工作实际，绩效目标和项目指标编制科学、合理。</w:t>
      </w:r>
    </w:p>
    <w:p>
      <w:pPr>
        <w:adjustRightInd w:val="0"/>
        <w:snapToGrid w:val="0"/>
        <w:spacing w:line="660" w:lineRule="exact"/>
        <w:ind w:firstLine="640" w:firstLineChars="200"/>
        <w:rPr>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60" w:lineRule="exact"/>
        <w:ind w:firstLine="640" w:firstLineChars="200"/>
        <w:rPr>
          <w:rFonts w:eastAsia="仿宋_GB2312"/>
          <w:sz w:val="32"/>
          <w:szCs w:val="32"/>
          <w:lang w:val="zh-CN"/>
        </w:rPr>
      </w:pPr>
      <w:r>
        <w:rPr>
          <w:rFonts w:eastAsia="仿宋_GB2312"/>
          <w:sz w:val="32"/>
          <w:szCs w:val="32"/>
        </w:rPr>
        <w:t>4.</w:t>
      </w:r>
      <w:r>
        <w:rPr>
          <w:rFonts w:eastAsia="仿宋_GB2312"/>
          <w:sz w:val="32"/>
          <w:szCs w:val="32"/>
          <w:lang w:val="zh-CN"/>
        </w:rPr>
        <w:t>资金分配的原则及考虑因素。</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法警体能训练设备购置项目资金分配严格按照预算安排，主要用于保障</w:t>
      </w:r>
      <w:r>
        <w:rPr>
          <w:rFonts w:eastAsia="仿宋_GB2312"/>
          <w:sz w:val="32"/>
          <w:szCs w:val="32"/>
        </w:rPr>
        <w:t>司法警察日常实战化训练的常态化有序开展，提升司法警察个人身体素能，增强审判、执行业务的警务保障能力。</w:t>
      </w:r>
    </w:p>
    <w:p>
      <w:pPr>
        <w:adjustRightInd w:val="0"/>
        <w:snapToGrid w:val="0"/>
        <w:spacing w:line="660" w:lineRule="exact"/>
        <w:ind w:firstLine="640" w:firstLineChars="200"/>
        <w:rPr>
          <w:rFonts w:ascii="方正楷体简体" w:eastAsia="方正楷体简体"/>
          <w:sz w:val="32"/>
          <w:szCs w:val="32"/>
          <w:lang w:val="zh-CN"/>
        </w:rPr>
      </w:pPr>
      <w:r>
        <w:rPr>
          <w:rFonts w:ascii="方正楷体简体" w:eastAsia="方正楷体简体"/>
          <w:sz w:val="32"/>
          <w:szCs w:val="32"/>
          <w:lang w:val="zh-CN"/>
        </w:rPr>
        <w:t>（二）项目绩效目标。</w:t>
      </w:r>
    </w:p>
    <w:p>
      <w:pPr>
        <w:adjustRightInd w:val="0"/>
        <w:snapToGrid w:val="0"/>
        <w:spacing w:line="660" w:lineRule="exact"/>
        <w:ind w:firstLine="640" w:firstLineChars="200"/>
        <w:rPr>
          <w:rFonts w:eastAsia="仿宋_GB2312"/>
          <w:sz w:val="32"/>
          <w:szCs w:val="32"/>
          <w:lang w:val="zh-CN"/>
        </w:rPr>
      </w:pPr>
      <w:r>
        <w:rPr>
          <w:rFonts w:eastAsia="仿宋_GB2312"/>
          <w:sz w:val="32"/>
          <w:szCs w:val="32"/>
          <w:lang w:val="zh-CN"/>
        </w:rPr>
        <w:t>1</w:t>
      </w:r>
      <w:r>
        <w:rPr>
          <w:rFonts w:hint="eastAsia" w:eastAsia="仿宋_GB2312"/>
          <w:sz w:val="32"/>
          <w:szCs w:val="32"/>
          <w:lang w:val="zh-CN"/>
        </w:rPr>
        <w:t>.</w:t>
      </w:r>
      <w:r>
        <w:rPr>
          <w:rFonts w:eastAsia="仿宋_GB2312"/>
          <w:sz w:val="32"/>
          <w:szCs w:val="32"/>
          <w:lang w:val="zh-CN"/>
        </w:rPr>
        <w:t>项目主要内容。</w:t>
      </w:r>
    </w:p>
    <w:p>
      <w:pPr>
        <w:adjustRightInd w:val="0"/>
        <w:snapToGrid w:val="0"/>
        <w:spacing w:line="660" w:lineRule="exact"/>
        <w:ind w:firstLine="640" w:firstLineChars="200"/>
        <w:rPr>
          <w:rFonts w:eastAsia="仿宋_GB2312"/>
          <w:sz w:val="32"/>
          <w:szCs w:val="32"/>
        </w:rPr>
      </w:pPr>
      <w:r>
        <w:rPr>
          <w:rFonts w:eastAsia="仿宋_GB2312"/>
          <w:sz w:val="32"/>
          <w:szCs w:val="32"/>
        </w:rPr>
        <w:t>2021年</w:t>
      </w:r>
      <w:r>
        <w:rPr>
          <w:rFonts w:eastAsia="仿宋_GB2312"/>
          <w:sz w:val="32"/>
          <w:szCs w:val="32"/>
          <w:lang w:val="zh-CN"/>
        </w:rPr>
        <w:t>法警体能训练设备购置</w:t>
      </w:r>
      <w:r>
        <w:rPr>
          <w:rFonts w:eastAsia="仿宋_GB2312"/>
          <w:sz w:val="32"/>
          <w:szCs w:val="32"/>
        </w:rPr>
        <w:t>项目主要是</w:t>
      </w:r>
      <w:r>
        <w:rPr>
          <w:rFonts w:eastAsia="仿宋_GB2312"/>
          <w:sz w:val="32"/>
          <w:szCs w:val="32"/>
          <w:lang w:val="zh-CN"/>
        </w:rPr>
        <w:t>保障</w:t>
      </w:r>
      <w:r>
        <w:rPr>
          <w:rFonts w:eastAsia="仿宋_GB2312"/>
          <w:sz w:val="32"/>
          <w:szCs w:val="32"/>
        </w:rPr>
        <w:t>司法警察日常实战化训练的常态化有序开展，提升司法警察个人身体素能，增强审判、执行业务的警务保障能力。</w:t>
      </w:r>
    </w:p>
    <w:p>
      <w:pPr>
        <w:adjustRightInd w:val="0"/>
        <w:snapToGrid w:val="0"/>
        <w:spacing w:line="66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项目应实现的具体绩效目标，包括目标的量化、细化情况以及项目实施进度计划等。</w:t>
      </w:r>
    </w:p>
    <w:tbl>
      <w:tblPr>
        <w:tblStyle w:val="14"/>
        <w:tblW w:w="10285" w:type="dxa"/>
        <w:jc w:val="center"/>
        <w:tblLayout w:type="fixed"/>
        <w:tblCellMar>
          <w:top w:w="0" w:type="dxa"/>
          <w:left w:w="108" w:type="dxa"/>
          <w:bottom w:w="0" w:type="dxa"/>
          <w:right w:w="108" w:type="dxa"/>
        </w:tblCellMar>
      </w:tblPr>
      <w:tblGrid>
        <w:gridCol w:w="456"/>
        <w:gridCol w:w="917"/>
        <w:gridCol w:w="920"/>
        <w:gridCol w:w="1300"/>
        <w:gridCol w:w="2213"/>
        <w:gridCol w:w="2542"/>
        <w:gridCol w:w="1937"/>
      </w:tblGrid>
      <w:tr>
        <w:tblPrEx>
          <w:tblCellMar>
            <w:top w:w="0" w:type="dxa"/>
            <w:left w:w="108" w:type="dxa"/>
            <w:bottom w:w="0" w:type="dxa"/>
            <w:right w:w="108" w:type="dxa"/>
          </w:tblCellMar>
        </w:tblPrEx>
        <w:trPr>
          <w:trHeight w:val="780" w:hRule="atLeast"/>
          <w:jc w:val="center"/>
        </w:trPr>
        <w:tc>
          <w:tcPr>
            <w:tcW w:w="45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年度</w:t>
            </w:r>
            <w:r>
              <w:rPr>
                <w:color w:val="000000"/>
                <w:kern w:val="0"/>
                <w:sz w:val="24"/>
                <w:lang w:bidi="ar"/>
              </w:rPr>
              <w:br w:type="textWrapping"/>
            </w:r>
            <w:r>
              <w:rPr>
                <w:color w:val="000000"/>
                <w:kern w:val="0"/>
                <w:sz w:val="24"/>
                <w:lang w:bidi="ar"/>
              </w:rPr>
              <w:t>绩效</w:t>
            </w:r>
            <w:r>
              <w:rPr>
                <w:color w:val="000000"/>
                <w:kern w:val="0"/>
                <w:sz w:val="24"/>
                <w:lang w:bidi="ar"/>
              </w:rPr>
              <w:br w:type="textWrapping"/>
            </w:r>
            <w:r>
              <w:rPr>
                <w:color w:val="000000"/>
                <w:kern w:val="0"/>
                <w:sz w:val="24"/>
                <w:lang w:bidi="ar"/>
              </w:rPr>
              <w:t>指标</w:t>
            </w:r>
            <w:r>
              <w:rPr>
                <w:color w:val="000000"/>
                <w:kern w:val="0"/>
                <w:sz w:val="24"/>
                <w:lang w:bidi="ar"/>
              </w:rPr>
              <w:br w:type="textWrapping"/>
            </w:r>
            <w:r>
              <w:rPr>
                <w:color w:val="000000"/>
                <w:kern w:val="0"/>
                <w:sz w:val="24"/>
                <w:lang w:bidi="ar"/>
              </w:rPr>
              <w:t>完成</w:t>
            </w:r>
            <w:r>
              <w:rPr>
                <w:color w:val="000000"/>
                <w:kern w:val="0"/>
                <w:sz w:val="24"/>
                <w:lang w:bidi="ar"/>
              </w:rPr>
              <w:br w:type="textWrapping"/>
            </w:r>
            <w:r>
              <w:rPr>
                <w:color w:val="000000"/>
                <w:kern w:val="0"/>
                <w:sz w:val="24"/>
                <w:lang w:bidi="ar"/>
              </w:rPr>
              <w:t>情况</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一级指标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二级指标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三级指标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指标值（包含数字及文字描述）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实际完成指标值（包含数字及文字描述）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未完成原因及改进措施</w:t>
            </w:r>
          </w:p>
        </w:tc>
      </w:tr>
      <w:tr>
        <w:tblPrEx>
          <w:tblCellMar>
            <w:top w:w="0" w:type="dxa"/>
            <w:left w:w="108" w:type="dxa"/>
            <w:bottom w:w="0" w:type="dxa"/>
            <w:right w:w="108" w:type="dxa"/>
          </w:tblCellMar>
        </w:tblPrEx>
        <w:trPr>
          <w:trHeight w:val="767" w:hRule="atLeast"/>
          <w:jc w:val="center"/>
        </w:trPr>
        <w:tc>
          <w:tcPr>
            <w:tcW w:w="45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60" w:lineRule="exact"/>
              <w:jc w:val="center"/>
              <w:rPr>
                <w:color w:val="000000"/>
                <w:sz w:val="24"/>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项目完成指标</w:t>
            </w:r>
          </w:p>
        </w:tc>
        <w:tc>
          <w:tcPr>
            <w:tcW w:w="920"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数量指标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法警体能训练设备购置数量</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≥20</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30件以上</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r>
        <w:tblPrEx>
          <w:tblCellMar>
            <w:top w:w="0" w:type="dxa"/>
            <w:left w:w="108" w:type="dxa"/>
            <w:bottom w:w="0" w:type="dxa"/>
            <w:right w:w="108" w:type="dxa"/>
          </w:tblCellMar>
        </w:tblPrEx>
        <w:trPr>
          <w:trHeight w:val="1104" w:hRule="atLeast"/>
          <w:jc w:val="center"/>
        </w:trPr>
        <w:tc>
          <w:tcPr>
            <w:tcW w:w="45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60" w:lineRule="exact"/>
              <w:jc w:val="center"/>
              <w:rPr>
                <w:color w:val="000000"/>
                <w:sz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color w:val="000000"/>
                <w:sz w:val="24"/>
              </w:rPr>
            </w:pPr>
          </w:p>
        </w:tc>
        <w:tc>
          <w:tcPr>
            <w:tcW w:w="920"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质量指标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法警体能训练设备购置质量达标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法警体能训练设备购置质量达标，保障司法警察日常实战训练需求。</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color w:val="000000"/>
                <w:sz w:val="24"/>
              </w:rPr>
            </w:pPr>
            <w:r>
              <w:rPr>
                <w:color w:val="000000"/>
                <w:kern w:val="0"/>
                <w:sz w:val="24"/>
                <w:lang w:bidi="ar"/>
              </w:rPr>
              <w:t>完成了警务训练所需各类专用器材和设备的购置且质量达标，保障了司法警察日常实战训练需求。</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r>
        <w:tblPrEx>
          <w:tblCellMar>
            <w:top w:w="0" w:type="dxa"/>
            <w:left w:w="108" w:type="dxa"/>
            <w:bottom w:w="0" w:type="dxa"/>
            <w:right w:w="108" w:type="dxa"/>
          </w:tblCellMar>
        </w:tblPrEx>
        <w:trPr>
          <w:trHeight w:val="924" w:hRule="atLeast"/>
          <w:jc w:val="center"/>
        </w:trPr>
        <w:tc>
          <w:tcPr>
            <w:tcW w:w="45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60" w:lineRule="exact"/>
              <w:jc w:val="center"/>
              <w:rPr>
                <w:color w:val="000000"/>
                <w:sz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color w:val="000000"/>
                <w:sz w:val="24"/>
              </w:rPr>
            </w:pPr>
          </w:p>
        </w:tc>
        <w:tc>
          <w:tcPr>
            <w:tcW w:w="920"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时效指标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textAlignment w:val="center"/>
              <w:rPr>
                <w:color w:val="000000"/>
                <w:sz w:val="24"/>
              </w:rPr>
            </w:pPr>
            <w:r>
              <w:rPr>
                <w:color w:val="000000"/>
                <w:kern w:val="0"/>
                <w:sz w:val="24"/>
                <w:lang w:bidi="ar"/>
              </w:rPr>
              <w:t>项目完成时间</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left"/>
              <w:textAlignment w:val="center"/>
              <w:rPr>
                <w:color w:val="000000"/>
                <w:sz w:val="24"/>
              </w:rPr>
            </w:pPr>
            <w:r>
              <w:rPr>
                <w:color w:val="000000"/>
                <w:kern w:val="0"/>
                <w:sz w:val="24"/>
                <w:lang w:bidi="ar"/>
              </w:rPr>
              <w:t>2021年12月31日前</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color w:val="000000"/>
                <w:sz w:val="24"/>
              </w:rPr>
            </w:pPr>
            <w:r>
              <w:rPr>
                <w:color w:val="000000"/>
                <w:kern w:val="0"/>
                <w:sz w:val="24"/>
                <w:lang w:bidi="ar"/>
              </w:rPr>
              <w:t>2021年12月31日前</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r>
        <w:tblPrEx>
          <w:tblCellMar>
            <w:top w:w="0" w:type="dxa"/>
            <w:left w:w="108" w:type="dxa"/>
            <w:bottom w:w="0" w:type="dxa"/>
            <w:right w:w="108" w:type="dxa"/>
          </w:tblCellMar>
        </w:tblPrEx>
        <w:trPr>
          <w:trHeight w:val="994" w:hRule="atLeast"/>
          <w:jc w:val="center"/>
        </w:trPr>
        <w:tc>
          <w:tcPr>
            <w:tcW w:w="45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60" w:lineRule="exact"/>
              <w:jc w:val="center"/>
              <w:rPr>
                <w:color w:val="000000"/>
                <w:sz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jc w:val="center"/>
              <w:rPr>
                <w:color w:val="000000"/>
                <w:sz w:val="24"/>
              </w:rPr>
            </w:pPr>
          </w:p>
        </w:tc>
        <w:tc>
          <w:tcPr>
            <w:tcW w:w="920"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成本指标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法警体能训练设备购置成本</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≤20万元</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color w:val="000000"/>
                <w:sz w:val="24"/>
              </w:rPr>
            </w:pPr>
            <w:r>
              <w:rPr>
                <w:color w:val="000000"/>
                <w:kern w:val="0"/>
                <w:sz w:val="24"/>
                <w:lang w:bidi="ar"/>
              </w:rPr>
              <w:t>19.95万元</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r>
        <w:tblPrEx>
          <w:tblCellMar>
            <w:top w:w="0" w:type="dxa"/>
            <w:left w:w="108" w:type="dxa"/>
            <w:bottom w:w="0" w:type="dxa"/>
            <w:right w:w="108" w:type="dxa"/>
          </w:tblCellMar>
        </w:tblPrEx>
        <w:trPr>
          <w:trHeight w:val="2160" w:hRule="atLeast"/>
          <w:jc w:val="center"/>
        </w:trPr>
        <w:tc>
          <w:tcPr>
            <w:tcW w:w="45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60" w:lineRule="exact"/>
              <w:jc w:val="center"/>
              <w:rPr>
                <w:color w:val="000000"/>
                <w:sz w:val="24"/>
              </w:rPr>
            </w:pPr>
          </w:p>
        </w:tc>
        <w:tc>
          <w:tcPr>
            <w:tcW w:w="917" w:type="dxa"/>
            <w:tcBorders>
              <w:top w:val="nil"/>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项目效果指标</w:t>
            </w:r>
          </w:p>
        </w:tc>
        <w:tc>
          <w:tcPr>
            <w:tcW w:w="92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可持续影响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法警体能训练设备购置对我院案件办理正面影响</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利于协助我院高效完成各类审判、执行工作，切实维护司法公平正义。</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color w:val="000000"/>
                <w:sz w:val="24"/>
              </w:rPr>
            </w:pPr>
            <w:r>
              <w:rPr>
                <w:color w:val="000000"/>
                <w:kern w:val="0"/>
                <w:sz w:val="24"/>
                <w:lang w:bidi="ar"/>
              </w:rPr>
              <w:t>法警体能训练设备的购置，能及时保障司法警察日常实战化训练需求，提升法警身体素质和体能，协助我院完成刑事审判值庭、嫌疑人押解、办公办案场所安全保障等重要工作。</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r>
        <w:tblPrEx>
          <w:tblCellMar>
            <w:top w:w="0" w:type="dxa"/>
            <w:left w:w="108" w:type="dxa"/>
            <w:bottom w:w="0" w:type="dxa"/>
            <w:right w:w="108" w:type="dxa"/>
          </w:tblCellMar>
        </w:tblPrEx>
        <w:trPr>
          <w:trHeight w:val="1634" w:hRule="atLeast"/>
          <w:jc w:val="center"/>
        </w:trPr>
        <w:tc>
          <w:tcPr>
            <w:tcW w:w="456" w:type="dxa"/>
            <w:vMerge w:val="continue"/>
            <w:tcBorders>
              <w:top w:val="single" w:color="000000" w:sz="4" w:space="0"/>
              <w:left w:val="single" w:color="000000" w:sz="4" w:space="0"/>
              <w:bottom w:val="nil"/>
              <w:right w:val="single" w:color="auto" w:sz="4" w:space="0"/>
            </w:tcBorders>
            <w:shd w:val="clear" w:color="auto" w:fill="auto"/>
            <w:vAlign w:val="center"/>
          </w:tcPr>
          <w:p>
            <w:pPr>
              <w:spacing w:line="260" w:lineRule="exact"/>
              <w:jc w:val="center"/>
              <w:rPr>
                <w:color w:val="000000"/>
                <w:sz w:val="24"/>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满意度</w:t>
            </w:r>
            <w:r>
              <w:rPr>
                <w:color w:val="000000"/>
                <w:kern w:val="0"/>
                <w:sz w:val="24"/>
                <w:lang w:bidi="ar"/>
              </w:rPr>
              <w:br w:type="textWrapping"/>
            </w:r>
            <w:r>
              <w:rPr>
                <w:color w:val="000000"/>
                <w:kern w:val="0"/>
                <w:sz w:val="24"/>
                <w:lang w:bidi="ar"/>
              </w:rPr>
              <w:t>指标</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满意度指标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60" w:lineRule="exact"/>
              <w:jc w:val="left"/>
              <w:textAlignment w:val="center"/>
              <w:rPr>
                <w:color w:val="000000"/>
                <w:sz w:val="24"/>
              </w:rPr>
            </w:pPr>
            <w:r>
              <w:rPr>
                <w:color w:val="000000"/>
                <w:kern w:val="0"/>
                <w:sz w:val="24"/>
                <w:lang w:bidi="ar"/>
              </w:rPr>
              <w:t>法警对体能训练设备购置满意度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≥95%</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color w:val="000000"/>
                <w:sz w:val="24"/>
              </w:rPr>
            </w:pPr>
            <w:r>
              <w:rPr>
                <w:color w:val="000000"/>
                <w:kern w:val="0"/>
                <w:sz w:val="24"/>
                <w:lang w:bidi="ar"/>
              </w:rPr>
              <w:t>≥95%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rPr>
                <w:color w:val="000000"/>
                <w:sz w:val="24"/>
              </w:rPr>
            </w:pPr>
          </w:p>
        </w:tc>
      </w:tr>
    </w:tbl>
    <w:p>
      <w:pPr>
        <w:adjustRightInd w:val="0"/>
        <w:snapToGrid w:val="0"/>
        <w:spacing w:line="580"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分析评价申报内容是否与实际相符，申报目标是否合理可行。</w:t>
      </w:r>
    </w:p>
    <w:p>
      <w:pPr>
        <w:adjustRightInd w:val="0"/>
        <w:snapToGrid w:val="0"/>
        <w:spacing w:line="580" w:lineRule="exact"/>
        <w:ind w:firstLine="640" w:firstLineChars="200"/>
        <w:rPr>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80" w:lineRule="exact"/>
        <w:ind w:firstLine="640" w:firstLineChars="200"/>
        <w:rPr>
          <w:rFonts w:ascii="方正楷体简体" w:eastAsia="方正楷体简体"/>
          <w:lang w:val="zh-CN"/>
        </w:rPr>
      </w:pPr>
      <w:r>
        <w:rPr>
          <w:rFonts w:hint="eastAsia" w:ascii="方正楷体简体" w:eastAsia="方正楷体简体"/>
          <w:sz w:val="32"/>
          <w:szCs w:val="32"/>
          <w:lang w:val="zh-CN"/>
        </w:rPr>
        <w:t>（三）项目自评步骤及方法</w:t>
      </w:r>
      <w:r>
        <w:rPr>
          <w:rFonts w:hint="eastAsia" w:ascii="方正楷体简体" w:eastAsia="方正楷体简体"/>
          <w:lang w:val="zh-CN"/>
        </w:rPr>
        <w:t>。</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80" w:lineRule="exact"/>
        <w:ind w:firstLine="720"/>
        <w:rPr>
          <w:rFonts w:ascii="方正黑体简体" w:eastAsia="方正黑体简体"/>
          <w:sz w:val="32"/>
          <w:szCs w:val="32"/>
        </w:rPr>
      </w:pPr>
      <w:r>
        <w:rPr>
          <w:rFonts w:ascii="方正黑体简体" w:eastAsia="方正黑体简体"/>
          <w:sz w:val="32"/>
          <w:szCs w:val="32"/>
        </w:rPr>
        <w:t>二、项目资金申报及使用情况</w:t>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（一）项目资金申报及批复情况。</w:t>
      </w:r>
    </w:p>
    <w:p>
      <w:pPr>
        <w:adjustRightInd w:val="0"/>
        <w:snapToGrid w:val="0"/>
        <w:spacing w:line="580" w:lineRule="exact"/>
        <w:ind w:firstLine="640" w:firstLineChars="200"/>
        <w:rPr>
          <w:rFonts w:eastAsia="仿宋_GB2312"/>
          <w:sz w:val="32"/>
          <w:szCs w:val="32"/>
        </w:rPr>
      </w:pPr>
      <w:r>
        <w:rPr>
          <w:rFonts w:eastAsia="仿宋_GB2312"/>
          <w:sz w:val="32"/>
          <w:szCs w:val="32"/>
        </w:rPr>
        <w:t>2021年我院</w:t>
      </w:r>
      <w:r>
        <w:rPr>
          <w:rFonts w:eastAsia="仿宋_GB2312"/>
          <w:sz w:val="32"/>
          <w:szCs w:val="32"/>
          <w:lang w:val="zh-CN"/>
        </w:rPr>
        <w:t>法警体能训练设备购置更新项目申报资金</w:t>
      </w:r>
      <w:r>
        <w:rPr>
          <w:rFonts w:eastAsia="仿宋_GB2312"/>
          <w:sz w:val="32"/>
          <w:szCs w:val="32"/>
        </w:rPr>
        <w:t>20万元，项目报送人代会通过后批复</w:t>
      </w:r>
      <w:r>
        <w:rPr>
          <w:rFonts w:eastAsia="仿宋_GB2312"/>
          <w:sz w:val="32"/>
          <w:szCs w:val="32"/>
          <w:lang w:val="zh-CN"/>
        </w:rPr>
        <w:t>法警体能训练设备购置更新</w:t>
      </w:r>
      <w:r>
        <w:rPr>
          <w:rFonts w:eastAsia="仿宋_GB2312"/>
          <w:sz w:val="32"/>
          <w:szCs w:val="32"/>
        </w:rPr>
        <w:t>项目资金20万元，项目资金无预算调整。</w:t>
      </w:r>
    </w:p>
    <w:p>
      <w:pPr>
        <w:adjustRightInd w:val="0"/>
        <w:snapToGrid w:val="0"/>
        <w:spacing w:line="580" w:lineRule="exact"/>
        <w:ind w:firstLine="640" w:firstLineChars="200"/>
        <w:rPr>
          <w:sz w:val="32"/>
          <w:szCs w:val="32"/>
          <w:lang w:val="zh-CN"/>
        </w:rPr>
      </w:pPr>
      <w:r>
        <w:rPr>
          <w:rFonts w:eastAsia="楷体_GB2312"/>
          <w:sz w:val="32"/>
          <w:szCs w:val="32"/>
          <w:lang w:val="zh-CN"/>
        </w:rPr>
        <w:t>（二）资金计划、到位及使用情况（可用表格形式反映）。</w:t>
      </w:r>
    </w:p>
    <w:p>
      <w:pPr>
        <w:adjustRightInd w:val="0"/>
        <w:snapToGrid w:val="0"/>
        <w:spacing w:line="580" w:lineRule="exact"/>
        <w:ind w:firstLine="643" w:firstLineChars="200"/>
        <w:rPr>
          <w:rFonts w:eastAsia="仿宋_GB2312"/>
          <w:sz w:val="32"/>
          <w:szCs w:val="32"/>
        </w:rPr>
      </w:pPr>
      <w:r>
        <w:rPr>
          <w:rFonts w:eastAsia="仿宋_GB2312"/>
          <w:b/>
          <w:bCs/>
          <w:sz w:val="32"/>
          <w:szCs w:val="32"/>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市财政局通过预算对我院下达此专项资金</w:t>
      </w:r>
      <w:r>
        <w:rPr>
          <w:sz w:val="32"/>
          <w:szCs w:val="32"/>
        </w:rPr>
        <w:t>20</w:t>
      </w:r>
      <w:r>
        <w:rPr>
          <w:rFonts w:eastAsia="仿宋_GB2312"/>
          <w:sz w:val="32"/>
          <w:szCs w:val="32"/>
        </w:rPr>
        <w:t>万元</w:t>
      </w:r>
      <w:r>
        <w:rPr>
          <w:rFonts w:eastAsia="仿宋_GB2312"/>
          <w:sz w:val="32"/>
          <w:szCs w:val="32"/>
          <w:lang w:val="zh-CN"/>
        </w:rPr>
        <w:t>。</w:t>
      </w:r>
    </w:p>
    <w:p>
      <w:pPr>
        <w:spacing w:line="580" w:lineRule="exact"/>
        <w:ind w:firstLine="643" w:firstLineChars="200"/>
        <w:rPr>
          <w:rFonts w:eastAsia="仿宋_GB2312"/>
          <w:sz w:val="32"/>
          <w:szCs w:val="32"/>
          <w:lang w:val="zh-CN"/>
        </w:rPr>
      </w:pPr>
      <w:r>
        <w:rPr>
          <w:rFonts w:eastAsia="仿宋_GB2312"/>
          <w:b/>
          <w:bCs/>
          <w:sz w:val="32"/>
          <w:szCs w:val="32"/>
          <w:lang w:val="zh-CN"/>
        </w:rPr>
        <w:t>2．资金到位。</w:t>
      </w:r>
      <w:r>
        <w:rPr>
          <w:rFonts w:eastAsia="仿宋_GB2312"/>
          <w:sz w:val="32"/>
          <w:szCs w:val="32"/>
        </w:rPr>
        <w:t>2</w:t>
      </w:r>
      <w:r>
        <w:rPr>
          <w:rFonts w:eastAsia="仿宋_GB2312"/>
          <w:sz w:val="32"/>
          <w:szCs w:val="32"/>
          <w:lang w:val="zh-CN"/>
        </w:rPr>
        <w:t>02</w:t>
      </w:r>
      <w:r>
        <w:rPr>
          <w:rFonts w:eastAsia="仿宋_GB2312"/>
          <w:sz w:val="32"/>
          <w:szCs w:val="32"/>
        </w:rPr>
        <w:t>1</w:t>
      </w:r>
      <w:r>
        <w:rPr>
          <w:rFonts w:eastAsia="仿宋_GB2312"/>
          <w:sz w:val="32"/>
          <w:szCs w:val="32"/>
          <w:lang w:val="zh-CN"/>
        </w:rPr>
        <w:t>年法警体能训练设备购置更新项目资</w:t>
      </w:r>
      <w:r>
        <w:rPr>
          <w:rFonts w:eastAsia="仿宋_GB2312"/>
          <w:sz w:val="32"/>
          <w:szCs w:val="32"/>
        </w:rPr>
        <w:t>金到位</w:t>
      </w:r>
      <w:r>
        <w:rPr>
          <w:sz w:val="32"/>
          <w:szCs w:val="32"/>
        </w:rPr>
        <w:t>20</w:t>
      </w:r>
      <w:r>
        <w:rPr>
          <w:rFonts w:eastAsia="仿宋_GB2312"/>
          <w:sz w:val="32"/>
          <w:szCs w:val="32"/>
        </w:rPr>
        <w:t>万元，</w:t>
      </w:r>
      <w:r>
        <w:rPr>
          <w:rFonts w:eastAsia="仿宋_GB2312"/>
          <w:sz w:val="32"/>
          <w:szCs w:val="32"/>
          <w:lang w:val="zh-CN"/>
        </w:rPr>
        <w:t>与项目资金计划数</w:t>
      </w:r>
      <w:r>
        <w:rPr>
          <w:sz w:val="32"/>
          <w:szCs w:val="32"/>
        </w:rPr>
        <w:t>20</w:t>
      </w:r>
      <w:r>
        <w:rPr>
          <w:rFonts w:eastAsia="仿宋_GB2312"/>
          <w:sz w:val="32"/>
          <w:szCs w:val="32"/>
          <w:lang w:val="zh-CN"/>
        </w:rPr>
        <w:t>万元相符，资金及时到位，资金到位率100%，到位及时率100%。</w:t>
      </w:r>
    </w:p>
    <w:p>
      <w:pPr>
        <w:adjustRightInd w:val="0"/>
        <w:snapToGrid w:val="0"/>
        <w:spacing w:line="580" w:lineRule="exact"/>
        <w:ind w:firstLine="643" w:firstLineChars="200"/>
        <w:rPr>
          <w:rFonts w:eastAsia="仿宋_GB2312"/>
          <w:sz w:val="32"/>
          <w:szCs w:val="32"/>
          <w:lang w:val="zh-CN"/>
        </w:rPr>
      </w:pPr>
      <w:r>
        <w:rPr>
          <w:rFonts w:eastAsia="仿宋_GB2312"/>
          <w:b/>
          <w:bCs/>
          <w:sz w:val="32"/>
          <w:szCs w:val="32"/>
          <w:lang w:val="zh-CN"/>
        </w:rPr>
        <w:t>3．资金使用。</w:t>
      </w:r>
      <w:r>
        <w:rPr>
          <w:rFonts w:eastAsia="仿宋_GB2312"/>
          <w:sz w:val="32"/>
          <w:szCs w:val="32"/>
          <w:lang w:val="zh-CN"/>
        </w:rPr>
        <w:t>该项目资金</w:t>
      </w:r>
      <w:r>
        <w:rPr>
          <w:rFonts w:hint="eastAsia" w:eastAsia="仿宋_GB2312"/>
          <w:sz w:val="32"/>
          <w:szCs w:val="32"/>
          <w:lang w:val="zh-CN"/>
        </w:rPr>
        <w:t>截止</w:t>
      </w:r>
      <w:r>
        <w:rPr>
          <w:rFonts w:eastAsia="仿宋_GB2312"/>
          <w:sz w:val="32"/>
          <w:szCs w:val="32"/>
          <w:lang w:val="zh-CN"/>
        </w:rPr>
        <w:t>202</w:t>
      </w:r>
      <w:r>
        <w:rPr>
          <w:rFonts w:eastAsia="仿宋_GB2312"/>
          <w:sz w:val="32"/>
          <w:szCs w:val="32"/>
        </w:rPr>
        <w:t>1</w:t>
      </w:r>
      <w:r>
        <w:rPr>
          <w:rFonts w:eastAsia="仿宋_GB2312"/>
          <w:sz w:val="32"/>
          <w:szCs w:val="32"/>
          <w:lang w:val="zh-CN"/>
        </w:rPr>
        <w:t>年12月31日实际支出</w:t>
      </w:r>
      <w:r>
        <w:rPr>
          <w:rFonts w:eastAsia="仿宋_GB2312"/>
          <w:sz w:val="32"/>
          <w:szCs w:val="32"/>
        </w:rPr>
        <w:t>19.95万元</w:t>
      </w:r>
      <w:r>
        <w:rPr>
          <w:rFonts w:eastAsia="仿宋_GB2312"/>
          <w:sz w:val="32"/>
          <w:szCs w:val="32"/>
          <w:lang w:val="zh-CN"/>
        </w:rPr>
        <w:t>，项目预算执行数为</w:t>
      </w:r>
      <w:r>
        <w:rPr>
          <w:rFonts w:eastAsia="仿宋_GB2312"/>
          <w:sz w:val="32"/>
          <w:szCs w:val="32"/>
        </w:rPr>
        <w:t>99.75</w:t>
      </w:r>
      <w:r>
        <w:rPr>
          <w:rFonts w:eastAsia="仿宋_GB2312"/>
          <w:sz w:val="32"/>
          <w:szCs w:val="32"/>
          <w:lang w:val="zh-CN"/>
        </w:rPr>
        <w:t>%，执行率高，项目资金使用合理。该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（三）项目财务管理情况。</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80" w:lineRule="exact"/>
        <w:ind w:firstLine="720"/>
        <w:rPr>
          <w:rFonts w:ascii="方正黑体简体" w:eastAsia="方正黑体简体"/>
          <w:sz w:val="32"/>
          <w:szCs w:val="32"/>
        </w:rPr>
      </w:pPr>
      <w:r>
        <w:rPr>
          <w:rFonts w:ascii="方正黑体简体" w:eastAsia="方正黑体简体"/>
          <w:sz w:val="32"/>
          <w:szCs w:val="32"/>
        </w:rPr>
        <w:t>三、项目实施及管理情况</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pPr>
        <w:numPr>
          <w:ilvl w:val="0"/>
          <w:numId w:val="1"/>
        </w:num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项目组织架构及实施流程。</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项目由法警队申报体能训练设备及装备更新需求，行装处及分管领导严格审核项目实施必要性、可行性，并组织实施采购训练装备，法警支队、行装及督查室、机关纪委共同负责项目的验收。待项目完成并验收合格后提请项目资金支付，行装处严格审核项目报销凭证，加快专项资金支付，及时进行恰当的会计核算。</w:t>
      </w:r>
    </w:p>
    <w:p>
      <w:pPr>
        <w:adjustRightInd w:val="0"/>
        <w:snapToGrid w:val="0"/>
        <w:spacing w:line="580" w:lineRule="exact"/>
        <w:ind w:firstLine="640" w:firstLineChars="200"/>
        <w:rPr>
          <w:rFonts w:eastAsia="楷体_GB2312"/>
          <w:lang w:val="zh-CN"/>
        </w:rPr>
      </w:pPr>
      <w:r>
        <w:rPr>
          <w:rFonts w:eastAsia="楷体_GB2312"/>
          <w:sz w:val="32"/>
          <w:szCs w:val="32"/>
          <w:lang w:val="zh-CN"/>
        </w:rPr>
        <w:t>（二）项目管理情况</w:t>
      </w:r>
      <w:r>
        <w:rPr>
          <w:rFonts w:eastAsia="楷体_GB2312"/>
          <w:lang w:val="zh-CN"/>
        </w:rPr>
        <w:t>。</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80" w:lineRule="exact"/>
        <w:ind w:firstLine="640" w:firstLineChars="200"/>
        <w:rPr>
          <w:rFonts w:eastAsia="楷体_GB2312"/>
          <w:lang w:val="zh-CN"/>
        </w:rPr>
      </w:pPr>
      <w:r>
        <w:rPr>
          <w:rFonts w:eastAsia="楷体_GB2312"/>
          <w:sz w:val="32"/>
          <w:szCs w:val="32"/>
          <w:lang w:val="zh-CN"/>
        </w:rPr>
        <w:t>（三）项目监管情况</w:t>
      </w:r>
      <w:r>
        <w:rPr>
          <w:rFonts w:eastAsia="楷体_GB2312"/>
          <w:lang w:val="zh-CN"/>
        </w:rPr>
        <w:t>。</w:t>
      </w:r>
    </w:p>
    <w:p>
      <w:pPr>
        <w:adjustRightInd w:val="0"/>
        <w:snapToGrid w:val="0"/>
        <w:spacing w:line="580" w:lineRule="exact"/>
        <w:ind w:firstLine="640" w:firstLineChars="200"/>
        <w:rPr>
          <w:rFonts w:eastAsia="仿宋_GB2312"/>
          <w:sz w:val="32"/>
          <w:szCs w:val="32"/>
        </w:rPr>
      </w:pPr>
      <w:r>
        <w:rPr>
          <w:rFonts w:eastAsia="仿宋_GB2312"/>
          <w:sz w:val="32"/>
          <w:szCs w:val="32"/>
          <w:lang w:val="zh-CN"/>
        </w:rPr>
        <w:t>我院法警体能训练设备购置更新项目严格按照年初预算安排的资金执行，使用当年财政一般公共预算资金进行支付。根据财</w:t>
      </w:r>
      <w:r>
        <w:rPr>
          <w:rFonts w:eastAsia="仿宋_GB2312"/>
          <w:sz w:val="32"/>
          <w:szCs w:val="32"/>
        </w:rPr>
        <w:t>政专项资金管理办法进行项目资金管</w:t>
      </w:r>
      <w:r>
        <w:rPr>
          <w:rFonts w:eastAsia="仿宋_GB2312"/>
          <w:sz w:val="32"/>
          <w:szCs w:val="32"/>
          <w:lang w:val="zh-CN"/>
        </w:rPr>
        <w:t>理，并主动接受院内督察室和市财政局等部门的监督，做到了专款专用，没有不按用途使用资金的行为发生，没有滞留、</w:t>
      </w:r>
      <w:r>
        <w:rPr>
          <w:rFonts w:hint="eastAsia" w:eastAsia="仿宋_GB2312"/>
          <w:sz w:val="32"/>
          <w:szCs w:val="32"/>
          <w:lang w:val="zh-CN"/>
        </w:rPr>
        <w:t>截留</w:t>
      </w:r>
      <w:r>
        <w:rPr>
          <w:rFonts w:eastAsia="仿宋_GB2312"/>
          <w:sz w:val="32"/>
          <w:szCs w:val="32"/>
          <w:lang w:val="zh-CN"/>
        </w:rPr>
        <w:t>、挤占、挪用其他项目资金的现象。</w:t>
      </w:r>
    </w:p>
    <w:p>
      <w:pPr>
        <w:adjustRightInd w:val="0"/>
        <w:snapToGrid w:val="0"/>
        <w:spacing w:line="580" w:lineRule="exact"/>
        <w:ind w:firstLine="720"/>
        <w:rPr>
          <w:rFonts w:ascii="方正黑体简体" w:eastAsia="方正黑体简体"/>
          <w:sz w:val="32"/>
          <w:szCs w:val="32"/>
        </w:rPr>
      </w:pPr>
      <w:r>
        <w:rPr>
          <w:rFonts w:ascii="方正黑体简体" w:eastAsia="方正黑体简体"/>
          <w:sz w:val="32"/>
          <w:szCs w:val="32"/>
        </w:rPr>
        <w:t>四、项目绩效情况</w:t>
      </w:r>
      <w:r>
        <w:rPr>
          <w:rFonts w:ascii="方正黑体简体" w:eastAsia="方正黑体简体"/>
          <w:sz w:val="32"/>
          <w:szCs w:val="32"/>
        </w:rPr>
        <w:tab/>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（一）项目完成情况。</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本项目预算资金下达</w:t>
      </w:r>
      <w:r>
        <w:rPr>
          <w:sz w:val="32"/>
          <w:szCs w:val="32"/>
        </w:rPr>
        <w:t>20</w:t>
      </w:r>
      <w:r>
        <w:rPr>
          <w:rFonts w:eastAsia="仿宋_GB2312"/>
          <w:sz w:val="32"/>
          <w:szCs w:val="32"/>
        </w:rPr>
        <w:t>万元</w:t>
      </w:r>
      <w:r>
        <w:rPr>
          <w:rFonts w:eastAsia="仿宋_GB2312"/>
          <w:sz w:val="32"/>
          <w:szCs w:val="32"/>
          <w:lang w:val="zh-CN"/>
        </w:rPr>
        <w:t>，项目执行过程中使用当年项目预算资金，该项目本年度实际执行数</w:t>
      </w:r>
      <w:r>
        <w:rPr>
          <w:rFonts w:eastAsia="仿宋_GB2312"/>
          <w:sz w:val="32"/>
          <w:szCs w:val="32"/>
        </w:rPr>
        <w:t>19.95</w:t>
      </w:r>
      <w:r>
        <w:rPr>
          <w:rFonts w:eastAsia="仿宋_GB2312"/>
          <w:sz w:val="32"/>
          <w:szCs w:val="32"/>
          <w:lang w:val="zh-CN"/>
        </w:rPr>
        <w:t>万元，当年预算执行完成率</w:t>
      </w:r>
      <w:r>
        <w:rPr>
          <w:rFonts w:eastAsia="仿宋_GB2312"/>
          <w:sz w:val="32"/>
          <w:szCs w:val="32"/>
        </w:rPr>
        <w:t>99.75</w:t>
      </w:r>
      <w:r>
        <w:rPr>
          <w:rFonts w:eastAsia="仿宋_GB2312"/>
          <w:sz w:val="32"/>
          <w:szCs w:val="32"/>
          <w:lang w:val="zh-CN"/>
        </w:rPr>
        <w:t>%。</w:t>
      </w:r>
    </w:p>
    <w:p>
      <w:pPr>
        <w:adjustRightInd w:val="0"/>
        <w:snapToGrid w:val="0"/>
        <w:spacing w:line="580" w:lineRule="exact"/>
        <w:ind w:left="420" w:leftChars="200"/>
        <w:rPr>
          <w:sz w:val="32"/>
          <w:szCs w:val="32"/>
          <w:lang w:val="zh-CN"/>
        </w:rPr>
      </w:pPr>
      <w:r>
        <w:rPr>
          <w:sz w:val="32"/>
          <w:szCs w:val="32"/>
          <w:lang w:val="zh-CN"/>
        </w:rPr>
        <w:t>（二）项目效益情况。</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该项目的良好执行，保障了</w:t>
      </w:r>
      <w:r>
        <w:rPr>
          <w:rFonts w:eastAsia="仿宋_GB2312"/>
          <w:sz w:val="32"/>
          <w:szCs w:val="32"/>
        </w:rPr>
        <w:t>司法警察日常实战化训练的常态化有序开展，提升了司法警察个人身体素能，增强了审判、执行业务的警务保障能力</w:t>
      </w:r>
      <w:r>
        <w:rPr>
          <w:rFonts w:eastAsia="仿宋_GB2312"/>
          <w:sz w:val="32"/>
          <w:szCs w:val="32"/>
          <w:lang w:val="zh-CN"/>
        </w:rPr>
        <w:t>。</w:t>
      </w:r>
    </w:p>
    <w:p>
      <w:pPr>
        <w:adjustRightInd w:val="0"/>
        <w:snapToGrid w:val="0"/>
        <w:spacing w:line="580" w:lineRule="exact"/>
        <w:ind w:firstLine="720"/>
        <w:rPr>
          <w:rFonts w:ascii="方正黑体简体" w:eastAsia="方正黑体简体"/>
          <w:sz w:val="32"/>
          <w:szCs w:val="32"/>
        </w:rPr>
      </w:pPr>
      <w:r>
        <w:rPr>
          <w:rFonts w:ascii="方正黑体简体" w:eastAsia="方正黑体简体"/>
          <w:sz w:val="32"/>
          <w:szCs w:val="32"/>
        </w:rPr>
        <w:t>五、评价结论及建议</w:t>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（一）评价结论。</w:t>
      </w:r>
    </w:p>
    <w:p>
      <w:pPr>
        <w:adjustRightInd w:val="0"/>
        <w:snapToGrid w:val="0"/>
        <w:spacing w:line="580" w:lineRule="exact"/>
        <w:ind w:firstLine="640" w:firstLineChars="200"/>
        <w:rPr>
          <w:rFonts w:eastAsia="仿宋_GB2312"/>
          <w:sz w:val="32"/>
          <w:szCs w:val="32"/>
          <w:lang w:val="zh-CN"/>
        </w:rPr>
      </w:pPr>
      <w:r>
        <w:rPr>
          <w:rFonts w:eastAsia="仿宋_GB2312"/>
          <w:sz w:val="32"/>
          <w:szCs w:val="32"/>
        </w:rPr>
        <w:t>该项目自评得分为99.9。该项目决策符合国家政策方针，项目预算执行进度推进有力，项目监督管控及时有效，项目资金支付合理合规。</w:t>
      </w:r>
    </w:p>
    <w:p>
      <w:pPr>
        <w:adjustRightInd w:val="0"/>
        <w:snapToGrid w:val="0"/>
        <w:spacing w:line="580" w:lineRule="exact"/>
        <w:ind w:firstLine="640" w:firstLineChars="200"/>
        <w:rPr>
          <w:rFonts w:eastAsia="仿宋_GB2312"/>
          <w:sz w:val="32"/>
          <w:szCs w:val="32"/>
        </w:rPr>
      </w:pPr>
      <w:r>
        <w:rPr>
          <w:rFonts w:eastAsia="仿宋_GB2312"/>
          <w:sz w:val="32"/>
          <w:szCs w:val="32"/>
          <w:lang w:val="zh-CN"/>
        </w:rPr>
        <w:t>通过项目的实施，</w:t>
      </w:r>
      <w:r>
        <w:rPr>
          <w:rFonts w:eastAsia="仿宋_GB2312"/>
          <w:sz w:val="32"/>
          <w:szCs w:val="32"/>
        </w:rPr>
        <w:t>提升法院司法警察身体素能，增强了业务保障水平，</w:t>
      </w:r>
      <w:r>
        <w:rPr>
          <w:rFonts w:eastAsia="仿宋_GB2312"/>
          <w:sz w:val="32"/>
          <w:szCs w:val="32"/>
          <w:lang w:val="zh-CN"/>
        </w:rPr>
        <w:t>为开展司法警察常态化训练提供支持</w:t>
      </w:r>
      <w:r>
        <w:rPr>
          <w:rFonts w:eastAsia="仿宋_GB2312"/>
          <w:sz w:val="32"/>
          <w:szCs w:val="32"/>
        </w:rPr>
        <w:t>。</w:t>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（二）存在的问题。</w:t>
      </w:r>
    </w:p>
    <w:p>
      <w:pPr>
        <w:adjustRightInd w:val="0"/>
        <w:snapToGrid w:val="0"/>
        <w:spacing w:line="580" w:lineRule="exact"/>
        <w:ind w:firstLine="640" w:firstLineChars="200"/>
        <w:rPr>
          <w:rFonts w:eastAsia="仿宋_GB2312"/>
          <w:sz w:val="32"/>
          <w:szCs w:val="32"/>
        </w:rPr>
      </w:pPr>
      <w:r>
        <w:rPr>
          <w:rFonts w:eastAsia="仿宋_GB2312"/>
          <w:sz w:val="32"/>
          <w:szCs w:val="32"/>
          <w:lang w:val="zh-CN"/>
        </w:rPr>
        <w:t>项目实施时间偏滞后，资金支付滞后。</w:t>
      </w:r>
    </w:p>
    <w:p>
      <w:pPr>
        <w:adjustRightInd w:val="0"/>
        <w:snapToGrid w:val="0"/>
        <w:spacing w:line="580" w:lineRule="exact"/>
        <w:ind w:firstLine="640" w:firstLineChars="200"/>
        <w:rPr>
          <w:rFonts w:eastAsia="楷体_GB2312"/>
          <w:sz w:val="32"/>
          <w:szCs w:val="32"/>
          <w:lang w:val="zh-CN"/>
        </w:rPr>
      </w:pPr>
      <w:r>
        <w:rPr>
          <w:rFonts w:eastAsia="楷体_GB2312"/>
          <w:sz w:val="32"/>
          <w:szCs w:val="32"/>
          <w:lang w:val="zh-CN"/>
        </w:rPr>
        <w:t>（三）相关建议。</w:t>
      </w:r>
    </w:p>
    <w:p>
      <w:pPr>
        <w:adjustRightInd w:val="0"/>
        <w:snapToGrid w:val="0"/>
        <w:spacing w:line="580" w:lineRule="exact"/>
        <w:ind w:firstLine="640" w:firstLineChars="200"/>
        <w:rPr>
          <w:rFonts w:eastAsia="仿宋_GB2312"/>
          <w:sz w:val="32"/>
          <w:szCs w:val="32"/>
          <w:lang w:val="zh-CN"/>
        </w:rPr>
      </w:pPr>
      <w:r>
        <w:rPr>
          <w:rFonts w:eastAsia="仿宋_GB2312"/>
          <w:sz w:val="32"/>
          <w:szCs w:val="32"/>
          <w:lang w:val="zh-CN"/>
        </w:rPr>
        <w:t>加强事前预算管理，进一步提升预算编制的科学性、合理性和准确性，细化项目执行方案，提高项目效益。</w:t>
      </w:r>
    </w:p>
    <w:p>
      <w:pPr>
        <w:rPr>
          <w:lang w:val="zh-CN"/>
        </w:rPr>
      </w:pPr>
      <w:r>
        <w:rPr>
          <w:lang w:val="zh-CN"/>
        </w:rPr>
        <w:br w:type="page"/>
      </w:r>
    </w:p>
    <w:p>
      <w:pPr>
        <w:pStyle w:val="2"/>
        <w:spacing w:before="93"/>
        <w:rPr>
          <w:rFonts w:ascii="Times New Roman"/>
          <w:sz w:val="32"/>
          <w:szCs w:val="32"/>
          <w:lang w:val="zh-CN"/>
        </w:rPr>
      </w:pPr>
    </w:p>
    <w:p>
      <w:pPr>
        <w:pStyle w:val="2"/>
        <w:spacing w:before="93"/>
        <w:rPr>
          <w:rFonts w:eastAsia="黑体"/>
          <w:sz w:val="32"/>
          <w:szCs w:val="32"/>
        </w:rPr>
      </w:pPr>
      <w:r>
        <w:rPr>
          <w:rFonts w:eastAsia="黑体"/>
          <w:sz w:val="32"/>
          <w:szCs w:val="32"/>
        </w:rPr>
        <w:t>2021年法警体能训练设备购置项目绩效目标自评</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722"/>
        <w:gridCol w:w="1473"/>
        <w:gridCol w:w="1535"/>
        <w:gridCol w:w="1211"/>
        <w:gridCol w:w="1862"/>
        <w:gridCol w:w="2008"/>
      </w:tblGrid>
      <w:tr>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主管部门及代码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四川省广元市中级人民法院  207001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实施单位</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四川省广元市中级人民法院</w:t>
            </w:r>
          </w:p>
        </w:tc>
      </w:tr>
      <w:tr>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项目预算</w:t>
            </w:r>
            <w:r>
              <w:rPr>
                <w:kern w:val="0"/>
                <w:sz w:val="24"/>
                <w:lang w:bidi="ar"/>
              </w:rPr>
              <w:br w:type="textWrapping"/>
            </w:r>
            <w:r>
              <w:rPr>
                <w:kern w:val="0"/>
                <w:sz w:val="24"/>
                <w:lang w:bidi="ar"/>
              </w:rPr>
              <w:t>执行情况</w:t>
            </w:r>
            <w:r>
              <w:rPr>
                <w:kern w:val="0"/>
                <w:sz w:val="24"/>
                <w:lang w:bidi="ar"/>
              </w:rPr>
              <w:br w:type="textWrapping"/>
            </w:r>
            <w:r>
              <w:rPr>
                <w:kern w:val="0"/>
                <w:sz w:val="24"/>
                <w:lang w:bidi="ar"/>
              </w:rPr>
              <w:t>（万元）</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预算数：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20万元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执行数：</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19.95万元</w:t>
            </w:r>
          </w:p>
        </w:tc>
      </w:tr>
      <w:tr>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其中：</w:t>
            </w:r>
          </w:p>
          <w:p>
            <w:pPr>
              <w:widowControl/>
              <w:spacing w:line="240" w:lineRule="exact"/>
              <w:jc w:val="center"/>
              <w:textAlignment w:val="center"/>
              <w:rPr>
                <w:sz w:val="24"/>
              </w:rPr>
            </w:pPr>
            <w:r>
              <w:rPr>
                <w:kern w:val="0"/>
                <w:sz w:val="24"/>
                <w:lang w:bidi="ar"/>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20万元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其中：</w:t>
            </w:r>
          </w:p>
          <w:p>
            <w:pPr>
              <w:widowControl/>
              <w:spacing w:line="240" w:lineRule="exact"/>
              <w:jc w:val="center"/>
              <w:textAlignment w:val="center"/>
              <w:rPr>
                <w:sz w:val="24"/>
              </w:rPr>
            </w:pPr>
            <w:r>
              <w:rPr>
                <w:kern w:val="0"/>
                <w:sz w:val="24"/>
                <w:lang w:bidi="ar"/>
              </w:rPr>
              <w:t>财政拨款</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19.95万元</w:t>
            </w:r>
          </w:p>
        </w:tc>
      </w:tr>
      <w:tr>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其他资金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p>
        </w:tc>
      </w:tr>
      <w:tr>
        <w:tblPrEx>
          <w:tblCellMar>
            <w:top w:w="0" w:type="dxa"/>
            <w:left w:w="108" w:type="dxa"/>
            <w:bottom w:w="0" w:type="dxa"/>
            <w:right w:w="108" w:type="dxa"/>
          </w:tblCellMar>
        </w:tblPrEx>
        <w:trPr>
          <w:trHeight w:val="217" w:hRule="atLeast"/>
        </w:trPr>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年度总体目标</w:t>
            </w:r>
          </w:p>
          <w:p>
            <w:pPr>
              <w:widowControl/>
              <w:spacing w:line="240" w:lineRule="exact"/>
              <w:jc w:val="center"/>
              <w:textAlignment w:val="center"/>
              <w:rPr>
                <w:sz w:val="24"/>
              </w:rPr>
            </w:pPr>
            <w:r>
              <w:rPr>
                <w:kern w:val="0"/>
                <w:sz w:val="24"/>
                <w:lang w:bidi="ar"/>
              </w:rPr>
              <w:t>完成情况</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预期目标</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目标实际完成情况</w:t>
            </w:r>
          </w:p>
        </w:tc>
      </w:tr>
      <w:tr>
        <w:tblPrEx>
          <w:tblCellMar>
            <w:top w:w="0" w:type="dxa"/>
            <w:left w:w="108" w:type="dxa"/>
            <w:bottom w:w="0" w:type="dxa"/>
            <w:right w:w="108" w:type="dxa"/>
          </w:tblCellMar>
        </w:tblPrEx>
        <w:trPr>
          <w:trHeight w:val="797" w:hRule="atLeast"/>
        </w:trPr>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top"/>
              <w:rPr>
                <w:sz w:val="24"/>
              </w:rPr>
            </w:pPr>
            <w:r>
              <w:rPr>
                <w:sz w:val="24"/>
              </w:rPr>
              <w:t>完成警务训练装备的购置，保障司法警察日常实战化训练的各类专用器材和设备等。</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top"/>
              <w:rPr>
                <w:sz w:val="24"/>
              </w:rPr>
            </w:pPr>
            <w:r>
              <w:rPr>
                <w:sz w:val="24"/>
              </w:rPr>
              <w:t>完成了警务训练所需各类专用器材和设备的购置，保障司法警察日常实战化训练需求。</w:t>
            </w:r>
          </w:p>
        </w:tc>
      </w:tr>
      <w:tr>
        <w:tblPrEx>
          <w:tblCellMar>
            <w:top w:w="0" w:type="dxa"/>
            <w:left w:w="108" w:type="dxa"/>
            <w:bottom w:w="0" w:type="dxa"/>
            <w:right w:w="108" w:type="dxa"/>
          </w:tblCellMar>
        </w:tblPrEx>
        <w:trPr>
          <w:trHeight w:val="693" w:hRule="atLeast"/>
        </w:trPr>
        <w:tc>
          <w:tcPr>
            <w:tcW w:w="1722"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年度绩效指标完成情况</w:t>
            </w:r>
          </w:p>
        </w:tc>
        <w:tc>
          <w:tcPr>
            <w:tcW w:w="147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一级</w:t>
            </w:r>
          </w:p>
          <w:p>
            <w:pPr>
              <w:widowControl/>
              <w:spacing w:line="240" w:lineRule="exact"/>
              <w:jc w:val="center"/>
              <w:textAlignment w:val="center"/>
              <w:rPr>
                <w:kern w:val="0"/>
                <w:sz w:val="24"/>
                <w:lang w:bidi="ar"/>
              </w:rPr>
            </w:pPr>
            <w:r>
              <w:rPr>
                <w:kern w:val="0"/>
                <w:sz w:val="24"/>
                <w:lang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二级</w:t>
            </w:r>
          </w:p>
          <w:p>
            <w:pPr>
              <w:widowControl/>
              <w:spacing w:line="240" w:lineRule="exact"/>
              <w:jc w:val="center"/>
              <w:textAlignment w:val="center"/>
              <w:rPr>
                <w:kern w:val="0"/>
                <w:sz w:val="24"/>
                <w:lang w:bidi="ar"/>
              </w:rPr>
            </w:pPr>
            <w:r>
              <w:rPr>
                <w:kern w:val="0"/>
                <w:sz w:val="24"/>
                <w:lang w:bidi="ar"/>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三级</w:t>
            </w:r>
          </w:p>
          <w:p>
            <w:pPr>
              <w:widowControl/>
              <w:spacing w:line="240" w:lineRule="exact"/>
              <w:jc w:val="center"/>
              <w:textAlignment w:val="center"/>
              <w:rPr>
                <w:kern w:val="0"/>
                <w:sz w:val="24"/>
                <w:lang w:bidi="ar"/>
              </w:rPr>
            </w:pPr>
            <w:r>
              <w:rPr>
                <w:kern w:val="0"/>
                <w:sz w:val="24"/>
                <w:lang w:bidi="ar"/>
              </w:rPr>
              <w:t>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预期指标值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实际完成指标值</w:t>
            </w:r>
          </w:p>
        </w:tc>
      </w:tr>
      <w:tr>
        <w:tblPrEx>
          <w:tblCellMar>
            <w:top w:w="0" w:type="dxa"/>
            <w:left w:w="108" w:type="dxa"/>
            <w:bottom w:w="0" w:type="dxa"/>
            <w:right w:w="108" w:type="dxa"/>
          </w:tblCellMar>
        </w:tblPrEx>
        <w:trPr>
          <w:trHeight w:val="415" w:hRule="atLeast"/>
        </w:trPr>
        <w:tc>
          <w:tcPr>
            <w:tcW w:w="1722"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完成</w:t>
            </w:r>
          </w:p>
          <w:p>
            <w:pPr>
              <w:widowControl/>
              <w:spacing w:line="240" w:lineRule="exact"/>
              <w:jc w:val="center"/>
              <w:textAlignment w:val="center"/>
              <w:rPr>
                <w:kern w:val="0"/>
                <w:sz w:val="24"/>
                <w:lang w:bidi="ar"/>
              </w:rPr>
            </w:pPr>
            <w:r>
              <w:rPr>
                <w:kern w:val="0"/>
                <w:sz w:val="24"/>
                <w:lang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数量指标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法警体能训练设备购置数量</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30件以上</w:t>
            </w:r>
          </w:p>
        </w:tc>
      </w:tr>
      <w:tr>
        <w:tblPrEx>
          <w:tblCellMar>
            <w:top w:w="0" w:type="dxa"/>
            <w:left w:w="108" w:type="dxa"/>
            <w:bottom w:w="0" w:type="dxa"/>
            <w:right w:w="108" w:type="dxa"/>
          </w:tblCellMar>
        </w:tblPrEx>
        <w:trPr>
          <w:trHeight w:val="415" w:hRule="atLeast"/>
        </w:trPr>
        <w:tc>
          <w:tcPr>
            <w:tcW w:w="1722"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质量指标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法警体能训练设备购置质量达标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法警体能训练设备购置质量达标，保障司法警察日常实战训练需求。</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完成了警务训练所需各类专用器材和设备的购置且质量达标，保障了司法警察日常实战训练需求。</w:t>
            </w:r>
          </w:p>
        </w:tc>
      </w:tr>
      <w:tr>
        <w:tblPrEx>
          <w:tblCellMar>
            <w:top w:w="0" w:type="dxa"/>
            <w:left w:w="108" w:type="dxa"/>
            <w:bottom w:w="0" w:type="dxa"/>
            <w:right w:w="108" w:type="dxa"/>
          </w:tblCellMar>
        </w:tblPrEx>
        <w:trPr>
          <w:trHeight w:val="415" w:hRule="atLeast"/>
        </w:trPr>
        <w:tc>
          <w:tcPr>
            <w:tcW w:w="1722"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时效指标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项目完成时间</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2021年12月31日前</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2021年12月31日前</w:t>
            </w:r>
          </w:p>
        </w:tc>
      </w:tr>
      <w:tr>
        <w:tblPrEx>
          <w:tblCellMar>
            <w:top w:w="0" w:type="dxa"/>
            <w:left w:w="108" w:type="dxa"/>
            <w:bottom w:w="0" w:type="dxa"/>
            <w:right w:w="108" w:type="dxa"/>
          </w:tblCellMar>
        </w:tblPrEx>
        <w:trPr>
          <w:trHeight w:val="480" w:hRule="atLeast"/>
        </w:trPr>
        <w:tc>
          <w:tcPr>
            <w:tcW w:w="1722"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法警体能训练设备购置成本</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≤20万元</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19.95万元</w:t>
            </w:r>
          </w:p>
        </w:tc>
      </w:tr>
      <w:tr>
        <w:tblPrEx>
          <w:tblCellMar>
            <w:top w:w="0" w:type="dxa"/>
            <w:left w:w="108" w:type="dxa"/>
            <w:bottom w:w="0" w:type="dxa"/>
            <w:right w:w="108" w:type="dxa"/>
          </w:tblCellMar>
        </w:tblPrEx>
        <w:trPr>
          <w:trHeight w:val="1688" w:hRule="atLeast"/>
        </w:trPr>
        <w:tc>
          <w:tcPr>
            <w:tcW w:w="1722"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效益</w:t>
            </w:r>
            <w:r>
              <w:rPr>
                <w:kern w:val="0"/>
                <w:sz w:val="24"/>
                <w:lang w:bidi="ar"/>
              </w:rPr>
              <w:br w:type="textWrapping"/>
            </w:r>
            <w:r>
              <w:rPr>
                <w:kern w:val="0"/>
                <w:sz w:val="24"/>
                <w:lang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可持续影响 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法警体能训练设备购置对我院案件办理正面影响</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利于协助我院高效完成各类审判、执行工作，切实维护司法公平正义。</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法警体能训练设备的购置，能及时保障司法警察日常实战化训练需求，提升法警身体素质和体能，协助我院完成刑事审判值庭、嫌疑人押解、办公办案场所安全保障等重要工作。</w:t>
            </w:r>
          </w:p>
        </w:tc>
      </w:tr>
      <w:tr>
        <w:tblPrEx>
          <w:tblCellMar>
            <w:top w:w="0" w:type="dxa"/>
            <w:left w:w="108" w:type="dxa"/>
            <w:bottom w:w="0" w:type="dxa"/>
            <w:right w:w="108" w:type="dxa"/>
          </w:tblCellMar>
        </w:tblPrEx>
        <w:trPr>
          <w:trHeight w:val="530" w:hRule="atLeast"/>
        </w:trPr>
        <w:tc>
          <w:tcPr>
            <w:tcW w:w="1722"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仿宋_GB2312"/>
                <w:sz w:val="28"/>
                <w:szCs w:val="28"/>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eastAsia="仿宋_GB2312"/>
                <w:sz w:val="28"/>
                <w:szCs w:val="28"/>
              </w:rPr>
            </w:pPr>
            <w:r>
              <w:rPr>
                <w:kern w:val="0"/>
                <w:sz w:val="24"/>
                <w:lang w:bidi="ar"/>
              </w:rPr>
              <w:t>满意</w:t>
            </w:r>
            <w:r>
              <w:rPr>
                <w:kern w:val="0"/>
                <w:sz w:val="24"/>
                <w:lang w:bidi="ar"/>
              </w:rPr>
              <w:br w:type="textWrapping"/>
            </w:r>
            <w:r>
              <w:rPr>
                <w:kern w:val="0"/>
                <w:sz w:val="24"/>
                <w:lang w:bidi="ar"/>
              </w:rPr>
              <w:t>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满意度</w:t>
            </w:r>
          </w:p>
          <w:p>
            <w:pPr>
              <w:widowControl/>
              <w:spacing w:line="240" w:lineRule="exact"/>
              <w:jc w:val="center"/>
              <w:textAlignment w:val="center"/>
              <w:rPr>
                <w:kern w:val="0"/>
                <w:sz w:val="24"/>
                <w:lang w:bidi="ar"/>
              </w:rPr>
            </w:pPr>
            <w:r>
              <w:rPr>
                <w:kern w:val="0"/>
                <w:sz w:val="24"/>
                <w:lang w:bidi="ar"/>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法警对体能训练设备购置满意度</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≥95%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≥95%</w:t>
            </w:r>
          </w:p>
        </w:tc>
      </w:tr>
    </w:tbl>
    <w:p/>
    <w:p>
      <w:pPr>
        <w:widowControl/>
        <w:jc w:val="left"/>
        <w:rPr>
          <w:rFonts w:ascii="仿宋_GB2312" w:eastAsia="黑体"/>
          <w:kern w:val="0"/>
          <w:sz w:val="32"/>
          <w:szCs w:val="32"/>
        </w:rPr>
      </w:pPr>
      <w:r>
        <w:rPr>
          <w:rFonts w:eastAsia="黑体"/>
          <w:sz w:val="32"/>
          <w:szCs w:val="32"/>
        </w:rPr>
        <w:br w:type="page"/>
      </w:r>
    </w:p>
    <w:p>
      <w:pPr>
        <w:pStyle w:val="2"/>
        <w:spacing w:before="93"/>
        <w:rPr>
          <w:rFonts w:ascii="Times New Roman"/>
          <w:sz w:val="32"/>
          <w:szCs w:val="32"/>
        </w:rPr>
      </w:pPr>
      <w:r>
        <w:rPr>
          <w:rFonts w:ascii="Times New Roman"/>
          <w:sz w:val="32"/>
          <w:szCs w:val="32"/>
        </w:rPr>
        <w:t>附件5：</w:t>
      </w:r>
    </w:p>
    <w:p>
      <w:pPr>
        <w:pStyle w:val="33"/>
        <w:spacing w:line="576" w:lineRule="exact"/>
        <w:rPr>
          <w:rFonts w:ascii="Times New Roman" w:hAnsi="Times New Roman" w:eastAsia="方正小标宋简体"/>
          <w:color w:val="auto"/>
          <w:kern w:val="2"/>
          <w:sz w:val="40"/>
          <w:szCs w:val="40"/>
          <w:lang w:val="en-US"/>
        </w:rPr>
      </w:pPr>
    </w:p>
    <w:p>
      <w:pPr>
        <w:pStyle w:val="33"/>
        <w:spacing w:line="64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四川省广元市中级人民法院</w:t>
      </w:r>
    </w:p>
    <w:p>
      <w:pPr>
        <w:pStyle w:val="33"/>
        <w:spacing w:line="64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lang w:val="en-US"/>
        </w:rPr>
        <w:t>2021年</w:t>
      </w:r>
      <w:r>
        <w:rPr>
          <w:rFonts w:ascii="Times New Roman" w:hAnsi="Times New Roman" w:eastAsia="方正小标宋简体"/>
          <w:color w:val="auto"/>
          <w:kern w:val="2"/>
          <w:sz w:val="44"/>
          <w:szCs w:val="44"/>
        </w:rPr>
        <w:t>法院购买社会化服务项目绩效</w:t>
      </w:r>
    </w:p>
    <w:p>
      <w:pPr>
        <w:pStyle w:val="33"/>
        <w:spacing w:line="64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rPr>
        <w:t>自</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评</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报</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告</w:t>
      </w:r>
    </w:p>
    <w:p>
      <w:pPr>
        <w:adjustRightInd w:val="0"/>
        <w:snapToGrid w:val="0"/>
        <w:spacing w:line="640" w:lineRule="exact"/>
        <w:rPr>
          <w:rFonts w:eastAsia="黑体"/>
        </w:rPr>
      </w:pPr>
    </w:p>
    <w:p>
      <w:pPr>
        <w:adjustRightInd w:val="0"/>
        <w:snapToGrid w:val="0"/>
        <w:spacing w:line="640" w:lineRule="exact"/>
        <w:ind w:firstLine="720"/>
        <w:rPr>
          <w:rFonts w:ascii="方正黑体简体" w:eastAsia="方正黑体简体"/>
          <w:sz w:val="32"/>
          <w:szCs w:val="32"/>
        </w:rPr>
      </w:pPr>
      <w:r>
        <w:rPr>
          <w:rFonts w:ascii="方正黑体简体" w:eastAsia="方正黑体简体"/>
          <w:sz w:val="32"/>
          <w:szCs w:val="32"/>
        </w:rPr>
        <w:t>一、项目概况</w:t>
      </w:r>
    </w:p>
    <w:p>
      <w:pPr>
        <w:adjustRightInd w:val="0"/>
        <w:snapToGrid w:val="0"/>
        <w:spacing w:line="640" w:lineRule="exact"/>
        <w:ind w:firstLine="640" w:firstLineChars="200"/>
        <w:rPr>
          <w:rFonts w:eastAsia="楷体_GB2312"/>
          <w:sz w:val="32"/>
          <w:szCs w:val="32"/>
          <w:lang w:val="zh-CN"/>
        </w:rPr>
      </w:pPr>
      <w:r>
        <w:rPr>
          <w:rFonts w:eastAsia="楷体_GB2312"/>
          <w:sz w:val="32"/>
          <w:szCs w:val="32"/>
          <w:lang w:val="zh-CN"/>
        </w:rPr>
        <w:t>（一）项目基本情况。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1．说明项目主管部门（单位）在该项目管理中的职能。</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负责法院购买社会化服务项目年初预算的编制和绩效目标的设置，确保项目预算的科学性、合理性、可行性。</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40" w:lineRule="exact"/>
        <w:ind w:firstLine="640" w:firstLineChars="200"/>
        <w:rPr>
          <w:sz w:val="32"/>
          <w:szCs w:val="32"/>
          <w:lang w:val="zh-CN"/>
        </w:rPr>
      </w:pPr>
      <w:r>
        <w:rPr>
          <w:rFonts w:eastAsia="仿宋_GB2312"/>
          <w:sz w:val="32"/>
          <w:szCs w:val="32"/>
          <w:lang w:val="zh-CN"/>
        </w:rPr>
        <w:t>项目完成后的决算编审、绩效目标考核和项目自评，以及其他与项目相关工作。</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项目立项、资金申报的依据。</w:t>
      </w:r>
    </w:p>
    <w:p>
      <w:pPr>
        <w:adjustRightInd w:val="0"/>
        <w:snapToGrid w:val="0"/>
        <w:spacing w:line="640" w:lineRule="exact"/>
        <w:ind w:firstLine="640" w:firstLineChars="200"/>
        <w:rPr>
          <w:rFonts w:eastAsia="仿宋_GB2312"/>
          <w:sz w:val="32"/>
          <w:szCs w:val="32"/>
        </w:rPr>
      </w:pPr>
      <w:r>
        <w:rPr>
          <w:rFonts w:eastAsia="仿宋_GB2312"/>
          <w:sz w:val="32"/>
          <w:szCs w:val="32"/>
          <w:lang w:val="zh-CN"/>
        </w:rPr>
        <w:t>根据《关于印发市级有关部门政府购买服务指导性目录的通知》广财综[2018]172号，加快推进政府购买服务改革，进一步规范购买社会化服务工作。202</w:t>
      </w:r>
      <w:r>
        <w:rPr>
          <w:rFonts w:eastAsia="仿宋_GB2312"/>
          <w:sz w:val="32"/>
          <w:szCs w:val="32"/>
        </w:rPr>
        <w:t>1</w:t>
      </w:r>
      <w:r>
        <w:rPr>
          <w:rFonts w:eastAsia="仿宋_GB2312"/>
          <w:sz w:val="32"/>
          <w:szCs w:val="32"/>
          <w:lang w:val="zh-CN"/>
        </w:rPr>
        <w:t>年，我院根据往年购买社会化服务实施情况及本年项目开展实际情况，申报法院文化建设经费项目资金</w:t>
      </w:r>
      <w:r>
        <w:rPr>
          <w:rFonts w:eastAsia="仿宋_GB2312"/>
          <w:sz w:val="32"/>
          <w:szCs w:val="32"/>
        </w:rPr>
        <w:t>100</w:t>
      </w:r>
      <w:r>
        <w:rPr>
          <w:rFonts w:eastAsia="仿宋_GB2312"/>
          <w:sz w:val="32"/>
          <w:szCs w:val="32"/>
          <w:lang w:val="zh-CN"/>
        </w:rPr>
        <w:t>万元。</w:t>
      </w:r>
    </w:p>
    <w:p>
      <w:pPr>
        <w:adjustRightInd w:val="0"/>
        <w:snapToGrid w:val="0"/>
        <w:spacing w:line="640" w:lineRule="exact"/>
        <w:ind w:firstLine="640" w:firstLineChars="200"/>
        <w:rPr>
          <w:sz w:val="32"/>
          <w:szCs w:val="32"/>
          <w:lang w:val="zh-CN"/>
        </w:rPr>
      </w:pPr>
      <w:r>
        <w:rPr>
          <w:sz w:val="32"/>
          <w:szCs w:val="32"/>
        </w:rPr>
        <w:t>3.</w:t>
      </w:r>
      <w:r>
        <w:rPr>
          <w:rFonts w:eastAsia="仿宋_GB2312"/>
          <w:sz w:val="32"/>
          <w:szCs w:val="32"/>
          <w:lang w:val="zh-CN"/>
        </w:rPr>
        <w:t>资金管理办法制定情况，资金支持具体项目的条件、范围与支持方式概况。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购买社会化服务项目预算编制立足上年项目执行情况和当年工作实际，绩效目标和项目指标编制科学、合理。</w:t>
      </w:r>
    </w:p>
    <w:p>
      <w:pPr>
        <w:adjustRightInd w:val="0"/>
        <w:snapToGrid w:val="0"/>
        <w:spacing w:line="640" w:lineRule="exact"/>
        <w:ind w:firstLine="640" w:firstLineChars="200"/>
        <w:rPr>
          <w:sz w:val="32"/>
          <w:szCs w:val="32"/>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4.</w:t>
      </w:r>
      <w:r>
        <w:rPr>
          <w:rFonts w:eastAsia="仿宋_GB2312"/>
          <w:sz w:val="32"/>
          <w:szCs w:val="32"/>
          <w:lang w:val="zh-CN"/>
        </w:rPr>
        <w:t>资金分配的原则及考虑因素。</w:t>
      </w:r>
    </w:p>
    <w:p>
      <w:pPr>
        <w:adjustRightInd w:val="0"/>
        <w:snapToGrid w:val="0"/>
        <w:spacing w:line="640" w:lineRule="exact"/>
        <w:ind w:firstLine="640" w:firstLineChars="200"/>
        <w:rPr>
          <w:sz w:val="32"/>
          <w:szCs w:val="32"/>
          <w:lang w:val="zh-CN"/>
        </w:rPr>
      </w:pPr>
      <w:r>
        <w:rPr>
          <w:rFonts w:eastAsia="仿宋_GB2312"/>
          <w:sz w:val="32"/>
          <w:szCs w:val="32"/>
          <w:lang w:val="zh-CN"/>
        </w:rPr>
        <w:t>购买社会化服务项目资金分配严格按照预算安排，主要用于保障购买专业化的审判楼物业管理服务和电子卷宗扫描服务。</w:t>
      </w:r>
    </w:p>
    <w:p>
      <w:pPr>
        <w:adjustRightInd w:val="0"/>
        <w:snapToGrid w:val="0"/>
        <w:spacing w:line="640" w:lineRule="exact"/>
        <w:ind w:firstLine="640" w:firstLineChars="200"/>
        <w:rPr>
          <w:rFonts w:eastAsia="楷体_GB2312"/>
          <w:sz w:val="32"/>
          <w:szCs w:val="32"/>
          <w:lang w:val="zh-CN"/>
        </w:rPr>
      </w:pPr>
      <w:r>
        <w:rPr>
          <w:rFonts w:eastAsia="楷体_GB2312"/>
          <w:sz w:val="32"/>
          <w:szCs w:val="32"/>
          <w:lang w:val="zh-CN"/>
        </w:rPr>
        <w:t>（二）项目绩效目标。</w:t>
      </w:r>
    </w:p>
    <w:p>
      <w:pPr>
        <w:adjustRightInd w:val="0"/>
        <w:snapToGrid w:val="0"/>
        <w:spacing w:line="640" w:lineRule="exact"/>
        <w:ind w:firstLine="640" w:firstLineChars="200"/>
        <w:rPr>
          <w:rFonts w:eastAsia="仿宋_GB2312"/>
          <w:sz w:val="32"/>
          <w:szCs w:val="32"/>
          <w:lang w:val="zh-CN"/>
        </w:rPr>
      </w:pPr>
      <w:r>
        <w:rPr>
          <w:sz w:val="32"/>
          <w:szCs w:val="32"/>
          <w:lang w:val="zh-CN"/>
        </w:rPr>
        <w:t>1</w:t>
      </w:r>
      <w:r>
        <w:rPr>
          <w:rFonts w:eastAsia="仿宋_GB2312"/>
          <w:sz w:val="32"/>
          <w:szCs w:val="32"/>
          <w:lang w:val="zh-CN"/>
        </w:rPr>
        <w:t>．项目主要内容。</w:t>
      </w:r>
    </w:p>
    <w:p>
      <w:pPr>
        <w:adjustRightInd w:val="0"/>
        <w:snapToGrid w:val="0"/>
        <w:spacing w:line="640" w:lineRule="exact"/>
        <w:ind w:firstLine="640" w:firstLineChars="200"/>
        <w:rPr>
          <w:rFonts w:eastAsia="仿宋_GB2312"/>
          <w:sz w:val="32"/>
          <w:szCs w:val="32"/>
        </w:rPr>
      </w:pP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购买社会化服务项目</w:t>
      </w:r>
      <w:r>
        <w:rPr>
          <w:rFonts w:eastAsia="仿宋_GB2312"/>
          <w:sz w:val="32"/>
          <w:szCs w:val="32"/>
        </w:rPr>
        <w:t>主要是保障购买专业化的审判楼物业管理服务和电子卷宗扫描服务，保障了审判大楼及办公区干净整洁，畅通了办公办案秩序，提升了干警办案质效，实现减负增效的同时保证社会效益最大化。</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项目应实现的具体绩效目标，包括目标的量化、细化情况以及项目实施进度计划等。</w:t>
      </w:r>
    </w:p>
    <w:p>
      <w:pPr>
        <w:adjustRightInd w:val="0"/>
        <w:snapToGrid w:val="0"/>
        <w:spacing w:line="640" w:lineRule="exact"/>
        <w:rPr>
          <w:lang w:val="zh-CN"/>
        </w:rPr>
      </w:pPr>
    </w:p>
    <w:p>
      <w:pPr>
        <w:adjustRightInd w:val="0"/>
        <w:snapToGrid w:val="0"/>
        <w:spacing w:line="576" w:lineRule="exact"/>
        <w:rPr>
          <w:lang w:val="zh-CN"/>
        </w:rPr>
      </w:pPr>
    </w:p>
    <w:tbl>
      <w:tblPr>
        <w:tblStyle w:val="14"/>
        <w:tblW w:w="9743"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934"/>
        <w:gridCol w:w="1668"/>
        <w:gridCol w:w="1676"/>
        <w:gridCol w:w="2029"/>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trPr>
        <w:tc>
          <w:tcPr>
            <w:tcW w:w="960" w:type="dxa"/>
            <w:vMerge w:val="restart"/>
            <w:shd w:val="clear" w:color="auto" w:fill="auto"/>
            <w:vAlign w:val="center"/>
          </w:tcPr>
          <w:p>
            <w:pPr>
              <w:widowControl/>
              <w:jc w:val="center"/>
              <w:textAlignment w:val="center"/>
              <w:rPr>
                <w:color w:val="000000"/>
                <w:sz w:val="24"/>
              </w:rPr>
            </w:pPr>
            <w:r>
              <w:rPr>
                <w:color w:val="000000"/>
                <w:kern w:val="0"/>
                <w:sz w:val="24"/>
                <w:lang w:bidi="ar"/>
              </w:rPr>
              <w:t>年度</w:t>
            </w:r>
            <w:r>
              <w:rPr>
                <w:color w:val="000000"/>
                <w:kern w:val="0"/>
                <w:sz w:val="24"/>
                <w:lang w:bidi="ar"/>
              </w:rPr>
              <w:br w:type="textWrapping"/>
            </w:r>
            <w:r>
              <w:rPr>
                <w:color w:val="000000"/>
                <w:kern w:val="0"/>
                <w:sz w:val="24"/>
                <w:lang w:bidi="ar"/>
              </w:rPr>
              <w:t>绩效</w:t>
            </w:r>
            <w:r>
              <w:rPr>
                <w:color w:val="000000"/>
                <w:kern w:val="0"/>
                <w:sz w:val="24"/>
                <w:lang w:bidi="ar"/>
              </w:rPr>
              <w:br w:type="textWrapping"/>
            </w:r>
            <w:r>
              <w:rPr>
                <w:color w:val="000000"/>
                <w:kern w:val="0"/>
                <w:sz w:val="24"/>
                <w:lang w:bidi="ar"/>
              </w:rPr>
              <w:t>指标</w:t>
            </w:r>
            <w:r>
              <w:rPr>
                <w:color w:val="000000"/>
                <w:kern w:val="0"/>
                <w:sz w:val="24"/>
                <w:lang w:bidi="ar"/>
              </w:rPr>
              <w:br w:type="textWrapping"/>
            </w:r>
            <w:r>
              <w:rPr>
                <w:color w:val="000000"/>
                <w:kern w:val="0"/>
                <w:sz w:val="24"/>
                <w:lang w:bidi="ar"/>
              </w:rPr>
              <w:t>完成</w:t>
            </w:r>
            <w:r>
              <w:rPr>
                <w:color w:val="000000"/>
                <w:kern w:val="0"/>
                <w:sz w:val="24"/>
                <w:lang w:bidi="ar"/>
              </w:rPr>
              <w:br w:type="textWrapping"/>
            </w:r>
            <w:r>
              <w:rPr>
                <w:color w:val="000000"/>
                <w:kern w:val="0"/>
                <w:sz w:val="24"/>
                <w:lang w:bidi="ar"/>
              </w:rPr>
              <w:t>情况</w:t>
            </w:r>
          </w:p>
        </w:tc>
        <w:tc>
          <w:tcPr>
            <w:tcW w:w="934" w:type="dxa"/>
            <w:shd w:val="clear" w:color="auto" w:fill="auto"/>
            <w:vAlign w:val="center"/>
          </w:tcPr>
          <w:p>
            <w:pPr>
              <w:widowControl/>
              <w:jc w:val="center"/>
              <w:textAlignment w:val="center"/>
              <w:rPr>
                <w:color w:val="000000"/>
                <w:sz w:val="24"/>
              </w:rPr>
            </w:pPr>
            <w:r>
              <w:rPr>
                <w:color w:val="000000"/>
                <w:kern w:val="0"/>
                <w:sz w:val="24"/>
                <w:lang w:bidi="ar"/>
              </w:rPr>
              <w:t>一级指标</w:t>
            </w:r>
          </w:p>
        </w:tc>
        <w:tc>
          <w:tcPr>
            <w:tcW w:w="1668" w:type="dxa"/>
            <w:shd w:val="clear" w:color="auto" w:fill="auto"/>
            <w:vAlign w:val="center"/>
          </w:tcPr>
          <w:p>
            <w:pPr>
              <w:widowControl/>
              <w:jc w:val="center"/>
              <w:textAlignment w:val="center"/>
              <w:rPr>
                <w:color w:val="000000"/>
                <w:sz w:val="24"/>
              </w:rPr>
            </w:pPr>
            <w:r>
              <w:rPr>
                <w:color w:val="000000"/>
                <w:kern w:val="0"/>
                <w:sz w:val="24"/>
                <w:lang w:bidi="ar"/>
              </w:rPr>
              <w:t>二级指标</w:t>
            </w:r>
          </w:p>
        </w:tc>
        <w:tc>
          <w:tcPr>
            <w:tcW w:w="1676" w:type="dxa"/>
            <w:shd w:val="clear" w:color="auto" w:fill="auto"/>
            <w:vAlign w:val="center"/>
          </w:tcPr>
          <w:p>
            <w:pPr>
              <w:widowControl/>
              <w:jc w:val="center"/>
              <w:textAlignment w:val="center"/>
              <w:rPr>
                <w:color w:val="000000"/>
                <w:sz w:val="24"/>
              </w:rPr>
            </w:pPr>
            <w:r>
              <w:rPr>
                <w:color w:val="000000"/>
                <w:kern w:val="0"/>
                <w:sz w:val="24"/>
                <w:lang w:bidi="ar"/>
              </w:rPr>
              <w:t>三级指标</w:t>
            </w:r>
          </w:p>
        </w:tc>
        <w:tc>
          <w:tcPr>
            <w:tcW w:w="2029" w:type="dxa"/>
            <w:shd w:val="clear" w:color="auto" w:fill="auto"/>
            <w:vAlign w:val="center"/>
          </w:tcPr>
          <w:p>
            <w:pPr>
              <w:widowControl/>
              <w:jc w:val="center"/>
              <w:textAlignment w:val="center"/>
              <w:rPr>
                <w:color w:val="000000"/>
                <w:sz w:val="24"/>
              </w:rPr>
            </w:pPr>
            <w:r>
              <w:rPr>
                <w:color w:val="000000"/>
                <w:kern w:val="0"/>
                <w:sz w:val="24"/>
                <w:lang w:bidi="ar"/>
              </w:rPr>
              <w:t>指标值（包含数字及文字描述）</w:t>
            </w:r>
          </w:p>
        </w:tc>
        <w:tc>
          <w:tcPr>
            <w:tcW w:w="2476" w:type="dxa"/>
            <w:shd w:val="clear" w:color="auto" w:fill="auto"/>
            <w:vAlign w:val="center"/>
          </w:tcPr>
          <w:p>
            <w:pPr>
              <w:widowControl/>
              <w:jc w:val="center"/>
              <w:textAlignment w:val="center"/>
              <w:rPr>
                <w:color w:val="000000"/>
                <w:sz w:val="24"/>
              </w:rPr>
            </w:pPr>
            <w:r>
              <w:rPr>
                <w:color w:val="000000"/>
                <w:kern w:val="0"/>
                <w:sz w:val="24"/>
                <w:lang w:bidi="ar"/>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1" w:hRule="atLeast"/>
        </w:trPr>
        <w:tc>
          <w:tcPr>
            <w:tcW w:w="960" w:type="dxa"/>
            <w:vMerge w:val="continue"/>
            <w:shd w:val="clear" w:color="auto" w:fill="auto"/>
            <w:vAlign w:val="center"/>
          </w:tcPr>
          <w:p>
            <w:pPr>
              <w:jc w:val="center"/>
              <w:rPr>
                <w:color w:val="000000"/>
                <w:sz w:val="24"/>
              </w:rPr>
            </w:pPr>
          </w:p>
        </w:tc>
        <w:tc>
          <w:tcPr>
            <w:tcW w:w="934" w:type="dxa"/>
            <w:vMerge w:val="restart"/>
            <w:shd w:val="clear" w:color="auto" w:fill="auto"/>
            <w:vAlign w:val="center"/>
          </w:tcPr>
          <w:p>
            <w:pPr>
              <w:widowControl/>
              <w:jc w:val="center"/>
              <w:textAlignment w:val="center"/>
              <w:rPr>
                <w:color w:val="000000"/>
                <w:sz w:val="24"/>
              </w:rPr>
            </w:pPr>
            <w:r>
              <w:rPr>
                <w:color w:val="000000"/>
                <w:kern w:val="0"/>
                <w:sz w:val="24"/>
                <w:lang w:bidi="ar"/>
              </w:rPr>
              <w:t>项目完成指标</w:t>
            </w:r>
          </w:p>
        </w:tc>
        <w:tc>
          <w:tcPr>
            <w:tcW w:w="1668" w:type="dxa"/>
            <w:shd w:val="clear" w:color="auto" w:fill="auto"/>
            <w:vAlign w:val="center"/>
          </w:tcPr>
          <w:p>
            <w:pPr>
              <w:widowControl/>
              <w:jc w:val="center"/>
              <w:textAlignment w:val="center"/>
              <w:rPr>
                <w:color w:val="000000"/>
                <w:sz w:val="24"/>
              </w:rPr>
            </w:pPr>
            <w:r>
              <w:rPr>
                <w:color w:val="000000"/>
                <w:kern w:val="0"/>
                <w:sz w:val="24"/>
                <w:lang w:bidi="ar"/>
              </w:rPr>
              <w:t>数量指标</w:t>
            </w:r>
          </w:p>
        </w:tc>
        <w:tc>
          <w:tcPr>
            <w:tcW w:w="1676" w:type="dxa"/>
            <w:shd w:val="clear" w:color="auto" w:fill="auto"/>
            <w:vAlign w:val="center"/>
          </w:tcPr>
          <w:p>
            <w:pPr>
              <w:widowControl/>
              <w:jc w:val="center"/>
              <w:textAlignment w:val="center"/>
              <w:rPr>
                <w:color w:val="000000"/>
                <w:sz w:val="24"/>
              </w:rPr>
            </w:pPr>
            <w:r>
              <w:rPr>
                <w:color w:val="000000"/>
                <w:kern w:val="0"/>
                <w:sz w:val="24"/>
                <w:lang w:bidi="ar"/>
              </w:rPr>
              <w:t>社会化服务质量</w:t>
            </w:r>
          </w:p>
        </w:tc>
        <w:tc>
          <w:tcPr>
            <w:tcW w:w="2029" w:type="dxa"/>
            <w:shd w:val="clear" w:color="auto" w:fill="auto"/>
            <w:vAlign w:val="center"/>
          </w:tcPr>
          <w:p>
            <w:pPr>
              <w:widowControl/>
              <w:jc w:val="center"/>
              <w:textAlignment w:val="center"/>
              <w:rPr>
                <w:color w:val="000000"/>
                <w:sz w:val="24"/>
              </w:rPr>
            </w:pPr>
            <w:r>
              <w:rPr>
                <w:color w:val="000000"/>
                <w:kern w:val="0"/>
                <w:sz w:val="24"/>
                <w:lang w:bidi="ar"/>
              </w:rPr>
              <w:t>物业管理服务中审判区及办公区清洁，门卫值守、会议服务等方面服务质量达标。电子扫描卷宗质量达标，扫描成果验收合格。</w:t>
            </w:r>
          </w:p>
        </w:tc>
        <w:tc>
          <w:tcPr>
            <w:tcW w:w="2476" w:type="dxa"/>
            <w:shd w:val="clear" w:color="auto" w:fill="auto"/>
            <w:vAlign w:val="center"/>
          </w:tcPr>
          <w:p>
            <w:pPr>
              <w:widowControl/>
              <w:jc w:val="center"/>
              <w:textAlignment w:val="center"/>
              <w:rPr>
                <w:color w:val="000000"/>
                <w:sz w:val="24"/>
              </w:rPr>
            </w:pPr>
            <w:r>
              <w:rPr>
                <w:color w:val="000000"/>
                <w:kern w:val="0"/>
                <w:sz w:val="24"/>
                <w:lang w:bidi="ar"/>
              </w:rPr>
              <w:t>物业管理服务质量达标，电子卷宗扫描成果验收合格。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5" w:hRule="atLeast"/>
        </w:trPr>
        <w:tc>
          <w:tcPr>
            <w:tcW w:w="960" w:type="dxa"/>
            <w:vMerge w:val="continue"/>
            <w:shd w:val="clear" w:color="auto" w:fill="auto"/>
            <w:vAlign w:val="center"/>
          </w:tcPr>
          <w:p>
            <w:pPr>
              <w:jc w:val="center"/>
              <w:rPr>
                <w:color w:val="000000"/>
                <w:sz w:val="24"/>
              </w:rPr>
            </w:pPr>
          </w:p>
        </w:tc>
        <w:tc>
          <w:tcPr>
            <w:tcW w:w="934" w:type="dxa"/>
            <w:vMerge w:val="continue"/>
            <w:shd w:val="clear" w:color="auto" w:fill="auto"/>
            <w:vAlign w:val="center"/>
          </w:tcPr>
          <w:p>
            <w:pPr>
              <w:jc w:val="center"/>
              <w:rPr>
                <w:color w:val="000000"/>
                <w:sz w:val="24"/>
              </w:rPr>
            </w:pPr>
          </w:p>
        </w:tc>
        <w:tc>
          <w:tcPr>
            <w:tcW w:w="1668" w:type="dxa"/>
            <w:shd w:val="clear" w:color="auto" w:fill="auto"/>
            <w:vAlign w:val="center"/>
          </w:tcPr>
          <w:p>
            <w:pPr>
              <w:widowControl/>
              <w:jc w:val="center"/>
              <w:textAlignment w:val="center"/>
              <w:rPr>
                <w:color w:val="000000"/>
                <w:sz w:val="24"/>
              </w:rPr>
            </w:pPr>
            <w:r>
              <w:rPr>
                <w:color w:val="000000"/>
                <w:kern w:val="0"/>
                <w:sz w:val="24"/>
                <w:lang w:bidi="ar"/>
              </w:rPr>
              <w:t>时效指标</w:t>
            </w:r>
          </w:p>
        </w:tc>
        <w:tc>
          <w:tcPr>
            <w:tcW w:w="1676" w:type="dxa"/>
            <w:shd w:val="clear" w:color="auto" w:fill="auto"/>
            <w:vAlign w:val="center"/>
          </w:tcPr>
          <w:p>
            <w:pPr>
              <w:widowControl/>
              <w:jc w:val="center"/>
              <w:textAlignment w:val="center"/>
              <w:rPr>
                <w:sz w:val="24"/>
              </w:rPr>
            </w:pPr>
            <w:r>
              <w:rPr>
                <w:color w:val="000000"/>
                <w:kern w:val="0"/>
                <w:sz w:val="24"/>
                <w:lang w:bidi="ar"/>
              </w:rPr>
              <w:t>该项目完成时间</w:t>
            </w:r>
          </w:p>
        </w:tc>
        <w:tc>
          <w:tcPr>
            <w:tcW w:w="2029" w:type="dxa"/>
            <w:shd w:val="clear" w:color="auto" w:fill="auto"/>
            <w:vAlign w:val="center"/>
          </w:tcPr>
          <w:p>
            <w:pPr>
              <w:widowControl/>
              <w:jc w:val="center"/>
              <w:textAlignment w:val="center"/>
              <w:rPr>
                <w:color w:val="000000"/>
                <w:sz w:val="24"/>
              </w:rPr>
            </w:pPr>
            <w:r>
              <w:rPr>
                <w:color w:val="000000"/>
                <w:kern w:val="0"/>
                <w:sz w:val="24"/>
                <w:lang w:bidi="ar"/>
              </w:rPr>
              <w:t>2021年12月31日前</w:t>
            </w:r>
          </w:p>
        </w:tc>
        <w:tc>
          <w:tcPr>
            <w:tcW w:w="2476" w:type="dxa"/>
            <w:shd w:val="clear" w:color="auto" w:fill="auto"/>
            <w:vAlign w:val="center"/>
          </w:tcPr>
          <w:p>
            <w:pPr>
              <w:widowControl/>
              <w:jc w:val="center"/>
              <w:textAlignment w:val="center"/>
              <w:rPr>
                <w:color w:val="000000"/>
                <w:sz w:val="24"/>
              </w:rPr>
            </w:pPr>
            <w:r>
              <w:rPr>
                <w:color w:val="000000"/>
                <w:kern w:val="0"/>
                <w:sz w:val="24"/>
                <w:lang w:bidi="ar"/>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3" w:hRule="atLeast"/>
        </w:trPr>
        <w:tc>
          <w:tcPr>
            <w:tcW w:w="960" w:type="dxa"/>
            <w:vMerge w:val="continue"/>
            <w:shd w:val="clear" w:color="auto" w:fill="auto"/>
            <w:vAlign w:val="center"/>
          </w:tcPr>
          <w:p>
            <w:pPr>
              <w:jc w:val="center"/>
              <w:rPr>
                <w:color w:val="000000"/>
                <w:sz w:val="24"/>
              </w:rPr>
            </w:pPr>
          </w:p>
        </w:tc>
        <w:tc>
          <w:tcPr>
            <w:tcW w:w="934" w:type="dxa"/>
            <w:vMerge w:val="continue"/>
            <w:shd w:val="clear" w:color="auto" w:fill="auto"/>
            <w:vAlign w:val="center"/>
          </w:tcPr>
          <w:p>
            <w:pPr>
              <w:jc w:val="center"/>
              <w:rPr>
                <w:color w:val="000000"/>
                <w:sz w:val="24"/>
              </w:rPr>
            </w:pPr>
          </w:p>
        </w:tc>
        <w:tc>
          <w:tcPr>
            <w:tcW w:w="1668" w:type="dxa"/>
            <w:shd w:val="clear" w:color="auto" w:fill="auto"/>
            <w:vAlign w:val="center"/>
          </w:tcPr>
          <w:p>
            <w:pPr>
              <w:widowControl/>
              <w:jc w:val="center"/>
              <w:textAlignment w:val="center"/>
              <w:rPr>
                <w:color w:val="000000"/>
                <w:sz w:val="24"/>
              </w:rPr>
            </w:pPr>
            <w:r>
              <w:rPr>
                <w:color w:val="000000"/>
                <w:kern w:val="0"/>
                <w:sz w:val="24"/>
                <w:lang w:bidi="ar"/>
              </w:rPr>
              <w:t>成本指标</w:t>
            </w:r>
          </w:p>
        </w:tc>
        <w:tc>
          <w:tcPr>
            <w:tcW w:w="1676" w:type="dxa"/>
            <w:shd w:val="clear" w:color="auto" w:fill="auto"/>
            <w:vAlign w:val="center"/>
          </w:tcPr>
          <w:p>
            <w:pPr>
              <w:widowControl/>
              <w:jc w:val="center"/>
              <w:textAlignment w:val="center"/>
              <w:rPr>
                <w:color w:val="000000"/>
                <w:sz w:val="24"/>
              </w:rPr>
            </w:pPr>
            <w:r>
              <w:rPr>
                <w:color w:val="000000"/>
                <w:kern w:val="0"/>
                <w:sz w:val="24"/>
                <w:lang w:bidi="ar"/>
              </w:rPr>
              <w:t>该项目实施成本</w:t>
            </w:r>
          </w:p>
        </w:tc>
        <w:tc>
          <w:tcPr>
            <w:tcW w:w="2029" w:type="dxa"/>
            <w:shd w:val="clear" w:color="auto" w:fill="auto"/>
            <w:vAlign w:val="center"/>
          </w:tcPr>
          <w:p>
            <w:pPr>
              <w:widowControl/>
              <w:jc w:val="center"/>
              <w:textAlignment w:val="center"/>
              <w:rPr>
                <w:color w:val="000000"/>
                <w:sz w:val="24"/>
              </w:rPr>
            </w:pPr>
            <w:r>
              <w:rPr>
                <w:color w:val="000000"/>
                <w:kern w:val="0"/>
                <w:sz w:val="24"/>
                <w:lang w:bidi="ar"/>
              </w:rPr>
              <w:t>≤100万元</w:t>
            </w:r>
          </w:p>
        </w:tc>
        <w:tc>
          <w:tcPr>
            <w:tcW w:w="2476" w:type="dxa"/>
            <w:shd w:val="clear" w:color="auto" w:fill="auto"/>
            <w:vAlign w:val="center"/>
          </w:tcPr>
          <w:p>
            <w:pPr>
              <w:widowControl/>
              <w:jc w:val="center"/>
              <w:textAlignment w:val="center"/>
              <w:rPr>
                <w:color w:val="000000"/>
                <w:sz w:val="24"/>
              </w:rPr>
            </w:pPr>
            <w:r>
              <w:rPr>
                <w:color w:val="000000"/>
                <w:kern w:val="0"/>
                <w:sz w:val="24"/>
                <w:lang w:bidi="ar"/>
              </w:rPr>
              <w:t>62.14万元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5" w:hRule="atLeast"/>
        </w:trPr>
        <w:tc>
          <w:tcPr>
            <w:tcW w:w="960" w:type="dxa"/>
            <w:vMerge w:val="continue"/>
            <w:shd w:val="clear" w:color="auto" w:fill="auto"/>
            <w:vAlign w:val="center"/>
          </w:tcPr>
          <w:p>
            <w:pPr>
              <w:jc w:val="center"/>
              <w:rPr>
                <w:color w:val="000000"/>
                <w:sz w:val="24"/>
              </w:rPr>
            </w:pPr>
          </w:p>
        </w:tc>
        <w:tc>
          <w:tcPr>
            <w:tcW w:w="934" w:type="dxa"/>
            <w:vMerge w:val="restart"/>
            <w:shd w:val="clear" w:color="auto" w:fill="auto"/>
            <w:vAlign w:val="center"/>
          </w:tcPr>
          <w:p>
            <w:pPr>
              <w:widowControl/>
              <w:jc w:val="center"/>
              <w:textAlignment w:val="center"/>
              <w:rPr>
                <w:color w:val="000000"/>
                <w:sz w:val="24"/>
              </w:rPr>
            </w:pPr>
            <w:r>
              <w:rPr>
                <w:color w:val="000000"/>
                <w:kern w:val="0"/>
                <w:sz w:val="24"/>
                <w:lang w:bidi="ar"/>
              </w:rPr>
              <w:t>项目效果指标</w:t>
            </w:r>
          </w:p>
        </w:tc>
        <w:tc>
          <w:tcPr>
            <w:tcW w:w="1668" w:type="dxa"/>
            <w:shd w:val="clear" w:color="auto" w:fill="auto"/>
            <w:vAlign w:val="center"/>
          </w:tcPr>
          <w:p>
            <w:pPr>
              <w:widowControl/>
              <w:jc w:val="center"/>
              <w:textAlignment w:val="center"/>
              <w:rPr>
                <w:color w:val="000000"/>
                <w:sz w:val="24"/>
              </w:rPr>
            </w:pPr>
            <w:r>
              <w:rPr>
                <w:color w:val="000000"/>
                <w:kern w:val="0"/>
                <w:sz w:val="24"/>
                <w:lang w:bidi="ar"/>
              </w:rPr>
              <w:t>社会效益</w:t>
            </w:r>
          </w:p>
        </w:tc>
        <w:tc>
          <w:tcPr>
            <w:tcW w:w="1676" w:type="dxa"/>
            <w:shd w:val="clear" w:color="auto" w:fill="auto"/>
            <w:vAlign w:val="center"/>
          </w:tcPr>
          <w:p>
            <w:pPr>
              <w:widowControl/>
              <w:textAlignment w:val="center"/>
              <w:rPr>
                <w:color w:val="000000"/>
                <w:sz w:val="24"/>
              </w:rPr>
            </w:pPr>
            <w:r>
              <w:rPr>
                <w:color w:val="000000"/>
                <w:kern w:val="0"/>
                <w:sz w:val="24"/>
                <w:lang w:bidi="ar"/>
              </w:rPr>
              <w:t>规范购买社会化服务工作</w:t>
            </w:r>
          </w:p>
        </w:tc>
        <w:tc>
          <w:tcPr>
            <w:tcW w:w="2029" w:type="dxa"/>
            <w:shd w:val="clear" w:color="auto" w:fill="auto"/>
            <w:vAlign w:val="center"/>
          </w:tcPr>
          <w:p>
            <w:pPr>
              <w:widowControl/>
              <w:textAlignment w:val="center"/>
              <w:rPr>
                <w:color w:val="000000"/>
                <w:sz w:val="24"/>
              </w:rPr>
            </w:pPr>
            <w:r>
              <w:rPr>
                <w:color w:val="000000"/>
                <w:kern w:val="0"/>
                <w:sz w:val="24"/>
                <w:lang w:bidi="ar"/>
              </w:rPr>
              <w:t>加快推进政府购买服务改革，进一步规范购买社会化服务工作。</w:t>
            </w:r>
          </w:p>
        </w:tc>
        <w:tc>
          <w:tcPr>
            <w:tcW w:w="2476" w:type="dxa"/>
            <w:shd w:val="clear" w:color="auto" w:fill="auto"/>
            <w:vAlign w:val="center"/>
          </w:tcPr>
          <w:p>
            <w:pPr>
              <w:widowControl/>
              <w:textAlignment w:val="center"/>
              <w:rPr>
                <w:color w:val="000000"/>
                <w:sz w:val="24"/>
              </w:rPr>
            </w:pPr>
            <w:r>
              <w:rPr>
                <w:color w:val="000000"/>
                <w:kern w:val="0"/>
                <w:sz w:val="24"/>
                <w:lang w:bidi="ar"/>
              </w:rPr>
              <w:t>通过购买专业化的物业管理和电子卷宗扫描服务，将部分事务性工作交由具有资质的专业市场主体承担，实现减负增效的同时保证社会效益最大化。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8" w:hRule="atLeast"/>
        </w:trPr>
        <w:tc>
          <w:tcPr>
            <w:tcW w:w="960" w:type="dxa"/>
            <w:vMerge w:val="continue"/>
            <w:shd w:val="clear" w:color="auto" w:fill="auto"/>
            <w:vAlign w:val="center"/>
          </w:tcPr>
          <w:p>
            <w:pPr>
              <w:jc w:val="center"/>
              <w:rPr>
                <w:color w:val="000000"/>
                <w:sz w:val="24"/>
              </w:rPr>
            </w:pPr>
          </w:p>
        </w:tc>
        <w:tc>
          <w:tcPr>
            <w:tcW w:w="934" w:type="dxa"/>
            <w:vMerge w:val="continue"/>
            <w:shd w:val="clear" w:color="auto" w:fill="auto"/>
            <w:vAlign w:val="center"/>
          </w:tcPr>
          <w:p>
            <w:pPr>
              <w:jc w:val="center"/>
              <w:rPr>
                <w:color w:val="000000"/>
                <w:sz w:val="24"/>
              </w:rPr>
            </w:pPr>
          </w:p>
        </w:tc>
        <w:tc>
          <w:tcPr>
            <w:tcW w:w="1668" w:type="dxa"/>
            <w:shd w:val="clear" w:color="auto" w:fill="auto"/>
            <w:vAlign w:val="center"/>
          </w:tcPr>
          <w:p>
            <w:pPr>
              <w:widowControl/>
              <w:jc w:val="center"/>
              <w:textAlignment w:val="center"/>
              <w:rPr>
                <w:color w:val="000000"/>
                <w:sz w:val="24"/>
              </w:rPr>
            </w:pPr>
            <w:r>
              <w:rPr>
                <w:color w:val="000000"/>
                <w:kern w:val="0"/>
                <w:sz w:val="24"/>
                <w:lang w:bidi="ar"/>
              </w:rPr>
              <w:t>可持续影响</w:t>
            </w:r>
            <w:r>
              <w:rPr>
                <w:color w:val="000000"/>
                <w:kern w:val="0"/>
                <w:sz w:val="24"/>
                <w:lang w:bidi="ar"/>
              </w:rPr>
              <w:br w:type="textWrapping"/>
            </w:r>
            <w:r>
              <w:rPr>
                <w:color w:val="000000"/>
                <w:kern w:val="0"/>
                <w:sz w:val="24"/>
                <w:lang w:bidi="ar"/>
              </w:rPr>
              <w:t>指标</w:t>
            </w:r>
          </w:p>
        </w:tc>
        <w:tc>
          <w:tcPr>
            <w:tcW w:w="1676" w:type="dxa"/>
            <w:shd w:val="clear" w:color="auto" w:fill="auto"/>
            <w:vAlign w:val="center"/>
          </w:tcPr>
          <w:p>
            <w:pPr>
              <w:widowControl/>
              <w:textAlignment w:val="center"/>
              <w:rPr>
                <w:color w:val="000000"/>
                <w:sz w:val="24"/>
              </w:rPr>
            </w:pPr>
            <w:r>
              <w:rPr>
                <w:color w:val="000000"/>
                <w:kern w:val="0"/>
                <w:sz w:val="24"/>
                <w:lang w:bidi="ar"/>
              </w:rPr>
              <w:t>辅助高效完成审判、执行等各项工作</w:t>
            </w:r>
          </w:p>
        </w:tc>
        <w:tc>
          <w:tcPr>
            <w:tcW w:w="2029" w:type="dxa"/>
            <w:shd w:val="clear" w:color="auto" w:fill="auto"/>
            <w:vAlign w:val="center"/>
          </w:tcPr>
          <w:p>
            <w:pPr>
              <w:widowControl/>
              <w:textAlignment w:val="center"/>
              <w:rPr>
                <w:color w:val="000000"/>
                <w:sz w:val="24"/>
              </w:rPr>
            </w:pPr>
            <w:r>
              <w:rPr>
                <w:color w:val="000000"/>
                <w:kern w:val="0"/>
                <w:sz w:val="24"/>
                <w:lang w:bidi="ar"/>
              </w:rPr>
              <w:t>充分发挥行业优势，辅助高效完成审判、执行等各项工作，更好的服务于民。</w:t>
            </w:r>
          </w:p>
        </w:tc>
        <w:tc>
          <w:tcPr>
            <w:tcW w:w="2476" w:type="dxa"/>
            <w:shd w:val="clear" w:color="auto" w:fill="auto"/>
            <w:vAlign w:val="center"/>
          </w:tcPr>
          <w:p>
            <w:pPr>
              <w:widowControl/>
              <w:textAlignment w:val="center"/>
              <w:rPr>
                <w:color w:val="000000"/>
                <w:sz w:val="24"/>
              </w:rPr>
            </w:pPr>
            <w:r>
              <w:rPr>
                <w:color w:val="000000"/>
                <w:kern w:val="0"/>
                <w:sz w:val="24"/>
                <w:lang w:bidi="ar"/>
              </w:rPr>
              <w:t>通过购买专业化的社会化服务,充分发挥行业优势，提升了我院案件办理质效，维护当事人合法权益。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1" w:hRule="atLeast"/>
        </w:trPr>
        <w:tc>
          <w:tcPr>
            <w:tcW w:w="960" w:type="dxa"/>
            <w:vMerge w:val="continue"/>
            <w:shd w:val="clear" w:color="auto" w:fill="auto"/>
            <w:vAlign w:val="center"/>
          </w:tcPr>
          <w:p>
            <w:pPr>
              <w:jc w:val="center"/>
              <w:rPr>
                <w:color w:val="000000"/>
                <w:sz w:val="24"/>
              </w:rPr>
            </w:pPr>
          </w:p>
        </w:tc>
        <w:tc>
          <w:tcPr>
            <w:tcW w:w="934" w:type="dxa"/>
            <w:shd w:val="clear" w:color="auto" w:fill="auto"/>
            <w:vAlign w:val="center"/>
          </w:tcPr>
          <w:p>
            <w:pPr>
              <w:widowControl/>
              <w:jc w:val="center"/>
              <w:textAlignment w:val="center"/>
              <w:rPr>
                <w:color w:val="000000"/>
                <w:sz w:val="24"/>
              </w:rPr>
            </w:pPr>
            <w:r>
              <w:rPr>
                <w:color w:val="000000"/>
                <w:kern w:val="0"/>
                <w:sz w:val="24"/>
                <w:lang w:bidi="ar"/>
              </w:rPr>
              <w:t>满意度</w:t>
            </w:r>
            <w:r>
              <w:rPr>
                <w:color w:val="000000"/>
                <w:kern w:val="0"/>
                <w:sz w:val="24"/>
                <w:lang w:bidi="ar"/>
              </w:rPr>
              <w:br w:type="textWrapping"/>
            </w:r>
            <w:r>
              <w:rPr>
                <w:color w:val="000000"/>
                <w:kern w:val="0"/>
                <w:sz w:val="24"/>
                <w:lang w:bidi="ar"/>
              </w:rPr>
              <w:t>指标</w:t>
            </w:r>
          </w:p>
        </w:tc>
        <w:tc>
          <w:tcPr>
            <w:tcW w:w="1668" w:type="dxa"/>
            <w:shd w:val="clear" w:color="auto" w:fill="auto"/>
            <w:vAlign w:val="center"/>
          </w:tcPr>
          <w:p>
            <w:pPr>
              <w:widowControl/>
              <w:jc w:val="center"/>
              <w:textAlignment w:val="center"/>
              <w:rPr>
                <w:color w:val="000000"/>
                <w:sz w:val="24"/>
              </w:rPr>
            </w:pPr>
            <w:r>
              <w:rPr>
                <w:color w:val="000000"/>
                <w:kern w:val="0"/>
                <w:sz w:val="24"/>
                <w:lang w:bidi="ar"/>
              </w:rPr>
              <w:t>满意度指标</w:t>
            </w:r>
          </w:p>
        </w:tc>
        <w:tc>
          <w:tcPr>
            <w:tcW w:w="1676" w:type="dxa"/>
            <w:shd w:val="clear" w:color="auto" w:fill="auto"/>
            <w:vAlign w:val="center"/>
          </w:tcPr>
          <w:p>
            <w:pPr>
              <w:widowControl/>
              <w:jc w:val="center"/>
              <w:textAlignment w:val="center"/>
              <w:rPr>
                <w:color w:val="000000"/>
                <w:sz w:val="24"/>
              </w:rPr>
            </w:pPr>
            <w:r>
              <w:rPr>
                <w:color w:val="000000"/>
                <w:kern w:val="0"/>
                <w:sz w:val="24"/>
                <w:lang w:bidi="ar"/>
              </w:rPr>
              <w:t>干警对各项社会化服务满意度</w:t>
            </w:r>
          </w:p>
        </w:tc>
        <w:tc>
          <w:tcPr>
            <w:tcW w:w="2029" w:type="dxa"/>
            <w:shd w:val="clear" w:color="auto" w:fill="auto"/>
            <w:vAlign w:val="center"/>
          </w:tcPr>
          <w:p>
            <w:pPr>
              <w:widowControl/>
              <w:jc w:val="center"/>
              <w:textAlignment w:val="center"/>
              <w:rPr>
                <w:color w:val="000000"/>
                <w:sz w:val="24"/>
              </w:rPr>
            </w:pPr>
            <w:r>
              <w:rPr>
                <w:color w:val="000000"/>
                <w:kern w:val="0"/>
                <w:sz w:val="24"/>
                <w:lang w:bidi="ar"/>
              </w:rPr>
              <w:t>≥90%</w:t>
            </w:r>
          </w:p>
        </w:tc>
        <w:tc>
          <w:tcPr>
            <w:tcW w:w="2476" w:type="dxa"/>
            <w:shd w:val="clear" w:color="auto" w:fill="auto"/>
            <w:vAlign w:val="center"/>
          </w:tcPr>
          <w:p>
            <w:pPr>
              <w:widowControl/>
              <w:jc w:val="center"/>
              <w:textAlignment w:val="center"/>
              <w:rPr>
                <w:color w:val="000000"/>
                <w:sz w:val="24"/>
              </w:rPr>
            </w:pPr>
            <w:r>
              <w:rPr>
                <w:color w:val="000000"/>
                <w:kern w:val="0"/>
                <w:sz w:val="24"/>
                <w:lang w:bidi="ar"/>
              </w:rPr>
              <w:t>≥90%</w:t>
            </w:r>
          </w:p>
        </w:tc>
      </w:tr>
    </w:tbl>
    <w:p>
      <w:pPr>
        <w:adjustRightInd w:val="0"/>
        <w:snapToGrid w:val="0"/>
        <w:spacing w:line="576" w:lineRule="exact"/>
        <w:rPr>
          <w:lang w:val="zh-CN"/>
        </w:rPr>
      </w:pPr>
    </w:p>
    <w:p>
      <w:pPr>
        <w:adjustRightInd w:val="0"/>
        <w:snapToGrid w:val="0"/>
        <w:spacing w:line="574"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分析评价申报内容是否与实际相符，申报目标是否合理可行。</w:t>
      </w:r>
    </w:p>
    <w:p>
      <w:pPr>
        <w:adjustRightInd w:val="0"/>
        <w:snapToGrid w:val="0"/>
        <w:spacing w:line="520" w:lineRule="exact"/>
        <w:ind w:firstLine="640" w:firstLineChars="200"/>
        <w:rPr>
          <w:sz w:val="32"/>
          <w:szCs w:val="32"/>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（三）项目自评步骤及方法。</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二、项目资金申报及使用情况</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（一）项目资金申报及批复情况。</w:t>
      </w:r>
    </w:p>
    <w:p>
      <w:pPr>
        <w:adjustRightInd w:val="0"/>
        <w:snapToGrid w:val="0"/>
        <w:spacing w:line="520" w:lineRule="exact"/>
        <w:ind w:firstLine="640" w:firstLineChars="200"/>
        <w:rPr>
          <w:rFonts w:eastAsia="仿宋_GB2312"/>
          <w:sz w:val="32"/>
          <w:szCs w:val="32"/>
        </w:rPr>
      </w:pPr>
      <w:r>
        <w:rPr>
          <w:rFonts w:eastAsia="仿宋_GB2312"/>
          <w:sz w:val="32"/>
          <w:szCs w:val="32"/>
        </w:rPr>
        <w:t>2021年法院购买社会化服务</w:t>
      </w:r>
      <w:r>
        <w:rPr>
          <w:rFonts w:eastAsia="仿宋_GB2312"/>
          <w:sz w:val="32"/>
          <w:szCs w:val="32"/>
          <w:lang w:val="zh-CN"/>
        </w:rPr>
        <w:t>项目申报资金</w:t>
      </w:r>
      <w:r>
        <w:rPr>
          <w:rFonts w:eastAsia="仿宋_GB2312"/>
          <w:sz w:val="32"/>
          <w:szCs w:val="32"/>
        </w:rPr>
        <w:t>100万元，项目报送人代会通过后批复购买社会化服务</w:t>
      </w:r>
      <w:r>
        <w:rPr>
          <w:rFonts w:eastAsia="仿宋_GB2312"/>
          <w:sz w:val="32"/>
          <w:szCs w:val="32"/>
          <w:lang w:val="zh-CN"/>
        </w:rPr>
        <w:t>项目</w:t>
      </w:r>
      <w:r>
        <w:rPr>
          <w:rFonts w:eastAsia="仿宋_GB2312"/>
          <w:sz w:val="32"/>
          <w:szCs w:val="32"/>
        </w:rPr>
        <w:t>资金100万元，项目资金无预算调整。</w:t>
      </w:r>
    </w:p>
    <w:p>
      <w:pPr>
        <w:adjustRightInd w:val="0"/>
        <w:snapToGrid w:val="0"/>
        <w:spacing w:line="520" w:lineRule="exact"/>
        <w:ind w:firstLine="640" w:firstLineChars="200"/>
        <w:rPr>
          <w:sz w:val="32"/>
          <w:szCs w:val="32"/>
          <w:lang w:val="zh-CN"/>
        </w:rPr>
      </w:pPr>
      <w:r>
        <w:rPr>
          <w:rFonts w:eastAsia="楷体_GB2312"/>
          <w:sz w:val="32"/>
          <w:szCs w:val="32"/>
          <w:lang w:val="zh-CN"/>
        </w:rPr>
        <w:t>（二）资金计划、到位及使用情况（可用表格形式反映）。</w:t>
      </w:r>
    </w:p>
    <w:p>
      <w:pPr>
        <w:adjustRightInd w:val="0"/>
        <w:snapToGrid w:val="0"/>
        <w:spacing w:line="520" w:lineRule="exact"/>
        <w:ind w:firstLine="643" w:firstLineChars="200"/>
        <w:rPr>
          <w:rFonts w:eastAsia="仿宋_GB2312"/>
          <w:sz w:val="32"/>
          <w:szCs w:val="32"/>
        </w:rPr>
      </w:pPr>
      <w:r>
        <w:rPr>
          <w:rFonts w:eastAsia="仿宋_GB2312"/>
          <w:b/>
          <w:bCs/>
          <w:sz w:val="32"/>
          <w:szCs w:val="32"/>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市财政局通过预算对我院下达此专项资金</w:t>
      </w:r>
      <w:r>
        <w:rPr>
          <w:sz w:val="32"/>
          <w:szCs w:val="32"/>
        </w:rPr>
        <w:t>100</w:t>
      </w:r>
      <w:r>
        <w:rPr>
          <w:rFonts w:eastAsia="仿宋_GB2312"/>
          <w:sz w:val="32"/>
          <w:szCs w:val="32"/>
        </w:rPr>
        <w:t>万元</w:t>
      </w:r>
      <w:r>
        <w:rPr>
          <w:rFonts w:eastAsia="仿宋_GB2312"/>
          <w:sz w:val="32"/>
          <w:szCs w:val="32"/>
          <w:lang w:val="zh-CN"/>
        </w:rPr>
        <w:t>。</w:t>
      </w:r>
    </w:p>
    <w:p>
      <w:pPr>
        <w:spacing w:line="520" w:lineRule="exact"/>
        <w:ind w:firstLine="643" w:firstLineChars="200"/>
        <w:rPr>
          <w:rFonts w:eastAsia="仿宋_GB2312"/>
          <w:sz w:val="32"/>
          <w:szCs w:val="32"/>
          <w:lang w:val="zh-CN"/>
        </w:rPr>
      </w:pPr>
      <w:r>
        <w:rPr>
          <w:rFonts w:eastAsia="仿宋_GB2312"/>
          <w:b/>
          <w:bCs/>
          <w:sz w:val="32"/>
          <w:szCs w:val="32"/>
          <w:lang w:val="zh-CN"/>
        </w:rPr>
        <w:t>2．资金到位。</w:t>
      </w:r>
      <w:r>
        <w:rPr>
          <w:rFonts w:eastAsia="仿宋_GB2312"/>
          <w:sz w:val="32"/>
          <w:szCs w:val="32"/>
          <w:lang w:val="zh-CN"/>
        </w:rPr>
        <w:t>202</w:t>
      </w:r>
      <w:r>
        <w:rPr>
          <w:rFonts w:eastAsia="仿宋_GB2312"/>
          <w:sz w:val="32"/>
          <w:szCs w:val="32"/>
        </w:rPr>
        <w:t>1</w:t>
      </w:r>
      <w:r>
        <w:rPr>
          <w:rFonts w:eastAsia="仿宋_GB2312"/>
          <w:sz w:val="32"/>
          <w:szCs w:val="32"/>
          <w:lang w:val="zh-CN"/>
        </w:rPr>
        <w:t>年购买社会化服务项目资金到位</w:t>
      </w:r>
      <w:r>
        <w:rPr>
          <w:rFonts w:eastAsia="仿宋_GB2312"/>
          <w:sz w:val="32"/>
          <w:szCs w:val="32"/>
        </w:rPr>
        <w:t>100</w:t>
      </w:r>
      <w:r>
        <w:rPr>
          <w:rFonts w:eastAsia="仿宋_GB2312"/>
          <w:sz w:val="32"/>
          <w:szCs w:val="32"/>
          <w:lang w:val="zh-CN"/>
        </w:rPr>
        <w:t>万元，与项目资金计划数</w:t>
      </w:r>
      <w:r>
        <w:rPr>
          <w:rFonts w:eastAsia="仿宋_GB2312"/>
          <w:sz w:val="32"/>
          <w:szCs w:val="32"/>
        </w:rPr>
        <w:t>100</w:t>
      </w:r>
      <w:r>
        <w:rPr>
          <w:rFonts w:eastAsia="仿宋_GB2312"/>
          <w:sz w:val="32"/>
          <w:szCs w:val="32"/>
          <w:lang w:val="zh-CN"/>
        </w:rPr>
        <w:t>万元相符，资金及时到位，资金到位率100%，到位及时率100%。</w:t>
      </w:r>
    </w:p>
    <w:p>
      <w:pPr>
        <w:adjustRightInd w:val="0"/>
        <w:snapToGrid w:val="0"/>
        <w:spacing w:line="520" w:lineRule="exact"/>
        <w:ind w:firstLine="643" w:firstLineChars="200"/>
        <w:rPr>
          <w:rFonts w:eastAsia="仿宋_GB2312"/>
          <w:sz w:val="32"/>
          <w:szCs w:val="32"/>
          <w:lang w:val="zh-CN"/>
        </w:rPr>
      </w:pPr>
      <w:r>
        <w:rPr>
          <w:rFonts w:eastAsia="仿宋_GB2312"/>
          <w:b/>
          <w:bCs/>
          <w:sz w:val="32"/>
          <w:szCs w:val="32"/>
          <w:lang w:val="zh-CN"/>
        </w:rPr>
        <w:t>3．资金使用。</w:t>
      </w:r>
      <w:r>
        <w:rPr>
          <w:rFonts w:eastAsia="仿宋_GB2312"/>
          <w:sz w:val="32"/>
          <w:szCs w:val="32"/>
          <w:lang w:val="zh-CN"/>
        </w:rPr>
        <w:t>该项目资金</w:t>
      </w:r>
      <w:r>
        <w:rPr>
          <w:rFonts w:hint="eastAsia" w:eastAsia="仿宋_GB2312"/>
          <w:sz w:val="32"/>
          <w:szCs w:val="32"/>
          <w:lang w:val="zh-CN"/>
        </w:rPr>
        <w:t>截止</w:t>
      </w:r>
      <w:r>
        <w:rPr>
          <w:rFonts w:eastAsia="仿宋_GB2312"/>
          <w:sz w:val="32"/>
          <w:szCs w:val="32"/>
          <w:lang w:val="zh-CN"/>
        </w:rPr>
        <w:t>20</w:t>
      </w:r>
      <w:r>
        <w:rPr>
          <w:rFonts w:eastAsia="仿宋_GB2312"/>
          <w:sz w:val="32"/>
          <w:szCs w:val="32"/>
        </w:rPr>
        <w:t>2</w:t>
      </w:r>
      <w:r>
        <w:rPr>
          <w:sz w:val="32"/>
          <w:szCs w:val="32"/>
        </w:rPr>
        <w:t>1</w:t>
      </w:r>
      <w:r>
        <w:rPr>
          <w:rFonts w:eastAsia="仿宋_GB2312"/>
          <w:sz w:val="32"/>
          <w:szCs w:val="32"/>
          <w:lang w:val="zh-CN"/>
        </w:rPr>
        <w:t>年12月31日实际支出</w:t>
      </w:r>
      <w:r>
        <w:rPr>
          <w:rFonts w:eastAsia="仿宋_GB2312"/>
          <w:sz w:val="32"/>
          <w:szCs w:val="32"/>
        </w:rPr>
        <w:t>62.14万元</w:t>
      </w:r>
      <w:r>
        <w:rPr>
          <w:rFonts w:eastAsia="仿宋_GB2312"/>
          <w:sz w:val="32"/>
          <w:szCs w:val="32"/>
          <w:lang w:val="zh-CN"/>
        </w:rPr>
        <w:t>，项目预算执行率为</w:t>
      </w:r>
      <w:r>
        <w:rPr>
          <w:rFonts w:eastAsia="仿宋_GB2312"/>
          <w:sz w:val="32"/>
          <w:szCs w:val="32"/>
        </w:rPr>
        <w:t>62.14</w:t>
      </w:r>
      <w:r>
        <w:rPr>
          <w:rFonts w:eastAsia="仿宋_GB2312"/>
          <w:sz w:val="32"/>
          <w:szCs w:val="32"/>
          <w:lang w:val="zh-CN"/>
        </w:rPr>
        <w:t>%，主要原因是购买电子档案扫描服务项目尚未完成，未达到支付条件，结转至次年支付</w:t>
      </w:r>
      <w:r>
        <w:rPr>
          <w:rFonts w:eastAsia="仿宋_GB2312"/>
          <w:sz w:val="32"/>
          <w:szCs w:val="32"/>
        </w:rPr>
        <w:t>。</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（三）项目财务管理情况。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三、项目实施及管理情况</w:t>
      </w:r>
    </w:p>
    <w:p>
      <w:pPr>
        <w:adjustRightInd w:val="0"/>
        <w:snapToGrid w:val="0"/>
        <w:spacing w:line="520" w:lineRule="exact"/>
        <w:ind w:firstLine="640" w:firstLineChars="20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（一）项目组织架构及实施流程。</w:t>
      </w:r>
    </w:p>
    <w:p>
      <w:pPr>
        <w:adjustRightInd w:val="0"/>
        <w:snapToGrid w:val="0"/>
        <w:spacing w:line="520" w:lineRule="exact"/>
        <w:ind w:firstLine="640" w:firstLineChars="200"/>
        <w:rPr>
          <w:rFonts w:eastAsia="仿宋_GB2312"/>
          <w:sz w:val="32"/>
          <w:szCs w:val="32"/>
        </w:rPr>
      </w:pPr>
      <w:r>
        <w:rPr>
          <w:rFonts w:eastAsia="仿宋_GB2312"/>
          <w:sz w:val="32"/>
          <w:szCs w:val="32"/>
          <w:lang w:val="zh-CN"/>
        </w:rPr>
        <w:t>该项目由具体实施部门申报项目实施需求和计划，部门负责人及分管领导严格审核项目实施可行性，并组织实施，待项目完成并验收合格后提请项目资金支付，行装处严格审核项目报销凭证，加快专项资金支付，及时进行会计核算。</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（二）项目管理情况。</w:t>
      </w:r>
    </w:p>
    <w:p>
      <w:pPr>
        <w:adjustRightInd w:val="0"/>
        <w:snapToGrid w:val="0"/>
        <w:spacing w:line="520" w:lineRule="exact"/>
        <w:ind w:firstLine="640" w:firstLineChars="200"/>
        <w:rPr>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（三）项目监管情况。</w:t>
      </w:r>
    </w:p>
    <w:p>
      <w:pPr>
        <w:adjustRightInd w:val="0"/>
        <w:snapToGrid w:val="0"/>
        <w:spacing w:line="520" w:lineRule="exact"/>
        <w:ind w:firstLine="640" w:firstLineChars="200"/>
        <w:rPr>
          <w:rFonts w:eastAsia="仿宋_GB2312"/>
          <w:sz w:val="32"/>
          <w:szCs w:val="32"/>
        </w:rPr>
      </w:pPr>
      <w:r>
        <w:rPr>
          <w:rFonts w:eastAsia="仿宋_GB2312"/>
          <w:sz w:val="32"/>
          <w:szCs w:val="32"/>
          <w:lang w:val="zh-CN"/>
        </w:rPr>
        <w:t>购买社会化服务项目</w:t>
      </w:r>
      <w:r>
        <w:rPr>
          <w:rFonts w:eastAsia="仿宋_GB2312"/>
          <w:sz w:val="32"/>
          <w:szCs w:val="32"/>
        </w:rPr>
        <w:t>严格按照年初预算安排的资金执行，根据财政专项资金管理办法进行项目资金管理，并主动接受院内督察室和市财政局等部门的监督，做到了专款专用，没有超预算和范围，违规报销加班费行为，没有滞留、</w:t>
      </w:r>
      <w:r>
        <w:rPr>
          <w:rFonts w:hint="eastAsia" w:eastAsia="仿宋_GB2312"/>
          <w:sz w:val="32"/>
          <w:szCs w:val="32"/>
          <w:lang w:eastAsia="zh-CN"/>
        </w:rPr>
        <w:t>截留</w:t>
      </w:r>
      <w:r>
        <w:rPr>
          <w:rFonts w:eastAsia="仿宋_GB2312"/>
          <w:sz w:val="32"/>
          <w:szCs w:val="32"/>
        </w:rPr>
        <w:t>、挤占、挪用项目资金的现象。</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四、项目绩效情况</w:t>
      </w:r>
      <w:r>
        <w:rPr>
          <w:rFonts w:ascii="方正黑体简体" w:eastAsia="方正黑体简体"/>
          <w:sz w:val="32"/>
          <w:szCs w:val="32"/>
        </w:rPr>
        <w:tab/>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（一）项目完成情况。</w:t>
      </w:r>
    </w:p>
    <w:p>
      <w:pPr>
        <w:adjustRightInd w:val="0"/>
        <w:snapToGrid w:val="0"/>
        <w:spacing w:line="520" w:lineRule="exact"/>
        <w:ind w:firstLine="640" w:firstLineChars="200"/>
        <w:rPr>
          <w:rFonts w:eastAsia="仿宋_GB2312"/>
          <w:sz w:val="32"/>
          <w:szCs w:val="32"/>
        </w:rPr>
      </w:pPr>
      <w:r>
        <w:rPr>
          <w:rFonts w:eastAsia="仿宋_GB2312"/>
          <w:sz w:val="32"/>
          <w:szCs w:val="32"/>
          <w:lang w:val="zh-CN"/>
        </w:rPr>
        <w:t>本项目预算资金下达</w:t>
      </w:r>
      <w:r>
        <w:rPr>
          <w:sz w:val="32"/>
          <w:szCs w:val="32"/>
        </w:rPr>
        <w:t>100</w:t>
      </w:r>
      <w:r>
        <w:rPr>
          <w:rFonts w:eastAsia="仿宋_GB2312"/>
          <w:sz w:val="32"/>
          <w:szCs w:val="32"/>
        </w:rPr>
        <w:t>万</w:t>
      </w:r>
      <w:r>
        <w:rPr>
          <w:rFonts w:eastAsia="仿宋_GB2312"/>
          <w:sz w:val="32"/>
          <w:szCs w:val="32"/>
          <w:lang w:val="zh-CN"/>
        </w:rPr>
        <w:t>元，因购</w:t>
      </w:r>
      <w:r>
        <w:rPr>
          <w:rFonts w:eastAsia="仿宋_GB2312"/>
          <w:sz w:val="32"/>
          <w:szCs w:val="32"/>
        </w:rPr>
        <w:t>买电子档案扫描服务</w:t>
      </w:r>
      <w:r>
        <w:rPr>
          <w:rFonts w:eastAsia="仿宋_GB2312"/>
          <w:sz w:val="32"/>
          <w:szCs w:val="32"/>
          <w:lang w:val="zh-CN"/>
        </w:rPr>
        <w:t>项目尚未完成，未达到支付条件，结转至次年支付，本年该项目实际执行数</w:t>
      </w:r>
      <w:r>
        <w:rPr>
          <w:rFonts w:eastAsia="仿宋_GB2312"/>
          <w:sz w:val="32"/>
          <w:szCs w:val="32"/>
        </w:rPr>
        <w:t>62.14</w:t>
      </w:r>
      <w:r>
        <w:rPr>
          <w:rFonts w:eastAsia="仿宋_GB2312"/>
          <w:sz w:val="32"/>
          <w:szCs w:val="32"/>
          <w:lang w:val="zh-CN"/>
        </w:rPr>
        <w:t>万元，项目预算完成率为</w:t>
      </w:r>
      <w:r>
        <w:rPr>
          <w:rFonts w:eastAsia="仿宋_GB2312"/>
          <w:sz w:val="32"/>
          <w:szCs w:val="32"/>
        </w:rPr>
        <w:t>62.14</w:t>
      </w:r>
      <w:r>
        <w:rPr>
          <w:rFonts w:eastAsia="仿宋_GB2312"/>
          <w:sz w:val="32"/>
          <w:szCs w:val="32"/>
          <w:lang w:val="zh-CN"/>
        </w:rPr>
        <w:t>%</w:t>
      </w:r>
      <w:r>
        <w:rPr>
          <w:rFonts w:eastAsia="仿宋_GB2312"/>
          <w:sz w:val="32"/>
          <w:szCs w:val="32"/>
        </w:rPr>
        <w:t>。</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（二）项目效益情况。</w:t>
      </w:r>
    </w:p>
    <w:p>
      <w:pPr>
        <w:adjustRightInd w:val="0"/>
        <w:snapToGrid w:val="0"/>
        <w:spacing w:line="520" w:lineRule="exact"/>
        <w:ind w:firstLine="640" w:firstLineChars="200"/>
        <w:rPr>
          <w:rFonts w:eastAsia="仿宋_GB2312"/>
          <w:sz w:val="32"/>
          <w:szCs w:val="32"/>
        </w:rPr>
      </w:pPr>
      <w:r>
        <w:rPr>
          <w:rFonts w:eastAsia="仿宋_GB2312"/>
          <w:sz w:val="32"/>
          <w:szCs w:val="32"/>
        </w:rPr>
        <w:t>通过购买专业化的物业管理和电子卷宗扫描服务，将部分事务性工作交由具有资质的专业市场主体承担，实现减负增效的同时保证社会效益最大化。</w:t>
      </w:r>
    </w:p>
    <w:p>
      <w:pPr>
        <w:adjustRightInd w:val="0"/>
        <w:snapToGrid w:val="0"/>
        <w:spacing w:line="520" w:lineRule="exact"/>
        <w:ind w:firstLine="720"/>
        <w:rPr>
          <w:rFonts w:ascii="方正黑体简体" w:eastAsia="方正黑体简体"/>
          <w:sz w:val="32"/>
          <w:szCs w:val="32"/>
        </w:rPr>
      </w:pPr>
      <w:r>
        <w:rPr>
          <w:rFonts w:ascii="方正黑体简体" w:eastAsia="方正黑体简体"/>
          <w:sz w:val="32"/>
          <w:szCs w:val="32"/>
        </w:rPr>
        <w:t>五、评价结论及建议</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（一）评价结论。</w:t>
      </w:r>
    </w:p>
    <w:p>
      <w:pPr>
        <w:adjustRightInd w:val="0"/>
        <w:snapToGrid w:val="0"/>
        <w:spacing w:line="520" w:lineRule="exact"/>
        <w:ind w:firstLine="640" w:firstLineChars="200"/>
        <w:rPr>
          <w:rFonts w:eastAsia="仿宋_GB2312"/>
          <w:b/>
          <w:sz w:val="32"/>
          <w:szCs w:val="32"/>
          <w:lang w:val="zh-CN"/>
        </w:rPr>
      </w:pPr>
      <w:r>
        <w:rPr>
          <w:rFonts w:eastAsia="仿宋_GB2312"/>
          <w:sz w:val="32"/>
          <w:szCs w:val="32"/>
        </w:rPr>
        <w:t>该项目自评得分为88.4</w:t>
      </w:r>
      <w:r>
        <w:rPr>
          <w:sz w:val="32"/>
          <w:szCs w:val="32"/>
        </w:rPr>
        <w:t>8。</w:t>
      </w:r>
      <w:r>
        <w:rPr>
          <w:rFonts w:eastAsia="仿宋_GB2312"/>
          <w:sz w:val="32"/>
          <w:szCs w:val="32"/>
        </w:rPr>
        <w:t>该项目决策符合国家政策方针，项目预算执行进度推进有力，项目监督管控及时有效，项目资金支付合理合规。</w:t>
      </w:r>
    </w:p>
    <w:p>
      <w:pPr>
        <w:adjustRightInd w:val="0"/>
        <w:snapToGrid w:val="0"/>
        <w:spacing w:line="520" w:lineRule="exact"/>
        <w:ind w:firstLine="640" w:firstLineChars="200"/>
        <w:rPr>
          <w:rFonts w:eastAsia="仿宋_GB2312"/>
          <w:sz w:val="32"/>
          <w:szCs w:val="32"/>
        </w:rPr>
      </w:pPr>
      <w:r>
        <w:rPr>
          <w:rFonts w:eastAsia="仿宋_GB2312"/>
          <w:sz w:val="32"/>
          <w:szCs w:val="32"/>
        </w:rPr>
        <w:t>通过购买专业化的社会化服务,充分发挥行业优势，辅助高效完成审判、执行等各项工作，提升了我院案件办理质效，更好</w:t>
      </w:r>
      <w:r>
        <w:rPr>
          <w:rFonts w:hint="eastAsia" w:eastAsia="仿宋_GB2312"/>
          <w:sz w:val="32"/>
          <w:szCs w:val="32"/>
          <w:lang w:eastAsia="zh-CN"/>
        </w:rPr>
        <w:t>地</w:t>
      </w:r>
      <w:r>
        <w:rPr>
          <w:rFonts w:eastAsia="仿宋_GB2312"/>
          <w:sz w:val="32"/>
          <w:szCs w:val="32"/>
        </w:rPr>
        <w:t>服务于民</w:t>
      </w:r>
      <w:r>
        <w:rPr>
          <w:sz w:val="32"/>
          <w:szCs w:val="32"/>
        </w:rPr>
        <w:t>，</w:t>
      </w:r>
      <w:r>
        <w:rPr>
          <w:rFonts w:eastAsia="仿宋_GB2312"/>
          <w:sz w:val="32"/>
          <w:szCs w:val="32"/>
        </w:rPr>
        <w:t>维护当事人合法权益。</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（二）存在的问题。</w:t>
      </w:r>
    </w:p>
    <w:p>
      <w:pPr>
        <w:adjustRightInd w:val="0"/>
        <w:snapToGrid w:val="0"/>
        <w:spacing w:line="520" w:lineRule="exact"/>
        <w:ind w:firstLine="640" w:firstLineChars="200"/>
        <w:rPr>
          <w:sz w:val="32"/>
          <w:szCs w:val="32"/>
        </w:rPr>
      </w:pPr>
      <w:r>
        <w:rPr>
          <w:rFonts w:eastAsia="仿宋_GB2312"/>
          <w:sz w:val="32"/>
          <w:szCs w:val="32"/>
        </w:rPr>
        <w:t>项目评价体系不够完善，项目评价指标的确定不够细化，量化。</w:t>
      </w:r>
    </w:p>
    <w:p>
      <w:pPr>
        <w:adjustRightInd w:val="0"/>
        <w:snapToGrid w:val="0"/>
        <w:spacing w:line="520" w:lineRule="exact"/>
        <w:ind w:firstLine="640" w:firstLineChars="200"/>
        <w:rPr>
          <w:rFonts w:eastAsia="楷体_GB2312"/>
          <w:sz w:val="32"/>
          <w:szCs w:val="32"/>
          <w:lang w:val="zh-CN"/>
        </w:rPr>
      </w:pPr>
      <w:r>
        <w:rPr>
          <w:rFonts w:eastAsia="楷体_GB2312"/>
          <w:sz w:val="32"/>
          <w:szCs w:val="32"/>
          <w:lang w:val="zh-CN"/>
        </w:rPr>
        <w:t>（三）相关建议。</w:t>
      </w:r>
    </w:p>
    <w:p>
      <w:pPr>
        <w:adjustRightInd w:val="0"/>
        <w:snapToGrid w:val="0"/>
        <w:spacing w:line="520" w:lineRule="exact"/>
        <w:ind w:firstLine="640" w:firstLineChars="200"/>
        <w:rPr>
          <w:rFonts w:eastAsia="仿宋_GB2312"/>
          <w:sz w:val="32"/>
          <w:szCs w:val="32"/>
        </w:rPr>
      </w:pPr>
      <w:r>
        <w:rPr>
          <w:rFonts w:eastAsia="仿宋_GB2312"/>
          <w:sz w:val="32"/>
          <w:szCs w:val="32"/>
        </w:rPr>
        <w:t>加强指标体系建设。选取评价指标时尽量使用数量型为主定量指标，更易考核与评价，规范三级指标名称，使之更专业化。</w:t>
      </w:r>
    </w:p>
    <w:tbl>
      <w:tblPr>
        <w:tblStyle w:val="14"/>
        <w:tblpPr w:leftFromText="180" w:rightFromText="180" w:vertAnchor="text" w:horzAnchor="margin" w:tblpXSpec="center" w:tblpY="437"/>
        <w:tblOverlap w:val="never"/>
        <w:tblW w:w="10154" w:type="dxa"/>
        <w:tblInd w:w="0" w:type="dxa"/>
        <w:tblLayout w:type="fixed"/>
        <w:tblCellMar>
          <w:top w:w="0" w:type="dxa"/>
          <w:left w:w="108" w:type="dxa"/>
          <w:bottom w:w="0" w:type="dxa"/>
          <w:right w:w="108" w:type="dxa"/>
        </w:tblCellMar>
      </w:tblPr>
      <w:tblGrid>
        <w:gridCol w:w="1437"/>
        <w:gridCol w:w="918"/>
        <w:gridCol w:w="1600"/>
        <w:gridCol w:w="1582"/>
        <w:gridCol w:w="2190"/>
        <w:gridCol w:w="2191"/>
        <w:gridCol w:w="236"/>
      </w:tblGrid>
      <w:tr>
        <w:tblPrEx>
          <w:tblCellMar>
            <w:top w:w="0" w:type="dxa"/>
            <w:left w:w="108" w:type="dxa"/>
            <w:bottom w:w="0" w:type="dxa"/>
            <w:right w:w="108" w:type="dxa"/>
          </w:tblCellMar>
        </w:tblPrEx>
        <w:trPr>
          <w:trHeight w:val="675" w:hRule="atLeast"/>
        </w:trPr>
        <w:tc>
          <w:tcPr>
            <w:tcW w:w="9918" w:type="dxa"/>
            <w:gridSpan w:val="6"/>
            <w:tcBorders>
              <w:top w:val="nil"/>
              <w:left w:val="nil"/>
              <w:bottom w:val="nil"/>
              <w:right w:val="nil"/>
            </w:tcBorders>
            <w:shd w:val="clear" w:color="auto" w:fill="auto"/>
            <w:vAlign w:val="center"/>
          </w:tcPr>
          <w:p>
            <w:pPr>
              <w:widowControl/>
              <w:jc w:val="center"/>
              <w:textAlignment w:val="center"/>
              <w:rPr>
                <w:b/>
                <w:sz w:val="32"/>
                <w:szCs w:val="32"/>
              </w:rPr>
            </w:pPr>
            <w:r>
              <w:rPr>
                <w:rFonts w:eastAsia="黑体"/>
                <w:sz w:val="32"/>
                <w:szCs w:val="32"/>
              </w:rPr>
              <w:t>2021年购买社会化服务项目绩效目标自评</w:t>
            </w:r>
          </w:p>
        </w:tc>
        <w:tc>
          <w:tcPr>
            <w:tcW w:w="236" w:type="dxa"/>
            <w:tcBorders>
              <w:top w:val="nil"/>
              <w:left w:val="nil"/>
              <w:bottom w:val="nil"/>
              <w:right w:val="nil"/>
            </w:tcBorders>
            <w:shd w:val="clear" w:color="auto" w:fill="auto"/>
            <w:vAlign w:val="center"/>
          </w:tcPr>
          <w:p>
            <w:pPr>
              <w:widowControl/>
              <w:jc w:val="center"/>
              <w:textAlignment w:val="center"/>
              <w:rPr>
                <w:b/>
                <w:kern w:val="0"/>
                <w:sz w:val="32"/>
                <w:szCs w:val="32"/>
                <w:lang w:bidi="ar"/>
              </w:rPr>
            </w:pPr>
          </w:p>
        </w:tc>
      </w:tr>
      <w:tr>
        <w:tblPrEx>
          <w:tblCellMar>
            <w:top w:w="0" w:type="dxa"/>
            <w:left w:w="108" w:type="dxa"/>
            <w:bottom w:w="0" w:type="dxa"/>
            <w:right w:w="108" w:type="dxa"/>
          </w:tblCellMar>
        </w:tblPrEx>
        <w:trPr>
          <w:gridAfter w:val="1"/>
          <w:wAfter w:w="236" w:type="dxa"/>
          <w:trHeight w:val="254" w:hRule="atLeast"/>
        </w:trPr>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主管部门及代码</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四川省广元市中级人民法院  207001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实施单位</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四川省广元市中级人民法院</w:t>
            </w:r>
          </w:p>
        </w:tc>
      </w:tr>
      <w:tr>
        <w:tblPrEx>
          <w:tblCellMar>
            <w:top w:w="0" w:type="dxa"/>
            <w:left w:w="108" w:type="dxa"/>
            <w:bottom w:w="0" w:type="dxa"/>
            <w:right w:w="108" w:type="dxa"/>
          </w:tblCellMar>
        </w:tblPrEx>
        <w:trPr>
          <w:gridAfter w:val="1"/>
          <w:wAfter w:w="236" w:type="dxa"/>
          <w:trHeight w:val="341" w:hRule="atLeast"/>
        </w:trPr>
        <w:tc>
          <w:tcPr>
            <w:tcW w:w="2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项目预算</w:t>
            </w:r>
            <w:r>
              <w:rPr>
                <w:kern w:val="0"/>
                <w:sz w:val="24"/>
                <w:lang w:bidi="ar"/>
              </w:rPr>
              <w:br w:type="textWrapping"/>
            </w:r>
            <w:r>
              <w:rPr>
                <w:kern w:val="0"/>
                <w:sz w:val="24"/>
                <w:lang w:bidi="ar"/>
              </w:rPr>
              <w:t>执行情况</w:t>
            </w:r>
            <w:r>
              <w:rPr>
                <w:kern w:val="0"/>
                <w:sz w:val="24"/>
                <w:lang w:bidi="ar"/>
              </w:rPr>
              <w:br w:type="textWrapping"/>
            </w:r>
            <w:r>
              <w:rPr>
                <w:kern w:val="0"/>
                <w:sz w:val="24"/>
                <w:lang w:bidi="ar"/>
              </w:rPr>
              <w:t>（万元）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 xml:space="preserve"> 预算数：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100万元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 xml:space="preserve"> 执行数：</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62.14万元</w:t>
            </w:r>
          </w:p>
        </w:tc>
      </w:tr>
      <w:tr>
        <w:tblPrEx>
          <w:tblCellMar>
            <w:top w:w="0" w:type="dxa"/>
            <w:left w:w="108" w:type="dxa"/>
            <w:bottom w:w="0" w:type="dxa"/>
            <w:right w:w="108" w:type="dxa"/>
          </w:tblCellMar>
        </w:tblPrEx>
        <w:trPr>
          <w:gridAfter w:val="1"/>
          <w:wAfter w:w="236" w:type="dxa"/>
          <w:trHeight w:val="555" w:hRule="atLeast"/>
        </w:trPr>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sz w:val="24"/>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其中：</w:t>
            </w:r>
          </w:p>
          <w:p>
            <w:pPr>
              <w:widowControl/>
              <w:spacing w:line="240" w:lineRule="exact"/>
              <w:textAlignment w:val="center"/>
              <w:rPr>
                <w:sz w:val="24"/>
              </w:rPr>
            </w:pPr>
            <w:r>
              <w:rPr>
                <w:kern w:val="0"/>
                <w:sz w:val="24"/>
                <w:lang w:bidi="ar"/>
              </w:rPr>
              <w:t>财政拨款</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100万元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其中：</w:t>
            </w:r>
          </w:p>
          <w:p>
            <w:pPr>
              <w:widowControl/>
              <w:spacing w:line="240" w:lineRule="exact"/>
              <w:textAlignment w:val="center"/>
              <w:rPr>
                <w:sz w:val="24"/>
              </w:rPr>
            </w:pPr>
            <w:r>
              <w:rPr>
                <w:kern w:val="0"/>
                <w:sz w:val="24"/>
                <w:lang w:bidi="ar"/>
              </w:rPr>
              <w:t>财政拨款</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62.14万元</w:t>
            </w:r>
          </w:p>
        </w:tc>
      </w:tr>
      <w:tr>
        <w:tblPrEx>
          <w:tblCellMar>
            <w:top w:w="0" w:type="dxa"/>
            <w:left w:w="108" w:type="dxa"/>
            <w:bottom w:w="0" w:type="dxa"/>
            <w:right w:w="108" w:type="dxa"/>
          </w:tblCellMar>
        </w:tblPrEx>
        <w:trPr>
          <w:gridAfter w:val="1"/>
          <w:wAfter w:w="236" w:type="dxa"/>
          <w:trHeight w:val="341" w:hRule="atLeast"/>
        </w:trPr>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sz w:val="24"/>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其他资金</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p>
        </w:tc>
      </w:tr>
      <w:tr>
        <w:tblPrEx>
          <w:tblCellMar>
            <w:top w:w="0" w:type="dxa"/>
            <w:left w:w="108" w:type="dxa"/>
            <w:bottom w:w="0" w:type="dxa"/>
            <w:right w:w="108" w:type="dxa"/>
          </w:tblCellMar>
        </w:tblPrEx>
        <w:trPr>
          <w:gridAfter w:val="1"/>
          <w:wAfter w:w="236" w:type="dxa"/>
          <w:trHeight w:val="217"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年度总体目标</w:t>
            </w:r>
          </w:p>
          <w:p>
            <w:pPr>
              <w:widowControl/>
              <w:spacing w:line="240" w:lineRule="exact"/>
              <w:textAlignment w:val="center"/>
              <w:rPr>
                <w:sz w:val="24"/>
              </w:rPr>
            </w:pPr>
            <w:r>
              <w:rPr>
                <w:kern w:val="0"/>
                <w:sz w:val="24"/>
                <w:lang w:bidi="ar"/>
              </w:rPr>
              <w:t>完成情况</w:t>
            </w: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预期目标</w:t>
            </w:r>
          </w:p>
        </w:tc>
        <w:tc>
          <w:tcPr>
            <w:tcW w:w="4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kern w:val="0"/>
                <w:sz w:val="24"/>
                <w:lang w:bidi="ar"/>
              </w:rPr>
              <w:t>目标实际完成情况</w:t>
            </w:r>
          </w:p>
        </w:tc>
      </w:tr>
      <w:tr>
        <w:tblPrEx>
          <w:tblCellMar>
            <w:top w:w="0" w:type="dxa"/>
            <w:left w:w="108" w:type="dxa"/>
            <w:bottom w:w="0" w:type="dxa"/>
            <w:right w:w="108" w:type="dxa"/>
          </w:tblCellMar>
        </w:tblPrEx>
        <w:trPr>
          <w:gridAfter w:val="1"/>
          <w:wAfter w:w="236" w:type="dxa"/>
          <w:trHeight w:val="1557"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sz w:val="24"/>
              </w:rPr>
            </w:pP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top"/>
              <w:rPr>
                <w:sz w:val="24"/>
              </w:rPr>
            </w:pPr>
            <w:r>
              <w:rPr>
                <w:sz w:val="24"/>
              </w:rPr>
              <w:t>购买专业化服务，提供审判楼物业管理服务、机关水电、门卫、会议等服务、庭审直播、电子卷宗扫描、移动办公、金桥指挥系统、电梯维保、网络软件等服务。</w:t>
            </w:r>
          </w:p>
        </w:tc>
        <w:tc>
          <w:tcPr>
            <w:tcW w:w="4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top"/>
              <w:rPr>
                <w:sz w:val="24"/>
              </w:rPr>
            </w:pPr>
            <w:r>
              <w:rPr>
                <w:sz w:val="24"/>
              </w:rPr>
              <w:t>通过购买专业化的审判楼物业管理服务和电子卷宗扫描服务，保障了审判大楼及办公区干净整洁，畅通了办公办案秩序，提升了干警办案质效，实现减负增效的同时保证社会效益最大化。</w:t>
            </w:r>
          </w:p>
        </w:tc>
      </w:tr>
      <w:tr>
        <w:tblPrEx>
          <w:tblCellMar>
            <w:top w:w="0" w:type="dxa"/>
            <w:left w:w="108" w:type="dxa"/>
            <w:bottom w:w="0" w:type="dxa"/>
            <w:right w:w="108" w:type="dxa"/>
          </w:tblCellMar>
        </w:tblPrEx>
        <w:trPr>
          <w:gridAfter w:val="1"/>
          <w:wAfter w:w="236" w:type="dxa"/>
          <w:trHeight w:val="693" w:hRule="atLeast"/>
        </w:trPr>
        <w:tc>
          <w:tcPr>
            <w:tcW w:w="143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年度绩效指标完成情况</w:t>
            </w:r>
          </w:p>
        </w:tc>
        <w:tc>
          <w:tcPr>
            <w:tcW w:w="91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一级</w:t>
            </w:r>
          </w:p>
          <w:p>
            <w:pPr>
              <w:widowControl/>
              <w:spacing w:line="240" w:lineRule="exact"/>
              <w:textAlignment w:val="center"/>
              <w:rPr>
                <w:kern w:val="0"/>
                <w:sz w:val="24"/>
                <w:lang w:bidi="ar"/>
              </w:rPr>
            </w:pP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二级</w:t>
            </w:r>
          </w:p>
          <w:p>
            <w:pPr>
              <w:widowControl/>
              <w:spacing w:line="240" w:lineRule="exact"/>
              <w:textAlignment w:val="center"/>
              <w:rPr>
                <w:kern w:val="0"/>
                <w:sz w:val="24"/>
                <w:lang w:bidi="ar"/>
              </w:rPr>
            </w:pPr>
            <w:r>
              <w:rPr>
                <w:kern w:val="0"/>
                <w:sz w:val="24"/>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三级</w:t>
            </w:r>
          </w:p>
          <w:p>
            <w:pPr>
              <w:widowControl/>
              <w:spacing w:line="240" w:lineRule="exact"/>
              <w:textAlignment w:val="center"/>
              <w:rPr>
                <w:kern w:val="0"/>
                <w:sz w:val="24"/>
                <w:lang w:bidi="ar"/>
              </w:rPr>
            </w:pPr>
            <w:r>
              <w:rPr>
                <w:kern w:val="0"/>
                <w:sz w:val="24"/>
                <w:lang w:bidi="ar"/>
              </w:rPr>
              <w:t>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预期指标值</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实际完成指标值</w:t>
            </w:r>
          </w:p>
        </w:tc>
      </w:tr>
      <w:tr>
        <w:tblPrEx>
          <w:tblCellMar>
            <w:top w:w="0" w:type="dxa"/>
            <w:left w:w="108" w:type="dxa"/>
            <w:bottom w:w="0" w:type="dxa"/>
            <w:right w:w="108" w:type="dxa"/>
          </w:tblCellMar>
        </w:tblPrEx>
        <w:trPr>
          <w:gridAfter w:val="1"/>
          <w:wAfter w:w="236" w:type="dxa"/>
          <w:trHeight w:val="415"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完成</w:t>
            </w:r>
          </w:p>
          <w:p>
            <w:pPr>
              <w:widowControl/>
              <w:spacing w:line="240" w:lineRule="exact"/>
              <w:textAlignment w:val="center"/>
              <w:rPr>
                <w:kern w:val="0"/>
                <w:sz w:val="24"/>
                <w:lang w:bidi="ar"/>
              </w:rPr>
            </w:pP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质量指标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社会化服务质量</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物业管理服务中审判区及办公区清洁，门卫值守、会议服务等方面服务质量达标。电子扫描卷宗质量达标，扫描成果验收合格。</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物业管理服务质量达标，电子卷宗扫描成果验收合格。</w:t>
            </w:r>
          </w:p>
        </w:tc>
      </w:tr>
      <w:tr>
        <w:tblPrEx>
          <w:tblCellMar>
            <w:top w:w="0" w:type="dxa"/>
            <w:left w:w="108" w:type="dxa"/>
            <w:bottom w:w="0" w:type="dxa"/>
            <w:right w:w="108" w:type="dxa"/>
          </w:tblCellMar>
        </w:tblPrEx>
        <w:trPr>
          <w:gridAfter w:val="1"/>
          <w:wAfter w:w="236" w:type="dxa"/>
          <w:trHeight w:val="415"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时效指标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项目完成</w:t>
            </w:r>
          </w:p>
          <w:p>
            <w:pPr>
              <w:widowControl/>
              <w:spacing w:line="240" w:lineRule="exact"/>
              <w:textAlignment w:val="center"/>
              <w:rPr>
                <w:kern w:val="0"/>
                <w:sz w:val="24"/>
                <w:lang w:bidi="ar"/>
              </w:rPr>
            </w:pPr>
            <w:r>
              <w:rPr>
                <w:kern w:val="0"/>
                <w:sz w:val="24"/>
                <w:lang w:bidi="ar"/>
              </w:rPr>
              <w:t>时间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2021年12月31日前</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2021年12月31日前</w:t>
            </w:r>
          </w:p>
        </w:tc>
      </w:tr>
      <w:tr>
        <w:tblPrEx>
          <w:tblCellMar>
            <w:top w:w="0" w:type="dxa"/>
            <w:left w:w="108" w:type="dxa"/>
            <w:bottom w:w="0" w:type="dxa"/>
            <w:right w:w="108" w:type="dxa"/>
          </w:tblCellMar>
        </w:tblPrEx>
        <w:trPr>
          <w:gridAfter w:val="1"/>
          <w:wAfter w:w="236" w:type="dxa"/>
          <w:trHeight w:val="480"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该项目实施成本</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≤100万元</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62.14万元</w:t>
            </w:r>
          </w:p>
        </w:tc>
      </w:tr>
      <w:tr>
        <w:tblPrEx>
          <w:tblCellMar>
            <w:top w:w="0" w:type="dxa"/>
            <w:left w:w="108" w:type="dxa"/>
            <w:bottom w:w="0" w:type="dxa"/>
            <w:right w:w="108" w:type="dxa"/>
          </w:tblCellMar>
        </w:tblPrEx>
        <w:trPr>
          <w:gridAfter w:val="1"/>
          <w:wAfter w:w="236" w:type="dxa"/>
          <w:trHeight w:val="1688"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效益</w:t>
            </w:r>
            <w:r>
              <w:rPr>
                <w:kern w:val="0"/>
                <w:sz w:val="24"/>
                <w:lang w:bidi="ar"/>
              </w:rPr>
              <w:br w:type="textWrapping"/>
            </w: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社会效益  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规范购买社会化服务工作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加快推进政府购买服务改革，进一步规范购买社会化服务工作。</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通过购买专业化的物业管理和电子卷宗扫描服务，将部分事务性工作交由具有资质的专业市场主体承担，实现减负增效的同时保证社会效益最大化。</w:t>
            </w:r>
          </w:p>
        </w:tc>
      </w:tr>
      <w:tr>
        <w:tblPrEx>
          <w:tblCellMar>
            <w:top w:w="0" w:type="dxa"/>
            <w:left w:w="108" w:type="dxa"/>
            <w:bottom w:w="0" w:type="dxa"/>
            <w:right w:w="108" w:type="dxa"/>
          </w:tblCellMar>
        </w:tblPrEx>
        <w:trPr>
          <w:gridAfter w:val="1"/>
          <w:wAfter w:w="236" w:type="dxa"/>
          <w:trHeight w:val="577"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可持续影响 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辅助高效完成审判、执行等各项工作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充分发挥行业优势，辅助高效完成审判、执行等各项工作，更好</w:t>
            </w:r>
            <w:r>
              <w:rPr>
                <w:rFonts w:hint="eastAsia"/>
                <w:kern w:val="0"/>
                <w:sz w:val="24"/>
                <w:lang w:eastAsia="zh-CN" w:bidi="ar"/>
              </w:rPr>
              <w:t>地</w:t>
            </w:r>
            <w:r>
              <w:rPr>
                <w:kern w:val="0"/>
                <w:sz w:val="24"/>
                <w:lang w:bidi="ar"/>
              </w:rPr>
              <w:t>服务于民。</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通过购买专业化的社会化服务,充分发挥行业优势，提升了我院案件办理质效，维护当事人合法权益。</w:t>
            </w:r>
          </w:p>
        </w:tc>
      </w:tr>
      <w:tr>
        <w:tblPrEx>
          <w:tblCellMar>
            <w:top w:w="0" w:type="dxa"/>
            <w:left w:w="108" w:type="dxa"/>
            <w:bottom w:w="0" w:type="dxa"/>
            <w:right w:w="108" w:type="dxa"/>
          </w:tblCellMar>
        </w:tblPrEx>
        <w:trPr>
          <w:gridAfter w:val="1"/>
          <w:wAfter w:w="236" w:type="dxa"/>
          <w:trHeight w:val="530" w:hRule="atLeast"/>
        </w:trPr>
        <w:tc>
          <w:tcPr>
            <w:tcW w:w="1437"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rPr>
                <w:rFonts w:eastAsia="仿宋_GB2312"/>
                <w:sz w:val="28"/>
                <w:szCs w:val="28"/>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bottom"/>
              <w:rPr>
                <w:rFonts w:eastAsia="仿宋_GB2312"/>
                <w:sz w:val="28"/>
                <w:szCs w:val="28"/>
              </w:rPr>
            </w:pPr>
            <w:r>
              <w:rPr>
                <w:kern w:val="0"/>
                <w:sz w:val="24"/>
                <w:lang w:bidi="ar"/>
              </w:rPr>
              <w:t>满意</w:t>
            </w:r>
            <w:r>
              <w:rPr>
                <w:kern w:val="0"/>
                <w:sz w:val="24"/>
                <w:lang w:bidi="ar"/>
              </w:rPr>
              <w:br w:type="textWrapping"/>
            </w:r>
            <w:r>
              <w:rPr>
                <w:kern w:val="0"/>
                <w:sz w:val="24"/>
                <w:lang w:bidi="ar"/>
              </w:rPr>
              <w:t>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满意度</w:t>
            </w:r>
          </w:p>
          <w:p>
            <w:pPr>
              <w:widowControl/>
              <w:spacing w:line="240" w:lineRule="exact"/>
              <w:textAlignment w:val="center"/>
              <w:rPr>
                <w:kern w:val="0"/>
                <w:sz w:val="24"/>
                <w:lang w:bidi="ar"/>
              </w:rPr>
            </w:pPr>
            <w:r>
              <w:rPr>
                <w:kern w:val="0"/>
                <w:sz w:val="24"/>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干警对各项社会化服务满意度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≥90%</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≥90%</w:t>
            </w:r>
          </w:p>
        </w:tc>
      </w:tr>
    </w:tbl>
    <w:p>
      <w:pPr>
        <w:spacing w:line="576" w:lineRule="exact"/>
      </w:pPr>
    </w:p>
    <w:p>
      <w:pPr>
        <w:widowControl/>
        <w:jc w:val="left"/>
        <w:rPr>
          <w:rFonts w:eastAsia="仿宋_GB2312"/>
          <w:kern w:val="0"/>
          <w:sz w:val="32"/>
          <w:szCs w:val="32"/>
        </w:rPr>
      </w:pPr>
      <w:r>
        <w:rPr>
          <w:sz w:val="32"/>
          <w:szCs w:val="32"/>
        </w:rPr>
        <w:br w:type="page"/>
      </w:r>
    </w:p>
    <w:p>
      <w:pPr>
        <w:pStyle w:val="2"/>
        <w:spacing w:before="93"/>
        <w:rPr>
          <w:rFonts w:ascii="Times New Roman"/>
          <w:sz w:val="32"/>
          <w:szCs w:val="32"/>
        </w:rPr>
      </w:pPr>
      <w:r>
        <w:rPr>
          <w:rFonts w:ascii="Times New Roman"/>
          <w:sz w:val="32"/>
          <w:szCs w:val="32"/>
        </w:rPr>
        <w:t>附件6：</w:t>
      </w:r>
    </w:p>
    <w:p>
      <w:pPr>
        <w:pStyle w:val="33"/>
        <w:spacing w:line="576" w:lineRule="exact"/>
        <w:rPr>
          <w:rFonts w:ascii="Times New Roman" w:hAnsi="Times New Roman" w:eastAsia="方正小标宋简体"/>
          <w:color w:val="auto"/>
          <w:kern w:val="2"/>
          <w:sz w:val="40"/>
          <w:szCs w:val="40"/>
          <w:lang w:val="en-US"/>
        </w:rPr>
      </w:pPr>
    </w:p>
    <w:p>
      <w:pPr>
        <w:pStyle w:val="33"/>
        <w:spacing w:line="64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四川省广元市中级人民法院</w:t>
      </w:r>
    </w:p>
    <w:p>
      <w:pPr>
        <w:pStyle w:val="33"/>
        <w:spacing w:line="640" w:lineRule="exact"/>
        <w:jc w:val="center"/>
        <w:rPr>
          <w:rFonts w:ascii="Times New Roman" w:hAnsi="Times New Roman" w:eastAsia="方正小标宋简体"/>
          <w:color w:val="auto"/>
          <w:kern w:val="2"/>
          <w:sz w:val="44"/>
          <w:szCs w:val="44"/>
        </w:rPr>
      </w:pPr>
      <w:r>
        <w:rPr>
          <w:rFonts w:ascii="Times New Roman" w:hAnsi="Times New Roman" w:eastAsia="方正小标宋简体"/>
          <w:color w:val="auto"/>
          <w:kern w:val="2"/>
          <w:sz w:val="44"/>
          <w:szCs w:val="44"/>
          <w:lang w:val="en-US"/>
        </w:rPr>
        <w:t>2021年</w:t>
      </w:r>
      <w:r>
        <w:rPr>
          <w:rFonts w:ascii="Times New Roman" w:hAnsi="Times New Roman" w:eastAsia="方正小标宋简体"/>
          <w:color w:val="auto"/>
          <w:kern w:val="2"/>
          <w:sz w:val="44"/>
          <w:szCs w:val="44"/>
        </w:rPr>
        <w:t>法院文化建设经费项目绩效</w:t>
      </w:r>
    </w:p>
    <w:p>
      <w:pPr>
        <w:pStyle w:val="33"/>
        <w:spacing w:line="640" w:lineRule="exact"/>
        <w:jc w:val="center"/>
        <w:rPr>
          <w:rFonts w:ascii="Times New Roman" w:hAnsi="Times New Roman" w:eastAsia="楷体_GB2312"/>
          <w:color w:val="auto"/>
          <w:kern w:val="2"/>
          <w:sz w:val="32"/>
          <w:szCs w:val="32"/>
        </w:rPr>
      </w:pPr>
      <w:r>
        <w:rPr>
          <w:rFonts w:ascii="Times New Roman" w:hAnsi="Times New Roman" w:eastAsia="方正小标宋简体"/>
          <w:color w:val="auto"/>
          <w:kern w:val="2"/>
          <w:sz w:val="44"/>
          <w:szCs w:val="44"/>
        </w:rPr>
        <w:t>自</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评</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报</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告</w:t>
      </w:r>
    </w:p>
    <w:p>
      <w:pPr>
        <w:adjustRightInd w:val="0"/>
        <w:snapToGrid w:val="0"/>
        <w:spacing w:line="640" w:lineRule="exact"/>
        <w:ind w:firstLine="720"/>
        <w:rPr>
          <w:rFonts w:eastAsia="黑体"/>
        </w:rPr>
      </w:pPr>
    </w:p>
    <w:p>
      <w:pPr>
        <w:adjustRightInd w:val="0"/>
        <w:snapToGrid w:val="0"/>
        <w:spacing w:line="640" w:lineRule="exact"/>
        <w:ind w:firstLine="720"/>
        <w:rPr>
          <w:rFonts w:ascii="方正黑体简体" w:eastAsia="方正黑体简体"/>
          <w:sz w:val="32"/>
          <w:szCs w:val="32"/>
        </w:rPr>
      </w:pPr>
      <w:r>
        <w:rPr>
          <w:rFonts w:ascii="方正黑体简体" w:eastAsia="方正黑体简体"/>
          <w:sz w:val="32"/>
          <w:szCs w:val="32"/>
        </w:rPr>
        <w:t>一、项目概况</w:t>
      </w:r>
    </w:p>
    <w:p>
      <w:pPr>
        <w:adjustRightInd w:val="0"/>
        <w:snapToGrid w:val="0"/>
        <w:spacing w:line="640" w:lineRule="exact"/>
        <w:ind w:firstLine="640" w:firstLineChars="200"/>
        <w:rPr>
          <w:rFonts w:eastAsia="楷体_GB2312"/>
          <w:sz w:val="32"/>
          <w:szCs w:val="32"/>
          <w:lang w:val="zh-CN"/>
        </w:rPr>
      </w:pPr>
      <w:r>
        <w:rPr>
          <w:rFonts w:eastAsia="楷体_GB2312"/>
          <w:sz w:val="32"/>
          <w:szCs w:val="32"/>
          <w:lang w:val="zh-CN"/>
        </w:rPr>
        <w:t>（一）项目基本情况。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1．说明项目主管部门（单位）在该项目管理中的职能。</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广元市</w:t>
      </w:r>
      <w:r>
        <w:rPr>
          <w:rFonts w:eastAsia="仿宋_GB2312"/>
          <w:sz w:val="32"/>
          <w:szCs w:val="32"/>
        </w:rPr>
        <w:t>中级人民法院是独立核算的一级预算部门，</w:t>
      </w:r>
      <w:r>
        <w:rPr>
          <w:rFonts w:eastAsia="仿宋_GB2312"/>
          <w:sz w:val="32"/>
          <w:szCs w:val="32"/>
          <w:lang w:val="zh-CN"/>
        </w:rPr>
        <w:t>负责法院文化建设经费项目年初预算的编制和绩效目标的设置，确保项目预算的科学性、合理性、可行性。</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负责推进项目执行以及项目实施过程管理，包括项目进度监控、成本控制、风险预警、资金支付、财务核算等。</w:t>
      </w:r>
    </w:p>
    <w:p>
      <w:pPr>
        <w:adjustRightInd w:val="0"/>
        <w:snapToGrid w:val="0"/>
        <w:spacing w:line="640" w:lineRule="exact"/>
        <w:ind w:firstLine="640" w:firstLineChars="200"/>
        <w:rPr>
          <w:lang w:val="zh-CN"/>
        </w:rPr>
      </w:pPr>
      <w:r>
        <w:rPr>
          <w:rFonts w:eastAsia="仿宋_GB2312"/>
          <w:sz w:val="32"/>
          <w:szCs w:val="32"/>
          <w:lang w:val="zh-CN"/>
        </w:rPr>
        <w:t>项目完成后的决算编审、绩效目标考核和项目自评，以及其他与项目相关工作。</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2.</w:t>
      </w:r>
      <w:r>
        <w:rPr>
          <w:rFonts w:eastAsia="仿宋_GB2312"/>
          <w:sz w:val="32"/>
          <w:szCs w:val="32"/>
          <w:lang w:val="zh-CN"/>
        </w:rPr>
        <w:t>项目立项、资金申报的依据。</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根据《四川省高级人民法院关于印发&lt;关于全面推进全省法院文化建设实质化的实施意见（试行）&gt;的通知》，加快推进文化强院建设，提升四川法院文化软实力，全面推进全省法院文化建设实质化。202</w:t>
      </w:r>
      <w:r>
        <w:rPr>
          <w:rFonts w:eastAsia="仿宋_GB2312"/>
          <w:sz w:val="32"/>
          <w:szCs w:val="32"/>
        </w:rPr>
        <w:t>1</w:t>
      </w:r>
      <w:r>
        <w:rPr>
          <w:rFonts w:eastAsia="仿宋_GB2312"/>
          <w:sz w:val="32"/>
          <w:szCs w:val="32"/>
          <w:lang w:val="zh-CN"/>
        </w:rPr>
        <w:t>年，我院根据往年文化建设实施情况及本年项目开展实际情况，申报法院文化建设经费项目资金</w:t>
      </w:r>
      <w:r>
        <w:rPr>
          <w:rFonts w:eastAsia="仿宋_GB2312"/>
          <w:sz w:val="32"/>
          <w:szCs w:val="32"/>
        </w:rPr>
        <w:t>10</w:t>
      </w:r>
      <w:r>
        <w:rPr>
          <w:rFonts w:eastAsia="仿宋_GB2312"/>
          <w:sz w:val="32"/>
          <w:szCs w:val="32"/>
          <w:lang w:val="zh-CN"/>
        </w:rPr>
        <w:t>万元。</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资金管理办法制定情况，资金支持具体项目的条件、范围与支持方式概况。</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法院文化建设经费项目预算编制立足上年项目执行情况和当年工作实际，绩效目标和项目指标编制科学、合理。</w:t>
      </w:r>
    </w:p>
    <w:p>
      <w:pPr>
        <w:adjustRightInd w:val="0"/>
        <w:snapToGrid w:val="0"/>
        <w:spacing w:line="640" w:lineRule="exact"/>
        <w:ind w:firstLine="640" w:firstLineChars="200"/>
        <w:rPr>
          <w:lang w:val="zh-CN"/>
        </w:rPr>
      </w:pPr>
      <w:r>
        <w:rPr>
          <w:rFonts w:eastAsia="仿宋_GB2312"/>
          <w:sz w:val="32"/>
          <w:szCs w:val="32"/>
          <w:lang w:val="zh-CN"/>
        </w:rPr>
        <w:t>项目资金来源系财政全额拨款的一般公共预算资金，按照我院财务管理办法及专项资金管理细则，实行专款专用。项目的所有经费开支均经过项目责任人、财务负责人、分管院领导的审批签字，并在对应的科目进行专项核算。</w:t>
      </w:r>
    </w:p>
    <w:p>
      <w:pPr>
        <w:adjustRightInd w:val="0"/>
        <w:snapToGrid w:val="0"/>
        <w:spacing w:line="640" w:lineRule="exact"/>
        <w:ind w:firstLine="640" w:firstLineChars="200"/>
        <w:rPr>
          <w:rFonts w:eastAsia="仿宋_GB2312"/>
          <w:sz w:val="32"/>
          <w:szCs w:val="32"/>
          <w:lang w:val="zh-CN"/>
        </w:rPr>
      </w:pPr>
      <w:r>
        <w:rPr>
          <w:rFonts w:eastAsia="仿宋_GB2312"/>
          <w:sz w:val="32"/>
          <w:szCs w:val="32"/>
        </w:rPr>
        <w:t>4.</w:t>
      </w:r>
      <w:r>
        <w:rPr>
          <w:rFonts w:eastAsia="仿宋_GB2312"/>
          <w:sz w:val="32"/>
          <w:szCs w:val="32"/>
          <w:lang w:val="zh-CN"/>
        </w:rPr>
        <w:t>资金分配的原则及考虑因素。</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法院文化建设经费项目资金分配严格按照预算安排，主要用于保障我院开展系列文化建设和活动建设经费。</w:t>
      </w:r>
    </w:p>
    <w:p>
      <w:pPr>
        <w:adjustRightInd w:val="0"/>
        <w:snapToGrid w:val="0"/>
        <w:spacing w:line="640" w:lineRule="exact"/>
        <w:ind w:firstLine="640" w:firstLineChars="200"/>
        <w:rPr>
          <w:rFonts w:eastAsia="楷体_GB2312"/>
          <w:sz w:val="32"/>
          <w:szCs w:val="32"/>
          <w:lang w:val="zh-CN"/>
        </w:rPr>
      </w:pPr>
      <w:r>
        <w:rPr>
          <w:rFonts w:eastAsia="楷体_GB2312"/>
          <w:sz w:val="32"/>
          <w:szCs w:val="32"/>
          <w:lang w:val="zh-CN"/>
        </w:rPr>
        <w:t>（二）项目绩效目标。</w:t>
      </w:r>
    </w:p>
    <w:p>
      <w:pPr>
        <w:adjustRightInd w:val="0"/>
        <w:snapToGrid w:val="0"/>
        <w:spacing w:line="640" w:lineRule="exact"/>
        <w:ind w:firstLine="640" w:firstLineChars="200"/>
        <w:rPr>
          <w:rFonts w:eastAsia="仿宋_GB2312"/>
          <w:sz w:val="32"/>
          <w:szCs w:val="32"/>
          <w:lang w:val="zh-CN"/>
        </w:rPr>
      </w:pPr>
      <w:r>
        <w:rPr>
          <w:rFonts w:eastAsia="仿宋_GB2312"/>
          <w:sz w:val="32"/>
          <w:szCs w:val="32"/>
          <w:lang w:val="zh-CN"/>
        </w:rPr>
        <w:t>1．项目主要内容。</w:t>
      </w:r>
    </w:p>
    <w:p>
      <w:pPr>
        <w:adjustRightInd w:val="0"/>
        <w:snapToGrid w:val="0"/>
        <w:spacing w:line="640" w:lineRule="exact"/>
        <w:ind w:firstLine="640" w:firstLineChars="200"/>
        <w:rPr>
          <w:rFonts w:eastAsia="仿宋_GB2312"/>
          <w:sz w:val="32"/>
          <w:szCs w:val="32"/>
        </w:rPr>
      </w:pPr>
      <w:r>
        <w:rPr>
          <w:rFonts w:eastAsia="仿宋_GB2312"/>
          <w:sz w:val="32"/>
          <w:szCs w:val="32"/>
        </w:rPr>
        <w:t>2021年</w:t>
      </w:r>
      <w:r>
        <w:rPr>
          <w:rFonts w:eastAsia="仿宋_GB2312"/>
          <w:sz w:val="32"/>
          <w:szCs w:val="32"/>
          <w:lang w:val="zh-CN"/>
        </w:rPr>
        <w:t>法院文化建设经费</w:t>
      </w:r>
      <w:r>
        <w:rPr>
          <w:rFonts w:eastAsia="仿宋_GB2312"/>
          <w:sz w:val="32"/>
          <w:szCs w:val="32"/>
        </w:rPr>
        <w:t>项目主要是保障开展系列文化建设和活动，增加了我院文化软实力，加快推进了文化强院建设。</w:t>
      </w:r>
    </w:p>
    <w:p>
      <w:pPr>
        <w:adjustRightInd w:val="0"/>
        <w:snapToGrid w:val="0"/>
        <w:spacing w:line="640" w:lineRule="exact"/>
        <w:ind w:firstLine="640" w:firstLineChars="200"/>
        <w:rPr>
          <w:lang w:val="zh-CN"/>
        </w:rPr>
      </w:pPr>
      <w:r>
        <w:rPr>
          <w:rFonts w:eastAsia="仿宋_GB2312"/>
          <w:sz w:val="32"/>
          <w:szCs w:val="32"/>
        </w:rPr>
        <w:t>2.</w:t>
      </w:r>
      <w:r>
        <w:rPr>
          <w:rFonts w:eastAsia="仿宋_GB2312"/>
          <w:sz w:val="32"/>
          <w:szCs w:val="32"/>
          <w:lang w:val="zh-CN"/>
        </w:rPr>
        <w:t>项目应实现的具体绩效目标，包括目标的量化、细化情况以及项目实施进度计划等。</w:t>
      </w:r>
    </w:p>
    <w:p>
      <w:pPr>
        <w:adjustRightInd w:val="0"/>
        <w:snapToGrid w:val="0"/>
        <w:spacing w:line="576" w:lineRule="exact"/>
        <w:rPr>
          <w:lang w:val="zh-CN"/>
        </w:rPr>
      </w:pPr>
    </w:p>
    <w:tbl>
      <w:tblPr>
        <w:tblStyle w:val="14"/>
        <w:tblW w:w="10518" w:type="dxa"/>
        <w:tblInd w:w="-728" w:type="dxa"/>
        <w:tblLayout w:type="fixed"/>
        <w:tblCellMar>
          <w:top w:w="15" w:type="dxa"/>
          <w:left w:w="15" w:type="dxa"/>
          <w:bottom w:w="15" w:type="dxa"/>
          <w:right w:w="15" w:type="dxa"/>
        </w:tblCellMar>
      </w:tblPr>
      <w:tblGrid>
        <w:gridCol w:w="1036"/>
        <w:gridCol w:w="1009"/>
        <w:gridCol w:w="1800"/>
        <w:gridCol w:w="1809"/>
        <w:gridCol w:w="2191"/>
        <w:gridCol w:w="2673"/>
      </w:tblGrid>
      <w:tr>
        <w:tblPrEx>
          <w:tblCellMar>
            <w:top w:w="15" w:type="dxa"/>
            <w:left w:w="15" w:type="dxa"/>
            <w:bottom w:w="15" w:type="dxa"/>
            <w:right w:w="15" w:type="dxa"/>
          </w:tblCellMar>
        </w:tblPrEx>
        <w:trPr>
          <w:trHeight w:val="78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年度</w:t>
            </w:r>
            <w:r>
              <w:rPr>
                <w:color w:val="000000"/>
                <w:kern w:val="0"/>
                <w:sz w:val="24"/>
                <w:lang w:bidi="ar"/>
              </w:rPr>
              <w:br w:type="textWrapping"/>
            </w:r>
            <w:r>
              <w:rPr>
                <w:color w:val="000000"/>
                <w:kern w:val="0"/>
                <w:sz w:val="24"/>
                <w:lang w:bidi="ar"/>
              </w:rPr>
              <w:t>绩效</w:t>
            </w:r>
            <w:r>
              <w:rPr>
                <w:color w:val="000000"/>
                <w:kern w:val="0"/>
                <w:sz w:val="24"/>
                <w:lang w:bidi="ar"/>
              </w:rPr>
              <w:br w:type="textWrapping"/>
            </w:r>
            <w:r>
              <w:rPr>
                <w:color w:val="000000"/>
                <w:kern w:val="0"/>
                <w:sz w:val="24"/>
                <w:lang w:bidi="ar"/>
              </w:rPr>
              <w:t>指标</w:t>
            </w:r>
            <w:r>
              <w:rPr>
                <w:color w:val="000000"/>
                <w:kern w:val="0"/>
                <w:sz w:val="24"/>
                <w:lang w:bidi="ar"/>
              </w:rPr>
              <w:br w:type="textWrapping"/>
            </w:r>
            <w:r>
              <w:rPr>
                <w:color w:val="000000"/>
                <w:kern w:val="0"/>
                <w:sz w:val="24"/>
                <w:lang w:bidi="ar"/>
              </w:rPr>
              <w:t>完成</w:t>
            </w:r>
            <w:r>
              <w:rPr>
                <w:color w:val="000000"/>
                <w:kern w:val="0"/>
                <w:sz w:val="24"/>
                <w:lang w:bidi="ar"/>
              </w:rPr>
              <w:br w:type="textWrapping"/>
            </w:r>
            <w:r>
              <w:rPr>
                <w:color w:val="000000"/>
                <w:kern w:val="0"/>
                <w:sz w:val="24"/>
                <w:lang w:bidi="ar"/>
              </w:rPr>
              <w:t>情况</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一级指标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二级指标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三级指标</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指标值（包含数字及文字描述）</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实际完成指标值（包含数字及文字描述）</w:t>
            </w:r>
          </w:p>
        </w:tc>
      </w:tr>
      <w:tr>
        <w:tblPrEx>
          <w:tblCellMar>
            <w:top w:w="15" w:type="dxa"/>
            <w:left w:w="15" w:type="dxa"/>
            <w:bottom w:w="15" w:type="dxa"/>
            <w:right w:w="15" w:type="dxa"/>
          </w:tblCellMar>
        </w:tblPrEx>
        <w:trPr>
          <w:trHeight w:val="6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项目完成指标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数量指标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开展文化建设活动次数</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≥6次</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8次</w:t>
            </w:r>
          </w:p>
        </w:tc>
      </w:tr>
      <w:tr>
        <w:tblPrEx>
          <w:tblCellMar>
            <w:top w:w="15" w:type="dxa"/>
            <w:left w:w="15" w:type="dxa"/>
            <w:bottom w:w="15" w:type="dxa"/>
            <w:right w:w="15" w:type="dxa"/>
          </w:tblCellMar>
        </w:tblPrEx>
        <w:trPr>
          <w:trHeight w:val="76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时效指标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color w:val="000000"/>
                <w:kern w:val="0"/>
                <w:sz w:val="22"/>
                <w:szCs w:val="22"/>
                <w:lang w:bidi="ar"/>
              </w:rPr>
              <w:t>项目完成时间</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2"/>
                <w:szCs w:val="22"/>
                <w:lang w:bidi="ar"/>
              </w:rPr>
              <w:t>2021年12月31日前</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2021年12月31日前</w:t>
            </w:r>
          </w:p>
        </w:tc>
      </w:tr>
      <w:tr>
        <w:tblPrEx>
          <w:tblCellMar>
            <w:top w:w="15" w:type="dxa"/>
            <w:left w:w="15" w:type="dxa"/>
            <w:bottom w:w="15" w:type="dxa"/>
            <w:right w:w="15" w:type="dxa"/>
          </w:tblCellMar>
        </w:tblPrEx>
        <w:trPr>
          <w:trHeight w:val="120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成本指标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文化建设成本投入</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≤10万元</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10万元</w:t>
            </w:r>
          </w:p>
        </w:tc>
      </w:tr>
      <w:tr>
        <w:tblPrEx>
          <w:tblCellMar>
            <w:top w:w="15" w:type="dxa"/>
            <w:left w:w="15" w:type="dxa"/>
            <w:bottom w:w="15" w:type="dxa"/>
            <w:right w:w="15" w:type="dxa"/>
          </w:tblCellMar>
        </w:tblPrEx>
        <w:trPr>
          <w:trHeight w:val="48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项目效果指标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社会效益</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营造良好的单位文化氛围</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开展好单位文化建设，有利于提升干警工作和精神面貌，营造良好的单位文化氛围，不断提升我院工作质效。</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该项目的实施，营造了良好的文化氛围，提升了我院文化软实力，推动了文化强院建设和社会文明、和谐发展。</w:t>
            </w:r>
          </w:p>
        </w:tc>
      </w:tr>
      <w:tr>
        <w:tblPrEx>
          <w:tblCellMar>
            <w:top w:w="15" w:type="dxa"/>
            <w:left w:w="15" w:type="dxa"/>
            <w:bottom w:w="15" w:type="dxa"/>
            <w:right w:w="15" w:type="dxa"/>
          </w:tblCellMar>
        </w:tblPrEx>
        <w:trPr>
          <w:trHeight w:val="72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可持续影响</w:t>
            </w:r>
            <w:r>
              <w:rPr>
                <w:color w:val="000000"/>
                <w:kern w:val="0"/>
                <w:sz w:val="24"/>
                <w:lang w:bidi="ar"/>
              </w:rPr>
              <w:br w:type="textWrapping"/>
            </w:r>
            <w:r>
              <w:rPr>
                <w:color w:val="000000"/>
                <w:kern w:val="0"/>
                <w:sz w:val="24"/>
                <w:lang w:bidi="ar"/>
              </w:rPr>
              <w:t>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法院文化建设项目的实施</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通过大力推进法院精神文化建设、物质文化建设、文化制度建设、文化平台建设等多方面着手，大力推进我院文化实质化建设，有效提升我院文化氛围。</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文化建设活动引导干警把核心价值观自觉融入到思想和工作实践中，着力增强了我院文化影响力和感染力，营造了有利于干警身心健康、依法履职的良好氛围。</w:t>
            </w:r>
          </w:p>
        </w:tc>
      </w:tr>
      <w:tr>
        <w:tblPrEx>
          <w:tblCellMar>
            <w:top w:w="15" w:type="dxa"/>
            <w:left w:w="15" w:type="dxa"/>
            <w:bottom w:w="15" w:type="dxa"/>
            <w:right w:w="15" w:type="dxa"/>
          </w:tblCellMar>
        </w:tblPrEx>
        <w:trPr>
          <w:trHeight w:val="1003"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满意度</w:t>
            </w:r>
            <w:r>
              <w:rPr>
                <w:color w:val="000000"/>
                <w:kern w:val="0"/>
                <w:sz w:val="24"/>
                <w:lang w:bidi="ar"/>
              </w:rPr>
              <w:br w:type="textWrapping"/>
            </w:r>
            <w:r>
              <w:rPr>
                <w:color w:val="000000"/>
                <w:kern w:val="0"/>
                <w:sz w:val="24"/>
                <w:lang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满意度指标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4"/>
              </w:rPr>
            </w:pPr>
            <w:r>
              <w:rPr>
                <w:color w:val="000000"/>
                <w:kern w:val="0"/>
                <w:sz w:val="24"/>
                <w:lang w:bidi="ar"/>
              </w:rPr>
              <w:t>法院工作人员对本院文化建设满意度</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≥85%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rPr>
            </w:pPr>
            <w:r>
              <w:rPr>
                <w:color w:val="000000"/>
                <w:kern w:val="0"/>
                <w:sz w:val="24"/>
                <w:lang w:bidi="ar"/>
              </w:rPr>
              <w:t>≥85%</w:t>
            </w:r>
          </w:p>
        </w:tc>
      </w:tr>
    </w:tbl>
    <w:p>
      <w:pPr>
        <w:adjustRightInd w:val="0"/>
        <w:snapToGrid w:val="0"/>
        <w:spacing w:line="574" w:lineRule="exact"/>
        <w:ind w:firstLine="640" w:firstLineChars="200"/>
        <w:rPr>
          <w:rFonts w:eastAsia="仿宋_GB2312"/>
          <w:sz w:val="32"/>
          <w:szCs w:val="32"/>
          <w:lang w:val="zh-CN"/>
        </w:rPr>
      </w:pPr>
    </w:p>
    <w:p>
      <w:pPr>
        <w:adjustRightInd w:val="0"/>
        <w:snapToGrid w:val="0"/>
        <w:spacing w:line="574" w:lineRule="exact"/>
        <w:ind w:firstLine="640" w:firstLineChars="200"/>
        <w:rPr>
          <w:rFonts w:eastAsia="仿宋_GB2312"/>
          <w:sz w:val="32"/>
          <w:szCs w:val="32"/>
          <w:lang w:val="zh-CN"/>
        </w:rPr>
      </w:pPr>
      <w:r>
        <w:rPr>
          <w:rFonts w:eastAsia="仿宋_GB2312"/>
          <w:sz w:val="32"/>
          <w:szCs w:val="32"/>
        </w:rPr>
        <w:t>3.</w:t>
      </w:r>
      <w:r>
        <w:rPr>
          <w:rFonts w:eastAsia="仿宋_GB2312"/>
          <w:sz w:val="32"/>
          <w:szCs w:val="32"/>
          <w:lang w:val="zh-CN"/>
        </w:rPr>
        <w:t>分析评价申报内容是否与实际相符，申报目标是否合理可行。</w:t>
      </w:r>
    </w:p>
    <w:p>
      <w:pPr>
        <w:adjustRightInd w:val="0"/>
        <w:snapToGrid w:val="0"/>
        <w:spacing w:line="574" w:lineRule="exact"/>
        <w:ind w:firstLine="640" w:firstLineChars="200"/>
        <w:rPr>
          <w:lang w:val="zh-CN"/>
        </w:rPr>
      </w:pPr>
      <w:r>
        <w:rPr>
          <w:rFonts w:eastAsia="仿宋_GB2312"/>
          <w:sz w:val="32"/>
          <w:szCs w:val="32"/>
          <w:lang w:val="zh-CN"/>
        </w:rPr>
        <w:t>我院对于该项目的申报内容与实际业务的开展相关且符合工作实际，申报的绩效目标易于考核，合理可行，操作性强。</w:t>
      </w:r>
    </w:p>
    <w:p>
      <w:pPr>
        <w:adjustRightInd w:val="0"/>
        <w:snapToGrid w:val="0"/>
        <w:spacing w:line="576" w:lineRule="exact"/>
        <w:ind w:firstLine="640" w:firstLineChars="200"/>
        <w:rPr>
          <w:rFonts w:eastAsia="楷体_GB2312"/>
          <w:lang w:val="zh-CN"/>
        </w:rPr>
      </w:pPr>
      <w:r>
        <w:rPr>
          <w:rFonts w:eastAsia="楷体_GB2312"/>
          <w:sz w:val="32"/>
          <w:szCs w:val="32"/>
          <w:lang w:val="zh-CN"/>
        </w:rPr>
        <w:t>（三）项目自评步骤及方法</w:t>
      </w:r>
      <w:r>
        <w:rPr>
          <w:rFonts w:eastAsia="楷体_GB2312"/>
          <w:lang w:val="zh-CN"/>
        </w:rPr>
        <w:t>。</w:t>
      </w:r>
    </w:p>
    <w:p>
      <w:pPr>
        <w:adjustRightInd w:val="0"/>
        <w:snapToGrid w:val="0"/>
        <w:spacing w:line="574" w:lineRule="exact"/>
        <w:ind w:firstLine="640" w:firstLineChars="200"/>
        <w:rPr>
          <w:lang w:val="zh-CN"/>
        </w:rPr>
      </w:pPr>
      <w:r>
        <w:rPr>
          <w:rFonts w:eastAsia="仿宋_GB2312"/>
          <w:sz w:val="32"/>
          <w:szCs w:val="32"/>
          <w:lang w:val="zh-CN"/>
        </w:rPr>
        <w:t>项目绩效自评采用中期监控和年终绩效考核相结合的方式进行。项目绩效自评由项目实施的业务庭室报送年度内具体工作开展情况，并对项目的实施情况总结并自评，督察室监督审核工作的完成进度并进行项目验收，行装处负责统计相关项目工作的资金支付情况，并通过共同研讨、数据对比等方法对该项目进行自评打分。</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二、项目资金申报及使用情况</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（一）项目资金申报及批复情况。</w:t>
      </w:r>
    </w:p>
    <w:p>
      <w:pPr>
        <w:adjustRightInd w:val="0"/>
        <w:snapToGrid w:val="0"/>
        <w:spacing w:line="574" w:lineRule="exact"/>
        <w:ind w:firstLine="640" w:firstLineChars="200"/>
        <w:rPr>
          <w:rFonts w:eastAsia="仿宋_GB2312"/>
          <w:sz w:val="32"/>
          <w:szCs w:val="32"/>
        </w:rPr>
      </w:pPr>
      <w:r>
        <w:rPr>
          <w:rFonts w:eastAsia="仿宋_GB2312"/>
          <w:sz w:val="32"/>
          <w:szCs w:val="32"/>
        </w:rPr>
        <w:t>2021年法院文化建设经费</w:t>
      </w:r>
      <w:r>
        <w:rPr>
          <w:rFonts w:eastAsia="仿宋_GB2312"/>
          <w:sz w:val="32"/>
          <w:szCs w:val="32"/>
          <w:lang w:val="zh-CN"/>
        </w:rPr>
        <w:t>项目申报资金</w:t>
      </w:r>
      <w:r>
        <w:rPr>
          <w:rFonts w:eastAsia="仿宋_GB2312"/>
          <w:sz w:val="32"/>
          <w:szCs w:val="32"/>
        </w:rPr>
        <w:t>10万元，项目报送人代会通过后批复法院文化建设经费项目资金10万元，项目资金无预算调整。</w:t>
      </w:r>
    </w:p>
    <w:p>
      <w:pPr>
        <w:adjustRightInd w:val="0"/>
        <w:snapToGrid w:val="0"/>
        <w:spacing w:line="576" w:lineRule="exact"/>
        <w:ind w:firstLine="640" w:firstLineChars="200"/>
        <w:rPr>
          <w:sz w:val="32"/>
          <w:szCs w:val="32"/>
          <w:lang w:val="zh-CN"/>
        </w:rPr>
      </w:pPr>
      <w:r>
        <w:rPr>
          <w:rFonts w:eastAsia="楷体_GB2312"/>
          <w:sz w:val="32"/>
          <w:szCs w:val="32"/>
          <w:lang w:val="zh-CN"/>
        </w:rPr>
        <w:t>（二）资金计划、到位及使用情况（可用表格形式反映）。</w:t>
      </w:r>
    </w:p>
    <w:p>
      <w:pPr>
        <w:adjustRightInd w:val="0"/>
        <w:snapToGrid w:val="0"/>
        <w:spacing w:line="574" w:lineRule="exact"/>
        <w:ind w:firstLine="643" w:firstLineChars="200"/>
        <w:rPr>
          <w:rFonts w:eastAsia="仿宋_GB2312"/>
          <w:sz w:val="32"/>
          <w:szCs w:val="32"/>
        </w:rPr>
      </w:pPr>
      <w:r>
        <w:rPr>
          <w:rFonts w:eastAsia="仿宋_GB2312"/>
          <w:b/>
          <w:bCs/>
          <w:sz w:val="32"/>
          <w:szCs w:val="32"/>
          <w:lang w:val="zh-CN"/>
        </w:rPr>
        <w:t>1．资金计划。</w:t>
      </w:r>
      <w:r>
        <w:rPr>
          <w:rFonts w:eastAsia="仿宋_GB2312"/>
          <w:sz w:val="32"/>
          <w:szCs w:val="32"/>
          <w:lang w:val="zh-CN"/>
        </w:rPr>
        <w:t>该项目资金计划为一般公共预算财政拨款收入安排，</w:t>
      </w:r>
      <w:r>
        <w:rPr>
          <w:rFonts w:eastAsia="仿宋_GB2312"/>
          <w:sz w:val="32"/>
          <w:szCs w:val="32"/>
        </w:rPr>
        <w:t>202</w:t>
      </w:r>
      <w:r>
        <w:rPr>
          <w:sz w:val="32"/>
          <w:szCs w:val="32"/>
        </w:rPr>
        <w:t>1</w:t>
      </w:r>
      <w:r>
        <w:rPr>
          <w:rFonts w:eastAsia="仿宋_GB2312"/>
          <w:sz w:val="32"/>
          <w:szCs w:val="32"/>
        </w:rPr>
        <w:t>年</w:t>
      </w:r>
      <w:r>
        <w:rPr>
          <w:rFonts w:eastAsia="仿宋_GB2312"/>
          <w:sz w:val="32"/>
          <w:szCs w:val="32"/>
          <w:lang w:val="zh-CN"/>
        </w:rPr>
        <w:t>市财政局通过预算对我院下达此专项资金</w:t>
      </w:r>
      <w:r>
        <w:rPr>
          <w:sz w:val="32"/>
          <w:szCs w:val="32"/>
        </w:rPr>
        <w:t>10</w:t>
      </w:r>
      <w:r>
        <w:rPr>
          <w:rFonts w:eastAsia="仿宋_GB2312"/>
          <w:sz w:val="32"/>
          <w:szCs w:val="32"/>
        </w:rPr>
        <w:t>万元</w:t>
      </w:r>
      <w:r>
        <w:rPr>
          <w:rFonts w:eastAsia="仿宋_GB2312"/>
          <w:sz w:val="32"/>
          <w:szCs w:val="32"/>
          <w:lang w:val="zh-CN"/>
        </w:rPr>
        <w:t>。</w:t>
      </w:r>
    </w:p>
    <w:p>
      <w:pPr>
        <w:spacing w:line="574" w:lineRule="exact"/>
        <w:ind w:firstLine="643" w:firstLineChars="200"/>
        <w:rPr>
          <w:rFonts w:eastAsia="仿宋_GB2312"/>
          <w:sz w:val="32"/>
          <w:szCs w:val="32"/>
          <w:lang w:val="zh-CN"/>
        </w:rPr>
      </w:pPr>
      <w:r>
        <w:rPr>
          <w:rFonts w:eastAsia="仿宋_GB2312"/>
          <w:b/>
          <w:bCs/>
          <w:sz w:val="32"/>
          <w:szCs w:val="32"/>
          <w:lang w:val="zh-CN"/>
        </w:rPr>
        <w:t>2．资金到位。</w:t>
      </w:r>
      <w:r>
        <w:rPr>
          <w:rFonts w:eastAsia="仿宋_GB2312"/>
          <w:sz w:val="32"/>
          <w:szCs w:val="32"/>
          <w:lang w:val="zh-CN"/>
        </w:rPr>
        <w:t>202</w:t>
      </w:r>
      <w:r>
        <w:rPr>
          <w:rFonts w:eastAsia="仿宋_GB2312"/>
          <w:sz w:val="32"/>
          <w:szCs w:val="32"/>
        </w:rPr>
        <w:t>1</w:t>
      </w:r>
      <w:r>
        <w:rPr>
          <w:rFonts w:eastAsia="仿宋_GB2312"/>
          <w:sz w:val="32"/>
          <w:szCs w:val="32"/>
          <w:lang w:val="zh-CN"/>
        </w:rPr>
        <w:t>年法院文化建设经费项</w:t>
      </w:r>
      <w:r>
        <w:rPr>
          <w:rFonts w:eastAsia="仿宋_GB2312"/>
          <w:sz w:val="32"/>
          <w:szCs w:val="32"/>
        </w:rPr>
        <w:t>目资金到位</w:t>
      </w:r>
      <w:r>
        <w:rPr>
          <w:sz w:val="32"/>
          <w:szCs w:val="32"/>
        </w:rPr>
        <w:t>10</w:t>
      </w:r>
      <w:r>
        <w:rPr>
          <w:rFonts w:eastAsia="仿宋_GB2312"/>
          <w:sz w:val="32"/>
          <w:szCs w:val="32"/>
        </w:rPr>
        <w:t>万元，</w:t>
      </w:r>
      <w:r>
        <w:rPr>
          <w:rFonts w:eastAsia="仿宋_GB2312"/>
          <w:sz w:val="32"/>
          <w:szCs w:val="32"/>
          <w:lang w:val="zh-CN"/>
        </w:rPr>
        <w:t>与项目资金计划数</w:t>
      </w:r>
      <w:r>
        <w:rPr>
          <w:sz w:val="32"/>
          <w:szCs w:val="32"/>
        </w:rPr>
        <w:t>10</w:t>
      </w:r>
      <w:r>
        <w:rPr>
          <w:rFonts w:eastAsia="仿宋_GB2312"/>
          <w:sz w:val="32"/>
          <w:szCs w:val="32"/>
          <w:lang w:val="zh-CN"/>
        </w:rPr>
        <w:t>万元相符，资金及时到位，资金到位率100%，到位及时率100%。</w:t>
      </w:r>
    </w:p>
    <w:p>
      <w:pPr>
        <w:adjustRightInd w:val="0"/>
        <w:snapToGrid w:val="0"/>
        <w:spacing w:line="574" w:lineRule="exact"/>
        <w:ind w:firstLine="643" w:firstLineChars="200"/>
        <w:rPr>
          <w:rFonts w:eastAsia="仿宋_GB2312"/>
          <w:sz w:val="32"/>
          <w:szCs w:val="32"/>
          <w:lang w:val="zh-CN"/>
        </w:rPr>
      </w:pPr>
      <w:r>
        <w:rPr>
          <w:rFonts w:eastAsia="仿宋_GB2312"/>
          <w:b/>
          <w:bCs/>
          <w:sz w:val="32"/>
          <w:szCs w:val="32"/>
          <w:lang w:val="zh-CN"/>
        </w:rPr>
        <w:t>3．资金使用。</w:t>
      </w:r>
      <w:r>
        <w:rPr>
          <w:rFonts w:eastAsia="仿宋_GB2312"/>
          <w:sz w:val="32"/>
          <w:szCs w:val="32"/>
          <w:lang w:val="zh-CN"/>
        </w:rPr>
        <w:t>该项目资金</w:t>
      </w:r>
      <w:r>
        <w:rPr>
          <w:rFonts w:hint="eastAsia" w:eastAsia="仿宋_GB2312"/>
          <w:sz w:val="32"/>
          <w:szCs w:val="32"/>
          <w:lang w:val="zh-CN"/>
        </w:rPr>
        <w:t>截止</w:t>
      </w:r>
      <w:r>
        <w:rPr>
          <w:rFonts w:eastAsia="仿宋_GB2312"/>
          <w:sz w:val="32"/>
          <w:szCs w:val="32"/>
          <w:lang w:val="zh-CN"/>
        </w:rPr>
        <w:t>20</w:t>
      </w:r>
      <w:r>
        <w:rPr>
          <w:rFonts w:eastAsia="仿宋_GB2312"/>
          <w:sz w:val="32"/>
          <w:szCs w:val="32"/>
        </w:rPr>
        <w:t>2</w:t>
      </w:r>
      <w:r>
        <w:rPr>
          <w:sz w:val="32"/>
          <w:szCs w:val="32"/>
        </w:rPr>
        <w:t>1</w:t>
      </w:r>
      <w:r>
        <w:rPr>
          <w:rFonts w:eastAsia="仿宋_GB2312"/>
          <w:sz w:val="32"/>
          <w:szCs w:val="32"/>
          <w:lang w:val="zh-CN"/>
        </w:rPr>
        <w:t>年12月31日实际支出</w:t>
      </w:r>
      <w:r>
        <w:rPr>
          <w:sz w:val="32"/>
          <w:szCs w:val="32"/>
        </w:rPr>
        <w:t>10</w:t>
      </w:r>
      <w:r>
        <w:rPr>
          <w:rFonts w:eastAsia="仿宋_GB2312"/>
          <w:sz w:val="32"/>
          <w:szCs w:val="32"/>
          <w:lang w:val="zh-CN"/>
        </w:rPr>
        <w:t>万元，项目预算执行</w:t>
      </w:r>
      <w:r>
        <w:rPr>
          <w:sz w:val="32"/>
          <w:szCs w:val="32"/>
          <w:lang w:val="zh-CN"/>
        </w:rPr>
        <w:t>率</w:t>
      </w:r>
      <w:r>
        <w:rPr>
          <w:rFonts w:eastAsia="仿宋_GB2312"/>
          <w:sz w:val="32"/>
          <w:szCs w:val="32"/>
          <w:lang w:val="zh-CN"/>
        </w:rPr>
        <w:t>为</w:t>
      </w:r>
      <w:r>
        <w:rPr>
          <w:sz w:val="32"/>
          <w:szCs w:val="32"/>
        </w:rPr>
        <w:t>100</w:t>
      </w:r>
      <w:r>
        <w:rPr>
          <w:rFonts w:eastAsia="仿宋_GB2312"/>
          <w:sz w:val="32"/>
          <w:szCs w:val="32"/>
        </w:rPr>
        <w:t>%。</w:t>
      </w:r>
      <w:r>
        <w:rPr>
          <w:rFonts w:eastAsia="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（三）项目财务管理情况。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我院根据财政局批复预算，按部门职责分工明确，严格遵循工作计划稳步推进实施。完善各项内部控制与考核制度，建立较为完善的财务管理制度，严格执行。项目做到了财政资金专款专用，资金支付有相关审批程序和合规手续，账务处理及时，会计核算规范。</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三、项目实施及管理情况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结合项目组织实施管理办法，重点围绕以下内容进行分析评价，并对自评中发现的问题分析说明。</w:t>
      </w:r>
    </w:p>
    <w:p>
      <w:pPr>
        <w:numPr>
          <w:ilvl w:val="0"/>
          <w:numId w:val="1"/>
        </w:num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项目组织架构及实施流程。</w:t>
      </w:r>
    </w:p>
    <w:p>
      <w:pPr>
        <w:adjustRightInd w:val="0"/>
        <w:snapToGrid w:val="0"/>
        <w:spacing w:line="574" w:lineRule="exact"/>
        <w:ind w:firstLine="640" w:firstLineChars="200"/>
        <w:rPr>
          <w:rFonts w:eastAsia="仿宋_GB2312"/>
          <w:sz w:val="32"/>
          <w:szCs w:val="32"/>
        </w:rPr>
      </w:pPr>
      <w:r>
        <w:rPr>
          <w:rFonts w:eastAsia="仿宋_GB2312"/>
          <w:sz w:val="32"/>
          <w:szCs w:val="32"/>
          <w:lang w:val="zh-CN"/>
        </w:rPr>
        <w:t>该项目由具体实施部门申报项目实施需求和计划，部门负责人及分管领导严格审核项目实施可行性，并组织实施，待项目完成并验收合格后提请项目资金支付，行装处严格审核项目报销凭证，加快专项资金支付，及时进行会计核算。</w:t>
      </w:r>
    </w:p>
    <w:p>
      <w:pPr>
        <w:adjustRightInd w:val="0"/>
        <w:snapToGrid w:val="0"/>
        <w:spacing w:line="574" w:lineRule="exact"/>
        <w:ind w:firstLine="640" w:firstLineChars="200"/>
        <w:rPr>
          <w:rFonts w:eastAsia="楷体_GB2312"/>
          <w:sz w:val="32"/>
          <w:szCs w:val="32"/>
          <w:lang w:val="zh-CN"/>
        </w:rPr>
      </w:pPr>
      <w:r>
        <w:rPr>
          <w:rFonts w:eastAsia="楷体_GB2312"/>
          <w:sz w:val="32"/>
          <w:szCs w:val="32"/>
          <w:lang w:val="zh-CN"/>
        </w:rPr>
        <w:t>（二）项目管理情况。</w:t>
      </w:r>
    </w:p>
    <w:p>
      <w:pPr>
        <w:adjustRightInd w:val="0"/>
        <w:snapToGrid w:val="0"/>
        <w:spacing w:line="574" w:lineRule="exact"/>
        <w:ind w:firstLine="640" w:firstLineChars="200"/>
        <w:rPr>
          <w:sz w:val="32"/>
          <w:szCs w:val="32"/>
          <w:lang w:val="zh-CN"/>
        </w:rPr>
      </w:pPr>
      <w:r>
        <w:rPr>
          <w:rFonts w:eastAsia="仿宋_GB2312"/>
          <w:sz w:val="32"/>
          <w:szCs w:val="32"/>
          <w:lang w:val="zh-CN"/>
        </w:rPr>
        <w:t>项目管理人员对项目实施全过程监控，对偏离预算执行的项目及时纠偏和调整，财务报销严格执行财务审批程序。</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（三）项目监管情况。</w:t>
      </w:r>
    </w:p>
    <w:p>
      <w:pPr>
        <w:adjustRightInd w:val="0"/>
        <w:snapToGrid w:val="0"/>
        <w:spacing w:line="576" w:lineRule="exact"/>
        <w:ind w:firstLine="640" w:firstLineChars="200"/>
        <w:rPr>
          <w:rFonts w:eastAsia="仿宋_GB2312"/>
          <w:sz w:val="32"/>
          <w:szCs w:val="32"/>
        </w:rPr>
      </w:pPr>
      <w:r>
        <w:rPr>
          <w:rFonts w:eastAsia="仿宋_GB2312"/>
          <w:sz w:val="32"/>
          <w:szCs w:val="32"/>
        </w:rPr>
        <w:t>法院文化建设经费项目严格按</w:t>
      </w:r>
      <w:bookmarkStart w:id="70" w:name="_GoBack"/>
      <w:bookmarkEnd w:id="70"/>
      <w:r>
        <w:rPr>
          <w:rFonts w:eastAsia="仿宋_GB2312"/>
          <w:sz w:val="32"/>
          <w:szCs w:val="32"/>
        </w:rPr>
        <w:t>照年初预算安排的资金执行，根据财政专项资金管理办法进行项目资金管理，并主动接受院内督察室和市财政局等部门的监督，做到了专款专用，没有超预算和范围，违规报销加班费行为，没有滞留、</w:t>
      </w:r>
      <w:r>
        <w:rPr>
          <w:rFonts w:hint="eastAsia" w:eastAsia="仿宋_GB2312"/>
          <w:sz w:val="32"/>
          <w:szCs w:val="32"/>
          <w:lang w:eastAsia="zh-CN"/>
        </w:rPr>
        <w:t>截留</w:t>
      </w:r>
      <w:r>
        <w:rPr>
          <w:rFonts w:eastAsia="仿宋_GB2312"/>
          <w:sz w:val="32"/>
          <w:szCs w:val="32"/>
        </w:rPr>
        <w:t>、挤占、挪用项目资金的现象。</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四、项目绩效情况</w:t>
      </w:r>
      <w:r>
        <w:rPr>
          <w:rFonts w:ascii="方正黑体简体" w:eastAsia="方正黑体简体"/>
          <w:sz w:val="32"/>
          <w:szCs w:val="32"/>
        </w:rPr>
        <w:tab/>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（一）项目完成情况。</w:t>
      </w:r>
    </w:p>
    <w:p>
      <w:pPr>
        <w:adjustRightInd w:val="0"/>
        <w:snapToGrid w:val="0"/>
        <w:spacing w:line="574" w:lineRule="exact"/>
        <w:ind w:firstLine="640" w:firstLineChars="200"/>
        <w:rPr>
          <w:rFonts w:eastAsia="仿宋_GB2312"/>
          <w:sz w:val="32"/>
          <w:szCs w:val="32"/>
          <w:lang w:val="zh-CN"/>
        </w:rPr>
      </w:pPr>
      <w:r>
        <w:rPr>
          <w:rFonts w:eastAsia="仿宋_GB2312"/>
          <w:sz w:val="32"/>
          <w:szCs w:val="32"/>
          <w:lang w:val="zh-CN"/>
        </w:rPr>
        <w:t>本项目预算资金下达</w:t>
      </w:r>
      <w:r>
        <w:rPr>
          <w:rFonts w:eastAsia="仿宋_GB2312"/>
          <w:sz w:val="32"/>
          <w:szCs w:val="32"/>
        </w:rPr>
        <w:t>10</w:t>
      </w:r>
      <w:r>
        <w:rPr>
          <w:rFonts w:eastAsia="仿宋_GB2312"/>
          <w:sz w:val="32"/>
          <w:szCs w:val="32"/>
          <w:lang w:val="zh-CN"/>
        </w:rPr>
        <w:t>万元，实际执行数</w:t>
      </w:r>
      <w:r>
        <w:rPr>
          <w:rFonts w:eastAsia="仿宋_GB2312"/>
          <w:sz w:val="32"/>
          <w:szCs w:val="32"/>
        </w:rPr>
        <w:t>10</w:t>
      </w:r>
      <w:r>
        <w:rPr>
          <w:rFonts w:eastAsia="仿宋_GB2312"/>
          <w:sz w:val="32"/>
          <w:szCs w:val="32"/>
          <w:lang w:val="zh-CN"/>
        </w:rPr>
        <w:t>万元，项目预算完成率为</w:t>
      </w:r>
      <w:r>
        <w:rPr>
          <w:rFonts w:eastAsia="仿宋_GB2312"/>
          <w:sz w:val="32"/>
          <w:szCs w:val="32"/>
        </w:rPr>
        <w:t>3.02</w:t>
      </w:r>
      <w:r>
        <w:rPr>
          <w:rFonts w:eastAsia="仿宋_GB2312"/>
          <w:sz w:val="32"/>
          <w:szCs w:val="32"/>
          <w:lang w:val="zh-CN"/>
        </w:rPr>
        <w:t>%。</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（二）项目效益情况。</w:t>
      </w:r>
    </w:p>
    <w:p>
      <w:pPr>
        <w:adjustRightInd w:val="0"/>
        <w:snapToGrid w:val="0"/>
        <w:spacing w:line="574" w:lineRule="exact"/>
        <w:ind w:firstLine="640" w:firstLineChars="200"/>
        <w:rPr>
          <w:rFonts w:eastAsia="仿宋_GB2312"/>
          <w:sz w:val="32"/>
          <w:szCs w:val="32"/>
        </w:rPr>
      </w:pPr>
      <w:r>
        <w:rPr>
          <w:rFonts w:eastAsia="仿宋_GB2312"/>
          <w:sz w:val="32"/>
          <w:szCs w:val="32"/>
        </w:rPr>
        <w:t>该项目的实施，营造了良好的文化氛围，提升了我院文化软实力，推动了文化强院建设和社会文明、和谐发展。</w:t>
      </w:r>
    </w:p>
    <w:p>
      <w:pPr>
        <w:adjustRightInd w:val="0"/>
        <w:snapToGrid w:val="0"/>
        <w:spacing w:line="600" w:lineRule="exact"/>
        <w:ind w:firstLine="720"/>
        <w:rPr>
          <w:rFonts w:ascii="方正黑体简体" w:eastAsia="方正黑体简体"/>
          <w:sz w:val="32"/>
          <w:szCs w:val="32"/>
        </w:rPr>
      </w:pPr>
      <w:r>
        <w:rPr>
          <w:rFonts w:ascii="方正黑体简体" w:eastAsia="方正黑体简体"/>
          <w:sz w:val="32"/>
          <w:szCs w:val="32"/>
        </w:rPr>
        <w:t>五、评价结论及建议</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（一）评价结论。</w:t>
      </w:r>
    </w:p>
    <w:p>
      <w:pPr>
        <w:adjustRightInd w:val="0"/>
        <w:snapToGrid w:val="0"/>
        <w:spacing w:line="574" w:lineRule="exact"/>
        <w:ind w:firstLine="640" w:firstLineChars="200"/>
        <w:rPr>
          <w:rFonts w:eastAsia="仿宋_GB2312"/>
          <w:b/>
          <w:sz w:val="32"/>
          <w:szCs w:val="32"/>
          <w:lang w:val="zh-CN"/>
        </w:rPr>
      </w:pPr>
      <w:r>
        <w:rPr>
          <w:rFonts w:eastAsia="仿宋_GB2312"/>
          <w:sz w:val="32"/>
          <w:szCs w:val="32"/>
        </w:rPr>
        <w:t>该项目自评得分为100。该项目决策符合国家政策方针，项目预算执行进度推进有力，项目监督管控及时有效，项目资金支付合理合规。</w:t>
      </w:r>
    </w:p>
    <w:p>
      <w:pPr>
        <w:adjustRightInd w:val="0"/>
        <w:snapToGrid w:val="0"/>
        <w:spacing w:line="574" w:lineRule="exact"/>
        <w:ind w:firstLine="640" w:firstLineChars="200"/>
        <w:rPr>
          <w:rFonts w:eastAsia="仿宋_GB2312"/>
          <w:sz w:val="32"/>
          <w:szCs w:val="32"/>
        </w:rPr>
      </w:pPr>
      <w:r>
        <w:rPr>
          <w:rFonts w:eastAsia="仿宋_GB2312"/>
          <w:sz w:val="32"/>
          <w:szCs w:val="32"/>
        </w:rPr>
        <w:t>通过大力推进法院精神文化建设、物质文化建设、文化制度建设、文化平台建设等，引导干警把核心价值观自觉融入到思想和工作实践中，着力增强了我院文化影响力和感染力，营造了有利于干警身心健康、依法履职的良好氛围，有效提升我院文化氛围。</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（二）存在的问题。</w:t>
      </w:r>
    </w:p>
    <w:p>
      <w:pPr>
        <w:adjustRightInd w:val="0"/>
        <w:snapToGrid w:val="0"/>
        <w:spacing w:line="576" w:lineRule="exact"/>
        <w:ind w:firstLine="640" w:firstLineChars="200"/>
        <w:rPr>
          <w:sz w:val="32"/>
          <w:szCs w:val="32"/>
        </w:rPr>
      </w:pPr>
      <w:r>
        <w:rPr>
          <w:rFonts w:eastAsia="仿宋_GB2312"/>
          <w:sz w:val="32"/>
          <w:szCs w:val="32"/>
        </w:rPr>
        <w:t>项目评价体系不够完善，项目评价指标的确定不够细化，量化。</w:t>
      </w:r>
    </w:p>
    <w:p>
      <w:pPr>
        <w:adjustRightInd w:val="0"/>
        <w:snapToGrid w:val="0"/>
        <w:spacing w:line="576" w:lineRule="exact"/>
        <w:ind w:firstLine="640" w:firstLineChars="200"/>
        <w:rPr>
          <w:rFonts w:eastAsia="楷体_GB2312"/>
          <w:sz w:val="32"/>
          <w:szCs w:val="32"/>
          <w:lang w:val="zh-CN"/>
        </w:rPr>
      </w:pPr>
      <w:r>
        <w:rPr>
          <w:rFonts w:eastAsia="楷体_GB2312"/>
          <w:sz w:val="32"/>
          <w:szCs w:val="32"/>
          <w:lang w:val="zh-CN"/>
        </w:rPr>
        <w:t>（三）相关建议。</w:t>
      </w:r>
    </w:p>
    <w:p>
      <w:pPr>
        <w:adjustRightInd w:val="0"/>
        <w:snapToGrid w:val="0"/>
        <w:spacing w:line="574" w:lineRule="exact"/>
        <w:ind w:firstLine="640" w:firstLineChars="200"/>
        <w:rPr>
          <w:rFonts w:eastAsia="仿宋_GB2312"/>
          <w:sz w:val="32"/>
          <w:szCs w:val="32"/>
        </w:rPr>
      </w:pPr>
      <w:r>
        <w:rPr>
          <w:rFonts w:eastAsia="仿宋_GB2312"/>
          <w:sz w:val="32"/>
          <w:szCs w:val="32"/>
        </w:rPr>
        <w:t>加强指标体系建设。选取评价指标时尽量使用数量型为主定量指标，更易考核与评价，规范三级指标名称，使之更专业化。</w:t>
      </w:r>
    </w:p>
    <w:p>
      <w:r>
        <w:br w:type="page"/>
      </w:r>
    </w:p>
    <w:tbl>
      <w:tblPr>
        <w:tblStyle w:val="14"/>
        <w:tblpPr w:leftFromText="180" w:rightFromText="180" w:vertAnchor="text" w:horzAnchor="margin" w:tblpXSpec="center" w:tblpY="137"/>
        <w:tblOverlap w:val="never"/>
        <w:tblW w:w="10154" w:type="dxa"/>
        <w:tblInd w:w="0" w:type="dxa"/>
        <w:tblLayout w:type="fixed"/>
        <w:tblCellMar>
          <w:top w:w="0" w:type="dxa"/>
          <w:left w:w="108" w:type="dxa"/>
          <w:bottom w:w="0" w:type="dxa"/>
          <w:right w:w="108" w:type="dxa"/>
        </w:tblCellMar>
      </w:tblPr>
      <w:tblGrid>
        <w:gridCol w:w="1437"/>
        <w:gridCol w:w="918"/>
        <w:gridCol w:w="1600"/>
        <w:gridCol w:w="1582"/>
        <w:gridCol w:w="2190"/>
        <w:gridCol w:w="2191"/>
        <w:gridCol w:w="236"/>
      </w:tblGrid>
      <w:tr>
        <w:tblPrEx>
          <w:tblCellMar>
            <w:top w:w="0" w:type="dxa"/>
            <w:left w:w="108" w:type="dxa"/>
            <w:bottom w:w="0" w:type="dxa"/>
            <w:right w:w="108" w:type="dxa"/>
          </w:tblCellMar>
        </w:tblPrEx>
        <w:trPr>
          <w:trHeight w:val="675" w:hRule="atLeast"/>
        </w:trPr>
        <w:tc>
          <w:tcPr>
            <w:tcW w:w="9918" w:type="dxa"/>
            <w:gridSpan w:val="6"/>
            <w:tcBorders>
              <w:top w:val="nil"/>
              <w:left w:val="nil"/>
              <w:bottom w:val="nil"/>
              <w:right w:val="nil"/>
            </w:tcBorders>
            <w:shd w:val="clear" w:color="auto" w:fill="auto"/>
            <w:vAlign w:val="center"/>
          </w:tcPr>
          <w:p>
            <w:pPr>
              <w:widowControl/>
              <w:spacing w:line="240" w:lineRule="exact"/>
              <w:jc w:val="center"/>
              <w:textAlignment w:val="center"/>
              <w:rPr>
                <w:b/>
                <w:sz w:val="32"/>
                <w:szCs w:val="32"/>
              </w:rPr>
            </w:pPr>
            <w:r>
              <w:rPr>
                <w:rFonts w:eastAsia="黑体"/>
                <w:sz w:val="32"/>
                <w:szCs w:val="32"/>
              </w:rPr>
              <w:t>2021年法院文化建设经费项目绩效目标自评</w:t>
            </w:r>
          </w:p>
        </w:tc>
        <w:tc>
          <w:tcPr>
            <w:tcW w:w="236" w:type="dxa"/>
            <w:tcBorders>
              <w:top w:val="nil"/>
              <w:left w:val="nil"/>
              <w:bottom w:val="nil"/>
              <w:right w:val="nil"/>
            </w:tcBorders>
            <w:shd w:val="clear" w:color="auto" w:fill="auto"/>
            <w:vAlign w:val="center"/>
          </w:tcPr>
          <w:p>
            <w:pPr>
              <w:widowControl/>
              <w:spacing w:line="240" w:lineRule="exact"/>
              <w:jc w:val="center"/>
              <w:textAlignment w:val="center"/>
              <w:rPr>
                <w:b/>
                <w:kern w:val="0"/>
                <w:sz w:val="32"/>
                <w:szCs w:val="32"/>
                <w:lang w:bidi="ar"/>
              </w:rPr>
            </w:pPr>
          </w:p>
        </w:tc>
      </w:tr>
      <w:tr>
        <w:tblPrEx>
          <w:tblCellMar>
            <w:top w:w="0" w:type="dxa"/>
            <w:left w:w="108" w:type="dxa"/>
            <w:bottom w:w="0" w:type="dxa"/>
            <w:right w:w="108" w:type="dxa"/>
          </w:tblCellMar>
        </w:tblPrEx>
        <w:trPr>
          <w:gridAfter w:val="1"/>
          <w:wAfter w:w="236" w:type="dxa"/>
          <w:trHeight w:val="732" w:hRule="atLeast"/>
        </w:trPr>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主管部门及代码</w:t>
            </w:r>
          </w:p>
        </w:tc>
        <w:tc>
          <w:tcPr>
            <w:tcW w:w="3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四川省广元市中级人民法院  207001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实施单位</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sz w:val="24"/>
              </w:rPr>
              <w:t>四川省广元市中级人民法院</w:t>
            </w:r>
          </w:p>
        </w:tc>
      </w:tr>
      <w:tr>
        <w:tblPrEx>
          <w:tblCellMar>
            <w:top w:w="0" w:type="dxa"/>
            <w:left w:w="108" w:type="dxa"/>
            <w:bottom w:w="0" w:type="dxa"/>
            <w:right w:w="108" w:type="dxa"/>
          </w:tblCellMar>
        </w:tblPrEx>
        <w:trPr>
          <w:gridAfter w:val="1"/>
          <w:wAfter w:w="236" w:type="dxa"/>
          <w:trHeight w:val="558" w:hRule="atLeast"/>
        </w:trPr>
        <w:tc>
          <w:tcPr>
            <w:tcW w:w="2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项目预算</w:t>
            </w:r>
            <w:r>
              <w:rPr>
                <w:kern w:val="0"/>
                <w:sz w:val="24"/>
                <w:lang w:bidi="ar"/>
              </w:rPr>
              <w:br w:type="textWrapping"/>
            </w:r>
            <w:r>
              <w:rPr>
                <w:kern w:val="0"/>
                <w:sz w:val="24"/>
                <w:lang w:bidi="ar"/>
              </w:rPr>
              <w:t>执行情况</w:t>
            </w:r>
            <w:r>
              <w:rPr>
                <w:kern w:val="0"/>
                <w:sz w:val="24"/>
                <w:lang w:bidi="ar"/>
              </w:rPr>
              <w:br w:type="textWrapping"/>
            </w:r>
            <w:r>
              <w:rPr>
                <w:kern w:val="0"/>
                <w:sz w:val="24"/>
                <w:lang w:bidi="ar"/>
              </w:rPr>
              <w:t>（万元）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 xml:space="preserve"> 预算数：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10万元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 xml:space="preserve"> 执行数：</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10万元</w:t>
            </w:r>
          </w:p>
        </w:tc>
      </w:tr>
      <w:tr>
        <w:tblPrEx>
          <w:tblCellMar>
            <w:top w:w="0" w:type="dxa"/>
            <w:left w:w="108" w:type="dxa"/>
            <w:bottom w:w="0" w:type="dxa"/>
            <w:right w:w="108" w:type="dxa"/>
          </w:tblCellMar>
        </w:tblPrEx>
        <w:trPr>
          <w:gridAfter w:val="1"/>
          <w:wAfter w:w="236" w:type="dxa"/>
          <w:trHeight w:val="555" w:hRule="atLeast"/>
        </w:trPr>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kern w:val="0"/>
                <w:sz w:val="24"/>
                <w:lang w:bidi="ar"/>
              </w:rPr>
            </w:pPr>
            <w:r>
              <w:rPr>
                <w:kern w:val="0"/>
                <w:sz w:val="24"/>
                <w:lang w:bidi="ar"/>
              </w:rPr>
              <w:t>其中：</w:t>
            </w:r>
          </w:p>
          <w:p>
            <w:pPr>
              <w:widowControl/>
              <w:spacing w:line="240" w:lineRule="exact"/>
              <w:jc w:val="left"/>
              <w:textAlignment w:val="center"/>
              <w:rPr>
                <w:sz w:val="24"/>
              </w:rPr>
            </w:pPr>
            <w:r>
              <w:rPr>
                <w:kern w:val="0"/>
                <w:sz w:val="24"/>
                <w:lang w:bidi="ar"/>
              </w:rPr>
              <w:t>财政拨款</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sz w:val="24"/>
              </w:rPr>
              <w:t>10万元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kern w:val="0"/>
                <w:sz w:val="24"/>
                <w:lang w:bidi="ar"/>
              </w:rPr>
            </w:pPr>
            <w:r>
              <w:rPr>
                <w:kern w:val="0"/>
                <w:sz w:val="24"/>
                <w:lang w:bidi="ar"/>
              </w:rPr>
              <w:t>其中：</w:t>
            </w:r>
          </w:p>
          <w:p>
            <w:pPr>
              <w:widowControl/>
              <w:spacing w:line="240" w:lineRule="exact"/>
              <w:jc w:val="left"/>
              <w:textAlignment w:val="center"/>
              <w:rPr>
                <w:sz w:val="24"/>
              </w:rPr>
            </w:pPr>
            <w:r>
              <w:rPr>
                <w:kern w:val="0"/>
                <w:sz w:val="24"/>
                <w:lang w:bidi="ar"/>
              </w:rPr>
              <w:t>财政拨款</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sz w:val="24"/>
              </w:rPr>
            </w:pPr>
            <w:r>
              <w:rPr>
                <w:sz w:val="24"/>
              </w:rPr>
              <w:t>10万元</w:t>
            </w:r>
          </w:p>
        </w:tc>
      </w:tr>
      <w:tr>
        <w:tblPrEx>
          <w:tblCellMar>
            <w:top w:w="0" w:type="dxa"/>
            <w:left w:w="108" w:type="dxa"/>
            <w:bottom w:w="0" w:type="dxa"/>
            <w:right w:w="108" w:type="dxa"/>
          </w:tblCellMar>
        </w:tblPrEx>
        <w:trPr>
          <w:gridAfter w:val="1"/>
          <w:wAfter w:w="236" w:type="dxa"/>
          <w:trHeight w:val="560" w:hRule="atLeast"/>
        </w:trPr>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sz w:val="24"/>
              </w:rPr>
            </w:pPr>
            <w:r>
              <w:rPr>
                <w:kern w:val="0"/>
                <w:sz w:val="24"/>
                <w:lang w:bidi="ar"/>
              </w:rPr>
              <w:t>其他资金</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p>
        </w:tc>
      </w:tr>
      <w:tr>
        <w:tblPrEx>
          <w:tblCellMar>
            <w:top w:w="0" w:type="dxa"/>
            <w:left w:w="108" w:type="dxa"/>
            <w:bottom w:w="0" w:type="dxa"/>
            <w:right w:w="108" w:type="dxa"/>
          </w:tblCellMar>
        </w:tblPrEx>
        <w:trPr>
          <w:gridAfter w:val="1"/>
          <w:wAfter w:w="236" w:type="dxa"/>
          <w:trHeight w:val="530"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年度总体目标</w:t>
            </w:r>
          </w:p>
          <w:p>
            <w:pPr>
              <w:widowControl/>
              <w:spacing w:line="240" w:lineRule="exact"/>
              <w:jc w:val="center"/>
              <w:textAlignment w:val="center"/>
              <w:rPr>
                <w:sz w:val="24"/>
              </w:rPr>
            </w:pPr>
            <w:r>
              <w:rPr>
                <w:kern w:val="0"/>
                <w:sz w:val="24"/>
                <w:lang w:bidi="ar"/>
              </w:rPr>
              <w:t>完成情况</w:t>
            </w: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预期目标</w:t>
            </w:r>
          </w:p>
        </w:tc>
        <w:tc>
          <w:tcPr>
            <w:tcW w:w="4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sz w:val="24"/>
              </w:rPr>
            </w:pPr>
            <w:r>
              <w:rPr>
                <w:kern w:val="0"/>
                <w:sz w:val="24"/>
                <w:lang w:bidi="ar"/>
              </w:rPr>
              <w:t>目标实际完成情况</w:t>
            </w:r>
          </w:p>
        </w:tc>
      </w:tr>
      <w:tr>
        <w:tblPrEx>
          <w:tblCellMar>
            <w:top w:w="0" w:type="dxa"/>
            <w:left w:w="108" w:type="dxa"/>
            <w:bottom w:w="0" w:type="dxa"/>
            <w:right w:w="108" w:type="dxa"/>
          </w:tblCellMar>
        </w:tblPrEx>
        <w:trPr>
          <w:gridAfter w:val="1"/>
          <w:wAfter w:w="236" w:type="dxa"/>
          <w:trHeight w:val="797"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24"/>
              </w:rPr>
            </w:pPr>
          </w:p>
        </w:tc>
        <w:tc>
          <w:tcPr>
            <w:tcW w:w="410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sz w:val="24"/>
              </w:rPr>
            </w:pPr>
            <w:r>
              <w:rPr>
                <w:sz w:val="24"/>
              </w:rPr>
              <w:t>推动法院文化实质化建设，法院三楼文化层建设。</w:t>
            </w:r>
          </w:p>
        </w:tc>
        <w:tc>
          <w:tcPr>
            <w:tcW w:w="4381"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left"/>
              <w:textAlignment w:val="top"/>
              <w:rPr>
                <w:sz w:val="24"/>
              </w:rPr>
            </w:pPr>
            <w:r>
              <w:rPr>
                <w:sz w:val="24"/>
              </w:rPr>
              <w:t>开展系列文化建设和活动，增加了我院文化软实力，加快推进了文化强院建设。</w:t>
            </w:r>
          </w:p>
        </w:tc>
      </w:tr>
      <w:tr>
        <w:tblPrEx>
          <w:tblCellMar>
            <w:top w:w="0" w:type="dxa"/>
            <w:left w:w="108" w:type="dxa"/>
            <w:bottom w:w="0" w:type="dxa"/>
            <w:right w:w="108" w:type="dxa"/>
          </w:tblCellMar>
        </w:tblPrEx>
        <w:trPr>
          <w:gridAfter w:val="1"/>
          <w:wAfter w:w="236" w:type="dxa"/>
          <w:trHeight w:val="693" w:hRule="atLeast"/>
        </w:trPr>
        <w:tc>
          <w:tcPr>
            <w:tcW w:w="143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年度绩效指标完成情况</w:t>
            </w:r>
          </w:p>
        </w:tc>
        <w:tc>
          <w:tcPr>
            <w:tcW w:w="91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一级</w:t>
            </w:r>
          </w:p>
          <w:p>
            <w:pPr>
              <w:widowControl/>
              <w:spacing w:line="240" w:lineRule="exact"/>
              <w:jc w:val="center"/>
              <w:textAlignment w:val="center"/>
              <w:rPr>
                <w:kern w:val="0"/>
                <w:sz w:val="24"/>
                <w:lang w:bidi="ar"/>
              </w:rPr>
            </w:pP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二级</w:t>
            </w:r>
          </w:p>
          <w:p>
            <w:pPr>
              <w:widowControl/>
              <w:spacing w:line="240" w:lineRule="exact"/>
              <w:jc w:val="center"/>
              <w:textAlignment w:val="center"/>
              <w:rPr>
                <w:kern w:val="0"/>
                <w:sz w:val="24"/>
                <w:lang w:bidi="ar"/>
              </w:rPr>
            </w:pPr>
            <w:r>
              <w:rPr>
                <w:kern w:val="0"/>
                <w:sz w:val="24"/>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三级</w:t>
            </w:r>
          </w:p>
          <w:p>
            <w:pPr>
              <w:widowControl/>
              <w:spacing w:line="240" w:lineRule="exact"/>
              <w:jc w:val="center"/>
              <w:textAlignment w:val="center"/>
              <w:rPr>
                <w:kern w:val="0"/>
                <w:sz w:val="24"/>
                <w:lang w:bidi="ar"/>
              </w:rPr>
            </w:pPr>
            <w:r>
              <w:rPr>
                <w:kern w:val="0"/>
                <w:sz w:val="24"/>
                <w:lang w:bidi="ar"/>
              </w:rPr>
              <w:t>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预期指标值</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实际完成指标值</w:t>
            </w:r>
          </w:p>
        </w:tc>
      </w:tr>
      <w:tr>
        <w:tblPrEx>
          <w:tblCellMar>
            <w:top w:w="0" w:type="dxa"/>
            <w:left w:w="108" w:type="dxa"/>
            <w:bottom w:w="0" w:type="dxa"/>
            <w:right w:w="108" w:type="dxa"/>
          </w:tblCellMar>
        </w:tblPrEx>
        <w:trPr>
          <w:gridAfter w:val="1"/>
          <w:wAfter w:w="236" w:type="dxa"/>
          <w:trHeight w:val="415"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完成</w:t>
            </w:r>
          </w:p>
          <w:p>
            <w:pPr>
              <w:widowControl/>
              <w:spacing w:line="240" w:lineRule="exact"/>
              <w:jc w:val="center"/>
              <w:textAlignment w:val="center"/>
              <w:rPr>
                <w:kern w:val="0"/>
                <w:sz w:val="24"/>
                <w:lang w:bidi="ar"/>
              </w:rPr>
            </w:pP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数量指标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开展文化建设活动次数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≥6</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8次</w:t>
            </w:r>
          </w:p>
        </w:tc>
      </w:tr>
      <w:tr>
        <w:tblPrEx>
          <w:tblCellMar>
            <w:top w:w="0" w:type="dxa"/>
            <w:left w:w="108" w:type="dxa"/>
            <w:bottom w:w="0" w:type="dxa"/>
            <w:right w:w="108" w:type="dxa"/>
          </w:tblCellMar>
        </w:tblPrEx>
        <w:trPr>
          <w:gridAfter w:val="1"/>
          <w:wAfter w:w="236" w:type="dxa"/>
          <w:trHeight w:val="415"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时效指标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项目完成时间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2"/>
                <w:lang w:bidi="ar"/>
              </w:rPr>
            </w:pPr>
            <w:r>
              <w:rPr>
                <w:kern w:val="0"/>
                <w:sz w:val="22"/>
                <w:lang w:bidi="ar"/>
              </w:rPr>
              <w:t>2021年12月31日前</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2"/>
                <w:lang w:bidi="ar"/>
              </w:rPr>
            </w:pPr>
            <w:r>
              <w:rPr>
                <w:kern w:val="0"/>
                <w:sz w:val="22"/>
                <w:lang w:bidi="ar"/>
              </w:rPr>
              <w:t>2021年12月31日前</w:t>
            </w:r>
          </w:p>
        </w:tc>
      </w:tr>
      <w:tr>
        <w:tblPrEx>
          <w:tblCellMar>
            <w:top w:w="0" w:type="dxa"/>
            <w:left w:w="108" w:type="dxa"/>
            <w:bottom w:w="0" w:type="dxa"/>
            <w:right w:w="108" w:type="dxa"/>
          </w:tblCellMar>
        </w:tblPrEx>
        <w:trPr>
          <w:gridAfter w:val="1"/>
          <w:wAfter w:w="236" w:type="dxa"/>
          <w:trHeight w:val="480"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文化建设成本投入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≤10万元</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10万元</w:t>
            </w:r>
          </w:p>
        </w:tc>
      </w:tr>
      <w:tr>
        <w:tblPrEx>
          <w:tblCellMar>
            <w:top w:w="0" w:type="dxa"/>
            <w:left w:w="108" w:type="dxa"/>
            <w:bottom w:w="0" w:type="dxa"/>
            <w:right w:w="108" w:type="dxa"/>
          </w:tblCellMar>
        </w:tblPrEx>
        <w:trPr>
          <w:gridAfter w:val="1"/>
          <w:wAfter w:w="236" w:type="dxa"/>
          <w:trHeight w:val="1688"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效益</w:t>
            </w:r>
            <w:r>
              <w:rPr>
                <w:kern w:val="0"/>
                <w:sz w:val="24"/>
                <w:lang w:bidi="ar"/>
              </w:rPr>
              <w:br w:type="textWrapping"/>
            </w:r>
            <w:r>
              <w:rPr>
                <w:kern w:val="0"/>
                <w:sz w:val="24"/>
                <w:lang w:bidi="ar"/>
              </w:rPr>
              <w:t>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社会效益  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营造良好的单位文化氛围</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开展好单位文化建设，有利于提升干警工作和精神面貌，营造良好的单位文化氛围，不断提升我院工作质效。</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该项目的实施，营造了良好的文化氛围，提升了我院文化软实力，推动了文化强院建设和社会文明、和谐发展。</w:t>
            </w:r>
          </w:p>
        </w:tc>
      </w:tr>
      <w:tr>
        <w:tblPrEx>
          <w:tblCellMar>
            <w:top w:w="0" w:type="dxa"/>
            <w:left w:w="108" w:type="dxa"/>
            <w:bottom w:w="0" w:type="dxa"/>
            <w:right w:w="108" w:type="dxa"/>
          </w:tblCellMar>
        </w:tblPrEx>
        <w:trPr>
          <w:gridAfter w:val="1"/>
          <w:wAfter w:w="236" w:type="dxa"/>
          <w:trHeight w:val="577" w:hRule="atLeast"/>
        </w:trPr>
        <w:tc>
          <w:tcPr>
            <w:tcW w:w="1437" w:type="dxa"/>
            <w:vMerge w:val="continue"/>
            <w:tcBorders>
              <w:left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可持续影响 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center"/>
              <w:rPr>
                <w:kern w:val="0"/>
                <w:sz w:val="24"/>
                <w:lang w:bidi="ar"/>
              </w:rPr>
            </w:pPr>
            <w:r>
              <w:rPr>
                <w:kern w:val="0"/>
                <w:sz w:val="24"/>
                <w:lang w:bidi="ar"/>
              </w:rPr>
              <w:t>法院文化建设项目的实施</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通过大力推进法院精神文化建设、物质文化建设、文化制度建设、文化平台建设等多方面着手，大力推进我院文化实质化建设，有效提升我院文化氛围。</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kern w:val="0"/>
                <w:sz w:val="24"/>
                <w:lang w:bidi="ar"/>
              </w:rPr>
            </w:pPr>
            <w:r>
              <w:rPr>
                <w:kern w:val="0"/>
                <w:sz w:val="24"/>
                <w:lang w:bidi="ar"/>
              </w:rPr>
              <w:t>文化建设活动引导干警把核心价值观自觉融入到思想和工作实践中，着力增强了我院文化影响力和感染力，营造了有利于干警身心健康、依法履职的良好氛围。</w:t>
            </w:r>
          </w:p>
        </w:tc>
      </w:tr>
      <w:tr>
        <w:tblPrEx>
          <w:tblCellMar>
            <w:top w:w="0" w:type="dxa"/>
            <w:left w:w="108" w:type="dxa"/>
            <w:bottom w:w="0" w:type="dxa"/>
            <w:right w:w="108" w:type="dxa"/>
          </w:tblCellMar>
        </w:tblPrEx>
        <w:trPr>
          <w:gridAfter w:val="1"/>
          <w:wAfter w:w="236" w:type="dxa"/>
          <w:trHeight w:val="530" w:hRule="atLeast"/>
        </w:trPr>
        <w:tc>
          <w:tcPr>
            <w:tcW w:w="1437"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仿宋_GB2312"/>
                <w:sz w:val="28"/>
                <w:szCs w:val="28"/>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textAlignment w:val="bottom"/>
              <w:rPr>
                <w:rFonts w:eastAsia="仿宋_GB2312"/>
                <w:sz w:val="28"/>
                <w:szCs w:val="28"/>
              </w:rPr>
            </w:pPr>
            <w:r>
              <w:rPr>
                <w:kern w:val="0"/>
                <w:sz w:val="24"/>
                <w:lang w:bidi="ar"/>
              </w:rPr>
              <w:t>满意</w:t>
            </w:r>
            <w:r>
              <w:rPr>
                <w:kern w:val="0"/>
                <w:sz w:val="24"/>
                <w:lang w:bidi="ar"/>
              </w:rPr>
              <w:br w:type="textWrapping"/>
            </w:r>
            <w:r>
              <w:rPr>
                <w:kern w:val="0"/>
                <w:sz w:val="24"/>
                <w:lang w:bidi="ar"/>
              </w:rPr>
              <w:t>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left"/>
              <w:textAlignment w:val="center"/>
              <w:rPr>
                <w:kern w:val="0"/>
                <w:sz w:val="24"/>
                <w:lang w:bidi="ar"/>
              </w:rPr>
            </w:pPr>
            <w:r>
              <w:rPr>
                <w:kern w:val="0"/>
                <w:sz w:val="24"/>
                <w:lang w:bidi="ar"/>
              </w:rPr>
              <w:t>满意度</w:t>
            </w:r>
          </w:p>
          <w:p>
            <w:pPr>
              <w:widowControl/>
              <w:spacing w:line="240" w:lineRule="exact"/>
              <w:jc w:val="left"/>
              <w:textAlignment w:val="center"/>
              <w:rPr>
                <w:kern w:val="0"/>
                <w:sz w:val="24"/>
                <w:lang w:bidi="ar"/>
              </w:rPr>
            </w:pPr>
            <w:r>
              <w:rPr>
                <w:kern w:val="0"/>
                <w:sz w:val="24"/>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left"/>
              <w:textAlignment w:val="center"/>
              <w:rPr>
                <w:kern w:val="0"/>
                <w:sz w:val="24"/>
                <w:lang w:bidi="ar"/>
              </w:rPr>
            </w:pPr>
            <w:r>
              <w:rPr>
                <w:kern w:val="0"/>
                <w:sz w:val="24"/>
                <w:lang w:bidi="ar"/>
              </w:rPr>
              <w:t>法院工作人员对本院文化建设满意度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≥85%</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kern w:val="0"/>
                <w:sz w:val="24"/>
                <w:lang w:bidi="ar"/>
              </w:rPr>
            </w:pPr>
            <w:r>
              <w:rPr>
                <w:kern w:val="0"/>
                <w:sz w:val="24"/>
                <w:lang w:bidi="ar"/>
              </w:rPr>
              <w:t>≥85%</w:t>
            </w:r>
          </w:p>
        </w:tc>
      </w:tr>
    </w:tbl>
    <w:p>
      <w:pPr>
        <w:pStyle w:val="2"/>
        <w:spacing w:before="93"/>
        <w:rPr>
          <w:rFonts w:ascii="Times New Roman"/>
        </w:rPr>
      </w:pPr>
    </w:p>
    <w:p>
      <w:pPr>
        <w:widowControl/>
        <w:jc w:val="left"/>
        <w:rPr>
          <w:rFonts w:eastAsia="仿宋_GB2312"/>
          <w:kern w:val="0"/>
          <w:sz w:val="30"/>
        </w:rPr>
      </w:pPr>
      <w:r>
        <w:br w:type="page"/>
      </w:r>
    </w:p>
    <w:p>
      <w:pPr>
        <w:spacing w:line="640" w:lineRule="exact"/>
        <w:jc w:val="center"/>
        <w:rPr>
          <w:rFonts w:ascii="方正小标宋简体" w:eastAsia="方正小标宋简体"/>
          <w:sz w:val="32"/>
          <w:szCs w:val="32"/>
        </w:rPr>
      </w:pPr>
      <w:bookmarkStart w:id="56" w:name="_Toc15396618"/>
      <w:r>
        <w:rPr>
          <w:rFonts w:hint="eastAsia" w:ascii="方正小标宋简体" w:eastAsia="方正小标宋简体"/>
          <w:sz w:val="32"/>
          <w:szCs w:val="32"/>
        </w:rPr>
        <w:t>第五部分   附表</w:t>
      </w:r>
      <w:bookmarkEnd w:id="54"/>
      <w:bookmarkEnd w:id="56"/>
      <w:bookmarkStart w:id="57" w:name="_Toc15396619"/>
    </w:p>
    <w:p>
      <w:pPr>
        <w:spacing w:line="640" w:lineRule="exact"/>
        <w:rPr>
          <w:rFonts w:eastAsia="仿宋_GB2312"/>
          <w:sz w:val="32"/>
          <w:szCs w:val="32"/>
        </w:rPr>
      </w:pPr>
    </w:p>
    <w:p>
      <w:pPr>
        <w:spacing w:line="640" w:lineRule="exact"/>
        <w:rPr>
          <w:rFonts w:eastAsia="仿宋_GB2312"/>
          <w:sz w:val="32"/>
          <w:szCs w:val="32"/>
        </w:rPr>
      </w:pPr>
      <w:r>
        <w:rPr>
          <w:rFonts w:eastAsia="仿宋_GB2312"/>
          <w:sz w:val="32"/>
          <w:szCs w:val="32"/>
        </w:rPr>
        <w:t>一、收入支出决算总表</w:t>
      </w:r>
      <w:bookmarkEnd w:id="57"/>
    </w:p>
    <w:p>
      <w:pPr>
        <w:spacing w:line="640" w:lineRule="exact"/>
        <w:rPr>
          <w:rFonts w:eastAsia="仿宋_GB2312"/>
          <w:sz w:val="32"/>
          <w:szCs w:val="32"/>
        </w:rPr>
      </w:pPr>
      <w:bookmarkStart w:id="58" w:name="_Toc15396620"/>
      <w:r>
        <w:rPr>
          <w:rFonts w:eastAsia="仿宋_GB2312"/>
          <w:sz w:val="32"/>
          <w:szCs w:val="32"/>
        </w:rPr>
        <w:t>二、收入决算表</w:t>
      </w:r>
      <w:bookmarkEnd w:id="58"/>
    </w:p>
    <w:p>
      <w:pPr>
        <w:spacing w:line="640" w:lineRule="exact"/>
        <w:rPr>
          <w:rFonts w:eastAsia="仿宋_GB2312"/>
          <w:sz w:val="32"/>
          <w:szCs w:val="32"/>
        </w:rPr>
      </w:pPr>
      <w:bookmarkStart w:id="59" w:name="_Toc15396621"/>
      <w:r>
        <w:rPr>
          <w:rFonts w:eastAsia="仿宋_GB2312"/>
          <w:sz w:val="32"/>
          <w:szCs w:val="32"/>
        </w:rPr>
        <w:t>三、支出决算表</w:t>
      </w:r>
      <w:bookmarkEnd w:id="59"/>
    </w:p>
    <w:p>
      <w:pPr>
        <w:spacing w:line="640" w:lineRule="exact"/>
        <w:rPr>
          <w:rFonts w:eastAsia="仿宋_GB2312"/>
          <w:sz w:val="32"/>
          <w:szCs w:val="32"/>
        </w:rPr>
      </w:pPr>
      <w:bookmarkStart w:id="60" w:name="_Toc15396622"/>
      <w:r>
        <w:rPr>
          <w:rFonts w:eastAsia="仿宋_GB2312"/>
          <w:sz w:val="32"/>
          <w:szCs w:val="32"/>
        </w:rPr>
        <w:t>四、财政拨款收入支出决算总表</w:t>
      </w:r>
      <w:bookmarkEnd w:id="60"/>
    </w:p>
    <w:p>
      <w:pPr>
        <w:spacing w:line="640" w:lineRule="exact"/>
        <w:rPr>
          <w:rFonts w:eastAsia="仿宋_GB2312"/>
          <w:sz w:val="32"/>
          <w:szCs w:val="32"/>
        </w:rPr>
      </w:pPr>
      <w:bookmarkStart w:id="61" w:name="_Toc15396623"/>
      <w:r>
        <w:rPr>
          <w:rFonts w:eastAsia="仿宋_GB2312"/>
          <w:sz w:val="32"/>
          <w:szCs w:val="32"/>
        </w:rPr>
        <w:t>五、财政拨款支出决算明细表</w:t>
      </w:r>
      <w:bookmarkEnd w:id="61"/>
      <w:bookmarkStart w:id="62" w:name="_Toc15396624"/>
    </w:p>
    <w:p>
      <w:pPr>
        <w:spacing w:line="640" w:lineRule="exact"/>
        <w:rPr>
          <w:rFonts w:eastAsia="仿宋_GB2312"/>
          <w:sz w:val="32"/>
          <w:szCs w:val="32"/>
        </w:rPr>
      </w:pPr>
      <w:r>
        <w:rPr>
          <w:rFonts w:eastAsia="仿宋_GB2312"/>
          <w:sz w:val="32"/>
          <w:szCs w:val="32"/>
        </w:rPr>
        <w:t>六、一般公共预算财政拨款支出决算表</w:t>
      </w:r>
      <w:bookmarkEnd w:id="62"/>
    </w:p>
    <w:p>
      <w:pPr>
        <w:spacing w:line="640" w:lineRule="exact"/>
        <w:rPr>
          <w:rFonts w:eastAsia="仿宋_GB2312"/>
          <w:sz w:val="32"/>
          <w:szCs w:val="32"/>
        </w:rPr>
      </w:pPr>
      <w:bookmarkStart w:id="63" w:name="_Toc15396625"/>
      <w:r>
        <w:rPr>
          <w:rFonts w:eastAsia="仿宋_GB2312"/>
          <w:sz w:val="32"/>
          <w:szCs w:val="32"/>
        </w:rPr>
        <w:t>七、一般公共预算财政拨款支出决算明细表</w:t>
      </w:r>
      <w:bookmarkEnd w:id="63"/>
    </w:p>
    <w:p>
      <w:pPr>
        <w:spacing w:line="640" w:lineRule="exact"/>
        <w:rPr>
          <w:rFonts w:eastAsia="仿宋_GB2312"/>
          <w:sz w:val="32"/>
          <w:szCs w:val="32"/>
        </w:rPr>
      </w:pPr>
      <w:bookmarkStart w:id="64" w:name="_Toc15396626"/>
      <w:r>
        <w:rPr>
          <w:rFonts w:eastAsia="仿宋_GB2312"/>
          <w:sz w:val="32"/>
          <w:szCs w:val="32"/>
        </w:rPr>
        <w:t>八、一般公共预算财政拨款基本支出决算表</w:t>
      </w:r>
      <w:bookmarkEnd w:id="64"/>
    </w:p>
    <w:p>
      <w:pPr>
        <w:spacing w:line="640" w:lineRule="exact"/>
        <w:rPr>
          <w:rFonts w:eastAsia="仿宋_GB2312"/>
          <w:sz w:val="32"/>
          <w:szCs w:val="32"/>
        </w:rPr>
      </w:pPr>
      <w:bookmarkStart w:id="65" w:name="_Toc15396627"/>
      <w:r>
        <w:rPr>
          <w:rFonts w:eastAsia="仿宋_GB2312"/>
          <w:sz w:val="32"/>
          <w:szCs w:val="32"/>
        </w:rPr>
        <w:t>九、一般公共预算财政拨款项目支出决算表</w:t>
      </w:r>
      <w:bookmarkEnd w:id="65"/>
    </w:p>
    <w:p>
      <w:pPr>
        <w:spacing w:line="640" w:lineRule="exact"/>
        <w:rPr>
          <w:rFonts w:eastAsia="仿宋_GB2312"/>
          <w:sz w:val="32"/>
          <w:szCs w:val="32"/>
        </w:rPr>
      </w:pPr>
      <w:bookmarkStart w:id="66" w:name="_Toc15396628"/>
      <w:r>
        <w:rPr>
          <w:rFonts w:eastAsia="仿宋_GB2312"/>
          <w:sz w:val="32"/>
          <w:szCs w:val="32"/>
        </w:rPr>
        <w:t>十、一般公共预算财政拨款“三公”经费支出决算表</w:t>
      </w:r>
      <w:bookmarkEnd w:id="66"/>
    </w:p>
    <w:p>
      <w:pPr>
        <w:spacing w:line="640" w:lineRule="exact"/>
        <w:rPr>
          <w:rFonts w:eastAsia="仿宋_GB2312"/>
          <w:sz w:val="32"/>
          <w:szCs w:val="32"/>
        </w:rPr>
      </w:pPr>
      <w:bookmarkStart w:id="67" w:name="_Toc15396629"/>
      <w:r>
        <w:rPr>
          <w:rFonts w:eastAsia="仿宋_GB2312"/>
          <w:sz w:val="32"/>
          <w:szCs w:val="32"/>
        </w:rPr>
        <w:t>十一、政府性基金预算财政拨款收入支出决算表</w:t>
      </w:r>
      <w:bookmarkEnd w:id="67"/>
    </w:p>
    <w:p>
      <w:pPr>
        <w:spacing w:line="640" w:lineRule="exact"/>
        <w:rPr>
          <w:rFonts w:eastAsia="仿宋_GB2312"/>
          <w:sz w:val="32"/>
          <w:szCs w:val="32"/>
        </w:rPr>
      </w:pPr>
      <w:bookmarkStart w:id="68" w:name="_Toc15396630"/>
      <w:r>
        <w:rPr>
          <w:rFonts w:eastAsia="仿宋_GB2312"/>
          <w:sz w:val="32"/>
          <w:szCs w:val="32"/>
        </w:rPr>
        <w:t>十二、政府性基金预算财政拨款“三公”经费支出决算表</w:t>
      </w:r>
      <w:bookmarkEnd w:id="68"/>
    </w:p>
    <w:p>
      <w:pPr>
        <w:spacing w:line="640" w:lineRule="exact"/>
        <w:rPr>
          <w:rFonts w:eastAsia="仿宋_GB2312"/>
          <w:sz w:val="32"/>
          <w:szCs w:val="32"/>
        </w:rPr>
      </w:pPr>
      <w:bookmarkStart w:id="69" w:name="_Toc15396631"/>
      <w:r>
        <w:rPr>
          <w:rFonts w:eastAsia="仿宋_GB2312"/>
          <w:sz w:val="32"/>
          <w:szCs w:val="32"/>
        </w:rPr>
        <w:t>十三、国有资本经营预算财政拨款收入支出决算表</w:t>
      </w:r>
      <w:bookmarkEnd w:id="69"/>
    </w:p>
    <w:p>
      <w:pPr>
        <w:spacing w:line="640" w:lineRule="exact"/>
        <w:rPr>
          <w:rFonts w:eastAsia="仿宋_GB2312"/>
          <w:sz w:val="32"/>
          <w:szCs w:val="32"/>
        </w:rPr>
      </w:pPr>
      <w:r>
        <w:rPr>
          <w:rFonts w:eastAsia="仿宋_GB2312"/>
          <w:sz w:val="32"/>
          <w:szCs w:val="32"/>
        </w:rPr>
        <w:t>十四、国有资本经营预算财政拨款支出决算表</w:t>
      </w:r>
    </w:p>
    <w:p>
      <w:pPr>
        <w:spacing w:line="640" w:lineRule="exact"/>
        <w:rPr>
          <w:rFonts w:eastAsia="仿宋_GB2312"/>
          <w:sz w:val="32"/>
          <w:szCs w:val="32"/>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DBC21-4F4E-4F8F-96F1-547188EF80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165991-53CE-448A-A9A8-15AF651B3141}"/>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B2892CE5-0223-4999-9CE3-88B75C84520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582AC8BB-8880-4BB8-9E06-969A0D6732B1}"/>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1DBEB761-2B09-4159-B15C-FF8DC13D825C}"/>
  </w:font>
  <w:font w:name="华文隶书">
    <w:panose1 w:val="02010800040101010101"/>
    <w:charset w:val="86"/>
    <w:family w:val="auto"/>
    <w:pitch w:val="default"/>
    <w:sig w:usb0="00000001" w:usb1="080F0000" w:usb2="00000000" w:usb3="00000000" w:csb0="00040000" w:csb1="00000000"/>
    <w:embedRegular r:id="rId6" w:fontKey="{6BD64BCC-2C92-4528-A8FE-C0E135936B2A}"/>
  </w:font>
  <w:font w:name="方正黑体简体">
    <w:altName w:val="Arial Unicode MS"/>
    <w:panose1 w:val="03000509000000000000"/>
    <w:charset w:val="86"/>
    <w:family w:val="script"/>
    <w:pitch w:val="default"/>
    <w:sig w:usb0="00000000" w:usb1="00000000" w:usb2="00000010" w:usb3="00000000" w:csb0="00040000" w:csb1="00000000"/>
    <w:embedRegular r:id="rId7" w:fontKey="{D9CECEA2-D820-433F-835D-835190AA7553}"/>
  </w:font>
  <w:font w:name="方正楷体简体">
    <w:altName w:val="宋体"/>
    <w:panose1 w:val="03000509000000000000"/>
    <w:charset w:val="86"/>
    <w:family w:val="script"/>
    <w:pitch w:val="default"/>
    <w:sig w:usb0="00000000" w:usb1="00000000" w:usb2="00000010" w:usb3="00000000" w:csb0="00040000" w:csb1="00000000"/>
    <w:embedRegular r:id="rId8" w:fontKey="{F5D1A30F-684B-4D13-BBDD-B535B6BAFEEB}"/>
  </w:font>
  <w:font w:name="楷体_GB2312">
    <w:altName w:val="楷体"/>
    <w:panose1 w:val="00000000000000000000"/>
    <w:charset w:val="86"/>
    <w:family w:val="auto"/>
    <w:pitch w:val="default"/>
    <w:sig w:usb0="00000000" w:usb1="00000000" w:usb2="00000000" w:usb3="00000000" w:csb0="00040000" w:csb1="00000000"/>
    <w:embedRegular r:id="rId9" w:fontKey="{1B6F8533-25A9-463F-9F30-AA2AB6A9BBC6}"/>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4206247"/>
      <w:docPartObj>
        <w:docPartGallery w:val="autotext"/>
      </w:docPartObj>
    </w:sdtPr>
    <w:sdtEndPr>
      <w:rPr>
        <w:rFonts w:asciiTheme="minorEastAsia" w:hAnsiTheme="minorEastAsia" w:eastAsiaTheme="minorEastAsia"/>
        <w:sz w:val="28"/>
        <w:szCs w:val="28"/>
      </w:rPr>
    </w:sdtEndPr>
    <w:sdtContent>
      <w:p>
        <w:pPr>
          <w:pStyle w:val="9"/>
          <w:ind w:firstLine="90" w:firstLineChars="5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534687"/>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380530"/>
      <w:docPartObj>
        <w:docPartGallery w:val="autotext"/>
      </w:docPartObj>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A33CA"/>
    <w:multiLevelType w:val="singleLevel"/>
    <w:tmpl w:val="878A33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56C32"/>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05F"/>
    <w:rsid w:val="000E7119"/>
    <w:rsid w:val="00114E9B"/>
    <w:rsid w:val="00123999"/>
    <w:rsid w:val="001304DD"/>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0D4"/>
    <w:rsid w:val="002A31DE"/>
    <w:rsid w:val="002B2613"/>
    <w:rsid w:val="002D6D05"/>
    <w:rsid w:val="002F1818"/>
    <w:rsid w:val="002F567B"/>
    <w:rsid w:val="0031799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921"/>
    <w:rsid w:val="004223DE"/>
    <w:rsid w:val="00434489"/>
    <w:rsid w:val="00436CC0"/>
    <w:rsid w:val="00437085"/>
    <w:rsid w:val="00443880"/>
    <w:rsid w:val="004464F4"/>
    <w:rsid w:val="004652C5"/>
    <w:rsid w:val="00471401"/>
    <w:rsid w:val="00473F31"/>
    <w:rsid w:val="0048263A"/>
    <w:rsid w:val="00487E5D"/>
    <w:rsid w:val="004A711F"/>
    <w:rsid w:val="004B199D"/>
    <w:rsid w:val="004B222A"/>
    <w:rsid w:val="004B4690"/>
    <w:rsid w:val="004E0A2D"/>
    <w:rsid w:val="004E206B"/>
    <w:rsid w:val="004E6DF7"/>
    <w:rsid w:val="004F0FBD"/>
    <w:rsid w:val="00505A47"/>
    <w:rsid w:val="00512FDA"/>
    <w:rsid w:val="00520DA0"/>
    <w:rsid w:val="005664BB"/>
    <w:rsid w:val="00566FFA"/>
    <w:rsid w:val="0057481D"/>
    <w:rsid w:val="0058009D"/>
    <w:rsid w:val="0058486E"/>
    <w:rsid w:val="00585B33"/>
    <w:rsid w:val="0059014D"/>
    <w:rsid w:val="00595F9E"/>
    <w:rsid w:val="005B18EA"/>
    <w:rsid w:val="005B5C64"/>
    <w:rsid w:val="005C5337"/>
    <w:rsid w:val="005C6BD0"/>
    <w:rsid w:val="005D1C8B"/>
    <w:rsid w:val="005D468D"/>
    <w:rsid w:val="005D5CED"/>
    <w:rsid w:val="005F0D0B"/>
    <w:rsid w:val="005F1A4C"/>
    <w:rsid w:val="00605688"/>
    <w:rsid w:val="006070AF"/>
    <w:rsid w:val="00607E6C"/>
    <w:rsid w:val="006101B1"/>
    <w:rsid w:val="00612497"/>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1307"/>
    <w:rsid w:val="007C5B06"/>
    <w:rsid w:val="007C6C4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6CD4"/>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87BED"/>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26B1C"/>
    <w:rsid w:val="00A307CD"/>
    <w:rsid w:val="00A331C8"/>
    <w:rsid w:val="00A35123"/>
    <w:rsid w:val="00A40A00"/>
    <w:rsid w:val="00A4142F"/>
    <w:rsid w:val="00A422EB"/>
    <w:rsid w:val="00A45BB7"/>
    <w:rsid w:val="00A50B74"/>
    <w:rsid w:val="00A56DF2"/>
    <w:rsid w:val="00A56E6E"/>
    <w:rsid w:val="00A67AB5"/>
    <w:rsid w:val="00A733B2"/>
    <w:rsid w:val="00A741C2"/>
    <w:rsid w:val="00A91760"/>
    <w:rsid w:val="00A93B00"/>
    <w:rsid w:val="00A93C21"/>
    <w:rsid w:val="00AA0E16"/>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005F"/>
    <w:rsid w:val="00C533CC"/>
    <w:rsid w:val="00C5751C"/>
    <w:rsid w:val="00C6038C"/>
    <w:rsid w:val="00C61BFC"/>
    <w:rsid w:val="00C62B85"/>
    <w:rsid w:val="00C65438"/>
    <w:rsid w:val="00C87FD8"/>
    <w:rsid w:val="00C91381"/>
    <w:rsid w:val="00C91CBB"/>
    <w:rsid w:val="00CB4E70"/>
    <w:rsid w:val="00CC09B6"/>
    <w:rsid w:val="00CC666F"/>
    <w:rsid w:val="00CD1DAE"/>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967"/>
    <w:rsid w:val="00D577D0"/>
    <w:rsid w:val="00D7035F"/>
    <w:rsid w:val="00D97B1C"/>
    <w:rsid w:val="00DA634F"/>
    <w:rsid w:val="00DA65AC"/>
    <w:rsid w:val="00DB1913"/>
    <w:rsid w:val="00DC410D"/>
    <w:rsid w:val="00DC5A81"/>
    <w:rsid w:val="00DC68CA"/>
    <w:rsid w:val="00DC7CBA"/>
    <w:rsid w:val="00DD73B7"/>
    <w:rsid w:val="00DF28BC"/>
    <w:rsid w:val="00DF34B9"/>
    <w:rsid w:val="00E01053"/>
    <w:rsid w:val="00E023F1"/>
    <w:rsid w:val="00E07ACF"/>
    <w:rsid w:val="00E331A1"/>
    <w:rsid w:val="00E33202"/>
    <w:rsid w:val="00E336A9"/>
    <w:rsid w:val="00E46A68"/>
    <w:rsid w:val="00E472B1"/>
    <w:rsid w:val="00E50624"/>
    <w:rsid w:val="00E568DF"/>
    <w:rsid w:val="00E61883"/>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5B3D"/>
    <w:rsid w:val="00F602DF"/>
    <w:rsid w:val="00F754A1"/>
    <w:rsid w:val="00F81FD9"/>
    <w:rsid w:val="00F841AA"/>
    <w:rsid w:val="00F84A94"/>
    <w:rsid w:val="00F87E96"/>
    <w:rsid w:val="00FA23E8"/>
    <w:rsid w:val="00FD3CC1"/>
    <w:rsid w:val="00FF1E02"/>
    <w:rsid w:val="00FF30B4"/>
    <w:rsid w:val="01987753"/>
    <w:rsid w:val="029C4426"/>
    <w:rsid w:val="066E0107"/>
    <w:rsid w:val="074322FB"/>
    <w:rsid w:val="07996F6E"/>
    <w:rsid w:val="096874B7"/>
    <w:rsid w:val="0A2032A3"/>
    <w:rsid w:val="0AF853BE"/>
    <w:rsid w:val="0C041E78"/>
    <w:rsid w:val="0F782BF3"/>
    <w:rsid w:val="101860EC"/>
    <w:rsid w:val="10A6174A"/>
    <w:rsid w:val="10C055FF"/>
    <w:rsid w:val="112D52BA"/>
    <w:rsid w:val="118107EC"/>
    <w:rsid w:val="12557610"/>
    <w:rsid w:val="13D50BC4"/>
    <w:rsid w:val="16BB723D"/>
    <w:rsid w:val="18344869"/>
    <w:rsid w:val="1AD966CB"/>
    <w:rsid w:val="1BE8440E"/>
    <w:rsid w:val="1D155CEE"/>
    <w:rsid w:val="21285E8C"/>
    <w:rsid w:val="22EA7955"/>
    <w:rsid w:val="23860B96"/>
    <w:rsid w:val="240371BF"/>
    <w:rsid w:val="29FD04D3"/>
    <w:rsid w:val="2BAF43D1"/>
    <w:rsid w:val="2C8A61B5"/>
    <w:rsid w:val="2DF04E50"/>
    <w:rsid w:val="319F7F4E"/>
    <w:rsid w:val="31FC1188"/>
    <w:rsid w:val="349936A3"/>
    <w:rsid w:val="359F7AA1"/>
    <w:rsid w:val="36AA5135"/>
    <w:rsid w:val="37E16F03"/>
    <w:rsid w:val="392A5903"/>
    <w:rsid w:val="3D98207C"/>
    <w:rsid w:val="3ED86E52"/>
    <w:rsid w:val="43161B2D"/>
    <w:rsid w:val="44E268DA"/>
    <w:rsid w:val="4674735C"/>
    <w:rsid w:val="49337FD2"/>
    <w:rsid w:val="4A627F82"/>
    <w:rsid w:val="4AD320B4"/>
    <w:rsid w:val="4B2E149C"/>
    <w:rsid w:val="4B4F25DA"/>
    <w:rsid w:val="4BE068DB"/>
    <w:rsid w:val="4D577224"/>
    <w:rsid w:val="4EAB630A"/>
    <w:rsid w:val="4ECE2238"/>
    <w:rsid w:val="4F511CBF"/>
    <w:rsid w:val="511900B6"/>
    <w:rsid w:val="551C0F35"/>
    <w:rsid w:val="56A43C4C"/>
    <w:rsid w:val="56C25DA6"/>
    <w:rsid w:val="58691773"/>
    <w:rsid w:val="5AF92295"/>
    <w:rsid w:val="5CD71FC4"/>
    <w:rsid w:val="5D334AE7"/>
    <w:rsid w:val="5D384A4D"/>
    <w:rsid w:val="5DB8230A"/>
    <w:rsid w:val="5F204126"/>
    <w:rsid w:val="5F2345A8"/>
    <w:rsid w:val="62DD4409"/>
    <w:rsid w:val="65AF4F5A"/>
    <w:rsid w:val="66376316"/>
    <w:rsid w:val="6C4A05C8"/>
    <w:rsid w:val="6E564FFD"/>
    <w:rsid w:val="6E7E3605"/>
    <w:rsid w:val="6F90194B"/>
    <w:rsid w:val="6FF5CC65"/>
    <w:rsid w:val="715C0E4B"/>
    <w:rsid w:val="72327D93"/>
    <w:rsid w:val="72734D90"/>
    <w:rsid w:val="735D6C15"/>
    <w:rsid w:val="73AD73D5"/>
    <w:rsid w:val="73B6EB34"/>
    <w:rsid w:val="78B27A4C"/>
    <w:rsid w:val="79982107"/>
    <w:rsid w:val="79EE5BA4"/>
    <w:rsid w:val="7A894339"/>
    <w:rsid w:val="7EEF11D3"/>
    <w:rsid w:val="7FA30C79"/>
    <w:rsid w:val="7FC96657"/>
    <w:rsid w:val="D8D6DB89"/>
    <w:rsid w:val="DB6F4CAB"/>
    <w:rsid w:val="DF6F9789"/>
    <w:rsid w:val="FFFBD2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toa heading"/>
    <w:basedOn w:val="1"/>
    <w:next w:val="1"/>
    <w:semiHidden/>
    <w:unhideWhenUsed/>
    <w:qFormat/>
    <w:uiPriority w:val="99"/>
    <w:pPr>
      <w:spacing w:before="120"/>
    </w:pPr>
    <w:rPr>
      <w:rFonts w:asciiTheme="majorHAnsi" w:hAnsiTheme="majorHAnsi" w:cstheme="majorBidi"/>
      <w:sz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index 1"/>
    <w:basedOn w:val="1"/>
    <w:next w:val="1"/>
    <w:semiHidden/>
    <w:unhideWhenUsed/>
    <w:qFormat/>
    <w:uiPriority w:val="99"/>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3"/>
    <w:qFormat/>
    <w:uiPriority w:val="9"/>
    <w:rPr>
      <w:rFonts w:ascii="Times New Roman" w:hAnsi="Times New Roman"/>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5"/>
    <w:qFormat/>
    <w:uiPriority w:val="9"/>
    <w:rPr>
      <w:rFonts w:ascii="Times New Roman" w:hAnsi="Times New Roman"/>
      <w:b/>
      <w:bCs/>
      <w:kern w:val="2"/>
      <w:sz w:val="32"/>
      <w:szCs w:val="32"/>
    </w:r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2">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paragraph" w:customStyle="1" w:styleId="34">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a:t>
            </a:r>
            <a:r>
              <a:rPr lang="en-US" altLang="zh-CN"/>
              <a:t>2021</a:t>
            </a:r>
            <a:r>
              <a:rPr lang="zh-CN" altLang="en-US"/>
              <a:t>年收、支决算总计变动情况图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[工作簿1]Sheet1!$C$6:$C$7</c:f>
              <c:strCache>
                <c:ptCount val="2"/>
                <c:pt idx="0">
                  <c:v>2020年</c:v>
                </c:pt>
                <c:pt idx="1">
                  <c:v>2021年</c:v>
                </c:pt>
              </c:strCache>
            </c:strRef>
          </c:cat>
          <c:val>
            <c:numRef>
              <c:f>[工作簿1]Sheet1!$D$6:$D$7</c:f>
              <c:numCache>
                <c:formatCode>General</c:formatCode>
                <c:ptCount val="2"/>
                <c:pt idx="0">
                  <c:v>6841.39</c:v>
                </c:pt>
                <c:pt idx="1">
                  <c:v>7195.44</c:v>
                </c:pt>
              </c:numCache>
            </c:numRef>
          </c:val>
        </c:ser>
        <c:dLbls>
          <c:showLegendKey val="0"/>
          <c:showVal val="1"/>
          <c:showCatName val="0"/>
          <c:showSerName val="0"/>
          <c:showPercent val="0"/>
          <c:showBubbleSize val="0"/>
        </c:dLbls>
        <c:gapWidth val="219"/>
        <c:overlap val="-27"/>
        <c:axId val="167114240"/>
        <c:axId val="171820160"/>
      </c:barChart>
      <c:catAx>
        <c:axId val="1671142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820160"/>
        <c:crosses val="autoZero"/>
        <c:auto val="1"/>
        <c:lblAlgn val="ctr"/>
        <c:lblOffset val="100"/>
        <c:noMultiLvlLbl val="0"/>
      </c:catAx>
      <c:valAx>
        <c:axId val="171820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11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361666666666667"/>
          <c:y val="0.0555555555555557"/>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[工作簿1]Sheet1!$C$11</c:f>
              <c:strCache>
                <c:ptCount val="1"/>
                <c:pt idx="0">
                  <c:v>一般公共预算财政拨款收入</c:v>
                </c:pt>
              </c:strCache>
            </c:strRef>
          </c:cat>
          <c:val>
            <c:numRef>
              <c:f>[工作簿1]Sheet1!$D$11</c:f>
              <c:numCache>
                <c:formatCode>General</c:formatCode>
                <c:ptCount val="1"/>
                <c:pt idx="0">
                  <c:v>4413.86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manualLayout>
          <c:xMode val="edge"/>
          <c:yMode val="edge"/>
          <c:x val="0.347777777777778"/>
          <c:y val="0.0439814814814815"/>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[工作簿1]Sheet1!$C$14:$C$15</c:f>
              <c:strCache>
                <c:ptCount val="2"/>
                <c:pt idx="0">
                  <c:v>基本支出</c:v>
                </c:pt>
                <c:pt idx="1">
                  <c:v>项目支出</c:v>
                </c:pt>
              </c:strCache>
            </c:strRef>
          </c:cat>
          <c:val>
            <c:numRef>
              <c:f>[工作簿1]Sheet1!$D$14:$D$15</c:f>
              <c:numCache>
                <c:formatCode>0.00_ </c:formatCode>
                <c:ptCount val="2"/>
                <c:pt idx="0">
                  <c:v>3812.54</c:v>
                </c:pt>
                <c:pt idx="1">
                  <c:v>1088.87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a:t>
            </a:r>
            <a:r>
              <a:rPr lang="en-US" altLang="zh-CN"/>
              <a:t>2021</a:t>
            </a:r>
            <a:r>
              <a:rPr lang="zh-CN" altLang="en-US"/>
              <a:t>年财政拨款收、支决算总计变动情况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[工作簿1]Sheet1!$C$18:$C$19</c:f>
              <c:strCache>
                <c:ptCount val="2"/>
                <c:pt idx="0">
                  <c:v>2020年</c:v>
                </c:pt>
                <c:pt idx="1">
                  <c:v>2021年</c:v>
                </c:pt>
              </c:strCache>
            </c:strRef>
          </c:cat>
          <c:val>
            <c:numRef>
              <c:f>[工作簿1]Sheet1!$D$18:$D$19</c:f>
              <c:numCache>
                <c:formatCode>General</c:formatCode>
                <c:ptCount val="2"/>
                <c:pt idx="0">
                  <c:v>6837.57</c:v>
                </c:pt>
                <c:pt idx="1">
                  <c:v>7195.44</c:v>
                </c:pt>
              </c:numCache>
            </c:numRef>
          </c:val>
        </c:ser>
        <c:dLbls>
          <c:showLegendKey val="0"/>
          <c:showVal val="1"/>
          <c:showCatName val="0"/>
          <c:showSerName val="0"/>
          <c:showPercent val="0"/>
          <c:showBubbleSize val="0"/>
        </c:dLbls>
        <c:gapWidth val="219"/>
        <c:overlap val="-27"/>
        <c:axId val="167292288"/>
        <c:axId val="167385344"/>
      </c:barChart>
      <c:catAx>
        <c:axId val="1672922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385344"/>
        <c:crosses val="autoZero"/>
        <c:auto val="1"/>
        <c:lblAlgn val="ctr"/>
        <c:lblOffset val="100"/>
        <c:noMultiLvlLbl val="0"/>
      </c:catAx>
      <c:valAx>
        <c:axId val="167385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29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manualLayout>
          <c:layoutTarget val="inner"/>
          <c:xMode val="edge"/>
          <c:yMode val="edge"/>
          <c:x val="0.0920880234861362"/>
          <c:y val="0.177409782075666"/>
          <c:w val="0.877298656059893"/>
          <c:h val="0.63521981627296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[工作簿1]Sheet1!$C$21:$C$22</c:f>
              <c:strCache>
                <c:ptCount val="2"/>
                <c:pt idx="0">
                  <c:v>2020年</c:v>
                </c:pt>
                <c:pt idx="1">
                  <c:v>2021年</c:v>
                </c:pt>
              </c:strCache>
            </c:strRef>
          </c:cat>
          <c:val>
            <c:numRef>
              <c:f>[工作簿1]Sheet1!$D$21:$D$22</c:f>
              <c:numCache>
                <c:formatCode>General</c:formatCode>
                <c:ptCount val="2"/>
                <c:pt idx="0">
                  <c:v>4054.86</c:v>
                </c:pt>
                <c:pt idx="1">
                  <c:v>4901.42</c:v>
                </c:pt>
              </c:numCache>
            </c:numRef>
          </c:val>
        </c:ser>
        <c:dLbls>
          <c:showLegendKey val="0"/>
          <c:showVal val="1"/>
          <c:showCatName val="0"/>
          <c:showSerName val="0"/>
          <c:showPercent val="0"/>
          <c:showBubbleSize val="0"/>
        </c:dLbls>
        <c:gapWidth val="219"/>
        <c:overlap val="-27"/>
        <c:axId val="167428864"/>
        <c:axId val="167431552"/>
      </c:barChart>
      <c:catAx>
        <c:axId val="167428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431552"/>
        <c:crosses val="autoZero"/>
        <c:auto val="1"/>
        <c:lblAlgn val="ctr"/>
        <c:lblOffset val="100"/>
        <c:noMultiLvlLbl val="0"/>
      </c:catAx>
      <c:valAx>
        <c:axId val="1674315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42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[工作簿1]Sheet1!$C$27:$C$30</c:f>
              <c:strCache>
                <c:ptCount val="4"/>
                <c:pt idx="0">
                  <c:v>公共安全支出</c:v>
                </c:pt>
                <c:pt idx="1">
                  <c:v>社会保障和就业支出</c:v>
                </c:pt>
                <c:pt idx="2">
                  <c:v>卫生健康支出</c:v>
                </c:pt>
                <c:pt idx="3">
                  <c:v>住房保障支出</c:v>
                </c:pt>
              </c:strCache>
            </c:strRef>
          </c:cat>
          <c:val>
            <c:numRef>
              <c:f>[工作簿1]Sheet1!$D$27:$D$30</c:f>
              <c:numCache>
                <c:formatCode>General</c:formatCode>
                <c:ptCount val="4"/>
                <c:pt idx="0">
                  <c:v>4170.55</c:v>
                </c:pt>
                <c:pt idx="1">
                  <c:v>270.65</c:v>
                </c:pt>
                <c:pt idx="2">
                  <c:v>118.53</c:v>
                </c:pt>
                <c:pt idx="3">
                  <c:v>341.7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494680514733186"/>
                  <c:y val="-0.0020056549227859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[工作簿1]Sheet1!$G$28:$G$30</c:f>
              <c:strCache>
                <c:ptCount val="3"/>
                <c:pt idx="0">
                  <c:v>因公出国（境）费</c:v>
                </c:pt>
                <c:pt idx="1">
                  <c:v>公务用车购置及运行维护费支出</c:v>
                </c:pt>
                <c:pt idx="2">
                  <c:v>公务接待费支出</c:v>
                </c:pt>
              </c:strCache>
            </c:strRef>
          </c:cat>
          <c:val>
            <c:numRef>
              <c:f>[工作簿1]Sheet1!$H$28:$H$30</c:f>
              <c:numCache>
                <c:formatCode>General</c:formatCode>
                <c:ptCount val="3"/>
                <c:pt idx="0">
                  <c:v>0</c:v>
                </c:pt>
                <c:pt idx="1">
                  <c:v>176.61</c:v>
                </c:pt>
                <c:pt idx="2">
                  <c:v>4.66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A8FE-45BB-4E80-82F8-070171322D4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64</Pages>
  <Words>4762</Words>
  <Characters>27145</Characters>
  <Lines>226</Lines>
  <Paragraphs>63</Paragraphs>
  <TotalTime>59</TotalTime>
  <ScaleCrop>false</ScaleCrop>
  <LinksUpToDate>false</LinksUpToDate>
  <CharactersWithSpaces>31844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2022-09-14T09:27:00Z</dcterms:created>
  <dc:creator>曹颖</dc:creator>
  <cp:lastModifiedBy>玖千余为春秋</cp:lastModifiedBy>
  <cp:lastPrinted>2022-09-14T05:24:00Z</cp:lastPrinted>
  <dcterms:modified xsi:type="dcterms:W3CDTF">2023-07-22T04:01:38Z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